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CC3CE9" w:rsidP="005C0AF5">
      <w:pPr>
        <w:pStyle w:val="Heading1"/>
        <w:spacing w:before="0" w:after="600"/>
      </w:pPr>
      <w:bookmarkStart w:id="0" w:name="ChapterNumber"/>
      <w:r>
        <w:t>2</w:t>
      </w:r>
      <w:bookmarkEnd w:id="0"/>
      <w:r>
        <w:tab/>
      </w:r>
      <w:bookmarkStart w:id="1" w:name="ChapterTitle"/>
      <w:r>
        <w:t>The structure and performance of the National Electricity Market</w:t>
      </w:r>
      <w:bookmarkEnd w:id="1"/>
    </w:p>
    <w:p w:rsidR="00FD25AA" w:rsidRDefault="00FD25AA">
      <w:pPr>
        <w:pStyle w:val="BoxSpace"/>
      </w:pPr>
      <w:bookmarkStart w:id="2" w:name="begin"/>
      <w:bookmarkEnd w:id="2"/>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FD25AA">
        <w:tc>
          <w:tcPr>
            <w:tcW w:w="8771" w:type="dxa"/>
            <w:tcBorders>
              <w:top w:val="single" w:sz="6" w:space="0" w:color="auto"/>
              <w:bottom w:val="nil"/>
            </w:tcBorders>
          </w:tcPr>
          <w:p w:rsidR="00FD25AA" w:rsidRDefault="00FD25AA" w:rsidP="00FD25AA">
            <w:pPr>
              <w:pStyle w:val="BoxTitle"/>
            </w:pPr>
            <w:r>
              <w:t>Key points</w:t>
            </w:r>
          </w:p>
        </w:tc>
      </w:tr>
      <w:tr w:rsidR="00FD25AA">
        <w:trPr>
          <w:cantSplit/>
        </w:trPr>
        <w:tc>
          <w:tcPr>
            <w:tcW w:w="8771" w:type="dxa"/>
            <w:tcBorders>
              <w:top w:val="nil"/>
              <w:left w:val="single" w:sz="6" w:space="0" w:color="auto"/>
              <w:bottom w:val="nil"/>
              <w:right w:val="single" w:sz="6" w:space="0" w:color="auto"/>
            </w:tcBorders>
          </w:tcPr>
          <w:p w:rsidR="00A444BA" w:rsidRDefault="00A444BA" w:rsidP="00ED1479">
            <w:pPr>
              <w:pStyle w:val="BoxListBullet"/>
            </w:pPr>
            <w:r w:rsidRPr="00A444BA">
              <w:t xml:space="preserve">The </w:t>
            </w:r>
            <w:proofErr w:type="spellStart"/>
            <w:r w:rsidRPr="00A444BA">
              <w:t>NEM</w:t>
            </w:r>
            <w:proofErr w:type="spellEnd"/>
            <w:r w:rsidRPr="00A444BA">
              <w:t xml:space="preserve"> comprises </w:t>
            </w:r>
            <w:r w:rsidR="00ED1479">
              <w:t>six</w:t>
            </w:r>
            <w:r>
              <w:t xml:space="preserve"> groups of </w:t>
            </w:r>
            <w:r w:rsidRPr="00A444BA">
              <w:t xml:space="preserve">direct participants: generators, </w:t>
            </w:r>
            <w:r w:rsidR="00ED1479">
              <w:t xml:space="preserve">ancillary services, </w:t>
            </w:r>
            <w:r w:rsidRPr="00A444BA">
              <w:t>transmission and distribution networks</w:t>
            </w:r>
            <w:r w:rsidR="00ED1479">
              <w:t xml:space="preserve">, </w:t>
            </w:r>
            <w:r w:rsidRPr="00A444BA">
              <w:t>retailers</w:t>
            </w:r>
            <w:r w:rsidR="00ED1479">
              <w:t xml:space="preserve"> and customers</w:t>
            </w:r>
            <w:r w:rsidRPr="00A444BA">
              <w:t>.</w:t>
            </w:r>
          </w:p>
          <w:p w:rsidR="00A444BA" w:rsidRDefault="00A444BA" w:rsidP="00ED1479">
            <w:pPr>
              <w:pStyle w:val="BoxListBullet"/>
            </w:pPr>
            <w:r>
              <w:t xml:space="preserve">The structure of the electricity supply </w:t>
            </w:r>
            <w:r w:rsidR="00493C6B">
              <w:t xml:space="preserve">industry </w:t>
            </w:r>
            <w:r>
              <w:t>has shifted over time, with vertical separation of generation and retailing from the natural monopoly elements of the industry, and horizontal integration of network businesses.</w:t>
            </w:r>
            <w:r w:rsidR="00ED1479">
              <w:t xml:space="preserve"> However, increasingly generators and retailers have integrated to form ‘</w:t>
            </w:r>
            <w:proofErr w:type="spellStart"/>
            <w:r w:rsidR="00ED1479">
              <w:t>gentailers</w:t>
            </w:r>
            <w:proofErr w:type="spellEnd"/>
            <w:r w:rsidR="00ED1479">
              <w:t>’.</w:t>
            </w:r>
          </w:p>
          <w:p w:rsidR="00A444BA" w:rsidRDefault="00A444BA" w:rsidP="00ED1479">
            <w:pPr>
              <w:pStyle w:val="BoxListBullet"/>
            </w:pPr>
            <w:r>
              <w:t>Collectively, state governments are significant asset holders — owning all transmission and distri</w:t>
            </w:r>
            <w:r w:rsidR="00493C6B">
              <w:t>bution assets in Queensland, New South Wales</w:t>
            </w:r>
            <w:r>
              <w:t xml:space="preserve"> and Tasmania.</w:t>
            </w:r>
          </w:p>
          <w:p w:rsidR="00A444BA" w:rsidRDefault="00A444BA" w:rsidP="00ED1479">
            <w:pPr>
              <w:pStyle w:val="BoxListBullet"/>
            </w:pPr>
            <w:r>
              <w:t>Network services are the most costly single component of electricity supply, accounting for around 45</w:t>
            </w:r>
            <w:r w:rsidR="00C77B32">
              <w:t> </w:t>
            </w:r>
            <w:r>
              <w:t>per</w:t>
            </w:r>
            <w:r w:rsidR="00C77B32">
              <w:t> </w:t>
            </w:r>
            <w:r>
              <w:t xml:space="preserve">cent of total electricity prices. </w:t>
            </w:r>
          </w:p>
          <w:p w:rsidR="00A444BA" w:rsidRDefault="00A444BA" w:rsidP="00ED1479">
            <w:pPr>
              <w:pStyle w:val="BoxListBullet"/>
            </w:pPr>
            <w:r>
              <w:t xml:space="preserve">From June 2007 to June 2012, real Australian retail electricity prices rose by around 50 per cent, with network costs playing an important role in the last few years, particularly for </w:t>
            </w:r>
            <w:r w:rsidR="00493C6B">
              <w:t>New South Wales</w:t>
            </w:r>
            <w:r>
              <w:t xml:space="preserve">. </w:t>
            </w:r>
          </w:p>
          <w:p w:rsidR="00453A19" w:rsidRDefault="00A444BA" w:rsidP="00ED1479">
            <w:pPr>
              <w:pStyle w:val="BoxListBullet"/>
            </w:pPr>
            <w:r>
              <w:t xml:space="preserve">Any price increases in network services have particularly large relative effects on poorer households, one of the motivations for concerns about price pressures. </w:t>
            </w:r>
          </w:p>
          <w:p w:rsidR="00ED1479" w:rsidRDefault="005C49D0" w:rsidP="00ED1479">
            <w:pPr>
              <w:pStyle w:val="BoxListBullet"/>
            </w:pPr>
            <w:r>
              <w:t>Residential n</w:t>
            </w:r>
            <w:r w:rsidR="00ED1479">
              <w:t xml:space="preserve">etwork </w:t>
            </w:r>
            <w:r>
              <w:t>charges</w:t>
            </w:r>
            <w:r w:rsidR="00ED1479">
              <w:t xml:space="preserve"> are diverging between jurisdictions. Network </w:t>
            </w:r>
            <w:r>
              <w:t>charges</w:t>
            </w:r>
            <w:r w:rsidR="00ED1479">
              <w:t xml:space="preserve"> in </w:t>
            </w:r>
            <w:r w:rsidR="00493C6B">
              <w:t>New South Wales</w:t>
            </w:r>
            <w:r w:rsidR="00ED1479">
              <w:t>, Queensland and South Australia are projected to be around double those in Victoria in 2013</w:t>
            </w:r>
            <w:r w:rsidR="00ED1479">
              <w:noBreakHyphen/>
              <w:t>14.</w:t>
            </w:r>
          </w:p>
          <w:p w:rsidR="00A444BA" w:rsidRDefault="00A444BA" w:rsidP="00ED1479">
            <w:pPr>
              <w:pStyle w:val="BoxListBullet"/>
            </w:pPr>
            <w:r>
              <w:t>Power consumption per customer fell by around 2.5 per cent in both 2010</w:t>
            </w:r>
            <w:r>
              <w:noBreakHyphen/>
              <w:t>11 and 2009</w:t>
            </w:r>
            <w:r>
              <w:noBreakHyphen/>
              <w:t>10. In contrast, peak demand to average demand has been rising over time.</w:t>
            </w:r>
          </w:p>
          <w:p w:rsidR="00A444BA" w:rsidRDefault="00A444BA" w:rsidP="00ED1479">
            <w:pPr>
              <w:pStyle w:val="BoxListBullet"/>
            </w:pPr>
            <w:r>
              <w:t>New patterns of network development may occur as generation shifts away from conventional energy sources, with cost and planning challenges.</w:t>
            </w:r>
          </w:p>
          <w:p w:rsidR="00453A19" w:rsidRDefault="00453A19" w:rsidP="00ED1479">
            <w:pPr>
              <w:pStyle w:val="BoxListBullet"/>
            </w:pPr>
            <w:r>
              <w:t>While rising network price pressures partly reflect peak demand trends, more undergrounding of lines, higher reliability requirements and the need for asset replacement, this does not mean that there is no scope for efficiency improvement.</w:t>
            </w:r>
          </w:p>
          <w:p w:rsidR="00453A19" w:rsidRDefault="00453A19" w:rsidP="00ED1479">
            <w:pPr>
              <w:pStyle w:val="BoxListBullet"/>
            </w:pPr>
            <w:r>
              <w:t>Even modest improvements in network business efficiency could produce billions of dollars of economic benefits to Australians.</w:t>
            </w:r>
          </w:p>
          <w:p w:rsidR="00FD25AA" w:rsidRDefault="00453A19" w:rsidP="00ED1479">
            <w:pPr>
              <w:pStyle w:val="BoxListBullet"/>
            </w:pPr>
            <w:r>
              <w:t>Network services are a ubiquitous input for all industries, accounting for ar</w:t>
            </w:r>
            <w:r w:rsidR="00B1698E">
              <w:t xml:space="preserve">ound </w:t>
            </w:r>
            <w:r w:rsidR="00B1698E">
              <w:br/>
              <w:t>1–</w:t>
            </w:r>
            <w:r>
              <w:t>1.5 per cent of the value of inputs for most industries. Given this dispersion of interests, it would be hard for a representative user group to form spontaneously and to negotiate from a position of power with network businesses.</w:t>
            </w:r>
          </w:p>
        </w:tc>
      </w:tr>
      <w:tr w:rsidR="00FD25AA">
        <w:trPr>
          <w:cantSplit/>
        </w:trPr>
        <w:tc>
          <w:tcPr>
            <w:tcW w:w="8771" w:type="dxa"/>
            <w:tcBorders>
              <w:top w:val="nil"/>
              <w:left w:val="single" w:sz="6" w:space="0" w:color="auto"/>
              <w:bottom w:val="single" w:sz="6" w:space="0" w:color="auto"/>
              <w:right w:val="single" w:sz="6" w:space="0" w:color="auto"/>
            </w:tcBorders>
          </w:tcPr>
          <w:p w:rsidR="00FD25AA" w:rsidRDefault="00FD25AA">
            <w:pPr>
              <w:pStyle w:val="Box"/>
              <w:spacing w:before="0" w:line="120" w:lineRule="exact"/>
            </w:pPr>
          </w:p>
        </w:tc>
      </w:tr>
      <w:tr w:rsidR="00FD25AA">
        <w:tc>
          <w:tcPr>
            <w:tcW w:w="8771" w:type="dxa"/>
            <w:tcBorders>
              <w:top w:val="nil"/>
              <w:left w:val="nil"/>
              <w:bottom w:val="nil"/>
              <w:right w:val="nil"/>
            </w:tcBorders>
          </w:tcPr>
          <w:p w:rsidR="00FD25AA" w:rsidRDefault="00FD25AA">
            <w:pPr>
              <w:pStyle w:val="Box"/>
              <w:keepNext w:val="0"/>
              <w:spacing w:before="60" w:after="60" w:line="80" w:lineRule="exact"/>
              <w:rPr>
                <w:b/>
                <w:color w:val="FF00FF"/>
                <w:sz w:val="14"/>
              </w:rPr>
            </w:pPr>
          </w:p>
        </w:tc>
      </w:tr>
    </w:tbl>
    <w:p w:rsidR="00572DD7" w:rsidRDefault="00572DD7">
      <w:pPr>
        <w:rPr>
          <w:szCs w:val="20"/>
        </w:rPr>
      </w:pPr>
      <w:r>
        <w:br w:type="page"/>
      </w:r>
    </w:p>
    <w:p w:rsidR="00A42CDC" w:rsidRDefault="00F83A7B" w:rsidP="0040782E">
      <w:pPr>
        <w:pStyle w:val="BodyText"/>
      </w:pPr>
      <w:r>
        <w:lastRenderedPageBreak/>
        <w:t xml:space="preserve">This chapter </w:t>
      </w:r>
      <w:r w:rsidR="00A42CDC">
        <w:t xml:space="preserve">provides a brief overview of </w:t>
      </w:r>
      <w:r w:rsidR="00CC3CE9">
        <w:t xml:space="preserve">the </w:t>
      </w:r>
      <w:r>
        <w:t>National Electricity Market</w:t>
      </w:r>
      <w:r w:rsidR="00A42CDC">
        <w:t xml:space="preserve"> (</w:t>
      </w:r>
      <w:proofErr w:type="spellStart"/>
      <w:r w:rsidR="00A42CDC">
        <w:t>NEM</w:t>
      </w:r>
      <w:proofErr w:type="spellEnd"/>
      <w:r w:rsidR="00A42CDC">
        <w:t>) as a whole, covering the:</w:t>
      </w:r>
    </w:p>
    <w:p w:rsidR="00A42CDC" w:rsidRDefault="00A42CDC" w:rsidP="0064394D">
      <w:pPr>
        <w:pStyle w:val="ListBullet"/>
      </w:pPr>
      <w:r>
        <w:t xml:space="preserve">structure of the </w:t>
      </w:r>
      <w:proofErr w:type="spellStart"/>
      <w:r>
        <w:t>NEM</w:t>
      </w:r>
      <w:proofErr w:type="spellEnd"/>
      <w:r>
        <w:t xml:space="preserve">, including </w:t>
      </w:r>
      <w:r w:rsidR="0060378C">
        <w:t xml:space="preserve">brief </w:t>
      </w:r>
      <w:r>
        <w:t>coverage of some recent developments in generation and retailing that are relevant to networks (section 2.1)</w:t>
      </w:r>
    </w:p>
    <w:p w:rsidR="00A42CDC" w:rsidRDefault="00A42CDC" w:rsidP="0064394D">
      <w:pPr>
        <w:pStyle w:val="ListBullet"/>
      </w:pPr>
      <w:r>
        <w:t xml:space="preserve">scale of the network and its costs — whose significance explains why cost pressures in this part of the </w:t>
      </w:r>
      <w:r w:rsidR="00DF76C2">
        <w:t>electricity</w:t>
      </w:r>
      <w:r>
        <w:t xml:space="preserve"> industry have large </w:t>
      </w:r>
      <w:r w:rsidR="00DF76C2">
        <w:t>impacts</w:t>
      </w:r>
      <w:r>
        <w:t xml:space="preserve"> on the prices customers face</w:t>
      </w:r>
      <w:r w:rsidR="00DF76C2">
        <w:t xml:space="preserve"> (section 2.2)</w:t>
      </w:r>
    </w:p>
    <w:p w:rsidR="00DF76C2" w:rsidRDefault="00DF76C2" w:rsidP="0064394D">
      <w:pPr>
        <w:pStyle w:val="ListBullet"/>
      </w:pPr>
      <w:r>
        <w:t>characteristics</w:t>
      </w:r>
      <w:r w:rsidR="00A42CDC">
        <w:t xml:space="preserve"> of </w:t>
      </w:r>
      <w:r>
        <w:t xml:space="preserve">demand (section 2.3). This is important from many perspectives. It </w:t>
      </w:r>
      <w:r w:rsidR="00A42CDC">
        <w:t>affect</w:t>
      </w:r>
      <w:r>
        <w:t>s</w:t>
      </w:r>
      <w:r w:rsidR="00A42CDC">
        <w:t xml:space="preserve"> the </w:t>
      </w:r>
      <w:r>
        <w:t>capacity for consumers to exercise countervailing power</w:t>
      </w:r>
      <w:r w:rsidR="00A42CDC">
        <w:t xml:space="preserve"> </w:t>
      </w:r>
      <w:r>
        <w:t>and partially motivates new approaches to involve customers in the regulatory process (an issue explored in chapter </w:t>
      </w:r>
      <w:r w:rsidR="00494616">
        <w:t>21</w:t>
      </w:r>
      <w:r>
        <w:t xml:space="preserve">). It shows why benefits from any lower network costs cascade across the entire community. And, given its nature as an ‘essential’ service, any cost pressures on network services have particularly adverse effects on low-income households, underlining why network cost </w:t>
      </w:r>
      <w:r w:rsidR="00217B03">
        <w:t>increases</w:t>
      </w:r>
      <w:r>
        <w:t xml:space="preserve"> are so sensitive for the community</w:t>
      </w:r>
    </w:p>
    <w:p w:rsidR="00A42CDC" w:rsidRDefault="00DF76C2" w:rsidP="0064394D">
      <w:pPr>
        <w:pStyle w:val="ListBullet"/>
      </w:pPr>
      <w:r>
        <w:t>recent price changes (section 2.4) and their proximate causes</w:t>
      </w:r>
      <w:r w:rsidR="0064394D">
        <w:t xml:space="preserve"> (section 2.5)</w:t>
      </w:r>
    </w:p>
    <w:p w:rsidR="0064394D" w:rsidRDefault="0064394D" w:rsidP="0064394D">
      <w:pPr>
        <w:pStyle w:val="ListBullet"/>
      </w:pPr>
      <w:r>
        <w:t>basic reliability performance of t</w:t>
      </w:r>
      <w:r w:rsidR="007D3F9D">
        <w:t>he network (section 2.6), since</w:t>
      </w:r>
      <w:r>
        <w:t xml:space="preserve"> </w:t>
      </w:r>
      <w:r w:rsidR="005C49D0">
        <w:t xml:space="preserve">customers value uninterrupted power and good frequency control. </w:t>
      </w:r>
      <w:r w:rsidR="009B5FAF">
        <w:t>(</w:t>
      </w:r>
      <w:r w:rsidR="005C49D0">
        <w:t xml:space="preserve">In </w:t>
      </w:r>
      <w:r w:rsidR="009B5FAF">
        <w:t>their</w:t>
      </w:r>
      <w:r w:rsidR="005C49D0">
        <w:t xml:space="preserve"> own right, government</w:t>
      </w:r>
      <w:r>
        <w:t xml:space="preserve"> </w:t>
      </w:r>
      <w:r w:rsidR="005C49D0">
        <w:t>requirements</w:t>
      </w:r>
      <w:r>
        <w:t xml:space="preserve"> </w:t>
      </w:r>
      <w:r w:rsidR="005C49D0">
        <w:t>for improved reliability have also</w:t>
      </w:r>
      <w:r>
        <w:t xml:space="preserve"> </w:t>
      </w:r>
      <w:r w:rsidR="005C49D0">
        <w:t xml:space="preserve">been </w:t>
      </w:r>
      <w:r>
        <w:t>a significant source of cost pressures</w:t>
      </w:r>
      <w:r w:rsidR="009B5FAF">
        <w:t>.</w:t>
      </w:r>
      <w:r>
        <w:t>)</w:t>
      </w:r>
    </w:p>
    <w:p w:rsidR="0064394D" w:rsidRDefault="0064394D" w:rsidP="0064394D">
      <w:pPr>
        <w:pStyle w:val="ListBullet"/>
      </w:pPr>
      <w:r>
        <w:t xml:space="preserve">potential economic gains from improving the performance of the network — which motivates the value of the policy reforms outlined in subsequent chapters (section 2.7). </w:t>
      </w:r>
    </w:p>
    <w:p w:rsidR="00863995" w:rsidRDefault="0060378C" w:rsidP="0040782E">
      <w:pPr>
        <w:pStyle w:val="BodyText"/>
      </w:pPr>
      <w:r>
        <w:t xml:space="preserve">This chapter does not provide a detailed description of the regulatory environment governing networks, since </w:t>
      </w:r>
      <w:r w:rsidR="006667D1">
        <w:t>this is</w:t>
      </w:r>
      <w:r>
        <w:t xml:space="preserve"> addressed in a focused way in the policy chapters that follow.</w:t>
      </w:r>
    </w:p>
    <w:p w:rsidR="00F83A7B" w:rsidRDefault="006E210A" w:rsidP="00863995">
      <w:pPr>
        <w:pStyle w:val="Heading2"/>
      </w:pPr>
      <w:r>
        <w:t>2.</w:t>
      </w:r>
      <w:r w:rsidR="00493C6B">
        <w:rPr>
          <w:noProof/>
        </w:rPr>
        <w:t>1</w:t>
      </w:r>
      <w:r w:rsidR="00863995">
        <w:tab/>
        <w:t xml:space="preserve">The structure of the National Electricity Market </w:t>
      </w:r>
    </w:p>
    <w:p w:rsidR="00863995" w:rsidRDefault="00863995" w:rsidP="00863995">
      <w:pPr>
        <w:pStyle w:val="BodyText"/>
      </w:pPr>
      <w:r>
        <w:t xml:space="preserve">The </w:t>
      </w:r>
      <w:proofErr w:type="spellStart"/>
      <w:r>
        <w:t>NEM</w:t>
      </w:r>
      <w:proofErr w:type="spellEnd"/>
      <w:r>
        <w:t xml:space="preserve"> is a highly elaborate system for managing the production and transport of power throughout eastern Australia. On the supply side, there are </w:t>
      </w:r>
      <w:r w:rsidR="007660FA">
        <w:t>four</w:t>
      </w:r>
      <w:r>
        <w:t xml:space="preserve"> principal parts of the system: generation</w:t>
      </w:r>
      <w:r w:rsidR="007660FA">
        <w:t>,</w:t>
      </w:r>
      <w:r w:rsidR="00033B9E">
        <w:t xml:space="preserve"> </w:t>
      </w:r>
      <w:r>
        <w:t>network transmission and distribution services</w:t>
      </w:r>
      <w:r w:rsidR="00033B9E">
        <w:t>,</w:t>
      </w:r>
      <w:r w:rsidRPr="00F83A7B">
        <w:t xml:space="preserve"> </w:t>
      </w:r>
      <w:r w:rsidR="00B1698E">
        <w:t>and retail services</w:t>
      </w:r>
      <w:r w:rsidR="00033B9E">
        <w:t xml:space="preserve"> </w:t>
      </w:r>
      <w:r>
        <w:t>(figure </w:t>
      </w:r>
      <w:r w:rsidR="00112DE7">
        <w:t>2.1</w:t>
      </w:r>
      <w:r>
        <w:t>).</w:t>
      </w:r>
    </w:p>
    <w:p w:rsidR="00112DE7" w:rsidRDefault="00112DE7" w:rsidP="00112DE7">
      <w:pPr>
        <w:pStyle w:val="FigureTitle"/>
      </w:pPr>
      <w:r>
        <w:rPr>
          <w:b w:val="0"/>
        </w:rPr>
        <w:lastRenderedPageBreak/>
        <w:t xml:space="preserve">Figure </w:t>
      </w:r>
      <w:r w:rsidR="006E210A">
        <w:rPr>
          <w:b w:val="0"/>
        </w:rPr>
        <w:t>2.</w:t>
      </w:r>
      <w:r w:rsidR="00493C6B">
        <w:rPr>
          <w:b w:val="0"/>
          <w:noProof/>
        </w:rPr>
        <w:t>1</w:t>
      </w:r>
      <w:r>
        <w:tab/>
      </w:r>
      <w:r w:rsidRPr="00463746">
        <w:t xml:space="preserve">The </w:t>
      </w:r>
      <w:r>
        <w:t xml:space="preserve">structure of the </w:t>
      </w:r>
      <w:proofErr w:type="spellStart"/>
      <w:r w:rsidR="008D7E18">
        <w:t>NEM</w:t>
      </w:r>
      <w:proofErr w:type="spellEnd"/>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112DE7">
        <w:tc>
          <w:tcPr>
            <w:tcW w:w="8777" w:type="dxa"/>
          </w:tcPr>
          <w:p w:rsidR="00112DE7" w:rsidRDefault="00F729F4">
            <w:pPr>
              <w:pStyle w:val="Figure"/>
            </w:pPr>
            <w:r>
              <w:rPr>
                <w:noProof/>
              </w:rPr>
              <w:drawing>
                <wp:inline distT="0" distB="0" distL="0" distR="0" wp14:anchorId="13B50CE2" wp14:editId="23BBEA5C">
                  <wp:extent cx="5505450" cy="3816313"/>
                  <wp:effectExtent l="0" t="0" r="0" b="0"/>
                  <wp:docPr id="2" name="Picture 2" descr="The structure of the NEM. This figure shows the path of generated electricity to its end users in the National Electricity Mar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7323" cy="3817611"/>
                          </a:xfrm>
                          <a:prstGeom prst="rect">
                            <a:avLst/>
                          </a:prstGeom>
                          <a:noFill/>
                        </pic:spPr>
                      </pic:pic>
                    </a:graphicData>
                  </a:graphic>
                </wp:inline>
              </w:drawing>
            </w:r>
          </w:p>
        </w:tc>
      </w:tr>
    </w:tbl>
    <w:p w:rsidR="00112DE7" w:rsidRPr="00463746" w:rsidRDefault="00112DE7" w:rsidP="00112DE7">
      <w:pPr>
        <w:pStyle w:val="BodyText"/>
        <w:rPr>
          <w:rStyle w:val="NoteLabel"/>
          <w:b w:val="0"/>
        </w:rPr>
      </w:pPr>
      <w:r w:rsidRPr="00463746">
        <w:rPr>
          <w:rStyle w:val="NoteLabel"/>
          <w:b w:val="0"/>
          <w:i/>
        </w:rPr>
        <w:t>Data source</w:t>
      </w:r>
      <w:r w:rsidRPr="00463746">
        <w:rPr>
          <w:rStyle w:val="NoteLabel"/>
          <w:b w:val="0"/>
        </w:rPr>
        <w:t xml:space="preserve">: Based principally on </w:t>
      </w:r>
      <w:proofErr w:type="spellStart"/>
      <w:r w:rsidRPr="00463746">
        <w:rPr>
          <w:rStyle w:val="NoteLabel"/>
          <w:b w:val="0"/>
        </w:rPr>
        <w:t>Powercor</w:t>
      </w:r>
      <w:proofErr w:type="spellEnd"/>
      <w:r w:rsidRPr="00463746">
        <w:rPr>
          <w:rStyle w:val="NoteLabel"/>
          <w:b w:val="0"/>
        </w:rPr>
        <w:t xml:space="preserve"> (2006).</w:t>
      </w:r>
    </w:p>
    <w:p w:rsidR="00F83A7B" w:rsidRDefault="00F83A7B" w:rsidP="00F83A7B">
      <w:pPr>
        <w:pStyle w:val="Heading3"/>
      </w:pPr>
      <w:r>
        <w:t>The network</w:t>
      </w:r>
    </w:p>
    <w:p w:rsidR="00F83A7B" w:rsidRDefault="00F83A7B" w:rsidP="00F83A7B">
      <w:pPr>
        <w:pStyle w:val="BodyText"/>
      </w:pPr>
      <w:r w:rsidRPr="000A70E4">
        <w:t xml:space="preserve">The electricity network </w:t>
      </w:r>
      <w:r w:rsidRPr="005C772F">
        <w:t>(the focus of this inquiry)</w:t>
      </w:r>
      <w:r>
        <w:t xml:space="preserve"> is a massive transportation system that takes the power from generators and delivers it to an end user’s electricity switchboard. Simplifying, it comprises several parts:</w:t>
      </w:r>
    </w:p>
    <w:p w:rsidR="00F83A7B" w:rsidRDefault="00F83A7B" w:rsidP="00F83A7B">
      <w:pPr>
        <w:pStyle w:val="ListBullet"/>
      </w:pPr>
      <w:r>
        <w:t>transformers, which take the power from the generators and converts it to high voltage (which lowers transmission losses when power is transported over any significant distance)</w:t>
      </w:r>
    </w:p>
    <w:p w:rsidR="00F83A7B" w:rsidRDefault="00F83A7B" w:rsidP="00F83A7B">
      <w:pPr>
        <w:pStyle w:val="ListBullet"/>
      </w:pPr>
      <w:r>
        <w:t>high</w:t>
      </w:r>
      <w:r w:rsidR="00431641">
        <w:t>-</w:t>
      </w:r>
      <w:r>
        <w:t xml:space="preserve">voltage transmission lines — mainly strung overhead on steel lattice towers — that transport power over long distances. These include intra-regional lines and inter-regional lines (interconnectors). </w:t>
      </w:r>
    </w:p>
    <w:p w:rsidR="00F83A7B" w:rsidRDefault="00F83A7B" w:rsidP="00F83A7B">
      <w:pPr>
        <w:pStyle w:val="ListBullet"/>
      </w:pPr>
      <w:r>
        <w:t>substations that convert very high voltage to lower voltage</w:t>
      </w:r>
    </w:p>
    <w:p w:rsidR="00F83A7B" w:rsidRDefault="00F83A7B" w:rsidP="00F83A7B">
      <w:pPr>
        <w:pStyle w:val="ListBullet"/>
      </w:pPr>
      <w:r>
        <w:t>the myriad of lower</w:t>
      </w:r>
      <w:r>
        <w:noBreakHyphen/>
        <w:t>voltage substations, poles, trenches and wires that make up the distribution system — the ‘capillaries’ of the system — which distribute lower voltage power to multiple users in local areas</w:t>
      </w:r>
    </w:p>
    <w:p w:rsidR="00F83A7B" w:rsidRDefault="00F83A7B" w:rsidP="00F83A7B">
      <w:pPr>
        <w:pStyle w:val="ListBullet"/>
      </w:pPr>
      <w:r>
        <w:lastRenderedPageBreak/>
        <w:t>the provision and maintenance of certain services, such as street lighting</w:t>
      </w:r>
    </w:p>
    <w:p w:rsidR="00F83A7B" w:rsidRDefault="00F83A7B" w:rsidP="00F83A7B">
      <w:pPr>
        <w:pStyle w:val="ListBullet"/>
      </w:pPr>
      <w:r>
        <w:t>meters at the business or household that record electricity consumption and, in some cases, provide real time control of the delivery of power to customers, and provide information on time-of-use prices to customers and usage patterns to suppliers. While distributors are mainly responsible for metering equipment and associated services, there is some competition from other businesses (Metropolis 2011).</w:t>
      </w:r>
    </w:p>
    <w:p w:rsidR="00010D28" w:rsidRDefault="00F83A7B" w:rsidP="00F83A7B">
      <w:pPr>
        <w:pStyle w:val="BodyText"/>
      </w:pPr>
      <w:r>
        <w:t xml:space="preserve">Although the information technology systems to control the network are sophisticated (such as those deployed by </w:t>
      </w:r>
      <w:r w:rsidR="006912A0">
        <w:t xml:space="preserve">the </w:t>
      </w:r>
      <w:r>
        <w:t>A</w:t>
      </w:r>
      <w:r w:rsidR="006912A0">
        <w:t xml:space="preserve">ustralian </w:t>
      </w:r>
      <w:r>
        <w:t>E</w:t>
      </w:r>
      <w:r w:rsidR="006912A0">
        <w:t xml:space="preserve">nergy </w:t>
      </w:r>
      <w:r>
        <w:t>M</w:t>
      </w:r>
      <w:r w:rsidR="006912A0">
        <w:t xml:space="preserve">arket </w:t>
      </w:r>
      <w:r>
        <w:t>O</w:t>
      </w:r>
      <w:r w:rsidR="006912A0">
        <w:t>perator (</w:t>
      </w:r>
      <w:proofErr w:type="spellStart"/>
      <w:r w:rsidR="006912A0">
        <w:t>AEMO</w:t>
      </w:r>
      <w:proofErr w:type="spellEnd"/>
      <w:r w:rsidR="006912A0">
        <w:t>)</w:t>
      </w:r>
      <w:r>
        <w:t xml:space="preserve"> and network businesses), much of the </w:t>
      </w:r>
      <w:r w:rsidRPr="00183CD7">
        <w:rPr>
          <w:i/>
        </w:rPr>
        <w:t>costs</w:t>
      </w:r>
      <w:r>
        <w:t xml:space="preserve"> of the electricity network involve relatively mature technologies, such as trenches, poles and wires (a feature it shares with telecommunications). </w:t>
      </w:r>
      <w:r w:rsidR="007D5907">
        <w:t xml:space="preserve">The </w:t>
      </w:r>
      <w:r w:rsidR="00275F1F">
        <w:t>research and development</w:t>
      </w:r>
      <w:r w:rsidR="007D5907">
        <w:t xml:space="preserve"> undertaken by electricity networks was around $50 million in 2008</w:t>
      </w:r>
      <w:r w:rsidR="007D5907">
        <w:noBreakHyphen/>
        <w:t>09 (just a little more than in the log sawmilling and timber dressing industry) (ABS 2011</w:t>
      </w:r>
      <w:r w:rsidR="00FA0B6D">
        <w:t>a</w:t>
      </w:r>
      <w:r w:rsidR="007D5907">
        <w:t xml:space="preserve">). </w:t>
      </w:r>
    </w:p>
    <w:p w:rsidR="005A7299" w:rsidRDefault="007655A7" w:rsidP="007655A7">
      <w:pPr>
        <w:pStyle w:val="Heading4"/>
      </w:pPr>
      <w:r>
        <w:t>Regulatory arrangements for networks</w:t>
      </w:r>
    </w:p>
    <w:p w:rsidR="005A7299" w:rsidRDefault="007655A7" w:rsidP="007655A7">
      <w:pPr>
        <w:pStyle w:val="BodyText"/>
      </w:pPr>
      <w:r>
        <w:t>The regulatory arrangements for networks are highly complex.</w:t>
      </w:r>
      <w:r w:rsidR="0056117A">
        <w:t xml:space="preserve"> (</w:t>
      </w:r>
      <w:r w:rsidR="00D0440C">
        <w:t>The A</w:t>
      </w:r>
      <w:r w:rsidR="00C61031">
        <w:t xml:space="preserve">ustralian </w:t>
      </w:r>
      <w:r w:rsidR="00D0440C">
        <w:t>E</w:t>
      </w:r>
      <w:r w:rsidR="00C61031">
        <w:t xml:space="preserve">nergy </w:t>
      </w:r>
      <w:r w:rsidR="00D0440C">
        <w:t>R</w:t>
      </w:r>
      <w:r w:rsidR="00C61031">
        <w:t>egulator (</w:t>
      </w:r>
      <w:proofErr w:type="spellStart"/>
      <w:r w:rsidR="00C61031">
        <w:t>AER</w:t>
      </w:r>
      <w:proofErr w:type="spellEnd"/>
      <w:r w:rsidR="00C61031">
        <w:t>)</w:t>
      </w:r>
      <w:r w:rsidR="00D0440C">
        <w:t xml:space="preserve"> </w:t>
      </w:r>
      <w:r w:rsidR="0056117A">
        <w:t>provides an accessible summary for readers of the key aspects of the regulatory framework</w:t>
      </w:r>
      <w:r w:rsidR="00D0440C">
        <w:t>.)</w:t>
      </w:r>
      <w:r w:rsidR="00D0440C">
        <w:rPr>
          <w:rStyle w:val="FootnoteReference"/>
        </w:rPr>
        <w:footnoteReference w:id="1"/>
      </w:r>
      <w:r w:rsidR="0056117A">
        <w:t xml:space="preserve"> </w:t>
      </w:r>
      <w:r w:rsidR="008D4B01">
        <w:t>The N</w:t>
      </w:r>
      <w:r w:rsidR="00F515F4">
        <w:t>ational Electricity Law</w:t>
      </w:r>
      <w:r w:rsidR="008D4B01">
        <w:t xml:space="preserve"> and the Rules set out </w:t>
      </w:r>
      <w:r w:rsidR="00C67C11">
        <w:t>the</w:t>
      </w:r>
      <w:r w:rsidR="0056117A">
        <w:t xml:space="preserve"> </w:t>
      </w:r>
      <w:proofErr w:type="spellStart"/>
      <w:r w:rsidR="0056117A">
        <w:t>NEM</w:t>
      </w:r>
      <w:proofErr w:type="spellEnd"/>
      <w:r w:rsidR="0056117A">
        <w:t xml:space="preserve">-wide </w:t>
      </w:r>
      <w:r w:rsidR="008D4B01">
        <w:t xml:space="preserve">arrangements for the </w:t>
      </w:r>
      <w:r>
        <w:t>economic regulation of networks</w:t>
      </w:r>
      <w:r w:rsidR="00F515F4">
        <w:t>. R</w:t>
      </w:r>
      <w:r w:rsidR="008F5390">
        <w:t>eliability standards</w:t>
      </w:r>
      <w:r w:rsidR="008D4B01">
        <w:t xml:space="preserve"> and planning are </w:t>
      </w:r>
      <w:r w:rsidR="00F515F4">
        <w:t xml:space="preserve">largely </w:t>
      </w:r>
      <w:r w:rsidR="008D4B01">
        <w:t>decentralised</w:t>
      </w:r>
      <w:r w:rsidR="002A1421">
        <w:t xml:space="preserve"> — and are overseen by the network businesses, state and territory regulators and their governments</w:t>
      </w:r>
      <w:r w:rsidR="008D4B01">
        <w:t>. Th</w:t>
      </w:r>
      <w:r w:rsidR="0056117A">
        <w:t>e</w:t>
      </w:r>
      <w:r w:rsidR="008D4B01">
        <w:t xml:space="preserve"> </w:t>
      </w:r>
      <w:r w:rsidR="0056117A">
        <w:t>r</w:t>
      </w:r>
      <w:r w:rsidR="008D4B01">
        <w:t>elevant aspects of these arrangements are discussed in the chapters that follow</w:t>
      </w:r>
      <w:r w:rsidR="0056117A">
        <w:t xml:space="preserve"> and are</w:t>
      </w:r>
      <w:r w:rsidR="002F167A">
        <w:t>,</w:t>
      </w:r>
      <w:r w:rsidR="0056117A">
        <w:t xml:space="preserve"> accordingly, not duplicated in this chapter</w:t>
      </w:r>
      <w:r w:rsidR="008D4B01">
        <w:t>. However,</w:t>
      </w:r>
      <w:r w:rsidR="0056117A" w:rsidRPr="0056117A">
        <w:t xml:space="preserve"> </w:t>
      </w:r>
      <w:r w:rsidR="0056117A">
        <w:t xml:space="preserve">most of the </w:t>
      </w:r>
      <w:r w:rsidR="00F515F4">
        <w:t xml:space="preserve">roughly </w:t>
      </w:r>
      <w:r w:rsidR="002A1421">
        <w:t>1300</w:t>
      </w:r>
      <w:r w:rsidR="0056117A">
        <w:t xml:space="preserve"> pages of the Rules have </w:t>
      </w:r>
      <w:r w:rsidR="009B1BE7">
        <w:t>little</w:t>
      </w:r>
      <w:r w:rsidR="0056117A">
        <w:t xml:space="preserve"> bearing on this inquiry</w:t>
      </w:r>
      <w:r w:rsidR="00431641">
        <w:t xml:space="preserve">, as they cover </w:t>
      </w:r>
      <w:r w:rsidR="009B1BE7" w:rsidRPr="009B1BE7">
        <w:t>market dispatch and financial settlement procedures, prudential requirements for market particip</w:t>
      </w:r>
      <w:r w:rsidR="009B1BE7">
        <w:t xml:space="preserve">ants, administrative functions, power system security, connection arrangements, </w:t>
      </w:r>
      <w:r w:rsidR="003B2BA5">
        <w:t xml:space="preserve">and </w:t>
      </w:r>
      <w:r w:rsidR="009B1BE7">
        <w:t>system standards,</w:t>
      </w:r>
      <w:r w:rsidR="003B2BA5">
        <w:t xml:space="preserve"> among other </w:t>
      </w:r>
      <w:r w:rsidR="002F167A">
        <w:t>matters</w:t>
      </w:r>
      <w:r w:rsidR="008D4B01">
        <w:t xml:space="preserve">. </w:t>
      </w:r>
    </w:p>
    <w:p w:rsidR="00175C07" w:rsidRDefault="00175C07" w:rsidP="00175C07">
      <w:pPr>
        <w:pStyle w:val="Heading3"/>
      </w:pPr>
      <w:r>
        <w:t>Generation and the spot market for electricity</w:t>
      </w:r>
    </w:p>
    <w:p w:rsidR="00175C07" w:rsidRDefault="00175C07" w:rsidP="00175C07">
      <w:pPr>
        <w:pStyle w:val="BodyText"/>
      </w:pPr>
      <w:r>
        <w:t xml:space="preserve">Most power in the </w:t>
      </w:r>
      <w:proofErr w:type="spellStart"/>
      <w:r>
        <w:t>NEM</w:t>
      </w:r>
      <w:proofErr w:type="spellEnd"/>
      <w:r>
        <w:t xml:space="preserve"> is generated using coal (80 per cent of output) or gas (12 per cent out of output) as their fuel source (</w:t>
      </w:r>
      <w:proofErr w:type="spellStart"/>
      <w:r>
        <w:t>AER</w:t>
      </w:r>
      <w:proofErr w:type="spellEnd"/>
      <w:r>
        <w:t xml:space="preserve"> </w:t>
      </w:r>
      <w:proofErr w:type="spellStart"/>
      <w:r>
        <w:t>2011</w:t>
      </w:r>
      <w:r w:rsidR="00E125C2">
        <w:t>b</w:t>
      </w:r>
      <w:proofErr w:type="spellEnd"/>
      <w:r>
        <w:t xml:space="preserve">, p. 27). However, the renewable energy target and carbon pricing </w:t>
      </w:r>
      <w:r w:rsidR="00BB31CE">
        <w:t xml:space="preserve">are designed to encourage investment in </w:t>
      </w:r>
      <w:r>
        <w:t xml:space="preserve">more diverse sources of generation. While only accounting for 4 per cent of current power capacity (and 3 per cent of output) in 2011, wind generation is an </w:t>
      </w:r>
      <w:r>
        <w:lastRenderedPageBreak/>
        <w:t>increasingly important source of power</w:t>
      </w:r>
      <w:r w:rsidR="00B52A7F">
        <w:t xml:space="preserve"> (figure 2.2)</w:t>
      </w:r>
      <w:r>
        <w:t>. Wind generation accounted for around two thirds of investment in new installed (summer) capacity in 2010</w:t>
      </w:r>
      <w:r>
        <w:noBreakHyphen/>
        <w:t xml:space="preserve">11, around 45 per cent of the new capacity associated with committed investment in June 2011 and 65 per cent of capacity in publicly announced projects (table 2.1). In South Australia, wind accounts for nearly one quarter of </w:t>
      </w:r>
      <w:r w:rsidR="00BB31CE">
        <w:t xml:space="preserve">nameplate </w:t>
      </w:r>
      <w:r>
        <w:t>capacity and has sometimes accounted for around 85 per cent of output</w:t>
      </w:r>
      <w:r w:rsidR="00982FEE">
        <w:t xml:space="preserve"> (</w:t>
      </w:r>
      <w:r w:rsidR="00C0030A">
        <w:t xml:space="preserve">but its overall contribution to energy output </w:t>
      </w:r>
      <w:r w:rsidR="007D619E">
        <w:t>in that S</w:t>
      </w:r>
      <w:r w:rsidR="00B52A7F">
        <w:t xml:space="preserve">tate </w:t>
      </w:r>
      <w:r w:rsidR="00C0030A">
        <w:t>is around 20 per cent)</w:t>
      </w:r>
      <w:r>
        <w:t>.</w:t>
      </w:r>
      <w:r w:rsidR="002E0F2F">
        <w:rPr>
          <w:rStyle w:val="FootnoteReference"/>
        </w:rPr>
        <w:footnoteReference w:id="2"/>
      </w:r>
      <w:r>
        <w:t xml:space="preserve"> In contrast to the burgeoning role of wind generation, little new hydro capacity has been installed in the last decade, with similar future prospects. (However, existing hydro-electricity plants are important sources of power in Tasmania, Victoria and N</w:t>
      </w:r>
      <w:r w:rsidR="00C61031">
        <w:t>ew </w:t>
      </w:r>
      <w:r>
        <w:t>S</w:t>
      </w:r>
      <w:r w:rsidR="00C61031">
        <w:t>outh </w:t>
      </w:r>
      <w:r>
        <w:t>W</w:t>
      </w:r>
      <w:r w:rsidR="00C61031">
        <w:t>ales</w:t>
      </w:r>
      <w:r>
        <w:t xml:space="preserve">.) </w:t>
      </w:r>
      <w:r w:rsidR="00D117B1" w:rsidRPr="00D117B1">
        <w:t>In 2010</w:t>
      </w:r>
      <w:r w:rsidR="00124E9E">
        <w:noBreakHyphen/>
      </w:r>
      <w:r w:rsidR="00D117B1" w:rsidRPr="00D117B1">
        <w:t>11</w:t>
      </w:r>
      <w:r w:rsidR="00D117B1">
        <w:t>, s</w:t>
      </w:r>
      <w:r w:rsidR="00D117B1" w:rsidRPr="00D117B1">
        <w:t xml:space="preserve">olar </w:t>
      </w:r>
      <w:r w:rsidR="00D117B1">
        <w:t xml:space="preserve">generation </w:t>
      </w:r>
      <w:r w:rsidR="00D117B1" w:rsidRPr="00D117B1">
        <w:t>provide</w:t>
      </w:r>
      <w:r w:rsidR="00D117B1">
        <w:t>d</w:t>
      </w:r>
      <w:r w:rsidR="00D117B1" w:rsidRPr="00D117B1">
        <w:t xml:space="preserve"> 850 </w:t>
      </w:r>
      <w:proofErr w:type="spellStart"/>
      <w:r w:rsidR="00D117B1" w:rsidRPr="00D117B1">
        <w:t>GWh</w:t>
      </w:r>
      <w:proofErr w:type="spellEnd"/>
      <w:r w:rsidR="00D117B1" w:rsidRPr="00D117B1">
        <w:t xml:space="preserve"> of </w:t>
      </w:r>
      <w:r w:rsidR="00D117B1">
        <w:t>energy output</w:t>
      </w:r>
      <w:r w:rsidR="00D117B1" w:rsidRPr="00D117B1">
        <w:t>, or 0.34</w:t>
      </w:r>
      <w:r w:rsidR="00D117B1">
        <w:t> per cent</w:t>
      </w:r>
      <w:r w:rsidR="00D117B1" w:rsidRPr="00D117B1">
        <w:t xml:space="preserve"> of Australia’s total generation </w:t>
      </w:r>
      <w:r w:rsidR="00D117B1">
        <w:t xml:space="preserve">output </w:t>
      </w:r>
      <w:r w:rsidR="00D117B1" w:rsidRPr="00D117B1">
        <w:t>in this period</w:t>
      </w:r>
      <w:r w:rsidR="003D6CE0">
        <w:t xml:space="preserve"> (</w:t>
      </w:r>
      <w:proofErr w:type="spellStart"/>
      <w:r w:rsidR="003D6CE0">
        <w:t>BREE</w:t>
      </w:r>
      <w:proofErr w:type="spellEnd"/>
      <w:r w:rsidR="003D6CE0">
        <w:t xml:space="preserve"> 2012)</w:t>
      </w:r>
      <w:r w:rsidR="00D117B1" w:rsidRPr="00D117B1">
        <w:t>.</w:t>
      </w:r>
    </w:p>
    <w:p w:rsidR="008E7F4D" w:rsidRDefault="008E7F4D">
      <w:pPr>
        <w:pStyle w:val="FigureTitle"/>
      </w:pPr>
      <w:r>
        <w:rPr>
          <w:b w:val="0"/>
        </w:rPr>
        <w:t>Figure 2.</w:t>
      </w:r>
      <w:r w:rsidR="00493C6B">
        <w:rPr>
          <w:b w:val="0"/>
          <w:noProof/>
        </w:rPr>
        <w:t>2</w:t>
      </w:r>
      <w:r>
        <w:tab/>
      </w:r>
      <w:r w:rsidR="007F3345">
        <w:t>Growth in generation by fuel type</w:t>
      </w:r>
    </w:p>
    <w:p w:rsidR="008E7F4D" w:rsidRDefault="007F3345">
      <w:pPr>
        <w:pStyle w:val="Subtitle"/>
      </w:pPr>
      <w:r>
        <w:t>1989</w:t>
      </w:r>
      <w:r>
        <w:noBreakHyphen/>
        <w:t>90 to 2010</w:t>
      </w:r>
      <w:r>
        <w:noBreakHyphen/>
        <w:t>11</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8E7F4D">
        <w:tc>
          <w:tcPr>
            <w:tcW w:w="8777" w:type="dxa"/>
          </w:tcPr>
          <w:p w:rsidR="008E7F4D" w:rsidRDefault="008E7F4D">
            <w:pPr>
              <w:pStyle w:val="Figure"/>
            </w:pPr>
            <w:r>
              <w:rPr>
                <w:noProof/>
              </w:rPr>
              <w:drawing>
                <wp:inline distT="0" distB="0" distL="0" distR="0" wp14:anchorId="7B1A7DFF" wp14:editId="426090C7">
                  <wp:extent cx="5462546" cy="3170402"/>
                  <wp:effectExtent l="0" t="0" r="5080" b="0"/>
                  <wp:docPr id="104" name="Picture 104" descr="Growth in generation by fuel type. This figure shows how generation sources have changed over time, by fuel type. While generators using black coal, brown coal and natural gas are by far the most important sources of power, wind generation has exhibited the highest growth rates in the last few y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5017" cy="3171836"/>
                          </a:xfrm>
                          <a:prstGeom prst="rect">
                            <a:avLst/>
                          </a:prstGeom>
                          <a:noFill/>
                        </pic:spPr>
                      </pic:pic>
                    </a:graphicData>
                  </a:graphic>
                </wp:inline>
              </w:drawing>
            </w:r>
          </w:p>
        </w:tc>
      </w:tr>
    </w:tbl>
    <w:p w:rsidR="008E7F4D" w:rsidRDefault="008E7F4D">
      <w:pPr>
        <w:pStyle w:val="Source"/>
      </w:pPr>
      <w:r>
        <w:rPr>
          <w:i/>
        </w:rPr>
        <w:t>Data source</w:t>
      </w:r>
      <w:r w:rsidR="007F3345">
        <w:t xml:space="preserve">: </w:t>
      </w:r>
      <w:proofErr w:type="spellStart"/>
      <w:r w:rsidR="007926E3">
        <w:t>BREE</w:t>
      </w:r>
      <w:proofErr w:type="spellEnd"/>
      <w:r w:rsidR="007926E3">
        <w:t xml:space="preserve"> </w:t>
      </w:r>
      <w:r w:rsidR="002F167A">
        <w:t>(</w:t>
      </w:r>
      <w:r w:rsidR="007926E3">
        <w:t>2012</w:t>
      </w:r>
      <w:r w:rsidR="002F167A">
        <w:t>)</w:t>
      </w:r>
      <w:r w:rsidR="003E3F52">
        <w:t>.</w:t>
      </w:r>
    </w:p>
    <w:p w:rsidR="007E22F5" w:rsidRDefault="007E22F5" w:rsidP="007E22F5">
      <w:pPr>
        <w:pStyle w:val="BodyText"/>
      </w:pPr>
      <w:r>
        <w:t xml:space="preserve">The greater diversity of generation has several implications for the electricity network. Much of the existing transmission infrastructure is close to the raw materials used to power conventional generators (such as the coal reserves in Latrobe Valley and the Hunter Valley, and the rainfall and topography of the Snowy Mountains). That means that new transmission infrastructure may be required to connect renewables generators to the grid, sometimes across state boundaries. That </w:t>
      </w:r>
      <w:r>
        <w:lastRenderedPageBreak/>
        <w:t>then raises the issue of the best arrangements for regulating interconnectors (and likewise transmission generally — chapters </w:t>
      </w:r>
      <w:r>
        <w:rPr>
          <w:highlight w:val="yellow"/>
        </w:rPr>
        <w:t>17</w:t>
      </w:r>
      <w:r w:rsidR="006B247F">
        <w:t xml:space="preserve"> to </w:t>
      </w:r>
      <w:r>
        <w:t>20). An associated issue is that while entry barriers to new generation are lower, incumbent generators may sometimes wield market power, affecting whether and where network businesses build new transmission lines.</w:t>
      </w:r>
    </w:p>
    <w:p w:rsidR="00175C07" w:rsidRDefault="00175C07" w:rsidP="00175C07">
      <w:pPr>
        <w:pStyle w:val="TableTitle"/>
      </w:pPr>
      <w:r>
        <w:rPr>
          <w:b w:val="0"/>
        </w:rPr>
        <w:t xml:space="preserve">Table </w:t>
      </w:r>
      <w:r w:rsidR="006E210A">
        <w:rPr>
          <w:b w:val="0"/>
        </w:rPr>
        <w:t>2.</w:t>
      </w:r>
      <w:r w:rsidR="00493C6B">
        <w:rPr>
          <w:b w:val="0"/>
          <w:noProof/>
        </w:rPr>
        <w:t>1</w:t>
      </w:r>
      <w:r>
        <w:tab/>
        <w:t>Investment in generation: installed and anticipated</w:t>
      </w:r>
    </w:p>
    <w:p w:rsidR="00175C07" w:rsidRDefault="00175C07" w:rsidP="00175C07">
      <w:pPr>
        <w:pStyle w:val="Subtitle"/>
      </w:pPr>
      <w:r>
        <w:t>Share of nameplate capacity by investment category</w:t>
      </w:r>
      <w:r w:rsidRPr="00327CAC">
        <w:rPr>
          <w:rStyle w:val="NoteLabel"/>
        </w:rPr>
        <w:t>a</w:t>
      </w:r>
    </w:p>
    <w:tbl>
      <w:tblPr>
        <w:tblW w:w="8789" w:type="dxa"/>
        <w:tblInd w:w="108" w:type="dxa"/>
        <w:tblLook w:val="04A0" w:firstRow="1" w:lastRow="0" w:firstColumn="1" w:lastColumn="0" w:noHBand="0" w:noVBand="1"/>
      </w:tblPr>
      <w:tblGrid>
        <w:gridCol w:w="2197"/>
        <w:gridCol w:w="2197"/>
        <w:gridCol w:w="2197"/>
        <w:gridCol w:w="2198"/>
      </w:tblGrid>
      <w:tr w:rsidR="00175C07" w:rsidRPr="00B4733A" w:rsidTr="009958E7">
        <w:trPr>
          <w:trHeight w:val="300"/>
        </w:trPr>
        <w:tc>
          <w:tcPr>
            <w:tcW w:w="2197" w:type="dxa"/>
            <w:tcBorders>
              <w:top w:val="single" w:sz="6" w:space="0" w:color="auto"/>
              <w:left w:val="nil"/>
              <w:bottom w:val="single" w:sz="6" w:space="0" w:color="auto"/>
              <w:right w:val="nil"/>
            </w:tcBorders>
            <w:shd w:val="clear" w:color="auto" w:fill="auto"/>
            <w:noWrap/>
            <w:vAlign w:val="bottom"/>
            <w:hideMark/>
          </w:tcPr>
          <w:p w:rsidR="00175C07" w:rsidRPr="00B4733A" w:rsidRDefault="00175C07" w:rsidP="009958E7">
            <w:pPr>
              <w:pStyle w:val="TableColumnHeading"/>
              <w:jc w:val="left"/>
            </w:pPr>
            <w:r>
              <w:t>Fuel type</w:t>
            </w:r>
          </w:p>
        </w:tc>
        <w:tc>
          <w:tcPr>
            <w:tcW w:w="2197" w:type="dxa"/>
            <w:tcBorders>
              <w:top w:val="single" w:sz="6" w:space="0" w:color="auto"/>
              <w:left w:val="nil"/>
              <w:bottom w:val="single" w:sz="6" w:space="0" w:color="auto"/>
              <w:right w:val="nil"/>
            </w:tcBorders>
            <w:shd w:val="clear" w:color="auto" w:fill="auto"/>
            <w:noWrap/>
            <w:vAlign w:val="bottom"/>
            <w:hideMark/>
          </w:tcPr>
          <w:p w:rsidR="00175C07" w:rsidRPr="00B4733A" w:rsidRDefault="00175C07" w:rsidP="009958E7">
            <w:pPr>
              <w:pStyle w:val="TableColumnHeading"/>
            </w:pPr>
            <w:r w:rsidRPr="00B4733A">
              <w:t>Installed in 2010-11</w:t>
            </w:r>
          </w:p>
        </w:tc>
        <w:tc>
          <w:tcPr>
            <w:tcW w:w="2197" w:type="dxa"/>
            <w:tcBorders>
              <w:top w:val="single" w:sz="6" w:space="0" w:color="auto"/>
              <w:left w:val="nil"/>
              <w:bottom w:val="single" w:sz="6" w:space="0" w:color="auto"/>
              <w:right w:val="nil"/>
            </w:tcBorders>
            <w:shd w:val="clear" w:color="auto" w:fill="auto"/>
            <w:noWrap/>
            <w:vAlign w:val="bottom"/>
            <w:hideMark/>
          </w:tcPr>
          <w:p w:rsidR="00175C07" w:rsidRPr="00B4733A" w:rsidRDefault="00175C07" w:rsidP="009958E7">
            <w:pPr>
              <w:pStyle w:val="TableColumnHeading"/>
            </w:pPr>
            <w:r w:rsidRPr="00B4733A">
              <w:t>Announced</w:t>
            </w:r>
            <w:r>
              <w:t xml:space="preserve"> in 2011</w:t>
            </w:r>
          </w:p>
        </w:tc>
        <w:tc>
          <w:tcPr>
            <w:tcW w:w="2198" w:type="dxa"/>
            <w:tcBorders>
              <w:top w:val="single" w:sz="6" w:space="0" w:color="auto"/>
              <w:left w:val="nil"/>
              <w:bottom w:val="single" w:sz="6" w:space="0" w:color="auto"/>
              <w:right w:val="nil"/>
            </w:tcBorders>
            <w:shd w:val="clear" w:color="auto" w:fill="auto"/>
            <w:noWrap/>
            <w:vAlign w:val="bottom"/>
            <w:hideMark/>
          </w:tcPr>
          <w:p w:rsidR="00175C07" w:rsidRPr="00B4733A" w:rsidRDefault="00175C07" w:rsidP="009958E7">
            <w:pPr>
              <w:pStyle w:val="TableColumnHeading"/>
            </w:pPr>
            <w:r w:rsidRPr="00B4733A">
              <w:t>Committed</w:t>
            </w:r>
            <w:r>
              <w:t xml:space="preserve"> in 2011</w:t>
            </w:r>
          </w:p>
        </w:tc>
      </w:tr>
      <w:tr w:rsidR="00175C07" w:rsidRPr="00B4733A" w:rsidTr="009958E7">
        <w:trPr>
          <w:trHeight w:val="300"/>
        </w:trPr>
        <w:tc>
          <w:tcPr>
            <w:tcW w:w="2197" w:type="dxa"/>
            <w:tcBorders>
              <w:top w:val="single" w:sz="6" w:space="0" w:color="auto"/>
              <w:left w:val="nil"/>
              <w:bottom w:val="nil"/>
              <w:right w:val="nil"/>
            </w:tcBorders>
            <w:shd w:val="clear" w:color="auto" w:fill="auto"/>
            <w:noWrap/>
            <w:vAlign w:val="bottom"/>
            <w:hideMark/>
          </w:tcPr>
          <w:p w:rsidR="00175C07" w:rsidRPr="00B4733A" w:rsidRDefault="00175C07" w:rsidP="009958E7">
            <w:pPr>
              <w:pStyle w:val="TableUnitsRow"/>
              <w:jc w:val="left"/>
            </w:pPr>
          </w:p>
        </w:tc>
        <w:tc>
          <w:tcPr>
            <w:tcW w:w="2197" w:type="dxa"/>
            <w:tcBorders>
              <w:top w:val="single" w:sz="6" w:space="0" w:color="auto"/>
              <w:left w:val="nil"/>
              <w:bottom w:val="nil"/>
              <w:right w:val="nil"/>
            </w:tcBorders>
            <w:shd w:val="clear" w:color="auto" w:fill="auto"/>
            <w:noWrap/>
            <w:vAlign w:val="bottom"/>
            <w:hideMark/>
          </w:tcPr>
          <w:p w:rsidR="00175C07" w:rsidRPr="00B4733A" w:rsidRDefault="00175C07" w:rsidP="009958E7">
            <w:pPr>
              <w:pStyle w:val="TableBodyText"/>
            </w:pPr>
            <w:r w:rsidRPr="00B4733A">
              <w:t>%</w:t>
            </w:r>
          </w:p>
        </w:tc>
        <w:tc>
          <w:tcPr>
            <w:tcW w:w="2197" w:type="dxa"/>
            <w:tcBorders>
              <w:top w:val="single" w:sz="6" w:space="0" w:color="auto"/>
              <w:left w:val="nil"/>
              <w:bottom w:val="nil"/>
              <w:right w:val="nil"/>
            </w:tcBorders>
            <w:shd w:val="clear" w:color="auto" w:fill="auto"/>
            <w:noWrap/>
            <w:vAlign w:val="bottom"/>
            <w:hideMark/>
          </w:tcPr>
          <w:p w:rsidR="00175C07" w:rsidRPr="00B4733A" w:rsidRDefault="00175C07" w:rsidP="009958E7">
            <w:pPr>
              <w:pStyle w:val="TableBodyText"/>
            </w:pPr>
            <w:r w:rsidRPr="00B4733A">
              <w:t>%</w:t>
            </w:r>
          </w:p>
        </w:tc>
        <w:tc>
          <w:tcPr>
            <w:tcW w:w="2198" w:type="dxa"/>
            <w:tcBorders>
              <w:top w:val="single" w:sz="6" w:space="0" w:color="auto"/>
              <w:left w:val="nil"/>
              <w:bottom w:val="nil"/>
              <w:right w:val="nil"/>
            </w:tcBorders>
            <w:shd w:val="clear" w:color="auto" w:fill="auto"/>
            <w:noWrap/>
            <w:vAlign w:val="bottom"/>
            <w:hideMark/>
          </w:tcPr>
          <w:p w:rsidR="00175C07" w:rsidRPr="00B4733A" w:rsidRDefault="00175C07" w:rsidP="009958E7">
            <w:pPr>
              <w:pStyle w:val="TableBodyText"/>
            </w:pPr>
            <w:r w:rsidRPr="00B4733A">
              <w:t>%</w:t>
            </w:r>
          </w:p>
        </w:tc>
      </w:tr>
      <w:tr w:rsidR="00175C07" w:rsidRPr="00B4733A" w:rsidTr="009958E7">
        <w:trPr>
          <w:trHeight w:val="300"/>
        </w:trPr>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jc w:val="left"/>
            </w:pPr>
            <w:r w:rsidRPr="00B4733A">
              <w:t>Brown coal</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0.0</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4.1</w:t>
            </w:r>
          </w:p>
        </w:tc>
        <w:tc>
          <w:tcPr>
            <w:tcW w:w="2198"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0.0</w:t>
            </w:r>
          </w:p>
        </w:tc>
      </w:tr>
      <w:tr w:rsidR="00175C07" w:rsidRPr="00B4733A" w:rsidTr="009958E7">
        <w:trPr>
          <w:trHeight w:val="300"/>
        </w:trPr>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jc w:val="left"/>
            </w:pPr>
            <w:r w:rsidRPr="00B4733A">
              <w:t>Natural gas</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35.5</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26.8</w:t>
            </w:r>
          </w:p>
        </w:tc>
        <w:tc>
          <w:tcPr>
            <w:tcW w:w="2198"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43.7</w:t>
            </w:r>
          </w:p>
        </w:tc>
      </w:tr>
      <w:tr w:rsidR="00175C07" w:rsidRPr="00B4733A" w:rsidTr="009958E7">
        <w:trPr>
          <w:trHeight w:val="300"/>
        </w:trPr>
        <w:tc>
          <w:tcPr>
            <w:tcW w:w="2197" w:type="dxa"/>
            <w:tcBorders>
              <w:top w:val="nil"/>
              <w:left w:val="nil"/>
              <w:bottom w:val="nil"/>
              <w:right w:val="nil"/>
            </w:tcBorders>
            <w:shd w:val="clear" w:color="auto" w:fill="auto"/>
            <w:noWrap/>
            <w:vAlign w:val="bottom"/>
            <w:hideMark/>
          </w:tcPr>
          <w:p w:rsidR="00175C07" w:rsidRPr="00B4733A" w:rsidRDefault="002F167A" w:rsidP="009958E7">
            <w:pPr>
              <w:pStyle w:val="TableBodyText"/>
              <w:jc w:val="left"/>
            </w:pPr>
            <w:r>
              <w:t>Bagasse/black c</w:t>
            </w:r>
            <w:r w:rsidR="00175C07" w:rsidRPr="00B4733A">
              <w:t>oal</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0.0</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2.3</w:t>
            </w:r>
          </w:p>
        </w:tc>
        <w:tc>
          <w:tcPr>
            <w:tcW w:w="2198"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10.7</w:t>
            </w:r>
          </w:p>
        </w:tc>
      </w:tr>
      <w:tr w:rsidR="00175C07" w:rsidRPr="00B4733A" w:rsidTr="009958E7">
        <w:trPr>
          <w:trHeight w:val="300"/>
        </w:trPr>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jc w:val="left"/>
            </w:pPr>
            <w:r w:rsidRPr="00B4733A">
              <w:t>Geothermal</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0.0</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1.3</w:t>
            </w:r>
          </w:p>
        </w:tc>
        <w:tc>
          <w:tcPr>
            <w:tcW w:w="2198"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0.0</w:t>
            </w:r>
          </w:p>
        </w:tc>
      </w:tr>
      <w:tr w:rsidR="00175C07" w:rsidRPr="00B4733A" w:rsidTr="009958E7">
        <w:trPr>
          <w:trHeight w:val="300"/>
        </w:trPr>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jc w:val="left"/>
            </w:pPr>
            <w:r w:rsidRPr="00B4733A">
              <w:t>Solar</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0.0</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1.7</w:t>
            </w:r>
          </w:p>
        </w:tc>
        <w:tc>
          <w:tcPr>
            <w:tcW w:w="2198"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0.0</w:t>
            </w:r>
          </w:p>
        </w:tc>
      </w:tr>
      <w:tr w:rsidR="00175C07" w:rsidRPr="00B4733A" w:rsidTr="009958E7">
        <w:trPr>
          <w:trHeight w:val="300"/>
        </w:trPr>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jc w:val="left"/>
            </w:pPr>
            <w:r w:rsidRPr="00B4733A">
              <w:t>Hydro</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0.0</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0.1</w:t>
            </w:r>
          </w:p>
        </w:tc>
        <w:tc>
          <w:tcPr>
            <w:tcW w:w="2198"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0.0</w:t>
            </w:r>
          </w:p>
        </w:tc>
      </w:tr>
      <w:tr w:rsidR="00175C07" w:rsidRPr="00B4733A" w:rsidTr="009958E7">
        <w:trPr>
          <w:trHeight w:val="300"/>
        </w:trPr>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jc w:val="left"/>
            </w:pPr>
            <w:r w:rsidRPr="00B4733A">
              <w:t>Wind</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64.5</w:t>
            </w:r>
          </w:p>
        </w:tc>
        <w:tc>
          <w:tcPr>
            <w:tcW w:w="2197"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63.6</w:t>
            </w:r>
          </w:p>
        </w:tc>
        <w:tc>
          <w:tcPr>
            <w:tcW w:w="2198" w:type="dxa"/>
            <w:tcBorders>
              <w:top w:val="nil"/>
              <w:left w:val="nil"/>
              <w:bottom w:val="nil"/>
              <w:right w:val="nil"/>
            </w:tcBorders>
            <w:shd w:val="clear" w:color="auto" w:fill="auto"/>
            <w:noWrap/>
            <w:vAlign w:val="bottom"/>
            <w:hideMark/>
          </w:tcPr>
          <w:p w:rsidR="00175C07" w:rsidRPr="00B4733A" w:rsidRDefault="00175C07" w:rsidP="009958E7">
            <w:pPr>
              <w:pStyle w:val="TableBodyText"/>
            </w:pPr>
            <w:r w:rsidRPr="00B4733A">
              <w:t>45.4</w:t>
            </w:r>
          </w:p>
        </w:tc>
      </w:tr>
      <w:tr w:rsidR="00175C07" w:rsidRPr="00B4733A" w:rsidTr="009958E7">
        <w:trPr>
          <w:trHeight w:val="300"/>
        </w:trPr>
        <w:tc>
          <w:tcPr>
            <w:tcW w:w="2197" w:type="dxa"/>
            <w:tcBorders>
              <w:top w:val="nil"/>
              <w:left w:val="nil"/>
              <w:right w:val="nil"/>
            </w:tcBorders>
            <w:shd w:val="clear" w:color="auto" w:fill="auto"/>
            <w:noWrap/>
            <w:vAlign w:val="bottom"/>
            <w:hideMark/>
          </w:tcPr>
          <w:p w:rsidR="00175C07" w:rsidRPr="00B4733A" w:rsidRDefault="00175C07" w:rsidP="009958E7">
            <w:pPr>
              <w:pStyle w:val="TableBodyText"/>
              <w:jc w:val="left"/>
            </w:pPr>
            <w:r w:rsidRPr="00B4733A">
              <w:t>Methane</w:t>
            </w:r>
          </w:p>
        </w:tc>
        <w:tc>
          <w:tcPr>
            <w:tcW w:w="2197" w:type="dxa"/>
            <w:tcBorders>
              <w:top w:val="nil"/>
              <w:left w:val="nil"/>
              <w:right w:val="nil"/>
            </w:tcBorders>
            <w:shd w:val="clear" w:color="auto" w:fill="auto"/>
            <w:noWrap/>
            <w:vAlign w:val="bottom"/>
            <w:hideMark/>
          </w:tcPr>
          <w:p w:rsidR="00175C07" w:rsidRPr="00B4733A" w:rsidRDefault="00175C07" w:rsidP="009958E7">
            <w:pPr>
              <w:pStyle w:val="TableBodyText"/>
            </w:pPr>
            <w:r w:rsidRPr="00B4733A">
              <w:t>0.0</w:t>
            </w:r>
          </w:p>
        </w:tc>
        <w:tc>
          <w:tcPr>
            <w:tcW w:w="2197" w:type="dxa"/>
            <w:tcBorders>
              <w:top w:val="nil"/>
              <w:left w:val="nil"/>
              <w:right w:val="nil"/>
            </w:tcBorders>
            <w:shd w:val="clear" w:color="auto" w:fill="auto"/>
            <w:noWrap/>
            <w:vAlign w:val="bottom"/>
            <w:hideMark/>
          </w:tcPr>
          <w:p w:rsidR="00175C07" w:rsidRPr="00B4733A" w:rsidRDefault="00175C07" w:rsidP="009958E7">
            <w:pPr>
              <w:pStyle w:val="TableBodyText"/>
            </w:pPr>
            <w:r w:rsidRPr="00B4733A">
              <w:t>..</w:t>
            </w:r>
          </w:p>
        </w:tc>
        <w:tc>
          <w:tcPr>
            <w:tcW w:w="2198" w:type="dxa"/>
            <w:tcBorders>
              <w:top w:val="nil"/>
              <w:left w:val="nil"/>
              <w:right w:val="nil"/>
            </w:tcBorders>
            <w:shd w:val="clear" w:color="auto" w:fill="auto"/>
            <w:noWrap/>
            <w:vAlign w:val="bottom"/>
            <w:hideMark/>
          </w:tcPr>
          <w:p w:rsidR="00175C07" w:rsidRPr="00B4733A" w:rsidRDefault="00175C07" w:rsidP="009958E7">
            <w:pPr>
              <w:pStyle w:val="TableBodyText"/>
            </w:pPr>
            <w:r w:rsidRPr="00B4733A">
              <w:t>0.1</w:t>
            </w:r>
          </w:p>
        </w:tc>
      </w:tr>
      <w:tr w:rsidR="00175C07" w:rsidRPr="00B4733A" w:rsidTr="009958E7">
        <w:trPr>
          <w:trHeight w:val="300"/>
        </w:trPr>
        <w:tc>
          <w:tcPr>
            <w:tcW w:w="2197" w:type="dxa"/>
            <w:tcBorders>
              <w:top w:val="nil"/>
              <w:left w:val="nil"/>
              <w:bottom w:val="single" w:sz="6" w:space="0" w:color="auto"/>
              <w:right w:val="nil"/>
            </w:tcBorders>
            <w:shd w:val="clear" w:color="auto" w:fill="auto"/>
            <w:noWrap/>
            <w:vAlign w:val="bottom"/>
            <w:hideMark/>
          </w:tcPr>
          <w:p w:rsidR="00175C07" w:rsidRPr="00B4733A" w:rsidRDefault="00175C07" w:rsidP="009958E7">
            <w:pPr>
              <w:pStyle w:val="TableBodyText"/>
              <w:jc w:val="left"/>
            </w:pPr>
            <w:r w:rsidRPr="00B4733A">
              <w:t>Total</w:t>
            </w:r>
          </w:p>
        </w:tc>
        <w:tc>
          <w:tcPr>
            <w:tcW w:w="2197" w:type="dxa"/>
            <w:tcBorders>
              <w:top w:val="nil"/>
              <w:left w:val="nil"/>
              <w:bottom w:val="single" w:sz="6" w:space="0" w:color="auto"/>
              <w:right w:val="nil"/>
            </w:tcBorders>
            <w:shd w:val="clear" w:color="auto" w:fill="auto"/>
            <w:noWrap/>
            <w:vAlign w:val="bottom"/>
            <w:hideMark/>
          </w:tcPr>
          <w:p w:rsidR="00175C07" w:rsidRPr="00B4733A" w:rsidRDefault="00175C07" w:rsidP="009958E7">
            <w:pPr>
              <w:pStyle w:val="TableBodyText"/>
            </w:pPr>
            <w:r w:rsidRPr="00B4733A">
              <w:t>100.0</w:t>
            </w:r>
          </w:p>
        </w:tc>
        <w:tc>
          <w:tcPr>
            <w:tcW w:w="2197" w:type="dxa"/>
            <w:tcBorders>
              <w:top w:val="nil"/>
              <w:left w:val="nil"/>
              <w:bottom w:val="single" w:sz="6" w:space="0" w:color="auto"/>
              <w:right w:val="nil"/>
            </w:tcBorders>
            <w:shd w:val="clear" w:color="auto" w:fill="auto"/>
            <w:noWrap/>
            <w:vAlign w:val="bottom"/>
            <w:hideMark/>
          </w:tcPr>
          <w:p w:rsidR="00175C07" w:rsidRPr="00B4733A" w:rsidRDefault="00175C07" w:rsidP="009958E7">
            <w:pPr>
              <w:pStyle w:val="TableBodyText"/>
            </w:pPr>
            <w:r w:rsidRPr="00B4733A">
              <w:t>100.00</w:t>
            </w:r>
          </w:p>
        </w:tc>
        <w:tc>
          <w:tcPr>
            <w:tcW w:w="2198" w:type="dxa"/>
            <w:tcBorders>
              <w:top w:val="nil"/>
              <w:left w:val="nil"/>
              <w:bottom w:val="single" w:sz="6" w:space="0" w:color="auto"/>
              <w:right w:val="nil"/>
            </w:tcBorders>
            <w:shd w:val="clear" w:color="auto" w:fill="auto"/>
            <w:noWrap/>
            <w:vAlign w:val="bottom"/>
            <w:hideMark/>
          </w:tcPr>
          <w:p w:rsidR="00175C07" w:rsidRPr="00B4733A" w:rsidRDefault="00175C07" w:rsidP="009958E7">
            <w:pPr>
              <w:pStyle w:val="TableBodyText"/>
            </w:pPr>
            <w:r w:rsidRPr="00B4733A">
              <w:t>100.00</w:t>
            </w:r>
          </w:p>
        </w:tc>
      </w:tr>
    </w:tbl>
    <w:p w:rsidR="00175C07" w:rsidRDefault="00175C07" w:rsidP="00175C07">
      <w:pPr>
        <w:pStyle w:val="Note"/>
      </w:pPr>
      <w:r w:rsidRPr="008B0625">
        <w:rPr>
          <w:rStyle w:val="NoteLabel"/>
        </w:rPr>
        <w:t>a</w:t>
      </w:r>
      <w:r>
        <w:rPr>
          <w:rFonts w:cs="Arial"/>
        </w:rPr>
        <w:t xml:space="preserve"> </w:t>
      </w:r>
      <w:r>
        <w:t xml:space="preserve">Where a range of nameplate capacity (MW) was provided in the data, the lowest value was used. A generation investment is categorised as ‘committed’ by </w:t>
      </w:r>
      <w:proofErr w:type="spellStart"/>
      <w:r>
        <w:t>AEMO</w:t>
      </w:r>
      <w:proofErr w:type="spellEnd"/>
      <w:r>
        <w:t xml:space="preserve"> if most of the [pre-conditions for future investment are in place (such as finance, land purchase, and contracts to build). Announced projects are ones that have a lesser degree of certainty, but an intention to build has been publicly made.</w:t>
      </w:r>
    </w:p>
    <w:p w:rsidR="00175C07" w:rsidRDefault="00175C07" w:rsidP="00175C07">
      <w:pPr>
        <w:pStyle w:val="Source"/>
      </w:pPr>
      <w:r>
        <w:rPr>
          <w:i/>
        </w:rPr>
        <w:t>Source</w:t>
      </w:r>
      <w:r w:rsidR="00DD213F">
        <w:rPr>
          <w:i/>
        </w:rPr>
        <w:t>s</w:t>
      </w:r>
      <w:r>
        <w:t xml:space="preserve">: </w:t>
      </w:r>
      <w:proofErr w:type="spellStart"/>
      <w:r>
        <w:t>AEMO</w:t>
      </w:r>
      <w:proofErr w:type="spellEnd"/>
      <w:r>
        <w:t xml:space="preserve"> </w:t>
      </w:r>
      <w:r w:rsidR="00DD213F">
        <w:t>(</w:t>
      </w:r>
      <w:proofErr w:type="spellStart"/>
      <w:r>
        <w:t>2011</w:t>
      </w:r>
      <w:r w:rsidR="00E125C2">
        <w:t>a</w:t>
      </w:r>
      <w:proofErr w:type="spellEnd"/>
      <w:r w:rsidR="00DD213F">
        <w:t>);</w:t>
      </w:r>
      <w:r>
        <w:t xml:space="preserve"> </w:t>
      </w:r>
      <w:proofErr w:type="spellStart"/>
      <w:r>
        <w:t>AER</w:t>
      </w:r>
      <w:proofErr w:type="spellEnd"/>
      <w:r>
        <w:t xml:space="preserve"> </w:t>
      </w:r>
      <w:r w:rsidR="00DD213F">
        <w:t>(</w:t>
      </w:r>
      <w:proofErr w:type="spellStart"/>
      <w:r>
        <w:t>2011</w:t>
      </w:r>
      <w:r w:rsidR="00E125C2">
        <w:t>b</w:t>
      </w:r>
      <w:proofErr w:type="spellEnd"/>
      <w:r w:rsidR="00627F0A">
        <w:t>, p. 44</w:t>
      </w:r>
      <w:r w:rsidR="00DD213F">
        <w:t>)</w:t>
      </w:r>
      <w:r>
        <w:t>.</w:t>
      </w:r>
    </w:p>
    <w:p w:rsidR="00572DD7" w:rsidRDefault="00572DD7" w:rsidP="00572DD7">
      <w:pPr>
        <w:pStyle w:val="BodyText"/>
      </w:pPr>
      <w:r>
        <w:t xml:space="preserve">The price of wholesale electricity is determined in a spot market in which demand and supply are constantly matched. Every five minutes, generators bid to supply a given quantity of power. With a few exceptions, all power supplied to the grid must be supplied through the wholesale spot market. </w:t>
      </w:r>
      <w:proofErr w:type="spellStart"/>
      <w:r>
        <w:t>AEMO</w:t>
      </w:r>
      <w:proofErr w:type="spellEnd"/>
      <w:r>
        <w:t xml:space="preserve"> chooses the combination of offers that minimises the cost of supplying power, taking account of generation marginal costs, losses due to electrical resistance and heating of conductors along the transmission lines (transmission loss), and whether there is congestion on the relevant transmission lines. In meeting a given amount of demand, </w:t>
      </w:r>
      <w:proofErr w:type="spellStart"/>
      <w:r>
        <w:t>AEMO</w:t>
      </w:r>
      <w:proofErr w:type="spellEnd"/>
      <w:r>
        <w:t xml:space="preserve"> despatches the lowest </w:t>
      </w:r>
      <w:r w:rsidR="0037068E">
        <w:t xml:space="preserve">priced bids of </w:t>
      </w:r>
      <w:r>
        <w:t>power first (typically that of a large coal-powered generator that must run for 24 hours a day), meeting residual demand with increasingly costly power. During peak demand periods or where there are significant outages, that residual power is supplied by switching on high-cost ‘peaking’ plants — usually gas turbines burning natural gas. Some generators are built only for extreme events, such as heat wave conditions, and may be idle for all bar a few hours a year.</w:t>
      </w:r>
    </w:p>
    <w:p w:rsidR="00572DD7" w:rsidRDefault="00FB6B16" w:rsidP="00572DD7">
      <w:pPr>
        <w:pStyle w:val="BodyText"/>
      </w:pPr>
      <w:r>
        <w:t xml:space="preserve">The marginal cost of the last (highest </w:t>
      </w:r>
      <w:r w:rsidR="0037068E">
        <w:t>priced</w:t>
      </w:r>
      <w:r>
        <w:t xml:space="preserve">) megawatt of electricity despatched by </w:t>
      </w:r>
      <w:proofErr w:type="spellStart"/>
      <w:r>
        <w:t>AEMO</w:t>
      </w:r>
      <w:proofErr w:type="spellEnd"/>
      <w:r>
        <w:t xml:space="preserve"> determines t</w:t>
      </w:r>
      <w:r w:rsidR="00572DD7">
        <w:t xml:space="preserve">he spot price. All generators receive the same spot price for </w:t>
      </w:r>
      <w:r w:rsidR="00572DD7">
        <w:lastRenderedPageBreak/>
        <w:t xml:space="preserve">their despatched power, regardless of their bid price. Accordingly, a low bidder will </w:t>
      </w:r>
      <w:r w:rsidR="0037068E">
        <w:t xml:space="preserve">typically </w:t>
      </w:r>
      <w:r w:rsidR="00572DD7">
        <w:t xml:space="preserve">receive revenue well above the marginal cost of their despatched power. Such a premium is required to provide an ex ante incentive for investment in generators, though changes in demand, fuel costs and competitive technologies mean that ex post a generator may either receive more or less than was needed to justify the initial investment. </w:t>
      </w:r>
    </w:p>
    <w:p w:rsidR="00572DD7" w:rsidRDefault="00572DD7" w:rsidP="00572DD7">
      <w:pPr>
        <w:pStyle w:val="BodyText"/>
      </w:pPr>
      <w:proofErr w:type="spellStart"/>
      <w:r>
        <w:t>AEMO</w:t>
      </w:r>
      <w:proofErr w:type="spellEnd"/>
      <w:r>
        <w:t xml:space="preserve"> sets a spot price floor (-$1000</w:t>
      </w:r>
      <w:r w:rsidR="00EE5A76">
        <w:t> per </w:t>
      </w:r>
      <w:proofErr w:type="spellStart"/>
      <w:r w:rsidR="00EE5A76">
        <w:t>MWh</w:t>
      </w:r>
      <w:proofErr w:type="spellEnd"/>
      <w:r>
        <w:t>) and ceiling ($12 </w:t>
      </w:r>
      <w:r w:rsidR="00F74670">
        <w:t>9</w:t>
      </w:r>
      <w:r>
        <w:t>00</w:t>
      </w:r>
      <w:r w:rsidR="00EE5A76">
        <w:t> per </w:t>
      </w:r>
      <w:proofErr w:type="spellStart"/>
      <w:r w:rsidR="00EE5A76">
        <w:t>MWh</w:t>
      </w:r>
      <w:proofErr w:type="spellEnd"/>
      <w:r>
        <w:t>).</w:t>
      </w:r>
      <w:r w:rsidR="00F74670">
        <w:rPr>
          <w:rStyle w:val="FootnoteReference"/>
        </w:rPr>
        <w:footnoteReference w:id="3"/>
      </w:r>
      <w:r>
        <w:t xml:space="preserve"> The former is required because it can be costly to turn a generator off, so that a generator may want to guarantee despatch by bidding at negative prices (</w:t>
      </w:r>
      <w:r w:rsidR="00C67C11">
        <w:t>al</w:t>
      </w:r>
      <w:r>
        <w:t>though this feature also has some unintended impacts as discussed in chapter </w:t>
      </w:r>
      <w:r w:rsidR="00494616">
        <w:t>18</w:t>
      </w:r>
      <w:r>
        <w:t>). The latter is required because demand is very unresponsive to price over the very short run (due to the way in which prices are signalled to customers and their capacity to respond to them). Without a price ceiling, prices would rise astronomically during extreme peak load events or times of reduced base load capacity (Frontier Economics 2010</w:t>
      </w:r>
      <w:r w:rsidR="004B75CC">
        <w:t>a</w:t>
      </w:r>
      <w:r>
        <w:t xml:space="preserve">), as would wholesale electricity costs. There is some concern that a large generator could use transient market power to withhold enough low-cost base load output to raise market prices for the residual amount of power it provides. </w:t>
      </w:r>
      <w:r w:rsidR="00EE5A76">
        <w:t>The ceiling</w:t>
      </w:r>
      <w:r>
        <w:t xml:space="preserve"> places a limit on that capacity</w:t>
      </w:r>
      <w:r w:rsidR="00EE5A76">
        <w:t>.</w:t>
      </w:r>
      <w:r>
        <w:rPr>
          <w:rStyle w:val="FootnoteReference"/>
        </w:rPr>
        <w:footnoteReference w:id="4"/>
      </w:r>
      <w:r w:rsidR="00EE5A76">
        <w:t xml:space="preserve"> There is a further safeguard provision that limits the price to $300 per </w:t>
      </w:r>
      <w:proofErr w:type="spellStart"/>
      <w:r w:rsidR="00EE5A76">
        <w:t>M</w:t>
      </w:r>
      <w:r w:rsidR="008A1FFC">
        <w:t>W</w:t>
      </w:r>
      <w:r w:rsidR="00CB3665">
        <w:t>h</w:t>
      </w:r>
      <w:proofErr w:type="spellEnd"/>
      <w:r w:rsidR="00CB3665">
        <w:t xml:space="preserve"> (the </w:t>
      </w:r>
      <w:r w:rsidR="00EE5A76">
        <w:t>administered floor price)</w:t>
      </w:r>
      <w:r w:rsidR="00124E9E" w:rsidRPr="00124E9E">
        <w:t xml:space="preserve"> </w:t>
      </w:r>
      <w:r w:rsidR="00124E9E">
        <w:t>if high spot prices are sustained</w:t>
      </w:r>
      <w:r w:rsidR="00EE5A76">
        <w:t>.</w:t>
      </w:r>
      <w:r w:rsidR="00EE5A76">
        <w:rPr>
          <w:rStyle w:val="FootnoteReference"/>
        </w:rPr>
        <w:footnoteReference w:id="5"/>
      </w:r>
      <w:r w:rsidR="00EE5A76">
        <w:t xml:space="preserve"> </w:t>
      </w:r>
    </w:p>
    <w:p w:rsidR="00175C07" w:rsidRDefault="00175C07" w:rsidP="00175C07">
      <w:pPr>
        <w:pStyle w:val="Heading3"/>
      </w:pPr>
      <w:r>
        <w:t>Retailing</w:t>
      </w:r>
    </w:p>
    <w:p w:rsidR="00C674AD" w:rsidRDefault="00175C07" w:rsidP="00135086">
      <w:pPr>
        <w:pStyle w:val="BodyText"/>
      </w:pPr>
      <w:r w:rsidRPr="000A70E4">
        <w:t xml:space="preserve">The </w:t>
      </w:r>
      <w:r w:rsidR="00BA3906">
        <w:t>other</w:t>
      </w:r>
      <w:r w:rsidRPr="000A70E4">
        <w:t xml:space="preserve"> major </w:t>
      </w:r>
      <w:r>
        <w:t>segment</w:t>
      </w:r>
      <w:r w:rsidRPr="000A70E4">
        <w:t xml:space="preserve"> of the system — retailers — </w:t>
      </w:r>
      <w:r>
        <w:t>purchase</w:t>
      </w:r>
      <w:r w:rsidRPr="000A70E4">
        <w:t xml:space="preserve"> electricity </w:t>
      </w:r>
      <w:r>
        <w:t xml:space="preserve">from the national market, pay access fees to networks, </w:t>
      </w:r>
      <w:r w:rsidRPr="007C0916">
        <w:t xml:space="preserve">and sell </w:t>
      </w:r>
      <w:r>
        <w:t>power</w:t>
      </w:r>
      <w:r w:rsidRPr="007C0916">
        <w:t xml:space="preserve"> to end users. </w:t>
      </w:r>
      <w:r>
        <w:t xml:space="preserve">They manage billing, develop packages of services tailored for different customers and, through various risk management techniques, insure final customers against volatile electricity spot prices. </w:t>
      </w:r>
    </w:p>
    <w:p w:rsidR="00155C7B" w:rsidRDefault="00714202" w:rsidP="00175C07">
      <w:pPr>
        <w:pStyle w:val="BodyText"/>
      </w:pPr>
      <w:r>
        <w:t xml:space="preserve">In contrast to network services, there is a genuine capacity for entry into retailing, and therefore greater scope for effective competition. Customers are able to choose </w:t>
      </w:r>
      <w:r>
        <w:lastRenderedPageBreak/>
        <w:t>their own retailers (</w:t>
      </w:r>
      <w:r w:rsidR="00555120">
        <w:t>‘</w:t>
      </w:r>
      <w:r>
        <w:t>full retail contestability</w:t>
      </w:r>
      <w:r w:rsidR="00555120">
        <w:t>’</w:t>
      </w:r>
      <w:r>
        <w:t xml:space="preserve">) in all </w:t>
      </w:r>
      <w:proofErr w:type="spellStart"/>
      <w:r>
        <w:t>NEM</w:t>
      </w:r>
      <w:proofErr w:type="spellEnd"/>
      <w:r>
        <w:t xml:space="preserve"> jurisdictions apart from Tasmania. </w:t>
      </w:r>
      <w:r w:rsidR="00155C7B">
        <w:t>Many retailers specialise in providing services to larger customers</w:t>
      </w:r>
      <w:r w:rsidR="00B6411D">
        <w:t xml:space="preserve"> only</w:t>
      </w:r>
      <w:r w:rsidR="00155C7B">
        <w:t>, with less than 50 per cent of retailers providing services to sma</w:t>
      </w:r>
      <w:r w:rsidR="00CB3665">
        <w:t>ll customers (</w:t>
      </w:r>
      <w:proofErr w:type="spellStart"/>
      <w:r w:rsidR="00CB3665">
        <w:t>AER</w:t>
      </w:r>
      <w:proofErr w:type="spellEnd"/>
      <w:r w:rsidR="00CB3665">
        <w:t xml:space="preserve"> </w:t>
      </w:r>
      <w:proofErr w:type="spellStart"/>
      <w:r w:rsidR="00CB3665">
        <w:t>2011</w:t>
      </w:r>
      <w:r w:rsidR="00E125C2">
        <w:t>b</w:t>
      </w:r>
      <w:proofErr w:type="spellEnd"/>
      <w:r w:rsidR="00CB3665">
        <w:t>, pp. 105–</w:t>
      </w:r>
      <w:r w:rsidR="00155C7B">
        <w:t xml:space="preserve">6). </w:t>
      </w:r>
    </w:p>
    <w:p w:rsidR="00A03CC0" w:rsidRDefault="00B6411D" w:rsidP="00175C07">
      <w:pPr>
        <w:pStyle w:val="BodyText"/>
      </w:pPr>
      <w:r>
        <w:t>I</w:t>
      </w:r>
      <w:r w:rsidR="00A03CC0">
        <w:t>n most jurisdictions, a few retailers provide most of the services, with a particularly high concentration of supply in Tasmania and the ACT (</w:t>
      </w:r>
      <w:proofErr w:type="spellStart"/>
      <w:r w:rsidR="00A03CC0">
        <w:t>AER</w:t>
      </w:r>
      <w:proofErr w:type="spellEnd"/>
      <w:r w:rsidR="0033733E">
        <w:t xml:space="preserve"> </w:t>
      </w:r>
      <w:proofErr w:type="spellStart"/>
      <w:r w:rsidR="0033733E">
        <w:t>2011</w:t>
      </w:r>
      <w:r w:rsidR="00E125C2">
        <w:t>b</w:t>
      </w:r>
      <w:proofErr w:type="spellEnd"/>
      <w:r w:rsidR="0033733E">
        <w:t>, p. 103)</w:t>
      </w:r>
      <w:r w:rsidR="00A03CC0">
        <w:t>.</w:t>
      </w:r>
      <w:r w:rsidR="00B85A9C">
        <w:t xml:space="preserve"> Victoria has the greatest level of competition, as indicated by customer switching patterns and a less concentrated market structure.</w:t>
      </w:r>
    </w:p>
    <w:p w:rsidR="00E87A36" w:rsidRDefault="00555120" w:rsidP="009958E7">
      <w:pPr>
        <w:pStyle w:val="BodyText"/>
      </w:pPr>
      <w:r>
        <w:t>T</w:t>
      </w:r>
      <w:r w:rsidR="00004E26">
        <w:t>here has been an increasing shift to harm</w:t>
      </w:r>
      <w:r w:rsidR="0056088E">
        <w:t>o</w:t>
      </w:r>
      <w:r w:rsidR="00004E26">
        <w:t xml:space="preserve">nised </w:t>
      </w:r>
      <w:r w:rsidR="0056088E">
        <w:t xml:space="preserve">retail </w:t>
      </w:r>
      <w:r w:rsidR="00004E26">
        <w:t xml:space="preserve">regulations across the </w:t>
      </w:r>
      <w:proofErr w:type="spellStart"/>
      <w:r w:rsidR="00004E26">
        <w:t>NEM</w:t>
      </w:r>
      <w:proofErr w:type="spellEnd"/>
      <w:r w:rsidR="0056088E">
        <w:t xml:space="preserve">. </w:t>
      </w:r>
      <w:r w:rsidR="00004E26" w:rsidRPr="00004E26">
        <w:t>In 2006, the Council of Australian Governments agreed to develop a new national framework governing the sale and supply of electricity and natural gas to retail customers.</w:t>
      </w:r>
      <w:r w:rsidR="0056088E">
        <w:t xml:space="preserve"> </w:t>
      </w:r>
      <w:r w:rsidR="008419D0">
        <w:t xml:space="preserve">The goal was to </w:t>
      </w:r>
      <w:r w:rsidR="001E2892">
        <w:t>reduce regulatory burdens for energy businesses operating across jurisdictions, while retaining appropriate consumer protection. A lengthy process of consultation, negotiation and regulatory development ensued after the 2006 agreement</w:t>
      </w:r>
      <w:r w:rsidR="00FA13AA">
        <w:t>.</w:t>
      </w:r>
      <w:r w:rsidR="001E2892">
        <w:t xml:space="preserve"> </w:t>
      </w:r>
    </w:p>
    <w:p w:rsidR="009958E7" w:rsidRDefault="00D772F3" w:rsidP="009958E7">
      <w:pPr>
        <w:pStyle w:val="BodyText"/>
      </w:pPr>
      <w:r>
        <w:t>A</w:t>
      </w:r>
      <w:r w:rsidR="001E2892">
        <w:t xml:space="preserve"> National Energy Customer Framework (</w:t>
      </w:r>
      <w:proofErr w:type="spellStart"/>
      <w:r w:rsidR="001E2892">
        <w:t>NECF</w:t>
      </w:r>
      <w:proofErr w:type="spellEnd"/>
      <w:r w:rsidR="001E2892">
        <w:t>)</w:t>
      </w:r>
      <w:r>
        <w:t xml:space="preserve"> has now been </w:t>
      </w:r>
      <w:r w:rsidR="00E87A36">
        <w:t xml:space="preserve">(notionally) </w:t>
      </w:r>
      <w:r>
        <w:t>created</w:t>
      </w:r>
      <w:r w:rsidR="00BA6143">
        <w:t xml:space="preserve">. </w:t>
      </w:r>
      <w:r w:rsidR="009958E7">
        <w:t xml:space="preserve">The </w:t>
      </w:r>
      <w:proofErr w:type="spellStart"/>
      <w:r w:rsidR="009958E7">
        <w:t>NECF</w:t>
      </w:r>
      <w:proofErr w:type="spellEnd"/>
      <w:r w:rsidR="009958E7">
        <w:t xml:space="preserve"> transfers several major regulatory functions currently performed by the relevant jurisdictions to the </w:t>
      </w:r>
      <w:proofErr w:type="spellStart"/>
      <w:r w:rsidR="009958E7">
        <w:t>AER</w:t>
      </w:r>
      <w:proofErr w:type="spellEnd"/>
      <w:r w:rsidR="009958E7">
        <w:t>, including:</w:t>
      </w:r>
    </w:p>
    <w:p w:rsidR="009958E7" w:rsidRDefault="009958E7" w:rsidP="001B1C8C">
      <w:pPr>
        <w:pStyle w:val="ListBullet"/>
      </w:pPr>
      <w:r>
        <w:t>monitoring compliance and enforcing breaches of the National Energy Retail Law and its supporting rules and regulations</w:t>
      </w:r>
    </w:p>
    <w:p w:rsidR="009958E7" w:rsidRDefault="009958E7" w:rsidP="001B1C8C">
      <w:pPr>
        <w:pStyle w:val="ListBullet"/>
      </w:pPr>
      <w:r>
        <w:t>authorising energy retailers to sell energy, and granting exemptions from the requirement to be authorised</w:t>
      </w:r>
    </w:p>
    <w:p w:rsidR="009958E7" w:rsidRDefault="009958E7" w:rsidP="001B1C8C">
      <w:pPr>
        <w:pStyle w:val="ListBullet"/>
      </w:pPr>
      <w:r>
        <w:t>approving retailers’ policies for assisting with customers facing hardship</w:t>
      </w:r>
    </w:p>
    <w:p w:rsidR="009958E7" w:rsidRDefault="009958E7" w:rsidP="001B1C8C">
      <w:pPr>
        <w:pStyle w:val="ListBullet"/>
      </w:pPr>
      <w:r>
        <w:t>providing an online energy price comparison service for small customers (see the energy price comparison website, Energy Made Easy)</w:t>
      </w:r>
    </w:p>
    <w:p w:rsidR="009958E7" w:rsidRDefault="009958E7" w:rsidP="001B1C8C">
      <w:pPr>
        <w:pStyle w:val="ListBullet"/>
      </w:pPr>
      <w:r>
        <w:t>administering a national retailer-of-last-resort scheme, which protects customers and the market if a retail business fails</w:t>
      </w:r>
    </w:p>
    <w:p w:rsidR="009958E7" w:rsidRDefault="009958E7" w:rsidP="001B1C8C">
      <w:pPr>
        <w:pStyle w:val="ListBullet"/>
      </w:pPr>
      <w:r>
        <w:t>reporting on the performance of the market and participants, including on energy affordability, disconnections and competition indicators.</w:t>
      </w:r>
    </w:p>
    <w:p w:rsidR="001B1C8C" w:rsidRDefault="001B1C8C" w:rsidP="00DA465B">
      <w:pPr>
        <w:pStyle w:val="BodyText"/>
      </w:pPr>
      <w:r>
        <w:t xml:space="preserve">As in other aspects of the </w:t>
      </w:r>
      <w:proofErr w:type="spellStart"/>
      <w:r>
        <w:t>NEM</w:t>
      </w:r>
      <w:proofErr w:type="spellEnd"/>
      <w:r>
        <w:t xml:space="preserve">, the ‘N’ in the </w:t>
      </w:r>
      <w:proofErr w:type="spellStart"/>
      <w:r>
        <w:t>NECF</w:t>
      </w:r>
      <w:proofErr w:type="spellEnd"/>
      <w:r>
        <w:t xml:space="preserve"> remains somewhat ethereal. I</w:t>
      </w:r>
      <w:r w:rsidR="00D772F3">
        <w:t xml:space="preserve">mplementation across </w:t>
      </w:r>
      <w:r w:rsidR="0031375A">
        <w:t xml:space="preserve">jurisdictions </w:t>
      </w:r>
      <w:r w:rsidR="00D772F3">
        <w:t>has been slow</w:t>
      </w:r>
      <w:r>
        <w:t>.</w:t>
      </w:r>
      <w:r w:rsidRPr="001B1C8C">
        <w:t xml:space="preserve"> </w:t>
      </w:r>
      <w:r>
        <w:t xml:space="preserve">By July 2012, the </w:t>
      </w:r>
      <w:r w:rsidR="00040D34">
        <w:t xml:space="preserve">largest states had yet to pass the legislation (with the law </w:t>
      </w:r>
      <w:r>
        <w:t>commenc</w:t>
      </w:r>
      <w:r w:rsidR="00040D34">
        <w:t xml:space="preserve">ing </w:t>
      </w:r>
      <w:r>
        <w:t xml:space="preserve">only </w:t>
      </w:r>
      <w:r w:rsidR="00040D34">
        <w:t xml:space="preserve">in </w:t>
      </w:r>
      <w:r>
        <w:t>the ACT, South Australia and Tasmania</w:t>
      </w:r>
      <w:r w:rsidR="00040D34">
        <w:t xml:space="preserve">). </w:t>
      </w:r>
      <w:r>
        <w:t xml:space="preserve">As </w:t>
      </w:r>
      <w:r w:rsidR="00E87A36">
        <w:t>in the case of</w:t>
      </w:r>
      <w:r w:rsidR="000D621E">
        <w:t xml:space="preserve"> </w:t>
      </w:r>
      <w:r>
        <w:t xml:space="preserve">network regulation, the </w:t>
      </w:r>
      <w:proofErr w:type="spellStart"/>
      <w:r>
        <w:t>NECF</w:t>
      </w:r>
      <w:proofErr w:type="spellEnd"/>
      <w:r>
        <w:t xml:space="preserve"> excludes Western Australia and the Northern Territory.</w:t>
      </w:r>
    </w:p>
    <w:p w:rsidR="00D772F3" w:rsidRDefault="001B1C8C" w:rsidP="00DA465B">
      <w:pPr>
        <w:pStyle w:val="BodyText"/>
      </w:pPr>
      <w:r>
        <w:lastRenderedPageBreak/>
        <w:t xml:space="preserve">Moreover, </w:t>
      </w:r>
      <w:r w:rsidR="00E87A36">
        <w:t xml:space="preserve">the </w:t>
      </w:r>
      <w:proofErr w:type="spellStart"/>
      <w:r w:rsidR="00E87A36">
        <w:t>AER</w:t>
      </w:r>
      <w:proofErr w:type="spellEnd"/>
      <w:r w:rsidR="00E87A36">
        <w:t xml:space="preserve"> will only take over the non-economic functions of retail regulation, leaving state arrangements for </w:t>
      </w:r>
      <w:r w:rsidR="00D772F3" w:rsidRPr="00D772F3">
        <w:t>retail price regulation</w:t>
      </w:r>
      <w:r w:rsidR="00E87A36">
        <w:t xml:space="preserve"> in place. </w:t>
      </w:r>
      <w:r>
        <w:t>T</w:t>
      </w:r>
      <w:r w:rsidR="00D772F3">
        <w:t xml:space="preserve">he </w:t>
      </w:r>
      <w:proofErr w:type="spellStart"/>
      <w:r w:rsidR="00D772F3">
        <w:t>NECF</w:t>
      </w:r>
      <w:proofErr w:type="spellEnd"/>
      <w:r w:rsidR="00D772F3">
        <w:t xml:space="preserve"> </w:t>
      </w:r>
      <w:r>
        <w:t>also provides scope for</w:t>
      </w:r>
      <w:r w:rsidR="00D772F3">
        <w:t xml:space="preserve"> </w:t>
      </w:r>
      <w:r w:rsidR="00DA23CD">
        <w:t>jurisdictions</w:t>
      </w:r>
      <w:r w:rsidR="00D772F3">
        <w:t xml:space="preserve"> to carve out aspects of the </w:t>
      </w:r>
      <w:r w:rsidR="00CB3665">
        <w:t>National Energy Retail Law</w:t>
      </w:r>
      <w:r w:rsidR="00D772F3">
        <w:t xml:space="preserve">. For example, </w:t>
      </w:r>
      <w:r w:rsidR="00DA23CD">
        <w:t xml:space="preserve">the </w:t>
      </w:r>
      <w:r w:rsidR="00D772F3">
        <w:t>Victoria</w:t>
      </w:r>
      <w:r w:rsidR="00DA23CD">
        <w:t>n Government</w:t>
      </w:r>
      <w:r w:rsidR="00D772F3">
        <w:t xml:space="preserve"> will </w:t>
      </w:r>
      <w:r w:rsidR="007242FF">
        <w:t>not adopt the prepayment meter regime</w:t>
      </w:r>
      <w:r w:rsidR="00DA23CD">
        <w:t xml:space="preserve"> and will maintain certain consumer protections that it considered superior </w:t>
      </w:r>
      <w:r>
        <w:t xml:space="preserve">to those in the </w:t>
      </w:r>
      <w:proofErr w:type="spellStart"/>
      <w:r>
        <w:t>NECF</w:t>
      </w:r>
      <w:proofErr w:type="spellEnd"/>
      <w:r>
        <w:t xml:space="preserve"> (DPI </w:t>
      </w:r>
      <w:proofErr w:type="spellStart"/>
      <w:r>
        <w:t>2012</w:t>
      </w:r>
      <w:r w:rsidR="00E125C2">
        <w:t>a</w:t>
      </w:r>
      <w:proofErr w:type="spellEnd"/>
      <w:r>
        <w:t>).</w:t>
      </w:r>
    </w:p>
    <w:p w:rsidR="0031375A" w:rsidRDefault="00555120" w:rsidP="00555120">
      <w:pPr>
        <w:pStyle w:val="BodyText"/>
      </w:pPr>
      <w:r>
        <w:t xml:space="preserve">Retail price regulation remains in all jurisdictions other than Victoria. Under regulated arrangements, customers can choose to purchase their electricity from the ‘non-market’ retail segment, which is subject to price controls by the relevant state regulator, or the market segment, in which there is pricing flexibility. In 2006, </w:t>
      </w:r>
      <w:r w:rsidR="00CB3665">
        <w:t>the Council of Australian Governments a</w:t>
      </w:r>
      <w:r>
        <w:t xml:space="preserve">greed to remove retail price regulations in any jurisdiction where the </w:t>
      </w:r>
      <w:r w:rsidR="00987960" w:rsidRPr="00987960">
        <w:t xml:space="preserve">Australian Energy Market Commission </w:t>
      </w:r>
      <w:r w:rsidR="00987960">
        <w:t>(</w:t>
      </w:r>
      <w:proofErr w:type="spellStart"/>
      <w:r>
        <w:t>AEMC</w:t>
      </w:r>
      <w:proofErr w:type="spellEnd"/>
      <w:r w:rsidR="00987960">
        <w:t>)</w:t>
      </w:r>
      <w:r>
        <w:t xml:space="preserve"> found competition was effective. </w:t>
      </w:r>
    </w:p>
    <w:p w:rsidR="00555120" w:rsidRDefault="00555120" w:rsidP="00555120">
      <w:pPr>
        <w:pStyle w:val="BodyText"/>
      </w:pPr>
      <w:r>
        <w:t>However, tha</w:t>
      </w:r>
      <w:r w:rsidR="0031375A">
        <w:t>t process has not moved quickly.</w:t>
      </w:r>
      <w:r>
        <w:t xml:space="preserve"> </w:t>
      </w:r>
      <w:r w:rsidR="0031375A">
        <w:t>Jurisdictions have not always acted when</w:t>
      </w:r>
      <w:r w:rsidR="0031375A" w:rsidRPr="0031375A">
        <w:t xml:space="preserve"> </w:t>
      </w:r>
      <w:r w:rsidR="0031375A">
        <w:t xml:space="preserve">the </w:t>
      </w:r>
      <w:proofErr w:type="spellStart"/>
      <w:r w:rsidR="0031375A">
        <w:t>AEMC</w:t>
      </w:r>
      <w:proofErr w:type="spellEnd"/>
      <w:r w:rsidR="0031375A">
        <w:t xml:space="preserve"> has proposed de-regulation following its assessment that competition was effective</w:t>
      </w:r>
      <w:r>
        <w:t xml:space="preserve">. The South Australian and the ACT </w:t>
      </w:r>
      <w:r w:rsidR="00D460C2">
        <w:t>g</w:t>
      </w:r>
      <w:r>
        <w:t xml:space="preserve">overnments did not accept the </w:t>
      </w:r>
      <w:proofErr w:type="spellStart"/>
      <w:r>
        <w:t>AEMC’s</w:t>
      </w:r>
      <w:proofErr w:type="spellEnd"/>
      <w:r>
        <w:t xml:space="preserve"> recommendation to deregulate prices. In June 2011, the </w:t>
      </w:r>
      <w:proofErr w:type="spellStart"/>
      <w:r>
        <w:t>SCER</w:t>
      </w:r>
      <w:proofErr w:type="spellEnd"/>
      <w:r>
        <w:t xml:space="preserve"> announced that future reviews would be New South Wales in 2012, Queensland in 2013, South Australia in 2015, the ACT in 2016,</w:t>
      </w:r>
      <w:r w:rsidR="004B47BD">
        <w:t xml:space="preserve"> and Tasmania no sooner than 18 </w:t>
      </w:r>
      <w:r>
        <w:t xml:space="preserve">months after full retail contestability is implemented. (The Tasmanian Government has responded to a 2012 report issued by an expert panel on the electricity supply industry by announcing full retail competition from 1 January 2014.) </w:t>
      </w:r>
    </w:p>
    <w:p w:rsidR="00555120" w:rsidRDefault="00555120" w:rsidP="00555120">
      <w:pPr>
        <w:pStyle w:val="BodyText"/>
      </w:pPr>
      <w:r>
        <w:t>As in other aspects of electricity supply, imperfections in one part of the system carry over to other parts. By acting as an obstacle to cost-reflective pricing and incentives for adopting direct load control, retail price controls adversely affect the efficiency of investments in electricity network and generation</w:t>
      </w:r>
      <w:r w:rsidR="00C945E7">
        <w:t xml:space="preserve"> (chapter </w:t>
      </w:r>
      <w:r w:rsidR="00494616">
        <w:t>12</w:t>
      </w:r>
      <w:r w:rsidR="00C945E7">
        <w:t>)</w:t>
      </w:r>
      <w:r>
        <w:t xml:space="preserve">. As emphasised in chapter 1, this affects the use of benchmarking in incentive regulations, but also raises the importance of testing the cost effects of different regulatory regimes across the </w:t>
      </w:r>
      <w:proofErr w:type="spellStart"/>
      <w:r>
        <w:t>NEM</w:t>
      </w:r>
      <w:proofErr w:type="spellEnd"/>
      <w:r>
        <w:t>.</w:t>
      </w:r>
    </w:p>
    <w:p w:rsidR="00555120" w:rsidRDefault="00555120" w:rsidP="00555120">
      <w:pPr>
        <w:pStyle w:val="Heading4"/>
      </w:pPr>
      <w:r>
        <w:t>Benchmarking in retailing</w:t>
      </w:r>
    </w:p>
    <w:p w:rsidR="0039014B" w:rsidRDefault="00040D34" w:rsidP="001003A1">
      <w:pPr>
        <w:pStyle w:val="BodyText"/>
      </w:pPr>
      <w:r>
        <w:t xml:space="preserve">Benchmarking </w:t>
      </w:r>
      <w:r w:rsidR="00613FF5">
        <w:t>has been incorporate</w:t>
      </w:r>
      <w:r w:rsidR="00293A71">
        <w:t>d</w:t>
      </w:r>
      <w:r w:rsidR="00613FF5">
        <w:t xml:space="preserve"> </w:t>
      </w:r>
      <w:r w:rsidR="00293A71">
        <w:t>into</w:t>
      </w:r>
      <w:r>
        <w:t xml:space="preserve"> </w:t>
      </w:r>
      <w:r w:rsidR="00C945E7">
        <w:t>the</w:t>
      </w:r>
      <w:r>
        <w:t xml:space="preserve"> national approach to retailing </w:t>
      </w:r>
      <w:r w:rsidR="00613FF5">
        <w:t>(</w:t>
      </w:r>
      <w:proofErr w:type="spellStart"/>
      <w:r w:rsidR="00613FF5">
        <w:t>A</w:t>
      </w:r>
      <w:r w:rsidR="00C024CD">
        <w:t>cil</w:t>
      </w:r>
      <w:proofErr w:type="spellEnd"/>
      <w:r w:rsidR="00C024CD">
        <w:t> </w:t>
      </w:r>
      <w:r w:rsidR="00613FF5">
        <w:t xml:space="preserve">Tasman 2011 and </w:t>
      </w:r>
      <w:proofErr w:type="spellStart"/>
      <w:r w:rsidR="00293A71">
        <w:t>EnergyConsult</w:t>
      </w:r>
      <w:proofErr w:type="spellEnd"/>
      <w:r w:rsidR="00293A71">
        <w:t xml:space="preserve"> 2010</w:t>
      </w:r>
      <w:r w:rsidR="00613FF5">
        <w:t>)</w:t>
      </w:r>
      <w:r w:rsidR="002E38DC">
        <w:t>, and is</w:t>
      </w:r>
      <w:r w:rsidR="00293A71">
        <w:t xml:space="preserve"> </w:t>
      </w:r>
      <w:r w:rsidR="002E38DC">
        <w:t>b</w:t>
      </w:r>
      <w:r w:rsidR="00293A71">
        <w:t xml:space="preserve">ased on survey data </w:t>
      </w:r>
      <w:r w:rsidR="009B56F7">
        <w:t>from more than 5000</w:t>
      </w:r>
      <w:r w:rsidR="00293A71">
        <w:t xml:space="preserve"> household</w:t>
      </w:r>
      <w:r w:rsidR="009B56F7">
        <w:t>s on their power use</w:t>
      </w:r>
      <w:r w:rsidR="002E38DC">
        <w:t>. T</w:t>
      </w:r>
      <w:r w:rsidR="00293A71">
        <w:t xml:space="preserve">he purpose of the ‘Electricity Bill Benchmarking initiative’ is to provide households </w:t>
      </w:r>
      <w:r w:rsidR="002E38DC">
        <w:t xml:space="preserve">with </w:t>
      </w:r>
      <w:r w:rsidR="00293A71">
        <w:t xml:space="preserve">information on their </w:t>
      </w:r>
      <w:r w:rsidR="002E38DC">
        <w:t>relative</w:t>
      </w:r>
      <w:r w:rsidR="00293A71">
        <w:t xml:space="preserve"> use of power given </w:t>
      </w:r>
      <w:r w:rsidR="002E38DC">
        <w:t>their household characteristics</w:t>
      </w:r>
      <w:r w:rsidR="00405933">
        <w:t>,</w:t>
      </w:r>
      <w:r w:rsidR="00293A71">
        <w:t xml:space="preserve"> so that they can make informed choices about their electricity use. </w:t>
      </w:r>
    </w:p>
    <w:p w:rsidR="00613FF5" w:rsidRDefault="00E16149" w:rsidP="001003A1">
      <w:pPr>
        <w:pStyle w:val="BodyText"/>
      </w:pPr>
      <w:r>
        <w:lastRenderedPageBreak/>
        <w:t xml:space="preserve">The initiative </w:t>
      </w:r>
      <w:r w:rsidR="00405933">
        <w:t>reveals</w:t>
      </w:r>
      <w:r>
        <w:t xml:space="preserve"> </w:t>
      </w:r>
      <w:r w:rsidR="00405933">
        <w:t xml:space="preserve">some of the inconsistencies in the goals of policies across the electricity supply </w:t>
      </w:r>
      <w:r w:rsidR="00C9155E">
        <w:t>industry</w:t>
      </w:r>
      <w:r w:rsidR="00405933">
        <w:t>. Relatively short period of peak use, mainly during hot summer days, are responsible for a significant amount of network infrastructure investment (chapter </w:t>
      </w:r>
      <w:r w:rsidR="00494616">
        <w:t>9</w:t>
      </w:r>
      <w:r w:rsidR="00405933">
        <w:t xml:space="preserve">). However, the information provided in the retail benchmarking exercise concerns total power usage, which is a poor proxy for </w:t>
      </w:r>
      <w:r w:rsidR="00C9155E">
        <w:t xml:space="preserve">expensive </w:t>
      </w:r>
      <w:r w:rsidR="00405933">
        <w:t xml:space="preserve">peaky use. Accordingly, the information does not inform consumers about the true underlying costs of their power usage. </w:t>
      </w:r>
      <w:r w:rsidR="00C9155E">
        <w:t xml:space="preserve">If </w:t>
      </w:r>
      <w:r w:rsidR="00C024CD">
        <w:t xml:space="preserve">critical </w:t>
      </w:r>
      <w:r w:rsidR="00C9155E">
        <w:t xml:space="preserve">peak pricing </w:t>
      </w:r>
      <w:r w:rsidR="00C024CD">
        <w:t>were</w:t>
      </w:r>
      <w:r w:rsidR="00C9155E">
        <w:t xml:space="preserve"> introduced — as recommended by the Commission — the retail benchmarking model </w:t>
      </w:r>
      <w:r w:rsidR="00C024CD">
        <w:t>would</w:t>
      </w:r>
      <w:r w:rsidR="00C9155E">
        <w:t xml:space="preserve"> </w:t>
      </w:r>
      <w:r w:rsidR="00C024CD">
        <w:t>need</w:t>
      </w:r>
      <w:r w:rsidR="00C9155E">
        <w:t xml:space="preserve"> to be </w:t>
      </w:r>
      <w:r w:rsidR="0039014B">
        <w:t>elaborated</w:t>
      </w:r>
      <w:r w:rsidR="00C9155E">
        <w:t xml:space="preserve">. </w:t>
      </w:r>
      <w:r w:rsidR="006D3A4F">
        <w:t>T</w:t>
      </w:r>
      <w:r w:rsidR="0023448E">
        <w:t xml:space="preserve">he </w:t>
      </w:r>
      <w:r w:rsidR="00E24826">
        <w:t xml:space="preserve">Commission has recommended </w:t>
      </w:r>
      <w:r w:rsidR="0023448E">
        <w:t xml:space="preserve">surveys </w:t>
      </w:r>
      <w:r w:rsidR="00E24826">
        <w:t>to estimate</w:t>
      </w:r>
      <w:r w:rsidR="0023448E">
        <w:t xml:space="preserve"> the value of lost load for setting appropriate reliability standards </w:t>
      </w:r>
      <w:r w:rsidR="00E24826">
        <w:t>(chapter </w:t>
      </w:r>
      <w:r w:rsidR="00494616">
        <w:t>14</w:t>
      </w:r>
      <w:r w:rsidR="00E24826">
        <w:t>)</w:t>
      </w:r>
      <w:r w:rsidR="00494616">
        <w:t xml:space="preserve">. </w:t>
      </w:r>
      <w:r w:rsidR="006D3A4F">
        <w:t>These surveys could replace the existing electricity bill benchmarking surveys, and would provide better information to assist informed choice by consumers</w:t>
      </w:r>
    </w:p>
    <w:p w:rsidR="00175C07" w:rsidRDefault="00175C07" w:rsidP="00175C07">
      <w:pPr>
        <w:pStyle w:val="Heading3"/>
      </w:pPr>
      <w:r>
        <w:t>Other services</w:t>
      </w:r>
    </w:p>
    <w:p w:rsidR="00175C07" w:rsidRDefault="00175C07" w:rsidP="00175C07">
      <w:pPr>
        <w:pStyle w:val="BodyText"/>
      </w:pPr>
      <w:r>
        <w:t>Outside these major parts of the system, there are some direct transmission lines from generators to major industrial users,</w:t>
      </w:r>
      <w:r w:rsidDel="00746AD5">
        <w:t xml:space="preserve"> </w:t>
      </w:r>
      <w:r>
        <w:t>some industrial co-generation feeding into the grid, increasing micro-generation at the customer end (such as solar panels) and an array of financial and technical services (for example, in financial instruments that address the risks of generators and retailers</w:t>
      </w:r>
      <w:r w:rsidR="00C945E7">
        <w:t xml:space="preserve"> and </w:t>
      </w:r>
      <w:r w:rsidR="004655C7">
        <w:t xml:space="preserve">ancillary </w:t>
      </w:r>
      <w:r w:rsidR="00C945E7">
        <w:t>services</w:t>
      </w:r>
      <w:r w:rsidR="004655C7">
        <w:rPr>
          <w:rStyle w:val="FootnoteReference"/>
        </w:rPr>
        <w:footnoteReference w:id="6"/>
      </w:r>
      <w:r>
        <w:t>).</w:t>
      </w:r>
    </w:p>
    <w:p w:rsidR="00032A3A" w:rsidRDefault="00032A3A" w:rsidP="00032A3A">
      <w:pPr>
        <w:pStyle w:val="Heading3"/>
      </w:pPr>
      <w:r>
        <w:t>Ownership and linkages</w:t>
      </w:r>
    </w:p>
    <w:p w:rsidR="00C67C11" w:rsidRDefault="00032A3A" w:rsidP="00032A3A">
      <w:pPr>
        <w:pStyle w:val="BodyText"/>
      </w:pPr>
      <w:r>
        <w:t xml:space="preserve">Competition reform in the 1990s led to the disintegration of the management of the electricity system </w:t>
      </w:r>
      <w:r w:rsidR="00C67C11">
        <w:t xml:space="preserve">in each jurisdiction </w:t>
      </w:r>
      <w:r>
        <w:t xml:space="preserve">by a single vertically integrated </w:t>
      </w:r>
      <w:r w:rsidR="001D7FA1">
        <w:t>state</w:t>
      </w:r>
      <w:r>
        <w:t xml:space="preserve">-owned business (spanning generation, transmission, distribution and retailing) in each state and territory. </w:t>
      </w:r>
    </w:p>
    <w:p w:rsidR="00032A3A" w:rsidRDefault="00032A3A" w:rsidP="00032A3A">
      <w:pPr>
        <w:pStyle w:val="BodyText"/>
      </w:pPr>
      <w:r>
        <w:t>Generation and retailing are now open to competition, while the natural monopoly segments of the industry — network services — remain heavily regulated and are often still owned by government</w:t>
      </w:r>
      <w:r w:rsidR="00DE048A">
        <w:t>s</w:t>
      </w:r>
      <w:r>
        <w:t>. The N</w:t>
      </w:r>
      <w:r w:rsidR="00D460C2">
        <w:t>ew </w:t>
      </w:r>
      <w:r>
        <w:t>S</w:t>
      </w:r>
      <w:r w:rsidR="00D460C2">
        <w:t>outh </w:t>
      </w:r>
      <w:r>
        <w:t>W</w:t>
      </w:r>
      <w:r w:rsidR="00D460C2">
        <w:t>ales</w:t>
      </w:r>
      <w:r>
        <w:t xml:space="preserve">, Queensland and Tasmanian </w:t>
      </w:r>
      <w:r w:rsidR="00C945E7">
        <w:t xml:space="preserve">governments own the </w:t>
      </w:r>
      <w:r>
        <w:t>distribution networks</w:t>
      </w:r>
      <w:r w:rsidR="00C945E7">
        <w:t xml:space="preserve"> in their states</w:t>
      </w:r>
      <w:r>
        <w:t xml:space="preserve">, whereas private entities own the South Australian and Victorian distribution networks. The </w:t>
      </w:r>
      <w:r>
        <w:lastRenderedPageBreak/>
        <w:t xml:space="preserve">ACT distributor is part government-owned. Overall, governments own 75 per cent of distribution assets in the </w:t>
      </w:r>
      <w:proofErr w:type="spellStart"/>
      <w:r>
        <w:t>NEM</w:t>
      </w:r>
      <w:proofErr w:type="spellEnd"/>
      <w:r>
        <w:t xml:space="preserve"> (and a similar share of transmission assets).</w:t>
      </w:r>
    </w:p>
    <w:p w:rsidR="00032A3A" w:rsidRDefault="00032A3A" w:rsidP="00032A3A">
      <w:pPr>
        <w:pStyle w:val="BodyText"/>
      </w:pPr>
      <w:r>
        <w:t>Moreover, there are still strong ownership and management links between parts of the system. Vertical integration between generators and retailers — ‘</w:t>
      </w:r>
      <w:proofErr w:type="spellStart"/>
      <w:r>
        <w:t>gentailers</w:t>
      </w:r>
      <w:proofErr w:type="spellEnd"/>
      <w:r>
        <w:t>’ — is becoming increasi</w:t>
      </w:r>
      <w:r w:rsidR="002F167A">
        <w:t>ngly common (</w:t>
      </w:r>
      <w:proofErr w:type="spellStart"/>
      <w:r>
        <w:t>A</w:t>
      </w:r>
      <w:r w:rsidR="009A062B">
        <w:t>ER</w:t>
      </w:r>
      <w:proofErr w:type="spellEnd"/>
      <w:r w:rsidR="009A062B">
        <w:t xml:space="preserve"> </w:t>
      </w:r>
      <w:proofErr w:type="spellStart"/>
      <w:r w:rsidR="009A062B">
        <w:t>2011</w:t>
      </w:r>
      <w:r w:rsidR="00E125C2">
        <w:t>b</w:t>
      </w:r>
      <w:proofErr w:type="spellEnd"/>
      <w:r w:rsidR="009A062B">
        <w:t>, pp. 12</w:t>
      </w:r>
      <w:r w:rsidR="00D460C2">
        <w:t>–</w:t>
      </w:r>
      <w:r w:rsidR="009A062B">
        <w:t>13, pp. 106</w:t>
      </w:r>
      <w:r w:rsidR="00D460C2">
        <w:t>–</w:t>
      </w:r>
      <w:r w:rsidR="009A062B">
        <w:t>8</w:t>
      </w:r>
      <w:r w:rsidR="002F167A">
        <w:t>; Pearce 2011, p. 16</w:t>
      </w:r>
      <w:r>
        <w:t xml:space="preserve">). For example, Origin Energy — one of Australia’s largest energy businesses — has integrated operations spanning gas exploration and extraction, gas pipelines, power generation and electricity retailing. </w:t>
      </w:r>
      <w:proofErr w:type="spellStart"/>
      <w:r w:rsidR="002165AF" w:rsidRPr="002165AF">
        <w:t>AGL</w:t>
      </w:r>
      <w:proofErr w:type="spellEnd"/>
      <w:r w:rsidR="002165AF" w:rsidRPr="002165AF">
        <w:t xml:space="preserve"> Energy and </w:t>
      </w:r>
      <w:proofErr w:type="spellStart"/>
      <w:r w:rsidR="002165AF" w:rsidRPr="002165AF">
        <w:t>TRUenergy</w:t>
      </w:r>
      <w:proofErr w:type="spellEnd"/>
      <w:r w:rsidR="002165AF" w:rsidRPr="002165AF">
        <w:t xml:space="preserve"> also have interests in gas production and/or gas storage that complement their interests in gas fired electricity generation and energy retailing.</w:t>
      </w:r>
    </w:p>
    <w:p w:rsidR="00175C07" w:rsidRDefault="00C67C11" w:rsidP="00032A3A">
      <w:pPr>
        <w:pStyle w:val="BodyText"/>
      </w:pPr>
      <w:r>
        <w:t>S</w:t>
      </w:r>
      <w:r w:rsidR="00032A3A">
        <w:t xml:space="preserve">tate governments </w:t>
      </w:r>
      <w:r>
        <w:t xml:space="preserve">also </w:t>
      </w:r>
      <w:r w:rsidR="00032A3A">
        <w:t>sometimes jointly own transmission, distrib</w:t>
      </w:r>
      <w:r>
        <w:t>ution, generation and retailing.</w:t>
      </w:r>
      <w:r w:rsidR="00032A3A">
        <w:t xml:space="preserve"> For example, the Tasmanian Government owns the sole</w:t>
      </w:r>
      <w:r w:rsidR="007D619E">
        <w:t xml:space="preserve"> transmission business in that S</w:t>
      </w:r>
      <w:r w:rsidR="00032A3A">
        <w:t>tate (</w:t>
      </w:r>
      <w:proofErr w:type="spellStart"/>
      <w:r w:rsidR="00032A3A">
        <w:t>Transend</w:t>
      </w:r>
      <w:proofErr w:type="spellEnd"/>
      <w:r w:rsidR="00032A3A">
        <w:t>), all generation (Aurora Energy and Hydro Tasmania), the only distribution business (Aurora Energy), the dominant small customer retailer (Aurora Energy) and a major business retailer (Momentum Power).</w:t>
      </w:r>
      <w:r w:rsidR="009A062B">
        <w:t xml:space="preserve"> However, following </w:t>
      </w:r>
      <w:r w:rsidR="00B979E4">
        <w:t>a recent review (Electricity Supply</w:t>
      </w:r>
      <w:r w:rsidR="009A062B">
        <w:t xml:space="preserve"> </w:t>
      </w:r>
      <w:r w:rsidR="00B979E4">
        <w:t>Industry Expert Panel 2012</w:t>
      </w:r>
      <w:r w:rsidR="00E125C2">
        <w:t>a</w:t>
      </w:r>
      <w:r w:rsidR="00B979E4">
        <w:t>)</w:t>
      </w:r>
      <w:r w:rsidR="009A062B">
        <w:t xml:space="preserve">, </w:t>
      </w:r>
      <w:r w:rsidR="00A437C4">
        <w:t xml:space="preserve">the Tasmanian Government will sell Aurora Energy’s retail arm (Green 2012). </w:t>
      </w:r>
      <w:r>
        <w:t>In most other states, there is usually greater scope for competition from private businesses in the contestable parts of the system (generation and retailing).</w:t>
      </w:r>
    </w:p>
    <w:p w:rsidR="00E25D4A" w:rsidRDefault="00C67C11" w:rsidP="00032A3A">
      <w:pPr>
        <w:pStyle w:val="BodyText"/>
      </w:pPr>
      <w:r>
        <w:t>The vertical separation of networks from the other parts of the electricity system has had many desirable benefits</w:t>
      </w:r>
      <w:r w:rsidR="009C0F58">
        <w:t>, including the capacity to develop a genuinely national market and to provide stronger market-based incentives for efficiency</w:t>
      </w:r>
      <w:r w:rsidR="00E25D4A">
        <w:t>. However,</w:t>
      </w:r>
      <w:r>
        <w:t xml:space="preserve"> it has also </w:t>
      </w:r>
      <w:r w:rsidR="00E2328C">
        <w:t>diminished</w:t>
      </w:r>
      <w:r>
        <w:t xml:space="preserve"> the capacity for coordination of the various parts of the networks</w:t>
      </w:r>
      <w:r w:rsidR="00930619">
        <w:t xml:space="preserve"> and </w:t>
      </w:r>
      <w:r w:rsidR="00CD0C4E">
        <w:t xml:space="preserve">has </w:t>
      </w:r>
      <w:r w:rsidR="00E2328C">
        <w:t>reduced</w:t>
      </w:r>
      <w:r w:rsidR="00930619">
        <w:t xml:space="preserve"> economies of scope</w:t>
      </w:r>
      <w:r>
        <w:t>.</w:t>
      </w:r>
      <w:r w:rsidR="00E2328C">
        <w:rPr>
          <w:rStyle w:val="FootnoteReference"/>
        </w:rPr>
        <w:footnoteReference w:id="7"/>
      </w:r>
      <w:r>
        <w:t xml:space="preserve"> For example, exploitation of transmission congestion</w:t>
      </w:r>
      <w:r w:rsidR="009C0F58">
        <w:t>;</w:t>
      </w:r>
      <w:r>
        <w:t xml:space="preserve"> weakened incentives for demand management</w:t>
      </w:r>
      <w:r w:rsidR="009C0F58">
        <w:t>;</w:t>
      </w:r>
      <w:r>
        <w:t xml:space="preserve"> </w:t>
      </w:r>
      <w:r w:rsidR="00B10C12">
        <w:t>difficulties</w:t>
      </w:r>
      <w:r>
        <w:t xml:space="preserve"> in planning</w:t>
      </w:r>
      <w:r w:rsidR="009C0F58">
        <w:t>;</w:t>
      </w:r>
      <w:r>
        <w:t xml:space="preserve"> and </w:t>
      </w:r>
      <w:r w:rsidR="009C0F58">
        <w:t xml:space="preserve">the </w:t>
      </w:r>
      <w:r w:rsidR="00E25D4A">
        <w:t xml:space="preserve">requirements for sophisticated financial </w:t>
      </w:r>
      <w:r w:rsidR="009C0F58">
        <w:t xml:space="preserve">hedging </w:t>
      </w:r>
      <w:r w:rsidR="00E25D4A">
        <w:t xml:space="preserve">instruments </w:t>
      </w:r>
      <w:r w:rsidR="009C0F58">
        <w:t xml:space="preserve">reflect the </w:t>
      </w:r>
      <w:r w:rsidR="00616612">
        <w:t>problems</w:t>
      </w:r>
      <w:r w:rsidR="009C0F58">
        <w:t xml:space="preserve"> that vertically separated businesses have in transacting with each other. </w:t>
      </w:r>
      <w:r w:rsidR="00616612">
        <w:t xml:space="preserve">Many of the regulations in the </w:t>
      </w:r>
      <w:proofErr w:type="spellStart"/>
      <w:r w:rsidR="00616612">
        <w:t>NEM</w:t>
      </w:r>
      <w:proofErr w:type="spellEnd"/>
      <w:r w:rsidR="00616612">
        <w:t xml:space="preserve"> can be seen as alternatives ways of encouraging efficient transactions between businesses that no longer have aligned interests. This </w:t>
      </w:r>
      <w:r w:rsidR="00EE2108">
        <w:t>poses</w:t>
      </w:r>
      <w:r w:rsidR="00616612">
        <w:t xml:space="preserve"> fundamental </w:t>
      </w:r>
      <w:r w:rsidR="00EE2108">
        <w:t>challenges</w:t>
      </w:r>
      <w:r w:rsidR="00616612">
        <w:t xml:space="preserve"> for regulatory design</w:t>
      </w:r>
      <w:r w:rsidR="00EE2108">
        <w:t xml:space="preserve"> </w:t>
      </w:r>
      <w:r w:rsidR="00616612">
        <w:t>— some of which have not yet been fully resolved, such as regulations for smart meter rollouts</w:t>
      </w:r>
      <w:r w:rsidR="00EE2108">
        <w:t xml:space="preserve"> (chapter </w:t>
      </w:r>
      <w:r w:rsidR="00494616">
        <w:t>10</w:t>
      </w:r>
      <w:r w:rsidR="00EE2108">
        <w:t>)</w:t>
      </w:r>
      <w:r w:rsidR="00616612">
        <w:t xml:space="preserve"> and strategic bidding behaviour by generators</w:t>
      </w:r>
      <w:r w:rsidR="00EE2108">
        <w:t xml:space="preserve"> (chapter </w:t>
      </w:r>
      <w:r w:rsidR="00494616">
        <w:t>18</w:t>
      </w:r>
      <w:r w:rsidR="00EE2108">
        <w:t>)</w:t>
      </w:r>
      <w:r w:rsidR="00616612">
        <w:t xml:space="preserve">. </w:t>
      </w:r>
    </w:p>
    <w:p w:rsidR="00955ED6" w:rsidRDefault="00955ED6" w:rsidP="00955ED6">
      <w:pPr>
        <w:pStyle w:val="BodyText"/>
      </w:pPr>
      <w:r>
        <w:t xml:space="preserve">While policy reforms have </w:t>
      </w:r>
      <w:r w:rsidR="00657030">
        <w:t xml:space="preserve">required </w:t>
      </w:r>
      <w:r>
        <w:t xml:space="preserve">vertical disintegration, governments as owners have </w:t>
      </w:r>
      <w:r w:rsidR="00657030">
        <w:t xml:space="preserve">encouraged horizontal integration of </w:t>
      </w:r>
      <w:r w:rsidR="00C7120A">
        <w:t xml:space="preserve">network </w:t>
      </w:r>
      <w:r w:rsidR="00657030">
        <w:t xml:space="preserve">distribution businesses. </w:t>
      </w:r>
      <w:r>
        <w:t>Th</w:t>
      </w:r>
      <w:r w:rsidR="00657030">
        <w:t>is</w:t>
      </w:r>
      <w:r>
        <w:t xml:space="preserve"> </w:t>
      </w:r>
      <w:r>
        <w:lastRenderedPageBreak/>
        <w:t>appear</w:t>
      </w:r>
      <w:r w:rsidR="00657030">
        <w:t>s</w:t>
      </w:r>
      <w:r>
        <w:t xml:space="preserve"> to </w:t>
      </w:r>
      <w:r w:rsidR="00657030">
        <w:t>reflect</w:t>
      </w:r>
      <w:r>
        <w:t xml:space="preserve"> significant economies of scale in networks</w:t>
      </w:r>
      <w:r w:rsidR="00290584">
        <w:rPr>
          <w:rStyle w:val="FootnoteReference"/>
        </w:rPr>
        <w:footnoteReference w:id="8"/>
      </w:r>
      <w:r w:rsidR="00657030">
        <w:t xml:space="preserve"> and the progressive shift from local small generators to large-scale generators more remote from population centres. </w:t>
      </w:r>
      <w:r>
        <w:t>In N</w:t>
      </w:r>
      <w:r w:rsidR="00EB6088">
        <w:t>ew </w:t>
      </w:r>
      <w:r>
        <w:t>S</w:t>
      </w:r>
      <w:r w:rsidR="00EB6088">
        <w:t>outh </w:t>
      </w:r>
      <w:r>
        <w:t>W</w:t>
      </w:r>
      <w:r w:rsidR="00EB6088">
        <w:t>ales</w:t>
      </w:r>
      <w:r>
        <w:t>, the merger process has been the most pronounced (figure 2.</w:t>
      </w:r>
      <w:r w:rsidR="0040247C">
        <w:t>3</w:t>
      </w:r>
      <w:r>
        <w:t xml:space="preserve">). However, mergers </w:t>
      </w:r>
      <w:r w:rsidR="006A5CF2">
        <w:t xml:space="preserve">involving common management </w:t>
      </w:r>
      <w:r>
        <w:t>appear to have been confined to businesses within state boundaries, reflecting the importance of state ownership (and a state-specific orientation to service delivery).</w:t>
      </w:r>
      <w:r>
        <w:rPr>
          <w:rStyle w:val="FootnoteReference"/>
        </w:rPr>
        <w:footnoteReference w:id="9"/>
      </w:r>
      <w:r>
        <w:t xml:space="preserve"> There is no obvious reason why </w:t>
      </w:r>
      <w:r w:rsidR="00CD0C4E">
        <w:t xml:space="preserve">common </w:t>
      </w:r>
      <w:r w:rsidR="00335CB2">
        <w:t>ma</w:t>
      </w:r>
      <w:r w:rsidR="00CD0C4E">
        <w:t>nagement</w:t>
      </w:r>
      <w:r>
        <w:t xml:space="preserve"> of businesses should be </w:t>
      </w:r>
      <w:r w:rsidR="00CD0C4E">
        <w:t>constrained</w:t>
      </w:r>
      <w:r>
        <w:t xml:space="preserve"> by </w:t>
      </w:r>
      <w:r w:rsidR="00CD0C4E">
        <w:t>state</w:t>
      </w:r>
      <w:r>
        <w:t xml:space="preserve"> </w:t>
      </w:r>
      <w:r w:rsidR="00CD0C4E">
        <w:t>borders</w:t>
      </w:r>
      <w:r>
        <w:t xml:space="preserve">. In the United States — at least among transmission businesses — the story is quite different. For example, American Electric Power owns transmission infrastructure </w:t>
      </w:r>
      <w:r w:rsidR="00CD0C4E">
        <w:t>throughout</w:t>
      </w:r>
      <w:r>
        <w:t xml:space="preserve"> the United States and Canada.</w:t>
      </w:r>
      <w:r w:rsidR="00CD0C4E">
        <w:t xml:space="preserve"> This raises the question of whether state-ownership may be a barrier to efficient horizontal mergers (chapter </w:t>
      </w:r>
      <w:r w:rsidR="00494616">
        <w:t>7</w:t>
      </w:r>
      <w:r w:rsidR="00CD0C4E">
        <w:t>).</w:t>
      </w:r>
    </w:p>
    <w:p w:rsidR="0037747B" w:rsidRDefault="0037747B">
      <w:pPr>
        <w:pStyle w:val="FigureTitle"/>
      </w:pPr>
      <w:r>
        <w:rPr>
          <w:b w:val="0"/>
        </w:rPr>
        <w:t xml:space="preserve">Figure </w:t>
      </w:r>
      <w:r w:rsidR="006E210A">
        <w:rPr>
          <w:b w:val="0"/>
        </w:rPr>
        <w:t>2.</w:t>
      </w:r>
      <w:r w:rsidR="00493C6B">
        <w:rPr>
          <w:b w:val="0"/>
          <w:noProof/>
        </w:rPr>
        <w:t>3</w:t>
      </w:r>
      <w:r>
        <w:tab/>
        <w:t>Progressive merger activity</w:t>
      </w:r>
    </w:p>
    <w:p w:rsidR="0037747B" w:rsidRDefault="0037747B">
      <w:pPr>
        <w:pStyle w:val="Subtitle"/>
      </w:pPr>
      <w:r>
        <w:t>NSW, distribution businesses 1945</w:t>
      </w:r>
      <w:r>
        <w:noBreakHyphen/>
        <w:t>2014</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37747B">
        <w:tc>
          <w:tcPr>
            <w:tcW w:w="8777" w:type="dxa"/>
          </w:tcPr>
          <w:p w:rsidR="0037747B" w:rsidRDefault="00696322">
            <w:pPr>
              <w:pStyle w:val="Figure"/>
            </w:pPr>
            <w:r>
              <w:rPr>
                <w:noProof/>
              </w:rPr>
              <w:drawing>
                <wp:inline distT="0" distB="0" distL="0" distR="0" wp14:anchorId="359021BA">
                  <wp:extent cx="4913630" cy="2743200"/>
                  <wp:effectExtent l="0" t="0" r="1270" b="0"/>
                  <wp:docPr id="10" name="Picture 10" descr="Progressive merger activity. This figure shows progressive mergers of distribution businesses in New South Wales for the period of 1945 to 2014. There were nearly 200 businesses in 1945 and 3 in 2012. Soon there will be 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3630" cy="2743200"/>
                          </a:xfrm>
                          <a:prstGeom prst="rect">
                            <a:avLst/>
                          </a:prstGeom>
                          <a:noFill/>
                        </pic:spPr>
                      </pic:pic>
                    </a:graphicData>
                  </a:graphic>
                </wp:inline>
              </w:drawing>
            </w:r>
          </w:p>
        </w:tc>
      </w:tr>
    </w:tbl>
    <w:p w:rsidR="0037747B" w:rsidRDefault="0037747B" w:rsidP="0037747B">
      <w:pPr>
        <w:pStyle w:val="Source"/>
      </w:pPr>
      <w:r>
        <w:rPr>
          <w:i/>
        </w:rPr>
        <w:t>Data source</w:t>
      </w:r>
      <w:r w:rsidRPr="00167F06">
        <w:t xml:space="preserve">: </w:t>
      </w:r>
      <w:r>
        <w:t xml:space="preserve">NAS </w:t>
      </w:r>
      <w:r w:rsidR="00EB6088">
        <w:t>(</w:t>
      </w:r>
      <w:r>
        <w:t>2009</w:t>
      </w:r>
      <w:r w:rsidR="00EB6088">
        <w:t>)</w:t>
      </w:r>
      <w:r>
        <w:t xml:space="preserve">, </w:t>
      </w:r>
      <w:r w:rsidRPr="007D619E">
        <w:rPr>
          <w:i/>
        </w:rPr>
        <w:t>I</w:t>
      </w:r>
      <w:r w:rsidRPr="0053256E">
        <w:rPr>
          <w:i/>
        </w:rPr>
        <w:t>ssues in relation to the Availability and Use of Asset, Expenditure and Related Information for Australian Electricity and Gas Distribution Businesses</w:t>
      </w:r>
      <w:r>
        <w:t xml:space="preserve">, paper for </w:t>
      </w:r>
      <w:proofErr w:type="spellStart"/>
      <w:r>
        <w:t>AEMC</w:t>
      </w:r>
      <w:proofErr w:type="spellEnd"/>
      <w:r>
        <w:t>, August.</w:t>
      </w:r>
    </w:p>
    <w:p w:rsidR="007E22F5" w:rsidRDefault="007E22F5" w:rsidP="007E22F5">
      <w:pPr>
        <w:pStyle w:val="Heading2"/>
      </w:pPr>
      <w:r>
        <w:lastRenderedPageBreak/>
        <w:t>2.</w:t>
      </w:r>
      <w:r w:rsidR="00493C6B">
        <w:rPr>
          <w:noProof/>
        </w:rPr>
        <w:t>2</w:t>
      </w:r>
      <w:r>
        <w:tab/>
        <w:t>The scale of the network and its costs</w:t>
      </w:r>
    </w:p>
    <w:p w:rsidR="007E22F5" w:rsidRDefault="007E22F5" w:rsidP="007E22F5">
      <w:pPr>
        <w:pStyle w:val="BodyText"/>
      </w:pPr>
      <w:r>
        <w:t>In 2010</w:t>
      </w:r>
      <w:r>
        <w:noBreakHyphen/>
        <w:t xml:space="preserve">11, 305 generators fed the network of five jurisdictional transmission networks, 13 major distribution networks and 6 interconnectors. Collectively, state governments are significant asset holders in all of the above segments of electricity supply. The </w:t>
      </w:r>
      <w:proofErr w:type="spellStart"/>
      <w:r>
        <w:t>NEM</w:t>
      </w:r>
      <w:proofErr w:type="spellEnd"/>
      <w:r>
        <w:t xml:space="preserve"> accounts for around 90 per cent of the line length of the entire Australian electricity distribution system and provides energy to about the same share of Australian customers (Wessex Consulting 2010). The actual and forecast regulated network revenues over the (mostly five-year) regulatory periods still in force in early 2012 was $58 billion in June 2010 prices — $12 billion for transmission businesses and $46 billion for distribution businesses (</w:t>
      </w:r>
      <w:proofErr w:type="spellStart"/>
      <w:r>
        <w:t>AER</w:t>
      </w:r>
      <w:proofErr w:type="spellEnd"/>
      <w:r>
        <w:t xml:space="preserve"> </w:t>
      </w:r>
      <w:proofErr w:type="spellStart"/>
      <w:r>
        <w:t>2011</w:t>
      </w:r>
      <w:r w:rsidR="00E125C2">
        <w:t>b</w:t>
      </w:r>
      <w:proofErr w:type="spellEnd"/>
      <w:r>
        <w:t>, p. 60). The corresponding asset values for transmission and distribution network businesses in 2008 were</w:t>
      </w:r>
      <w:r w:rsidR="007D619E">
        <w:t>, respectively,</w:t>
      </w:r>
      <w:r>
        <w:t xml:space="preserve"> $14.2</w:t>
      </w:r>
      <w:r w:rsidR="007D619E">
        <w:t xml:space="preserve"> billion </w:t>
      </w:r>
      <w:r>
        <w:t xml:space="preserve">and </w:t>
      </w:r>
      <w:r w:rsidR="007D619E">
        <w:t xml:space="preserve">$ </w:t>
      </w:r>
      <w:r>
        <w:t>44.1 billion in 2010 prices.</w:t>
      </w:r>
    </w:p>
    <w:p w:rsidR="007E22F5" w:rsidRDefault="007E22F5" w:rsidP="007E22F5">
      <w:pPr>
        <w:pStyle w:val="BodyText"/>
      </w:pPr>
      <w:r>
        <w:t xml:space="preserve">The </w:t>
      </w:r>
      <w:proofErr w:type="spellStart"/>
      <w:r>
        <w:t>NEM</w:t>
      </w:r>
      <w:proofErr w:type="spellEnd"/>
      <w:r>
        <w:t xml:space="preserve"> is one of the most geographically dispersed electricity networks in the world (figure 2.4). </w:t>
      </w:r>
    </w:p>
    <w:p w:rsidR="007E22F5" w:rsidRDefault="007E22F5" w:rsidP="007E22F5">
      <w:pPr>
        <w:pStyle w:val="BodyText"/>
      </w:pPr>
      <w:r>
        <w:t>The network comprises around 40 000 kilometres of high voltage transmission lines and 750 000 kilometres of lower voltage distribution networks (</w:t>
      </w:r>
      <w:proofErr w:type="spellStart"/>
      <w:r>
        <w:t>AER</w:t>
      </w:r>
      <w:proofErr w:type="spellEnd"/>
      <w:r>
        <w:t> </w:t>
      </w:r>
      <w:proofErr w:type="spellStart"/>
      <w:r>
        <w:t>2011</w:t>
      </w:r>
      <w:r w:rsidR="00E125C2">
        <w:t>b</w:t>
      </w:r>
      <w:proofErr w:type="spellEnd"/>
      <w:r>
        <w:t>, pp. </w:t>
      </w:r>
      <w:proofErr w:type="spellStart"/>
      <w:r>
        <w:t>53ff</w:t>
      </w:r>
      <w:proofErr w:type="spellEnd"/>
      <w:r>
        <w:t xml:space="preserve">). There are also around 1500 kilometres of interconnectors that transmit power from one jurisdiction’s electricity system to another, thus creating the ‘national’ market. To give a perspective on this, in the United Kingdom, there are around 25 000 kilometres of transmission lines and 800 000 kilometres of distribution lines serving a population of more than three times that of the </w:t>
      </w:r>
      <w:proofErr w:type="spellStart"/>
      <w:r>
        <w:t>NEM</w:t>
      </w:r>
      <w:proofErr w:type="spellEnd"/>
      <w:r>
        <w:t xml:space="preserve"> (UK Department of Energy and Climate Change 2011). </w:t>
      </w:r>
    </w:p>
    <w:p w:rsidR="007E22F5" w:rsidRDefault="007E22F5" w:rsidP="007E22F5">
      <w:pPr>
        <w:pStyle w:val="BodyText"/>
      </w:pPr>
      <w:r>
        <w:t xml:space="preserve">The total asset value of the </w:t>
      </w:r>
      <w:proofErr w:type="spellStart"/>
      <w:r>
        <w:t>NEM</w:t>
      </w:r>
      <w:proofErr w:type="spellEnd"/>
      <w:r>
        <w:t xml:space="preserve"> network was around $60 billion in 2010, with an expected five yearly investment of more than $40 billion (table 2.2).</w:t>
      </w:r>
    </w:p>
    <w:p w:rsidR="007E22F5" w:rsidRDefault="007E22F5" w:rsidP="007E22F5">
      <w:pPr>
        <w:pStyle w:val="BodyText"/>
      </w:pPr>
      <w:r>
        <w:t xml:space="preserve">The distribution network accounted for around 75 per cent of the total network assets and just over 80 per cent of the proposed new investment. This is why concerns about the efficiency of investment mainly relate to distribution networks. Interconnectors account for an estimated share of total network asset values of around 5 per cent. Transmission accounts for the residual network assets and investment. </w:t>
      </w:r>
    </w:p>
    <w:p w:rsidR="00502DE5" w:rsidRDefault="00502DE5" w:rsidP="00502DE5">
      <w:pPr>
        <w:pStyle w:val="FigureTitle"/>
      </w:pPr>
      <w:r>
        <w:rPr>
          <w:b w:val="0"/>
        </w:rPr>
        <w:lastRenderedPageBreak/>
        <w:t xml:space="preserve">Figure </w:t>
      </w:r>
      <w:r w:rsidR="006E210A">
        <w:rPr>
          <w:b w:val="0"/>
        </w:rPr>
        <w:t>2.</w:t>
      </w:r>
      <w:r w:rsidR="00493C6B">
        <w:rPr>
          <w:b w:val="0"/>
          <w:noProof/>
        </w:rPr>
        <w:t>4</w:t>
      </w:r>
      <w:r>
        <w:tab/>
        <w:t xml:space="preserve">Transmission network infrastructure in the </w:t>
      </w:r>
      <w:proofErr w:type="spellStart"/>
      <w:r>
        <w:t>NEM</w:t>
      </w:r>
      <w:proofErr w:type="spellEnd"/>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502DE5" w:rsidTr="00DD213F">
        <w:tc>
          <w:tcPr>
            <w:tcW w:w="8777" w:type="dxa"/>
          </w:tcPr>
          <w:p w:rsidR="00502DE5" w:rsidRDefault="00502DE5" w:rsidP="00DD213F">
            <w:pPr>
              <w:pStyle w:val="Figure"/>
            </w:pPr>
            <w:r>
              <w:rPr>
                <w:noProof/>
              </w:rPr>
              <w:drawing>
                <wp:inline distT="0" distB="0" distL="0" distR="0" wp14:anchorId="5A3A5A0B" wp14:editId="0B9D3510">
                  <wp:extent cx="5289550" cy="6176010"/>
                  <wp:effectExtent l="0" t="0" r="6350" b="0"/>
                  <wp:docPr id="30" name="Picture 30" descr="Transmission network infrastructure in the NEM. This figure shows the broad geographical locations of transmission network infrastructure in South Australia, Queensland, New South Wales, the Australian Capital Territory, Victoria and Tasm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9550" cy="6176010"/>
                          </a:xfrm>
                          <a:prstGeom prst="rect">
                            <a:avLst/>
                          </a:prstGeom>
                          <a:noFill/>
                          <a:ln>
                            <a:noFill/>
                          </a:ln>
                        </pic:spPr>
                      </pic:pic>
                    </a:graphicData>
                  </a:graphic>
                </wp:inline>
              </w:drawing>
            </w:r>
          </w:p>
        </w:tc>
      </w:tr>
    </w:tbl>
    <w:p w:rsidR="00502DE5" w:rsidRDefault="00502DE5" w:rsidP="00502DE5">
      <w:pPr>
        <w:pStyle w:val="Source"/>
      </w:pPr>
      <w:r>
        <w:rPr>
          <w:i/>
        </w:rPr>
        <w:t>Data source</w:t>
      </w:r>
      <w:r w:rsidRPr="00167F06">
        <w:t xml:space="preserve">: </w:t>
      </w:r>
      <w:proofErr w:type="spellStart"/>
      <w:r>
        <w:t>AER</w:t>
      </w:r>
      <w:proofErr w:type="spellEnd"/>
      <w:r>
        <w:t xml:space="preserve"> </w:t>
      </w:r>
      <w:r w:rsidR="00EB6088">
        <w:t>(</w:t>
      </w:r>
      <w:proofErr w:type="spellStart"/>
      <w:r>
        <w:t>2009</w:t>
      </w:r>
      <w:r w:rsidR="00E125C2">
        <w:t>a</w:t>
      </w:r>
      <w:proofErr w:type="spellEnd"/>
      <w:r w:rsidR="00EB6088">
        <w:t>, p. 126)</w:t>
      </w:r>
      <w:r w:rsidR="00627F0A">
        <w:t>.</w:t>
      </w:r>
    </w:p>
    <w:p w:rsidR="006B247F" w:rsidRDefault="006B247F" w:rsidP="006B247F">
      <w:pPr>
        <w:pStyle w:val="BodyText"/>
      </w:pPr>
      <w:r>
        <w:t xml:space="preserve">There is less information about other aspects of network businesses in the </w:t>
      </w:r>
      <w:proofErr w:type="spellStart"/>
      <w:r>
        <w:t>NEM</w:t>
      </w:r>
      <w:proofErr w:type="spellEnd"/>
      <w:r>
        <w:t xml:space="preserve"> because the </w:t>
      </w:r>
      <w:proofErr w:type="spellStart"/>
      <w:r>
        <w:t>AER</w:t>
      </w:r>
      <w:proofErr w:type="spellEnd"/>
      <w:r>
        <w:t xml:space="preserve"> concentrates on investment, assets, and regulatory revenues, rather than broader measures of the importance of the industry:</w:t>
      </w:r>
      <w:r>
        <w:rPr>
          <w:rStyle w:val="FootnoteReference"/>
        </w:rPr>
        <w:footnoteReference w:id="10"/>
      </w:r>
      <w:r>
        <w:t xml:space="preserve"> </w:t>
      </w:r>
    </w:p>
    <w:p w:rsidR="00D422CB" w:rsidRDefault="00D422CB" w:rsidP="006B247F">
      <w:pPr>
        <w:pStyle w:val="ListBullet"/>
      </w:pPr>
      <w:r>
        <w:lastRenderedPageBreak/>
        <w:t xml:space="preserve">Employment in network businesses was around 30 000 at 30 June 2011, but this is for all jurisdictions, not just the </w:t>
      </w:r>
      <w:proofErr w:type="spellStart"/>
      <w:r>
        <w:t>NEM</w:t>
      </w:r>
      <w:proofErr w:type="spellEnd"/>
      <w:r>
        <w:t xml:space="preserve"> (</w:t>
      </w:r>
      <w:proofErr w:type="spellStart"/>
      <w:r>
        <w:t>ESAA</w:t>
      </w:r>
      <w:proofErr w:type="spellEnd"/>
      <w:r>
        <w:t xml:space="preserve"> 2012, p. 10). Given that the </w:t>
      </w:r>
      <w:proofErr w:type="spellStart"/>
      <w:r>
        <w:t>NEM</w:t>
      </w:r>
      <w:proofErr w:type="spellEnd"/>
      <w:r>
        <w:t xml:space="preserve"> accounts for around 90 per cent of total customers (Wessex Consulting 2010), a reasonable employment estimate for </w:t>
      </w:r>
      <w:proofErr w:type="spellStart"/>
      <w:r>
        <w:t>NEM</w:t>
      </w:r>
      <w:proofErr w:type="spellEnd"/>
      <w:r>
        <w:t xml:space="preserve"> businesses is around 27 000. Somewhat dated</w:t>
      </w:r>
      <w:r w:rsidR="00C134A7">
        <w:t xml:space="preserve"> Australian Bureau of Statistics</w:t>
      </w:r>
      <w:r>
        <w:t xml:space="preserve"> </w:t>
      </w:r>
      <w:r w:rsidR="00C134A7">
        <w:t>(</w:t>
      </w:r>
      <w:r>
        <w:t>ABS</w:t>
      </w:r>
      <w:r w:rsidR="00C134A7">
        <w:t>)</w:t>
      </w:r>
      <w:r>
        <w:t xml:space="preserve"> information on the industry for June 2007 suggests a number consistent with this (table 2.3). Average annual employee benefits are estimated to be around $128 000 per person in 2010</w:t>
      </w:r>
      <w:r>
        <w:noBreakHyphen/>
        <w:t>11 (based on adding wage inflation rates to the data from table 2.3).</w:t>
      </w:r>
      <w:r>
        <w:rPr>
          <w:rStyle w:val="FootnoteReference"/>
        </w:rPr>
        <w:footnoteReference w:id="11"/>
      </w:r>
    </w:p>
    <w:p w:rsidR="00D422CB" w:rsidRDefault="00D422CB" w:rsidP="00D422CB">
      <w:pPr>
        <w:pStyle w:val="ListBullet"/>
      </w:pPr>
      <w:r>
        <w:t>Value added is estimated to be around $10.7 billion in 2010</w:t>
      </w:r>
      <w:r>
        <w:noBreakHyphen/>
        <w:t>11.</w:t>
      </w:r>
      <w:r>
        <w:rPr>
          <w:rStyle w:val="FootnoteReference"/>
        </w:rPr>
        <w:footnoteReference w:id="12"/>
      </w:r>
    </w:p>
    <w:p w:rsidR="00AD1A59" w:rsidRDefault="00AD1A59" w:rsidP="00AD1A59">
      <w:pPr>
        <w:pStyle w:val="TableTitle"/>
      </w:pPr>
      <w:r>
        <w:rPr>
          <w:b w:val="0"/>
        </w:rPr>
        <w:t xml:space="preserve">Table </w:t>
      </w:r>
      <w:r w:rsidR="006E210A">
        <w:rPr>
          <w:b w:val="0"/>
        </w:rPr>
        <w:t>2.</w:t>
      </w:r>
      <w:r w:rsidR="00493C6B">
        <w:rPr>
          <w:b w:val="0"/>
          <w:noProof/>
        </w:rPr>
        <w:t>2</w:t>
      </w:r>
      <w:r>
        <w:tab/>
        <w:t xml:space="preserve">Assets and investment in the </w:t>
      </w:r>
      <w:proofErr w:type="spellStart"/>
      <w:r w:rsidR="008D7E18">
        <w:t>NEM</w:t>
      </w:r>
      <w:proofErr w:type="spellEnd"/>
    </w:p>
    <w:tbl>
      <w:tblPr>
        <w:tblW w:w="4965" w:type="pct"/>
        <w:tblCellMar>
          <w:left w:w="0" w:type="dxa"/>
          <w:right w:w="0" w:type="dxa"/>
        </w:tblCellMar>
        <w:tblLook w:val="0000" w:firstRow="0" w:lastRow="0" w:firstColumn="0" w:lastColumn="0" w:noHBand="0" w:noVBand="0"/>
      </w:tblPr>
      <w:tblGrid>
        <w:gridCol w:w="1600"/>
        <w:gridCol w:w="1155"/>
        <w:gridCol w:w="1169"/>
        <w:gridCol w:w="1168"/>
        <w:gridCol w:w="1007"/>
        <w:gridCol w:w="1087"/>
        <w:gridCol w:w="1541"/>
      </w:tblGrid>
      <w:tr w:rsidR="00AD1A59" w:rsidTr="00124306">
        <w:tc>
          <w:tcPr>
            <w:tcW w:w="916" w:type="pct"/>
            <w:tcBorders>
              <w:top w:val="single" w:sz="6" w:space="0" w:color="auto"/>
              <w:bottom w:val="single" w:sz="6" w:space="0" w:color="auto"/>
            </w:tcBorders>
            <w:shd w:val="clear" w:color="auto" w:fill="auto"/>
          </w:tcPr>
          <w:p w:rsidR="00AD1A59" w:rsidRDefault="00AD1A59" w:rsidP="00DD213F">
            <w:pPr>
              <w:pStyle w:val="TableColumnHeading"/>
            </w:pPr>
          </w:p>
        </w:tc>
        <w:tc>
          <w:tcPr>
            <w:tcW w:w="662" w:type="pct"/>
            <w:tcBorders>
              <w:top w:val="single" w:sz="6" w:space="0" w:color="auto"/>
              <w:bottom w:val="single" w:sz="6" w:space="0" w:color="auto"/>
            </w:tcBorders>
            <w:shd w:val="clear" w:color="auto" w:fill="auto"/>
          </w:tcPr>
          <w:p w:rsidR="00AD1A59" w:rsidRPr="00FE5BCB" w:rsidRDefault="00651973" w:rsidP="00DD213F">
            <w:pPr>
              <w:pStyle w:val="TableColumnHeading"/>
            </w:pPr>
            <w:r>
              <w:t xml:space="preserve">Asset  value 2010 </w:t>
            </w:r>
            <w:r w:rsidR="00AD1A59" w:rsidRPr="00FE5BCB">
              <w:t>(billion)</w:t>
            </w:r>
          </w:p>
        </w:tc>
        <w:tc>
          <w:tcPr>
            <w:tcW w:w="670" w:type="pct"/>
            <w:tcBorders>
              <w:top w:val="single" w:sz="6" w:space="0" w:color="auto"/>
              <w:bottom w:val="single" w:sz="6" w:space="0" w:color="auto"/>
            </w:tcBorders>
            <w:shd w:val="clear" w:color="auto" w:fill="auto"/>
          </w:tcPr>
          <w:p w:rsidR="00AD1A59" w:rsidRPr="00FE5BCB" w:rsidRDefault="00AD1A59" w:rsidP="00DD213F">
            <w:pPr>
              <w:pStyle w:val="TableColumnHeading"/>
            </w:pPr>
            <w:r w:rsidRPr="00FE5BCB">
              <w:t>Estimated investment in 2010</w:t>
            </w:r>
          </w:p>
        </w:tc>
        <w:tc>
          <w:tcPr>
            <w:tcW w:w="669" w:type="pct"/>
            <w:tcBorders>
              <w:top w:val="single" w:sz="6" w:space="0" w:color="auto"/>
              <w:bottom w:val="single" w:sz="6" w:space="0" w:color="auto"/>
            </w:tcBorders>
            <w:shd w:val="clear" w:color="auto" w:fill="auto"/>
          </w:tcPr>
          <w:p w:rsidR="00AD1A59" w:rsidRPr="00FE5BCB" w:rsidRDefault="00AD1A59" w:rsidP="00DD213F">
            <w:pPr>
              <w:pStyle w:val="TableColumnHeading"/>
            </w:pPr>
            <w:r w:rsidRPr="00FE5BCB">
              <w:t>Investment rate</w:t>
            </w:r>
            <w:r w:rsidR="00464E9D">
              <w:t xml:space="preserve"> (investment to assets)</w:t>
            </w:r>
          </w:p>
        </w:tc>
        <w:tc>
          <w:tcPr>
            <w:tcW w:w="577" w:type="pct"/>
            <w:tcBorders>
              <w:top w:val="single" w:sz="6" w:space="0" w:color="auto"/>
              <w:bottom w:val="single" w:sz="6" w:space="0" w:color="auto"/>
            </w:tcBorders>
            <w:shd w:val="clear" w:color="auto" w:fill="auto"/>
          </w:tcPr>
          <w:p w:rsidR="00AD1A59" w:rsidRPr="00FE5BCB" w:rsidRDefault="00AD1A59" w:rsidP="00DD213F">
            <w:pPr>
              <w:pStyle w:val="TableColumnHeading"/>
            </w:pPr>
            <w:r w:rsidRPr="00FE5BCB">
              <w:t>Share of total assets</w:t>
            </w:r>
          </w:p>
        </w:tc>
        <w:tc>
          <w:tcPr>
            <w:tcW w:w="623" w:type="pct"/>
            <w:tcBorders>
              <w:top w:val="single" w:sz="6" w:space="0" w:color="auto"/>
              <w:bottom w:val="single" w:sz="6" w:space="0" w:color="auto"/>
            </w:tcBorders>
            <w:shd w:val="clear" w:color="auto" w:fill="auto"/>
          </w:tcPr>
          <w:p w:rsidR="00AD1A59" w:rsidRPr="00FE5BCB" w:rsidRDefault="00AD1A59" w:rsidP="00DD213F">
            <w:pPr>
              <w:pStyle w:val="TableColumnHeading"/>
            </w:pPr>
            <w:r w:rsidRPr="00FE5BCB">
              <w:t>Share of total</w:t>
            </w:r>
            <w:r>
              <w:t xml:space="preserve"> invest.</w:t>
            </w:r>
          </w:p>
        </w:tc>
        <w:tc>
          <w:tcPr>
            <w:tcW w:w="884" w:type="pct"/>
            <w:tcBorders>
              <w:top w:val="single" w:sz="6" w:space="0" w:color="auto"/>
              <w:bottom w:val="single" w:sz="6" w:space="0" w:color="auto"/>
            </w:tcBorders>
            <w:shd w:val="clear" w:color="auto" w:fill="auto"/>
          </w:tcPr>
          <w:p w:rsidR="00AD1A59" w:rsidRPr="00FE5BCB" w:rsidRDefault="00AD1A59" w:rsidP="00DD213F">
            <w:pPr>
              <w:pStyle w:val="TableColumnHeading"/>
            </w:pPr>
            <w:r>
              <w:t>Segment’s c</w:t>
            </w:r>
            <w:r w:rsidRPr="00FE5BCB">
              <w:t>ontribution to electricity price 2010-11</w:t>
            </w:r>
            <w:r w:rsidRPr="00117B56">
              <w:rPr>
                <w:rStyle w:val="NoteLabel"/>
              </w:rPr>
              <w:t>e</w:t>
            </w:r>
          </w:p>
        </w:tc>
      </w:tr>
      <w:tr w:rsidR="00AD1A59" w:rsidTr="00124306">
        <w:tc>
          <w:tcPr>
            <w:tcW w:w="916" w:type="pct"/>
            <w:tcBorders>
              <w:top w:val="single" w:sz="6" w:space="0" w:color="auto"/>
            </w:tcBorders>
          </w:tcPr>
          <w:p w:rsidR="00AD1A59" w:rsidRPr="00FE5BCB" w:rsidRDefault="00AD1A59" w:rsidP="00DD213F">
            <w:pPr>
              <w:pStyle w:val="TableUnitsRow"/>
            </w:pPr>
          </w:p>
        </w:tc>
        <w:tc>
          <w:tcPr>
            <w:tcW w:w="662" w:type="pct"/>
            <w:tcBorders>
              <w:top w:val="single" w:sz="6" w:space="0" w:color="auto"/>
            </w:tcBorders>
          </w:tcPr>
          <w:p w:rsidR="00AD1A59" w:rsidRPr="00FE5BCB" w:rsidRDefault="00AD1A59" w:rsidP="00DD213F">
            <w:pPr>
              <w:pStyle w:val="TableUnitsRow"/>
            </w:pPr>
            <w:r w:rsidRPr="00FE5BCB">
              <w:t>$ billion</w:t>
            </w:r>
          </w:p>
        </w:tc>
        <w:tc>
          <w:tcPr>
            <w:tcW w:w="670" w:type="pct"/>
            <w:tcBorders>
              <w:top w:val="single" w:sz="6" w:space="0" w:color="auto"/>
            </w:tcBorders>
          </w:tcPr>
          <w:p w:rsidR="00AD1A59" w:rsidRPr="00FE5BCB" w:rsidRDefault="00AD1A59" w:rsidP="00DD213F">
            <w:pPr>
              <w:pStyle w:val="TableUnitsRow"/>
            </w:pPr>
            <w:r w:rsidRPr="00FE5BCB">
              <w:t>$ billion</w:t>
            </w:r>
          </w:p>
        </w:tc>
        <w:tc>
          <w:tcPr>
            <w:tcW w:w="669" w:type="pct"/>
            <w:tcBorders>
              <w:top w:val="single" w:sz="6" w:space="0" w:color="auto"/>
            </w:tcBorders>
          </w:tcPr>
          <w:p w:rsidR="00AD1A59" w:rsidRPr="00FE5BCB" w:rsidRDefault="00AD1A59" w:rsidP="00DD213F">
            <w:pPr>
              <w:pStyle w:val="TableUnitsRow"/>
            </w:pPr>
            <w:r>
              <w:t>%</w:t>
            </w:r>
          </w:p>
        </w:tc>
        <w:tc>
          <w:tcPr>
            <w:tcW w:w="577" w:type="pct"/>
            <w:tcBorders>
              <w:top w:val="single" w:sz="6" w:space="0" w:color="auto"/>
            </w:tcBorders>
          </w:tcPr>
          <w:p w:rsidR="00AD1A59" w:rsidRPr="00FE5BCB" w:rsidRDefault="00AD1A59" w:rsidP="00DD213F">
            <w:pPr>
              <w:pStyle w:val="TableUnitsRow"/>
            </w:pPr>
            <w:r w:rsidRPr="00FE5BCB">
              <w:t>%</w:t>
            </w:r>
          </w:p>
        </w:tc>
        <w:tc>
          <w:tcPr>
            <w:tcW w:w="623" w:type="pct"/>
            <w:tcBorders>
              <w:top w:val="single" w:sz="6" w:space="0" w:color="auto"/>
            </w:tcBorders>
          </w:tcPr>
          <w:p w:rsidR="00AD1A59" w:rsidRPr="00FE5BCB" w:rsidRDefault="00AD1A59" w:rsidP="00DD213F">
            <w:pPr>
              <w:pStyle w:val="TableUnitsRow"/>
            </w:pPr>
            <w:r w:rsidRPr="00FE5BCB">
              <w:t>%</w:t>
            </w:r>
          </w:p>
        </w:tc>
        <w:tc>
          <w:tcPr>
            <w:tcW w:w="884" w:type="pct"/>
            <w:tcBorders>
              <w:top w:val="single" w:sz="6" w:space="0" w:color="auto"/>
            </w:tcBorders>
          </w:tcPr>
          <w:p w:rsidR="00AD1A59" w:rsidRPr="00FE5BCB" w:rsidRDefault="00AD1A59" w:rsidP="00DD213F">
            <w:pPr>
              <w:pStyle w:val="TableUnitsRow"/>
            </w:pPr>
            <w:r w:rsidRPr="00FE5BCB">
              <w:t>%</w:t>
            </w:r>
          </w:p>
        </w:tc>
      </w:tr>
      <w:tr w:rsidR="00AD1A59" w:rsidTr="00124306">
        <w:tc>
          <w:tcPr>
            <w:tcW w:w="916" w:type="pct"/>
          </w:tcPr>
          <w:p w:rsidR="00AD1A59" w:rsidRPr="00FE5BCB" w:rsidRDefault="00AD1A59" w:rsidP="00124306">
            <w:pPr>
              <w:pStyle w:val="TableBodyText"/>
              <w:spacing w:before="40"/>
              <w:jc w:val="left"/>
            </w:pPr>
            <w:r w:rsidRPr="00FE5BCB">
              <w:t>Generation</w:t>
            </w:r>
            <w:r w:rsidRPr="00117B56">
              <w:rPr>
                <w:rStyle w:val="NoteLabel"/>
              </w:rPr>
              <w:t>a</w:t>
            </w:r>
          </w:p>
        </w:tc>
        <w:tc>
          <w:tcPr>
            <w:tcW w:w="662" w:type="pct"/>
          </w:tcPr>
          <w:p w:rsidR="00AD1A59" w:rsidRPr="00FE5BCB" w:rsidRDefault="00AD1A59" w:rsidP="00124306">
            <w:pPr>
              <w:pStyle w:val="TableBodyText"/>
              <w:spacing w:before="40"/>
            </w:pPr>
            <w:r w:rsidRPr="00FE5BCB">
              <w:t>40.0</w:t>
            </w:r>
          </w:p>
        </w:tc>
        <w:tc>
          <w:tcPr>
            <w:tcW w:w="670" w:type="pct"/>
          </w:tcPr>
          <w:p w:rsidR="00AD1A59" w:rsidRPr="00FE5BCB" w:rsidRDefault="00AD1A59" w:rsidP="00124306">
            <w:pPr>
              <w:pStyle w:val="TableBodyText"/>
              <w:spacing w:before="40"/>
            </w:pPr>
            <w:r w:rsidRPr="00FE5BCB">
              <w:t>1.2</w:t>
            </w:r>
          </w:p>
        </w:tc>
        <w:tc>
          <w:tcPr>
            <w:tcW w:w="669" w:type="pct"/>
          </w:tcPr>
          <w:p w:rsidR="00AD1A59" w:rsidRPr="00FE5BCB" w:rsidRDefault="00AD1A59" w:rsidP="00124306">
            <w:pPr>
              <w:pStyle w:val="TableBodyText"/>
              <w:spacing w:before="40"/>
            </w:pPr>
            <w:r w:rsidRPr="00FE5BCB">
              <w:t>3.1</w:t>
            </w:r>
          </w:p>
        </w:tc>
        <w:tc>
          <w:tcPr>
            <w:tcW w:w="577" w:type="pct"/>
          </w:tcPr>
          <w:p w:rsidR="00AD1A59" w:rsidRPr="00FE5BCB" w:rsidRDefault="00AD1A59" w:rsidP="00124306">
            <w:pPr>
              <w:pStyle w:val="TableBodyText"/>
              <w:spacing w:before="40"/>
            </w:pPr>
            <w:r w:rsidRPr="00FE5BCB">
              <w:t>40.7</w:t>
            </w:r>
          </w:p>
        </w:tc>
        <w:tc>
          <w:tcPr>
            <w:tcW w:w="623" w:type="pct"/>
          </w:tcPr>
          <w:p w:rsidR="00AD1A59" w:rsidRPr="00FE5BCB" w:rsidRDefault="00AD1A59" w:rsidP="00124306">
            <w:pPr>
              <w:pStyle w:val="TableBodyText"/>
              <w:spacing w:before="40"/>
            </w:pPr>
            <w:r w:rsidRPr="00FE5BCB">
              <w:t>12.6</w:t>
            </w:r>
          </w:p>
        </w:tc>
        <w:tc>
          <w:tcPr>
            <w:tcW w:w="884" w:type="pct"/>
          </w:tcPr>
          <w:p w:rsidR="00AD1A59" w:rsidRPr="00DE45C6" w:rsidRDefault="00AD1A59" w:rsidP="00124306">
            <w:pPr>
              <w:pStyle w:val="TableBodyText"/>
              <w:spacing w:before="40"/>
            </w:pPr>
            <w:r w:rsidRPr="00DE45C6">
              <w:t>32.2</w:t>
            </w:r>
          </w:p>
        </w:tc>
      </w:tr>
      <w:tr w:rsidR="00AD1A59" w:rsidTr="00DD213F">
        <w:tc>
          <w:tcPr>
            <w:tcW w:w="916" w:type="pct"/>
          </w:tcPr>
          <w:p w:rsidR="00AD1A59" w:rsidRPr="00FE5BCB" w:rsidRDefault="00AD1A59" w:rsidP="00124306">
            <w:pPr>
              <w:pStyle w:val="TableBodyText"/>
              <w:spacing w:before="40"/>
              <w:jc w:val="left"/>
            </w:pPr>
            <w:r w:rsidRPr="00FE5BCB">
              <w:t>Transmission and interconnectors</w:t>
            </w:r>
            <w:r w:rsidRPr="00117B56">
              <w:rPr>
                <w:rStyle w:val="NoteLabel"/>
              </w:rPr>
              <w:t>b</w:t>
            </w:r>
          </w:p>
        </w:tc>
        <w:tc>
          <w:tcPr>
            <w:tcW w:w="662" w:type="pct"/>
          </w:tcPr>
          <w:p w:rsidR="00AD1A59" w:rsidRPr="00FE5BCB" w:rsidRDefault="00AD1A59" w:rsidP="00124306">
            <w:pPr>
              <w:pStyle w:val="TableBodyText"/>
              <w:spacing w:before="40"/>
            </w:pPr>
            <w:r w:rsidRPr="00FE5BCB">
              <w:t>14.2</w:t>
            </w:r>
          </w:p>
        </w:tc>
        <w:tc>
          <w:tcPr>
            <w:tcW w:w="670" w:type="pct"/>
          </w:tcPr>
          <w:p w:rsidR="00AD1A59" w:rsidRPr="00FE5BCB" w:rsidRDefault="00AD1A59" w:rsidP="00124306">
            <w:pPr>
              <w:pStyle w:val="TableBodyText"/>
              <w:spacing w:before="40"/>
            </w:pPr>
            <w:r w:rsidRPr="00FE5BCB">
              <w:t>1.5</w:t>
            </w:r>
          </w:p>
        </w:tc>
        <w:tc>
          <w:tcPr>
            <w:tcW w:w="669" w:type="pct"/>
          </w:tcPr>
          <w:p w:rsidR="00AD1A59" w:rsidRPr="00FE5BCB" w:rsidRDefault="00AD1A59" w:rsidP="00124306">
            <w:pPr>
              <w:pStyle w:val="TableBodyText"/>
              <w:spacing w:before="40"/>
            </w:pPr>
            <w:r w:rsidRPr="00FE5BCB">
              <w:t>10.4</w:t>
            </w:r>
          </w:p>
        </w:tc>
        <w:tc>
          <w:tcPr>
            <w:tcW w:w="577" w:type="pct"/>
          </w:tcPr>
          <w:p w:rsidR="00AD1A59" w:rsidRPr="00FE5BCB" w:rsidRDefault="00AD1A59" w:rsidP="00124306">
            <w:pPr>
              <w:pStyle w:val="TableBodyText"/>
              <w:spacing w:before="40"/>
            </w:pPr>
            <w:r w:rsidRPr="00FE5BCB">
              <w:t>14.5</w:t>
            </w:r>
          </w:p>
        </w:tc>
        <w:tc>
          <w:tcPr>
            <w:tcW w:w="623" w:type="pct"/>
          </w:tcPr>
          <w:p w:rsidR="00AD1A59" w:rsidRPr="00FE5BCB" w:rsidRDefault="00AD1A59" w:rsidP="00124306">
            <w:pPr>
              <w:pStyle w:val="TableBodyText"/>
              <w:spacing w:before="40"/>
            </w:pPr>
            <w:r w:rsidRPr="00FE5BCB">
              <w:t>15.3</w:t>
            </w:r>
          </w:p>
        </w:tc>
        <w:tc>
          <w:tcPr>
            <w:tcW w:w="884" w:type="pct"/>
          </w:tcPr>
          <w:p w:rsidR="00AD1A59" w:rsidRPr="00DE45C6" w:rsidRDefault="00AD1A59" w:rsidP="00124306">
            <w:pPr>
              <w:pStyle w:val="TableBodyText"/>
              <w:spacing w:before="40"/>
            </w:pPr>
            <w:r w:rsidRPr="00DE45C6">
              <w:t>7.7</w:t>
            </w:r>
          </w:p>
        </w:tc>
      </w:tr>
      <w:tr w:rsidR="00AD1A59" w:rsidTr="00DD213F">
        <w:tc>
          <w:tcPr>
            <w:tcW w:w="916" w:type="pct"/>
          </w:tcPr>
          <w:p w:rsidR="00AD1A59" w:rsidRPr="00FE5BCB" w:rsidRDefault="00AD1A59" w:rsidP="00124306">
            <w:pPr>
              <w:pStyle w:val="TableBodyText"/>
              <w:spacing w:before="40"/>
              <w:jc w:val="left"/>
            </w:pPr>
            <w:r w:rsidRPr="00FE5BCB">
              <w:t>Distribution</w:t>
            </w:r>
            <w:r w:rsidRPr="00117B56">
              <w:rPr>
                <w:rStyle w:val="NoteLabel"/>
              </w:rPr>
              <w:t>c</w:t>
            </w:r>
          </w:p>
        </w:tc>
        <w:tc>
          <w:tcPr>
            <w:tcW w:w="662" w:type="pct"/>
          </w:tcPr>
          <w:p w:rsidR="00AD1A59" w:rsidRPr="00FE5BCB" w:rsidRDefault="00AD1A59" w:rsidP="00124306">
            <w:pPr>
              <w:pStyle w:val="TableBodyText"/>
              <w:spacing w:before="40"/>
            </w:pPr>
            <w:r w:rsidRPr="00FE5BCB">
              <w:t>44.1</w:t>
            </w:r>
          </w:p>
        </w:tc>
        <w:tc>
          <w:tcPr>
            <w:tcW w:w="670" w:type="pct"/>
          </w:tcPr>
          <w:p w:rsidR="00AD1A59" w:rsidRPr="00FE5BCB" w:rsidRDefault="00AD1A59" w:rsidP="00124306">
            <w:pPr>
              <w:pStyle w:val="TableBodyText"/>
              <w:spacing w:before="40"/>
            </w:pPr>
            <w:r w:rsidRPr="00FE5BCB">
              <w:t>7.0</w:t>
            </w:r>
          </w:p>
        </w:tc>
        <w:tc>
          <w:tcPr>
            <w:tcW w:w="669" w:type="pct"/>
          </w:tcPr>
          <w:p w:rsidR="00AD1A59" w:rsidRPr="00FE5BCB" w:rsidRDefault="00AD1A59" w:rsidP="00124306">
            <w:pPr>
              <w:pStyle w:val="TableBodyText"/>
              <w:spacing w:before="40"/>
            </w:pPr>
            <w:r w:rsidRPr="00FE5BCB">
              <w:t>15.9</w:t>
            </w:r>
          </w:p>
        </w:tc>
        <w:tc>
          <w:tcPr>
            <w:tcW w:w="577" w:type="pct"/>
          </w:tcPr>
          <w:p w:rsidR="00AD1A59" w:rsidRPr="00FE5BCB" w:rsidRDefault="00AD1A59" w:rsidP="00124306">
            <w:pPr>
              <w:pStyle w:val="TableBodyText"/>
              <w:spacing w:before="40"/>
            </w:pPr>
            <w:r w:rsidRPr="00FE5BCB">
              <w:t>44.8</w:t>
            </w:r>
          </w:p>
        </w:tc>
        <w:tc>
          <w:tcPr>
            <w:tcW w:w="623" w:type="pct"/>
          </w:tcPr>
          <w:p w:rsidR="00AD1A59" w:rsidRPr="00FE5BCB" w:rsidRDefault="00AD1A59" w:rsidP="00124306">
            <w:pPr>
              <w:pStyle w:val="TableBodyText"/>
              <w:spacing w:before="40"/>
            </w:pPr>
            <w:r w:rsidRPr="00FE5BCB">
              <w:t>72.1</w:t>
            </w:r>
          </w:p>
        </w:tc>
        <w:tc>
          <w:tcPr>
            <w:tcW w:w="884" w:type="pct"/>
          </w:tcPr>
          <w:p w:rsidR="00AD1A59" w:rsidRPr="00DE45C6" w:rsidRDefault="00AD1A59" w:rsidP="00124306">
            <w:pPr>
              <w:pStyle w:val="TableBodyText"/>
              <w:spacing w:before="40"/>
            </w:pPr>
            <w:r w:rsidRPr="00DE45C6">
              <w:t>38.5</w:t>
            </w:r>
          </w:p>
        </w:tc>
      </w:tr>
      <w:tr w:rsidR="00AD1A59" w:rsidTr="00DD213F">
        <w:tc>
          <w:tcPr>
            <w:tcW w:w="916" w:type="pct"/>
            <w:tcBorders>
              <w:bottom w:val="single" w:sz="6" w:space="0" w:color="auto"/>
            </w:tcBorders>
            <w:shd w:val="clear" w:color="auto" w:fill="auto"/>
          </w:tcPr>
          <w:p w:rsidR="00AD1A59" w:rsidRPr="00FE5BCB" w:rsidRDefault="00AD1A59" w:rsidP="00124306">
            <w:pPr>
              <w:pStyle w:val="TableBodyText"/>
              <w:spacing w:before="40"/>
              <w:jc w:val="left"/>
            </w:pPr>
            <w:r w:rsidRPr="00FE5BCB">
              <w:t>Total</w:t>
            </w:r>
            <w:r>
              <w:t xml:space="preserve"> for above components</w:t>
            </w:r>
            <w:r w:rsidRPr="00117B56">
              <w:rPr>
                <w:rStyle w:val="NoteLabel"/>
              </w:rPr>
              <w:t>d</w:t>
            </w:r>
          </w:p>
        </w:tc>
        <w:tc>
          <w:tcPr>
            <w:tcW w:w="662" w:type="pct"/>
            <w:tcBorders>
              <w:bottom w:val="single" w:sz="6" w:space="0" w:color="auto"/>
            </w:tcBorders>
            <w:shd w:val="clear" w:color="auto" w:fill="auto"/>
          </w:tcPr>
          <w:p w:rsidR="00AD1A59" w:rsidRPr="00FE5BCB" w:rsidRDefault="00AD1A59" w:rsidP="00124306">
            <w:pPr>
              <w:pStyle w:val="TableBodyText"/>
              <w:spacing w:before="40"/>
            </w:pPr>
            <w:r w:rsidRPr="00FE5BCB">
              <w:t>98.3</w:t>
            </w:r>
          </w:p>
        </w:tc>
        <w:tc>
          <w:tcPr>
            <w:tcW w:w="670" w:type="pct"/>
            <w:tcBorders>
              <w:bottom w:val="single" w:sz="6" w:space="0" w:color="auto"/>
            </w:tcBorders>
            <w:shd w:val="clear" w:color="auto" w:fill="auto"/>
          </w:tcPr>
          <w:p w:rsidR="00AD1A59" w:rsidRPr="00FE5BCB" w:rsidRDefault="00AD1A59" w:rsidP="00124306">
            <w:pPr>
              <w:pStyle w:val="TableBodyText"/>
              <w:spacing w:before="40"/>
            </w:pPr>
            <w:r w:rsidRPr="00FE5BCB">
              <w:t>9.7</w:t>
            </w:r>
          </w:p>
        </w:tc>
        <w:tc>
          <w:tcPr>
            <w:tcW w:w="669" w:type="pct"/>
            <w:tcBorders>
              <w:bottom w:val="single" w:sz="6" w:space="0" w:color="auto"/>
            </w:tcBorders>
            <w:shd w:val="clear" w:color="auto" w:fill="auto"/>
          </w:tcPr>
          <w:p w:rsidR="00AD1A59" w:rsidRPr="00FE5BCB" w:rsidRDefault="00AD1A59" w:rsidP="00124306">
            <w:pPr>
              <w:pStyle w:val="TableBodyText"/>
              <w:spacing w:before="40"/>
            </w:pPr>
            <w:r>
              <w:t>9.9</w:t>
            </w:r>
          </w:p>
        </w:tc>
        <w:tc>
          <w:tcPr>
            <w:tcW w:w="577" w:type="pct"/>
            <w:tcBorders>
              <w:bottom w:val="single" w:sz="6" w:space="0" w:color="auto"/>
            </w:tcBorders>
            <w:shd w:val="clear" w:color="auto" w:fill="auto"/>
          </w:tcPr>
          <w:p w:rsidR="00AD1A59" w:rsidRPr="00FE5BCB" w:rsidRDefault="00AD1A59" w:rsidP="00124306">
            <w:pPr>
              <w:pStyle w:val="TableBodyText"/>
              <w:spacing w:before="40"/>
            </w:pPr>
            <w:r w:rsidRPr="00FE5BCB">
              <w:t>100.0</w:t>
            </w:r>
          </w:p>
        </w:tc>
        <w:tc>
          <w:tcPr>
            <w:tcW w:w="623" w:type="pct"/>
            <w:tcBorders>
              <w:bottom w:val="single" w:sz="6" w:space="0" w:color="auto"/>
            </w:tcBorders>
            <w:shd w:val="clear" w:color="auto" w:fill="auto"/>
          </w:tcPr>
          <w:p w:rsidR="00AD1A59" w:rsidRPr="00FE5BCB" w:rsidRDefault="00AD1A59" w:rsidP="00124306">
            <w:pPr>
              <w:pStyle w:val="TableBodyText"/>
              <w:spacing w:before="40"/>
            </w:pPr>
            <w:r w:rsidRPr="00FE5BCB">
              <w:t>100.0</w:t>
            </w:r>
          </w:p>
        </w:tc>
        <w:tc>
          <w:tcPr>
            <w:tcW w:w="884" w:type="pct"/>
            <w:tcBorders>
              <w:bottom w:val="single" w:sz="6" w:space="0" w:color="auto"/>
            </w:tcBorders>
            <w:shd w:val="clear" w:color="auto" w:fill="auto"/>
          </w:tcPr>
          <w:p w:rsidR="00AD1A59" w:rsidRPr="00DE45C6" w:rsidRDefault="00AD1A59" w:rsidP="00124306">
            <w:pPr>
              <w:pStyle w:val="TableBodyText"/>
              <w:spacing w:before="40"/>
            </w:pPr>
            <w:r w:rsidRPr="00DE45C6">
              <w:t>78.3</w:t>
            </w:r>
          </w:p>
        </w:tc>
      </w:tr>
    </w:tbl>
    <w:p w:rsidR="00AD1A59" w:rsidRDefault="00AD1A59" w:rsidP="00AD1A59">
      <w:pPr>
        <w:pStyle w:val="Note"/>
      </w:pPr>
      <w:proofErr w:type="spellStart"/>
      <w:r w:rsidRPr="00FE5BCB">
        <w:rPr>
          <w:rStyle w:val="NoteLabel"/>
        </w:rPr>
        <w:t>a</w:t>
      </w:r>
      <w:proofErr w:type="spellEnd"/>
      <w:r>
        <w:rPr>
          <w:rFonts w:cs="Arial"/>
        </w:rPr>
        <w:t xml:space="preserve"> </w:t>
      </w:r>
      <w:r>
        <w:t xml:space="preserve">The asset values are for 2008 for the major power generators in the </w:t>
      </w:r>
      <w:proofErr w:type="spellStart"/>
      <w:r>
        <w:t>NEM</w:t>
      </w:r>
      <w:proofErr w:type="spellEnd"/>
      <w:r>
        <w:t>, which account for nearly 100 per cent of installed capacity (</w:t>
      </w:r>
      <w:proofErr w:type="spellStart"/>
      <w:r>
        <w:t>NGF</w:t>
      </w:r>
      <w:proofErr w:type="spellEnd"/>
      <w:r>
        <w:t xml:space="preserve"> 2011, p. 1). The investment relates to 2010-11 for all generators in the </w:t>
      </w:r>
      <w:proofErr w:type="spellStart"/>
      <w:r>
        <w:t>NEM</w:t>
      </w:r>
      <w:proofErr w:type="spellEnd"/>
      <w:r>
        <w:t xml:space="preserve"> (</w:t>
      </w:r>
      <w:proofErr w:type="spellStart"/>
      <w:r>
        <w:t>AER</w:t>
      </w:r>
      <w:proofErr w:type="spellEnd"/>
      <w:r w:rsidR="00EB6088">
        <w:t> </w:t>
      </w:r>
      <w:proofErr w:type="spellStart"/>
      <w:r>
        <w:t>2011</w:t>
      </w:r>
      <w:r w:rsidR="00E125C2">
        <w:t>b</w:t>
      </w:r>
      <w:proofErr w:type="spellEnd"/>
      <w:r w:rsidR="007926E3">
        <w:t xml:space="preserve">, </w:t>
      </w:r>
      <w:r>
        <w:t>p.</w:t>
      </w:r>
      <w:r w:rsidR="00EB6088">
        <w:t> </w:t>
      </w:r>
      <w:r>
        <w:t>44).</w:t>
      </w:r>
      <w:r w:rsidR="002F167A">
        <w:t xml:space="preserve"> </w:t>
      </w:r>
      <w:r w:rsidRPr="00117B56">
        <w:rPr>
          <w:rStyle w:val="NoteLabel"/>
        </w:rPr>
        <w:t>b</w:t>
      </w:r>
      <w:r>
        <w:t xml:space="preserve"> The estimates for investment are one fifth of the investment for the five yearly regulatory period. The estimates also exclude any investment by </w:t>
      </w:r>
      <w:proofErr w:type="spellStart"/>
      <w:r>
        <w:t>Directlink</w:t>
      </w:r>
      <w:proofErr w:type="spellEnd"/>
      <w:r>
        <w:t xml:space="preserve">, </w:t>
      </w:r>
      <w:proofErr w:type="spellStart"/>
      <w:r>
        <w:t>Murraylink</w:t>
      </w:r>
      <w:proofErr w:type="spellEnd"/>
      <w:r>
        <w:t xml:space="preserve"> and </w:t>
      </w:r>
      <w:proofErr w:type="spellStart"/>
      <w:r>
        <w:t>Basslink</w:t>
      </w:r>
      <w:proofErr w:type="spellEnd"/>
      <w:r>
        <w:t>. However, these interconnectors amounted to only around 8 per cent of the total asset base for all transmission and interconnector assets. That, and the fact that it is known that little investment has occurred in interconnectors, suggests that the estimates will be close to its correct magnitude.</w:t>
      </w:r>
      <w:r w:rsidR="002F167A">
        <w:t xml:space="preserve"> </w:t>
      </w:r>
      <w:r w:rsidRPr="00117B56">
        <w:rPr>
          <w:rStyle w:val="NoteLabel"/>
        </w:rPr>
        <w:t>c</w:t>
      </w:r>
      <w:r>
        <w:t xml:space="preserve"> The estimates for investment are one fifth of the investment shown for the five yearly regulatory period. </w:t>
      </w:r>
      <w:r w:rsidRPr="00117B56">
        <w:rPr>
          <w:rStyle w:val="NoteLabel"/>
        </w:rPr>
        <w:t>d</w:t>
      </w:r>
      <w:r>
        <w:t xml:space="preserve"> The data exclude other cost contributors to electricity prices, such as feed-in tariffs, RET subsidies and, most importantly, retail costs. The Commission could not find data on assets and investment for the retail segment of the market. However, this segment mainly comprises operating expenses, rather than capital investments. The overall contribution of the retail segment to electricity bills is about 10</w:t>
      </w:r>
      <w:r w:rsidR="00EB6088">
        <w:t> </w:t>
      </w:r>
      <w:r>
        <w:t>per</w:t>
      </w:r>
      <w:r w:rsidR="00EB6088">
        <w:t> </w:t>
      </w:r>
      <w:r>
        <w:t>cent, so the asset share is likely to be much smaller than this.</w:t>
      </w:r>
      <w:r w:rsidR="002F167A">
        <w:t xml:space="preserve"> </w:t>
      </w:r>
      <w:r w:rsidRPr="00117B56">
        <w:rPr>
          <w:rStyle w:val="NoteLabel"/>
        </w:rPr>
        <w:t>e</w:t>
      </w:r>
      <w:r w:rsidR="002F167A">
        <w:t> </w:t>
      </w:r>
      <w:r w:rsidRPr="00DE45C6">
        <w:t>These values a</w:t>
      </w:r>
      <w:r>
        <w:t xml:space="preserve">re estimated as each segment's </w:t>
      </w:r>
      <w:r w:rsidRPr="00DE45C6">
        <w:t xml:space="preserve">share of the Australia-wide price per </w:t>
      </w:r>
      <w:r w:rsidR="00421F5C">
        <w:t>K</w:t>
      </w:r>
      <w:r w:rsidRPr="00DE45C6">
        <w:t>Wh. The three cost sources do not add to 100</w:t>
      </w:r>
      <w:r w:rsidR="00EB6088">
        <w:t> </w:t>
      </w:r>
      <w:r w:rsidRPr="00DE45C6">
        <w:t>per</w:t>
      </w:r>
      <w:r w:rsidR="00EB6088">
        <w:t> </w:t>
      </w:r>
      <w:r w:rsidRPr="00DE45C6">
        <w:t>cent becau</w:t>
      </w:r>
      <w:r>
        <w:t xml:space="preserve">se some other cost influences, </w:t>
      </w:r>
      <w:r w:rsidRPr="00DE45C6">
        <w:t>such as retail</w:t>
      </w:r>
      <w:r>
        <w:t>ing</w:t>
      </w:r>
      <w:r w:rsidRPr="00DE45C6">
        <w:t>, are excluded. The generation share is estimated as the wholesale share.</w:t>
      </w:r>
    </w:p>
    <w:p w:rsidR="008C56F7" w:rsidRDefault="008C56F7">
      <w:pPr>
        <w:pStyle w:val="TableTitle"/>
      </w:pPr>
      <w:r>
        <w:rPr>
          <w:b w:val="0"/>
        </w:rPr>
        <w:lastRenderedPageBreak/>
        <w:t xml:space="preserve">Table </w:t>
      </w:r>
      <w:r w:rsidR="006E210A">
        <w:rPr>
          <w:b w:val="0"/>
        </w:rPr>
        <w:t>2.</w:t>
      </w:r>
      <w:r w:rsidR="00493C6B">
        <w:rPr>
          <w:b w:val="0"/>
          <w:noProof/>
        </w:rPr>
        <w:t>3</w:t>
      </w:r>
      <w:r>
        <w:tab/>
      </w:r>
      <w:r w:rsidR="008D2895">
        <w:t>The significance of electricity networks</w:t>
      </w:r>
    </w:p>
    <w:p w:rsidR="008C56F7" w:rsidRDefault="008D2895">
      <w:pPr>
        <w:pStyle w:val="Subtitle"/>
      </w:pPr>
      <w:r>
        <w:t>2006</w:t>
      </w:r>
      <w:r>
        <w:noBreakHyphen/>
        <w:t>07, Australia-wide</w:t>
      </w:r>
      <w:r w:rsidR="00502DE5">
        <w:t>, current prices</w:t>
      </w:r>
      <w:r w:rsidR="005A75EA" w:rsidRPr="005A75EA">
        <w:rPr>
          <w:rStyle w:val="NoteLabel"/>
        </w:rPr>
        <w:t>a</w:t>
      </w:r>
    </w:p>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3"/>
        <w:gridCol w:w="697"/>
        <w:gridCol w:w="1325"/>
        <w:gridCol w:w="1525"/>
        <w:gridCol w:w="1253"/>
        <w:gridCol w:w="1003"/>
        <w:gridCol w:w="1263"/>
      </w:tblGrid>
      <w:tr w:rsidR="008D2895" w:rsidTr="002D771D">
        <w:tc>
          <w:tcPr>
            <w:tcW w:w="2398" w:type="dxa"/>
            <w:tcBorders>
              <w:top w:val="single" w:sz="4" w:space="0" w:color="auto"/>
              <w:bottom w:val="single" w:sz="4" w:space="0" w:color="auto"/>
            </w:tcBorders>
          </w:tcPr>
          <w:p w:rsidR="008D2895" w:rsidRDefault="008D2895" w:rsidP="00FC1954">
            <w:pPr>
              <w:pStyle w:val="TableColumnHeading"/>
            </w:pPr>
          </w:p>
        </w:tc>
        <w:tc>
          <w:tcPr>
            <w:tcW w:w="708" w:type="dxa"/>
            <w:tcBorders>
              <w:top w:val="single" w:sz="4" w:space="0" w:color="auto"/>
              <w:bottom w:val="single" w:sz="4" w:space="0" w:color="auto"/>
            </w:tcBorders>
          </w:tcPr>
          <w:p w:rsidR="008D2895" w:rsidRDefault="008D2895" w:rsidP="00FC1954">
            <w:pPr>
              <w:pStyle w:val="TableColumnHeading"/>
            </w:pPr>
            <w:r>
              <w:t>Unit</w:t>
            </w:r>
          </w:p>
        </w:tc>
        <w:tc>
          <w:tcPr>
            <w:tcW w:w="1003" w:type="dxa"/>
            <w:tcBorders>
              <w:top w:val="single" w:sz="4" w:space="0" w:color="auto"/>
              <w:bottom w:val="single" w:sz="4" w:space="0" w:color="auto"/>
            </w:tcBorders>
          </w:tcPr>
          <w:p w:rsidR="008D2895" w:rsidRPr="00453FF1" w:rsidRDefault="008D2895" w:rsidP="00FC1954">
            <w:pPr>
              <w:pStyle w:val="TableColumnHeading"/>
            </w:pPr>
            <w:r>
              <w:t>G</w:t>
            </w:r>
            <w:r w:rsidRPr="00453FF1">
              <w:t>eneration</w:t>
            </w:r>
          </w:p>
        </w:tc>
        <w:tc>
          <w:tcPr>
            <w:tcW w:w="1132" w:type="dxa"/>
            <w:tcBorders>
              <w:top w:val="single" w:sz="4" w:space="0" w:color="auto"/>
              <w:bottom w:val="single" w:sz="4" w:space="0" w:color="auto"/>
            </w:tcBorders>
            <w:shd w:val="clear" w:color="auto" w:fill="DBE5F1" w:themeFill="accent1" w:themeFillTint="33"/>
          </w:tcPr>
          <w:p w:rsidR="008D2895" w:rsidRPr="00453FF1" w:rsidRDefault="008D2895" w:rsidP="00FC1954">
            <w:pPr>
              <w:pStyle w:val="TableColumnHeading"/>
            </w:pPr>
            <w:r>
              <w:t>T</w:t>
            </w:r>
            <w:r w:rsidRPr="00453FF1">
              <w:t>ransmission</w:t>
            </w:r>
          </w:p>
        </w:tc>
        <w:tc>
          <w:tcPr>
            <w:tcW w:w="1132" w:type="dxa"/>
            <w:tcBorders>
              <w:top w:val="single" w:sz="4" w:space="0" w:color="auto"/>
              <w:bottom w:val="single" w:sz="4" w:space="0" w:color="auto"/>
            </w:tcBorders>
            <w:shd w:val="clear" w:color="auto" w:fill="DBE5F1" w:themeFill="accent1" w:themeFillTint="33"/>
          </w:tcPr>
          <w:p w:rsidR="008D2895" w:rsidRPr="00453FF1" w:rsidRDefault="008D2895" w:rsidP="00314DA0">
            <w:pPr>
              <w:pStyle w:val="TableColumnHeading"/>
              <w:ind w:right="30"/>
            </w:pPr>
            <w:r>
              <w:t>D</w:t>
            </w:r>
            <w:r w:rsidRPr="00453FF1">
              <w:t>istribution</w:t>
            </w:r>
          </w:p>
        </w:tc>
        <w:tc>
          <w:tcPr>
            <w:tcW w:w="1003" w:type="dxa"/>
            <w:tcBorders>
              <w:top w:val="single" w:sz="4" w:space="0" w:color="auto"/>
              <w:bottom w:val="single" w:sz="4" w:space="0" w:color="auto"/>
            </w:tcBorders>
          </w:tcPr>
          <w:p w:rsidR="008D2895" w:rsidRPr="00453FF1" w:rsidRDefault="008D2895" w:rsidP="00FC1954">
            <w:pPr>
              <w:pStyle w:val="TableColumnHeading"/>
            </w:pPr>
            <w:r>
              <w:t>Retail</w:t>
            </w:r>
          </w:p>
        </w:tc>
        <w:tc>
          <w:tcPr>
            <w:tcW w:w="1413" w:type="dxa"/>
            <w:tcBorders>
              <w:top w:val="single" w:sz="4" w:space="0" w:color="auto"/>
              <w:bottom w:val="single" w:sz="4" w:space="0" w:color="auto"/>
            </w:tcBorders>
          </w:tcPr>
          <w:p w:rsidR="008D2895" w:rsidRDefault="008D2895" w:rsidP="00FC1954">
            <w:pPr>
              <w:pStyle w:val="TableColumnHeading"/>
            </w:pPr>
            <w:r w:rsidRPr="00453FF1">
              <w:t>Electricity supply</w:t>
            </w:r>
          </w:p>
        </w:tc>
      </w:tr>
      <w:tr w:rsidR="00823E40" w:rsidTr="002D771D">
        <w:tc>
          <w:tcPr>
            <w:tcW w:w="2398" w:type="dxa"/>
            <w:tcBorders>
              <w:top w:val="single" w:sz="4" w:space="0" w:color="auto"/>
            </w:tcBorders>
          </w:tcPr>
          <w:p w:rsidR="00823E40" w:rsidRPr="00033818" w:rsidRDefault="00823E40" w:rsidP="008449D1">
            <w:pPr>
              <w:pStyle w:val="TableBodyText"/>
              <w:spacing w:before="80"/>
              <w:ind w:right="63"/>
              <w:jc w:val="left"/>
            </w:pPr>
            <w:r w:rsidRPr="00033818">
              <w:t>Employment end June</w:t>
            </w:r>
          </w:p>
        </w:tc>
        <w:tc>
          <w:tcPr>
            <w:tcW w:w="708" w:type="dxa"/>
            <w:tcBorders>
              <w:top w:val="single" w:sz="4" w:space="0" w:color="auto"/>
            </w:tcBorders>
          </w:tcPr>
          <w:p w:rsidR="00823E40" w:rsidRPr="00033818" w:rsidRDefault="00823E40" w:rsidP="008449D1">
            <w:pPr>
              <w:pStyle w:val="TableBodyText"/>
              <w:spacing w:before="80"/>
              <w:ind w:right="63"/>
            </w:pPr>
            <w:r>
              <w:t>No.</w:t>
            </w:r>
          </w:p>
        </w:tc>
        <w:tc>
          <w:tcPr>
            <w:tcW w:w="1003" w:type="dxa"/>
            <w:tcBorders>
              <w:top w:val="single" w:sz="4" w:space="0" w:color="auto"/>
            </w:tcBorders>
          </w:tcPr>
          <w:p w:rsidR="00823E40" w:rsidRPr="0018129E" w:rsidRDefault="00823E40" w:rsidP="008449D1">
            <w:pPr>
              <w:pStyle w:val="TableBodyText"/>
              <w:spacing w:before="80"/>
              <w:ind w:right="58"/>
            </w:pPr>
            <w:r w:rsidRPr="0018129E">
              <w:t>9</w:t>
            </w:r>
            <w:r>
              <w:t> </w:t>
            </w:r>
            <w:r w:rsidRPr="0018129E">
              <w:t>487</w:t>
            </w:r>
          </w:p>
        </w:tc>
        <w:tc>
          <w:tcPr>
            <w:tcW w:w="1132" w:type="dxa"/>
            <w:tcBorders>
              <w:top w:val="single" w:sz="4" w:space="0" w:color="auto"/>
            </w:tcBorders>
            <w:shd w:val="clear" w:color="auto" w:fill="DBE5F1" w:themeFill="accent1" w:themeFillTint="33"/>
          </w:tcPr>
          <w:p w:rsidR="00823E40" w:rsidRPr="002D771D" w:rsidRDefault="00823E40" w:rsidP="008449D1">
            <w:pPr>
              <w:pStyle w:val="TableBodyText"/>
              <w:spacing w:before="80"/>
              <w:ind w:right="58"/>
              <w:rPr>
                <w:b/>
              </w:rPr>
            </w:pPr>
            <w:r w:rsidRPr="002D771D">
              <w:rPr>
                <w:b/>
              </w:rPr>
              <w:t>2 572</w:t>
            </w:r>
          </w:p>
        </w:tc>
        <w:tc>
          <w:tcPr>
            <w:tcW w:w="1132" w:type="dxa"/>
            <w:tcBorders>
              <w:top w:val="single" w:sz="4" w:space="0" w:color="auto"/>
            </w:tcBorders>
            <w:shd w:val="clear" w:color="auto" w:fill="DBE5F1" w:themeFill="accent1" w:themeFillTint="33"/>
          </w:tcPr>
          <w:p w:rsidR="00823E40" w:rsidRPr="002D771D" w:rsidRDefault="00823E40" w:rsidP="008449D1">
            <w:pPr>
              <w:pStyle w:val="TableBodyText"/>
              <w:spacing w:before="80"/>
              <w:ind w:right="36"/>
              <w:rPr>
                <w:b/>
              </w:rPr>
            </w:pPr>
            <w:r w:rsidRPr="002D771D">
              <w:rPr>
                <w:b/>
              </w:rPr>
              <w:t>27 223</w:t>
            </w:r>
          </w:p>
        </w:tc>
        <w:tc>
          <w:tcPr>
            <w:tcW w:w="1003" w:type="dxa"/>
            <w:tcBorders>
              <w:top w:val="single" w:sz="4" w:space="0" w:color="auto"/>
            </w:tcBorders>
          </w:tcPr>
          <w:p w:rsidR="00823E40" w:rsidRPr="0018129E" w:rsidRDefault="00823E40" w:rsidP="008449D1">
            <w:pPr>
              <w:pStyle w:val="TableBodyText"/>
              <w:spacing w:before="80"/>
              <w:ind w:right="58"/>
            </w:pPr>
            <w:r w:rsidRPr="0018129E">
              <w:t>4</w:t>
            </w:r>
            <w:r>
              <w:t> </w:t>
            </w:r>
            <w:r w:rsidRPr="0018129E">
              <w:t>620</w:t>
            </w:r>
          </w:p>
        </w:tc>
        <w:tc>
          <w:tcPr>
            <w:tcW w:w="1413" w:type="dxa"/>
            <w:tcBorders>
              <w:top w:val="single" w:sz="4" w:space="0" w:color="auto"/>
            </w:tcBorders>
          </w:tcPr>
          <w:p w:rsidR="00823E40" w:rsidRDefault="00823E40" w:rsidP="008449D1">
            <w:pPr>
              <w:pStyle w:val="TableBodyText"/>
              <w:spacing w:before="80"/>
              <w:ind w:right="58"/>
            </w:pPr>
            <w:r w:rsidRPr="0018129E">
              <w:t>43</w:t>
            </w:r>
            <w:r>
              <w:t> </w:t>
            </w:r>
            <w:r w:rsidRPr="0018129E">
              <w:t>902</w:t>
            </w:r>
          </w:p>
        </w:tc>
      </w:tr>
      <w:tr w:rsidR="00823E40" w:rsidTr="002D771D">
        <w:tc>
          <w:tcPr>
            <w:tcW w:w="2398" w:type="dxa"/>
          </w:tcPr>
          <w:p w:rsidR="00823E40" w:rsidRPr="00033818" w:rsidRDefault="00823E40" w:rsidP="00124306">
            <w:pPr>
              <w:pStyle w:val="TableBodyText"/>
              <w:spacing w:before="40"/>
              <w:ind w:right="63"/>
              <w:jc w:val="left"/>
            </w:pPr>
            <w:r w:rsidRPr="00033818">
              <w:t>Labour costs</w:t>
            </w:r>
          </w:p>
        </w:tc>
        <w:tc>
          <w:tcPr>
            <w:tcW w:w="708" w:type="dxa"/>
          </w:tcPr>
          <w:p w:rsidR="00823E40" w:rsidRPr="00033818" w:rsidRDefault="00823E40" w:rsidP="00124306">
            <w:pPr>
              <w:pStyle w:val="TableBodyText"/>
              <w:spacing w:before="40"/>
              <w:ind w:right="63"/>
            </w:pPr>
            <w:r w:rsidRPr="00033818">
              <w:t>$m</w:t>
            </w:r>
          </w:p>
        </w:tc>
        <w:tc>
          <w:tcPr>
            <w:tcW w:w="1003" w:type="dxa"/>
          </w:tcPr>
          <w:p w:rsidR="00823E40" w:rsidRPr="00076A0F" w:rsidRDefault="00823E40" w:rsidP="00124306">
            <w:pPr>
              <w:pStyle w:val="TableBodyText"/>
              <w:spacing w:before="40"/>
              <w:ind w:right="58"/>
            </w:pPr>
            <w:r w:rsidRPr="00076A0F">
              <w:t>1</w:t>
            </w:r>
            <w:r>
              <w:t> </w:t>
            </w:r>
            <w:r w:rsidRPr="00076A0F">
              <w:t>074</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307</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2 914</w:t>
            </w:r>
          </w:p>
        </w:tc>
        <w:tc>
          <w:tcPr>
            <w:tcW w:w="1003" w:type="dxa"/>
          </w:tcPr>
          <w:p w:rsidR="00823E40" w:rsidRPr="00076A0F" w:rsidRDefault="00823E40" w:rsidP="00124306">
            <w:pPr>
              <w:pStyle w:val="TableBodyText"/>
              <w:spacing w:before="40"/>
              <w:ind w:right="58"/>
            </w:pPr>
            <w:r w:rsidRPr="00076A0F">
              <w:t>358</w:t>
            </w:r>
          </w:p>
        </w:tc>
        <w:tc>
          <w:tcPr>
            <w:tcW w:w="1413" w:type="dxa"/>
          </w:tcPr>
          <w:p w:rsidR="00823E40" w:rsidRPr="00076A0F" w:rsidRDefault="00823E40" w:rsidP="00124306">
            <w:pPr>
              <w:pStyle w:val="TableBodyText"/>
              <w:spacing w:before="40"/>
              <w:ind w:right="58"/>
            </w:pPr>
            <w:r w:rsidRPr="00076A0F">
              <w:t>4</w:t>
            </w:r>
            <w:r>
              <w:t> </w:t>
            </w:r>
            <w:r w:rsidRPr="00076A0F">
              <w:t>653</w:t>
            </w:r>
          </w:p>
        </w:tc>
      </w:tr>
      <w:tr w:rsidR="00823E40" w:rsidTr="002D771D">
        <w:tc>
          <w:tcPr>
            <w:tcW w:w="2398" w:type="dxa"/>
          </w:tcPr>
          <w:p w:rsidR="00823E40" w:rsidRPr="00033818" w:rsidRDefault="00823E40" w:rsidP="00124306">
            <w:pPr>
              <w:pStyle w:val="TableBodyText"/>
              <w:spacing w:before="40"/>
              <w:ind w:right="63"/>
              <w:jc w:val="left"/>
            </w:pPr>
            <w:r w:rsidRPr="00033818">
              <w:t>Sales &amp; service income</w:t>
            </w:r>
          </w:p>
        </w:tc>
        <w:tc>
          <w:tcPr>
            <w:tcW w:w="708" w:type="dxa"/>
          </w:tcPr>
          <w:p w:rsidR="00823E40" w:rsidRPr="00033818" w:rsidRDefault="00823E40" w:rsidP="00124306">
            <w:pPr>
              <w:pStyle w:val="TableBodyText"/>
              <w:spacing w:before="40"/>
              <w:ind w:right="63"/>
            </w:pPr>
            <w:r w:rsidRPr="00033818">
              <w:t>$m</w:t>
            </w:r>
          </w:p>
        </w:tc>
        <w:tc>
          <w:tcPr>
            <w:tcW w:w="1003" w:type="dxa"/>
          </w:tcPr>
          <w:p w:rsidR="00823E40" w:rsidRPr="00076A0F" w:rsidRDefault="00823E40" w:rsidP="00124306">
            <w:pPr>
              <w:pStyle w:val="TableBodyText"/>
              <w:spacing w:before="40"/>
              <w:ind w:right="58"/>
            </w:pPr>
            <w:r w:rsidRPr="00076A0F">
              <w:t>10</w:t>
            </w:r>
            <w:r>
              <w:t> </w:t>
            </w:r>
            <w:r w:rsidRPr="00076A0F">
              <w:t>776</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2 180</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13 506</w:t>
            </w:r>
          </w:p>
        </w:tc>
        <w:tc>
          <w:tcPr>
            <w:tcW w:w="1003" w:type="dxa"/>
          </w:tcPr>
          <w:p w:rsidR="00823E40" w:rsidRPr="00076A0F" w:rsidRDefault="00823E40" w:rsidP="00124306">
            <w:pPr>
              <w:pStyle w:val="TableBodyText"/>
              <w:spacing w:before="40"/>
              <w:ind w:right="58"/>
            </w:pPr>
            <w:r w:rsidRPr="00076A0F">
              <w:t>13</w:t>
            </w:r>
            <w:r>
              <w:t> </w:t>
            </w:r>
            <w:r w:rsidRPr="00076A0F">
              <w:t>053</w:t>
            </w:r>
          </w:p>
        </w:tc>
        <w:tc>
          <w:tcPr>
            <w:tcW w:w="1413" w:type="dxa"/>
          </w:tcPr>
          <w:p w:rsidR="00823E40" w:rsidRPr="00076A0F" w:rsidRDefault="00823E40" w:rsidP="00124306">
            <w:pPr>
              <w:pStyle w:val="TableBodyText"/>
              <w:spacing w:before="40"/>
              <w:ind w:right="58"/>
            </w:pPr>
            <w:r w:rsidRPr="00076A0F">
              <w:t>39</w:t>
            </w:r>
            <w:r>
              <w:t> </w:t>
            </w:r>
            <w:r w:rsidRPr="00076A0F">
              <w:t>516</w:t>
            </w:r>
          </w:p>
        </w:tc>
      </w:tr>
      <w:tr w:rsidR="00823E40" w:rsidTr="002D771D">
        <w:tc>
          <w:tcPr>
            <w:tcW w:w="2398" w:type="dxa"/>
          </w:tcPr>
          <w:p w:rsidR="00823E40" w:rsidRPr="00033818" w:rsidRDefault="00823E40" w:rsidP="00AF75DE">
            <w:pPr>
              <w:pStyle w:val="TableBodyText"/>
              <w:spacing w:before="40"/>
              <w:ind w:right="63"/>
              <w:jc w:val="left"/>
            </w:pPr>
            <w:r w:rsidRPr="00033818">
              <w:t>V</w:t>
            </w:r>
            <w:r w:rsidR="00655D0A">
              <w:t xml:space="preserve">alue </w:t>
            </w:r>
            <w:r w:rsidR="00AF75DE">
              <w:t>a</w:t>
            </w:r>
            <w:r w:rsidR="00655D0A">
              <w:t>dded</w:t>
            </w:r>
            <w:r w:rsidRPr="00033818">
              <w:t xml:space="preserve"> </w:t>
            </w:r>
          </w:p>
        </w:tc>
        <w:tc>
          <w:tcPr>
            <w:tcW w:w="708" w:type="dxa"/>
          </w:tcPr>
          <w:p w:rsidR="00823E40" w:rsidRPr="00033818" w:rsidRDefault="00823E40" w:rsidP="00124306">
            <w:pPr>
              <w:pStyle w:val="TableBodyText"/>
              <w:spacing w:before="40"/>
              <w:ind w:right="63"/>
            </w:pPr>
            <w:r w:rsidRPr="00033818">
              <w:t>$m</w:t>
            </w:r>
          </w:p>
        </w:tc>
        <w:tc>
          <w:tcPr>
            <w:tcW w:w="1003" w:type="dxa"/>
          </w:tcPr>
          <w:p w:rsidR="00823E40" w:rsidRPr="00076A0F" w:rsidRDefault="00823E40" w:rsidP="00124306">
            <w:pPr>
              <w:pStyle w:val="TableBodyText"/>
              <w:spacing w:before="40"/>
              <w:ind w:right="58"/>
            </w:pPr>
            <w:r w:rsidRPr="00076A0F">
              <w:t>5</w:t>
            </w:r>
            <w:r>
              <w:t> </w:t>
            </w:r>
            <w:r w:rsidRPr="00076A0F">
              <w:t>075</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1 595</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6 857</w:t>
            </w:r>
          </w:p>
        </w:tc>
        <w:tc>
          <w:tcPr>
            <w:tcW w:w="1003" w:type="dxa"/>
          </w:tcPr>
          <w:p w:rsidR="00823E40" w:rsidRPr="00076A0F" w:rsidRDefault="00823E40" w:rsidP="00124306">
            <w:pPr>
              <w:pStyle w:val="TableBodyText"/>
              <w:spacing w:before="40"/>
              <w:ind w:right="58"/>
            </w:pPr>
            <w:r w:rsidRPr="00076A0F">
              <w:t>1</w:t>
            </w:r>
            <w:r>
              <w:t> </w:t>
            </w:r>
            <w:r w:rsidRPr="00076A0F">
              <w:t>036</w:t>
            </w:r>
          </w:p>
        </w:tc>
        <w:tc>
          <w:tcPr>
            <w:tcW w:w="1413" w:type="dxa"/>
          </w:tcPr>
          <w:p w:rsidR="00823E40" w:rsidRPr="00076A0F" w:rsidRDefault="00823E40" w:rsidP="00124306">
            <w:pPr>
              <w:pStyle w:val="TableBodyText"/>
              <w:spacing w:before="40"/>
              <w:ind w:right="58"/>
            </w:pPr>
            <w:r w:rsidRPr="00076A0F">
              <w:t>14</w:t>
            </w:r>
            <w:r>
              <w:t> </w:t>
            </w:r>
            <w:r w:rsidRPr="00076A0F">
              <w:t>564</w:t>
            </w:r>
          </w:p>
        </w:tc>
      </w:tr>
      <w:tr w:rsidR="00823E40" w:rsidTr="002D771D">
        <w:tc>
          <w:tcPr>
            <w:tcW w:w="2398" w:type="dxa"/>
          </w:tcPr>
          <w:p w:rsidR="00823E40" w:rsidRPr="00033818" w:rsidRDefault="00823E40" w:rsidP="00124306">
            <w:pPr>
              <w:pStyle w:val="TableBodyText"/>
              <w:spacing w:before="40"/>
              <w:ind w:right="63"/>
              <w:jc w:val="left"/>
            </w:pPr>
            <w:r w:rsidRPr="00033818">
              <w:t>Gross fixed capital formation</w:t>
            </w:r>
            <w:r w:rsidR="00655D0A">
              <w:t xml:space="preserve"> (</w:t>
            </w:r>
            <w:proofErr w:type="spellStart"/>
            <w:r w:rsidR="00655D0A">
              <w:t>GFCE</w:t>
            </w:r>
            <w:proofErr w:type="spellEnd"/>
            <w:r w:rsidR="00655D0A">
              <w:t>)</w:t>
            </w:r>
          </w:p>
        </w:tc>
        <w:tc>
          <w:tcPr>
            <w:tcW w:w="708" w:type="dxa"/>
          </w:tcPr>
          <w:p w:rsidR="00823E40" w:rsidRPr="00033818" w:rsidRDefault="00823E40" w:rsidP="00124306">
            <w:pPr>
              <w:pStyle w:val="TableBodyText"/>
              <w:spacing w:before="40"/>
              <w:ind w:right="63"/>
            </w:pPr>
            <w:r w:rsidRPr="00033818">
              <w:t>$m</w:t>
            </w:r>
          </w:p>
        </w:tc>
        <w:tc>
          <w:tcPr>
            <w:tcW w:w="1003" w:type="dxa"/>
          </w:tcPr>
          <w:p w:rsidR="00823E40" w:rsidRPr="00076A0F" w:rsidRDefault="00823E40" w:rsidP="00124306">
            <w:pPr>
              <w:pStyle w:val="TableBodyText"/>
              <w:spacing w:before="40"/>
              <w:ind w:right="58"/>
            </w:pPr>
            <w:r w:rsidRPr="00076A0F">
              <w:t>2</w:t>
            </w:r>
            <w:r>
              <w:t> </w:t>
            </w:r>
            <w:r w:rsidRPr="00076A0F">
              <w:t>662</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1 175</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4 371</w:t>
            </w:r>
          </w:p>
        </w:tc>
        <w:tc>
          <w:tcPr>
            <w:tcW w:w="1003" w:type="dxa"/>
          </w:tcPr>
          <w:p w:rsidR="00823E40" w:rsidRPr="00076A0F" w:rsidRDefault="00823E40" w:rsidP="00124306">
            <w:pPr>
              <w:pStyle w:val="TableBodyText"/>
              <w:spacing w:before="40"/>
              <w:ind w:right="58"/>
            </w:pPr>
            <w:r w:rsidRPr="00076A0F">
              <w:t>321</w:t>
            </w:r>
          </w:p>
        </w:tc>
        <w:tc>
          <w:tcPr>
            <w:tcW w:w="1413" w:type="dxa"/>
          </w:tcPr>
          <w:p w:rsidR="00823E40" w:rsidRPr="00076A0F" w:rsidRDefault="00823E40" w:rsidP="00124306">
            <w:pPr>
              <w:pStyle w:val="TableBodyText"/>
              <w:spacing w:before="40"/>
              <w:ind w:right="58"/>
            </w:pPr>
            <w:r w:rsidRPr="00076A0F">
              <w:t>8</w:t>
            </w:r>
            <w:r>
              <w:t> </w:t>
            </w:r>
            <w:r w:rsidRPr="00076A0F">
              <w:t>528</w:t>
            </w:r>
          </w:p>
        </w:tc>
      </w:tr>
      <w:tr w:rsidR="00823E40" w:rsidRPr="008C56F7" w:rsidTr="002D771D">
        <w:tc>
          <w:tcPr>
            <w:tcW w:w="2398" w:type="dxa"/>
          </w:tcPr>
          <w:p w:rsidR="00823E40" w:rsidRPr="00033818" w:rsidRDefault="00823E40" w:rsidP="00124306">
            <w:pPr>
              <w:pStyle w:val="TableBodyText"/>
              <w:spacing w:before="40"/>
              <w:ind w:right="63"/>
              <w:jc w:val="left"/>
            </w:pPr>
            <w:r w:rsidRPr="00033818">
              <w:t>Employee benefits per worker</w:t>
            </w:r>
          </w:p>
        </w:tc>
        <w:tc>
          <w:tcPr>
            <w:tcW w:w="708" w:type="dxa"/>
          </w:tcPr>
          <w:p w:rsidR="00823E40" w:rsidRPr="00033818" w:rsidRDefault="00823E40" w:rsidP="00124306">
            <w:pPr>
              <w:pStyle w:val="TableBodyText"/>
              <w:spacing w:before="40"/>
              <w:ind w:right="63"/>
            </w:pPr>
            <w:r w:rsidRPr="00033818">
              <w:t>$</w:t>
            </w:r>
          </w:p>
        </w:tc>
        <w:tc>
          <w:tcPr>
            <w:tcW w:w="1003" w:type="dxa"/>
          </w:tcPr>
          <w:p w:rsidR="00823E40" w:rsidRPr="00076A0F" w:rsidRDefault="00823E40" w:rsidP="00124306">
            <w:pPr>
              <w:pStyle w:val="TableBodyText"/>
              <w:spacing w:before="40"/>
              <w:ind w:right="58"/>
            </w:pPr>
            <w:r w:rsidRPr="00076A0F">
              <w:t>113</w:t>
            </w:r>
            <w:r>
              <w:t> </w:t>
            </w:r>
            <w:r w:rsidRPr="00076A0F">
              <w:t>208</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119 362</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107 042</w:t>
            </w:r>
          </w:p>
        </w:tc>
        <w:tc>
          <w:tcPr>
            <w:tcW w:w="1003" w:type="dxa"/>
          </w:tcPr>
          <w:p w:rsidR="00823E40" w:rsidRPr="00076A0F" w:rsidRDefault="00823E40" w:rsidP="00124306">
            <w:pPr>
              <w:pStyle w:val="TableBodyText"/>
              <w:spacing w:before="40"/>
              <w:ind w:right="58"/>
            </w:pPr>
            <w:r w:rsidRPr="00076A0F">
              <w:t>77</w:t>
            </w:r>
            <w:r>
              <w:t> </w:t>
            </w:r>
            <w:r w:rsidRPr="00076A0F">
              <w:t>489</w:t>
            </w:r>
          </w:p>
        </w:tc>
        <w:tc>
          <w:tcPr>
            <w:tcW w:w="1413" w:type="dxa"/>
          </w:tcPr>
          <w:p w:rsidR="00823E40" w:rsidRPr="00076A0F" w:rsidRDefault="00823E40" w:rsidP="00124306">
            <w:pPr>
              <w:pStyle w:val="TableBodyText"/>
              <w:spacing w:before="40"/>
              <w:ind w:right="58"/>
            </w:pPr>
            <w:r w:rsidRPr="00076A0F">
              <w:t>105</w:t>
            </w:r>
            <w:r>
              <w:t> </w:t>
            </w:r>
            <w:r w:rsidRPr="00076A0F">
              <w:t>986</w:t>
            </w:r>
          </w:p>
        </w:tc>
      </w:tr>
      <w:tr w:rsidR="00823E40" w:rsidTr="002D771D">
        <w:tc>
          <w:tcPr>
            <w:tcW w:w="2398" w:type="dxa"/>
          </w:tcPr>
          <w:p w:rsidR="00823E40" w:rsidRPr="00033818" w:rsidRDefault="00823E40" w:rsidP="00124306">
            <w:pPr>
              <w:pStyle w:val="TableBodyText"/>
              <w:spacing w:before="40"/>
              <w:ind w:right="63"/>
              <w:jc w:val="left"/>
            </w:pPr>
            <w:proofErr w:type="spellStart"/>
            <w:r w:rsidRPr="00033818">
              <w:t>GFCE</w:t>
            </w:r>
            <w:proofErr w:type="spellEnd"/>
            <w:r w:rsidRPr="00033818">
              <w:t xml:space="preserve"> share of value added</w:t>
            </w:r>
          </w:p>
        </w:tc>
        <w:tc>
          <w:tcPr>
            <w:tcW w:w="708" w:type="dxa"/>
          </w:tcPr>
          <w:p w:rsidR="00823E40" w:rsidRPr="00033818" w:rsidRDefault="00823E40" w:rsidP="00124306">
            <w:pPr>
              <w:pStyle w:val="TableBodyText"/>
              <w:spacing w:before="40"/>
              <w:ind w:right="63"/>
            </w:pPr>
            <w:r w:rsidRPr="00033818">
              <w:t>%</w:t>
            </w:r>
          </w:p>
        </w:tc>
        <w:tc>
          <w:tcPr>
            <w:tcW w:w="1003" w:type="dxa"/>
          </w:tcPr>
          <w:p w:rsidR="00823E40" w:rsidRPr="00076A0F" w:rsidRDefault="00823E40" w:rsidP="00124306">
            <w:pPr>
              <w:pStyle w:val="TableBodyText"/>
              <w:spacing w:before="40"/>
              <w:ind w:right="58"/>
            </w:pPr>
            <w:r w:rsidRPr="00076A0F">
              <w:t>52.5</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73.7</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63.7</w:t>
            </w:r>
          </w:p>
        </w:tc>
        <w:tc>
          <w:tcPr>
            <w:tcW w:w="1003" w:type="dxa"/>
          </w:tcPr>
          <w:p w:rsidR="00823E40" w:rsidRPr="00076A0F" w:rsidRDefault="00823E40" w:rsidP="00124306">
            <w:pPr>
              <w:pStyle w:val="TableBodyText"/>
              <w:spacing w:before="40"/>
              <w:ind w:right="58"/>
            </w:pPr>
            <w:r w:rsidRPr="00076A0F">
              <w:t>31.0</w:t>
            </w:r>
          </w:p>
        </w:tc>
        <w:tc>
          <w:tcPr>
            <w:tcW w:w="1413" w:type="dxa"/>
          </w:tcPr>
          <w:p w:rsidR="00823E40" w:rsidRPr="00076A0F" w:rsidRDefault="00823E40" w:rsidP="00124306">
            <w:pPr>
              <w:pStyle w:val="TableBodyText"/>
              <w:spacing w:before="40"/>
              <w:ind w:right="58"/>
            </w:pPr>
            <w:r w:rsidRPr="00076A0F">
              <w:t>58.6</w:t>
            </w:r>
          </w:p>
        </w:tc>
      </w:tr>
      <w:tr w:rsidR="00823E40" w:rsidTr="002D771D">
        <w:tc>
          <w:tcPr>
            <w:tcW w:w="2398" w:type="dxa"/>
          </w:tcPr>
          <w:p w:rsidR="00823E40" w:rsidRPr="00033818" w:rsidRDefault="00823E40" w:rsidP="00124306">
            <w:pPr>
              <w:pStyle w:val="TableBodyText"/>
              <w:spacing w:before="40"/>
              <w:ind w:right="63"/>
              <w:jc w:val="left"/>
            </w:pPr>
            <w:r w:rsidRPr="00033818">
              <w:t>Industry value added per person employed</w:t>
            </w:r>
          </w:p>
        </w:tc>
        <w:tc>
          <w:tcPr>
            <w:tcW w:w="708" w:type="dxa"/>
          </w:tcPr>
          <w:p w:rsidR="00823E40" w:rsidRPr="00033818" w:rsidRDefault="00823E40" w:rsidP="00124306">
            <w:pPr>
              <w:pStyle w:val="TableBodyText"/>
              <w:spacing w:before="40"/>
              <w:ind w:right="63"/>
            </w:pPr>
            <w:r w:rsidRPr="00033818">
              <w:t>$m</w:t>
            </w:r>
          </w:p>
        </w:tc>
        <w:tc>
          <w:tcPr>
            <w:tcW w:w="1003" w:type="dxa"/>
          </w:tcPr>
          <w:p w:rsidR="00823E40" w:rsidRPr="00076A0F" w:rsidRDefault="00823E40" w:rsidP="00124306">
            <w:pPr>
              <w:pStyle w:val="TableBodyText"/>
              <w:spacing w:before="40"/>
              <w:ind w:right="58"/>
            </w:pPr>
            <w:r w:rsidRPr="00076A0F">
              <w:t>534</w:t>
            </w:r>
            <w:r>
              <w:t> </w:t>
            </w:r>
            <w:r w:rsidRPr="00076A0F">
              <w:t>943</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620 140</w:t>
            </w:r>
          </w:p>
        </w:tc>
        <w:tc>
          <w:tcPr>
            <w:tcW w:w="1132" w:type="dxa"/>
            <w:shd w:val="clear" w:color="auto" w:fill="DBE5F1" w:themeFill="accent1" w:themeFillTint="33"/>
          </w:tcPr>
          <w:p w:rsidR="00823E40" w:rsidRPr="002D771D" w:rsidRDefault="00823E40" w:rsidP="00124306">
            <w:pPr>
              <w:pStyle w:val="TableBodyText"/>
              <w:spacing w:before="40"/>
              <w:ind w:right="58"/>
              <w:rPr>
                <w:b/>
              </w:rPr>
            </w:pPr>
            <w:r w:rsidRPr="002D771D">
              <w:rPr>
                <w:b/>
              </w:rPr>
              <w:t>251 883</w:t>
            </w:r>
          </w:p>
        </w:tc>
        <w:tc>
          <w:tcPr>
            <w:tcW w:w="1003" w:type="dxa"/>
          </w:tcPr>
          <w:p w:rsidR="00823E40" w:rsidRPr="00076A0F" w:rsidRDefault="00823E40" w:rsidP="00124306">
            <w:pPr>
              <w:pStyle w:val="TableBodyText"/>
              <w:spacing w:before="40"/>
              <w:ind w:right="58"/>
            </w:pPr>
            <w:r w:rsidRPr="00076A0F">
              <w:t>224</w:t>
            </w:r>
            <w:r>
              <w:t> </w:t>
            </w:r>
            <w:r w:rsidRPr="00076A0F">
              <w:t>242</w:t>
            </w:r>
          </w:p>
        </w:tc>
        <w:tc>
          <w:tcPr>
            <w:tcW w:w="1413" w:type="dxa"/>
          </w:tcPr>
          <w:p w:rsidR="00823E40" w:rsidRPr="00076A0F" w:rsidRDefault="00823E40" w:rsidP="00124306">
            <w:pPr>
              <w:pStyle w:val="TableBodyText"/>
              <w:spacing w:before="40"/>
              <w:ind w:right="58"/>
            </w:pPr>
            <w:r w:rsidRPr="00076A0F">
              <w:t>331</w:t>
            </w:r>
            <w:r>
              <w:t> </w:t>
            </w:r>
            <w:r w:rsidRPr="00076A0F">
              <w:t>739</w:t>
            </w:r>
          </w:p>
        </w:tc>
      </w:tr>
      <w:tr w:rsidR="00823E40" w:rsidTr="002D771D">
        <w:tc>
          <w:tcPr>
            <w:tcW w:w="2398" w:type="dxa"/>
            <w:tcBorders>
              <w:bottom w:val="single" w:sz="4" w:space="0" w:color="auto"/>
            </w:tcBorders>
          </w:tcPr>
          <w:p w:rsidR="00823E40" w:rsidRPr="00033818" w:rsidRDefault="00823E40" w:rsidP="00124306">
            <w:pPr>
              <w:pStyle w:val="TableBodyText"/>
              <w:spacing w:before="40"/>
              <w:ind w:right="63"/>
              <w:jc w:val="left"/>
            </w:pPr>
            <w:r w:rsidRPr="00033818">
              <w:t>Profit margin</w:t>
            </w:r>
          </w:p>
        </w:tc>
        <w:tc>
          <w:tcPr>
            <w:tcW w:w="708" w:type="dxa"/>
            <w:tcBorders>
              <w:bottom w:val="single" w:sz="4" w:space="0" w:color="auto"/>
            </w:tcBorders>
          </w:tcPr>
          <w:p w:rsidR="00823E40" w:rsidRDefault="00823E40" w:rsidP="00124306">
            <w:pPr>
              <w:pStyle w:val="TableBodyText"/>
              <w:spacing w:before="40"/>
              <w:ind w:right="63"/>
            </w:pPr>
            <w:r w:rsidRPr="00033818">
              <w:t>%</w:t>
            </w:r>
          </w:p>
        </w:tc>
        <w:tc>
          <w:tcPr>
            <w:tcW w:w="1003" w:type="dxa"/>
            <w:tcBorders>
              <w:bottom w:val="single" w:sz="4" w:space="0" w:color="auto"/>
            </w:tcBorders>
          </w:tcPr>
          <w:p w:rsidR="00823E40" w:rsidRPr="00076A0F" w:rsidRDefault="00823E40" w:rsidP="00124306">
            <w:pPr>
              <w:pStyle w:val="TableBodyText"/>
              <w:spacing w:before="40"/>
              <w:ind w:right="58"/>
            </w:pPr>
            <w:r w:rsidRPr="00076A0F">
              <w:t>13.6</w:t>
            </w:r>
          </w:p>
        </w:tc>
        <w:tc>
          <w:tcPr>
            <w:tcW w:w="1132" w:type="dxa"/>
            <w:tcBorders>
              <w:bottom w:val="single" w:sz="4" w:space="0" w:color="auto"/>
            </w:tcBorders>
            <w:shd w:val="clear" w:color="auto" w:fill="DBE5F1" w:themeFill="accent1" w:themeFillTint="33"/>
          </w:tcPr>
          <w:p w:rsidR="00823E40" w:rsidRPr="002D771D" w:rsidRDefault="00823E40" w:rsidP="00124306">
            <w:pPr>
              <w:pStyle w:val="TableBodyText"/>
              <w:spacing w:before="40"/>
              <w:ind w:right="58"/>
              <w:rPr>
                <w:b/>
              </w:rPr>
            </w:pPr>
            <w:r w:rsidRPr="002D771D">
              <w:rPr>
                <w:b/>
              </w:rPr>
              <w:t>20.7</w:t>
            </w:r>
          </w:p>
        </w:tc>
        <w:tc>
          <w:tcPr>
            <w:tcW w:w="1132" w:type="dxa"/>
            <w:tcBorders>
              <w:bottom w:val="single" w:sz="4" w:space="0" w:color="auto"/>
            </w:tcBorders>
            <w:shd w:val="clear" w:color="auto" w:fill="DBE5F1" w:themeFill="accent1" w:themeFillTint="33"/>
          </w:tcPr>
          <w:p w:rsidR="00823E40" w:rsidRPr="002D771D" w:rsidRDefault="00823E40" w:rsidP="00124306">
            <w:pPr>
              <w:pStyle w:val="TableBodyText"/>
              <w:spacing w:before="40"/>
              <w:ind w:right="58"/>
              <w:rPr>
                <w:b/>
              </w:rPr>
            </w:pPr>
            <w:r w:rsidRPr="002D771D">
              <w:rPr>
                <w:b/>
              </w:rPr>
              <w:t>22.2</w:t>
            </w:r>
          </w:p>
        </w:tc>
        <w:tc>
          <w:tcPr>
            <w:tcW w:w="1003" w:type="dxa"/>
            <w:tcBorders>
              <w:bottom w:val="single" w:sz="4" w:space="0" w:color="auto"/>
            </w:tcBorders>
          </w:tcPr>
          <w:p w:rsidR="00823E40" w:rsidRPr="00076A0F" w:rsidRDefault="00823E40" w:rsidP="00124306">
            <w:pPr>
              <w:pStyle w:val="TableBodyText"/>
              <w:spacing w:before="40"/>
              <w:ind w:right="58"/>
            </w:pPr>
            <w:r w:rsidRPr="00076A0F">
              <w:t>1.2</w:t>
            </w:r>
          </w:p>
        </w:tc>
        <w:tc>
          <w:tcPr>
            <w:tcW w:w="1413" w:type="dxa"/>
            <w:tcBorders>
              <w:bottom w:val="single" w:sz="4" w:space="0" w:color="auto"/>
            </w:tcBorders>
          </w:tcPr>
          <w:p w:rsidR="00823E40" w:rsidRDefault="00823E40" w:rsidP="00124306">
            <w:pPr>
              <w:pStyle w:val="TableBodyText"/>
              <w:spacing w:before="40"/>
              <w:ind w:right="58"/>
            </w:pPr>
            <w:r w:rsidRPr="00076A0F">
              <w:t>12.8</w:t>
            </w:r>
          </w:p>
        </w:tc>
      </w:tr>
    </w:tbl>
    <w:p w:rsidR="00655D0A" w:rsidRDefault="00655D0A" w:rsidP="00915C64">
      <w:pPr>
        <w:pStyle w:val="Note"/>
      </w:pPr>
      <w:proofErr w:type="spellStart"/>
      <w:r w:rsidRPr="005A75EA">
        <w:rPr>
          <w:rStyle w:val="NoteLabel"/>
        </w:rPr>
        <w:t>a</w:t>
      </w:r>
      <w:proofErr w:type="spellEnd"/>
      <w:r>
        <w:t xml:space="preserve"> </w:t>
      </w:r>
      <w:r w:rsidR="005A75EA">
        <w:t>The full definitions of these terms are in th</w:t>
      </w:r>
      <w:r w:rsidR="00AF75DE">
        <w:t>e ABS publication below (pp. 37–</w:t>
      </w:r>
      <w:r w:rsidR="005A75EA">
        <w:t xml:space="preserve">47) and have not been reproduced. </w:t>
      </w:r>
      <w:r w:rsidR="00915C64">
        <w:t xml:space="preserve">Labour costs are the full cost of employment (of which of around 90 per cent are wages and salaries). </w:t>
      </w:r>
      <w:r w:rsidR="005A75EA">
        <w:t>Value added</w:t>
      </w:r>
      <w:r w:rsidR="005A75EA" w:rsidRPr="005A75EA">
        <w:t xml:space="preserve"> represents the value added by an industry to the </w:t>
      </w:r>
      <w:r w:rsidR="005A75EA">
        <w:t xml:space="preserve">intermediate inputs used by the </w:t>
      </w:r>
      <w:r w:rsidR="005A75EA" w:rsidRPr="005A75EA">
        <w:t>industry</w:t>
      </w:r>
      <w:r w:rsidR="005A75EA">
        <w:t xml:space="preserve">. </w:t>
      </w:r>
      <w:r w:rsidRPr="00655D0A">
        <w:t>Gross fixed capital formation is measured by the total valu</w:t>
      </w:r>
      <w:r>
        <w:t>e of a producer's acquisitions,</w:t>
      </w:r>
      <w:r w:rsidR="00915C64">
        <w:t xml:space="preserve"> </w:t>
      </w:r>
      <w:r w:rsidRPr="00655D0A">
        <w:t>less disposals, of fixed assets during the reference period</w:t>
      </w:r>
      <w:r w:rsidR="00915C64">
        <w:t xml:space="preserve"> (and so is not equivalent to investment in new capital). The profit margin is the percentage ratio of operating profit before tax to </w:t>
      </w:r>
      <w:r w:rsidR="00915C64" w:rsidRPr="00915C64">
        <w:t>sales and service income</w:t>
      </w:r>
      <w:r w:rsidR="00915C64">
        <w:t>.</w:t>
      </w:r>
    </w:p>
    <w:p w:rsidR="008C56F7" w:rsidRPr="008E77FE" w:rsidRDefault="008C56F7" w:rsidP="00DF2189">
      <w:pPr>
        <w:pStyle w:val="Source"/>
      </w:pPr>
      <w:r>
        <w:rPr>
          <w:i/>
        </w:rPr>
        <w:t>Source</w:t>
      </w:r>
      <w:r>
        <w:t xml:space="preserve">: </w:t>
      </w:r>
      <w:r w:rsidR="002D771D">
        <w:t xml:space="preserve">ABS </w:t>
      </w:r>
      <w:r w:rsidR="00793B3D">
        <w:t>(</w:t>
      </w:r>
      <w:r w:rsidR="002D771D">
        <w:t>2008</w:t>
      </w:r>
      <w:r w:rsidR="00AF75DE">
        <w:t>),</w:t>
      </w:r>
      <w:r w:rsidR="002D771D">
        <w:t xml:space="preserve"> </w:t>
      </w:r>
      <w:r w:rsidR="002D771D" w:rsidRPr="002D771D">
        <w:rPr>
          <w:i/>
        </w:rPr>
        <w:t>Electricity, Gas, Water and Waste Services, Australia, 2006-07</w:t>
      </w:r>
      <w:r w:rsidR="002D771D">
        <w:t>, Cat. No. 8226.0.</w:t>
      </w:r>
    </w:p>
    <w:p w:rsidR="007E22F5" w:rsidRDefault="007E22F5" w:rsidP="007E22F5">
      <w:pPr>
        <w:pStyle w:val="Heading2"/>
      </w:pPr>
      <w:r>
        <w:t>2.</w:t>
      </w:r>
      <w:r w:rsidR="00493C6B">
        <w:rPr>
          <w:noProof/>
        </w:rPr>
        <w:t>3</w:t>
      </w:r>
      <w:r>
        <w:tab/>
        <w:t>The nature of demand</w:t>
      </w:r>
    </w:p>
    <w:p w:rsidR="007E22F5" w:rsidRDefault="007E22F5" w:rsidP="007E22F5">
      <w:pPr>
        <w:pStyle w:val="BodyText"/>
      </w:pPr>
      <w:r>
        <w:t>Power consumption has been falling in recent years.</w:t>
      </w:r>
      <w:r>
        <w:rPr>
          <w:rStyle w:val="FootnoteReference"/>
        </w:rPr>
        <w:footnoteReference w:id="13"/>
      </w:r>
      <w:r>
        <w:t xml:space="preserve"> The </w:t>
      </w:r>
      <w:proofErr w:type="spellStart"/>
      <w:r>
        <w:t>ESAA</w:t>
      </w:r>
      <w:proofErr w:type="spellEnd"/>
      <w:r>
        <w:t xml:space="preserve"> estimates that consumption per customer fell by around 2.5 per cent in both 2010</w:t>
      </w:r>
      <w:r>
        <w:noBreakHyphen/>
        <w:t>11 and 2009</w:t>
      </w:r>
      <w:r>
        <w:noBreakHyphen/>
        <w:t xml:space="preserve">10. Indeed, even total consumption fell in these two years despite rising population and </w:t>
      </w:r>
      <w:r>
        <w:lastRenderedPageBreak/>
        <w:t>household formation. (The implication is that, all other things being equal, unit prices must rise to cover the high fixed costs of network infrastructure.)</w:t>
      </w:r>
    </w:p>
    <w:p w:rsidR="007E22F5" w:rsidRDefault="007E22F5" w:rsidP="007E22F5">
      <w:pPr>
        <w:pStyle w:val="BodyText"/>
      </w:pPr>
      <w:r>
        <w:t xml:space="preserve">In contrast to average demand, peak demand to average demand has </w:t>
      </w:r>
      <w:r w:rsidR="00AD3969">
        <w:t xml:space="preserve">generally </w:t>
      </w:r>
      <w:r>
        <w:t>been rising over time, reflecting the increasing penetration of air conditioning and the value people place on cooling during hot days (Topp and Kulys 2012, p. 42). This is a significant determinant of increased investment because networks must be built for peak use.</w:t>
      </w:r>
      <w:r>
        <w:rPr>
          <w:rStyle w:val="FootnoteReference"/>
        </w:rPr>
        <w:footnoteReference w:id="14"/>
      </w:r>
    </w:p>
    <w:p w:rsidR="00572DD7" w:rsidRDefault="00667ABA" w:rsidP="007560C3">
      <w:pPr>
        <w:pStyle w:val="BodyText"/>
      </w:pPr>
      <w:r>
        <w:t xml:space="preserve">There were around </w:t>
      </w:r>
      <w:r w:rsidR="00B36682">
        <w:t>9.1</w:t>
      </w:r>
      <w:r>
        <w:t> million electricity customers in 2010</w:t>
      </w:r>
      <w:r>
        <w:noBreakHyphen/>
        <w:t>11, up by around 1 per cent from the previous year (</w:t>
      </w:r>
      <w:r w:rsidR="001C4F8A">
        <w:t xml:space="preserve">table 3.2 in </w:t>
      </w:r>
      <w:proofErr w:type="spellStart"/>
      <w:r>
        <w:t>ESAA</w:t>
      </w:r>
      <w:proofErr w:type="spellEnd"/>
      <w:r>
        <w:t xml:space="preserve"> 2012). </w:t>
      </w:r>
      <w:r w:rsidR="00587FE4">
        <w:t xml:space="preserve">While </w:t>
      </w:r>
      <w:r w:rsidR="0016589E">
        <w:t>around</w:t>
      </w:r>
      <w:r w:rsidR="00587FE4">
        <w:t xml:space="preserve"> 90 per cent of customers are residential</w:t>
      </w:r>
      <w:r w:rsidR="00226C57">
        <w:t xml:space="preserve"> (some 8.1 million)</w:t>
      </w:r>
      <w:r w:rsidR="00587FE4">
        <w:t>, these account for about 30 per cent of total consumption.</w:t>
      </w:r>
      <w:r w:rsidR="00D72941">
        <w:t xml:space="preserve"> </w:t>
      </w:r>
    </w:p>
    <w:p w:rsidR="001C4F8A" w:rsidRDefault="002E0EA7" w:rsidP="007560C3">
      <w:pPr>
        <w:pStyle w:val="BodyText"/>
      </w:pPr>
      <w:r>
        <w:t>The importance to</w:t>
      </w:r>
      <w:r w:rsidRPr="00372935">
        <w:t xml:space="preserve"> network businesses </w:t>
      </w:r>
      <w:r>
        <w:t xml:space="preserve">of the </w:t>
      </w:r>
      <w:r w:rsidRPr="00372935">
        <w:rPr>
          <w:i/>
        </w:rPr>
        <w:t>demand</w:t>
      </w:r>
      <w:r>
        <w:t xml:space="preserve"> by various industries is quite different from t</w:t>
      </w:r>
      <w:r w:rsidR="00372935">
        <w:t xml:space="preserve">he importance </w:t>
      </w:r>
      <w:r>
        <w:t>to</w:t>
      </w:r>
      <w:r w:rsidR="00372935" w:rsidRPr="00372935">
        <w:t xml:space="preserve"> other industries </w:t>
      </w:r>
      <w:r w:rsidR="00372935">
        <w:t xml:space="preserve">of the </w:t>
      </w:r>
      <w:r w:rsidR="00372935" w:rsidRPr="00372935">
        <w:rPr>
          <w:i/>
        </w:rPr>
        <w:t>supply</w:t>
      </w:r>
      <w:r w:rsidR="00372935">
        <w:t xml:space="preserve"> of network services</w:t>
      </w:r>
      <w:r w:rsidR="00633B2F">
        <w:t>.</w:t>
      </w:r>
      <w:r w:rsidR="004B6D3C">
        <w:rPr>
          <w:rStyle w:val="FootnoteReference"/>
        </w:rPr>
        <w:footnoteReference w:id="15"/>
      </w:r>
      <w:r w:rsidR="00372935">
        <w:t xml:space="preserve"> </w:t>
      </w:r>
    </w:p>
    <w:p w:rsidR="00633B2F" w:rsidRDefault="00633B2F" w:rsidP="007560C3">
      <w:pPr>
        <w:pStyle w:val="BodyText"/>
      </w:pPr>
      <w:r>
        <w:t>As far as the:</w:t>
      </w:r>
    </w:p>
    <w:p w:rsidR="00633B2F" w:rsidRDefault="00633B2F" w:rsidP="00633B2F">
      <w:pPr>
        <w:pStyle w:val="ListBullet"/>
      </w:pPr>
      <w:r>
        <w:t xml:space="preserve">former is concerned, network businesses have a wide customer base, although some industries, such as non-ferrous metal manufacturing and non-ferrous mining are particularly important revenue sources </w:t>
      </w:r>
    </w:p>
    <w:p w:rsidR="00633B2F" w:rsidRDefault="00633B2F" w:rsidP="00633B2F">
      <w:pPr>
        <w:pStyle w:val="ListBullet"/>
      </w:pPr>
      <w:r>
        <w:t>latter is concerned, of all industries that supply inputs to other industries, network services are characterised by close to the most uniform pattern of use (figure 2</w:t>
      </w:r>
      <w:r w:rsidR="001C4F8A">
        <w:t>.</w:t>
      </w:r>
      <w:r w:rsidR="0040247C">
        <w:t>5</w:t>
      </w:r>
      <w:r>
        <w:t>). Network services account for around 1</w:t>
      </w:r>
      <w:r w:rsidR="00793B3D">
        <w:t>–</w:t>
      </w:r>
      <w:r>
        <w:t>1.5 per cent of the value of inputs for the bulk of industries, although they are more important inputs for a few industries, such as ceramics and glass manufacturing (figure </w:t>
      </w:r>
      <w:r w:rsidR="001C4F8A">
        <w:t>2.</w:t>
      </w:r>
      <w:r w:rsidR="0040247C">
        <w:t>6</w:t>
      </w:r>
      <w:r>
        <w:t>).</w:t>
      </w:r>
    </w:p>
    <w:p w:rsidR="00D72941" w:rsidRDefault="00D72941" w:rsidP="00D72941">
      <w:pPr>
        <w:pStyle w:val="FigureTitle"/>
      </w:pPr>
      <w:r>
        <w:rPr>
          <w:b w:val="0"/>
        </w:rPr>
        <w:lastRenderedPageBreak/>
        <w:t xml:space="preserve">Figure </w:t>
      </w:r>
      <w:r w:rsidR="006E210A">
        <w:rPr>
          <w:b w:val="0"/>
        </w:rPr>
        <w:t>2.</w:t>
      </w:r>
      <w:r w:rsidR="00493C6B">
        <w:rPr>
          <w:b w:val="0"/>
          <w:noProof/>
        </w:rPr>
        <w:t>5</w:t>
      </w:r>
      <w:r>
        <w:tab/>
        <w:t xml:space="preserve">Network services are general-use inputs </w:t>
      </w:r>
    </w:p>
    <w:p w:rsidR="00D72941" w:rsidRDefault="00D72941" w:rsidP="00D72941">
      <w:pPr>
        <w:pStyle w:val="Subtitle"/>
      </w:pPr>
      <w:r>
        <w:t>2007</w:t>
      </w:r>
      <w:r>
        <w:noBreakHyphen/>
        <w:t>08</w:t>
      </w:r>
      <w:r w:rsidRPr="005E1FED">
        <w:rPr>
          <w:rStyle w:val="NoteLabel"/>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D72941" w:rsidTr="00D72941">
        <w:tc>
          <w:tcPr>
            <w:tcW w:w="8777" w:type="dxa"/>
          </w:tcPr>
          <w:p w:rsidR="00D72941" w:rsidRDefault="00696322" w:rsidP="00D72941">
            <w:pPr>
              <w:pStyle w:val="Figure"/>
            </w:pPr>
            <w:r>
              <w:rPr>
                <w:noProof/>
              </w:rPr>
              <w:drawing>
                <wp:inline distT="0" distB="0" distL="0" distR="0" wp14:anchorId="2378401E">
                  <wp:extent cx="5473689" cy="3716121"/>
                  <wp:effectExtent l="0" t="0" r="0" b="0"/>
                  <wp:docPr id="13" name="Picture 13" descr="Network services are general-use inputs. This figure demonstrates how electricity network services are a general-use input, though typically a small share of each industry’s total inpu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2530" cy="3715334"/>
                          </a:xfrm>
                          <a:prstGeom prst="rect">
                            <a:avLst/>
                          </a:prstGeom>
                          <a:noFill/>
                        </pic:spPr>
                      </pic:pic>
                    </a:graphicData>
                  </a:graphic>
                </wp:inline>
              </w:drawing>
            </w:r>
          </w:p>
        </w:tc>
      </w:tr>
    </w:tbl>
    <w:p w:rsidR="00D72941" w:rsidRDefault="00D72941" w:rsidP="00D72941">
      <w:pPr>
        <w:pStyle w:val="Note"/>
      </w:pPr>
      <w:proofErr w:type="spellStart"/>
      <w:r>
        <w:rPr>
          <w:rStyle w:val="NoteLabel"/>
        </w:rPr>
        <w:t>a</w:t>
      </w:r>
      <w:proofErr w:type="spellEnd"/>
      <w:r>
        <w:sym w:font="Symbol" w:char="F020"/>
      </w:r>
      <w:r>
        <w:t>The measure of specificity is calculated as follows. Let there be N industries. Define an input share (</w:t>
      </w:r>
      <w:r w:rsidRPr="000B451C">
        <w:rPr>
          <w:rFonts w:ascii="Symbol" w:hAnsi="Symbol"/>
          <w:sz w:val="20"/>
        </w:rPr>
        <w:t></w:t>
      </w:r>
      <w:r>
        <w:t>) each industry in the total intermediate inputs (</w:t>
      </w:r>
      <w:proofErr w:type="spellStart"/>
      <w:r>
        <w:t>TotalUse</w:t>
      </w:r>
      <w:proofErr w:type="spellEnd"/>
      <w:r>
        <w:t>) of each other industry:</w:t>
      </w:r>
    </w:p>
    <w:p w:rsidR="00D72941" w:rsidRPr="00244A49" w:rsidRDefault="005452B8" w:rsidP="00D72941">
      <w:sdt>
        <w:sdtPr>
          <w:rPr>
            <w:rFonts w:ascii="Cambria Math" w:hAnsi="Cambria Math"/>
            <w:i/>
          </w:rPr>
          <w:id w:val="-1033968562"/>
          <w:placeholder>
            <w:docPart w:val="0786BCD875AD483885972207EC2AE62D"/>
          </w:placeholder>
          <w:temporary/>
          <w:showingPlcHdr/>
          <w:equation/>
        </w:sdtPr>
        <w:sdtContent>
          <m:oMath>
            <m:sSub>
              <m:sSubPr>
                <m:ctrlPr>
                  <w:rPr>
                    <w:rFonts w:ascii="Cambria Math" w:hAnsi="Cambria Math"/>
                    <w:i/>
                  </w:rPr>
                </m:ctrlPr>
              </m:sSubPr>
              <m:e>
                <m:r>
                  <m:rPr>
                    <m:sty m:val="p"/>
                  </m:rPr>
                  <w:rPr>
                    <w:rFonts w:ascii="Cambria Math" w:hAnsi="Cambria Math"/>
                  </w:rPr>
                  <m:t>α</m:t>
                </m:r>
              </m:e>
              <m:sub>
                <m:r>
                  <m:rPr>
                    <m:sty m:val="p"/>
                  </m:rPr>
                  <w:rPr>
                    <w:rFonts w:ascii="Cambria Math" w:hAnsi="Cambria Math"/>
                  </w:rPr>
                  <m:t>jk</m:t>
                </m:r>
              </m:sub>
            </m:sSub>
            <m:r>
              <m:rPr>
                <m:sty m:val="p"/>
              </m:rPr>
              <w:rPr>
                <w:rStyle w:val="PlaceholderText"/>
                <w:rFonts w:ascii="Cambria Math" w:hAnsi="Cambria Math"/>
              </w:rPr>
              <m:t>=</m:t>
            </m:r>
            <m:f>
              <m:fPr>
                <m:type m:val="lin"/>
                <m:ctrlPr>
                  <w:rPr>
                    <w:rFonts w:ascii="Cambria Math" w:hAnsi="Cambria Math"/>
                    <w:i/>
                  </w:rPr>
                </m:ctrlPr>
              </m:fPr>
              <m:num>
                <m:sSub>
                  <m:sSubPr>
                    <m:ctrlPr>
                      <w:rPr>
                        <w:rFonts w:ascii="Cambria Math" w:hAnsi="Cambria Math"/>
                        <w:i/>
                      </w:rPr>
                    </m:ctrlPr>
                  </m:sSubPr>
                  <m:e>
                    <m:r>
                      <m:rPr>
                        <m:sty m:val="p"/>
                      </m:rPr>
                      <w:rPr>
                        <w:rFonts w:ascii="Cambria Math" w:hAnsi="Cambria Math"/>
                      </w:rPr>
                      <m:t>Input</m:t>
                    </m:r>
                  </m:e>
                  <m:sub>
                    <m:r>
                      <m:rPr>
                        <m:sty m:val="p"/>
                      </m:rPr>
                      <w:rPr>
                        <w:rFonts w:ascii="Cambria Math" w:hAnsi="Cambria Math"/>
                      </w:rPr>
                      <m:t>j</m:t>
                    </m:r>
                  </m:sub>
                </m:sSub>
              </m:num>
              <m:den>
                <m:sSub>
                  <m:sSubPr>
                    <m:ctrlPr>
                      <w:rPr>
                        <w:rFonts w:ascii="Cambria Math" w:hAnsi="Cambria Math"/>
                        <w:i/>
                      </w:rPr>
                    </m:ctrlPr>
                  </m:sSubPr>
                  <m:e>
                    <m:r>
                      <m:rPr>
                        <m:sty m:val="p"/>
                      </m:rPr>
                      <w:rPr>
                        <w:rFonts w:ascii="Cambria Math" w:hAnsi="Cambria Math"/>
                      </w:rPr>
                      <m:t>TotalUse</m:t>
                    </m:r>
                  </m:e>
                  <m:sub>
                    <m:r>
                      <m:rPr>
                        <m:sty m:val="p"/>
                      </m:rPr>
                      <w:rPr>
                        <w:rFonts w:ascii="Cambria Math" w:hAnsi="Cambria Math"/>
                      </w:rPr>
                      <m:t>k</m:t>
                    </m:r>
                  </m:sub>
                </m:sSub>
              </m:den>
            </m:f>
            <m:r>
              <m:rPr>
                <m:sty m:val="p"/>
              </m:rPr>
              <w:rPr>
                <w:rStyle w:val="PlaceholderText"/>
                <w:rFonts w:ascii="Cambria Math" w:hAnsi="Cambria Math"/>
              </w:rPr>
              <m:t xml:space="preserve"> </m:t>
            </m:r>
          </m:oMath>
        </w:sdtContent>
      </w:sdt>
      <w:r w:rsidR="00D72941">
        <w:t xml:space="preserve"> for </w:t>
      </w:r>
      <m:oMath>
        <m:r>
          <w:rPr>
            <w:rStyle w:val="PlaceholderText"/>
            <w:rFonts w:ascii="Cambria Math" w:hAnsi="Cambria Math"/>
            <w:color w:val="auto"/>
          </w:rPr>
          <m:t>j,k∈(1…N)</m:t>
        </m:r>
      </m:oMath>
    </w:p>
    <w:p w:rsidR="00D72941" w:rsidRDefault="00D72941" w:rsidP="00D72941">
      <w:pPr>
        <w:pStyle w:val="Note"/>
      </w:pPr>
      <w:r>
        <w:t>For any given industry (m) in the group 1 to N, there will be a vector of alpha values (</w:t>
      </w:r>
      <w:proofErr w:type="spellStart"/>
      <w:r w:rsidRPr="004C1DB1">
        <w:rPr>
          <w:b/>
        </w:rPr>
        <w:t>V</w:t>
      </w:r>
      <w:r w:rsidRPr="004C1DB1">
        <w:rPr>
          <w:b/>
          <w:vertAlign w:val="subscript"/>
        </w:rPr>
        <w:t>m</w:t>
      </w:r>
      <w:proofErr w:type="spellEnd"/>
      <w:r>
        <w:t>) representing the importance of that industry as an input into other industries (</w:t>
      </w:r>
      <w:r w:rsidRPr="004C1DB1">
        <w:rPr>
          <w:rFonts w:ascii="Symbol" w:hAnsi="Symbol"/>
          <w:sz w:val="22"/>
          <w:szCs w:val="22"/>
        </w:rPr>
        <w:t></w:t>
      </w:r>
      <w:r w:rsidRPr="004C1DB1">
        <w:rPr>
          <w:sz w:val="20"/>
          <w:vertAlign w:val="subscript"/>
        </w:rPr>
        <w:t>m1</w:t>
      </w:r>
      <w:r>
        <w:t xml:space="preserve">, </w:t>
      </w:r>
      <w:r w:rsidRPr="004C1DB1">
        <w:rPr>
          <w:rFonts w:ascii="Symbol" w:hAnsi="Symbol"/>
          <w:sz w:val="22"/>
          <w:szCs w:val="22"/>
        </w:rPr>
        <w:t></w:t>
      </w:r>
      <w:r w:rsidRPr="004C1DB1">
        <w:rPr>
          <w:sz w:val="20"/>
          <w:vertAlign w:val="subscript"/>
        </w:rPr>
        <w:t>m2</w:t>
      </w:r>
      <w:r>
        <w:t xml:space="preserve">, </w:t>
      </w:r>
      <w:r w:rsidRPr="004C1DB1">
        <w:rPr>
          <w:rFonts w:ascii="Symbol" w:hAnsi="Symbol"/>
          <w:sz w:val="22"/>
          <w:szCs w:val="22"/>
        </w:rPr>
        <w:t></w:t>
      </w:r>
      <w:proofErr w:type="spellStart"/>
      <w:r w:rsidRPr="004C1DB1">
        <w:rPr>
          <w:sz w:val="20"/>
          <w:vertAlign w:val="subscript"/>
        </w:rPr>
        <w:t>m3</w:t>
      </w:r>
      <w:proofErr w:type="spellEnd"/>
      <w:r>
        <w:t xml:space="preserve">, … </w:t>
      </w:r>
      <w:r w:rsidRPr="004C1DB1">
        <w:rPr>
          <w:rFonts w:ascii="Symbol" w:hAnsi="Symbol"/>
          <w:sz w:val="22"/>
          <w:szCs w:val="22"/>
        </w:rPr>
        <w:t></w:t>
      </w:r>
      <w:proofErr w:type="spellStart"/>
      <w:r w:rsidRPr="004C1DB1">
        <w:rPr>
          <w:sz w:val="20"/>
          <w:vertAlign w:val="subscript"/>
        </w:rPr>
        <w:t>mN</w:t>
      </w:r>
      <w:proofErr w:type="spellEnd"/>
      <w:r>
        <w:t>). Calculate the ratio (</w:t>
      </w:r>
      <w:proofErr w:type="spellStart"/>
      <w:r>
        <w:t>R</w:t>
      </w:r>
      <w:r w:rsidRPr="004C1DB1">
        <w:rPr>
          <w:sz w:val="20"/>
          <w:vertAlign w:val="subscript"/>
        </w:rPr>
        <w:t>m</w:t>
      </w:r>
      <w:proofErr w:type="spellEnd"/>
      <w:r>
        <w:t>) of 20</w:t>
      </w:r>
      <w:r w:rsidRPr="004C1DB1">
        <w:rPr>
          <w:vertAlign w:val="superscript"/>
        </w:rPr>
        <w:t>th</w:t>
      </w:r>
      <w:r>
        <w:t xml:space="preserve"> and 80</w:t>
      </w:r>
      <w:r w:rsidRPr="004C1DB1">
        <w:rPr>
          <w:vertAlign w:val="superscript"/>
        </w:rPr>
        <w:t>th</w:t>
      </w:r>
      <w:r>
        <w:t xml:space="preserve"> percentiles of </w:t>
      </w:r>
      <w:proofErr w:type="spellStart"/>
      <w:r w:rsidRPr="004C1DB1">
        <w:rPr>
          <w:b/>
        </w:rPr>
        <w:t>V</w:t>
      </w:r>
      <w:r w:rsidRPr="004D2817">
        <w:rPr>
          <w:sz w:val="20"/>
          <w:vertAlign w:val="subscript"/>
        </w:rPr>
        <w:t>m</w:t>
      </w:r>
      <w:proofErr w:type="spellEnd"/>
      <w:r>
        <w:t xml:space="preserve">. Were a given input industry to account for one per cent of the total intermediate use of each other industry, then </w:t>
      </w:r>
      <w:proofErr w:type="spellStart"/>
      <w:r w:rsidRPr="00547EF1">
        <w:t>R</w:t>
      </w:r>
      <w:r w:rsidRPr="004D2817">
        <w:rPr>
          <w:sz w:val="20"/>
          <w:vertAlign w:val="subscript"/>
        </w:rPr>
        <w:t>m</w:t>
      </w:r>
      <w:proofErr w:type="spellEnd"/>
      <w:r>
        <w:t xml:space="preserve"> =1. That means that industry m would be a general-use input. In contrast were </w:t>
      </w:r>
      <w:proofErr w:type="spellStart"/>
      <w:r w:rsidRPr="00547EF1">
        <w:t>R</w:t>
      </w:r>
      <w:r w:rsidRPr="004D2817">
        <w:rPr>
          <w:sz w:val="20"/>
          <w:vertAlign w:val="subscript"/>
        </w:rPr>
        <w:t>m</w:t>
      </w:r>
      <w:proofErr w:type="spellEnd"/>
      <w:r>
        <w:t xml:space="preserve"> to be small then it implies that many industries make little use of that input and some a large amount — a high level of specificity. The data show that electricity network services are a general-use input (though typically a small share of each industry’s total inputs – as shown in figure </w:t>
      </w:r>
      <w:r w:rsidR="00494616">
        <w:t>2.6</w:t>
      </w:r>
      <w:r>
        <w:t>). Indeed, it is close to being the most general-use input among the large group of industries covered by the ABS input-output tables.</w:t>
      </w:r>
    </w:p>
    <w:p w:rsidR="00D72941" w:rsidRDefault="00D72941" w:rsidP="00D72941">
      <w:pPr>
        <w:pStyle w:val="Source"/>
      </w:pPr>
      <w:r>
        <w:rPr>
          <w:i/>
        </w:rPr>
        <w:t>Data source</w:t>
      </w:r>
      <w:r w:rsidRPr="00167F06">
        <w:t xml:space="preserve">: </w:t>
      </w:r>
      <w:r>
        <w:t>ABS</w:t>
      </w:r>
      <w:r w:rsidR="00793B3D">
        <w:t> </w:t>
      </w:r>
      <w:r w:rsidR="002B187C">
        <w:t>(</w:t>
      </w:r>
      <w:r w:rsidR="00793B3D">
        <w:t>2012</w:t>
      </w:r>
      <w:r w:rsidR="002B187C">
        <w:t>b)</w:t>
      </w:r>
      <w:r>
        <w:t xml:space="preserve">, </w:t>
      </w:r>
      <w:r w:rsidRPr="004D79E0">
        <w:rPr>
          <w:i/>
        </w:rPr>
        <w:t>Australian National Accounts: Input-Output Tables — Electronic Publication, 2007</w:t>
      </w:r>
      <w:r w:rsidRPr="004D79E0">
        <w:rPr>
          <w:i/>
        </w:rPr>
        <w:noBreakHyphen/>
        <w:t>08, Final</w:t>
      </w:r>
      <w:r>
        <w:t>, Cat. No. </w:t>
      </w:r>
      <w:r w:rsidRPr="007D6B81">
        <w:t>5209.0.55.001</w:t>
      </w:r>
      <w:r>
        <w:t>.</w:t>
      </w:r>
    </w:p>
    <w:p w:rsidR="00D72941" w:rsidRDefault="00D72941" w:rsidP="007560C3">
      <w:pPr>
        <w:pStyle w:val="BodyText"/>
      </w:pPr>
    </w:p>
    <w:p w:rsidR="00AA1A62" w:rsidRDefault="00AA1A62" w:rsidP="00AA1A62">
      <w:pPr>
        <w:pStyle w:val="FigureTitle"/>
      </w:pPr>
      <w:r>
        <w:rPr>
          <w:b w:val="0"/>
        </w:rPr>
        <w:lastRenderedPageBreak/>
        <w:t xml:space="preserve">Figure </w:t>
      </w:r>
      <w:r w:rsidR="006E210A">
        <w:rPr>
          <w:b w:val="0"/>
        </w:rPr>
        <w:t>2.</w:t>
      </w:r>
      <w:r w:rsidR="00493C6B">
        <w:rPr>
          <w:b w:val="0"/>
          <w:noProof/>
        </w:rPr>
        <w:t>6</w:t>
      </w:r>
      <w:r>
        <w:tab/>
        <w:t>Network services are a small share of inputs for most businesses, 2007</w:t>
      </w:r>
      <w:r>
        <w:noBreakHyphen/>
        <w:t>08</w:t>
      </w:r>
      <w:r w:rsidRPr="0070408E">
        <w:rPr>
          <w:rStyle w:val="NoteLabel"/>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A1A62" w:rsidTr="00AA1A62">
        <w:tc>
          <w:tcPr>
            <w:tcW w:w="8777" w:type="dxa"/>
          </w:tcPr>
          <w:p w:rsidR="00AA1A62" w:rsidRDefault="00AA1A62" w:rsidP="00AA1A62">
            <w:pPr>
              <w:pStyle w:val="Figure"/>
            </w:pPr>
            <w:r>
              <w:rPr>
                <w:noProof/>
              </w:rPr>
              <w:drawing>
                <wp:inline distT="0" distB="0" distL="0" distR="0" wp14:anchorId="0861DD81" wp14:editId="2D7B4547">
                  <wp:extent cx="5187950" cy="3590925"/>
                  <wp:effectExtent l="0" t="0" r="0" b="9525"/>
                  <wp:docPr id="1" name="Picture 1" descr="Network services are a small share of inputs for most businesses, 2007 08. This figure shows the share of total network services used by industries and corresponding intensity of use of the network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7950" cy="3590925"/>
                          </a:xfrm>
                          <a:prstGeom prst="rect">
                            <a:avLst/>
                          </a:prstGeom>
                          <a:noFill/>
                        </pic:spPr>
                      </pic:pic>
                    </a:graphicData>
                  </a:graphic>
                </wp:inline>
              </w:drawing>
            </w:r>
          </w:p>
        </w:tc>
      </w:tr>
    </w:tbl>
    <w:p w:rsidR="00AA1A62" w:rsidRDefault="00AA1A62" w:rsidP="00AA1A62">
      <w:pPr>
        <w:pStyle w:val="Note"/>
      </w:pPr>
      <w:r w:rsidRPr="0070408E">
        <w:rPr>
          <w:rStyle w:val="NoteLabel"/>
        </w:rPr>
        <w:t>a</w:t>
      </w:r>
      <w:r w:rsidR="00B67F02">
        <w:t xml:space="preserve"> Based on table 5, i</w:t>
      </w:r>
      <w:r>
        <w:t xml:space="preserve">ndustry by industry flow matrix with direct allocation of imports (so that the table relates to domestically produced network services only. The shares relate to intermediate inputs into industries. The horizontal axis shows that network services are a relatively small share of total intermediate inputs of most industries. The vertical axis shows that, with one exception — non-ferrous metal manufacturing — networks rely on a wide range of industries for their revenue. </w:t>
      </w:r>
    </w:p>
    <w:p w:rsidR="00667ABA" w:rsidRDefault="00AA1A62" w:rsidP="00DD6582">
      <w:pPr>
        <w:pStyle w:val="Source"/>
      </w:pPr>
      <w:r>
        <w:t>Data source</w:t>
      </w:r>
      <w:r w:rsidRPr="00167F06">
        <w:t xml:space="preserve">: </w:t>
      </w:r>
      <w:r>
        <w:t>ABS</w:t>
      </w:r>
      <w:r w:rsidR="002B187C">
        <w:t xml:space="preserve"> (2012b)</w:t>
      </w:r>
      <w:r>
        <w:t xml:space="preserve">, </w:t>
      </w:r>
      <w:r w:rsidRPr="00DD6582">
        <w:rPr>
          <w:i/>
        </w:rPr>
        <w:t>Australian National Accounts: Input-Output Tables — Electronic Publication, 2007</w:t>
      </w:r>
      <w:r w:rsidRPr="00DD6582">
        <w:rPr>
          <w:i/>
        </w:rPr>
        <w:noBreakHyphen/>
        <w:t>08, Final</w:t>
      </w:r>
      <w:r>
        <w:t>, Cat. No. </w:t>
      </w:r>
      <w:r w:rsidRPr="007D6B81">
        <w:t>5209.0.55.001</w:t>
      </w:r>
      <w:r>
        <w:t>.</w:t>
      </w:r>
    </w:p>
    <w:p w:rsidR="009F5AF6" w:rsidRDefault="009F5AF6" w:rsidP="009F5AF6">
      <w:pPr>
        <w:pStyle w:val="BodyText"/>
      </w:pPr>
      <w:r>
        <w:t>The implication of this pattern of use is that any individual business user has relatively little capacity to</w:t>
      </w:r>
      <w:r w:rsidRPr="00F67CE3">
        <w:t xml:space="preserve"> </w:t>
      </w:r>
      <w:r>
        <w:t xml:space="preserve">negotiate from a position of power with network businesses. However, the Major Energy Users (sub. 11) and the Energy Users Association (sub. 24) have nevertheless been able to act as stakeholders in requesting Rule changes and in representation during the regulatory process. In comparison, in the case of another regulated industry, airports, the number of direct users is small, and there is a much greater capability for negotiated arrangements. An issue in this inquiry is whether network customers could play a larger role in determinations, drawing on the information of benchmarking, and with resort to the regulatory powers of the </w:t>
      </w:r>
      <w:proofErr w:type="spellStart"/>
      <w:r>
        <w:t>AER</w:t>
      </w:r>
      <w:proofErr w:type="spellEnd"/>
      <w:r>
        <w:t xml:space="preserve"> as the ‘stick’. Given the fragmented customer base, achieving that outcome requires a policy stimulus (chapter 21). The other implication of the pattern of use is that network businesses probably have little genuine capacity to ‘hold-up’ the investments of their customers — an issue relevant to the rationale for, and design of, the regulations (chapter 3 and appendix B). </w:t>
      </w:r>
    </w:p>
    <w:p w:rsidR="009F5AF6" w:rsidRDefault="009F5AF6" w:rsidP="009F5AF6">
      <w:pPr>
        <w:pStyle w:val="BodyText"/>
      </w:pPr>
      <w:r>
        <w:lastRenderedPageBreak/>
        <w:t xml:space="preserve">Another facet of demand is its responsiveness to prices, which is relevant to the economic efficiency of addressing any network inefficiencies. Demand is not very responsive to prices in the short run, with a 10 per cent increase in prices likely to reduce electricity demand by somewhere between 2 and 4 per cent. The reduction is significantly greater — somewhere between 5 and 7 per cent — over the long run (Fan and Hyndman 2010, p. 8; </w:t>
      </w:r>
      <w:proofErr w:type="spellStart"/>
      <w:r>
        <w:t>Langmore</w:t>
      </w:r>
      <w:proofErr w:type="spellEnd"/>
      <w:r>
        <w:t xml:space="preserve"> and Duffy 2004). Consequently, some of the recent falls in electricity demand may reflect the impacts of the large price increases described in section 2.4. There is also significantly greater responsiveness to time-based tariffs, which shift demand from one period to another, rather than necessarily reducing daily demand by much. </w:t>
      </w:r>
    </w:p>
    <w:p w:rsidR="009F5AF6" w:rsidRDefault="009F5AF6" w:rsidP="009F5AF6">
      <w:pPr>
        <w:pStyle w:val="BodyText"/>
      </w:pPr>
      <w:r>
        <w:t>The responsiveness of demand to income is important for considering the distributional outcomes of any price reductions from reforms of network regulation. It appears that levels of electricity consumption are not very sensitive to income compared with most other goods and services. Consequently, the share of income spent on energy use falls significantly as household income rises.</w:t>
      </w:r>
    </w:p>
    <w:p w:rsidR="003B6D53" w:rsidRDefault="004159E1" w:rsidP="00EF1553">
      <w:pPr>
        <w:pStyle w:val="BodyText"/>
      </w:pPr>
      <w:r>
        <w:t xml:space="preserve">Domestic energy use accounts for more than </w:t>
      </w:r>
      <w:r w:rsidR="003B6D53">
        <w:t>4</w:t>
      </w:r>
      <w:r>
        <w:t xml:space="preserve"> per cent of household income for the lowest quintile </w:t>
      </w:r>
      <w:r w:rsidR="003B6D53">
        <w:t>under</w:t>
      </w:r>
      <w:r>
        <w:t xml:space="preserve"> 1 per cent for the highest quintile</w:t>
      </w:r>
      <w:r w:rsidR="003B6D53">
        <w:t xml:space="preserve"> (figure </w:t>
      </w:r>
      <w:r w:rsidR="001C4F8A">
        <w:t>2.</w:t>
      </w:r>
      <w:r w:rsidR="0040247C">
        <w:t>7</w:t>
      </w:r>
      <w:r w:rsidR="003B6D53">
        <w:t xml:space="preserve">), or a ratio </w:t>
      </w:r>
      <w:r w:rsidR="00651CDE">
        <w:t>between</w:t>
      </w:r>
      <w:r w:rsidR="003B6D53">
        <w:t xml:space="preserve"> the two of around 5.3 to 1</w:t>
      </w:r>
      <w:r>
        <w:t xml:space="preserve">. </w:t>
      </w:r>
      <w:r w:rsidR="003B6D53">
        <w:t>Other analysis suggests that</w:t>
      </w:r>
      <w:r>
        <w:t xml:space="preserve"> </w:t>
      </w:r>
      <w:r w:rsidR="003B6D53">
        <w:t xml:space="preserve">this ratio is the </w:t>
      </w:r>
      <w:r>
        <w:t xml:space="preserve">third highest among the 35 broad commodity groups in the ABS Household Expenditure Survey — suggesting the </w:t>
      </w:r>
      <w:r w:rsidR="00651CDE">
        <w:t>inherently</w:t>
      </w:r>
      <w:r w:rsidR="003B6D53">
        <w:t xml:space="preserve"> </w:t>
      </w:r>
      <w:r>
        <w:t>‘essential’ nature of energy</w:t>
      </w:r>
      <w:r w:rsidR="003B6D53">
        <w:t>.</w:t>
      </w:r>
      <w:r>
        <w:t xml:space="preserve"> </w:t>
      </w:r>
      <w:r w:rsidR="003B6D53">
        <w:t xml:space="preserve">More disaggregated analysis by </w:t>
      </w:r>
      <w:r w:rsidR="002B187C">
        <w:t>the Independent Pricing and Regulatory Tribunal</w:t>
      </w:r>
      <w:r w:rsidR="003B6D53">
        <w:t xml:space="preserve"> </w:t>
      </w:r>
      <w:r w:rsidR="002B187C">
        <w:t>(</w:t>
      </w:r>
      <w:proofErr w:type="spellStart"/>
      <w:r w:rsidR="002B187C">
        <w:t>IPART</w:t>
      </w:r>
      <w:proofErr w:type="spellEnd"/>
      <w:r w:rsidR="002B187C">
        <w:t xml:space="preserve">) </w:t>
      </w:r>
      <w:r w:rsidR="003B6D53">
        <w:t>for the Sydney region reveals that electricity spending can be as high as 14 per cent of income for the poorest households.</w:t>
      </w:r>
      <w:r w:rsidR="00DB41BB">
        <w:rPr>
          <w:rStyle w:val="FootnoteReference"/>
        </w:rPr>
        <w:footnoteReference w:id="16"/>
      </w:r>
      <w:r w:rsidR="003B6D53">
        <w:t xml:space="preserve"> This income pattern of </w:t>
      </w:r>
      <w:r w:rsidR="00651CDE">
        <w:t>consumption</w:t>
      </w:r>
      <w:r w:rsidR="003B6D53">
        <w:t xml:space="preserve"> is one of the reasons why concerns about network efficiency and their flow-on price effects have been given such prominence. </w:t>
      </w:r>
    </w:p>
    <w:p w:rsidR="00EF1553" w:rsidRDefault="00EF1553" w:rsidP="00EF481C">
      <w:pPr>
        <w:pStyle w:val="FigureTitle"/>
      </w:pPr>
      <w:r>
        <w:rPr>
          <w:b w:val="0"/>
        </w:rPr>
        <w:lastRenderedPageBreak/>
        <w:t xml:space="preserve">Figure </w:t>
      </w:r>
      <w:r w:rsidR="006E210A">
        <w:rPr>
          <w:b w:val="0"/>
        </w:rPr>
        <w:t>2.</w:t>
      </w:r>
      <w:r w:rsidR="00493C6B">
        <w:rPr>
          <w:b w:val="0"/>
          <w:noProof/>
        </w:rPr>
        <w:t>7</w:t>
      </w:r>
      <w:r>
        <w:tab/>
        <w:t>Lower-income households are hit hard</w:t>
      </w:r>
      <w:r w:rsidR="00EF481C">
        <w:t>er by rising prices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2F6846" w:rsidTr="00EF481C">
        <w:trPr>
          <w:trHeight w:val="170"/>
        </w:trPr>
        <w:tc>
          <w:tcPr>
            <w:tcW w:w="8777" w:type="dxa"/>
          </w:tcPr>
          <w:p w:rsidR="002F6846" w:rsidRDefault="002F6846" w:rsidP="00667ABA">
            <w:pPr>
              <w:pStyle w:val="Figure"/>
              <w:rPr>
                <w:noProof/>
              </w:rPr>
            </w:pPr>
            <w:r>
              <w:rPr>
                <w:noProof/>
              </w:rPr>
              <w:t>Australia 2009-10</w:t>
            </w:r>
            <w:r w:rsidRPr="0075282E">
              <w:rPr>
                <w:rStyle w:val="NoteLabel"/>
              </w:rPr>
              <w:t>a</w:t>
            </w:r>
          </w:p>
        </w:tc>
      </w:tr>
      <w:tr w:rsidR="002F6846" w:rsidTr="00667ABA">
        <w:tc>
          <w:tcPr>
            <w:tcW w:w="8777" w:type="dxa"/>
          </w:tcPr>
          <w:p w:rsidR="002F6846" w:rsidRDefault="002F6846" w:rsidP="00667ABA">
            <w:pPr>
              <w:pStyle w:val="Figure"/>
              <w:rPr>
                <w:noProof/>
              </w:rPr>
            </w:pPr>
            <w:r>
              <w:rPr>
                <w:noProof/>
              </w:rPr>
              <w:drawing>
                <wp:inline distT="0" distB="0" distL="0" distR="0" wp14:anchorId="6D1D7D19" wp14:editId="1F550CCA">
                  <wp:extent cx="4371340" cy="2700655"/>
                  <wp:effectExtent l="0" t="0" r="0" b="4445"/>
                  <wp:docPr id="24" name="Picture 24" descr="This chart compares the electricity share of a total household income by equivalised disposable household income quintiles. As electricity costs are a much greater share of their disposable income, lower income households are hit harder by rising pric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1340" cy="2700655"/>
                          </a:xfrm>
                          <a:prstGeom prst="rect">
                            <a:avLst/>
                          </a:prstGeom>
                          <a:noFill/>
                        </pic:spPr>
                      </pic:pic>
                    </a:graphicData>
                  </a:graphic>
                </wp:inline>
              </w:drawing>
            </w:r>
          </w:p>
        </w:tc>
      </w:tr>
      <w:tr w:rsidR="002F6846" w:rsidTr="00667ABA">
        <w:tc>
          <w:tcPr>
            <w:tcW w:w="8777" w:type="dxa"/>
          </w:tcPr>
          <w:p w:rsidR="002F6846" w:rsidRDefault="002F6846" w:rsidP="00667ABA">
            <w:pPr>
              <w:pStyle w:val="Figure"/>
              <w:rPr>
                <w:noProof/>
              </w:rPr>
            </w:pPr>
            <w:r>
              <w:t>Sydney and surrounding regions, 2012</w:t>
            </w:r>
            <w:r>
              <w:noBreakHyphen/>
              <w:t>13</w:t>
            </w:r>
            <w:r w:rsidRPr="002F6846">
              <w:rPr>
                <w:rStyle w:val="NoteLabel"/>
              </w:rPr>
              <w:t>b</w:t>
            </w:r>
          </w:p>
        </w:tc>
      </w:tr>
      <w:tr w:rsidR="00EF1553" w:rsidTr="00667ABA">
        <w:tc>
          <w:tcPr>
            <w:tcW w:w="8777" w:type="dxa"/>
          </w:tcPr>
          <w:p w:rsidR="00EF1553" w:rsidRDefault="009D1DD0" w:rsidP="00667ABA">
            <w:pPr>
              <w:pStyle w:val="Figure"/>
            </w:pPr>
            <w:r w:rsidRPr="009D1DD0">
              <w:rPr>
                <w:noProof/>
              </w:rPr>
              <mc:AlternateContent>
                <mc:Choice Requires="wpg">
                  <w:drawing>
                    <wp:inline distT="0" distB="0" distL="0" distR="0" wp14:anchorId="1CD859A8" wp14:editId="32F44551">
                      <wp:extent cx="4402488" cy="2363190"/>
                      <wp:effectExtent l="0" t="0" r="0" b="0"/>
                      <wp:docPr id="227" name="Group 105"/>
                      <wp:cNvGraphicFramePr/>
                      <a:graphic xmlns:a="http://schemas.openxmlformats.org/drawingml/2006/main">
                        <a:graphicData uri="http://schemas.microsoft.com/office/word/2010/wordprocessingGroup">
                          <wpg:wgp>
                            <wpg:cNvGrpSpPr/>
                            <wpg:grpSpPr>
                              <a:xfrm>
                                <a:off x="0" y="0"/>
                                <a:ext cx="4402488" cy="2363190"/>
                                <a:chOff x="-480" y="0"/>
                                <a:chExt cx="3927504" cy="2493034"/>
                              </a:xfrm>
                            </wpg:grpSpPr>
                            <wps:wsp>
                              <wps:cNvPr id="228" name="Rectangle 228"/>
                              <wps:cNvSpPr/>
                              <wps:spPr>
                                <a:xfrm>
                                  <a:off x="649402" y="86991"/>
                                  <a:ext cx="3210109" cy="18002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52B8" w:rsidRDefault="005452B8" w:rsidP="009D1DD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9" name="Straight Connector 229"/>
                              <wps:cNvCnPr/>
                              <wps:spPr>
                                <a:xfrm>
                                  <a:off x="649403" y="1383135"/>
                                  <a:ext cx="3207431"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30" name="Group 230"/>
                              <wpg:cNvGrpSpPr/>
                              <wpg:grpSpPr>
                                <a:xfrm>
                                  <a:off x="853027" y="133846"/>
                                  <a:ext cx="84460" cy="1232519"/>
                                  <a:chOff x="852980" y="133846"/>
                                  <a:chExt cx="72008" cy="1201465"/>
                                </a:xfrm>
                              </wpg:grpSpPr>
                              <wps:wsp>
                                <wps:cNvPr id="231" name="Straight Connector 231"/>
                                <wps:cNvCnPr/>
                                <wps:spPr>
                                  <a:xfrm>
                                    <a:off x="884618" y="133846"/>
                                    <a:ext cx="4366" cy="1201465"/>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32" name="Straight Connector 232"/>
                                <wps:cNvCnPr/>
                                <wps:spPr>
                                  <a:xfrm>
                                    <a:off x="852980" y="133846"/>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33" name="Straight Connector 233"/>
                                <wps:cNvCnPr/>
                                <wps:spPr>
                                  <a:xfrm>
                                    <a:off x="852980" y="1335311"/>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234" name="Group 234"/>
                              <wpg:cNvGrpSpPr/>
                              <wpg:grpSpPr>
                                <a:xfrm>
                                  <a:off x="1248852" y="709783"/>
                                  <a:ext cx="84460" cy="805693"/>
                                  <a:chOff x="1248782" y="709783"/>
                                  <a:chExt cx="72008" cy="1201465"/>
                                </a:xfrm>
                              </wpg:grpSpPr>
                              <wps:wsp>
                                <wps:cNvPr id="235" name="Straight Connector 235"/>
                                <wps:cNvCnPr/>
                                <wps:spPr>
                                  <a:xfrm>
                                    <a:off x="1280420" y="709783"/>
                                    <a:ext cx="4366" cy="1201465"/>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36" name="Straight Connector 236"/>
                                <wps:cNvCnPr/>
                                <wps:spPr>
                                  <a:xfrm>
                                    <a:off x="1248782" y="709783"/>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37" name="Straight Connector 237"/>
                                <wps:cNvCnPr/>
                                <wps:spPr>
                                  <a:xfrm>
                                    <a:off x="1248782" y="1911248"/>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238" name="Group 238"/>
                              <wpg:cNvGrpSpPr/>
                              <wpg:grpSpPr>
                                <a:xfrm>
                                  <a:off x="1651254" y="821616"/>
                                  <a:ext cx="84460" cy="770608"/>
                                  <a:chOff x="1651162" y="821616"/>
                                  <a:chExt cx="72008" cy="1201465"/>
                                </a:xfrm>
                              </wpg:grpSpPr>
                              <wps:wsp>
                                <wps:cNvPr id="239" name="Straight Connector 239"/>
                                <wps:cNvCnPr/>
                                <wps:spPr>
                                  <a:xfrm>
                                    <a:off x="1682800" y="821616"/>
                                    <a:ext cx="4366" cy="1201465"/>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40" name="Straight Connector 240"/>
                                <wps:cNvCnPr/>
                                <wps:spPr>
                                  <a:xfrm>
                                    <a:off x="1651162" y="821616"/>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41" name="Straight Connector 241"/>
                                <wps:cNvCnPr/>
                                <wps:spPr>
                                  <a:xfrm>
                                    <a:off x="1651162" y="2023081"/>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242" name="Group 242"/>
                              <wpg:cNvGrpSpPr/>
                              <wpg:grpSpPr>
                                <a:xfrm>
                                  <a:off x="2045981" y="1074885"/>
                                  <a:ext cx="84460" cy="537075"/>
                                  <a:chOff x="2045867" y="1074885"/>
                                  <a:chExt cx="72008" cy="1201465"/>
                                </a:xfrm>
                              </wpg:grpSpPr>
                              <wps:wsp>
                                <wps:cNvPr id="243" name="Straight Connector 243"/>
                                <wps:cNvCnPr/>
                                <wps:spPr>
                                  <a:xfrm>
                                    <a:off x="2077505" y="1074885"/>
                                    <a:ext cx="4366" cy="1201465"/>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44" name="Straight Connector 244"/>
                                <wps:cNvCnPr/>
                                <wps:spPr>
                                  <a:xfrm>
                                    <a:off x="2045867" y="1074885"/>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45" name="Straight Connector 245"/>
                                <wps:cNvCnPr/>
                                <wps:spPr>
                                  <a:xfrm>
                                    <a:off x="2045867" y="2276350"/>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246" name="Group 246"/>
                              <wpg:cNvGrpSpPr/>
                              <wpg:grpSpPr>
                                <a:xfrm>
                                  <a:off x="2441804" y="1196586"/>
                                  <a:ext cx="84460" cy="469098"/>
                                  <a:chOff x="2441669" y="1196586"/>
                                  <a:chExt cx="72008" cy="1201465"/>
                                </a:xfrm>
                              </wpg:grpSpPr>
                              <wps:wsp>
                                <wps:cNvPr id="247" name="Straight Connector 247"/>
                                <wps:cNvCnPr/>
                                <wps:spPr>
                                  <a:xfrm>
                                    <a:off x="2473307" y="1196586"/>
                                    <a:ext cx="4366" cy="1201465"/>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48" name="Straight Connector 248"/>
                                <wps:cNvCnPr/>
                                <wps:spPr>
                                  <a:xfrm>
                                    <a:off x="2441669" y="1196586"/>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49" name="Straight Connector 249"/>
                                <wps:cNvCnPr/>
                                <wps:spPr>
                                  <a:xfrm>
                                    <a:off x="2441669" y="2398051"/>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250" name="Group 250"/>
                              <wpg:cNvGrpSpPr/>
                              <wpg:grpSpPr>
                                <a:xfrm>
                                  <a:off x="2844206" y="1314996"/>
                                  <a:ext cx="84460" cy="384675"/>
                                  <a:chOff x="2844048" y="1314996"/>
                                  <a:chExt cx="72008" cy="1201465"/>
                                </a:xfrm>
                              </wpg:grpSpPr>
                              <wps:wsp>
                                <wps:cNvPr id="251" name="Straight Connector 251"/>
                                <wps:cNvCnPr/>
                                <wps:spPr>
                                  <a:xfrm>
                                    <a:off x="2875686" y="1314996"/>
                                    <a:ext cx="4366" cy="1201465"/>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52" name="Straight Connector 252"/>
                                <wps:cNvCnPr/>
                                <wps:spPr>
                                  <a:xfrm>
                                    <a:off x="2844048" y="1314996"/>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53" name="Straight Connector 253"/>
                                <wps:cNvCnPr/>
                                <wps:spPr>
                                  <a:xfrm>
                                    <a:off x="2844048" y="2516461"/>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254" name="Group 254"/>
                              <wpg:cNvGrpSpPr/>
                              <wpg:grpSpPr>
                                <a:xfrm>
                                  <a:off x="3240029" y="1443276"/>
                                  <a:ext cx="84460" cy="310119"/>
                                  <a:chOff x="3239849" y="1443276"/>
                                  <a:chExt cx="72008" cy="1201465"/>
                                </a:xfrm>
                              </wpg:grpSpPr>
                              <wps:wsp>
                                <wps:cNvPr id="255" name="Straight Connector 255"/>
                                <wps:cNvCnPr/>
                                <wps:spPr>
                                  <a:xfrm>
                                    <a:off x="3271487" y="1443276"/>
                                    <a:ext cx="4366" cy="1201465"/>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56" name="Straight Connector 256"/>
                                <wps:cNvCnPr/>
                                <wps:spPr>
                                  <a:xfrm>
                                    <a:off x="3239849" y="1443276"/>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57" name="Straight Connector 257"/>
                                <wps:cNvCnPr/>
                                <wps:spPr>
                                  <a:xfrm>
                                    <a:off x="3239849" y="2644741"/>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258" name="Group 258"/>
                              <wpg:cNvGrpSpPr/>
                              <wpg:grpSpPr>
                                <a:xfrm>
                                  <a:off x="3632563" y="1433409"/>
                                  <a:ext cx="84460" cy="321084"/>
                                  <a:chOff x="3632361" y="1433409"/>
                                  <a:chExt cx="72008" cy="1201465"/>
                                </a:xfrm>
                              </wpg:grpSpPr>
                              <wps:wsp>
                                <wps:cNvPr id="259" name="Straight Connector 259"/>
                                <wps:cNvCnPr/>
                                <wps:spPr>
                                  <a:xfrm>
                                    <a:off x="3663999" y="1433409"/>
                                    <a:ext cx="4366" cy="1201465"/>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60" name="Straight Connector 260"/>
                                <wps:cNvCnPr/>
                                <wps:spPr>
                                  <a:xfrm>
                                    <a:off x="3632361" y="1433409"/>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61" name="Straight Connector 261"/>
                                <wps:cNvCnPr/>
                                <wps:spPr>
                                  <a:xfrm>
                                    <a:off x="3632361" y="2634874"/>
                                    <a:ext cx="72008" cy="0"/>
                                  </a:xfrm>
                                  <a:prstGeom prst="line">
                                    <a:avLst/>
                                  </a:prstGeom>
                                  <a:ln>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wpg:grpSp>
                            <wps:wsp>
                              <wps:cNvPr id="262" name="Oval 262"/>
                              <wps:cNvSpPr/>
                              <wps:spPr>
                                <a:xfrm>
                                  <a:off x="1261230" y="1172078"/>
                                  <a:ext cx="72008" cy="72008"/>
                                </a:xfrm>
                                <a:prstGeom prst="ellipse">
                                  <a:avLst/>
                                </a:prstGeom>
                                <a:solidFill>
                                  <a:srgbClr val="C00000"/>
                                </a:solidFill>
                                <a:ln w="63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52B8" w:rsidRDefault="005452B8" w:rsidP="009D1DD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3" name="Oval 263"/>
                              <wps:cNvSpPr/>
                              <wps:spPr>
                                <a:xfrm>
                                  <a:off x="1654825" y="1244086"/>
                                  <a:ext cx="72008" cy="72008"/>
                                </a:xfrm>
                                <a:prstGeom prst="ellipse">
                                  <a:avLst/>
                                </a:prstGeom>
                                <a:solidFill>
                                  <a:srgbClr val="C00000"/>
                                </a:solidFill>
                                <a:ln w="63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52B8" w:rsidRDefault="005452B8" w:rsidP="009D1DD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4" name="Oval 264"/>
                              <wps:cNvSpPr/>
                              <wps:spPr>
                                <a:xfrm>
                                  <a:off x="2052091" y="1374719"/>
                                  <a:ext cx="72008" cy="72008"/>
                                </a:xfrm>
                                <a:prstGeom prst="ellipse">
                                  <a:avLst/>
                                </a:prstGeom>
                                <a:solidFill>
                                  <a:srgbClr val="C00000"/>
                                </a:solidFill>
                                <a:ln w="63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52B8" w:rsidRDefault="005452B8" w:rsidP="009D1DD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Oval 265"/>
                              <wps:cNvSpPr/>
                              <wps:spPr>
                                <a:xfrm>
                                  <a:off x="2450662" y="1454595"/>
                                  <a:ext cx="72008" cy="72008"/>
                                </a:xfrm>
                                <a:prstGeom prst="ellipse">
                                  <a:avLst/>
                                </a:prstGeom>
                                <a:solidFill>
                                  <a:srgbClr val="C00000"/>
                                </a:solidFill>
                                <a:ln w="63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52B8" w:rsidRDefault="005452B8" w:rsidP="009D1DD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6" name="Oval 266"/>
                              <wps:cNvSpPr/>
                              <wps:spPr>
                                <a:xfrm>
                                  <a:off x="2849753" y="1508319"/>
                                  <a:ext cx="72008" cy="72008"/>
                                </a:xfrm>
                                <a:prstGeom prst="ellipse">
                                  <a:avLst/>
                                </a:prstGeom>
                                <a:solidFill>
                                  <a:srgbClr val="C00000"/>
                                </a:solidFill>
                                <a:ln w="63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52B8" w:rsidRDefault="005452B8" w:rsidP="009D1DD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Oval 267"/>
                              <wps:cNvSpPr/>
                              <wps:spPr>
                                <a:xfrm>
                                  <a:off x="3245554" y="1598224"/>
                                  <a:ext cx="72008" cy="72008"/>
                                </a:xfrm>
                                <a:prstGeom prst="ellipse">
                                  <a:avLst/>
                                </a:prstGeom>
                                <a:solidFill>
                                  <a:srgbClr val="C00000"/>
                                </a:solidFill>
                                <a:ln w="63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52B8" w:rsidRDefault="005452B8" w:rsidP="009D1DD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 name="Oval 268"/>
                              <wps:cNvSpPr/>
                              <wps:spPr>
                                <a:xfrm>
                                  <a:off x="3646838" y="1604803"/>
                                  <a:ext cx="72008" cy="72008"/>
                                </a:xfrm>
                                <a:prstGeom prst="ellipse">
                                  <a:avLst/>
                                </a:prstGeom>
                                <a:solidFill>
                                  <a:srgbClr val="C00000"/>
                                </a:solidFill>
                                <a:ln w="63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52B8" w:rsidRDefault="005452B8" w:rsidP="009D1DD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9" name="Straight Connector 269"/>
                              <wps:cNvCnPr/>
                              <wps:spPr>
                                <a:xfrm>
                                  <a:off x="649403" y="375023"/>
                                  <a:ext cx="321010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270" name="Straight Connector 270"/>
                              <wps:cNvCnPr/>
                              <wps:spPr>
                                <a:xfrm>
                                  <a:off x="650500" y="635967"/>
                                  <a:ext cx="321010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271" name="Straight Connector 271"/>
                              <wps:cNvCnPr/>
                              <wps:spPr>
                                <a:xfrm>
                                  <a:off x="648307" y="883754"/>
                                  <a:ext cx="321010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272" name="Straight Connector 272"/>
                              <wps:cNvCnPr/>
                              <wps:spPr>
                                <a:xfrm>
                                  <a:off x="662560" y="1141409"/>
                                  <a:ext cx="321010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273" name="Straight Connector 273"/>
                              <wps:cNvCnPr/>
                              <wps:spPr>
                                <a:xfrm>
                                  <a:off x="653788" y="1655622"/>
                                  <a:ext cx="321010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274" name="Straight Connector 274"/>
                              <wps:cNvCnPr/>
                              <wps:spPr>
                                <a:xfrm>
                                  <a:off x="650500" y="126140"/>
                                  <a:ext cx="3210108" cy="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275" name="TextBox 61"/>
                              <wps:cNvSpPr txBox="1"/>
                              <wps:spPr>
                                <a:xfrm>
                                  <a:off x="331968" y="251889"/>
                                  <a:ext cx="311785"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12</w:t>
                                    </w:r>
                                  </w:p>
                                </w:txbxContent>
                              </wps:txbx>
                              <wps:bodyPr wrap="square" rtlCol="0">
                                <a:noAutofit/>
                              </wps:bodyPr>
                            </wps:wsp>
                            <wps:wsp>
                              <wps:cNvPr id="276" name="TextBox 62"/>
                              <wps:cNvSpPr txBox="1"/>
                              <wps:spPr>
                                <a:xfrm>
                                  <a:off x="337645" y="533274"/>
                                  <a:ext cx="311785"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10</w:t>
                                    </w:r>
                                  </w:p>
                                </w:txbxContent>
                              </wps:txbx>
                              <wps:bodyPr wrap="square" rtlCol="0">
                                <a:noAutofit/>
                              </wps:bodyPr>
                            </wps:wsp>
                            <wps:wsp>
                              <wps:cNvPr id="277" name="TextBox 63"/>
                              <wps:cNvSpPr txBox="1"/>
                              <wps:spPr>
                                <a:xfrm>
                                  <a:off x="400073" y="779473"/>
                                  <a:ext cx="247650"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8</w:t>
                                    </w:r>
                                  </w:p>
                                </w:txbxContent>
                              </wps:txbx>
                              <wps:bodyPr wrap="square" rtlCol="0">
                                <a:noAutofit/>
                              </wps:bodyPr>
                            </wps:wsp>
                            <wps:wsp>
                              <wps:cNvPr id="278" name="TextBox 64"/>
                              <wps:cNvSpPr txBox="1"/>
                              <wps:spPr>
                                <a:xfrm>
                                  <a:off x="397685" y="1028221"/>
                                  <a:ext cx="247650"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6</w:t>
                                    </w:r>
                                  </w:p>
                                </w:txbxContent>
                              </wps:txbx>
                              <wps:bodyPr wrap="square" rtlCol="0">
                                <a:noAutofit/>
                              </wps:bodyPr>
                            </wps:wsp>
                            <wps:wsp>
                              <wps:cNvPr id="279" name="TextBox 65"/>
                              <wps:cNvSpPr txBox="1"/>
                              <wps:spPr>
                                <a:xfrm>
                                  <a:off x="398975" y="1261228"/>
                                  <a:ext cx="247650"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4</w:t>
                                    </w:r>
                                  </w:p>
                                </w:txbxContent>
                              </wps:txbx>
                              <wps:bodyPr wrap="square" rtlCol="0">
                                <a:noAutofit/>
                              </wps:bodyPr>
                            </wps:wsp>
                            <wps:wsp>
                              <wps:cNvPr id="280" name="TextBox 67"/>
                              <wps:cNvSpPr txBox="1"/>
                              <wps:spPr>
                                <a:xfrm>
                                  <a:off x="398976" y="1770426"/>
                                  <a:ext cx="247650"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0</w:t>
                                    </w:r>
                                  </w:p>
                                </w:txbxContent>
                              </wps:txbx>
                              <wps:bodyPr wrap="square" rtlCol="0">
                                <a:noAutofit/>
                              </wps:bodyPr>
                            </wps:wsp>
                            <wps:wsp>
                              <wps:cNvPr id="281" name="TextBox 68"/>
                              <wps:cNvSpPr txBox="1"/>
                              <wps:spPr>
                                <a:xfrm>
                                  <a:off x="403361" y="1524226"/>
                                  <a:ext cx="247650"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2</w:t>
                                    </w:r>
                                  </w:p>
                                </w:txbxContent>
                              </wps:txbx>
                              <wps:bodyPr wrap="square" rtlCol="0">
                                <a:noAutofit/>
                              </wps:bodyPr>
                            </wps:wsp>
                            <wps:wsp>
                              <wps:cNvPr id="282" name="TextBox 69"/>
                              <wps:cNvSpPr txBox="1"/>
                              <wps:spPr>
                                <a:xfrm>
                                  <a:off x="648054" y="1893526"/>
                                  <a:ext cx="481330" cy="370205"/>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$14 to</w:t>
                                    </w:r>
                                  </w:p>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$20k</w:t>
                                    </w:r>
                                  </w:p>
                                </w:txbxContent>
                              </wps:txbx>
                              <wps:bodyPr wrap="square" rtlCol="0">
                                <a:noAutofit/>
                              </wps:bodyPr>
                            </wps:wsp>
                            <wps:wsp>
                              <wps:cNvPr id="283" name="TextBox 70"/>
                              <wps:cNvSpPr txBox="1"/>
                              <wps:spPr>
                                <a:xfrm>
                                  <a:off x="1091733" y="1891571"/>
                                  <a:ext cx="481330" cy="370205"/>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$20 to</w:t>
                                    </w:r>
                                  </w:p>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$38k</w:t>
                                    </w:r>
                                  </w:p>
                                </w:txbxContent>
                              </wps:txbx>
                              <wps:bodyPr wrap="square" rtlCol="0">
                                <a:noAutofit/>
                              </wps:bodyPr>
                            </wps:wsp>
                            <wps:wsp>
                              <wps:cNvPr id="284" name="TextBox 71"/>
                              <wps:cNvSpPr txBox="1"/>
                              <wps:spPr>
                                <a:xfrm>
                                  <a:off x="1485295" y="1887022"/>
                                  <a:ext cx="481330" cy="370205"/>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$38 to</w:t>
                                    </w:r>
                                  </w:p>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$46k</w:t>
                                    </w:r>
                                  </w:p>
                                </w:txbxContent>
                              </wps:txbx>
                              <wps:bodyPr wrap="square" rtlCol="0">
                                <a:noAutofit/>
                              </wps:bodyPr>
                            </wps:wsp>
                            <wps:wsp>
                              <wps:cNvPr id="285" name="TextBox 72"/>
                              <wps:cNvSpPr txBox="1"/>
                              <wps:spPr>
                                <a:xfrm>
                                  <a:off x="1861840" y="1891312"/>
                                  <a:ext cx="481330" cy="370205"/>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$46 to</w:t>
                                    </w:r>
                                  </w:p>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$69k</w:t>
                                    </w:r>
                                  </w:p>
                                </w:txbxContent>
                              </wps:txbx>
                              <wps:bodyPr wrap="square" rtlCol="0">
                                <a:noAutofit/>
                              </wps:bodyPr>
                            </wps:wsp>
                            <wps:wsp>
                              <wps:cNvPr id="286" name="TextBox 73"/>
                              <wps:cNvSpPr txBox="1"/>
                              <wps:spPr>
                                <a:xfrm>
                                  <a:off x="2259290" y="1890377"/>
                                  <a:ext cx="481330" cy="370205"/>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$69 to</w:t>
                                    </w:r>
                                  </w:p>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$98k</w:t>
                                    </w:r>
                                  </w:p>
                                </w:txbxContent>
                              </wps:txbx>
                              <wps:bodyPr wrap="square" rtlCol="0">
                                <a:noAutofit/>
                              </wps:bodyPr>
                            </wps:wsp>
                            <wps:wsp>
                              <wps:cNvPr id="287" name="TextBox 74"/>
                              <wps:cNvSpPr txBox="1"/>
                              <wps:spPr>
                                <a:xfrm>
                                  <a:off x="2645942" y="1886704"/>
                                  <a:ext cx="481330" cy="370205"/>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$98 to</w:t>
                                    </w:r>
                                  </w:p>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$145k</w:t>
                                    </w:r>
                                  </w:p>
                                </w:txbxContent>
                              </wps:txbx>
                              <wps:bodyPr wrap="square" rtlCol="0">
                                <a:noAutofit/>
                              </wps:bodyPr>
                            </wps:wsp>
                            <wps:wsp>
                              <wps:cNvPr id="288" name="TextBox 75"/>
                              <wps:cNvSpPr txBox="1"/>
                              <wps:spPr>
                                <a:xfrm>
                                  <a:off x="3031313" y="1891026"/>
                                  <a:ext cx="539115" cy="370205"/>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$145 to</w:t>
                                    </w:r>
                                  </w:p>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$174k</w:t>
                                    </w:r>
                                  </w:p>
                                </w:txbxContent>
                              </wps:txbx>
                              <wps:bodyPr wrap="square" rtlCol="0">
                                <a:noAutofit/>
                              </wps:bodyPr>
                            </wps:wsp>
                            <wps:wsp>
                              <wps:cNvPr id="289" name="TextBox 76"/>
                              <wps:cNvSpPr txBox="1"/>
                              <wps:spPr>
                                <a:xfrm>
                                  <a:off x="3460299" y="1887352"/>
                                  <a:ext cx="466725" cy="23114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18"/>
                                        <w:szCs w:val="18"/>
                                      </w:rPr>
                                      <w:t>$174k</w:t>
                                    </w:r>
                                  </w:p>
                                </w:txbxContent>
                              </wps:txbx>
                              <wps:bodyPr wrap="square" rtlCol="0">
                                <a:noAutofit/>
                              </wps:bodyPr>
                            </wps:wsp>
                            <wps:wsp>
                              <wps:cNvPr id="290" name="Straight Connector 290"/>
                              <wps:cNvCnPr/>
                              <wps:spPr>
                                <a:xfrm>
                                  <a:off x="1100631" y="1891740"/>
                                  <a:ext cx="0" cy="58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1" name="Straight Connector 291"/>
                              <wps:cNvCnPr/>
                              <wps:spPr>
                                <a:xfrm>
                                  <a:off x="1494375" y="1891740"/>
                                  <a:ext cx="0" cy="58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Straight Connector 292"/>
                              <wps:cNvCnPr/>
                              <wps:spPr>
                                <a:xfrm>
                                  <a:off x="1890951" y="1891740"/>
                                  <a:ext cx="0" cy="58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3" name="Straight Connector 293"/>
                              <wps:cNvCnPr/>
                              <wps:spPr>
                                <a:xfrm>
                                  <a:off x="3856834" y="1891739"/>
                                  <a:ext cx="0" cy="58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4" name="Straight Connector 294"/>
                              <wps:cNvCnPr/>
                              <wps:spPr>
                                <a:xfrm>
                                  <a:off x="2292726" y="1893695"/>
                                  <a:ext cx="0" cy="58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5" name="Straight Connector 295"/>
                              <wps:cNvCnPr/>
                              <wps:spPr>
                                <a:xfrm>
                                  <a:off x="3482459" y="1893695"/>
                                  <a:ext cx="0" cy="58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6" name="Straight Connector 296"/>
                              <wps:cNvCnPr/>
                              <wps:spPr>
                                <a:xfrm>
                                  <a:off x="3079757" y="1890406"/>
                                  <a:ext cx="0" cy="58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7" name="Straight Connector 297"/>
                              <wps:cNvCnPr/>
                              <wps:spPr>
                                <a:xfrm>
                                  <a:off x="2677410" y="1900539"/>
                                  <a:ext cx="0" cy="58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TextBox 86"/>
                              <wps:cNvSpPr txBox="1"/>
                              <wps:spPr>
                                <a:xfrm>
                                  <a:off x="337600" y="0"/>
                                  <a:ext cx="311785"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14</w:t>
                                    </w:r>
                                  </w:p>
                                </w:txbxContent>
                              </wps:txbx>
                              <wps:bodyPr wrap="square" rtlCol="0">
                                <a:noAutofit/>
                              </wps:bodyPr>
                            </wps:wsp>
                            <wps:wsp>
                              <wps:cNvPr id="299" name="TextBox 88"/>
                              <wps:cNvSpPr txBox="1"/>
                              <wps:spPr>
                                <a:xfrm>
                                  <a:off x="2476199" y="831529"/>
                                  <a:ext cx="1347470"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Median all households</w:t>
                                    </w:r>
                                  </w:p>
                                </w:txbxContent>
                              </wps:txbx>
                              <wps:bodyPr wrap="square" rtlCol="0">
                                <a:noAutofit/>
                              </wps:bodyPr>
                            </wps:wsp>
                            <wps:wsp>
                              <wps:cNvPr id="300" name="Straight Arrow Connector 300"/>
                              <wps:cNvCnPr/>
                              <wps:spPr>
                                <a:xfrm>
                                  <a:off x="2953659" y="1028313"/>
                                  <a:ext cx="126098" cy="33805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1" name="Oval 301"/>
                              <wps:cNvSpPr/>
                              <wps:spPr>
                                <a:xfrm>
                                  <a:off x="852980" y="847750"/>
                                  <a:ext cx="72008" cy="72008"/>
                                </a:xfrm>
                                <a:prstGeom prst="ellipse">
                                  <a:avLst/>
                                </a:prstGeom>
                                <a:solidFill>
                                  <a:srgbClr val="C00000"/>
                                </a:solidFill>
                                <a:ln w="63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52B8" w:rsidRDefault="005452B8" w:rsidP="009D1DD0"/>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302" name="Group 302"/>
                              <wpg:cNvGrpSpPr/>
                              <wpg:grpSpPr>
                                <a:xfrm>
                                  <a:off x="2572047" y="618787"/>
                                  <a:ext cx="613952" cy="246380"/>
                                  <a:chOff x="2572047" y="618787"/>
                                  <a:chExt cx="613952" cy="246380"/>
                                </a:xfrm>
                              </wpg:grpSpPr>
                              <wps:wsp>
                                <wps:cNvPr id="303" name="Oval 303"/>
                                <wps:cNvSpPr/>
                                <wps:spPr>
                                  <a:xfrm>
                                    <a:off x="2572047" y="705949"/>
                                    <a:ext cx="72008" cy="72008"/>
                                  </a:xfrm>
                                  <a:prstGeom prst="ellipse">
                                    <a:avLst/>
                                  </a:prstGeom>
                                  <a:solidFill>
                                    <a:srgbClr val="C00000"/>
                                  </a:solidFill>
                                  <a:ln w="63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52B8" w:rsidRDefault="005452B8" w:rsidP="009D1DD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4" name="TextBox 92"/>
                                <wps:cNvSpPr txBox="1"/>
                                <wps:spPr>
                                  <a:xfrm>
                                    <a:off x="2607514" y="618787"/>
                                    <a:ext cx="578485"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Median</w:t>
                                      </w:r>
                                    </w:p>
                                  </w:txbxContent>
                                </wps:txbx>
                                <wps:bodyPr wrap="square" rtlCol="0">
                                  <a:noAutofit/>
                                </wps:bodyPr>
                              </wps:wsp>
                            </wpg:grpSp>
                            <wps:wsp>
                              <wps:cNvPr id="305" name="TextBox 94"/>
                              <wps:cNvSpPr txBox="1"/>
                              <wps:spPr>
                                <a:xfrm>
                                  <a:off x="1130698" y="133834"/>
                                  <a:ext cx="933450" cy="2844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90</w:t>
                                    </w:r>
                                    <w:proofErr w:type="spellStart"/>
                                    <w:r>
                                      <w:rPr>
                                        <w:rFonts w:asciiTheme="minorHAnsi" w:hAnsi="Calibri" w:cstheme="minorBidi"/>
                                        <w:color w:val="000000" w:themeColor="text1"/>
                                        <w:kern w:val="24"/>
                                        <w:position w:val="6"/>
                                        <w:sz w:val="20"/>
                                        <w:szCs w:val="20"/>
                                        <w:vertAlign w:val="superscript"/>
                                      </w:rPr>
                                      <w:t>th</w:t>
                                    </w:r>
                                    <w:proofErr w:type="spellEnd"/>
                                    <w:r>
                                      <w:rPr>
                                        <w:rFonts w:asciiTheme="minorHAnsi" w:hAnsi="Calibri" w:cstheme="minorBidi"/>
                                        <w:color w:val="000000" w:themeColor="text1"/>
                                        <w:kern w:val="24"/>
                                        <w:sz w:val="20"/>
                                        <w:szCs w:val="20"/>
                                      </w:rPr>
                                      <w:t xml:space="preserve"> percentile</w:t>
                                    </w:r>
                                  </w:p>
                                </w:txbxContent>
                              </wps:txbx>
                              <wps:bodyPr wrap="square" rtlCol="0">
                                <a:noAutofit/>
                              </wps:bodyPr>
                            </wps:wsp>
                            <wps:wsp>
                              <wps:cNvPr id="306" name="Straight Arrow Connector 306"/>
                              <wps:cNvCnPr/>
                              <wps:spPr>
                                <a:xfrm flipH="1" flipV="1">
                                  <a:off x="991193" y="160259"/>
                                  <a:ext cx="201265" cy="720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7" name="Straight Arrow Connector 307"/>
                              <wps:cNvCnPr/>
                              <wps:spPr>
                                <a:xfrm flipH="1" flipV="1">
                                  <a:off x="886565" y="1410723"/>
                                  <a:ext cx="122878" cy="133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8" name="TextBox 95"/>
                              <wps:cNvSpPr txBox="1"/>
                              <wps:spPr>
                                <a:xfrm>
                                  <a:off x="768798" y="1490466"/>
                                  <a:ext cx="933450" cy="2844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10</w:t>
                                    </w:r>
                                    <w:proofErr w:type="spellStart"/>
                                    <w:r>
                                      <w:rPr>
                                        <w:rFonts w:asciiTheme="minorHAnsi" w:hAnsi="Calibri" w:cstheme="minorBidi"/>
                                        <w:color w:val="000000" w:themeColor="text1"/>
                                        <w:kern w:val="24"/>
                                        <w:position w:val="6"/>
                                        <w:sz w:val="20"/>
                                        <w:szCs w:val="20"/>
                                        <w:vertAlign w:val="superscript"/>
                                      </w:rPr>
                                      <w:t>th</w:t>
                                    </w:r>
                                    <w:proofErr w:type="spellEnd"/>
                                    <w:r>
                                      <w:rPr>
                                        <w:rFonts w:asciiTheme="minorHAnsi" w:hAnsi="Calibri" w:cstheme="minorBidi"/>
                                        <w:color w:val="000000" w:themeColor="text1"/>
                                        <w:kern w:val="24"/>
                                        <w:sz w:val="20"/>
                                        <w:szCs w:val="20"/>
                                      </w:rPr>
                                      <w:t xml:space="preserve"> percentile</w:t>
                                    </w:r>
                                  </w:p>
                                </w:txbxContent>
                              </wps:txbx>
                              <wps:bodyPr wrap="square" rtlCol="0">
                                <a:noAutofit/>
                              </wps:bodyPr>
                            </wps:wsp>
                            <wps:wsp>
                              <wps:cNvPr id="309" name="TextBox 103"/>
                              <wps:cNvSpPr txBox="1"/>
                              <wps:spPr>
                                <a:xfrm rot="16200000">
                                  <a:off x="-792325" y="810368"/>
                                  <a:ext cx="1985010" cy="401320"/>
                                </a:xfrm>
                                <a:prstGeom prst="rect">
                                  <a:avLst/>
                                </a:prstGeom>
                                <a:noFill/>
                              </wps:spPr>
                              <wps:txbx>
                                <w:txbxContent>
                                  <w:p w:rsidR="005452B8" w:rsidRDefault="005452B8" w:rsidP="009D1DD0">
                                    <w:pPr>
                                      <w:pStyle w:val="NormalWeb"/>
                                      <w:spacing w:before="0" w:beforeAutospacing="0" w:after="0" w:afterAutospacing="0"/>
                                      <w:jc w:val="center"/>
                                    </w:pPr>
                                    <w:r>
                                      <w:rPr>
                                        <w:rFonts w:asciiTheme="minorHAnsi" w:hAnsi="Calibri" w:cstheme="minorBidi"/>
                                        <w:color w:val="000000" w:themeColor="text1"/>
                                        <w:kern w:val="24"/>
                                        <w:sz w:val="20"/>
                                        <w:szCs w:val="20"/>
                                      </w:rPr>
                                      <w:t>Energy expenditure as a share of post-tax income (%)</w:t>
                                    </w:r>
                                  </w:p>
                                </w:txbxContent>
                              </wps:txbx>
                              <wps:bodyPr wrap="square" rtlCol="0">
                                <a:noAutofit/>
                              </wps:bodyPr>
                            </wps:wsp>
                            <wps:wsp>
                              <wps:cNvPr id="310" name="TextBox 104"/>
                              <wps:cNvSpPr txBox="1"/>
                              <wps:spPr>
                                <a:xfrm>
                                  <a:off x="1009357" y="2246654"/>
                                  <a:ext cx="2362835" cy="246380"/>
                                </a:xfrm>
                                <a:prstGeom prst="rect">
                                  <a:avLst/>
                                </a:prstGeom>
                                <a:noFill/>
                              </wps:spPr>
                              <wps:txbx>
                                <w:txbxContent>
                                  <w:p w:rsidR="005452B8" w:rsidRDefault="005452B8" w:rsidP="009D1DD0">
                                    <w:pPr>
                                      <w:pStyle w:val="NormalWeb"/>
                                      <w:spacing w:before="0" w:beforeAutospacing="0" w:after="0" w:afterAutospacing="0"/>
                                    </w:pPr>
                                    <w:r>
                                      <w:rPr>
                                        <w:rFonts w:asciiTheme="minorHAnsi" w:hAnsi="Calibri" w:cstheme="minorBidi"/>
                                        <w:color w:val="000000" w:themeColor="text1"/>
                                        <w:kern w:val="24"/>
                                        <w:sz w:val="20"/>
                                        <w:szCs w:val="20"/>
                                      </w:rPr>
                                      <w:t>Household income (2012-13 $, before tax)</w:t>
                                    </w:r>
                                  </w:p>
                                </w:txbxContent>
                              </wps:txbx>
                              <wps:bodyPr wrap="square" rtlCol="0">
                                <a:noAutofit/>
                              </wps:bodyPr>
                            </wps:wsp>
                          </wpg:wgp>
                        </a:graphicData>
                      </a:graphic>
                    </wp:inline>
                  </w:drawing>
                </mc:Choice>
                <mc:Fallback>
                  <w:pict>
                    <v:group id="Group 105" o:spid="_x0000_s1026" style="width:346.65pt;height:186.1pt;mso-position-horizontal-relative:char;mso-position-vertical-relative:line" coordorigin="-4" coordsize="39275,24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">
                      <v:rect id="Rectangle 228" o:spid="_x0000_s1027" style="position:absolute;left:6494;top:869;width:32101;height:18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6eI8EA&#10;AADcAAAADwAAAGRycy9kb3ducmV2LnhtbERPS2rDMBDdF3oHMYVsSizHhRJcK6YEAtm40DQHGKyJ&#10;ZWKNZEtOnNtXi0KXj/ev6sUO4kZT6B0r2GQ5COLW6Z47Beefw3oLIkRkjYNjUvCgAPXu+anCUrs7&#10;f9PtFDuRQjiUqMDE6EspQ2vIYsicJ07cxU0WY4JTJ/WE9xRuB1nk+bu02HNqMOhpb6i9nmarYJm3&#10;49jMV2vorRlei+i/Gu+VWr0snx8gIi3xX/znPmoFRZHWpjPpCM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OniPBAAAA3AAAAA8AAAAAAAAAAAAAAAAAmAIAAGRycy9kb3du&#10;cmV2LnhtbFBLBQYAAAAABAAEAPUAAACGAwAAAAA=&#10;" filled="f" strokecolor="black [3213]">
                        <v:textbox>
                          <w:txbxContent>
                            <w:p w:rsidR="006B247F" w:rsidRDefault="006B247F" w:rsidP="009D1DD0"/>
                          </w:txbxContent>
                        </v:textbox>
                      </v:rect>
                      <v:line id="Straight Connector 229" o:spid="_x0000_s1028" style="position:absolute;visibility:visible;mso-wrap-style:square" from="6494,13831" to="38568,13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Vr4cMAAADcAAAADwAAAGRycy9kb3ducmV2LnhtbESPwWrDMBBE74X8g9hCb41cH0rqRjZp&#10;IGmudZJDbou1tUytlZHk2P37qBDocZiZN8y6mm0vruRD51jByzIDQdw43XGr4HTcPa9AhIissXdM&#10;Cn4pQFUuHtZYaDfxF13r2IoE4VCgAhPjUEgZGkMWw9INxMn7dt5iTNK3UnucEtz2Ms+yV2mx47Rg&#10;cKCtoeanHq2Cy/gR/edRbqZ63u5Nvuub0Z2VenqcN+8gIs3xP3xvH7SCPH+DvzPpCMj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1a+HDAAAA3AAAAA8AAAAAAAAAAAAA&#10;AAAAoQIAAGRycy9kb3ducmV2LnhtbFBLBQYAAAAABAAEAPkAAACRAwAAAAA=&#10;" strokecolor="black [3213]" strokeweight="1.5pt"/>
                      <v:group id="Group 230" o:spid="_x0000_s1029" style="position:absolute;left:8530;top:1338;width:844;height:12325" coordorigin="8529,1338" coordsize="720,12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line id="Straight Connector 231" o:spid="_x0000_s1030" style="position:absolute;visibility:visible;mso-wrap-style:square" from="8846,1338" to="8889,13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7CScMAAADcAAAADwAAAGRycy9kb3ducmV2LnhtbESPT4vCMBTE74LfITzBi2hqFSnVKLog&#10;7NU/6PXRPNvS5qU0WVv99BthYY/DzPyG2ex6U4snta60rGA+i0AQZ1aXnCu4Xo7TBITzyBpry6Tg&#10;RQ522+Fgg6m2HZ/oefa5CBB2KSoovG9SKV1WkEE3sw1x8B62NeiDbHOpW+wC3NQyjqKVNFhyWCiw&#10;oa+Csur8YxRM9C2JX/fuun9Xi0OVTy7LJHsrNR71+zUIT73/D/+1v7WCeDGHz5lwBO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uwknDAAAA3AAAAA8AAAAAAAAAAAAA&#10;AAAAoQIAAGRycy9kb3ducmV2LnhtbFBLBQYAAAAABAAEAPkAAACRAwAAAAA=&#10;" strokecolor="#943634 [2405]"/>
                        <v:line id="Straight Connector 232" o:spid="_x0000_s1031" style="position:absolute;visibility:visible;mso-wrap-style:square" from="8529,1338" to="9249,1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xcPsMAAADcAAAADwAAAGRycy9kb3ducmV2LnhtbESPQYvCMBSE74L/ITxhL7KmW0VKNYor&#10;LHhVi3t9NM+2tHkpTbTVX2+EhT0OM/MNs94OphF36lxlWcHXLAJBnFtdcaEgO/98JiCcR9bYWCYF&#10;D3Kw3YxHa0y17flI95MvRICwS1FB6X2bSunykgy6mW2Jg3e1nUEfZFdI3WEf4KaRcRQtpcGKw0KJ&#10;Le1LyuvTzSiY6ksSP377bPes5991MT0vkvyp1Mdk2K1AeBr8f/ivfdAK4nkM7zPhCMjN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8XD7DAAAA3AAAAA8AAAAAAAAAAAAA&#10;AAAAoQIAAGRycy9kb3ducmV2LnhtbFBLBQYAAAAABAAEAPkAAACRAwAAAAA=&#10;" strokecolor="#943634 [2405]"/>
                        <v:line id="Straight Connector 233" o:spid="_x0000_s1032" style="position:absolute;visibility:visible;mso-wrap-style:square" from="8529,13353" to="9249,13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D5pcQAAADcAAAADwAAAGRycy9kb3ducmV2LnhtbESPT4vCMBTE7wt+h/CEvYimtstSqlFU&#10;WNirf1ivj+bZljYvpYm2+uk3guBxmJnfMMv1YBpxo85VlhXMZxEI4tzqigsFp+PPNAXhPLLGxjIp&#10;uJOD9Wr0scRM2573dDv4QgQIuwwVlN63mZQuL8mgm9mWOHgX2xn0QXaF1B32AW4aGUfRtzRYcVgo&#10;saVdSXl9uBoFE/2Xxvdzf9o86mRbF5PjV5o/lPocD5sFCE+Df4df7V+tIE4SeJ4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cPmlxAAAANwAAAAPAAAAAAAAAAAA&#10;AAAAAKECAABkcnMvZG93bnJldi54bWxQSwUGAAAAAAQABAD5AAAAkgMAAAAA&#10;" strokecolor="#943634 [2405]"/>
                      </v:group>
                      <v:group id="Group 234" o:spid="_x0000_s1033" style="position:absolute;left:12488;top:7097;width:845;height:8057" coordorigin="12487,7097" coordsize="720,12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line id="Straight Connector 235" o:spid="_x0000_s1034" style="position:absolute;visibility:visible;mso-wrap-style:square" from="12804,7097" to="12847,19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XESsQAAADcAAAADwAAAGRycy9kb3ducmV2LnhtbESPT4vCMBTE7wt+h/CEvYim1lVKNYq7&#10;sODVP+j10Tzb0ualNNFWP70RFvY4zMxvmNWmN7W4U+tKywqmkwgEcWZ1ybmC0/F3nIBwHlljbZkU&#10;PMjBZj34WGGqbcd7uh98LgKEXYoKCu+bVEqXFWTQTWxDHLyrbQ36INtc6ha7ADe1jKNoIQ2WHBYK&#10;bOinoKw63IyCkT4n8ePSnbbPavZd5aPjV5I9lfoc9tslCE+9/w//tXdaQTybw/tMOAJ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1cRKxAAAANwAAAAPAAAAAAAAAAAA&#10;AAAAAKECAABkcnMvZG93bnJldi54bWxQSwUGAAAAAAQABAD5AAAAkgMAAAAA&#10;" strokecolor="#943634 [2405]"/>
                        <v:line id="Straight Connector 236" o:spid="_x0000_s1035" style="position:absolute;visibility:visible;mso-wrap-style:square" from="12487,7097" to="13207,7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aPcMAAADcAAAADwAAAGRycy9kb3ducmV2LnhtbESPT4vCMBTE7wt+h/CEvYim1kVKNYoK&#10;C3v1D3p9NM+2tHkpTbTVT78RBI/DzPyGWa57U4s7ta60rGA6iUAQZ1aXnCs4HX/HCQjnkTXWlknB&#10;gxysV4OvJabadryn+8HnIkDYpaig8L5JpXRZQQbdxDbEwbva1qAPss2lbrELcFPLOIrm0mDJYaHA&#10;hnYFZdXhZhSM9DmJH5futHlWs22Vj44/SfZU6nvYbxYgPPX+E363/7SCeDaH15lwB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HWj3DAAAA3AAAAA8AAAAAAAAAAAAA&#10;AAAAoQIAAGRycy9kb3ducmV2LnhtbFBLBQYAAAAABAAEAPkAAACRAwAAAAA=&#10;" strokecolor="#943634 [2405]"/>
                        <v:line id="Straight Connector 237" o:spid="_x0000_s1036" style="position:absolute;visibility:visible;mso-wrap-style:square" from="12487,19112" to="13207,19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v/psQAAADcAAAADwAAAGRycy9kb3ducmV2LnhtbESPT4vCMBTE7wt+h/CEvYim1kVLNYq7&#10;sODVP+j10Tzb0ualNNFWP70RFvY4zMxvmNWmN7W4U+tKywqmkwgEcWZ1ybmC0/F3nIBwHlljbZkU&#10;PMjBZj34WGGqbcd7uh98LgKEXYoKCu+bVEqXFWTQTWxDHLyrbQ36INtc6ha7ADe1jKNoLg2WHBYK&#10;bOinoKw63IyCkT4n8ePSnbbPavZd5aPjV5I9lfoc9tslCE+9/w//tXdaQTxbwPtMOAJ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S/+mxAAAANwAAAAPAAAAAAAAAAAA&#10;AAAAAKECAABkcnMvZG93bnJldi54bWxQSwUGAAAAAAQABAD5AAAAkgMAAAAA&#10;" strokecolor="#943634 [2405]"/>
                      </v:group>
                      <v:group id="Group 238" o:spid="_x0000_s1037" style="position:absolute;left:16512;top:8216;width:845;height:7706" coordorigin="16511,8216" coordsize="720,12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line id="Straight Connector 239" o:spid="_x0000_s1038" style="position:absolute;visibility:visible;mso-wrap-style:square" from="16828,8216" to="16871,20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jOT8QAAADcAAAADwAAAGRycy9kb3ducmV2LnhtbESPT4vCMBTE7wt+h/CEvYim1kVqNYq7&#10;sODVP+j10Tzb0ualNNFWP70RFvY4zMxvmNWmN7W4U+tKywqmkwgEcWZ1ybmC0/F3nIBwHlljbZkU&#10;PMjBZj34WGGqbcd7uh98LgKEXYoKCu+bVEqXFWTQTWxDHLyrbQ36INtc6ha7ADe1jKNoLg2WHBYK&#10;bOinoKw63IyCkT4n8ePSnbbPavZd5aPjV5I9lfoc9tslCE+9/w//tXdaQTxbwPtMOAJ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mM5PxAAAANwAAAAPAAAAAAAAAAAA&#10;AAAAAKECAABkcnMvZG93bnJldi54bWxQSwUGAAAAAAQABAD5AAAAkgMAAAAA&#10;" strokecolor="#943634 [2405]"/>
                        <v:line id="Straight Connector 240" o:spid="_x0000_s1039" style="position:absolute;visibility:visible;mso-wrap-style:square" from="16511,8216" to="17231,8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QUr8IAAADcAAAADwAAAGRycy9kb3ducmV2LnhtbERPTWuDQBC9F/oflin0Epo1RopYV7GF&#10;Qq9NQnod3KmK7qy4m6j59d1DoMfH+87LxQziSpPrLCvYbSMQxLXVHTcKTsfPlxSE88gaB8ukYCUH&#10;ZfH4kGOm7czfdD34RoQQdhkqaL0fMyld3ZJBt7UjceB+7WTQBzg1Uk84h3AzyDiKXqXBjkNDiyN9&#10;tFT3h4tRsNHnNF5/5lN16/fvfbM5Jml9U+r5aaneQHha/L/47v7SCuIkzA9nwhGQx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aQUr8IAAADcAAAADwAAAAAAAAAAAAAA&#10;AAChAgAAZHJzL2Rvd25yZXYueG1sUEsFBgAAAAAEAAQA+QAAAJADAAAAAA==&#10;" strokecolor="#943634 [2405]"/>
                        <v:line id="Straight Connector 241" o:spid="_x0000_s1040" style="position:absolute;visibility:visible;mso-wrap-style:square" from="16511,20230" to="17231,20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ixNMMAAADcAAAADwAAAGRycy9kb3ducmV2LnhtbESPQYvCMBSE74L/ITzBi2hqV6RUo6gg&#10;7HVV9Pponm1p81KaaKu/frOw4HGYmW+Y9bY3tXhS60rLCuazCARxZnXJuYLL+ThNQDiPrLG2TApe&#10;5GC7GQ7WmGrb8Q89Tz4XAcIuRQWF900qpcsKMuhmtiEO3t22Bn2QbS51i12Am1rGUbSUBksOCwU2&#10;dCgoq04Po2Cir0n8unWX3bv62lf55LxIsrdS41G/W4Hw1PtP+L/9rRXEizn8nQlHQG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osTTDAAAA3AAAAA8AAAAAAAAAAAAA&#10;AAAAoQIAAGRycy9kb3ducmV2LnhtbFBLBQYAAAAABAAEAPkAAACRAwAAAAA=&#10;" strokecolor="#943634 [2405]"/>
                      </v:group>
                      <v:group id="Group 242" o:spid="_x0000_s1041" style="position:absolute;left:20459;top:10748;width:845;height:5371" coordorigin="20458,10748" coordsize="720,12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line id="Straight Connector 243" o:spid="_x0000_s1042" style="position:absolute;visibility:visible;mso-wrap-style:square" from="20775,10748" to="20818,22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aK2MMAAADcAAAADwAAAGRycy9kb3ducmV2LnhtbESPQYvCMBSE7wv+h/AEL6LpVpFSjaKC&#10;4HVV9Pponm1p81KarK3++o0g7HGYmW+Y1aY3tXhQ60rLCr6nEQjizOqScwWX82GSgHAeWWNtmRQ8&#10;ycFmPfhaYaptxz/0OPlcBAi7FBUU3jeplC4ryKCb2oY4eHfbGvRBtrnULXYBbmoZR9FCGiw5LBTY&#10;0L6grDr9GgVjfU3i5627bF/VbFfl4/M8yV5KjYb9dgnCU+//w5/2USuI5zN4nw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2itjDAAAA3AAAAA8AAAAAAAAAAAAA&#10;AAAAoQIAAGRycy9kb3ducmV2LnhtbFBLBQYAAAAABAAEAPkAAACRAwAAAAA=&#10;" strokecolor="#943634 [2405]"/>
                        <v:line id="Straight Connector 244" o:spid="_x0000_s1043" style="position:absolute;visibility:visible;mso-wrap-style:square" from="20458,10748" to="21178,10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8SrMMAAADcAAAADwAAAGRycy9kb3ducmV2LnhtbESPQYvCMBSE74L/ITxhL6Kp3bKUahQV&#10;Fva6Kuv10Tzb0ualNNFWf/1GEDwOM/MNs9oMphE36lxlWcFiHoEgzq2uuFBwOn7PUhDOI2tsLJOC&#10;OznYrMejFWba9vxLt4MvRICwy1BB6X2bSenykgy6uW2Jg3exnUEfZFdI3WEf4KaRcRR9SYMVh4US&#10;W9qXlNeHq1Ew1X9pfD/3p+2j/tzVxfSYpPlDqY/JsF2C8DT4d/jV/tEK4iSB55lwBO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fEqzDAAAA3AAAAA8AAAAAAAAAAAAA&#10;AAAAoQIAAGRycy9kb3ducmV2LnhtbFBLBQYAAAAABAAEAPkAAACRAwAAAAA=&#10;" strokecolor="#943634 [2405]"/>
                        <v:line id="Straight Connector 245" o:spid="_x0000_s1044" style="position:absolute;visibility:visible;mso-wrap-style:square" from="20458,22763" to="21178,22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O3N8QAAADcAAAADwAAAGRycy9kb3ducmV2LnhtbESPT4vCMBTE7wt+h/CEvYimdlVKNYq7&#10;sODVP+j10Tzb0ualNNFWP71ZEPY4zMxvmNWmN7W4U+tKywqmkwgEcWZ1ybmC0/F3nIBwHlljbZkU&#10;PMjBZj34WGGqbcd7uh98LgKEXYoKCu+bVEqXFWTQTWxDHLyrbQ36INtc6ha7ADe1jKNoIQ2WHBYK&#10;bOinoKw63IyCkT4n8ePSnbbP6uu7ykfHWZI9lfoc9tslCE+9/w+/2zutIJ7N4e9MOAJ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07c3xAAAANwAAAAPAAAAAAAAAAAA&#10;AAAAAKECAABkcnMvZG93bnJldi54bWxQSwUGAAAAAAQABAD5AAAAkgMAAAAA&#10;" strokecolor="#943634 [2405]"/>
                      </v:group>
                      <v:group id="Group 246" o:spid="_x0000_s1045" style="position:absolute;left:24418;top:11965;width:844;height:4691" coordorigin="24416,11965" coordsize="720,12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i5/D8UAAADcAAAADwAAAGRycy9kb3ducmV2LnhtbESPQYvCMBSE78L+h/CE&#10;vWlaV2WpRhFZlz2IoC6It0fzbIvNS2liW/+9EQSPw8x8w8yXnSlFQ7UrLCuIhxEI4tTqgjMF/8fN&#10;4BuE88gaS8uk4E4OlouP3hwTbVveU3PwmQgQdgkqyL2vEildmpNBN7QVcfAutjbog6wzqWtsA9yU&#10;chRFU2mw4LCQY0XrnNLr4WYU/LbYrr7in2Z7vazv5+Nk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Yufw/FAAAA3AAA&#10;AA8AAAAAAAAAAAAAAAAAqgIAAGRycy9kb3ducmV2LnhtbFBLBQYAAAAABAAEAPoAAACcAwAAAAA=&#10;">
                        <v:line id="Straight Connector 247" o:spid="_x0000_s1046" style="position:absolute;visibility:visible;mso-wrap-style:square" from="24733,11965" to="24776,23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2M28QAAADcAAAADwAAAGRycy9kb3ducmV2LnhtbESPT4vCMBTE7wt+h/CEvYimdkVLNYq7&#10;sODVP+j10Tzb0ualNNFWP71ZEPY4zMxvmNWmN7W4U+tKywqmkwgEcWZ1ybmC0/F3nIBwHlljbZkU&#10;PMjBZj34WGGqbcd7uh98LgKEXYoKCu+bVEqXFWTQTWxDHLyrbQ36INtc6ha7ADe1jKNoLg2WHBYK&#10;bOinoKw63IyCkT4n8ePSnbbP6uu7ykfHWZI9lfoc9tslCE+9/w+/2zutIJ4t4O9MOAJ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TYzbxAAAANwAAAAPAAAAAAAAAAAA&#10;AAAAAKECAABkcnMvZG93bnJldi54bWxQSwUGAAAAAAQABAD5AAAAkgMAAAAA&#10;" strokecolor="#943634 [2405]"/>
                        <v:line id="Straight Connector 248" o:spid="_x0000_s1047" style="position:absolute;visibility:visible;mso-wrap-style:square" from="24416,11965" to="25136,11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IYqcIAAADcAAAADwAAAGRycy9kb3ducmV2LnhtbERPTWuDQBC9F/oflin0Epo1RopYV7GF&#10;Qq9NQnod3KmK7qy4m6j59d1DoMfH+87LxQziSpPrLCvYbSMQxLXVHTcKTsfPlxSE88gaB8ukYCUH&#10;ZfH4kGOm7czfdD34RoQQdhkqaL0fMyld3ZJBt7UjceB+7WTQBzg1Uk84h3AzyDiKXqXBjkNDiyN9&#10;tFT3h4tRsNHnNF5/5lN16/fvfbM5Jml9U+r5aaneQHha/L/47v7SCuIkrA1nwhGQx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IYqcIAAADcAAAADwAAAAAAAAAAAAAA&#10;AAChAgAAZHJzL2Rvd25yZXYueG1sUEsFBgAAAAAEAAQA+QAAAJADAAAAAA==&#10;" strokecolor="#943634 [2405]"/>
                        <v:line id="Straight Connector 249" o:spid="_x0000_s1048" style="position:absolute;visibility:visible;mso-wrap-style:square" from="24416,23980" to="25136,23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69MsQAAADcAAAADwAAAGRycy9kb3ducmV2LnhtbESPT4vCMBTE7wt+h/CEvYimdkVqNYq7&#10;sODVP+j10Tzb0ualNNFWP71ZEPY4zMxvmNWmN7W4U+tKywqmkwgEcWZ1ybmC0/F3nIBwHlljbZkU&#10;PMjBZj34WGGqbcd7uh98LgKEXYoKCu+bVEqXFWTQTWxDHLyrbQ36INtc6ha7ADe1jKNoLg2WHBYK&#10;bOinoKw63IyCkT4n8ePSnbbP6uu7ykfHWZI9lfoc9tslCE+9/w+/2zutIJ4t4O9MOAJ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nr0yxAAAANwAAAAPAAAAAAAAAAAA&#10;AAAAAKECAABkcnMvZG93bnJldi54bWxQSwUGAAAAAAQABAD5AAAAkgMAAAAA&#10;" strokecolor="#943634 [2405]"/>
                      </v:group>
                      <v:group id="Group 250" o:spid="_x0000_s1049" style="position:absolute;left:28442;top:13149;width:844;height:3847" coordorigin="28440,13149" coordsize="720,12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line id="Straight Connector 251" o:spid="_x0000_s1050" style="position:absolute;visibility:visible;mso-wrap-style:square" from="28756,13149" to="28800,25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En6cQAAADcAAAADwAAAGRycy9kb3ducmV2LnhtbESPQYvCMBSE7wv+h/AEL6Kp3VVKNYoK&#10;wl5XRa+P5tmWNi+libb6683Cwh6HmfmGWW16U4sHta60rGA2jUAQZ1aXnCs4nw6TBITzyBpry6Tg&#10;SQ4268HHClNtO/6hx9HnIkDYpaig8L5JpXRZQQbd1DbEwbvZ1qAPss2lbrELcFPLOIoW0mDJYaHA&#10;hvYFZdXxbhSM9SWJn9fuvH1Vn7sqH5++kuyl1GjYb5cgPPX+P/zX/tYK4vkM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MSfpxAAAANwAAAAPAAAAAAAAAAAA&#10;AAAAAKECAABkcnMvZG93bnJldi54bWxQSwUGAAAAAAQABAD5AAAAkgMAAAAA&#10;" strokecolor="#943634 [2405]"/>
                        <v:line id="Straight Connector 252" o:spid="_x0000_s1051" style="position:absolute;visibility:visible;mso-wrap-style:square" from="28440,13149" to="29160,13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5nsQAAADcAAAADwAAAGRycy9kb3ducmV2LnhtbESPT4vCMBTE74LfIbwFL7KmdlVK1yiu&#10;IOzVP+j10bxtS5uX0mRt9dMbQfA4zMxvmOW6N7W4UutKywqmkwgEcWZ1ybmC03H3mYBwHlljbZkU&#10;3MjBejUcLDHVtuM9XQ8+FwHCLkUFhfdNKqXLCjLoJrYhDt6fbQ36INtc6ha7ADe1jKNoIQ2WHBYK&#10;bGhbUFYd/o2CsT4n8e3SnTb36uunysfHWZLdlRp99JtvEJ56/w6/2r9aQTyP4XkmHAG5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47mexAAAANwAAAAPAAAAAAAAAAAA&#10;AAAAAKECAABkcnMvZG93bnJldi54bWxQSwUGAAAAAAQABAD5AAAAkgMAAAAA&#10;" strokecolor="#943634 [2405]"/>
                        <v:line id="Straight Connector 253" o:spid="_x0000_s1052" style="position:absolute;visibility:visible;mso-wrap-style:square" from="28440,25164" to="29160,25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8cBcQAAADcAAAADwAAAGRycy9kb3ducmV2LnhtbESPT4vCMBTE7wt+h/CEvYim1lVKNYq7&#10;sODVP+j10Tzb0ualNNFWP70RFvY4zMxvmNWmN7W4U+tKywqmkwgEcWZ1ybmC0/F3nIBwHlljbZkU&#10;PMjBZj34WGGqbcd7uh98LgKEXYoKCu+bVEqXFWTQTWxDHLyrbQ36INtc6ha7ADe1jKNoIQ2WHBYK&#10;bOinoKw63IyCkT4n8ePSnbbPavZd5aPjV5I9lfoc9tslCE+9/w//tXdaQTyfwftMOAJ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rxwFxAAAANwAAAAPAAAAAAAAAAAA&#10;AAAAAKECAABkcnMvZG93bnJldi54bWxQSwUGAAAAAAQABAD5AAAAkgMAAAAA&#10;" strokecolor="#943634 [2405]"/>
                      </v:group>
                      <v:group id="Group 254" o:spid="_x0000_s1053" style="position:absolute;left:32400;top:14432;width:844;height:3101" coordorigin="32398,14432" coordsize="720,12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SPsYAAADcAAAADwAAAGRycy9kb3ducmV2LnhtbESPQWvCQBSE7wX/w/KE&#10;3ppNbFMkZhURKx5CoSqU3h7ZZxLMvg3ZbRL/fbdQ6HGYmW+YfDOZVgzUu8aygiSKQRCXVjdcKbic&#10;356WIJxH1thaJgV3crBZzx5yzLQd+YOGk69EgLDLUEHtfZdJ6cqaDLrIdsTBu9reoA+yr6TucQxw&#10;08pFHL9Kgw2HhRo72tVU3k7fRsFhxHH7nOyH4nbd3b/O6ftnkZBSj/NpuwLhafL/4b/2UStYpC/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adI+xgAAANwA&#10;AAAPAAAAAAAAAAAAAAAAAKoCAABkcnMvZG93bnJldi54bWxQSwUGAAAAAAQABAD6AAAAnQMAAAAA&#10;">
                        <v:line id="Straight Connector 255" o:spid="_x0000_s1054" style="position:absolute;visibility:visible;mso-wrap-style:square" from="32714,14432" to="32758,26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oh6sQAAADcAAAADwAAAGRycy9kb3ducmV2LnhtbESPQYvCMBSE74L/ITzBi2hqV6VUo7jC&#10;wl5XRa+P5tmWNi+lydrqr98sCB6HmfmG2ex6U4s7ta60rGA+i0AQZ1aXnCs4n76mCQjnkTXWlknB&#10;gxzstsPBBlNtO/6h+9HnIkDYpaig8L5JpXRZQQbdzDbEwbvZ1qAPss2lbrELcFPLOIpW0mDJYaHA&#10;hg4FZdXx1yiY6EsSP67def+sPj6rfHJaJNlTqfGo369BeOr9O/xqf2sF8XIJ/2fCEZD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iHqxAAAANwAAAAPAAAAAAAAAAAA&#10;AAAAAKECAABkcnMvZG93bnJldi54bWxQSwUGAAAAAAQABAD5AAAAkgMAAAAA&#10;" strokecolor="#943634 [2405]"/>
                        <v:line id="Straight Connector 256" o:spid="_x0000_s1055" style="position:absolute;visibility:visible;mso-wrap-style:square" from="32398,14432" to="33118,14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ncQAAADcAAAADwAAAGRycy9kb3ducmV2LnhtbESPQYvCMBSE74L/ITzBi2hqV6VUo7jC&#10;wl5XRa+P5tmWNi+lydrqr98sCB6HmfmG2ex6U4s7ta60rGA+i0AQZ1aXnCs4n76mCQjnkTXWlknB&#10;gxzstsPBBlNtO/6h+9HnIkDYpaig8L5JpXRZQQbdzDbEwbvZ1qAPss2lbrELcFPLOIpW0mDJYaHA&#10;hg4FZdXx1yiY6EsSP67def+sPj6rfHJaJNlTqfGo369BeOr9O/xqf2sF8XIF/2fCEZD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2L+dxAAAANwAAAAPAAAAAAAAAAAA&#10;AAAAAKECAABkcnMvZG93bnJldi54bWxQSwUGAAAAAAQABAD5AAAAkgMAAAAA&#10;" strokecolor="#943634 [2405]"/>
                        <v:line id="Straight Connector 257" o:spid="_x0000_s1056" style="position:absolute;visibility:visible;mso-wrap-style:square" from="32398,26447" to="33118,26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aBsUAAADcAAAADwAAAGRycy9kb3ducmV2LnhtbESPQWvCQBSE74X+h+UVehHdGFsNqavY&#10;QsGrRur1kX1NQrJvQ3Y10V/vCoLHYWa+YZbrwTTiTJ2rLCuYTiIQxLnVFRcKDtnvOAHhPLLGxjIp&#10;uJCD9er1ZYmptj3v6Lz3hQgQdikqKL1vUyldXpJBN7EtcfD+bWfQB9kVUnfYB7hpZBxFc2mw4rBQ&#10;Yks/JeX1/mQUjPRfEl+O/WFzrWffdTHKPpL8qtT727D5AuFp8M/wo73VCuLPBdzPhCM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QaBsUAAADcAAAADwAAAAAAAAAA&#10;AAAAAAChAgAAZHJzL2Rvd25yZXYueG1sUEsFBgAAAAAEAAQA+QAAAJMDAAAAAA==&#10;" strokecolor="#943634 [2405]"/>
                      </v:group>
                      <v:group id="Group 258" o:spid="_x0000_s1057" style="position:absolute;left:36325;top:14334;width:845;height:3210" coordorigin="36323,14334" coordsize="720,12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line id="Straight Connector 259" o:spid="_x0000_s1058" style="position:absolute;visibility:visible;mso-wrap-style:square" from="36639,14334" to="36683,26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cr78UAAADcAAAADwAAAGRycy9kb3ducmV2LnhtbESPQWvCQBSE74X+h+UVehHdGFuJqavY&#10;QsGrRur1kX1NQrJvQ3Y10V/vCoLHYWa+YZbrwTTiTJ2rLCuYTiIQxLnVFRcKDtnvOAHhPLLGxjIp&#10;uJCD9er1ZYmptj3v6Lz3hQgQdikqKL1vUyldXpJBN7EtcfD+bWfQB9kVUnfYB7hpZBxFc2mw4rBQ&#10;Yks/JeX1/mQUjPRfEl+O/WFzrWffdTHKPpL8qtT727D5AuFp8M/wo73VCuLPBdzPhCM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Ucr78UAAADcAAAADwAAAAAAAAAA&#10;AAAAAAChAgAAZHJzL2Rvd25yZXYueG1sUEsFBgAAAAAEAAQA+QAAAJMDAAAAAA==&#10;" strokecolor="#943634 [2405]"/>
                        <v:line id="Straight Connector 260" o:spid="_x0000_s1059" style="position:absolute;visibility:visible;mso-wrap-style:square" from="36323,14334" to="37043,14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FIz8AAAADcAAAADwAAAGRycy9kb3ducmV2LnhtbERPy4rCMBTdC/5DuIIb0dQqUqpRdEBw&#10;6wPdXpprW9rclCZjq19vFgOzPJz3ZtebWryodaVlBfNZBII4s7rkXMHtepwmIJxH1lhbJgVvcrDb&#10;DgcbTLXt+Eyvi89FCGGXooLC+yaV0mUFGXQz2xAH7mlbgz7ANpe6xS6Em1rGUbSSBksODQU29FNQ&#10;Vl1+jYKJvifx+9Hd9p9qcajyyXWZZB+lxqN+vwbhqff/4j/3SSuIV2F+OBOOgN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4RSM/AAAAA3AAAAA8AAAAAAAAAAAAAAAAA&#10;oQIAAGRycy9kb3ducmV2LnhtbFBLBQYAAAAABAAEAPkAAACOAwAAAAA=&#10;" strokecolor="#943634 [2405]"/>
                        <v:line id="Straight Connector 261" o:spid="_x0000_s1060" style="position:absolute;visibility:visible;mso-wrap-style:square" from="36323,26348" to="37043,26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3tVMMAAADcAAAADwAAAGRycy9kb3ducmV2LnhtbESPQYvCMBSE7wv+h/AEL6Kp3UVKNYoK&#10;gtdV0eujebalzUtpoq3++s2C4HGYmW+Y5bo3tXhQ60rLCmbTCARxZnXJuYLzaT9JQDiPrLG2TAqe&#10;5GC9GnwtMdW24196HH0uAoRdigoK75tUSpcVZNBNbUMcvJttDfog21zqFrsAN7WMo2guDZYcFgps&#10;aFdQVh3vRsFYX5L4ee3Om1f1va3y8eknyV5KjYb9ZgHCU+8/4Xf7oBXE8xn8nw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d7VTDAAAA3AAAAA8AAAAAAAAAAAAA&#10;AAAAoQIAAGRycy9kb3ducmV2LnhtbFBLBQYAAAAABAAEAPkAAACRAwAAAAA=&#10;" strokecolor="#943634 [2405]"/>
                      </v:group>
                      <v:oval id="Oval 262" o:spid="_x0000_s1061" style="position:absolute;left:12612;top:11720;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X8sQA&#10;AADcAAAADwAAAGRycy9kb3ducmV2LnhtbESPT2vCQBTE7wW/w/KEXkQ3XUuQ6Cr+qWiPVS/eHtln&#10;Esy+TbOrpt++KxR6HGbmN8xs0dla3Kn1lWMNb6MEBHHuTMWFhtNxO5yA8AHZYO2YNPyQh8W89zLD&#10;zLgHf9H9EAoRIewz1FCG0GRS+rwki37kGuLoXVxrMUTZFtK0+IhwW0uVJKm0WHFcKLGhdUn59XCz&#10;Gm72/NmwSj/y1ftAjQc73IfNt9av/W45BRGoC//hv/beaFCpgueZeAT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9V/LEAAAA3AAAAA8AAAAAAAAAAAAAAAAAmAIAAGRycy9k&#10;b3ducmV2LnhtbFBLBQYAAAAABAAEAPUAAACJAwAAAAA=&#10;" fillcolor="#c00000" strokecolor="#c00000" strokeweight=".5pt">
                        <v:textbox>
                          <w:txbxContent>
                            <w:p w:rsidR="006B247F" w:rsidRDefault="006B247F" w:rsidP="009D1DD0"/>
                          </w:txbxContent>
                        </v:textbox>
                      </v:oval>
                      <v:oval id="Oval 263" o:spid="_x0000_s1062" style="position:absolute;left:16548;top:12440;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yacUA&#10;AADcAAAADwAAAGRycy9kb3ducmV2LnhtbESPS2vDMBCE74X8B7GFXkIjxymmOJZD0gdNjnlcclus&#10;jW1qrVxLsZ1/HxUKPQ4z8w2TrUbTiJ46V1tWMJ9FIIgLq2suFZyOn8+vIJxH1thYJgU3crDKJw8Z&#10;ptoOvKf+4EsRIOxSVFB536ZSuqIig25mW+LgXWxn0AfZlVJ3OAS4aWQcRYk0WHNYqLClt4qK78PV&#10;KLia867lOPkoNi/TeDH9wq1//1Hq6XFcL0F4Gv1/+K+91QriZAG/Z8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8fJpxQAAANwAAAAPAAAAAAAAAAAAAAAAAJgCAABkcnMv&#10;ZG93bnJldi54bWxQSwUGAAAAAAQABAD1AAAAigMAAAAA&#10;" fillcolor="#c00000" strokecolor="#c00000" strokeweight=".5pt">
                        <v:textbox>
                          <w:txbxContent>
                            <w:p w:rsidR="006B247F" w:rsidRDefault="006B247F" w:rsidP="009D1DD0"/>
                          </w:txbxContent>
                        </v:textbox>
                      </v:oval>
                      <v:oval id="Oval 264" o:spid="_x0000_s1063" style="position:absolute;left:20520;top:13747;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qHcUA&#10;AADcAAAADwAAAGRycy9kb3ducmV2LnhtbESPQWvCQBSE7wX/w/IEL6KbphIkzUZsbVGPai+9PbKv&#10;STD7Ns2uSfrv3UKhx2FmvmGyzWga0VPnassKHpcRCOLC6ppLBR+X98UahPPIGhvLpOCHHGzyyUOG&#10;qbYDn6g/+1IECLsUFVTet6mUrqjIoFvaljh4X7Yz6IPsSqk7HALcNDKOokQarDksVNjSa0XF9Xwz&#10;Cm7m89hynLwVL6t5/DTf48HvvpWaTcftMwhPo/8P/7UPWkGcrOD3TDgCMr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GodxQAAANwAAAAPAAAAAAAAAAAAAAAAAJgCAABkcnMv&#10;ZG93bnJldi54bWxQSwUGAAAAAAQABAD1AAAAigMAAAAA&#10;" fillcolor="#c00000" strokecolor="#c00000" strokeweight=".5pt">
                        <v:textbox>
                          <w:txbxContent>
                            <w:p w:rsidR="006B247F" w:rsidRDefault="006B247F" w:rsidP="009D1DD0"/>
                          </w:txbxContent>
                        </v:textbox>
                      </v:oval>
                      <v:oval id="Oval 265" o:spid="_x0000_s1064" style="position:absolute;left:24506;top:14545;width:720;height: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PhsUA&#10;AADcAAAADwAAAGRycy9kb3ducmV2LnhtbESPQWvCQBSE7wX/w/IKXqRujDVI6ibYaqkeG714e2Rf&#10;k9Ds25hdNf333YLQ4zAz3zCrfDCtuFLvGssKZtMIBHFpdcOVguPh/WkJwnlkja1lUvBDDvJs9LDC&#10;VNsbf9K18JUIEHYpKqi971IpXVmTQTe1HXHwvmxv0AfZV1L3eAtw08o4ihJpsOGwUGNHbzWV38XF&#10;KLiY077jONmWr8+TeD75wJ3fnJUaPw7rFxCeBv8fvrd3WkGcLODvTDg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M+GxQAAANwAAAAPAAAAAAAAAAAAAAAAAJgCAABkcnMv&#10;ZG93bnJldi54bWxQSwUGAAAAAAQABAD1AAAAigMAAAAA&#10;" fillcolor="#c00000" strokecolor="#c00000" strokeweight=".5pt">
                        <v:textbox>
                          <w:txbxContent>
                            <w:p w:rsidR="006B247F" w:rsidRDefault="006B247F" w:rsidP="009D1DD0"/>
                          </w:txbxContent>
                        </v:textbox>
                      </v:oval>
                      <v:oval id="Oval 266" o:spid="_x0000_s1065" style="position:absolute;left:28497;top:15083;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ZR8cUA&#10;AADcAAAADwAAAGRycy9kb3ducmV2LnhtbESPQWvCQBSE74L/YXmCl2A2TSWU1FW0tTQ9NvXS2yP7&#10;moRm36bZVeO/dwuCx2FmvmFWm9F04kSDay0reIgTEMSV1S3XCg5fb4snEM4ja+wsk4ILOdisp5MV&#10;5tqe+ZNOpa9FgLDLUUHjfZ9L6aqGDLrY9sTB+7GDQR/kUEs94DnATSfTJMmkwZbDQoM9vTRU/ZZH&#10;o+Bovj96TrN9tVtG6WP0joV//VNqPhu3zyA8jf4evrULrSDNMvg/E46AX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hlHxxQAAANwAAAAPAAAAAAAAAAAAAAAAAJgCAABkcnMv&#10;ZG93bnJldi54bWxQSwUGAAAAAAQABAD1AAAAigMAAAAA&#10;" fillcolor="#c00000" strokecolor="#c00000" strokeweight=".5pt">
                        <v:textbox>
                          <w:txbxContent>
                            <w:p w:rsidR="006B247F" w:rsidRDefault="006B247F" w:rsidP="009D1DD0"/>
                          </w:txbxContent>
                        </v:textbox>
                      </v:oval>
                      <v:oval id="Oval 267" o:spid="_x0000_s1066" style="position:absolute;left:32455;top:1598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r0asUA&#10;AADcAAAADwAAAGRycy9kb3ducmV2LnhtbESPT2vCQBTE7wW/w/KEXkQ3piWV6CbYf6jHRi/eHtnX&#10;JDT7Ns2umn57tyB4HGbmN8wqH0wrztS7xrKC+SwCQVxa3XCl4LD/nC5AOI+ssbVMCv7IQZ6NHlaY&#10;anvhLzoXvhIBwi5FBbX3XSqlK2sy6Ga2Iw7et+0N+iD7SuoeLwFuWhlHUSINNhwWauzorabypzgZ&#10;BSdz3HUcJx/l6/MkfppscOvff5V6HA/rJQhPg7+Hb+2tVhAnL/B/JhwB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vRqxQAAANwAAAAPAAAAAAAAAAAAAAAAAJgCAABkcnMv&#10;ZG93bnJldi54bWxQSwUGAAAAAAQABAD1AAAAigMAAAAA&#10;" fillcolor="#c00000" strokecolor="#c00000" strokeweight=".5pt">
                        <v:textbox>
                          <w:txbxContent>
                            <w:p w:rsidR="006B247F" w:rsidRDefault="006B247F" w:rsidP="009D1DD0"/>
                          </w:txbxContent>
                        </v:textbox>
                      </v:oval>
                      <v:oval id="Oval 268" o:spid="_x0000_s1067" style="position:absolute;left:36468;top:16048;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VgGMEA&#10;AADcAAAADwAAAGRycy9kb3ducmV2LnhtbERPTYvCMBC9C/6HMMJeRFO7S5FqFHUV9bhdL96GZmyL&#10;zaQ2Ubv/3hwWPD7e93zZmVo8qHWVZQWTcQSCOLe64kLB6Xc3moJwHlljbZkU/JGD5aLfm2Oq7ZN/&#10;6JH5QoQQdikqKL1vUildXpJBN7YNceAutjXoA2wLqVt8hnBTyziKEmmw4tBQYkObkvJrdjcK7uZ8&#10;bDhOtvn6axh/Dvd48N83pT4G3WoGwlPn3+J/90EriJOwNpwJR0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VYBjBAAAA3AAAAA8AAAAAAAAAAAAAAAAAmAIAAGRycy9kb3du&#10;cmV2LnhtbFBLBQYAAAAABAAEAPUAAACGAwAAAAA=&#10;" fillcolor="#c00000" strokecolor="#c00000" strokeweight=".5pt">
                        <v:textbox>
                          <w:txbxContent>
                            <w:p w:rsidR="006B247F" w:rsidRDefault="006B247F" w:rsidP="009D1DD0"/>
                          </w:txbxContent>
                        </v:textbox>
                      </v:oval>
                      <v:line id="Straight Connector 269" o:spid="_x0000_s1068" style="position:absolute;visibility:visible;mso-wrap-style:square" from="6494,3750" to="38595,3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PEMYAAADcAAAADwAAAGRycy9kb3ducmV2LnhtbESPT2sCMRTE7wW/Q3hCL1IThdq6NUqR&#10;WlovUv/cXzfP3djNy7JJ1/Xbm4LQ4zAzv2Fmi85VoqUmWM8aRkMFgjj3xnKhYb9bPTyDCBHZYOWZ&#10;NFwowGLeu5thZvyZv6jdxkIkCIcMNZQx1pmUIS/JYRj6mjh5R984jEk2hTQNnhPcVXKs1EQ6tJwW&#10;SqxpWVL+s/11GgaH/fv0UT19tvnKtnZ9eus230rr+373+gIiUhf/w7f2h9Ewnkzh70w6AnJ+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P1zxDGAAAA3AAAAA8AAAAAAAAA&#10;AAAAAAAAoQIAAGRycy9kb3ducmV2LnhtbFBLBQYAAAAABAAEAPkAAACUAwAAAAA=&#10;" strokecolor="black [3213]">
                        <v:stroke dashstyle="1 1"/>
                      </v:line>
                      <v:line id="Straight Connector 270" o:spid="_x0000_s1069" style="position:absolute;visibility:visible;mso-wrap-style:square" from="6505,6359" to="38606,6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bwUMMAAADcAAAADwAAAGRycy9kb3ducmV2LnhtbERPTWsCMRC9F/ofwhR6KZootOrWKCJa&#10;1Eup2vt0M92NbibLJl3Xf28OBY+P9z2dd64SLTXBetYw6CsQxLk3lgsNx8O6NwYRIrLByjNpuFKA&#10;+ezxYYqZ8Rf+onYfC5FCOGSooYyxzqQMeUkOQ9/XxIn79Y3DmGBTSNPgJYW7Sg6VepMOLaeGEmta&#10;lpSf939Ow8v38WPyqkbbNl/b1u5Oq+7zR2n9/NQt3kFE6uJd/O/eGA3DUZqfzqQj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W8FDDAAAA3AAAAA8AAAAAAAAAAAAA&#10;AAAAoQIAAGRycy9kb3ducmV2LnhtbFBLBQYAAAAABAAEAPkAAACRAwAAAAA=&#10;" strokecolor="black [3213]">
                        <v:stroke dashstyle="1 1"/>
                      </v:line>
                      <v:line id="Straight Connector 271" o:spid="_x0000_s1070" style="position:absolute;visibility:visible;mso-wrap-style:square" from="6483,8837" to="38584,8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pVy8YAAADcAAAADwAAAGRycy9kb3ducmV2LnhtbESPQWsCMRSE7wX/Q3iCl1IThWrdGkVE&#10;S9tLqdr76+Z1N7p5WTbpuv57UxB6HGbmG2a+7FwlWmqC9axhNFQgiHNvLBcaDvvtwxOIEJENVp5J&#10;w4UCLBe9uzlmxp/5k9pdLESCcMhQQxljnUkZ8pIchqGviZP34xuHMcmmkKbBc4K7So6VmkiHltNC&#10;iTWtS8pPu1+n4f7r8DJ7VNO3Nt/a1r4fN93Ht9J60O9WzyAidfE/fGu/Gg3j6Qj+zqQjIB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haVcvGAAAA3AAAAA8AAAAAAAAA&#10;AAAAAAAAoQIAAGRycy9kb3ducmV2LnhtbFBLBQYAAAAABAAEAPkAAACUAwAAAAA=&#10;" strokecolor="black [3213]">
                        <v:stroke dashstyle="1 1"/>
                      </v:line>
                      <v:line id="Straight Connector 272" o:spid="_x0000_s1071" style="position:absolute;visibility:visible;mso-wrap-style:square" from="6625,11414" to="38726,11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jLvMYAAADcAAAADwAAAGRycy9kb3ducmV2LnhtbESPQWsCMRSE74L/IbxCL1KTLljb1Sil&#10;VLFeSq29Pzevu7Gbl2UT1/Xfm0Khx2FmvmHmy97VoqM2WM8a7scKBHHhjeVSw/5zdfcIIkRkg7Vn&#10;0nChAMvFcDDH3Pgzf1C3i6VIEA45aqhibHIpQ1GRwzD2DXHyvn3rMCbZltK0eE5wV8tMqQfp0HJa&#10;qLChl4qKn93JaRh97ddPEzV964qV7ez2+Nq/H5TWtzf98wxEpD7+h//aG6Mhm2bweyYdAb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Iy7zGAAAA3AAAAA8AAAAAAAAA&#10;AAAAAAAAoQIAAGRycy9kb3ducmV2LnhtbFBLBQYAAAAABAAEAPkAAACUAwAAAAA=&#10;" strokecolor="black [3213]">
                        <v:stroke dashstyle="1 1"/>
                      </v:line>
                      <v:line id="Straight Connector 273" o:spid="_x0000_s1072" style="position:absolute;visibility:visible;mso-wrap-style:square" from="6537,16556" to="38638,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RuJ8YAAADcAAAADwAAAGRycy9kb3ducmV2LnhtbESPQU8CMRSE7yb8h+aRcCHSilFwpRBj&#10;gKAXI+D9uX3sFrevm21dln9PTUg8Tmbmm8xs0blKtNQE61nD3UiBIM69sVxo2O9Wt1MQISIbrDyT&#10;hjMFWMx7NzPMjD/xJ7XbWIgE4ZChhjLGOpMy5CU5DCNfEyfv4BuHMcmmkKbBU4K7So6VepQOLaeF&#10;Emt6LSn/2f46DcOv/frpQU3e2nxlW/t+XHYf30rrQb97eQYRqYv/4Wt7YzSMJ/fwdyYdAT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fEbifGAAAA3AAAAA8AAAAAAAAA&#10;AAAAAAAAoQIAAGRycy9kb3ducmV2LnhtbFBLBQYAAAAABAAEAPkAAACUAwAAAAA=&#10;" strokecolor="black [3213]">
                        <v:stroke dashstyle="1 1"/>
                      </v:line>
                      <v:line id="Straight Connector 274" o:spid="_x0000_s1073" style="position:absolute;visibility:visible;mso-wrap-style:square" from="6505,1261" to="38606,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32U8YAAADcAAAADwAAAGRycy9kb3ducmV2LnhtbESPQU8CMRSE7yb8h+aRcCHSSlRwpRBj&#10;gKAXI+D9uX3sFrevm21dln9PTUg8Tmbmm8xs0blKtNQE61nD3UiBIM69sVxo2O9Wt1MQISIbrDyT&#10;hjMFWMx7NzPMjD/xJ7XbWIgE4ZChhjLGOpMy5CU5DCNfEyfv4BuHMcmmkKbBU4K7So6VepQOLaeF&#10;Emt6LSn/2f46DcOv/frpQU3e2nxlW/t+XHYf30rrQb97eQYRqYv/4Wt7YzSMJ/fwdyYdAT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gt9lPGAAAA3AAAAA8AAAAAAAAA&#10;AAAAAAAAoQIAAGRycy9kb3ducmV2LnhtbFBLBQYAAAAABAAEAPkAAACUAwAAAAA=&#10;" strokecolor="black [3213]">
                        <v:stroke dashstyle="1 1"/>
                      </v:line>
                      <v:shapetype id="_x0000_t202" coordsize="21600,21600" o:spt="202" path="m,l,21600r21600,l21600,xe">
                        <v:stroke joinstyle="miter"/>
                        <v:path gradientshapeok="t" o:connecttype="rect"/>
                      </v:shapetype>
                      <v:shape id="TextBox 61" o:spid="_x0000_s1074" type="#_x0000_t202" style="position:absolute;left:3319;top:2518;width:3118;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12</w:t>
                              </w:r>
                            </w:p>
                          </w:txbxContent>
                        </v:textbox>
                      </v:shape>
                      <v:shape id="TextBox 62" o:spid="_x0000_s1075" type="#_x0000_t202" style="position:absolute;left:3376;top:5332;width:3118;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wDsMA&#10;AADcAAAADwAAAGRycy9kb3ducmV2LnhtbESPQWsCMRSE74L/ITzBmyZKtXY1ilgKPSm1teDtsXnu&#10;Lm5elk10139vBMHjMDPfMItVa0txpdoXjjWMhgoEcepMwZmGv9+vwQyED8gGS8ek4UYeVstuZ4GJ&#10;cQ3/0HUfMhEh7BPUkIdQJVL6NCeLfugq4uidXG0xRFln0tTYRLgt5VipqbRYcFzIsaJNTul5f7Ea&#10;DtvT8f9N7bJPO6ka1yrJ9kNq3e+16zmIQG14hZ/tb6Nh/D6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YwDsMAAADcAAAADwAAAAAAAAAAAAAAAACYAgAAZHJzL2Rv&#10;d25yZXYueG1sUEsFBgAAAAAEAAQA9QAAAIgDA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10</w:t>
                              </w:r>
                            </w:p>
                          </w:txbxContent>
                        </v:textbox>
                      </v:shape>
                      <v:shape id="TextBox 63" o:spid="_x0000_s1076" type="#_x0000_t202" style="position:absolute;left:4000;top:7794;width:2477;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VlcQA&#10;AADcAAAADwAAAGRycy9kb3ducmV2LnhtbESPT4vCMBTE74LfITzBmybK+merUcRlYU/KuuuCt0fz&#10;bIvNS2mird/eCMIeh5n5DbNct7YUN6p94VjDaKhAEKfOFJxp+P35HMxB+IBssHRMGu7kYb3qdpaY&#10;GNfwN90OIRMRwj5BDXkIVSKlT3Oy6IeuIo7e2dUWQ5R1Jk2NTYTbUo6VmkqLBceFHCva5pReDler&#10;4bg7n/7e1D77sJOqca2SbN+l1v1eu1mACNSG//Cr/WU0jGczeJ6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lZXEAAAA3AAAAA8AAAAAAAAAAAAAAAAAmAIAAGRycy9k&#10;b3ducmV2LnhtbFBLBQYAAAAABAAEAPUAAACJAw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8</w:t>
                              </w:r>
                            </w:p>
                          </w:txbxContent>
                        </v:textbox>
                      </v:shape>
                      <v:shape id="TextBox 64" o:spid="_x0000_s1077" type="#_x0000_t202" style="position:absolute;left:3976;top:10282;width:2477;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B58AA&#10;AADcAAAADwAAAGRycy9kb3ducmV2LnhtbERPTYvCMBC9C/6HMIK3NVHcda1GEUXwpOjuCt6GZmyL&#10;zaQ00Xb/vTkIHh/ve75sbSkeVPvCsYbhQIEgTp0pONPw+7P9+AbhA7LB0jFp+CcPy0W3M8fEuIaP&#10;9DiFTMQQ9glqyEOoEil9mpNFP3AVceSurrYYIqwzaWpsYrgt5UipL2mx4NiQY0XrnNLb6W41/O2v&#10;l/NYHbKN/awa1yrJdiq17vfa1QxEoDa8xS/3zmgYTe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B58AAAADcAAAADwAAAAAAAAAAAAAAAACYAgAAZHJzL2Rvd25y&#10;ZXYueG1sUEsFBgAAAAAEAAQA9QAAAIUDA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6</w:t>
                              </w:r>
                            </w:p>
                          </w:txbxContent>
                        </v:textbox>
                      </v:shape>
                      <v:shape id="TextBox 65" o:spid="_x0000_s1078" type="#_x0000_t202" style="position:absolute;left:3989;top:12612;width:2477;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4</w:t>
                              </w:r>
                            </w:p>
                          </w:txbxContent>
                        </v:textbox>
                      </v:shape>
                      <v:shape id="TextBox 67" o:spid="_x0000_s1079" type="#_x0000_t202" style="position:absolute;left:3989;top:17704;width:2477;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9xr8A&#10;AADcAAAADwAAAGRycy9kb3ducmV2LnhtbERPy4rCMBTdD/gP4QruxkTRQatRZAbBlTK+wN2lubbF&#10;5qY00da/NwvB5eG858vWluJBtS8caxj0FQji1JmCMw3Hw/p7AsIHZIOlY9LwJA/LRedrjolxDf/T&#10;Yx8yEUPYJ6ghD6FKpPRpThZ931XEkbu62mKIsM6kqbGJ4baUQ6V+pMWCY0OOFf3mlN72d6vhtL1e&#10;ziO1y/7suGpcqyTbqdS6121XMxCB2vARv90bo2E4ifP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n3GvwAAANwAAAAPAAAAAAAAAAAAAAAAAJgCAABkcnMvZG93bnJl&#10;di54bWxQSwUGAAAAAAQABAD1AAAAhAM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0</w:t>
                              </w:r>
                            </w:p>
                          </w:txbxContent>
                        </v:textbox>
                      </v:shape>
                      <v:shape id="TextBox 68" o:spid="_x0000_s1080" type="#_x0000_t202" style="position:absolute;left:4033;top:15242;width:2477;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rYXcMA&#10;AADcAAAADwAAAGRycy9kb3ducmV2LnhtbESPQYvCMBSE78L+h/AWvGmiqGjXKIsieFLUXWFvj+bZ&#10;lm1eShNt/fdGEDwOM/MNM1+2thQ3qn3hWMOgr0AQp84UnGn4OW16UxA+IBssHZOGO3lYLj46c0yM&#10;a/hAt2PIRISwT1BDHkKVSOnTnCz6vquIo3dxtcUQZZ1JU2MT4baUQ6Um0mLBcSHHilY5pf/Hq9Xw&#10;u7v8nUdqn63tuGpcqyTbmdS6+9l+f4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rYXcMAAADcAAAADwAAAAAAAAAAAAAAAACYAgAAZHJzL2Rv&#10;d25yZXYueG1sUEsFBgAAAAAEAAQA9QAAAIgDA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2</w:t>
                              </w:r>
                            </w:p>
                          </w:txbxContent>
                        </v:textbox>
                      </v:shape>
                      <v:shape id="TextBox 69" o:spid="_x0000_s1081" type="#_x0000_t202" style="position:absolute;left:6480;top:18935;width:4813;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GKsQA&#10;AADcAAAADwAAAGRycy9kb3ducmV2LnhtbESPT4vCMBTE74LfIbwFb5psccWtRhFlYU8r/lnB26N5&#10;tsXmpTRZ2/32RhA8DjPzG2a+7GwlbtT40rGG95ECQZw5U3Ku4Xj4Gk5B+IBssHJMGv7Jw3LR780x&#10;Na7lHd32IRcRwj5FDUUIdSqlzwqy6EeuJo7exTUWQ5RNLk2DbYTbSiZKTaTFkuNCgTWtC8qu+z+r&#10;4ffncj6N1Tbf2I+6dZ2SbD+l1oO3bjUDEagLr/Cz/W00JN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4RirEAAAA3AAAAA8AAAAAAAAAAAAAAAAAmAIAAGRycy9k&#10;b3ducmV2LnhtbFBLBQYAAAAABAAEAPUAAACJAw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$14 to</w:t>
                              </w:r>
                            </w:p>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w:t>
                              </w:r>
                              <w:proofErr w:type="spellStart"/>
                              <w:r>
                                <w:rPr>
                                  <w:rFonts w:asciiTheme="minorHAnsi" w:hAnsi="Calibri" w:cstheme="minorBidi"/>
                                  <w:color w:val="000000" w:themeColor="text1"/>
                                  <w:kern w:val="24"/>
                                  <w:sz w:val="18"/>
                                  <w:szCs w:val="18"/>
                                </w:rPr>
                                <w:t>20k</w:t>
                              </w:r>
                              <w:proofErr w:type="spellEnd"/>
                            </w:p>
                          </w:txbxContent>
                        </v:textbox>
                      </v:shape>
                      <v:shape id="TextBox 70" o:spid="_x0000_s1082" type="#_x0000_t202" style="position:absolute;left:10917;top:18915;width:4813;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TjscQA&#10;AADcAAAADwAAAGRycy9kb3ducmV2LnhtbESPW4vCMBSE3xf8D+EIvmniZUWrUWSXBZ9cvIJvh+bY&#10;FpuT0mRt999vBGEfh5n5hlmuW1uKB9W+cKxhOFAgiFNnCs40nI5f/RkIH5ANlo5Jwy95WK86b0tM&#10;jGt4T49DyESEsE9QQx5ClUjp05ws+oGriKN3c7XFEGWdSVNjE+G2lCOlptJiwXEhx4o+ckrvhx+r&#10;4by7XS8T9Z192veqca2SbOdS61633SxABGrDf/jV3hoNo9kY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047HEAAAA3AAAAA8AAAAAAAAAAAAAAAAAmAIAAGRycy9k&#10;b3ducmV2LnhtbFBLBQYAAAAABAAEAPUAAACJAw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$20 to</w:t>
                              </w:r>
                            </w:p>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w:t>
                              </w:r>
                              <w:proofErr w:type="spellStart"/>
                              <w:r>
                                <w:rPr>
                                  <w:rFonts w:asciiTheme="minorHAnsi" w:hAnsi="Calibri" w:cstheme="minorBidi"/>
                                  <w:color w:val="000000" w:themeColor="text1"/>
                                  <w:kern w:val="24"/>
                                  <w:sz w:val="18"/>
                                  <w:szCs w:val="18"/>
                                </w:rPr>
                                <w:t>38k</w:t>
                              </w:r>
                              <w:proofErr w:type="spellEnd"/>
                            </w:p>
                          </w:txbxContent>
                        </v:textbox>
                      </v:shape>
                      <v:shape id="TextBox 71" o:spid="_x0000_s1083" type="#_x0000_t202" style="position:absolute;left:14852;top:18870;width:481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7xcQA&#10;AADcAAAADwAAAGRycy9kb3ducmV2LnhtbESPQWvCQBSE7wX/w/IEb3VXsUWjmyAWoaeWpip4e2Sf&#10;STD7NmS3Sfrvu4VCj8PMfMPsstE2oqfO1441LOYKBHHhTM2lhtPn8XENwgdkg41j0vBNHrJ08rDD&#10;xLiBP6jPQykihH2CGqoQ2kRKX1Rk0c9dSxy9m+sshii7UpoOhwi3jVwq9Swt1hwXKmzpUFFxz7+s&#10;hvPb7XpZqffyxT61gxuVZLuRWs+m434LItAY/sN/7VejYble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de8XEAAAA3AAAAA8AAAAAAAAAAAAAAAAAmAIAAGRycy9k&#10;b3ducmV2LnhtbFBLBQYAAAAABAAEAPUAAACJAw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$38 to</w:t>
                              </w:r>
                            </w:p>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w:t>
                              </w:r>
                              <w:proofErr w:type="spellStart"/>
                              <w:r>
                                <w:rPr>
                                  <w:rFonts w:asciiTheme="minorHAnsi" w:hAnsi="Calibri" w:cstheme="minorBidi"/>
                                  <w:color w:val="000000" w:themeColor="text1"/>
                                  <w:kern w:val="24"/>
                                  <w:sz w:val="18"/>
                                  <w:szCs w:val="18"/>
                                </w:rPr>
                                <w:t>46k</w:t>
                              </w:r>
                              <w:proofErr w:type="spellEnd"/>
                            </w:p>
                          </w:txbxContent>
                        </v:textbox>
                      </v:shape>
                      <v:shape id="TextBox 72" o:spid="_x0000_s1084" type="#_x0000_t202" style="position:absolute;left:18618;top:18913;width:4813;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eXsQA&#10;AADcAAAADwAAAGRycy9kb3ducmV2LnhtbESPQWvCQBSE7wX/w/KE3uquYopGN0EsQk8tTVXw9sg+&#10;k2D2bchuTfrvu4VCj8PMfMNs89G24k69bxxrmM8UCOLSmYYrDcfPw9MKhA/IBlvHpOGbPOTZ5GGL&#10;qXEDf9C9CJWIEPYpaqhD6FIpfVmTRT9zHXH0rq63GKLsK2l6HCLctnKh1LO02HBcqLGjfU3lrfiy&#10;Gk5v18t5qd6rF5t0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R3l7EAAAA3AAAAA8AAAAAAAAAAAAAAAAAmAIAAGRycy9k&#10;b3ducmV2LnhtbFBLBQYAAAAABAAEAPUAAACJAw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$46 to</w:t>
                              </w:r>
                            </w:p>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w:t>
                              </w:r>
                              <w:proofErr w:type="spellStart"/>
                              <w:r>
                                <w:rPr>
                                  <w:rFonts w:asciiTheme="minorHAnsi" w:hAnsi="Calibri" w:cstheme="minorBidi"/>
                                  <w:color w:val="000000" w:themeColor="text1"/>
                                  <w:kern w:val="24"/>
                                  <w:sz w:val="18"/>
                                  <w:szCs w:val="18"/>
                                </w:rPr>
                                <w:t>69k</w:t>
                              </w:r>
                              <w:proofErr w:type="spellEnd"/>
                            </w:p>
                          </w:txbxContent>
                        </v:textbox>
                      </v:shape>
                      <v:shape id="TextBox 73" o:spid="_x0000_s1085" type="#_x0000_t202" style="position:absolute;left:22592;top:18903;width:481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AKcQA&#10;AADcAAAADwAAAGRycy9kb3ducmV2LnhtbESPQWvCQBSE7wX/w/KE3uquYoNGN0EsQk8tTVXw9sg+&#10;k2D2bchuTfrvu4VCj8PMfMNs89G24k69bxxrmM8UCOLSmYYrDcfPw9MKhA/IBlvHpOGbPOTZ5GGL&#10;qXEDf9C9CJWIEPYpaqhD6FIpfVmTRT9zHXH0rq63GKLsK2l6HCLctnKhVCItNhwXauxoX1N5K76s&#10;htPb9XJeqvfqxT53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DQCnEAAAA3AAAAA8AAAAAAAAAAAAAAAAAmAIAAGRycy9k&#10;b3ducmV2LnhtbFBLBQYAAAAABAAEAPUAAACJAw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$69 to</w:t>
                              </w:r>
                            </w:p>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w:t>
                              </w:r>
                              <w:proofErr w:type="spellStart"/>
                              <w:r>
                                <w:rPr>
                                  <w:rFonts w:asciiTheme="minorHAnsi" w:hAnsi="Calibri" w:cstheme="minorBidi"/>
                                  <w:color w:val="000000" w:themeColor="text1"/>
                                  <w:kern w:val="24"/>
                                  <w:sz w:val="18"/>
                                  <w:szCs w:val="18"/>
                                </w:rPr>
                                <w:t>98k</w:t>
                              </w:r>
                              <w:proofErr w:type="spellEnd"/>
                            </w:p>
                          </w:txbxContent>
                        </v:textbox>
                      </v:shape>
                      <v:shape id="TextBox 74" o:spid="_x0000_s1086" type="#_x0000_t202" style="position:absolute;left:26459;top:18867;width:4813;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ssMA&#10;AADcAAAADwAAAGRycy9kb3ducmV2LnhtbESPT4vCMBTE7wt+h/AEb5ooumo1iuyy4MnFv+Dt0Tzb&#10;YvNSmqztfvuNIOxxmJnfMMt1a0vxoNoXjjUMBwoEcepMwZmG0/GrPwPhA7LB0jFp+CUP61XnbYmJ&#10;cQ3v6XEImYgQ9glqyEOoEil9mpNFP3AVcfRurrYYoqwzaWpsItyWcqTUu7RYcFzIsaKPnNL74cdq&#10;OO9u18tYfWefdlI1rlWS7Vxq3eu2mwWIQG34D7/aW6NhNJvC8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lssMAAADcAAAADwAAAAAAAAAAAAAAAACYAgAAZHJzL2Rv&#10;d25yZXYueG1sUEsFBgAAAAAEAAQA9QAAAIgDA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$98 to</w:t>
                              </w:r>
                            </w:p>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w:t>
                              </w:r>
                              <w:proofErr w:type="spellStart"/>
                              <w:r>
                                <w:rPr>
                                  <w:rFonts w:asciiTheme="minorHAnsi" w:hAnsi="Calibri" w:cstheme="minorBidi"/>
                                  <w:color w:val="000000" w:themeColor="text1"/>
                                  <w:kern w:val="24"/>
                                  <w:sz w:val="18"/>
                                  <w:szCs w:val="18"/>
                                </w:rPr>
                                <w:t>145k</w:t>
                              </w:r>
                              <w:proofErr w:type="spellEnd"/>
                            </w:p>
                          </w:txbxContent>
                        </v:textbox>
                      </v:shape>
                      <v:shape id="TextBox 75" o:spid="_x0000_s1087" type="#_x0000_t202" style="position:absolute;left:30313;top:18910;width:5391;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$145 to</w:t>
                              </w:r>
                            </w:p>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w:t>
                              </w:r>
                              <w:proofErr w:type="spellStart"/>
                              <w:r>
                                <w:rPr>
                                  <w:rFonts w:asciiTheme="minorHAnsi" w:hAnsi="Calibri" w:cstheme="minorBidi"/>
                                  <w:color w:val="000000" w:themeColor="text1"/>
                                  <w:kern w:val="24"/>
                                  <w:sz w:val="18"/>
                                  <w:szCs w:val="18"/>
                                </w:rPr>
                                <w:t>174k</w:t>
                              </w:r>
                              <w:proofErr w:type="spellEnd"/>
                            </w:p>
                          </w:txbxContent>
                        </v:textbox>
                      </v:shape>
                      <v:shape id="TextBox 76" o:spid="_x0000_s1088" type="#_x0000_t202" style="position:absolute;left:34602;top:18873;width:466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UW8MA&#10;AADcAAAADwAAAGRycy9kb3ducmV2LnhtbESPQYvCMBSE7wv+h/AEb2uiuItWo4gieFpZVwVvj+bZ&#10;FpuX0kRb/70RhD0OM/MNM1u0thR3qn3hWMOgr0AQp84UnGk4/G0+xyB8QDZYOiYND/KwmHc+ZpgY&#10;1/Av3fchExHCPkENeQhVIqVPc7Lo+64ijt7F1RZDlHUmTY1NhNtSDpX6lhYLjgs5VrTKKb3ub1bD&#10;8edyPo3ULlvbr6pxrZJsJ1LrXrddTkEEasN/+N3eGg3D8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zUW8MAAADcAAAADwAAAAAAAAAAAAAAAACYAgAAZHJzL2Rv&#10;d25yZXYueG1sUEsFBgAAAAAEAAQA9QAAAIgDA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18"/>
                                  <w:szCs w:val="18"/>
                                </w:rPr>
                                <w:t>$</w:t>
                              </w:r>
                              <w:proofErr w:type="spellStart"/>
                              <w:r>
                                <w:rPr>
                                  <w:rFonts w:asciiTheme="minorHAnsi" w:hAnsi="Calibri" w:cstheme="minorBidi"/>
                                  <w:color w:val="000000" w:themeColor="text1"/>
                                  <w:kern w:val="24"/>
                                  <w:sz w:val="18"/>
                                  <w:szCs w:val="18"/>
                                </w:rPr>
                                <w:t>174k</w:t>
                              </w:r>
                              <w:proofErr w:type="spellEnd"/>
                            </w:p>
                          </w:txbxContent>
                        </v:textbox>
                      </v:shape>
                      <v:line id="Straight Connector 290" o:spid="_x0000_s1089" style="position:absolute;visibility:visible;mso-wrap-style:square" from="11006,18917" to="11006,19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4g8MAAADcAAAADwAAAGRycy9kb3ducmV2LnhtbERPy2rCQBTdF/yH4Qru6sSARlNHCYLQ&#10;1lV90O0lc5ukZu6EmWlM+/XOouDycN7r7WBa0ZPzjWUFs2kCgri0uuFKwfm0f16C8AFZY2uZFPyS&#10;h+1m9LTGXNsbf1B/DJWIIexzVFCH0OVS+rImg35qO+LIfVlnMEToKqkd3mK4aWWaJAtpsOHYUGNH&#10;u5rK6/HHKFiW79+uyIq32fzSZX99eljsPzOlJuOheAERaAgP8b/7VStIV3F+PBOPgN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P+IPDAAAA3AAAAA8AAAAAAAAAAAAA&#10;AAAAoQIAAGRycy9kb3ducmV2LnhtbFBLBQYAAAAABAAEAPkAAACRAwAAAAA=&#10;" strokecolor="black [3213]"/>
                      <v:line id="Straight Connector 291" o:spid="_x0000_s1090" style="position:absolute;visibility:visible;mso-wrap-style:square" from="14943,18917" to="14943,19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NdGMYAAADcAAAADwAAAGRycy9kb3ducmV2LnhtbESPQWvCQBSE74X+h+UVequbBDQaXSUU&#10;BNueahWvj+wzSZt9G3a3MfXXu4VCj8PMfMOsNqPpxEDOt5YVpJMEBHFldcu1gsPH9mkOwgdkjZ1l&#10;UvBDHjbr+7sVFtpe+J2GfahFhLAvUEETQl9I6auGDPqJ7Ymjd7bOYIjS1VI7vES46WSWJDNpsOW4&#10;0GBPzw1VX/tvo2BevX66Mi9f0umxz69D9jbbnnKlHh/Gcgki0Bj+w3/tnVaQLVL4PROPgF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dDXRjGAAAA3AAAAA8AAAAAAAAA&#10;AAAAAAAAoQIAAGRycy9kb3ducmV2LnhtbFBLBQYAAAAABAAEAPkAAACUAwAAAAA=&#10;" strokecolor="black [3213]"/>
                      <v:line id="Straight Connector 292" o:spid="_x0000_s1091" style="position:absolute;visibility:visible;mso-wrap-style:square" from="18909,18917" to="18909,19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HDb8YAAADcAAAADwAAAGRycy9kb3ducmV2LnhtbESPQWvCQBSE7wX/w/KE3urGgMamrhIE&#10;wdpTtaXXR/Y1SZt9G3bXGP31bqHgcZiZb5jlejCt6Mn5xrKC6SQBQVxa3XCl4OO4fVqA8AFZY2uZ&#10;FFzIw3o1elhiru2Z36k/hEpECPscFdQhdLmUvqzJoJ/Yjjh639YZDFG6SmqH5wg3rUyTZC4NNhwX&#10;auxoU1P5ezgZBYty/+OKrHidzj677Nqnb/PtV6bU43goXkAEGsI9/N/eaQXpcwp/Z+IR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Rw2/GAAAA3AAAAA8AAAAAAAAA&#10;AAAAAAAAoQIAAGRycy9kb3ducmV2LnhtbFBLBQYAAAAABAAEAPkAAACUAwAAAAA=&#10;" strokecolor="black [3213]"/>
                      <v:line id="Straight Connector 293" o:spid="_x0000_s1092" style="position:absolute;visibility:visible;mso-wrap-style:square" from="38568,18917" to="38568,19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1m9MYAAADcAAAADwAAAGRycy9kb3ducmV2LnhtbESPT2vCQBTE7wW/w/KE3urGSI1GVwmC&#10;0D8nreL1kX0mabNvw+42pv303UKhx2FmfsOst4NpRU/ON5YVTCcJCOLS6oYrBae3/cMChA/IGlvL&#10;pOCLPGw3o7s15tre+ED9MVQiQtjnqKAOocul9GVNBv3EdsTRu1pnMETpKqkd3iLctDJNkrk02HBc&#10;qLGjXU3lx/HTKFiUL++uyIrn6eO5y7779HW+v2RK3Y+HYgUi0BD+w3/tJ60gXc7g90w8AnL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dZvTGAAAA3AAAAA8AAAAAAAAA&#10;AAAAAAAAoQIAAGRycy9kb3ducmV2LnhtbFBLBQYAAAAABAAEAPkAAACUAwAAAAA=&#10;" strokecolor="black [3213]"/>
                      <v:line id="Straight Connector 294" o:spid="_x0000_s1093" style="position:absolute;visibility:visible;mso-wrap-style:square" from="22927,18936" to="22927,19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T+gMYAAADcAAAADwAAAGRycy9kb3ducmV2LnhtbESPT2vCQBTE7wW/w/KE3urGYI1GVwmC&#10;0D8nreL1kX0mabNvw+42pv303UKhx2FmfsOst4NpRU/ON5YVTCcJCOLS6oYrBae3/cMChA/IGlvL&#10;pOCLPGw3o7s15tre+ED9MVQiQtjnqKAOocul9GVNBv3EdsTRu1pnMETpKqkd3iLctDJNkrk02HBc&#10;qLGjXU3lx/HTKFiUL++uyIrn6eO5y7779HW+v2RK3Y+HYgUi0BD+w3/tJ60gXc7g90w8AnL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0/oDGAAAA3AAAAA8AAAAAAAAA&#10;AAAAAAAAoQIAAGRycy9kb3ducmV2LnhtbFBLBQYAAAAABAAEAPkAAACUAwAAAAA=&#10;" strokecolor="black [3213]"/>
                      <v:line id="Straight Connector 295" o:spid="_x0000_s1094" style="position:absolute;visibility:visible;mso-wrap-style:square" from="34824,18936" to="34824,19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hbG8YAAADcAAAADwAAAGRycy9kb3ducmV2LnhtbESPQWvCQBSE74X+h+UVeqsbAxqNrhIK&#10;gm1PtRWvj+wzic2+DbtrTP31bqHgcZiZb5jlejCt6Mn5xrKC8SgBQVxa3XCl4Ptr8zID4QOyxtYy&#10;KfglD+vV48MSc20v/En9LlQiQtjnqKAOocul9GVNBv3IdsTRO1pnMETpKqkdXiLctDJNkqk02HBc&#10;qLGj15rKn93ZKJiV7ydXZMXbeLLvsmuffkw3h0yp56ehWIAINIR7+L+91QrS+QT+zsQjIF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h4WxvGAAAA3AAAAA8AAAAAAAAA&#10;AAAAAAAAoQIAAGRycy9kb3ducmV2LnhtbFBLBQYAAAAABAAEAPkAAACUAwAAAAA=&#10;" strokecolor="black [3213]"/>
                      <v:line id="Straight Connector 296" o:spid="_x0000_s1095" style="position:absolute;visibility:visible;mso-wrap-style:square" from="30797,18904" to="30797,19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rFbMYAAADcAAAADwAAAGRycy9kb3ducmV2LnhtbESPQWvCQBSE74X+h+UVeqsbA000ukoo&#10;CG091SpeH9lnkjb7NuxuY+qvd4VCj8PMfMMs16PpxEDOt5YVTCcJCOLK6pZrBfvPzdMMhA/IGjvL&#10;pOCXPKxX93dLLLQ98wcNu1CLCGFfoIImhL6Q0lcNGfQT2xNH72SdwRClq6V2eI5w08k0STJpsOW4&#10;0GBPLw1V37sfo2BWvX+5Mi/fps+HPr8M6TbbHHOlHh/GcgEi0Bj+w3/tV60gnWdwOxOPgF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qxWzGAAAA3AAAAA8AAAAAAAAA&#10;AAAAAAAAoQIAAGRycy9kb3ducmV2LnhtbFBLBQYAAAAABAAEAPkAAACUAwAAAAA=&#10;" strokecolor="black [3213]"/>
                      <v:line id="Straight Connector 297" o:spid="_x0000_s1096" style="position:absolute;visibility:visible;mso-wrap-style:square" from="26774,19005" to="26774,19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g98YAAADcAAAADwAAAGRycy9kb3ducmV2LnhtbESPQWvCQBSE7wX/w/KE3urGgEZTVwmC&#10;YO2pVvH6yL4mabNvw+4aY399t1DocZiZb5jVZjCt6Mn5xrKC6SQBQVxa3XCl4PS+e1qA8AFZY2uZ&#10;FNzJw2Y9elhhru2N36g/hkpECPscFdQhdLmUvqzJoJ/Yjjh6H9YZDFG6SmqHtwg3rUyTZC4NNhwX&#10;auxoW1P5dbwaBYvy8OmKrHiZzs5d9t2nr/PdJVPqcTwUzyACDeE//NfeawXpMoPfM/E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mYPfGAAAA3AAAAA8AAAAAAAAA&#10;AAAAAAAAoQIAAGRycy9kb3ducmV2LnhtbFBLBQYAAAAABAAEAPkAAACUAwAAAAA=&#10;" strokecolor="black [3213]"/>
                      <v:shape id="TextBox 86" o:spid="_x0000_s1097" type="#_x0000_t202" style="position:absolute;left:3376;width:3117;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nHcIA&#10;AADcAAAADwAAAGRycy9kb3ducmV2LnhtbERPz2vCMBS+C/sfwht4s8nEie1My1AGnibWbbDbo3m2&#10;Zc1LaTJb/3tzGOz48f3eFpPtxJUG3zrW8JQoEMSVMy3XGj7Ob4sNCB+QDXaOScONPBT5w2yLmXEj&#10;n+hahlrEEPYZamhC6DMpfdWQRZ+4njhyFzdYDBEOtTQDjjHcdnKp1FpabDk2NNjTrqHqp/y1Gj7f&#10;L99fK3Ws9/a5H92kJNtUaj1/nF5fQASawr/4z30wGpZpXBv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ecdwgAAANwAAAAPAAAAAAAAAAAAAAAAAJgCAABkcnMvZG93&#10;bnJldi54bWxQSwUGAAAAAAQABAD1AAAAhwM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14</w:t>
                              </w:r>
                            </w:p>
                          </w:txbxContent>
                        </v:textbox>
                      </v:shape>
                      <v:shape id="TextBox 88" o:spid="_x0000_s1098" type="#_x0000_t202" style="position:absolute;left:24761;top:8315;width:13475;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Median all households</w:t>
                              </w:r>
                            </w:p>
                          </w:txbxContent>
                        </v:textbox>
                      </v:shape>
                      <v:shapetype id="_x0000_t32" coordsize="21600,21600" o:spt="32" o:oned="t" path="m,l21600,21600e" filled="f">
                        <v:path arrowok="t" fillok="f" o:connecttype="none"/>
                        <o:lock v:ext="edit" shapetype="t"/>
                      </v:shapetype>
                      <v:shape id="Straight Arrow Connector 300" o:spid="_x0000_s1099" type="#_x0000_t32" style="position:absolute;left:29536;top:10283;width:1261;height:33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RyCcIAAADcAAAADwAAAGRycy9kb3ducmV2LnhtbERPz2vCMBS+D/wfwhO8zXQTxqhGcY7B&#10;8OTqRLw9mmdTbV5qEtvuv18Ogx0/vt+L1WAb0ZEPtWMFT9MMBHHpdM2Vgu/9x+MriBCRNTaOScEP&#10;BVgtRw8LzLXr+Yu6IlYihXDIUYGJsc2lDKUhi2HqWuLEnZ23GBP0ldQe+xRuG/mcZS/SYs2pwWBL&#10;G0PltbhbBU237W+H++Vm3nfdvtgcT+bNt0pNxsN6DiLSEP/Ff+5PrWCWpfnpTDoC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RyCcIAAADcAAAADwAAAAAAAAAAAAAA&#10;AAChAgAAZHJzL2Rvd25yZXYueG1sUEsFBgAAAAAEAAQA+QAAAJADAAAAAA==&#10;" strokecolor="black [3213]">
                        <v:stroke endarrow="block"/>
                      </v:shape>
                      <v:oval id="Oval 301" o:spid="_x0000_s1100" style="position:absolute;left:8529;top:8477;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juMQA&#10;AADcAAAADwAAAGRycy9kb3ducmV2LnhtbESPT4vCMBTE74LfITzBi2hqXcrSNYp/0T2u62Vvj+bZ&#10;FpuX2kSt394ICx6HmfkNM523phI3alxpWcF4FIEgzqwuOVdw/N0OP0E4j6yxskwKHuRgPut2pphq&#10;e+cfuh18LgKEXYoKCu/rVEqXFWTQjWxNHLyTbQz6IJtc6gbvAW4qGUdRIg2WHBYKrGlVUHY+XI2C&#10;q/n7rjlONtnyYxBPBjvc+/VFqX6vXXyB8NT6d/i/vdcKJtEYXmfCEZ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RI7jEAAAA3AAAAA8AAAAAAAAAAAAAAAAAmAIAAGRycy9k&#10;b3ducmV2LnhtbFBLBQYAAAAABAAEAPUAAACJAwAAAAA=&#10;" fillcolor="#c00000" strokecolor="#c00000" strokeweight=".5pt">
                        <v:textbox>
                          <w:txbxContent>
                            <w:p w:rsidR="006B247F" w:rsidRDefault="006B247F" w:rsidP="009D1DD0"/>
                          </w:txbxContent>
                        </v:textbox>
                      </v:oval>
                      <v:group id="Group 302" o:spid="_x0000_s1101" style="position:absolute;left:25720;top:6187;width:6139;height:2464" coordorigin="25720,6187" coordsize="6139,24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7PUcYAAADcAAAADwAAAGRycy9kb3ducmV2LnhtbESPQWvCQBSE74X+h+UV&#10;ems2UVokuoYgWnoQoUYQb4/sMwlm34bsNon/visUehxm5htmlU2mFQP1rrGsIIliEMSl1Q1XCk7F&#10;7m0Bwnlkja1lUnAnB9n6+WmFqbYjf9Nw9JUIEHYpKqi971IpXVmTQRfZjjh4V9sb9EH2ldQ9jgFu&#10;WjmL4w9psOGwUGNHm5rK2/HHKPgcccznyXbY366b+6V4P5z3CSn1+jLlSxCeJv8f/mt/aQXzeAa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5ns9RxgAAANwA&#10;AAAPAAAAAAAAAAAAAAAAAKoCAABkcnMvZG93bnJldi54bWxQSwUGAAAAAAQABAD6AAAAnQMAAAAA&#10;">
                        <v:oval id="Oval 303" o:spid="_x0000_s1102" style="position:absolute;left:25720;top:705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8YVMUA&#10;AADcAAAADwAAAGRycy9kb3ducmV2LnhtbESPT2vCQBTE7wW/w/IEL0E3TYpI6iq2tqhHtZfeHtnX&#10;JJh9m2Y3f/rtu0Khx2FmfsOst6OpRU+tqywreFzEIIhzqysuFHxc3+crEM4ja6wtk4IfcrDdTB7W&#10;mGk78Jn6iy9EgLDLUEHpfZNJ6fKSDLqFbYiD92Vbgz7ItpC6xSHATS2TOF5KgxWHhRIbei0pv106&#10;o6Azn6eGk+Vb/vIUJWl0wKPffys1m467ZxCeRv8f/msftYI0TuF+Jhw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xhUxQAAANwAAAAPAAAAAAAAAAAAAAAAAJgCAABkcnMv&#10;ZG93bnJldi54bWxQSwUGAAAAAAQABAD1AAAAigMAAAAA&#10;" fillcolor="#c00000" strokecolor="#c00000" strokeweight=".5pt">
                          <v:textbox>
                            <w:txbxContent>
                              <w:p w:rsidR="006B247F" w:rsidRDefault="006B247F" w:rsidP="009D1DD0"/>
                            </w:txbxContent>
                          </v:textbox>
                        </v:oval>
                        <v:shape id="TextBox 92" o:spid="_x0000_s1103" type="#_x0000_t202" style="position:absolute;left:26075;top:6187;width:5784;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3AsQA&#10;AADcAAAADwAAAGRycy9kb3ducmV2LnhtbESPT2vCQBTE74LfYXlCb3XXakWjq0il0JPF+Ae8PbLP&#10;JJh9G7Jbk377rlDwOMzMb5jlurOVuFPjS8caRkMFgjhzpuRcw/Hw+ToD4QOywcoxafglD+tVv7fE&#10;xLiW93RPQy4ihH2CGooQ6kRKnxVk0Q9dTRy9q2sshiibXJoG2wi3lXxTaiotlhwXCqzpo6Dslv5Y&#10;Dafd9XKeqO98a9/r1nVKsp1LrV8G3WYBIlAXnuH/9pfRMFY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dwLEAAAA3AAAAA8AAAAAAAAAAAAAAAAAmAIAAGRycy9k&#10;b3ducmV2LnhtbFBLBQYAAAAABAAEAPUAAACJAw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Median</w:t>
                                </w:r>
                              </w:p>
                            </w:txbxContent>
                          </v:textbox>
                        </v:shape>
                      </v:group>
                      <v:shape id="TextBox 94" o:spid="_x0000_s1104" type="#_x0000_t202" style="position:absolute;left:11306;top:1338;width:9335;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90</w:t>
                              </w:r>
                              <w:proofErr w:type="spellStart"/>
                              <w:r>
                                <w:rPr>
                                  <w:rFonts w:asciiTheme="minorHAnsi" w:hAnsi="Calibri" w:cstheme="minorBidi"/>
                                  <w:color w:val="000000" w:themeColor="text1"/>
                                  <w:kern w:val="24"/>
                                  <w:position w:val="6"/>
                                  <w:sz w:val="20"/>
                                  <w:szCs w:val="20"/>
                                  <w:vertAlign w:val="superscript"/>
                                </w:rPr>
                                <w:t>th</w:t>
                              </w:r>
                              <w:proofErr w:type="spellEnd"/>
                              <w:r>
                                <w:rPr>
                                  <w:rFonts w:asciiTheme="minorHAnsi" w:hAnsi="Calibri" w:cstheme="minorBidi"/>
                                  <w:color w:val="000000" w:themeColor="text1"/>
                                  <w:kern w:val="24"/>
                                  <w:sz w:val="20"/>
                                  <w:szCs w:val="20"/>
                                </w:rPr>
                                <w:t xml:space="preserve"> percentile</w:t>
                              </w:r>
                            </w:p>
                          </w:txbxContent>
                        </v:textbox>
                      </v:shape>
                      <v:shape id="Straight Arrow Connector 306" o:spid="_x0000_s1105" type="#_x0000_t32" style="position:absolute;left:9911;top:1602;width:2013;height:72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0ODsYAAADcAAAADwAAAGRycy9kb3ducmV2LnhtbESP3WoCMRSE7wu+QzhC72rWilpWo6gg&#10;iELBH4reHZLj7uLmZNlEXX36plDwcpiZb5jxtLGluFHtC8cKup0EBLF2puBMwWG//PgC4QOywdIx&#10;KXiQh+mk9TbG1Lg7b+m2C5mIEPYpKshDqFIpvc7Jou+4ijh6Z1dbDFHWmTQ13iPclvIzSQbSYsFx&#10;IceKFjnpy+5qFejjApfnp732e6f1/Pkz3Ojv40ap93YzG4EI1IRX+L+9Mgp6yQD+zsQjIC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9Dg7GAAAA3AAAAA8AAAAAAAAA&#10;AAAAAAAAoQIAAGRycy9kb3ducmV2LnhtbFBLBQYAAAAABAAEAPkAAACUAwAAAAA=&#10;" strokecolor="black [3213]">
                        <v:stroke endarrow="block"/>
                      </v:shape>
                      <v:shape id="Straight Arrow Connector 307" o:spid="_x0000_s1106" type="#_x0000_t32" style="position:absolute;left:8865;top:14107;width:1229;height:133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GrlccAAADcAAAADwAAAGRycy9kb3ducmV2LnhtbESPQWvCQBSE74X+h+UVvNVNK5oSs0or&#10;CKJQ0BaJt8fuMwlm34bsqqm/vlsQehxm5hsmn/e2ERfqfO1YwcswAUGsnam5VPD9tXx+A+EDssHG&#10;MSn4IQ/z2eNDjplxV97SZRdKESHsM1RQhdBmUnpdkUU/dC1x9I6usxii7EppOrxGuG3ka5JMpMWa&#10;40KFLS0q0qfd2SrQxQKXx5s9j0eH9cdtn270Z7FRavDUv09BBOrDf/jeXhkFoySFvzPxCM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sauVxwAAANwAAAAPAAAAAAAA&#10;AAAAAAAAAKECAABkcnMvZG93bnJldi54bWxQSwUGAAAAAAQABAD5AAAAlQMAAAAA&#10;" strokecolor="black [3213]">
                        <v:stroke endarrow="block"/>
                      </v:shape>
                      <v:shape id="TextBox 95" o:spid="_x0000_s1107" type="#_x0000_t202" style="position:absolute;left:7687;top:14904;width:9335;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10</w:t>
                              </w:r>
                              <w:proofErr w:type="spellStart"/>
                              <w:r>
                                <w:rPr>
                                  <w:rFonts w:asciiTheme="minorHAnsi" w:hAnsi="Calibri" w:cstheme="minorBidi"/>
                                  <w:color w:val="000000" w:themeColor="text1"/>
                                  <w:kern w:val="24"/>
                                  <w:position w:val="6"/>
                                  <w:sz w:val="20"/>
                                  <w:szCs w:val="20"/>
                                  <w:vertAlign w:val="superscript"/>
                                </w:rPr>
                                <w:t>th</w:t>
                              </w:r>
                              <w:proofErr w:type="spellEnd"/>
                              <w:r>
                                <w:rPr>
                                  <w:rFonts w:asciiTheme="minorHAnsi" w:hAnsi="Calibri" w:cstheme="minorBidi"/>
                                  <w:color w:val="000000" w:themeColor="text1"/>
                                  <w:kern w:val="24"/>
                                  <w:sz w:val="20"/>
                                  <w:szCs w:val="20"/>
                                </w:rPr>
                                <w:t xml:space="preserve"> percentile</w:t>
                              </w:r>
                            </w:p>
                          </w:txbxContent>
                        </v:textbox>
                      </v:shape>
                      <v:shape id="TextBox 103" o:spid="_x0000_s1108" type="#_x0000_t202" style="position:absolute;left:-7923;top:8104;width:19850;height:401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ZhA8IA&#10;AADcAAAADwAAAGRycy9kb3ducmV2LnhtbESPQWvCQBSE74L/YXmFXqTuWqm0qauoRfBqbO+P7DMJ&#10;zb4N2adJ/n23UOhxmJlvmPV28I26UxfrwBYWcwOKuAiu5tLC5+X49AoqCrLDJjBZGCnCdjOdrDFz&#10;oecz3XMpVYJwzNBCJdJmWseiIo9xHlri5F1D51GS7ErtOuwT3Df62ZiV9lhzWqiwpUNFxXd+8xbk&#10;Q+rgvmbmGs79y3485VH70drHh2H3DkpokP/wX/vkLCzNG/yeSUdAb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tmEDwgAAANwAAAAPAAAAAAAAAAAAAAAAAJgCAABkcnMvZG93&#10;bnJldi54bWxQSwUGAAAAAAQABAD1AAAAhwMAAAAA&#10;" filled="f" stroked="f">
                        <v:textbox>
                          <w:txbxContent>
                            <w:p w:rsidR="006B247F" w:rsidRDefault="006B247F" w:rsidP="009D1DD0">
                              <w:pPr>
                                <w:pStyle w:val="NormalWeb"/>
                                <w:spacing w:before="0" w:beforeAutospacing="0" w:after="0" w:afterAutospacing="0"/>
                                <w:jc w:val="center"/>
                              </w:pPr>
                              <w:r>
                                <w:rPr>
                                  <w:rFonts w:asciiTheme="minorHAnsi" w:hAnsi="Calibri" w:cstheme="minorBidi"/>
                                  <w:color w:val="000000" w:themeColor="text1"/>
                                  <w:kern w:val="24"/>
                                  <w:sz w:val="20"/>
                                  <w:szCs w:val="20"/>
                                </w:rPr>
                                <w:t>Energy expenditure as a share of post-tax income (%)</w:t>
                              </w:r>
                            </w:p>
                          </w:txbxContent>
                        </v:textbox>
                      </v:shape>
                      <v:shape id="TextBox 104" o:spid="_x0000_s1109" type="#_x0000_t202" style="position:absolute;left:10093;top:22466;width:23628;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rsidR="006B247F" w:rsidRDefault="006B247F" w:rsidP="009D1DD0">
                              <w:pPr>
                                <w:pStyle w:val="NormalWeb"/>
                                <w:spacing w:before="0" w:beforeAutospacing="0" w:after="0" w:afterAutospacing="0"/>
                              </w:pPr>
                              <w:r>
                                <w:rPr>
                                  <w:rFonts w:asciiTheme="minorHAnsi" w:hAnsi="Calibri" w:cstheme="minorBidi"/>
                                  <w:color w:val="000000" w:themeColor="text1"/>
                                  <w:kern w:val="24"/>
                                  <w:sz w:val="20"/>
                                  <w:szCs w:val="20"/>
                                </w:rPr>
                                <w:t>Household income (2012-13 $, before tax)</w:t>
                              </w:r>
                            </w:p>
                          </w:txbxContent>
                        </v:textbox>
                      </v:shape>
                      <w10:anchorlock/>
                    </v:group>
                  </w:pict>
                </mc:Fallback>
              </mc:AlternateContent>
            </w:r>
          </w:p>
        </w:tc>
      </w:tr>
    </w:tbl>
    <w:p w:rsidR="00EF1553" w:rsidRPr="0075282E" w:rsidRDefault="00EF1553" w:rsidP="00EF1553">
      <w:pPr>
        <w:pStyle w:val="Note"/>
        <w:rPr>
          <w:szCs w:val="18"/>
        </w:rPr>
      </w:pPr>
      <w:r>
        <w:rPr>
          <w:rStyle w:val="NoteLabel"/>
        </w:rPr>
        <w:t>a</w:t>
      </w:r>
      <w:r>
        <w:sym w:font="Symbol" w:char="F020"/>
      </w:r>
      <w:r w:rsidRPr="0075282E">
        <w:rPr>
          <w:szCs w:val="18"/>
        </w:rPr>
        <w:t xml:space="preserve"> Equivalised income quintiles take account of household size and composition in determining the values of income and spending in each quintile (ABS 2011b, p. 46ff). The ABS publishes aggregate household energy use (non-transport) on an equivalised income basis, but does not do so for domestic electricity use alone. However, both measures of energy use are available for non-equivalised household income quintiles, and these data have been used to estimate electricity usage on an equivalised basis. Note that the data for quintiles are averages. Many households in each group will be spending a greater (or lesser) share of their incomes than those shown. Higher than average spending shares are particularly relevant for the lowest income quintile. </w:t>
      </w:r>
      <w:r w:rsidR="00EF481C" w:rsidRPr="0075282E">
        <w:rPr>
          <w:rStyle w:val="NoteLabel"/>
          <w:szCs w:val="18"/>
        </w:rPr>
        <w:t>b</w:t>
      </w:r>
      <w:r w:rsidR="00EF481C" w:rsidRPr="0075282E">
        <w:rPr>
          <w:szCs w:val="18"/>
        </w:rPr>
        <w:t xml:space="preserve"> Households have a distribution of spending from high to low. Percentiles measure the spending at various points in that distribution. For the lowest income group ($14</w:t>
      </w:r>
      <w:r w:rsidR="002B187C" w:rsidRPr="0075282E">
        <w:rPr>
          <w:szCs w:val="18"/>
        </w:rPr>
        <w:t> </w:t>
      </w:r>
      <w:r w:rsidR="00EF481C" w:rsidRPr="0075282E">
        <w:rPr>
          <w:szCs w:val="18"/>
        </w:rPr>
        <w:t>000 to $20</w:t>
      </w:r>
      <w:r w:rsidR="002B187C" w:rsidRPr="0075282E">
        <w:rPr>
          <w:szCs w:val="18"/>
        </w:rPr>
        <w:t> </w:t>
      </w:r>
      <w:r w:rsidR="00EF481C" w:rsidRPr="0075282E">
        <w:rPr>
          <w:szCs w:val="18"/>
        </w:rPr>
        <w:t>000), 10</w:t>
      </w:r>
      <w:r w:rsidR="002B187C" w:rsidRPr="0075282E">
        <w:rPr>
          <w:szCs w:val="18"/>
        </w:rPr>
        <w:t> </w:t>
      </w:r>
      <w:r w:rsidR="00EF481C" w:rsidRPr="0075282E">
        <w:rPr>
          <w:szCs w:val="18"/>
        </w:rPr>
        <w:t>per</w:t>
      </w:r>
      <w:r w:rsidR="002B187C" w:rsidRPr="0075282E">
        <w:rPr>
          <w:szCs w:val="18"/>
        </w:rPr>
        <w:t> </w:t>
      </w:r>
      <w:r w:rsidR="00EF481C" w:rsidRPr="0075282E">
        <w:rPr>
          <w:szCs w:val="18"/>
        </w:rPr>
        <w:t xml:space="preserve">cent of households have </w:t>
      </w:r>
      <w:r w:rsidR="002B187C" w:rsidRPr="0075282E">
        <w:rPr>
          <w:szCs w:val="18"/>
        </w:rPr>
        <w:t>a spending level below around 4 </w:t>
      </w:r>
      <w:r w:rsidR="00EF481C" w:rsidRPr="0075282E">
        <w:rPr>
          <w:szCs w:val="18"/>
        </w:rPr>
        <w:t>per</w:t>
      </w:r>
      <w:r w:rsidR="002B187C" w:rsidRPr="0075282E">
        <w:rPr>
          <w:szCs w:val="18"/>
        </w:rPr>
        <w:t> </w:t>
      </w:r>
      <w:r w:rsidR="00EF481C" w:rsidRPr="0075282E">
        <w:rPr>
          <w:szCs w:val="18"/>
        </w:rPr>
        <w:t>cent of their household income (the 10th percentile), while 10</w:t>
      </w:r>
      <w:r w:rsidR="002B187C" w:rsidRPr="0075282E">
        <w:rPr>
          <w:szCs w:val="18"/>
        </w:rPr>
        <w:t> </w:t>
      </w:r>
      <w:r w:rsidR="00EF481C" w:rsidRPr="0075282E">
        <w:rPr>
          <w:szCs w:val="18"/>
        </w:rPr>
        <w:t>per</w:t>
      </w:r>
      <w:r w:rsidR="002B187C" w:rsidRPr="0075282E">
        <w:rPr>
          <w:szCs w:val="18"/>
        </w:rPr>
        <w:t> </w:t>
      </w:r>
      <w:r w:rsidR="00EF481C" w:rsidRPr="0075282E">
        <w:rPr>
          <w:szCs w:val="18"/>
        </w:rPr>
        <w:t>cent of households in this income group have spending above 14</w:t>
      </w:r>
      <w:r w:rsidR="002B187C" w:rsidRPr="0075282E">
        <w:rPr>
          <w:szCs w:val="18"/>
        </w:rPr>
        <w:t> </w:t>
      </w:r>
      <w:r w:rsidR="00EF481C" w:rsidRPr="0075282E">
        <w:rPr>
          <w:szCs w:val="18"/>
        </w:rPr>
        <w:t>per</w:t>
      </w:r>
      <w:r w:rsidR="002B187C" w:rsidRPr="0075282E">
        <w:rPr>
          <w:szCs w:val="18"/>
        </w:rPr>
        <w:t> </w:t>
      </w:r>
      <w:r w:rsidR="00EF481C" w:rsidRPr="0075282E">
        <w:rPr>
          <w:szCs w:val="18"/>
        </w:rPr>
        <w:t>cent of their income (the 90th percentile).</w:t>
      </w:r>
    </w:p>
    <w:p w:rsidR="00EF1553" w:rsidRDefault="00EF1553" w:rsidP="00EF1553">
      <w:pPr>
        <w:pStyle w:val="Source"/>
      </w:pPr>
      <w:r>
        <w:rPr>
          <w:i/>
        </w:rPr>
        <w:t>Data source</w:t>
      </w:r>
      <w:r w:rsidRPr="00167F06">
        <w:t xml:space="preserve">: </w:t>
      </w:r>
      <w:r>
        <w:t xml:space="preserve">ABS </w:t>
      </w:r>
      <w:r w:rsidR="002B187C">
        <w:t>(</w:t>
      </w:r>
      <w:r>
        <w:t>2011</w:t>
      </w:r>
      <w:r w:rsidR="002B187C">
        <w:t>b);</w:t>
      </w:r>
      <w:r>
        <w:t xml:space="preserve"> </w:t>
      </w:r>
      <w:r w:rsidRPr="000309B4">
        <w:rPr>
          <w:i/>
        </w:rPr>
        <w:t>Household Expenditure Survey, Australia 2009-10</w:t>
      </w:r>
      <w:r>
        <w:t>, Detailed Tables and Summary of Resu</w:t>
      </w:r>
      <w:r w:rsidR="00EF481C">
        <w:t xml:space="preserve">lts, Cat. No. 6530.0, September and </w:t>
      </w:r>
      <w:proofErr w:type="spellStart"/>
      <w:r w:rsidR="00EF481C">
        <w:t>IPART</w:t>
      </w:r>
      <w:proofErr w:type="spellEnd"/>
      <w:r w:rsidR="00EF481C">
        <w:t xml:space="preserve"> (</w:t>
      </w:r>
      <w:proofErr w:type="spellStart"/>
      <w:r w:rsidR="00EF481C">
        <w:t>2012</w:t>
      </w:r>
      <w:r w:rsidR="004B75CC">
        <w:t>a</w:t>
      </w:r>
      <w:proofErr w:type="spellEnd"/>
      <w:r w:rsidR="00EF481C">
        <w:t>, p. 13).</w:t>
      </w:r>
    </w:p>
    <w:p w:rsidR="0040782E" w:rsidRDefault="006E210A" w:rsidP="00FC3192">
      <w:pPr>
        <w:pStyle w:val="Heading2"/>
      </w:pPr>
      <w:r>
        <w:lastRenderedPageBreak/>
        <w:t>2.</w:t>
      </w:r>
      <w:r w:rsidR="00493C6B">
        <w:rPr>
          <w:noProof/>
        </w:rPr>
        <w:t>4</w:t>
      </w:r>
      <w:r w:rsidR="00561179">
        <w:tab/>
      </w:r>
      <w:r w:rsidR="0040782E">
        <w:t>Prices</w:t>
      </w:r>
      <w:r w:rsidR="006E1084">
        <w:t xml:space="preserve"> have been rising</w:t>
      </w:r>
    </w:p>
    <w:p w:rsidR="0032487A" w:rsidRDefault="003F68C2" w:rsidP="001F1E40">
      <w:pPr>
        <w:pStyle w:val="BodyText"/>
      </w:pPr>
      <w:r>
        <w:t>Concerns about rapidly rising electricity prices have been a major source of concern to governments, businesses and the general community</w:t>
      </w:r>
      <w:r w:rsidR="007B35D9">
        <w:t xml:space="preserve"> (figures 2.</w:t>
      </w:r>
      <w:r w:rsidR="00C0287F">
        <w:t>8</w:t>
      </w:r>
      <w:r w:rsidR="007B35D9">
        <w:t xml:space="preserve"> and 2.</w:t>
      </w:r>
      <w:r w:rsidR="00C0287F">
        <w:t>9</w:t>
      </w:r>
      <w:r w:rsidR="007B35D9">
        <w:t>)</w:t>
      </w:r>
      <w:r>
        <w:t xml:space="preserve">. </w:t>
      </w:r>
      <w:r w:rsidR="00100E3F" w:rsidRPr="00C77124">
        <w:t xml:space="preserve">Until the mid-2000s, Australian retail electricity prices grew at around the same rate as economy-wide inflation, but then began to rise rapidly. From June 2007 to </w:t>
      </w:r>
      <w:r w:rsidR="00100E3F">
        <w:t>June</w:t>
      </w:r>
      <w:r w:rsidR="00100E3F" w:rsidRPr="00C77124">
        <w:t> 201</w:t>
      </w:r>
      <w:r w:rsidR="00100E3F">
        <w:t>2</w:t>
      </w:r>
      <w:r w:rsidR="00100E3F" w:rsidRPr="00C77124">
        <w:t xml:space="preserve">, Australian retail electricity prices rose by around </w:t>
      </w:r>
      <w:r w:rsidR="00100E3F">
        <w:t>72.4</w:t>
      </w:r>
      <w:r w:rsidR="00100E3F" w:rsidRPr="00C77124">
        <w:t> per cent, while general inflation increased by around 14</w:t>
      </w:r>
      <w:r w:rsidR="00100E3F">
        <w:t>.5</w:t>
      </w:r>
      <w:r w:rsidR="00100E3F" w:rsidRPr="00C77124">
        <w:t> per cent</w:t>
      </w:r>
      <w:r w:rsidR="00943ACB">
        <w:t>,</w:t>
      </w:r>
      <w:r w:rsidR="00650F8A">
        <w:t xml:space="preserve"> so that real</w:t>
      </w:r>
      <w:r w:rsidR="00100E3F">
        <w:t xml:space="preserve"> electricity prices rose by around 50 per cent</w:t>
      </w:r>
      <w:r w:rsidR="00650F8A">
        <w:t>. (Box </w:t>
      </w:r>
      <w:r w:rsidR="006E210A">
        <w:t>2.1</w:t>
      </w:r>
      <w:r w:rsidR="00650F8A">
        <w:t xml:space="preserve"> explains what real</w:t>
      </w:r>
      <w:r w:rsidR="00943ACB">
        <w:t xml:space="preserve"> prices mean.)</w:t>
      </w:r>
      <w:r w:rsidR="00100E3F" w:rsidRPr="00C77124">
        <w:t xml:space="preserve"> </w:t>
      </w:r>
      <w:r w:rsidR="00650F8A">
        <w:t>Electricity prices facing businesses have also risen strongly, albeit by not the same degree.</w:t>
      </w:r>
      <w:r w:rsidR="002C5E19">
        <w:rPr>
          <w:rStyle w:val="FootnoteReference"/>
        </w:rPr>
        <w:footnoteReference w:id="17"/>
      </w:r>
    </w:p>
    <w:p w:rsidR="007B35D9" w:rsidRDefault="007B35D9" w:rsidP="007B35D9">
      <w:pPr>
        <w:pStyle w:val="FigureTitle"/>
      </w:pPr>
      <w:r>
        <w:rPr>
          <w:b w:val="0"/>
        </w:rPr>
        <w:t>Figure 2.</w:t>
      </w:r>
      <w:r w:rsidR="00493C6B">
        <w:rPr>
          <w:b w:val="0"/>
          <w:noProof/>
        </w:rPr>
        <w:t>8</w:t>
      </w:r>
      <w:r>
        <w:tab/>
        <w:t>Electricity prices</w:t>
      </w:r>
    </w:p>
    <w:p w:rsidR="007B35D9" w:rsidRDefault="007B35D9" w:rsidP="007B35D9">
      <w:pPr>
        <w:pStyle w:val="Subtitle"/>
      </w:pPr>
      <w:r>
        <w:t>September 1980 to June 2012</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4388"/>
        <w:gridCol w:w="4389"/>
      </w:tblGrid>
      <w:tr w:rsidR="007B35D9" w:rsidTr="00DD213F">
        <w:tc>
          <w:tcPr>
            <w:tcW w:w="4388" w:type="dxa"/>
          </w:tcPr>
          <w:p w:rsidR="007B35D9" w:rsidRDefault="007B35D9" w:rsidP="00DD213F">
            <w:pPr>
              <w:pStyle w:val="Figure"/>
              <w:rPr>
                <w:noProof/>
              </w:rPr>
            </w:pPr>
            <w:r w:rsidRPr="00A75B7F">
              <w:rPr>
                <w:rFonts w:ascii="Arial" w:hAnsi="Arial" w:cs="Arial"/>
                <w:noProof/>
                <w:sz w:val="20"/>
              </w:rPr>
              <w:t xml:space="preserve">Business and household </w:t>
            </w:r>
            <w:r>
              <w:rPr>
                <w:rFonts w:ascii="Arial" w:hAnsi="Arial" w:cs="Arial"/>
                <w:noProof/>
                <w:sz w:val="20"/>
              </w:rPr>
              <w:t xml:space="preserve">electricty </w:t>
            </w:r>
            <w:r w:rsidRPr="00A75B7F">
              <w:rPr>
                <w:rFonts w:ascii="Arial" w:hAnsi="Arial" w:cs="Arial"/>
                <w:noProof/>
                <w:sz w:val="20"/>
              </w:rPr>
              <w:t>prices</w:t>
            </w:r>
            <w:r w:rsidRPr="00A75B7F">
              <w:rPr>
                <w:rStyle w:val="NoteLabel"/>
              </w:rPr>
              <w:t>a</w:t>
            </w:r>
          </w:p>
        </w:tc>
        <w:tc>
          <w:tcPr>
            <w:tcW w:w="4389" w:type="dxa"/>
          </w:tcPr>
          <w:p w:rsidR="007B35D9" w:rsidRDefault="007B35D9" w:rsidP="00DD213F">
            <w:pPr>
              <w:pStyle w:val="Figure"/>
              <w:rPr>
                <w:noProof/>
              </w:rPr>
            </w:pPr>
            <w:r w:rsidRPr="00EF000B">
              <w:rPr>
                <w:rFonts w:ascii="Arial" w:hAnsi="Arial" w:cs="Arial"/>
                <w:noProof/>
                <w:sz w:val="20"/>
              </w:rPr>
              <w:t xml:space="preserve">Real household </w:t>
            </w:r>
            <w:r>
              <w:rPr>
                <w:rFonts w:ascii="Arial" w:hAnsi="Arial" w:cs="Arial"/>
                <w:noProof/>
                <w:sz w:val="20"/>
              </w:rPr>
              <w:t xml:space="preserve">electricity </w:t>
            </w:r>
            <w:r w:rsidRPr="00EF000B">
              <w:rPr>
                <w:rFonts w:ascii="Arial" w:hAnsi="Arial" w:cs="Arial"/>
                <w:noProof/>
                <w:sz w:val="20"/>
              </w:rPr>
              <w:t>prices</w:t>
            </w:r>
            <w:r w:rsidRPr="00A75B7F">
              <w:rPr>
                <w:rStyle w:val="NoteLabel"/>
              </w:rPr>
              <w:t>b</w:t>
            </w:r>
            <w:r w:rsidRPr="002A37F7">
              <w:rPr>
                <w:rFonts w:ascii="Arial" w:hAnsi="Arial" w:cs="Arial"/>
                <w:noProof/>
                <w:sz w:val="20"/>
              </w:rPr>
              <w:t xml:space="preserve"> </w:t>
            </w:r>
          </w:p>
        </w:tc>
      </w:tr>
      <w:tr w:rsidR="007B35D9" w:rsidTr="00DD213F">
        <w:tblPrEx>
          <w:tblCellMar>
            <w:left w:w="108" w:type="dxa"/>
            <w:right w:w="108" w:type="dxa"/>
          </w:tblCellMar>
        </w:tblPrEx>
        <w:tc>
          <w:tcPr>
            <w:tcW w:w="8777" w:type="dxa"/>
            <w:gridSpan w:val="2"/>
          </w:tcPr>
          <w:p w:rsidR="007B35D9" w:rsidRDefault="00696322" w:rsidP="00DD213F">
            <w:pPr>
              <w:pStyle w:val="Figure"/>
              <w:rPr>
                <w:noProof/>
              </w:rPr>
            </w:pPr>
            <w:r>
              <w:rPr>
                <w:noProof/>
              </w:rPr>
              <w:drawing>
                <wp:inline distT="0" distB="0" distL="0" distR="0" wp14:anchorId="422AFFBD">
                  <wp:extent cx="2603500" cy="2834640"/>
                  <wp:effectExtent l="0" t="0" r="6350" b="3810"/>
                  <wp:docPr id="15" name="Picture 15" descr="There are two charts on electricity prices. This first chart shows the change from September 1980 to June 2012 in electricity prices for businesses and households, compared with the general rate of inf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3500" cy="2834640"/>
                          </a:xfrm>
                          <a:prstGeom prst="rect">
                            <a:avLst/>
                          </a:prstGeom>
                          <a:noFill/>
                        </pic:spPr>
                      </pic:pic>
                    </a:graphicData>
                  </a:graphic>
                </wp:inline>
              </w:drawing>
            </w:r>
            <w:r>
              <w:rPr>
                <w:noProof/>
              </w:rPr>
              <w:drawing>
                <wp:inline distT="0" distB="0" distL="0" distR="0" wp14:anchorId="7144867D">
                  <wp:extent cx="2664460" cy="2834640"/>
                  <wp:effectExtent l="0" t="0" r="2540" b="3810"/>
                  <wp:docPr id="16" name="Picture 16" descr="This second chart is a measure of the relative price of electricity (the retail price divided by the consumer price index). The relative price fell after the mid-1980s to the 2000s, but has soared from around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4460" cy="2834640"/>
                          </a:xfrm>
                          <a:prstGeom prst="rect">
                            <a:avLst/>
                          </a:prstGeom>
                          <a:noFill/>
                        </pic:spPr>
                      </pic:pic>
                    </a:graphicData>
                  </a:graphic>
                </wp:inline>
              </w:drawing>
            </w:r>
          </w:p>
        </w:tc>
      </w:tr>
    </w:tbl>
    <w:p w:rsidR="007B35D9" w:rsidRDefault="007B35D9" w:rsidP="007B35D9">
      <w:pPr>
        <w:pStyle w:val="Note"/>
      </w:pPr>
      <w:r>
        <w:rPr>
          <w:rStyle w:val="NoteLabel"/>
        </w:rPr>
        <w:t>a</w:t>
      </w:r>
      <w:r>
        <w:sym w:font="Symbol" w:char="F020"/>
      </w:r>
      <w:r w:rsidRPr="00267A84">
        <w:t xml:space="preserve"> </w:t>
      </w:r>
      <w:r w:rsidRPr="007D4383">
        <w:t>Data are from September 198</w:t>
      </w:r>
      <w:r>
        <w:t>0</w:t>
      </w:r>
      <w:r w:rsidRPr="007D4383">
        <w:t xml:space="preserve"> to </w:t>
      </w:r>
      <w:r>
        <w:t>June</w:t>
      </w:r>
      <w:r w:rsidRPr="007D4383">
        <w:t xml:space="preserve"> 201</w:t>
      </w:r>
      <w:r>
        <w:t>2, rebased so that June 1990 =</w:t>
      </w:r>
      <w:r w:rsidR="00CB3665">
        <w:t xml:space="preserve"> </w:t>
      </w:r>
      <w:r>
        <w:t>100</w:t>
      </w:r>
      <w:r w:rsidRPr="007D4383">
        <w:t xml:space="preserve">. The data relate to all Australian electricity prices, not just those in the </w:t>
      </w:r>
      <w:proofErr w:type="spellStart"/>
      <w:r w:rsidRPr="007D4383">
        <w:t>NEM</w:t>
      </w:r>
      <w:proofErr w:type="spellEnd"/>
      <w:r w:rsidRPr="007D4383">
        <w:t>, but the trends will be similar.</w:t>
      </w:r>
      <w:r w:rsidR="00CB3665">
        <w:t xml:space="preserve"> </w:t>
      </w:r>
      <w:r>
        <w:rPr>
          <w:rStyle w:val="NoteLabel"/>
        </w:rPr>
        <w:t>b</w:t>
      </w:r>
      <w:r>
        <w:sym w:font="Symbol" w:char="F020"/>
      </w:r>
      <w:r>
        <w:t>’Real’ prices are household prices divided by the CPI average for capital cities</w:t>
      </w:r>
      <w:r w:rsidRPr="007D4383">
        <w:t>.</w:t>
      </w:r>
      <w:r>
        <w:t xml:space="preserve"> The index shows how much electricity prices have increased above inflation.</w:t>
      </w:r>
    </w:p>
    <w:p w:rsidR="007B35D9" w:rsidRDefault="007B35D9" w:rsidP="007B35D9">
      <w:pPr>
        <w:pStyle w:val="Source"/>
      </w:pPr>
      <w:r>
        <w:rPr>
          <w:i/>
        </w:rPr>
        <w:t>Data source</w:t>
      </w:r>
      <w:r w:rsidR="00CB3665">
        <w:rPr>
          <w:i/>
        </w:rPr>
        <w:t>s</w:t>
      </w:r>
      <w:r w:rsidRPr="00167F06">
        <w:t xml:space="preserve">: </w:t>
      </w:r>
      <w:r w:rsidR="00146262">
        <w:t>ABS </w:t>
      </w:r>
      <w:r w:rsidR="00E750C0">
        <w:t>(</w:t>
      </w:r>
      <w:r w:rsidR="00E750C0" w:rsidRPr="00161EEB">
        <w:t>2012</w:t>
      </w:r>
      <w:r w:rsidR="00E750C0">
        <w:t>c)</w:t>
      </w:r>
      <w:r w:rsidR="00E750C0" w:rsidRPr="00161EEB">
        <w:t xml:space="preserve">, </w:t>
      </w:r>
      <w:r w:rsidR="00E750C0" w:rsidRPr="00161EEB">
        <w:rPr>
          <w:i/>
        </w:rPr>
        <w:t xml:space="preserve">Consumer Price Index, Australia, </w:t>
      </w:r>
      <w:r w:rsidR="00E750C0">
        <w:rPr>
          <w:i/>
        </w:rPr>
        <w:t>June</w:t>
      </w:r>
      <w:r w:rsidR="00E750C0" w:rsidRPr="00161EEB">
        <w:rPr>
          <w:i/>
        </w:rPr>
        <w:t xml:space="preserve"> 2011</w:t>
      </w:r>
      <w:r w:rsidR="00E750C0">
        <w:t>, Cat.</w:t>
      </w:r>
      <w:r w:rsidR="00146262">
        <w:t> </w:t>
      </w:r>
      <w:r w:rsidR="00E750C0">
        <w:t>No.</w:t>
      </w:r>
      <w:r w:rsidR="00146262">
        <w:t> </w:t>
      </w:r>
      <w:r w:rsidR="00E750C0">
        <w:t xml:space="preserve">6401.0; </w:t>
      </w:r>
      <w:r w:rsidRPr="00161EEB">
        <w:t>ABS</w:t>
      </w:r>
      <w:r w:rsidR="00146262">
        <w:t> </w:t>
      </w:r>
      <w:r w:rsidR="00E750C0">
        <w:t>(</w:t>
      </w:r>
      <w:r w:rsidRPr="00161EEB">
        <w:t>2012</w:t>
      </w:r>
      <w:r w:rsidR="00E750C0">
        <w:t>d)</w:t>
      </w:r>
      <w:r>
        <w:t>,</w:t>
      </w:r>
      <w:r w:rsidRPr="00161EEB">
        <w:t xml:space="preserve"> </w:t>
      </w:r>
      <w:r w:rsidRPr="00161EEB">
        <w:rPr>
          <w:i/>
        </w:rPr>
        <w:t xml:space="preserve">Producer Price Indexes, Australia, </w:t>
      </w:r>
      <w:r>
        <w:rPr>
          <w:i/>
        </w:rPr>
        <w:t>June</w:t>
      </w:r>
      <w:r w:rsidRPr="00161EEB">
        <w:rPr>
          <w:i/>
        </w:rPr>
        <w:t xml:space="preserve"> 201</w:t>
      </w:r>
      <w:r>
        <w:rPr>
          <w:i/>
        </w:rPr>
        <w:t>2</w:t>
      </w:r>
      <w:r w:rsidRPr="00161EEB">
        <w:t xml:space="preserve">, Cat. No. 6427.0; </w:t>
      </w:r>
    </w:p>
    <w:p w:rsidR="001F1E40" w:rsidRDefault="00100E3F" w:rsidP="001F1E40">
      <w:pPr>
        <w:pStyle w:val="BodyText"/>
      </w:pPr>
      <w:r w:rsidRPr="00C77124">
        <w:t xml:space="preserve">Electricity </w:t>
      </w:r>
      <w:r w:rsidR="00650F8A">
        <w:t xml:space="preserve">retail </w:t>
      </w:r>
      <w:r w:rsidRPr="00C77124">
        <w:t xml:space="preserve">prices rose most strongly in </w:t>
      </w:r>
      <w:r>
        <w:t xml:space="preserve">Victoria (84 per cent) and </w:t>
      </w:r>
      <w:r w:rsidRPr="00C77124">
        <w:t xml:space="preserve">New South Wales (79 per cent) over this period, </w:t>
      </w:r>
      <w:r>
        <w:t>more than </w:t>
      </w:r>
      <w:r w:rsidRPr="00C77124">
        <w:t>10</w:t>
      </w:r>
      <w:r>
        <w:t> </w:t>
      </w:r>
      <w:r w:rsidRPr="00C77124">
        <w:t xml:space="preserve">percentage points higher than any other jurisdiction in the </w:t>
      </w:r>
      <w:proofErr w:type="spellStart"/>
      <w:r w:rsidRPr="00C77124">
        <w:t>NEM</w:t>
      </w:r>
      <w:proofErr w:type="spellEnd"/>
      <w:r w:rsidR="007B35D9">
        <w:t xml:space="preserve"> (figure 2.</w:t>
      </w:r>
      <w:r w:rsidR="00C0287F">
        <w:t>10</w:t>
      </w:r>
      <w:r w:rsidR="007B35D9">
        <w:t>)</w:t>
      </w:r>
      <w:r w:rsidRPr="00C77124">
        <w:t xml:space="preserve">. Future retail electricity prices in the </w:t>
      </w:r>
      <w:proofErr w:type="spellStart"/>
      <w:r w:rsidRPr="00C77124">
        <w:lastRenderedPageBreak/>
        <w:t>NEM</w:t>
      </w:r>
      <w:proofErr w:type="spellEnd"/>
      <w:r w:rsidRPr="00C77124">
        <w:t xml:space="preserve"> — at least partly locked in through regulatory agreements — are projected to increase by 29 per cent from 201</w:t>
      </w:r>
      <w:r>
        <w:t>0</w:t>
      </w:r>
      <w:r w:rsidR="00E750C0">
        <w:t>-</w:t>
      </w:r>
      <w:r w:rsidRPr="00C77124">
        <w:t>1</w:t>
      </w:r>
      <w:r>
        <w:t>1</w:t>
      </w:r>
      <w:r w:rsidRPr="00C77124">
        <w:t xml:space="preserve"> to 2013</w:t>
      </w:r>
      <w:r w:rsidR="00E750C0">
        <w:t>-</w:t>
      </w:r>
      <w:r w:rsidRPr="00C77124">
        <w:t>14</w:t>
      </w:r>
      <w:r>
        <w:t>.</w:t>
      </w:r>
    </w:p>
    <w:p w:rsidR="0094755F" w:rsidRDefault="0094755F">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94755F">
        <w:tc>
          <w:tcPr>
            <w:tcW w:w="8771" w:type="dxa"/>
            <w:tcBorders>
              <w:top w:val="single" w:sz="6" w:space="0" w:color="auto"/>
              <w:bottom w:val="nil"/>
            </w:tcBorders>
          </w:tcPr>
          <w:p w:rsidR="0094755F" w:rsidRDefault="0094755F" w:rsidP="0094755F">
            <w:pPr>
              <w:pStyle w:val="BoxTitle"/>
            </w:pPr>
            <w:r>
              <w:rPr>
                <w:b w:val="0"/>
              </w:rPr>
              <w:t xml:space="preserve">Box </w:t>
            </w:r>
            <w:r w:rsidR="006E210A">
              <w:rPr>
                <w:b w:val="0"/>
              </w:rPr>
              <w:t>2.</w:t>
            </w:r>
            <w:r w:rsidR="00493C6B">
              <w:rPr>
                <w:b w:val="0"/>
                <w:noProof/>
              </w:rPr>
              <w:t>1</w:t>
            </w:r>
            <w:r>
              <w:tab/>
              <w:t xml:space="preserve">What are </w:t>
            </w:r>
            <w:r w:rsidR="00BA1C37">
              <w:t xml:space="preserve">electricity </w:t>
            </w:r>
            <w:r>
              <w:t>prices?</w:t>
            </w:r>
          </w:p>
        </w:tc>
      </w:tr>
      <w:tr w:rsidR="0094755F">
        <w:trPr>
          <w:cantSplit/>
        </w:trPr>
        <w:tc>
          <w:tcPr>
            <w:tcW w:w="8771" w:type="dxa"/>
            <w:tcBorders>
              <w:top w:val="nil"/>
              <w:left w:val="single" w:sz="6" w:space="0" w:color="auto"/>
              <w:bottom w:val="nil"/>
              <w:right w:val="single" w:sz="6" w:space="0" w:color="auto"/>
            </w:tcBorders>
          </w:tcPr>
          <w:p w:rsidR="0094755F" w:rsidRDefault="0094755F" w:rsidP="0094755F">
            <w:pPr>
              <w:pStyle w:val="Box"/>
            </w:pPr>
            <w:r>
              <w:t xml:space="preserve">It is important to clarify what </w:t>
            </w:r>
            <w:r w:rsidR="00BA1C37">
              <w:t xml:space="preserve">household </w:t>
            </w:r>
            <w:r>
              <w:t xml:space="preserve">‘prices’ denote. This report uses the standard </w:t>
            </w:r>
            <w:r w:rsidR="00244A78">
              <w:t xml:space="preserve">ABS </w:t>
            </w:r>
            <w:r>
              <w:t xml:space="preserve">definitions. Unless otherwise stated, the price of electricity at any given time is the charge levied for power use by a </w:t>
            </w:r>
            <w:r w:rsidR="00BA1C37">
              <w:t>household</w:t>
            </w:r>
            <w:r>
              <w:t xml:space="preserve"> (or an index of this price), taking account of connection fees that are included in the price (ABS</w:t>
            </w:r>
            <w:r w:rsidR="00E750C0">
              <w:t> </w:t>
            </w:r>
            <w:r>
              <w:t>2011</w:t>
            </w:r>
            <w:r w:rsidR="00FA0B6D">
              <w:t>c</w:t>
            </w:r>
            <w:r>
              <w:t xml:space="preserve">, p. 64). Both concessional and standard rates are included in the ABS approach. The ABS produces series only for capital cities and the Australian total is the weighted average of these series. </w:t>
            </w:r>
            <w:r w:rsidR="00BA1C37">
              <w:t>The prices are the final retail prices, and incorporate wholesale costs (generation), network charges and retail margins, among some other costs.</w:t>
            </w:r>
          </w:p>
          <w:p w:rsidR="0094755F" w:rsidRDefault="0094755F" w:rsidP="00735377">
            <w:pPr>
              <w:pStyle w:val="Box"/>
            </w:pPr>
            <w:r>
              <w:t xml:space="preserve">While statistical agencies avoid the nomenclature, the ratio of the electricity price index to the consumer price index is sometimes referred to as the ‘real’ price of electricity. This </w:t>
            </w:r>
            <w:r w:rsidR="00FD32A0">
              <w:t xml:space="preserve">is a relative price measure, not a price per se. As it </w:t>
            </w:r>
            <w:r>
              <w:t>indicates how far electricity prices have shifted relative to prices in general</w:t>
            </w:r>
            <w:r w:rsidR="00FD32A0">
              <w:t>, it</w:t>
            </w:r>
            <w:r>
              <w:t xml:space="preserve"> identif</w:t>
            </w:r>
            <w:r w:rsidR="00FD32A0">
              <w:t xml:space="preserve">ies </w:t>
            </w:r>
            <w:r>
              <w:t xml:space="preserve">the price pressures unique to electricity. We explicitly indicate when we use </w:t>
            </w:r>
            <w:r w:rsidR="00E7090F">
              <w:t xml:space="preserve">relative or </w:t>
            </w:r>
            <w:r>
              <w:t xml:space="preserve">‘real’ prices </w:t>
            </w:r>
            <w:r w:rsidR="00E7090F">
              <w:t xml:space="preserve">to distinguish them from the conventional </w:t>
            </w:r>
            <w:r w:rsidR="00735377">
              <w:t>meaning</w:t>
            </w:r>
            <w:r w:rsidR="00E7090F">
              <w:t xml:space="preserve"> of </w:t>
            </w:r>
            <w:r>
              <w:t xml:space="preserve">prices. Note that where the percentage price increase between period t and </w:t>
            </w:r>
            <w:proofErr w:type="spellStart"/>
            <w:r>
              <w:t>t+n</w:t>
            </w:r>
            <w:proofErr w:type="spellEnd"/>
            <w:r>
              <w:t xml:space="preserve"> is </w:t>
            </w:r>
            <w:r w:rsidRPr="0094755F">
              <w:rPr>
                <w:rFonts w:ascii="Symbol" w:hAnsi="Symbol"/>
                <w:sz w:val="28"/>
                <w:szCs w:val="28"/>
              </w:rPr>
              <w:t></w:t>
            </w:r>
            <w:r w:rsidRPr="0094755F">
              <w:rPr>
                <w:vertAlign w:val="subscript"/>
              </w:rPr>
              <w:t>e</w:t>
            </w:r>
            <w:r>
              <w:t xml:space="preserve"> and the inflation rate over the same period is </w:t>
            </w:r>
            <w:r w:rsidRPr="0094755F">
              <w:rPr>
                <w:rFonts w:ascii="Symbol" w:hAnsi="Symbol"/>
                <w:sz w:val="28"/>
                <w:szCs w:val="28"/>
              </w:rPr>
              <w:t></w:t>
            </w:r>
            <w:r w:rsidRPr="0094755F">
              <w:rPr>
                <w:vertAlign w:val="subscript"/>
              </w:rPr>
              <w:t>c</w:t>
            </w:r>
            <w:r>
              <w:t>, then the relative price change is (</w:t>
            </w:r>
            <w:r w:rsidRPr="0094755F">
              <w:rPr>
                <w:rFonts w:ascii="Symbol" w:hAnsi="Symbol"/>
                <w:sz w:val="28"/>
                <w:szCs w:val="28"/>
              </w:rPr>
              <w:t></w:t>
            </w:r>
            <w:r w:rsidRPr="0094755F">
              <w:rPr>
                <w:vertAlign w:val="subscript"/>
              </w:rPr>
              <w:t>e</w:t>
            </w:r>
            <w:r w:rsidR="00F875F8">
              <w:noBreakHyphen/>
            </w:r>
            <w:r w:rsidRPr="0094755F">
              <w:rPr>
                <w:rFonts w:ascii="Symbol" w:hAnsi="Symbol"/>
                <w:sz w:val="28"/>
                <w:szCs w:val="28"/>
              </w:rPr>
              <w:t></w:t>
            </w:r>
            <w:r w:rsidRPr="0094755F">
              <w:rPr>
                <w:vertAlign w:val="subscript"/>
              </w:rPr>
              <w:t>c</w:t>
            </w:r>
            <w:r>
              <w:t>)/(1+</w:t>
            </w:r>
            <w:r w:rsidRPr="0094755F">
              <w:rPr>
                <w:rFonts w:ascii="Symbol" w:hAnsi="Symbol"/>
                <w:sz w:val="28"/>
                <w:szCs w:val="28"/>
              </w:rPr>
              <w:t></w:t>
            </w:r>
            <w:r w:rsidRPr="0094755F">
              <w:rPr>
                <w:vertAlign w:val="subscript"/>
              </w:rPr>
              <w:t>c</w:t>
            </w:r>
            <w:r>
              <w:t xml:space="preserve">). Given this complexity, it is sometimes better to give </w:t>
            </w:r>
            <w:r w:rsidR="00D6245A" w:rsidRPr="0094755F">
              <w:rPr>
                <w:rFonts w:ascii="Symbol" w:hAnsi="Symbol"/>
                <w:sz w:val="28"/>
                <w:szCs w:val="28"/>
              </w:rPr>
              <w:t></w:t>
            </w:r>
            <w:r w:rsidR="00D6245A" w:rsidRPr="0094755F">
              <w:rPr>
                <w:vertAlign w:val="subscript"/>
              </w:rPr>
              <w:t>e</w:t>
            </w:r>
            <w:r>
              <w:t xml:space="preserve"> and </w:t>
            </w:r>
            <w:r w:rsidR="00D6245A" w:rsidRPr="0094755F">
              <w:rPr>
                <w:rFonts w:ascii="Symbol" w:hAnsi="Symbol"/>
                <w:sz w:val="28"/>
                <w:szCs w:val="28"/>
              </w:rPr>
              <w:t></w:t>
            </w:r>
            <w:r w:rsidR="00D6245A" w:rsidRPr="0094755F">
              <w:rPr>
                <w:vertAlign w:val="subscript"/>
              </w:rPr>
              <w:t>c</w:t>
            </w:r>
            <w:r>
              <w:t xml:space="preserve"> as </w:t>
            </w:r>
            <w:r w:rsidR="00D6245A">
              <w:t>separate</w:t>
            </w:r>
            <w:r>
              <w:t xml:space="preserve"> </w:t>
            </w:r>
            <w:r w:rsidR="00100E3F">
              <w:t xml:space="preserve">(or at least as complementary) </w:t>
            </w:r>
            <w:r>
              <w:t>measures</w:t>
            </w:r>
            <w:r w:rsidR="00100E3F">
              <w:t xml:space="preserve">, especially </w:t>
            </w:r>
            <w:r w:rsidR="00AA23F6">
              <w:t>in cases where</w:t>
            </w:r>
            <w:r w:rsidR="00100E3F">
              <w:t xml:space="preserve"> </w:t>
            </w:r>
            <w:r w:rsidR="00AA23F6">
              <w:t>real prices may be hard to interpret</w:t>
            </w:r>
            <w:r w:rsidR="00100E3F">
              <w:t xml:space="preserve">. </w:t>
            </w:r>
            <w:r w:rsidR="00AA23F6">
              <w:t xml:space="preserve">For example, when comparing price movements </w:t>
            </w:r>
            <w:r w:rsidR="00AA23F6" w:rsidRPr="00AA23F6">
              <w:rPr>
                <w:i/>
              </w:rPr>
              <w:t>between</w:t>
            </w:r>
            <w:r w:rsidR="00AA23F6">
              <w:t xml:space="preserve"> states, real price differences will reflect both changes in electricity prices in different states and </w:t>
            </w:r>
            <w:r w:rsidR="00FD32A0">
              <w:t xml:space="preserve">changes in their separate </w:t>
            </w:r>
            <w:proofErr w:type="spellStart"/>
            <w:r w:rsidR="00FD32A0">
              <w:t>CPIs</w:t>
            </w:r>
            <w:proofErr w:type="spellEnd"/>
            <w:r w:rsidR="00AA23F6">
              <w:t>.</w:t>
            </w:r>
            <w:r w:rsidR="00BA1C37">
              <w:t xml:space="preserve"> </w:t>
            </w:r>
            <w:r w:rsidR="00FD32A0">
              <w:t>Similarly, a real producer electricity price might use an average business input price index as the denominator, which may be quite different from the CPI.</w:t>
            </w:r>
          </w:p>
          <w:p w:rsidR="00F52E02" w:rsidRDefault="00F52E02" w:rsidP="00F52E02">
            <w:pPr>
              <w:pStyle w:val="Box"/>
            </w:pPr>
            <w:proofErr w:type="spellStart"/>
            <w:r>
              <w:t>Ergon</w:t>
            </w:r>
            <w:proofErr w:type="spellEnd"/>
            <w:r>
              <w:t xml:space="preserve"> Energy pointed out some problems in interpreting retail electricity prices (sub. 8, p. 12), though these concerns are not likely to affect the broad patterns identified in the ABS data.</w:t>
            </w:r>
          </w:p>
        </w:tc>
      </w:tr>
      <w:tr w:rsidR="0094755F">
        <w:trPr>
          <w:cantSplit/>
        </w:trPr>
        <w:tc>
          <w:tcPr>
            <w:tcW w:w="8771" w:type="dxa"/>
            <w:tcBorders>
              <w:top w:val="nil"/>
              <w:left w:val="single" w:sz="6" w:space="0" w:color="auto"/>
              <w:bottom w:val="nil"/>
              <w:right w:val="single" w:sz="6" w:space="0" w:color="auto"/>
            </w:tcBorders>
          </w:tcPr>
          <w:p w:rsidR="0094755F" w:rsidRDefault="0094755F" w:rsidP="00FA0B6D">
            <w:pPr>
              <w:pStyle w:val="BoxSource"/>
            </w:pPr>
            <w:r>
              <w:rPr>
                <w:i/>
              </w:rPr>
              <w:t>Source</w:t>
            </w:r>
            <w:r w:rsidRPr="00167F06">
              <w:t xml:space="preserve">: </w:t>
            </w:r>
            <w:r w:rsidR="00D6245A">
              <w:t xml:space="preserve">ABS </w:t>
            </w:r>
            <w:r w:rsidR="0007330C">
              <w:t>(</w:t>
            </w:r>
            <w:r w:rsidR="00D6245A">
              <w:t>2011</w:t>
            </w:r>
            <w:r w:rsidR="00FA0B6D">
              <w:t>c</w:t>
            </w:r>
            <w:r w:rsidR="0007330C">
              <w:t>)</w:t>
            </w:r>
            <w:r w:rsidR="00D6245A">
              <w:t xml:space="preserve">, </w:t>
            </w:r>
            <w:r w:rsidR="00D6245A" w:rsidRPr="00D6245A">
              <w:rPr>
                <w:i/>
              </w:rPr>
              <w:t>Consumer Price Index: Concepts, Sources and Methods, Australia</w:t>
            </w:r>
            <w:r w:rsidR="00D6245A">
              <w:t>, Information Paper, Cat. No. 6461.0.</w:t>
            </w:r>
          </w:p>
        </w:tc>
      </w:tr>
      <w:tr w:rsidR="0094755F">
        <w:trPr>
          <w:cantSplit/>
        </w:trPr>
        <w:tc>
          <w:tcPr>
            <w:tcW w:w="8771" w:type="dxa"/>
            <w:tcBorders>
              <w:top w:val="nil"/>
              <w:left w:val="single" w:sz="6" w:space="0" w:color="auto"/>
              <w:bottom w:val="single" w:sz="6" w:space="0" w:color="auto"/>
              <w:right w:val="single" w:sz="6" w:space="0" w:color="auto"/>
            </w:tcBorders>
          </w:tcPr>
          <w:p w:rsidR="0094755F" w:rsidRDefault="0094755F">
            <w:pPr>
              <w:pStyle w:val="Box"/>
              <w:spacing w:before="0" w:line="120" w:lineRule="exact"/>
            </w:pPr>
          </w:p>
        </w:tc>
      </w:tr>
      <w:tr w:rsidR="0094755F">
        <w:tc>
          <w:tcPr>
            <w:tcW w:w="8771" w:type="dxa"/>
            <w:tcBorders>
              <w:top w:val="nil"/>
              <w:left w:val="nil"/>
              <w:bottom w:val="nil"/>
              <w:right w:val="nil"/>
            </w:tcBorders>
          </w:tcPr>
          <w:p w:rsidR="0094755F" w:rsidRDefault="0094755F">
            <w:pPr>
              <w:pStyle w:val="Box"/>
              <w:keepNext w:val="0"/>
              <w:spacing w:before="60" w:after="60" w:line="80" w:lineRule="exact"/>
              <w:rPr>
                <w:b/>
                <w:color w:val="FF00FF"/>
                <w:sz w:val="14"/>
              </w:rPr>
            </w:pPr>
          </w:p>
        </w:tc>
      </w:tr>
    </w:tbl>
    <w:p w:rsidR="00A9167F" w:rsidRDefault="00A9167F" w:rsidP="00A9167F">
      <w:pPr>
        <w:pStyle w:val="BodyText"/>
      </w:pPr>
      <w:r>
        <w:t xml:space="preserve"> </w:t>
      </w:r>
    </w:p>
    <w:p w:rsidR="002A37F7" w:rsidRDefault="002A37F7">
      <w:pPr>
        <w:pStyle w:val="FigureTitle"/>
      </w:pPr>
      <w:r>
        <w:rPr>
          <w:b w:val="0"/>
        </w:rPr>
        <w:lastRenderedPageBreak/>
        <w:t xml:space="preserve">Figure </w:t>
      </w:r>
      <w:r w:rsidR="006E210A">
        <w:rPr>
          <w:b w:val="0"/>
        </w:rPr>
        <w:t>2.</w:t>
      </w:r>
      <w:r w:rsidR="00493C6B">
        <w:rPr>
          <w:b w:val="0"/>
          <w:noProof/>
        </w:rPr>
        <w:t>9</w:t>
      </w:r>
      <w:r>
        <w:tab/>
      </w:r>
      <w:r w:rsidR="002646D9">
        <w:t>The pric</w:t>
      </w:r>
      <w:r w:rsidR="002A6582">
        <w:t>e explosion</w:t>
      </w:r>
    </w:p>
    <w:p w:rsidR="002A37F7" w:rsidRDefault="00D560C1">
      <w:pPr>
        <w:pStyle w:val="Subtitle"/>
      </w:pPr>
      <w:r>
        <w:t>Annual growth rates (September 1981 to June 2012)</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2A37F7" w:rsidTr="00D560C1">
        <w:tc>
          <w:tcPr>
            <w:tcW w:w="8777" w:type="dxa"/>
          </w:tcPr>
          <w:p w:rsidR="002A37F7" w:rsidRDefault="00696322">
            <w:pPr>
              <w:pStyle w:val="Figure"/>
            </w:pPr>
            <w:r>
              <w:rPr>
                <w:noProof/>
              </w:rPr>
              <w:drawing>
                <wp:inline distT="0" distB="0" distL="0" distR="0" wp14:anchorId="55481A19">
                  <wp:extent cx="5273675" cy="2847340"/>
                  <wp:effectExtent l="0" t="0" r="3175" b="0"/>
                  <wp:docPr id="17" name="Picture 17" descr="Figure 2.9 The price explosion. This figure shows the percentage points gap with overall annual inflation rate between September 1981 and September 2011, indicating a price ‘explosion’ following September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3675" cy="2847340"/>
                          </a:xfrm>
                          <a:prstGeom prst="rect">
                            <a:avLst/>
                          </a:prstGeom>
                          <a:noFill/>
                        </pic:spPr>
                      </pic:pic>
                    </a:graphicData>
                  </a:graphic>
                </wp:inline>
              </w:drawing>
            </w:r>
          </w:p>
        </w:tc>
      </w:tr>
    </w:tbl>
    <w:p w:rsidR="002A37F7" w:rsidRDefault="002A37F7">
      <w:pPr>
        <w:pStyle w:val="Source"/>
      </w:pPr>
      <w:r>
        <w:rPr>
          <w:i/>
        </w:rPr>
        <w:t>Data source</w:t>
      </w:r>
      <w:r w:rsidRPr="00167F06">
        <w:t xml:space="preserve">: </w:t>
      </w:r>
      <w:r w:rsidR="00452D36">
        <w:t>Figure 2</w:t>
      </w:r>
      <w:r w:rsidR="00452D36" w:rsidRPr="00E57A21">
        <w:t>.</w:t>
      </w:r>
      <w:r w:rsidR="00494616" w:rsidRPr="00E57A21">
        <w:t>8</w:t>
      </w:r>
      <w:r w:rsidR="00452D36" w:rsidRPr="00E57A21">
        <w:t>.</w:t>
      </w:r>
    </w:p>
    <w:p w:rsidR="00851E8F" w:rsidRDefault="00851E8F">
      <w:pPr>
        <w:pStyle w:val="FigureTitle"/>
      </w:pPr>
      <w:r>
        <w:rPr>
          <w:b w:val="0"/>
        </w:rPr>
        <w:t xml:space="preserve">Figure </w:t>
      </w:r>
      <w:r w:rsidR="006E210A">
        <w:rPr>
          <w:b w:val="0"/>
        </w:rPr>
        <w:t>2.</w:t>
      </w:r>
      <w:r w:rsidR="00493C6B">
        <w:rPr>
          <w:b w:val="0"/>
          <w:noProof/>
        </w:rPr>
        <w:t>10</w:t>
      </w:r>
      <w:r>
        <w:tab/>
      </w:r>
      <w:r w:rsidR="007F3927">
        <w:t>Relative r</w:t>
      </w:r>
      <w:r w:rsidR="004F4FB5">
        <w:t xml:space="preserve">esidential </w:t>
      </w:r>
      <w:r>
        <w:t>electricity prices</w:t>
      </w:r>
      <w:r w:rsidR="00D4030E">
        <w:t xml:space="preserve"> b</w:t>
      </w:r>
      <w:r w:rsidR="00C42D4F">
        <w:t>y</w:t>
      </w:r>
      <w:r w:rsidR="00D4030E">
        <w:t xml:space="preserve"> </w:t>
      </w:r>
      <w:proofErr w:type="spellStart"/>
      <w:r w:rsidR="00D4030E">
        <w:t>NEM</w:t>
      </w:r>
      <w:proofErr w:type="spellEnd"/>
      <w:r w:rsidR="00D4030E">
        <w:t xml:space="preserve"> jurisdiction</w:t>
      </w:r>
    </w:p>
    <w:p w:rsidR="00851E8F" w:rsidRDefault="00851E8F">
      <w:pPr>
        <w:pStyle w:val="Subtitle"/>
      </w:pPr>
      <w:r>
        <w:t xml:space="preserve">June </w:t>
      </w:r>
      <w:r w:rsidR="00C01C5E">
        <w:t>1981</w:t>
      </w:r>
      <w:r>
        <w:t xml:space="preserve"> to June 2012</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4343"/>
        <w:gridCol w:w="4434"/>
      </w:tblGrid>
      <w:tr w:rsidR="00C01C5E" w:rsidTr="00C01C5E">
        <w:tc>
          <w:tcPr>
            <w:tcW w:w="4343" w:type="dxa"/>
            <w:tcBorders>
              <w:right w:val="single" w:sz="4" w:space="0" w:color="auto"/>
            </w:tcBorders>
          </w:tcPr>
          <w:p w:rsidR="00C01C5E" w:rsidRDefault="005452B8">
            <w:pPr>
              <w:pStyle w:val="Figure"/>
            </w:pPr>
            <w:r>
              <w:rPr>
                <w:noProof/>
              </w:rPr>
              <w:drawing>
                <wp:inline distT="0" distB="0" distL="0" distR="0" wp14:anchorId="7320A13A">
                  <wp:extent cx="2676525" cy="3542030"/>
                  <wp:effectExtent l="0" t="0" r="9525" b="1270"/>
                  <wp:docPr id="18" name="Picture 18" descr="Figure 2.10 Relative residential electricity prices by NEM jurisdiction. These two charts compare the price index from June 1981 to June 2011 of Brisbane, Adelaide Hobart, Sydney, Melbourne and Canberra. Over the long run, they have all followed a similar t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6525" cy="3542030"/>
                          </a:xfrm>
                          <a:prstGeom prst="rect">
                            <a:avLst/>
                          </a:prstGeom>
                          <a:noFill/>
                        </pic:spPr>
                      </pic:pic>
                    </a:graphicData>
                  </a:graphic>
                </wp:inline>
              </w:drawing>
            </w:r>
          </w:p>
        </w:tc>
        <w:tc>
          <w:tcPr>
            <w:tcW w:w="4434" w:type="dxa"/>
            <w:tcBorders>
              <w:left w:val="single" w:sz="4" w:space="0" w:color="auto"/>
            </w:tcBorders>
          </w:tcPr>
          <w:p w:rsidR="00C01C5E" w:rsidRDefault="005452B8">
            <w:pPr>
              <w:pStyle w:val="Figure"/>
            </w:pPr>
            <w:r>
              <w:rPr>
                <w:noProof/>
              </w:rPr>
              <w:drawing>
                <wp:inline distT="0" distB="0" distL="0" distR="0" wp14:anchorId="7C275B31">
                  <wp:extent cx="2749550" cy="35725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9550" cy="3572510"/>
                          </a:xfrm>
                          <a:prstGeom prst="rect">
                            <a:avLst/>
                          </a:prstGeom>
                          <a:noFill/>
                        </pic:spPr>
                      </pic:pic>
                    </a:graphicData>
                  </a:graphic>
                </wp:inline>
              </w:drawing>
            </w:r>
          </w:p>
        </w:tc>
      </w:tr>
    </w:tbl>
    <w:p w:rsidR="00851E8F" w:rsidRDefault="00851E8F">
      <w:pPr>
        <w:pStyle w:val="Source"/>
      </w:pPr>
      <w:r>
        <w:rPr>
          <w:i/>
        </w:rPr>
        <w:t>Data source</w:t>
      </w:r>
      <w:r w:rsidRPr="00167F06">
        <w:t>:</w:t>
      </w:r>
      <w:r>
        <w:t xml:space="preserve"> </w:t>
      </w:r>
      <w:r w:rsidRPr="00161EEB">
        <w:t xml:space="preserve">ABS </w:t>
      </w:r>
      <w:r w:rsidR="00E750C0">
        <w:t>(</w:t>
      </w:r>
      <w:r w:rsidRPr="00161EEB">
        <w:t>2012</w:t>
      </w:r>
      <w:r w:rsidR="00E750C0">
        <w:t>c)</w:t>
      </w:r>
      <w:r w:rsidRPr="00161EEB">
        <w:t xml:space="preserve">, </w:t>
      </w:r>
      <w:r w:rsidRPr="00161EEB">
        <w:rPr>
          <w:i/>
        </w:rPr>
        <w:t xml:space="preserve">Consumer Price Index, Australia, </w:t>
      </w:r>
      <w:r>
        <w:rPr>
          <w:i/>
        </w:rPr>
        <w:t>June</w:t>
      </w:r>
      <w:r w:rsidRPr="00161EEB">
        <w:rPr>
          <w:i/>
        </w:rPr>
        <w:t xml:space="preserve"> 2011</w:t>
      </w:r>
      <w:r w:rsidRPr="00161EEB">
        <w:t>, Cat. No. 6401.0.</w:t>
      </w:r>
      <w:r w:rsidRPr="00167F06">
        <w:t xml:space="preserve"> </w:t>
      </w:r>
    </w:p>
    <w:p w:rsidR="00A9167F" w:rsidRDefault="00A9167F" w:rsidP="00A9167F">
      <w:pPr>
        <w:pStyle w:val="BodyText"/>
      </w:pPr>
      <w:r>
        <w:lastRenderedPageBreak/>
        <w:t>Growth rates in retail electricity prices accelerated in 2007 for Melbourne, Brisbane, Hobart and Canberra, 2008 for Sydney and in 2010 for Adelaide. In all but the last case, the regulatory determinations in force had been authorised by state-based regulators,</w:t>
      </w:r>
      <w:r>
        <w:rPr>
          <w:rStyle w:val="FootnoteReference"/>
        </w:rPr>
        <w:footnoteReference w:id="18"/>
      </w:r>
      <w:r>
        <w:t xml:space="preserve"> not the </w:t>
      </w:r>
      <w:proofErr w:type="spellStart"/>
      <w:r>
        <w:t>AER</w:t>
      </w:r>
      <w:proofErr w:type="spellEnd"/>
      <w:r>
        <w:t xml:space="preserve"> (and therefore were not encumbered by any unique flaws in chapter 6 of the Rules). While the Rules may have contributed to recent and forthcoming electricity prices, the price growth that preceded the new regulatory arrangements must originate from other sources. </w:t>
      </w:r>
    </w:p>
    <w:p w:rsidR="00A9167F" w:rsidRDefault="00A9167F" w:rsidP="00A9167F">
      <w:pPr>
        <w:pStyle w:val="BodyText"/>
      </w:pPr>
      <w:r>
        <w:t>Community concerns about electricity prices have been accentuated by their coincidence with similarly large increases in the costs of other regulated essential services — water and sewerage (69 per cent from June 2007 to June 2012) and gas and other fuels (45 per cent over the same period).</w:t>
      </w:r>
    </w:p>
    <w:p w:rsidR="007B35D9" w:rsidRDefault="007B35D9" w:rsidP="00A9167F">
      <w:pPr>
        <w:pStyle w:val="BodyText"/>
      </w:pPr>
      <w:r>
        <w:t xml:space="preserve">Many people </w:t>
      </w:r>
      <w:r w:rsidR="007F3927">
        <w:t>are unaware</w:t>
      </w:r>
      <w:r>
        <w:t xml:space="preserve"> that the </w:t>
      </w:r>
      <w:r w:rsidR="007F3927">
        <w:t xml:space="preserve">costs of </w:t>
      </w:r>
      <w:r>
        <w:t>generat</w:t>
      </w:r>
      <w:r w:rsidR="007F3927">
        <w:t xml:space="preserve">ing </w:t>
      </w:r>
      <w:r>
        <w:t xml:space="preserve">power </w:t>
      </w:r>
      <w:r w:rsidR="007F3927">
        <w:t>are</w:t>
      </w:r>
      <w:r>
        <w:t xml:space="preserve"> not the major contributor to their electricity bills. In </w:t>
      </w:r>
      <w:r w:rsidRPr="00F61A49">
        <w:t>20</w:t>
      </w:r>
      <w:r>
        <w:t>10</w:t>
      </w:r>
      <w:r w:rsidR="00E750C0">
        <w:t>-</w:t>
      </w:r>
      <w:r w:rsidRPr="00F61A49">
        <w:t>1</w:t>
      </w:r>
      <w:r>
        <w:t>1</w:t>
      </w:r>
      <w:r w:rsidRPr="00F61A49">
        <w:t>, the costs of network service</w:t>
      </w:r>
      <w:r>
        <w:t>s represented between 31 and 55 </w:t>
      </w:r>
      <w:r w:rsidRPr="00F61A49">
        <w:t>per</w:t>
      </w:r>
      <w:r w:rsidR="00E750C0">
        <w:t> </w:t>
      </w:r>
      <w:r w:rsidRPr="00F61A49">
        <w:t xml:space="preserve">cent </w:t>
      </w:r>
      <w:r>
        <w:t xml:space="preserve">of the typical annual household electricity bill across the various jurisdictions in the </w:t>
      </w:r>
      <w:proofErr w:type="spellStart"/>
      <w:r>
        <w:t>NEM</w:t>
      </w:r>
      <w:proofErr w:type="spellEnd"/>
      <w:r>
        <w:t xml:space="preserve"> (and around 45 per cent for the entire </w:t>
      </w:r>
      <w:proofErr w:type="spellStart"/>
      <w:r>
        <w:t>NEM</w:t>
      </w:r>
      <w:proofErr w:type="spellEnd"/>
      <w:r>
        <w:t>)</w:t>
      </w:r>
      <w:r w:rsidRPr="008A0B15">
        <w:t xml:space="preserve"> </w:t>
      </w:r>
      <w:r>
        <w:t>(table 2.4</w:t>
      </w:r>
      <w:r w:rsidR="00C134A7">
        <w:t xml:space="preserve">; </w:t>
      </w:r>
      <w:proofErr w:type="spellStart"/>
      <w:r>
        <w:t>AEMC</w:t>
      </w:r>
      <w:proofErr w:type="spellEnd"/>
      <w:r>
        <w:t xml:space="preserve"> </w:t>
      </w:r>
      <w:proofErr w:type="spellStart"/>
      <w:r>
        <w:t>2011</w:t>
      </w:r>
      <w:r w:rsidR="00E348CD">
        <w:t>a</w:t>
      </w:r>
      <w:proofErr w:type="spellEnd"/>
      <w:r>
        <w:t>).</w:t>
      </w:r>
      <w:r>
        <w:rPr>
          <w:rStyle w:val="FootnoteReference"/>
        </w:rPr>
        <w:footnoteReference w:id="19"/>
      </w:r>
      <w:r>
        <w:t xml:space="preserve"> This represented a household cost </w:t>
      </w:r>
      <w:r w:rsidR="007F3927">
        <w:t xml:space="preserve">for network services </w:t>
      </w:r>
      <w:r>
        <w:t xml:space="preserve">of between </w:t>
      </w:r>
      <w:r w:rsidRPr="00F61A49">
        <w:t>$</w:t>
      </w:r>
      <w:r>
        <w:t>35</w:t>
      </w:r>
      <w:r w:rsidRPr="00F61A49">
        <w:t>0 to $</w:t>
      </w:r>
      <w:r>
        <w:t>7</w:t>
      </w:r>
      <w:r w:rsidRPr="00F61A49">
        <w:t>00</w:t>
      </w:r>
      <w:r>
        <w:t xml:space="preserve"> per year.</w:t>
      </w:r>
      <w:r>
        <w:rPr>
          <w:rStyle w:val="FootnoteReference"/>
        </w:rPr>
        <w:footnoteReference w:id="20"/>
      </w:r>
      <w:r>
        <w:t xml:space="preserve"> In contrast, wholesale electricity prices </w:t>
      </w:r>
      <w:r w:rsidR="007F3927">
        <w:t xml:space="preserve">from generators </w:t>
      </w:r>
      <w:r>
        <w:t xml:space="preserve">accounted for an average share of </w:t>
      </w:r>
      <w:proofErr w:type="spellStart"/>
      <w:r>
        <w:t>NEM</w:t>
      </w:r>
      <w:proofErr w:type="spellEnd"/>
      <w:r>
        <w:t>-wide costs of around 35 per cent. The introduction of the carbon tax — which raises wholesale prices (generation costs) and retail margins — does not alter the relative importance of wholesale versus network costs to any great extent (figure 2.1</w:t>
      </w:r>
      <w:r w:rsidR="00C0287F">
        <w:t>1</w:t>
      </w:r>
      <w:r>
        <w:t>).</w:t>
      </w:r>
      <w:r>
        <w:rPr>
          <w:rStyle w:val="FootnoteReference"/>
        </w:rPr>
        <w:footnoteReference w:id="21"/>
      </w:r>
      <w:r>
        <w:t xml:space="preserve"> </w:t>
      </w:r>
    </w:p>
    <w:p w:rsidR="007B35D9" w:rsidRDefault="007B35D9" w:rsidP="007B35D9">
      <w:pPr>
        <w:pStyle w:val="BodyText"/>
      </w:pPr>
      <w:r w:rsidRPr="00C77124">
        <w:t>Apart from Victoria and the ACT, network costs have been the largest contribut</w:t>
      </w:r>
      <w:r>
        <w:t>or to price increases since 2010 (</w:t>
      </w:r>
      <w:proofErr w:type="spellStart"/>
      <w:r w:rsidRPr="00C77124">
        <w:t>AEMC</w:t>
      </w:r>
      <w:proofErr w:type="spellEnd"/>
      <w:r w:rsidRPr="00C77124">
        <w:t xml:space="preserve"> </w:t>
      </w:r>
      <w:proofErr w:type="spellStart"/>
      <w:r w:rsidRPr="00C77124">
        <w:t>2011</w:t>
      </w:r>
      <w:r w:rsidR="00E348CD">
        <w:t>a</w:t>
      </w:r>
      <w:proofErr w:type="spellEnd"/>
      <w:r w:rsidR="00C134A7">
        <w:t xml:space="preserve">; </w:t>
      </w:r>
      <w:proofErr w:type="spellStart"/>
      <w:r w:rsidR="00C134A7">
        <w:t>AER</w:t>
      </w:r>
      <w:proofErr w:type="spellEnd"/>
      <w:r w:rsidR="00C134A7">
        <w:t xml:space="preserve"> </w:t>
      </w:r>
      <w:proofErr w:type="spellStart"/>
      <w:r w:rsidR="00C134A7">
        <w:t>2011</w:t>
      </w:r>
      <w:r w:rsidR="00E125C2">
        <w:t>b</w:t>
      </w:r>
      <w:proofErr w:type="spellEnd"/>
      <w:r w:rsidR="00C134A7" w:rsidRPr="00C77124">
        <w:t>, p. 4</w:t>
      </w:r>
      <w:r w:rsidR="00C134A7" w:rsidRPr="00C77124">
        <w:noBreakHyphen/>
        <w:t>5, p. 20</w:t>
      </w:r>
      <w:r w:rsidRPr="00C77124">
        <w:t>). For example, in N</w:t>
      </w:r>
      <w:r w:rsidR="00E750C0">
        <w:t>ew </w:t>
      </w:r>
      <w:r w:rsidRPr="00C77124">
        <w:t>S</w:t>
      </w:r>
      <w:r w:rsidR="00E750C0">
        <w:t>outh </w:t>
      </w:r>
      <w:r w:rsidRPr="00C77124">
        <w:t>W</w:t>
      </w:r>
      <w:r w:rsidR="00E750C0">
        <w:t>ales</w:t>
      </w:r>
      <w:r w:rsidRPr="00C77124">
        <w:t>, net</w:t>
      </w:r>
      <w:r w:rsidR="00E750C0">
        <w:t>work costs accounted for 80 per </w:t>
      </w:r>
      <w:r w:rsidRPr="00C77124">
        <w:t>cent of the price increase in 2010</w:t>
      </w:r>
      <w:r w:rsidRPr="00C77124">
        <w:noBreakHyphen/>
        <w:t>11 and 50 per cent in 2011</w:t>
      </w:r>
      <w:r w:rsidRPr="00C77124">
        <w:noBreakHyphen/>
        <w:t>12</w:t>
      </w:r>
      <w:r>
        <w:t>. In contrast,</w:t>
      </w:r>
      <w:r w:rsidRPr="00C77124">
        <w:t xml:space="preserve"> in Victoria, changes </w:t>
      </w:r>
      <w:r>
        <w:t>to</w:t>
      </w:r>
      <w:r w:rsidRPr="00C77124">
        <w:t xml:space="preserve"> network costs had, at best, marginal impacts on electricity prices in 2011. </w:t>
      </w:r>
      <w:r>
        <w:t xml:space="preserve">The </w:t>
      </w:r>
      <w:proofErr w:type="spellStart"/>
      <w:r>
        <w:t>AEMC</w:t>
      </w:r>
      <w:proofErr w:type="spellEnd"/>
      <w:r>
        <w:t xml:space="preserve"> has forecast a similar pattern until 2013</w:t>
      </w:r>
      <w:r w:rsidR="00987960">
        <w:t>-</w:t>
      </w:r>
      <w:r>
        <w:t>14 (table 2.4).</w:t>
      </w:r>
    </w:p>
    <w:p w:rsidR="007B35D9" w:rsidRDefault="007B35D9" w:rsidP="007B35D9">
      <w:pPr>
        <w:pStyle w:val="BodyText"/>
      </w:pPr>
      <w:r>
        <w:t xml:space="preserve"> </w:t>
      </w:r>
    </w:p>
    <w:p w:rsidR="00FB1420" w:rsidRDefault="00FB1420" w:rsidP="00FB1420">
      <w:pPr>
        <w:pStyle w:val="TableTitle"/>
      </w:pPr>
      <w:r>
        <w:rPr>
          <w:b w:val="0"/>
        </w:rPr>
        <w:lastRenderedPageBreak/>
        <w:t xml:space="preserve">Table </w:t>
      </w:r>
      <w:r w:rsidR="006E210A">
        <w:rPr>
          <w:b w:val="0"/>
        </w:rPr>
        <w:t>2.</w:t>
      </w:r>
      <w:r w:rsidR="00493C6B">
        <w:rPr>
          <w:b w:val="0"/>
          <w:noProof/>
        </w:rPr>
        <w:t>4</w:t>
      </w:r>
      <w:r>
        <w:tab/>
      </w:r>
      <w:r w:rsidR="00040CE4">
        <w:t>Projected n</w:t>
      </w:r>
      <w:r>
        <w:t>etwork costs</w:t>
      </w:r>
      <w:r w:rsidR="00040CE4">
        <w:t xml:space="preserve"> 2010</w:t>
      </w:r>
      <w:r w:rsidR="00040CE4">
        <w:noBreakHyphen/>
        <w:t>11 to 2013</w:t>
      </w:r>
      <w:r w:rsidR="00040CE4">
        <w:noBreakHyphen/>
        <w:t>14</w:t>
      </w:r>
    </w:p>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4"/>
        <w:gridCol w:w="1058"/>
        <w:gridCol w:w="1029"/>
        <w:gridCol w:w="977"/>
        <w:gridCol w:w="176"/>
        <w:gridCol w:w="1007"/>
        <w:gridCol w:w="1106"/>
        <w:gridCol w:w="144"/>
        <w:gridCol w:w="1221"/>
        <w:gridCol w:w="1327"/>
      </w:tblGrid>
      <w:tr w:rsidR="00FB1420" w:rsidRPr="00FB1420" w:rsidTr="00413585">
        <w:trPr>
          <w:trHeight w:val="255"/>
        </w:trPr>
        <w:tc>
          <w:tcPr>
            <w:tcW w:w="742" w:type="dxa"/>
            <w:tcBorders>
              <w:top w:val="single" w:sz="4" w:space="0" w:color="auto"/>
            </w:tcBorders>
            <w:shd w:val="clear" w:color="auto" w:fill="auto"/>
            <w:noWrap/>
            <w:hideMark/>
          </w:tcPr>
          <w:p w:rsidR="00FB1420" w:rsidRPr="00FB1420" w:rsidRDefault="00FB1420" w:rsidP="00FB1420">
            <w:pPr>
              <w:pStyle w:val="TableColumnHeading"/>
              <w:jc w:val="left"/>
            </w:pPr>
            <w:bookmarkStart w:id="3" w:name="_GoBack" w:colFirst="0" w:colLast="6"/>
          </w:p>
        </w:tc>
        <w:tc>
          <w:tcPr>
            <w:tcW w:w="3072" w:type="dxa"/>
            <w:gridSpan w:val="3"/>
            <w:tcBorders>
              <w:top w:val="single" w:sz="4" w:space="0" w:color="auto"/>
              <w:bottom w:val="single" w:sz="4" w:space="0" w:color="auto"/>
            </w:tcBorders>
            <w:shd w:val="clear" w:color="auto" w:fill="auto"/>
            <w:noWrap/>
            <w:hideMark/>
          </w:tcPr>
          <w:p w:rsidR="00FB1420" w:rsidRPr="00FB1420" w:rsidRDefault="00FB1420" w:rsidP="00FB1420">
            <w:pPr>
              <w:pStyle w:val="TableColumnHeading"/>
            </w:pPr>
            <w:r w:rsidRPr="00FB1420">
              <w:t>Network costs</w:t>
            </w:r>
          </w:p>
        </w:tc>
        <w:tc>
          <w:tcPr>
            <w:tcW w:w="163" w:type="dxa"/>
            <w:tcBorders>
              <w:top w:val="single" w:sz="4" w:space="0" w:color="auto"/>
            </w:tcBorders>
            <w:shd w:val="clear" w:color="auto" w:fill="auto"/>
            <w:noWrap/>
          </w:tcPr>
          <w:p w:rsidR="00FB1420" w:rsidRPr="00FB1420" w:rsidRDefault="00FB1420" w:rsidP="00FB1420">
            <w:pPr>
              <w:pStyle w:val="TableColumnHeading"/>
            </w:pPr>
          </w:p>
        </w:tc>
        <w:tc>
          <w:tcPr>
            <w:tcW w:w="2119" w:type="dxa"/>
            <w:gridSpan w:val="2"/>
            <w:tcBorders>
              <w:top w:val="single" w:sz="4" w:space="0" w:color="auto"/>
              <w:bottom w:val="single" w:sz="4" w:space="0" w:color="auto"/>
            </w:tcBorders>
            <w:shd w:val="clear" w:color="auto" w:fill="auto"/>
            <w:noWrap/>
            <w:hideMark/>
          </w:tcPr>
          <w:p w:rsidR="00FB1420" w:rsidRPr="00FB1420" w:rsidRDefault="00FB1420" w:rsidP="00FB1420">
            <w:pPr>
              <w:pStyle w:val="TableColumnHeading"/>
            </w:pPr>
            <w:r w:rsidRPr="00FB1420">
              <w:t xml:space="preserve">Network share of total </w:t>
            </w:r>
            <w:r w:rsidR="004F4FB5">
              <w:t xml:space="preserve">residential </w:t>
            </w:r>
            <w:r w:rsidRPr="00FB1420">
              <w:t>electricity costs</w:t>
            </w:r>
            <w:r w:rsidRPr="00FB1420">
              <w:rPr>
                <w:rStyle w:val="NoteLabel"/>
              </w:rPr>
              <w:t>a</w:t>
            </w:r>
          </w:p>
        </w:tc>
        <w:tc>
          <w:tcPr>
            <w:tcW w:w="131" w:type="dxa"/>
            <w:tcBorders>
              <w:top w:val="single" w:sz="4" w:space="0" w:color="auto"/>
            </w:tcBorders>
            <w:shd w:val="clear" w:color="auto" w:fill="auto"/>
            <w:noWrap/>
          </w:tcPr>
          <w:p w:rsidR="00FB1420" w:rsidRPr="00FB1420" w:rsidRDefault="00FB1420" w:rsidP="00FB1420">
            <w:pPr>
              <w:pStyle w:val="TableColumnHeading"/>
            </w:pPr>
          </w:p>
        </w:tc>
        <w:tc>
          <w:tcPr>
            <w:tcW w:w="2562" w:type="dxa"/>
            <w:gridSpan w:val="2"/>
            <w:tcBorders>
              <w:top w:val="single" w:sz="4" w:space="0" w:color="auto"/>
              <w:bottom w:val="single" w:sz="4" w:space="0" w:color="auto"/>
            </w:tcBorders>
            <w:shd w:val="clear" w:color="auto" w:fill="auto"/>
            <w:noWrap/>
            <w:hideMark/>
          </w:tcPr>
          <w:p w:rsidR="00FB1420" w:rsidRPr="00FB1420" w:rsidRDefault="00FB1420" w:rsidP="00FB1420">
            <w:pPr>
              <w:pStyle w:val="TableColumnHeading"/>
              <w:ind w:right="28"/>
            </w:pPr>
            <w:r w:rsidRPr="00FB1420">
              <w:t>Contribution to price increases</w:t>
            </w:r>
            <w:r w:rsidR="003378A0">
              <w:t xml:space="preserve"> from 2010-11 to 2013-14</w:t>
            </w:r>
            <w:r>
              <w:rPr>
                <w:rStyle w:val="NoteLabel"/>
              </w:rPr>
              <w:t>b</w:t>
            </w:r>
          </w:p>
        </w:tc>
      </w:tr>
      <w:tr w:rsidR="00FB1420" w:rsidRPr="00FB1420" w:rsidTr="00413585">
        <w:trPr>
          <w:trHeight w:val="255"/>
        </w:trPr>
        <w:tc>
          <w:tcPr>
            <w:tcW w:w="742" w:type="dxa"/>
            <w:noWrap/>
            <w:hideMark/>
          </w:tcPr>
          <w:p w:rsidR="00FB1420" w:rsidRPr="00FB1420" w:rsidRDefault="00FB1420" w:rsidP="00FB1420">
            <w:pPr>
              <w:pStyle w:val="TableUnitsRow"/>
              <w:jc w:val="left"/>
            </w:pPr>
          </w:p>
        </w:tc>
        <w:tc>
          <w:tcPr>
            <w:tcW w:w="1061" w:type="dxa"/>
            <w:tcBorders>
              <w:top w:val="single" w:sz="4" w:space="0" w:color="auto"/>
              <w:bottom w:val="single" w:sz="4" w:space="0" w:color="auto"/>
            </w:tcBorders>
            <w:noWrap/>
            <w:hideMark/>
          </w:tcPr>
          <w:p w:rsidR="00FB1420" w:rsidRPr="00FB1420" w:rsidRDefault="00FB1420" w:rsidP="00FB1420">
            <w:pPr>
              <w:pStyle w:val="TableUnitsRow"/>
            </w:pPr>
            <w:r w:rsidRPr="00FB1420">
              <w:t>2010-11</w:t>
            </w:r>
          </w:p>
        </w:tc>
        <w:tc>
          <w:tcPr>
            <w:tcW w:w="1032" w:type="dxa"/>
            <w:tcBorders>
              <w:top w:val="single" w:sz="4" w:space="0" w:color="auto"/>
              <w:bottom w:val="single" w:sz="4" w:space="0" w:color="auto"/>
            </w:tcBorders>
            <w:noWrap/>
            <w:hideMark/>
          </w:tcPr>
          <w:p w:rsidR="00FB1420" w:rsidRPr="00FB1420" w:rsidRDefault="00FB1420" w:rsidP="00FB1420">
            <w:pPr>
              <w:pStyle w:val="TableUnitsRow"/>
            </w:pPr>
            <w:r w:rsidRPr="00FB1420">
              <w:t>2013-14</w:t>
            </w:r>
          </w:p>
        </w:tc>
        <w:tc>
          <w:tcPr>
            <w:tcW w:w="979" w:type="dxa"/>
            <w:tcBorders>
              <w:top w:val="single" w:sz="4" w:space="0" w:color="auto"/>
              <w:bottom w:val="single" w:sz="4" w:space="0" w:color="auto"/>
            </w:tcBorders>
            <w:noWrap/>
            <w:hideMark/>
          </w:tcPr>
          <w:p w:rsidR="00FB1420" w:rsidRPr="00FB1420" w:rsidRDefault="00FB1420" w:rsidP="0023448E">
            <w:pPr>
              <w:pStyle w:val="TableUnitsRow"/>
            </w:pPr>
            <w:r w:rsidRPr="00FB1420">
              <w:t xml:space="preserve">Increase </w:t>
            </w:r>
          </w:p>
        </w:tc>
        <w:tc>
          <w:tcPr>
            <w:tcW w:w="163" w:type="dxa"/>
            <w:noWrap/>
          </w:tcPr>
          <w:p w:rsidR="00FB1420" w:rsidRPr="00FB1420" w:rsidRDefault="00FB1420" w:rsidP="00FB1420">
            <w:pPr>
              <w:pStyle w:val="TableUnitsRow"/>
            </w:pPr>
          </w:p>
        </w:tc>
        <w:tc>
          <w:tcPr>
            <w:tcW w:w="1009" w:type="dxa"/>
            <w:tcBorders>
              <w:top w:val="single" w:sz="4" w:space="0" w:color="auto"/>
              <w:bottom w:val="single" w:sz="4" w:space="0" w:color="auto"/>
            </w:tcBorders>
            <w:noWrap/>
            <w:hideMark/>
          </w:tcPr>
          <w:p w:rsidR="00FB1420" w:rsidRPr="00FB1420" w:rsidRDefault="00FB1420" w:rsidP="00FB1420">
            <w:pPr>
              <w:pStyle w:val="TableUnitsRow"/>
            </w:pPr>
            <w:r w:rsidRPr="00FB1420">
              <w:t>2010-11</w:t>
            </w:r>
          </w:p>
        </w:tc>
        <w:tc>
          <w:tcPr>
            <w:tcW w:w="1110" w:type="dxa"/>
            <w:tcBorders>
              <w:top w:val="single" w:sz="4" w:space="0" w:color="auto"/>
              <w:bottom w:val="single" w:sz="4" w:space="0" w:color="auto"/>
            </w:tcBorders>
            <w:noWrap/>
            <w:hideMark/>
          </w:tcPr>
          <w:p w:rsidR="00FB1420" w:rsidRPr="00FB1420" w:rsidRDefault="00FB1420" w:rsidP="00FB1420">
            <w:pPr>
              <w:pStyle w:val="TableUnitsRow"/>
            </w:pPr>
            <w:r w:rsidRPr="00FB1420">
              <w:t>2013-14</w:t>
            </w:r>
          </w:p>
        </w:tc>
        <w:tc>
          <w:tcPr>
            <w:tcW w:w="131" w:type="dxa"/>
            <w:noWrap/>
          </w:tcPr>
          <w:p w:rsidR="00FB1420" w:rsidRPr="00FB1420" w:rsidRDefault="00FB1420" w:rsidP="00FB1420">
            <w:pPr>
              <w:pStyle w:val="TableUnitsRow"/>
            </w:pPr>
          </w:p>
        </w:tc>
        <w:tc>
          <w:tcPr>
            <w:tcW w:w="1227" w:type="dxa"/>
            <w:tcBorders>
              <w:top w:val="single" w:sz="4" w:space="0" w:color="auto"/>
              <w:bottom w:val="single" w:sz="4" w:space="0" w:color="auto"/>
            </w:tcBorders>
            <w:noWrap/>
            <w:hideMark/>
          </w:tcPr>
          <w:p w:rsidR="00FB1420" w:rsidRPr="00FB1420" w:rsidRDefault="00FB1420" w:rsidP="00FB1420">
            <w:pPr>
              <w:pStyle w:val="TableUnitsRow"/>
            </w:pPr>
            <w:r w:rsidRPr="00FB1420">
              <w:t>Distribution</w:t>
            </w:r>
          </w:p>
        </w:tc>
        <w:tc>
          <w:tcPr>
            <w:tcW w:w="1335" w:type="dxa"/>
            <w:tcBorders>
              <w:top w:val="single" w:sz="4" w:space="0" w:color="auto"/>
              <w:bottom w:val="single" w:sz="4" w:space="0" w:color="auto"/>
            </w:tcBorders>
            <w:noWrap/>
            <w:hideMark/>
          </w:tcPr>
          <w:p w:rsidR="00FB1420" w:rsidRPr="00FB1420" w:rsidRDefault="00FB1420" w:rsidP="00FB1420">
            <w:pPr>
              <w:pStyle w:val="TableUnitsRow"/>
              <w:ind w:right="28"/>
            </w:pPr>
            <w:r w:rsidRPr="00FB1420">
              <w:t>Transmission</w:t>
            </w:r>
          </w:p>
        </w:tc>
      </w:tr>
      <w:tr w:rsidR="00FB1420" w:rsidRPr="00FB1420" w:rsidTr="00413585">
        <w:trPr>
          <w:trHeight w:val="255"/>
        </w:trPr>
        <w:tc>
          <w:tcPr>
            <w:tcW w:w="742" w:type="dxa"/>
            <w:noWrap/>
          </w:tcPr>
          <w:p w:rsidR="00FB1420" w:rsidRPr="00FB1420" w:rsidRDefault="00FB1420" w:rsidP="008449D1">
            <w:pPr>
              <w:pStyle w:val="TableBodyText"/>
              <w:spacing w:before="40"/>
              <w:jc w:val="left"/>
            </w:pPr>
          </w:p>
        </w:tc>
        <w:tc>
          <w:tcPr>
            <w:tcW w:w="2093" w:type="dxa"/>
            <w:gridSpan w:val="2"/>
            <w:tcBorders>
              <w:top w:val="single" w:sz="4" w:space="0" w:color="auto"/>
            </w:tcBorders>
            <w:noWrap/>
          </w:tcPr>
          <w:p w:rsidR="00FB1420" w:rsidRPr="00FB1420" w:rsidRDefault="00FB1420" w:rsidP="008449D1">
            <w:pPr>
              <w:pStyle w:val="TableBodyText"/>
              <w:spacing w:before="40"/>
              <w:jc w:val="center"/>
            </w:pPr>
            <w:r>
              <w:t>Cents/kWh</w:t>
            </w:r>
          </w:p>
        </w:tc>
        <w:tc>
          <w:tcPr>
            <w:tcW w:w="979" w:type="dxa"/>
            <w:tcBorders>
              <w:top w:val="single" w:sz="4" w:space="0" w:color="auto"/>
            </w:tcBorders>
            <w:noWrap/>
          </w:tcPr>
          <w:p w:rsidR="00FB1420" w:rsidRPr="00FB1420" w:rsidRDefault="00FB1420" w:rsidP="008449D1">
            <w:pPr>
              <w:pStyle w:val="TableBodyText"/>
              <w:spacing w:before="40"/>
            </w:pPr>
            <w:r>
              <w:t>%</w:t>
            </w:r>
          </w:p>
        </w:tc>
        <w:tc>
          <w:tcPr>
            <w:tcW w:w="163" w:type="dxa"/>
            <w:tcBorders>
              <w:top w:val="single" w:sz="4" w:space="0" w:color="auto"/>
            </w:tcBorders>
            <w:noWrap/>
          </w:tcPr>
          <w:p w:rsidR="00FB1420" w:rsidRPr="00FB1420" w:rsidRDefault="00FB1420" w:rsidP="008449D1">
            <w:pPr>
              <w:pStyle w:val="TableBodyText"/>
              <w:spacing w:before="40"/>
            </w:pPr>
          </w:p>
        </w:tc>
        <w:tc>
          <w:tcPr>
            <w:tcW w:w="1009" w:type="dxa"/>
            <w:tcBorders>
              <w:top w:val="single" w:sz="4" w:space="0" w:color="auto"/>
            </w:tcBorders>
            <w:noWrap/>
          </w:tcPr>
          <w:p w:rsidR="00FB1420" w:rsidRPr="00FB1420" w:rsidRDefault="00FB1420" w:rsidP="008449D1">
            <w:pPr>
              <w:pStyle w:val="TableBodyText"/>
              <w:spacing w:before="40"/>
            </w:pPr>
            <w:r>
              <w:t>%</w:t>
            </w:r>
          </w:p>
        </w:tc>
        <w:tc>
          <w:tcPr>
            <w:tcW w:w="1110" w:type="dxa"/>
            <w:tcBorders>
              <w:top w:val="single" w:sz="4" w:space="0" w:color="auto"/>
            </w:tcBorders>
            <w:noWrap/>
          </w:tcPr>
          <w:p w:rsidR="00FB1420" w:rsidRPr="00FB1420" w:rsidRDefault="00FB1420" w:rsidP="008449D1">
            <w:pPr>
              <w:pStyle w:val="TableBodyText"/>
              <w:spacing w:before="40"/>
            </w:pPr>
            <w:r>
              <w:t>%</w:t>
            </w:r>
          </w:p>
        </w:tc>
        <w:tc>
          <w:tcPr>
            <w:tcW w:w="131" w:type="dxa"/>
            <w:tcBorders>
              <w:top w:val="single" w:sz="4" w:space="0" w:color="auto"/>
            </w:tcBorders>
            <w:noWrap/>
          </w:tcPr>
          <w:p w:rsidR="00FB1420" w:rsidRPr="00FB1420" w:rsidRDefault="00FB1420" w:rsidP="008449D1">
            <w:pPr>
              <w:pStyle w:val="TableBodyText"/>
              <w:spacing w:before="40"/>
            </w:pPr>
          </w:p>
        </w:tc>
        <w:tc>
          <w:tcPr>
            <w:tcW w:w="1227" w:type="dxa"/>
            <w:tcBorders>
              <w:top w:val="single" w:sz="4" w:space="0" w:color="auto"/>
            </w:tcBorders>
            <w:noWrap/>
          </w:tcPr>
          <w:p w:rsidR="00FB1420" w:rsidRPr="00FB1420" w:rsidRDefault="00FB1420" w:rsidP="008449D1">
            <w:pPr>
              <w:pStyle w:val="TableBodyText"/>
              <w:spacing w:before="40"/>
            </w:pPr>
            <w:r>
              <w:t>%</w:t>
            </w:r>
          </w:p>
        </w:tc>
        <w:tc>
          <w:tcPr>
            <w:tcW w:w="1335" w:type="dxa"/>
            <w:tcBorders>
              <w:top w:val="single" w:sz="4" w:space="0" w:color="auto"/>
            </w:tcBorders>
            <w:noWrap/>
          </w:tcPr>
          <w:p w:rsidR="00FB1420" w:rsidRPr="00FB1420" w:rsidRDefault="00FB1420" w:rsidP="008449D1">
            <w:pPr>
              <w:pStyle w:val="TableBodyText"/>
              <w:spacing w:before="40"/>
              <w:ind w:right="28"/>
            </w:pPr>
            <w:r>
              <w:t>%</w:t>
            </w:r>
          </w:p>
        </w:tc>
      </w:tr>
      <w:tr w:rsidR="00FB1420" w:rsidRPr="00FB1420" w:rsidTr="00413585">
        <w:trPr>
          <w:trHeight w:val="255"/>
        </w:trPr>
        <w:tc>
          <w:tcPr>
            <w:tcW w:w="742" w:type="dxa"/>
            <w:noWrap/>
            <w:hideMark/>
          </w:tcPr>
          <w:p w:rsidR="00FB1420" w:rsidRPr="00FB1420" w:rsidRDefault="00FB1420" w:rsidP="00C134A7">
            <w:pPr>
              <w:pStyle w:val="TableBodyText"/>
              <w:spacing w:before="40"/>
              <w:jc w:val="left"/>
            </w:pPr>
            <w:r w:rsidRPr="00FB1420">
              <w:t>Q</w:t>
            </w:r>
            <w:r w:rsidR="00C134A7">
              <w:t>ld</w:t>
            </w:r>
          </w:p>
        </w:tc>
        <w:tc>
          <w:tcPr>
            <w:tcW w:w="1061" w:type="dxa"/>
            <w:noWrap/>
            <w:hideMark/>
          </w:tcPr>
          <w:p w:rsidR="00FB1420" w:rsidRPr="00FB1420" w:rsidRDefault="00FB1420" w:rsidP="00124306">
            <w:pPr>
              <w:pStyle w:val="TableBodyText"/>
              <w:spacing w:before="40"/>
            </w:pPr>
            <w:r w:rsidRPr="00FB1420">
              <w:t>11.35</w:t>
            </w:r>
          </w:p>
        </w:tc>
        <w:tc>
          <w:tcPr>
            <w:tcW w:w="1032" w:type="dxa"/>
            <w:noWrap/>
            <w:hideMark/>
          </w:tcPr>
          <w:p w:rsidR="00FB1420" w:rsidRPr="00FB1420" w:rsidRDefault="00FB1420" w:rsidP="00124306">
            <w:pPr>
              <w:pStyle w:val="TableBodyText"/>
              <w:spacing w:before="40"/>
            </w:pPr>
            <w:r w:rsidRPr="00FB1420">
              <w:t>15.33</w:t>
            </w:r>
          </w:p>
        </w:tc>
        <w:tc>
          <w:tcPr>
            <w:tcW w:w="979" w:type="dxa"/>
            <w:noWrap/>
            <w:hideMark/>
          </w:tcPr>
          <w:p w:rsidR="00FB1420" w:rsidRPr="00FB1420" w:rsidRDefault="00FB1420" w:rsidP="00124306">
            <w:pPr>
              <w:pStyle w:val="TableBodyText"/>
              <w:spacing w:before="40"/>
            </w:pPr>
            <w:r w:rsidRPr="00FB1420">
              <w:t>35.1</w:t>
            </w:r>
          </w:p>
        </w:tc>
        <w:tc>
          <w:tcPr>
            <w:tcW w:w="163" w:type="dxa"/>
            <w:noWrap/>
          </w:tcPr>
          <w:p w:rsidR="00FB1420" w:rsidRPr="00FB1420" w:rsidRDefault="00FB1420" w:rsidP="00124306">
            <w:pPr>
              <w:pStyle w:val="TableBodyText"/>
              <w:spacing w:before="40"/>
            </w:pPr>
          </w:p>
        </w:tc>
        <w:tc>
          <w:tcPr>
            <w:tcW w:w="1009" w:type="dxa"/>
            <w:noWrap/>
            <w:hideMark/>
          </w:tcPr>
          <w:p w:rsidR="00FB1420" w:rsidRPr="00FB1420" w:rsidRDefault="00FB1420" w:rsidP="00124306">
            <w:pPr>
              <w:pStyle w:val="TableBodyText"/>
              <w:spacing w:before="40"/>
            </w:pPr>
            <w:r w:rsidRPr="00FB1420">
              <w:t>54.9</w:t>
            </w:r>
          </w:p>
        </w:tc>
        <w:tc>
          <w:tcPr>
            <w:tcW w:w="1110" w:type="dxa"/>
            <w:noWrap/>
            <w:hideMark/>
          </w:tcPr>
          <w:p w:rsidR="00FB1420" w:rsidRPr="00FB1420" w:rsidRDefault="00FB1420" w:rsidP="00124306">
            <w:pPr>
              <w:pStyle w:val="TableBodyText"/>
              <w:spacing w:before="40"/>
            </w:pPr>
            <w:r w:rsidRPr="00FB1420">
              <w:t>52.4</w:t>
            </w:r>
          </w:p>
        </w:tc>
        <w:tc>
          <w:tcPr>
            <w:tcW w:w="131" w:type="dxa"/>
            <w:noWrap/>
          </w:tcPr>
          <w:p w:rsidR="00FB1420" w:rsidRPr="00FB1420" w:rsidRDefault="00FB1420" w:rsidP="00124306">
            <w:pPr>
              <w:pStyle w:val="TableBodyText"/>
              <w:spacing w:before="40"/>
            </w:pPr>
          </w:p>
        </w:tc>
        <w:tc>
          <w:tcPr>
            <w:tcW w:w="1227" w:type="dxa"/>
            <w:noWrap/>
            <w:hideMark/>
          </w:tcPr>
          <w:p w:rsidR="00FB1420" w:rsidRPr="00FB1420" w:rsidRDefault="00FB1420" w:rsidP="00124306">
            <w:pPr>
              <w:pStyle w:val="TableBodyText"/>
              <w:spacing w:before="40"/>
            </w:pPr>
            <w:r w:rsidRPr="00FB1420">
              <w:t>40.3</w:t>
            </w:r>
          </w:p>
        </w:tc>
        <w:tc>
          <w:tcPr>
            <w:tcW w:w="1335" w:type="dxa"/>
            <w:noWrap/>
            <w:hideMark/>
          </w:tcPr>
          <w:p w:rsidR="00FB1420" w:rsidRPr="00FB1420" w:rsidRDefault="00FB1420" w:rsidP="00124306">
            <w:pPr>
              <w:pStyle w:val="TableBodyText"/>
              <w:spacing w:before="40"/>
              <w:ind w:right="28"/>
            </w:pPr>
            <w:r w:rsidRPr="00FB1420">
              <w:t>6.1</w:t>
            </w:r>
          </w:p>
        </w:tc>
      </w:tr>
      <w:tr w:rsidR="00FB1420" w:rsidRPr="00FB1420" w:rsidTr="00413585">
        <w:trPr>
          <w:trHeight w:val="255"/>
        </w:trPr>
        <w:tc>
          <w:tcPr>
            <w:tcW w:w="742" w:type="dxa"/>
            <w:noWrap/>
            <w:hideMark/>
          </w:tcPr>
          <w:p w:rsidR="00FB1420" w:rsidRPr="00FB1420" w:rsidRDefault="00FB1420" w:rsidP="00124306">
            <w:pPr>
              <w:pStyle w:val="TableBodyText"/>
              <w:spacing w:before="40"/>
              <w:jc w:val="left"/>
            </w:pPr>
            <w:r w:rsidRPr="00FB1420">
              <w:t>NSW</w:t>
            </w:r>
          </w:p>
        </w:tc>
        <w:tc>
          <w:tcPr>
            <w:tcW w:w="1061" w:type="dxa"/>
            <w:noWrap/>
            <w:hideMark/>
          </w:tcPr>
          <w:p w:rsidR="00FB1420" w:rsidRPr="00FB1420" w:rsidRDefault="00FB1420" w:rsidP="00124306">
            <w:pPr>
              <w:pStyle w:val="TableBodyText"/>
              <w:spacing w:before="40"/>
            </w:pPr>
            <w:r w:rsidRPr="00FB1420">
              <w:t>12.51</w:t>
            </w:r>
          </w:p>
        </w:tc>
        <w:tc>
          <w:tcPr>
            <w:tcW w:w="1032" w:type="dxa"/>
            <w:noWrap/>
            <w:hideMark/>
          </w:tcPr>
          <w:p w:rsidR="00FB1420" w:rsidRPr="00FB1420" w:rsidRDefault="00FB1420" w:rsidP="00124306">
            <w:pPr>
              <w:pStyle w:val="TableBodyText"/>
              <w:spacing w:before="40"/>
            </w:pPr>
            <w:r w:rsidRPr="00FB1420">
              <w:t>16.54</w:t>
            </w:r>
          </w:p>
        </w:tc>
        <w:tc>
          <w:tcPr>
            <w:tcW w:w="979" w:type="dxa"/>
            <w:noWrap/>
            <w:hideMark/>
          </w:tcPr>
          <w:p w:rsidR="00FB1420" w:rsidRPr="00FB1420" w:rsidRDefault="00FB1420" w:rsidP="00124306">
            <w:pPr>
              <w:pStyle w:val="TableBodyText"/>
              <w:spacing w:before="40"/>
            </w:pPr>
            <w:r w:rsidRPr="00FB1420">
              <w:t>32.2</w:t>
            </w:r>
          </w:p>
        </w:tc>
        <w:tc>
          <w:tcPr>
            <w:tcW w:w="163" w:type="dxa"/>
            <w:noWrap/>
          </w:tcPr>
          <w:p w:rsidR="00FB1420" w:rsidRPr="00FB1420" w:rsidRDefault="00FB1420" w:rsidP="00124306">
            <w:pPr>
              <w:pStyle w:val="TableBodyText"/>
              <w:spacing w:before="40"/>
            </w:pPr>
          </w:p>
        </w:tc>
        <w:tc>
          <w:tcPr>
            <w:tcW w:w="1009" w:type="dxa"/>
            <w:noWrap/>
            <w:hideMark/>
          </w:tcPr>
          <w:p w:rsidR="00FB1420" w:rsidRPr="00FB1420" w:rsidRDefault="00FB1420" w:rsidP="00124306">
            <w:pPr>
              <w:pStyle w:val="TableBodyText"/>
              <w:spacing w:before="40"/>
            </w:pPr>
            <w:r w:rsidRPr="00FB1420">
              <w:t>55.0</w:t>
            </w:r>
          </w:p>
        </w:tc>
        <w:tc>
          <w:tcPr>
            <w:tcW w:w="1110" w:type="dxa"/>
            <w:noWrap/>
            <w:hideMark/>
          </w:tcPr>
          <w:p w:rsidR="00FB1420" w:rsidRPr="00FB1420" w:rsidRDefault="00FB1420" w:rsidP="00124306">
            <w:pPr>
              <w:pStyle w:val="TableBodyText"/>
              <w:spacing w:before="40"/>
            </w:pPr>
            <w:r w:rsidRPr="00FB1420">
              <w:t>51.3</w:t>
            </w:r>
          </w:p>
        </w:tc>
        <w:tc>
          <w:tcPr>
            <w:tcW w:w="131" w:type="dxa"/>
            <w:noWrap/>
          </w:tcPr>
          <w:p w:rsidR="00FB1420" w:rsidRPr="00FB1420" w:rsidRDefault="00FB1420" w:rsidP="00124306">
            <w:pPr>
              <w:pStyle w:val="TableBodyText"/>
              <w:spacing w:before="40"/>
            </w:pPr>
          </w:p>
        </w:tc>
        <w:tc>
          <w:tcPr>
            <w:tcW w:w="1227" w:type="dxa"/>
            <w:noWrap/>
            <w:hideMark/>
          </w:tcPr>
          <w:p w:rsidR="00FB1420" w:rsidRPr="00FB1420" w:rsidRDefault="00FB1420" w:rsidP="00124306">
            <w:pPr>
              <w:pStyle w:val="TableBodyText"/>
              <w:spacing w:before="40"/>
            </w:pPr>
            <w:r w:rsidRPr="00FB1420">
              <w:t>36.2</w:t>
            </w:r>
          </w:p>
        </w:tc>
        <w:tc>
          <w:tcPr>
            <w:tcW w:w="1335" w:type="dxa"/>
            <w:noWrap/>
            <w:hideMark/>
          </w:tcPr>
          <w:p w:rsidR="00FB1420" w:rsidRPr="00FB1420" w:rsidRDefault="00FB1420" w:rsidP="00124306">
            <w:pPr>
              <w:pStyle w:val="TableBodyText"/>
              <w:spacing w:before="40"/>
              <w:ind w:right="28"/>
            </w:pPr>
            <w:r w:rsidRPr="00FB1420">
              <w:t>6.2</w:t>
            </w:r>
          </w:p>
        </w:tc>
      </w:tr>
      <w:tr w:rsidR="00FB1420" w:rsidRPr="00FB1420" w:rsidTr="00413585">
        <w:trPr>
          <w:trHeight w:val="255"/>
        </w:trPr>
        <w:tc>
          <w:tcPr>
            <w:tcW w:w="742" w:type="dxa"/>
            <w:noWrap/>
            <w:hideMark/>
          </w:tcPr>
          <w:p w:rsidR="00FB1420" w:rsidRPr="00FB1420" w:rsidRDefault="00FB1420" w:rsidP="00124306">
            <w:pPr>
              <w:pStyle w:val="TableBodyText"/>
              <w:spacing w:before="40"/>
              <w:jc w:val="left"/>
            </w:pPr>
            <w:r w:rsidRPr="00FB1420">
              <w:t>ACT</w:t>
            </w:r>
          </w:p>
        </w:tc>
        <w:tc>
          <w:tcPr>
            <w:tcW w:w="1061" w:type="dxa"/>
            <w:noWrap/>
            <w:hideMark/>
          </w:tcPr>
          <w:p w:rsidR="00FB1420" w:rsidRPr="00FB1420" w:rsidRDefault="00FB1420" w:rsidP="00124306">
            <w:pPr>
              <w:pStyle w:val="TableBodyText"/>
              <w:spacing w:before="40"/>
            </w:pPr>
            <w:r w:rsidRPr="00FB1420">
              <w:t>7.11</w:t>
            </w:r>
          </w:p>
        </w:tc>
        <w:tc>
          <w:tcPr>
            <w:tcW w:w="1032" w:type="dxa"/>
            <w:noWrap/>
            <w:hideMark/>
          </w:tcPr>
          <w:p w:rsidR="00FB1420" w:rsidRPr="00FB1420" w:rsidRDefault="00FB1420" w:rsidP="00124306">
            <w:pPr>
              <w:pStyle w:val="TableBodyText"/>
              <w:spacing w:before="40"/>
            </w:pPr>
            <w:r w:rsidRPr="00FB1420">
              <w:t>8.48</w:t>
            </w:r>
          </w:p>
        </w:tc>
        <w:tc>
          <w:tcPr>
            <w:tcW w:w="979" w:type="dxa"/>
            <w:noWrap/>
            <w:hideMark/>
          </w:tcPr>
          <w:p w:rsidR="00FB1420" w:rsidRPr="00FB1420" w:rsidRDefault="00FB1420" w:rsidP="00124306">
            <w:pPr>
              <w:pStyle w:val="TableBodyText"/>
              <w:spacing w:before="40"/>
            </w:pPr>
            <w:r w:rsidRPr="00FB1420">
              <w:t>19.3</w:t>
            </w:r>
          </w:p>
        </w:tc>
        <w:tc>
          <w:tcPr>
            <w:tcW w:w="163" w:type="dxa"/>
            <w:noWrap/>
          </w:tcPr>
          <w:p w:rsidR="00FB1420" w:rsidRPr="00FB1420" w:rsidRDefault="00FB1420" w:rsidP="00124306">
            <w:pPr>
              <w:pStyle w:val="TableBodyText"/>
              <w:spacing w:before="40"/>
            </w:pPr>
          </w:p>
        </w:tc>
        <w:tc>
          <w:tcPr>
            <w:tcW w:w="1009" w:type="dxa"/>
            <w:noWrap/>
            <w:hideMark/>
          </w:tcPr>
          <w:p w:rsidR="00FB1420" w:rsidRPr="00FB1420" w:rsidRDefault="00FB1420" w:rsidP="00124306">
            <w:pPr>
              <w:pStyle w:val="TableBodyText"/>
              <w:spacing w:before="40"/>
            </w:pPr>
            <w:r w:rsidRPr="00FB1420">
              <w:t>43.9</w:t>
            </w:r>
          </w:p>
        </w:tc>
        <w:tc>
          <w:tcPr>
            <w:tcW w:w="1110" w:type="dxa"/>
            <w:noWrap/>
            <w:hideMark/>
          </w:tcPr>
          <w:p w:rsidR="00FB1420" w:rsidRPr="00FB1420" w:rsidRDefault="00FB1420" w:rsidP="00124306">
            <w:pPr>
              <w:pStyle w:val="TableBodyText"/>
              <w:spacing w:before="40"/>
            </w:pPr>
            <w:r w:rsidRPr="00FB1420">
              <w:t>37.0</w:t>
            </w:r>
          </w:p>
        </w:tc>
        <w:tc>
          <w:tcPr>
            <w:tcW w:w="131" w:type="dxa"/>
            <w:noWrap/>
          </w:tcPr>
          <w:p w:rsidR="00FB1420" w:rsidRPr="00FB1420" w:rsidRDefault="00FB1420" w:rsidP="00124306">
            <w:pPr>
              <w:pStyle w:val="TableBodyText"/>
              <w:spacing w:before="40"/>
            </w:pPr>
          </w:p>
        </w:tc>
        <w:tc>
          <w:tcPr>
            <w:tcW w:w="1227" w:type="dxa"/>
            <w:noWrap/>
            <w:hideMark/>
          </w:tcPr>
          <w:p w:rsidR="00FB1420" w:rsidRPr="00FB1420" w:rsidRDefault="00FB1420" w:rsidP="00124306">
            <w:pPr>
              <w:pStyle w:val="TableBodyText"/>
              <w:spacing w:before="40"/>
            </w:pPr>
            <w:r w:rsidRPr="00FB1420">
              <w:t>14.2</w:t>
            </w:r>
          </w:p>
        </w:tc>
        <w:tc>
          <w:tcPr>
            <w:tcW w:w="1335" w:type="dxa"/>
            <w:noWrap/>
            <w:hideMark/>
          </w:tcPr>
          <w:p w:rsidR="00FB1420" w:rsidRPr="00FB1420" w:rsidRDefault="00FB1420" w:rsidP="00124306">
            <w:pPr>
              <w:pStyle w:val="TableBodyText"/>
              <w:spacing w:before="40"/>
              <w:ind w:right="28"/>
            </w:pPr>
            <w:r w:rsidRPr="00FB1420">
              <w:t>6.1</w:t>
            </w:r>
          </w:p>
        </w:tc>
      </w:tr>
      <w:tr w:rsidR="00FB1420" w:rsidRPr="00FB1420" w:rsidTr="00413585">
        <w:trPr>
          <w:trHeight w:val="255"/>
        </w:trPr>
        <w:tc>
          <w:tcPr>
            <w:tcW w:w="742" w:type="dxa"/>
            <w:noWrap/>
            <w:hideMark/>
          </w:tcPr>
          <w:p w:rsidR="00FB1420" w:rsidRPr="00FB1420" w:rsidRDefault="00C134A7" w:rsidP="00124306">
            <w:pPr>
              <w:pStyle w:val="TableBodyText"/>
              <w:spacing w:before="40"/>
              <w:jc w:val="left"/>
            </w:pPr>
            <w:r>
              <w:t>Vic</w:t>
            </w:r>
          </w:p>
        </w:tc>
        <w:tc>
          <w:tcPr>
            <w:tcW w:w="1061" w:type="dxa"/>
            <w:noWrap/>
            <w:hideMark/>
          </w:tcPr>
          <w:p w:rsidR="00FB1420" w:rsidRPr="00FB1420" w:rsidRDefault="00FB1420" w:rsidP="00124306">
            <w:pPr>
              <w:pStyle w:val="TableBodyText"/>
              <w:spacing w:before="40"/>
            </w:pPr>
            <w:r w:rsidRPr="00FB1420">
              <w:t>7.09</w:t>
            </w:r>
          </w:p>
        </w:tc>
        <w:tc>
          <w:tcPr>
            <w:tcW w:w="1032" w:type="dxa"/>
            <w:noWrap/>
            <w:hideMark/>
          </w:tcPr>
          <w:p w:rsidR="00FB1420" w:rsidRPr="00FB1420" w:rsidRDefault="00FB1420" w:rsidP="00124306">
            <w:pPr>
              <w:pStyle w:val="TableBodyText"/>
              <w:spacing w:before="40"/>
            </w:pPr>
            <w:r w:rsidRPr="00FB1420">
              <w:t>8.23</w:t>
            </w:r>
          </w:p>
        </w:tc>
        <w:tc>
          <w:tcPr>
            <w:tcW w:w="979" w:type="dxa"/>
            <w:noWrap/>
            <w:hideMark/>
          </w:tcPr>
          <w:p w:rsidR="00FB1420" w:rsidRPr="00FB1420" w:rsidRDefault="00FB1420" w:rsidP="00124306">
            <w:pPr>
              <w:pStyle w:val="TableBodyText"/>
              <w:spacing w:before="40"/>
            </w:pPr>
            <w:r w:rsidRPr="00FB1420">
              <w:t>16.1</w:t>
            </w:r>
          </w:p>
        </w:tc>
        <w:tc>
          <w:tcPr>
            <w:tcW w:w="163" w:type="dxa"/>
            <w:noWrap/>
          </w:tcPr>
          <w:p w:rsidR="00FB1420" w:rsidRPr="00FB1420" w:rsidRDefault="00FB1420" w:rsidP="00124306">
            <w:pPr>
              <w:pStyle w:val="TableBodyText"/>
              <w:spacing w:before="40"/>
            </w:pPr>
          </w:p>
        </w:tc>
        <w:tc>
          <w:tcPr>
            <w:tcW w:w="1009" w:type="dxa"/>
            <w:noWrap/>
            <w:hideMark/>
          </w:tcPr>
          <w:p w:rsidR="00FB1420" w:rsidRPr="00FB1420" w:rsidRDefault="00FB1420" w:rsidP="00124306">
            <w:pPr>
              <w:pStyle w:val="TableBodyText"/>
              <w:spacing w:before="40"/>
            </w:pPr>
            <w:r w:rsidRPr="00FB1420">
              <w:t>31.0</w:t>
            </w:r>
          </w:p>
        </w:tc>
        <w:tc>
          <w:tcPr>
            <w:tcW w:w="1110" w:type="dxa"/>
            <w:noWrap/>
            <w:hideMark/>
          </w:tcPr>
          <w:p w:rsidR="00FB1420" w:rsidRPr="00FB1420" w:rsidRDefault="00FB1420" w:rsidP="00124306">
            <w:pPr>
              <w:pStyle w:val="TableBodyText"/>
              <w:spacing w:before="40"/>
            </w:pPr>
            <w:r w:rsidRPr="00FB1420">
              <w:t>27.1</w:t>
            </w:r>
          </w:p>
        </w:tc>
        <w:tc>
          <w:tcPr>
            <w:tcW w:w="131" w:type="dxa"/>
            <w:noWrap/>
          </w:tcPr>
          <w:p w:rsidR="00FB1420" w:rsidRPr="00FB1420" w:rsidRDefault="00FB1420" w:rsidP="00124306">
            <w:pPr>
              <w:pStyle w:val="TableBodyText"/>
              <w:spacing w:before="40"/>
            </w:pPr>
          </w:p>
        </w:tc>
        <w:tc>
          <w:tcPr>
            <w:tcW w:w="1227" w:type="dxa"/>
            <w:noWrap/>
            <w:hideMark/>
          </w:tcPr>
          <w:p w:rsidR="00FB1420" w:rsidRPr="00FB1420" w:rsidRDefault="00FB1420" w:rsidP="00124306">
            <w:pPr>
              <w:pStyle w:val="TableBodyText"/>
              <w:spacing w:before="40"/>
            </w:pPr>
            <w:r w:rsidRPr="00FB1420">
              <w:t>15.3</w:t>
            </w:r>
          </w:p>
        </w:tc>
        <w:tc>
          <w:tcPr>
            <w:tcW w:w="1335" w:type="dxa"/>
            <w:noWrap/>
            <w:hideMark/>
          </w:tcPr>
          <w:p w:rsidR="00FB1420" w:rsidRPr="00FB1420" w:rsidRDefault="00FB1420" w:rsidP="00124306">
            <w:pPr>
              <w:pStyle w:val="TableBodyText"/>
              <w:spacing w:before="40"/>
              <w:ind w:right="28"/>
            </w:pPr>
            <w:r w:rsidRPr="00FB1420">
              <w:t>0.0</w:t>
            </w:r>
          </w:p>
        </w:tc>
      </w:tr>
      <w:tr w:rsidR="00FB1420" w:rsidRPr="00FB1420" w:rsidTr="00413585">
        <w:trPr>
          <w:trHeight w:val="255"/>
        </w:trPr>
        <w:tc>
          <w:tcPr>
            <w:tcW w:w="742" w:type="dxa"/>
            <w:noWrap/>
            <w:hideMark/>
          </w:tcPr>
          <w:p w:rsidR="00FB1420" w:rsidRPr="00FB1420" w:rsidRDefault="00FB1420" w:rsidP="00124306">
            <w:pPr>
              <w:pStyle w:val="TableBodyText"/>
              <w:spacing w:before="40"/>
              <w:jc w:val="left"/>
            </w:pPr>
            <w:r w:rsidRPr="00FB1420">
              <w:t>SA</w:t>
            </w:r>
          </w:p>
        </w:tc>
        <w:tc>
          <w:tcPr>
            <w:tcW w:w="1061" w:type="dxa"/>
            <w:noWrap/>
            <w:hideMark/>
          </w:tcPr>
          <w:p w:rsidR="00FB1420" w:rsidRPr="00FB1420" w:rsidRDefault="00FB1420" w:rsidP="00124306">
            <w:pPr>
              <w:pStyle w:val="TableBodyText"/>
              <w:spacing w:before="40"/>
            </w:pPr>
            <w:r w:rsidRPr="00FB1420">
              <w:t>10.67</w:t>
            </w:r>
          </w:p>
        </w:tc>
        <w:tc>
          <w:tcPr>
            <w:tcW w:w="1032" w:type="dxa"/>
            <w:noWrap/>
            <w:hideMark/>
          </w:tcPr>
          <w:p w:rsidR="00FB1420" w:rsidRPr="00FB1420" w:rsidRDefault="00FB1420" w:rsidP="00124306">
            <w:pPr>
              <w:pStyle w:val="TableBodyText"/>
              <w:spacing w:before="40"/>
            </w:pPr>
            <w:r w:rsidRPr="00FB1420">
              <w:t>15.06</w:t>
            </w:r>
          </w:p>
        </w:tc>
        <w:tc>
          <w:tcPr>
            <w:tcW w:w="979" w:type="dxa"/>
            <w:noWrap/>
            <w:hideMark/>
          </w:tcPr>
          <w:p w:rsidR="00FB1420" w:rsidRPr="00FB1420" w:rsidRDefault="00FB1420" w:rsidP="00124306">
            <w:pPr>
              <w:pStyle w:val="TableBodyText"/>
              <w:spacing w:before="40"/>
            </w:pPr>
            <w:r w:rsidRPr="00FB1420">
              <w:t>41.1</w:t>
            </w:r>
          </w:p>
        </w:tc>
        <w:tc>
          <w:tcPr>
            <w:tcW w:w="163" w:type="dxa"/>
            <w:noWrap/>
          </w:tcPr>
          <w:p w:rsidR="00FB1420" w:rsidRPr="00FB1420" w:rsidRDefault="00FB1420" w:rsidP="00124306">
            <w:pPr>
              <w:pStyle w:val="TableBodyText"/>
              <w:spacing w:before="40"/>
            </w:pPr>
          </w:p>
        </w:tc>
        <w:tc>
          <w:tcPr>
            <w:tcW w:w="1009" w:type="dxa"/>
            <w:noWrap/>
            <w:hideMark/>
          </w:tcPr>
          <w:p w:rsidR="00FB1420" w:rsidRPr="00FB1420" w:rsidRDefault="00FB1420" w:rsidP="00124306">
            <w:pPr>
              <w:pStyle w:val="TableBodyText"/>
              <w:spacing w:before="40"/>
            </w:pPr>
            <w:r w:rsidRPr="00FB1420">
              <w:t>44.5</w:t>
            </w:r>
          </w:p>
        </w:tc>
        <w:tc>
          <w:tcPr>
            <w:tcW w:w="1110" w:type="dxa"/>
            <w:noWrap/>
            <w:hideMark/>
          </w:tcPr>
          <w:p w:rsidR="00FB1420" w:rsidRPr="00FB1420" w:rsidRDefault="00FB1420" w:rsidP="00124306">
            <w:pPr>
              <w:pStyle w:val="TableBodyText"/>
              <w:spacing w:before="40"/>
            </w:pPr>
            <w:r w:rsidRPr="00FB1420">
              <w:t>46.2</w:t>
            </w:r>
          </w:p>
        </w:tc>
        <w:tc>
          <w:tcPr>
            <w:tcW w:w="131" w:type="dxa"/>
            <w:noWrap/>
          </w:tcPr>
          <w:p w:rsidR="00FB1420" w:rsidRPr="00FB1420" w:rsidRDefault="00FB1420" w:rsidP="00124306">
            <w:pPr>
              <w:pStyle w:val="TableBodyText"/>
              <w:spacing w:before="40"/>
            </w:pPr>
          </w:p>
        </w:tc>
        <w:tc>
          <w:tcPr>
            <w:tcW w:w="1227" w:type="dxa"/>
            <w:noWrap/>
            <w:hideMark/>
          </w:tcPr>
          <w:p w:rsidR="00FB1420" w:rsidRPr="00FB1420" w:rsidRDefault="00FB1420" w:rsidP="00124306">
            <w:pPr>
              <w:pStyle w:val="TableBodyText"/>
              <w:spacing w:before="40"/>
            </w:pPr>
            <w:r w:rsidRPr="00FB1420">
              <w:t>40.3</w:t>
            </w:r>
          </w:p>
        </w:tc>
        <w:tc>
          <w:tcPr>
            <w:tcW w:w="1335" w:type="dxa"/>
            <w:noWrap/>
            <w:hideMark/>
          </w:tcPr>
          <w:p w:rsidR="00FB1420" w:rsidRPr="00FB1420" w:rsidRDefault="00FB1420" w:rsidP="00124306">
            <w:pPr>
              <w:pStyle w:val="TableBodyText"/>
              <w:spacing w:before="40"/>
              <w:ind w:right="28"/>
            </w:pPr>
            <w:r w:rsidRPr="00FB1420">
              <w:t>10.8</w:t>
            </w:r>
          </w:p>
        </w:tc>
      </w:tr>
      <w:tr w:rsidR="00FB1420" w:rsidRPr="00FB1420" w:rsidTr="00413585">
        <w:trPr>
          <w:trHeight w:val="255"/>
        </w:trPr>
        <w:tc>
          <w:tcPr>
            <w:tcW w:w="742" w:type="dxa"/>
            <w:noWrap/>
            <w:hideMark/>
          </w:tcPr>
          <w:p w:rsidR="00FB1420" w:rsidRPr="00FB1420" w:rsidRDefault="00C134A7" w:rsidP="00124306">
            <w:pPr>
              <w:pStyle w:val="TableBodyText"/>
              <w:spacing w:before="40"/>
              <w:jc w:val="left"/>
            </w:pPr>
            <w:proofErr w:type="spellStart"/>
            <w:r>
              <w:t>Tas</w:t>
            </w:r>
            <w:proofErr w:type="spellEnd"/>
          </w:p>
        </w:tc>
        <w:tc>
          <w:tcPr>
            <w:tcW w:w="1061" w:type="dxa"/>
            <w:noWrap/>
            <w:hideMark/>
          </w:tcPr>
          <w:p w:rsidR="00FB1420" w:rsidRPr="00FB1420" w:rsidRDefault="00FB1420" w:rsidP="00124306">
            <w:pPr>
              <w:pStyle w:val="TableBodyText"/>
              <w:spacing w:before="40"/>
            </w:pPr>
            <w:r w:rsidRPr="00FB1420">
              <w:t>9.94</w:t>
            </w:r>
          </w:p>
        </w:tc>
        <w:tc>
          <w:tcPr>
            <w:tcW w:w="1032" w:type="dxa"/>
            <w:noWrap/>
            <w:hideMark/>
          </w:tcPr>
          <w:p w:rsidR="00FB1420" w:rsidRPr="00FB1420" w:rsidRDefault="00FB1420" w:rsidP="00124306">
            <w:pPr>
              <w:pStyle w:val="TableBodyText"/>
              <w:spacing w:before="40"/>
            </w:pPr>
            <w:r w:rsidRPr="00FB1420">
              <w:t>11.91</w:t>
            </w:r>
          </w:p>
        </w:tc>
        <w:tc>
          <w:tcPr>
            <w:tcW w:w="979" w:type="dxa"/>
            <w:noWrap/>
            <w:hideMark/>
          </w:tcPr>
          <w:p w:rsidR="00FB1420" w:rsidRPr="00FB1420" w:rsidRDefault="00FB1420" w:rsidP="00124306">
            <w:pPr>
              <w:pStyle w:val="TableBodyText"/>
              <w:spacing w:before="40"/>
            </w:pPr>
            <w:r w:rsidRPr="00FB1420">
              <w:t>19.8</w:t>
            </w:r>
          </w:p>
        </w:tc>
        <w:tc>
          <w:tcPr>
            <w:tcW w:w="163" w:type="dxa"/>
            <w:noWrap/>
          </w:tcPr>
          <w:p w:rsidR="00FB1420" w:rsidRPr="00FB1420" w:rsidRDefault="00FB1420" w:rsidP="00124306">
            <w:pPr>
              <w:pStyle w:val="TableBodyText"/>
              <w:spacing w:before="40"/>
            </w:pPr>
          </w:p>
        </w:tc>
        <w:tc>
          <w:tcPr>
            <w:tcW w:w="1009" w:type="dxa"/>
            <w:noWrap/>
            <w:hideMark/>
          </w:tcPr>
          <w:p w:rsidR="00FB1420" w:rsidRPr="00FB1420" w:rsidRDefault="00FB1420" w:rsidP="00124306">
            <w:pPr>
              <w:pStyle w:val="TableBodyText"/>
              <w:spacing w:before="40"/>
            </w:pPr>
            <w:r w:rsidRPr="00FB1420">
              <w:t>47.9</w:t>
            </w:r>
          </w:p>
        </w:tc>
        <w:tc>
          <w:tcPr>
            <w:tcW w:w="1110" w:type="dxa"/>
            <w:noWrap/>
            <w:hideMark/>
          </w:tcPr>
          <w:p w:rsidR="00FB1420" w:rsidRPr="00FB1420" w:rsidRDefault="00FB1420" w:rsidP="00124306">
            <w:pPr>
              <w:pStyle w:val="TableBodyText"/>
              <w:spacing w:before="40"/>
            </w:pPr>
            <w:r w:rsidRPr="00FB1420">
              <w:t>45.9</w:t>
            </w:r>
          </w:p>
        </w:tc>
        <w:tc>
          <w:tcPr>
            <w:tcW w:w="131" w:type="dxa"/>
            <w:noWrap/>
          </w:tcPr>
          <w:p w:rsidR="00FB1420" w:rsidRPr="00FB1420" w:rsidRDefault="00FB1420" w:rsidP="00124306">
            <w:pPr>
              <w:pStyle w:val="TableBodyText"/>
              <w:spacing w:before="40"/>
            </w:pPr>
          </w:p>
        </w:tc>
        <w:tc>
          <w:tcPr>
            <w:tcW w:w="1227" w:type="dxa"/>
            <w:noWrap/>
            <w:hideMark/>
          </w:tcPr>
          <w:p w:rsidR="00FB1420" w:rsidRPr="00FB1420" w:rsidRDefault="00FB1420" w:rsidP="00124306">
            <w:pPr>
              <w:pStyle w:val="TableBodyText"/>
              <w:spacing w:before="40"/>
            </w:pPr>
            <w:r w:rsidRPr="00FB1420">
              <w:t>22.5</w:t>
            </w:r>
          </w:p>
        </w:tc>
        <w:tc>
          <w:tcPr>
            <w:tcW w:w="1335" w:type="dxa"/>
            <w:noWrap/>
            <w:hideMark/>
          </w:tcPr>
          <w:p w:rsidR="00FB1420" w:rsidRPr="00FB1420" w:rsidRDefault="00FB1420" w:rsidP="00124306">
            <w:pPr>
              <w:pStyle w:val="TableBodyText"/>
              <w:spacing w:before="40"/>
              <w:ind w:right="28"/>
            </w:pPr>
            <w:r w:rsidRPr="00FB1420">
              <w:t>15.4</w:t>
            </w:r>
          </w:p>
        </w:tc>
      </w:tr>
      <w:tr w:rsidR="00FB1420" w:rsidRPr="00FB1420" w:rsidTr="00413585">
        <w:trPr>
          <w:trHeight w:val="255"/>
        </w:trPr>
        <w:tc>
          <w:tcPr>
            <w:tcW w:w="742" w:type="dxa"/>
            <w:tcBorders>
              <w:bottom w:val="single" w:sz="4" w:space="0" w:color="auto"/>
            </w:tcBorders>
            <w:shd w:val="clear" w:color="auto" w:fill="auto"/>
            <w:noWrap/>
            <w:hideMark/>
          </w:tcPr>
          <w:p w:rsidR="00FB1420" w:rsidRPr="00FB1420" w:rsidRDefault="00FB1420" w:rsidP="00124306">
            <w:pPr>
              <w:pStyle w:val="TableBodyText"/>
              <w:spacing w:before="40"/>
              <w:jc w:val="left"/>
            </w:pPr>
            <w:r w:rsidRPr="00FB1420">
              <w:t>WA</w:t>
            </w:r>
            <w:r w:rsidRPr="00D73009">
              <w:rPr>
                <w:rStyle w:val="NoteLabel"/>
              </w:rPr>
              <w:t>c</w:t>
            </w:r>
          </w:p>
        </w:tc>
        <w:tc>
          <w:tcPr>
            <w:tcW w:w="1061" w:type="dxa"/>
            <w:tcBorders>
              <w:bottom w:val="single" w:sz="4" w:space="0" w:color="auto"/>
            </w:tcBorders>
            <w:shd w:val="clear" w:color="auto" w:fill="auto"/>
            <w:noWrap/>
            <w:hideMark/>
          </w:tcPr>
          <w:p w:rsidR="00FB1420" w:rsidRPr="00FB1420" w:rsidRDefault="00FB1420" w:rsidP="00124306">
            <w:pPr>
              <w:pStyle w:val="TableBodyText"/>
              <w:spacing w:before="40"/>
            </w:pPr>
            <w:r w:rsidRPr="00FB1420">
              <w:t>7.87</w:t>
            </w:r>
          </w:p>
        </w:tc>
        <w:tc>
          <w:tcPr>
            <w:tcW w:w="1032" w:type="dxa"/>
            <w:tcBorders>
              <w:bottom w:val="single" w:sz="4" w:space="0" w:color="auto"/>
            </w:tcBorders>
            <w:shd w:val="clear" w:color="auto" w:fill="auto"/>
            <w:noWrap/>
            <w:hideMark/>
          </w:tcPr>
          <w:p w:rsidR="00FB1420" w:rsidRPr="00FB1420" w:rsidRDefault="00FB1420" w:rsidP="00124306">
            <w:pPr>
              <w:pStyle w:val="TableBodyText"/>
              <w:spacing w:before="40"/>
            </w:pPr>
            <w:r w:rsidRPr="00FB1420">
              <w:t>11.99</w:t>
            </w:r>
          </w:p>
        </w:tc>
        <w:tc>
          <w:tcPr>
            <w:tcW w:w="979" w:type="dxa"/>
            <w:tcBorders>
              <w:bottom w:val="single" w:sz="4" w:space="0" w:color="auto"/>
            </w:tcBorders>
            <w:shd w:val="clear" w:color="auto" w:fill="auto"/>
            <w:noWrap/>
            <w:hideMark/>
          </w:tcPr>
          <w:p w:rsidR="00FB1420" w:rsidRPr="00FB1420" w:rsidRDefault="00FB1420" w:rsidP="00124306">
            <w:pPr>
              <w:pStyle w:val="TableBodyText"/>
              <w:spacing w:before="40"/>
            </w:pPr>
            <w:r w:rsidRPr="00FB1420">
              <w:t>52.4</w:t>
            </w:r>
          </w:p>
        </w:tc>
        <w:tc>
          <w:tcPr>
            <w:tcW w:w="163" w:type="dxa"/>
            <w:tcBorders>
              <w:bottom w:val="single" w:sz="4" w:space="0" w:color="auto"/>
            </w:tcBorders>
            <w:shd w:val="clear" w:color="auto" w:fill="auto"/>
            <w:noWrap/>
          </w:tcPr>
          <w:p w:rsidR="00FB1420" w:rsidRPr="00FB1420" w:rsidRDefault="00FB1420" w:rsidP="00124306">
            <w:pPr>
              <w:pStyle w:val="TableBodyText"/>
              <w:spacing w:before="40"/>
            </w:pPr>
          </w:p>
        </w:tc>
        <w:tc>
          <w:tcPr>
            <w:tcW w:w="1009" w:type="dxa"/>
            <w:tcBorders>
              <w:bottom w:val="single" w:sz="4" w:space="0" w:color="auto"/>
            </w:tcBorders>
            <w:shd w:val="clear" w:color="auto" w:fill="auto"/>
            <w:noWrap/>
            <w:hideMark/>
          </w:tcPr>
          <w:p w:rsidR="00FB1420" w:rsidRPr="00FB1420" w:rsidRDefault="00FB1420" w:rsidP="00124306">
            <w:pPr>
              <w:pStyle w:val="TableBodyText"/>
              <w:spacing w:before="40"/>
            </w:pPr>
            <w:r w:rsidRPr="00FB1420">
              <w:t>35.7</w:t>
            </w:r>
          </w:p>
        </w:tc>
        <w:tc>
          <w:tcPr>
            <w:tcW w:w="1110" w:type="dxa"/>
            <w:tcBorders>
              <w:bottom w:val="single" w:sz="4" w:space="0" w:color="auto"/>
            </w:tcBorders>
            <w:shd w:val="clear" w:color="auto" w:fill="auto"/>
            <w:noWrap/>
            <w:hideMark/>
          </w:tcPr>
          <w:p w:rsidR="00FB1420" w:rsidRPr="00FB1420" w:rsidRDefault="00FB1420" w:rsidP="00124306">
            <w:pPr>
              <w:pStyle w:val="TableBodyText"/>
              <w:spacing w:before="40"/>
            </w:pPr>
            <w:r w:rsidRPr="00FB1420">
              <w:t>38.4</w:t>
            </w:r>
          </w:p>
        </w:tc>
        <w:tc>
          <w:tcPr>
            <w:tcW w:w="131" w:type="dxa"/>
            <w:tcBorders>
              <w:bottom w:val="single" w:sz="4" w:space="0" w:color="auto"/>
            </w:tcBorders>
            <w:shd w:val="clear" w:color="auto" w:fill="auto"/>
            <w:noWrap/>
          </w:tcPr>
          <w:p w:rsidR="00FB1420" w:rsidRPr="00FB1420" w:rsidRDefault="00FB1420" w:rsidP="00124306">
            <w:pPr>
              <w:pStyle w:val="TableBodyText"/>
              <w:spacing w:before="40"/>
            </w:pPr>
          </w:p>
        </w:tc>
        <w:tc>
          <w:tcPr>
            <w:tcW w:w="1227" w:type="dxa"/>
            <w:tcBorders>
              <w:bottom w:val="single" w:sz="4" w:space="0" w:color="auto"/>
            </w:tcBorders>
            <w:shd w:val="clear" w:color="auto" w:fill="auto"/>
            <w:noWrap/>
            <w:hideMark/>
          </w:tcPr>
          <w:p w:rsidR="00FB1420" w:rsidRPr="00FB1420" w:rsidRDefault="00FB1420" w:rsidP="00124306">
            <w:pPr>
              <w:pStyle w:val="TableBodyText"/>
              <w:spacing w:before="40"/>
            </w:pPr>
            <w:r w:rsidRPr="00FB1420">
              <w:t>34.2</w:t>
            </w:r>
          </w:p>
        </w:tc>
        <w:tc>
          <w:tcPr>
            <w:tcW w:w="1335" w:type="dxa"/>
            <w:tcBorders>
              <w:bottom w:val="single" w:sz="4" w:space="0" w:color="auto"/>
            </w:tcBorders>
            <w:shd w:val="clear" w:color="auto" w:fill="auto"/>
            <w:noWrap/>
            <w:hideMark/>
          </w:tcPr>
          <w:p w:rsidR="00FB1420" w:rsidRPr="00FB1420" w:rsidRDefault="00FB1420" w:rsidP="00124306">
            <w:pPr>
              <w:pStyle w:val="TableBodyText"/>
              <w:spacing w:before="40"/>
              <w:ind w:right="28"/>
            </w:pPr>
            <w:r w:rsidRPr="00FB1420">
              <w:t>10.4</w:t>
            </w:r>
          </w:p>
        </w:tc>
      </w:tr>
    </w:tbl>
    <w:bookmarkEnd w:id="3"/>
    <w:p w:rsidR="00FB1420" w:rsidRDefault="00FB1420" w:rsidP="00FB1420">
      <w:pPr>
        <w:pStyle w:val="Note"/>
      </w:pPr>
      <w:proofErr w:type="spellStart"/>
      <w:r>
        <w:rPr>
          <w:rStyle w:val="NoteLabel"/>
        </w:rPr>
        <w:t>a</w:t>
      </w:r>
      <w:proofErr w:type="spellEnd"/>
      <w:r>
        <w:sym w:font="Symbol" w:char="F020"/>
      </w:r>
      <w:r w:rsidRPr="00FB1420">
        <w:t xml:space="preserve"> </w:t>
      </w:r>
      <w:r>
        <w:t>The cost shares in 2013</w:t>
      </w:r>
      <w:r w:rsidR="00987960">
        <w:t>-</w:t>
      </w:r>
      <w:r>
        <w:t>14 are affected by the introduction of the carbon tax, which raises wholesale electricity prices and the retail margin</w:t>
      </w:r>
      <w:r w:rsidR="00C472C7">
        <w:t xml:space="preserve"> (but also involves some offsets)</w:t>
      </w:r>
      <w:r>
        <w:t xml:space="preserve">. </w:t>
      </w:r>
      <w:r w:rsidRPr="00FB1420">
        <w:rPr>
          <w:rStyle w:val="NoteLabel"/>
        </w:rPr>
        <w:t>b</w:t>
      </w:r>
      <w:r>
        <w:t xml:space="preserve"> The estimates are calculated as the change in the cost of power (in cents per kWh) attributable to transmission and distribution as a share of the total increase in the cost of power over the relevant period. </w:t>
      </w:r>
      <w:r w:rsidRPr="00FB1420">
        <w:rPr>
          <w:rStyle w:val="NoteLabel"/>
        </w:rPr>
        <w:t>c</w:t>
      </w:r>
      <w:r>
        <w:t xml:space="preserve"> Electricity prices in Western Australia relate to the South West Interconnected System (</w:t>
      </w:r>
      <w:proofErr w:type="spellStart"/>
      <w:r>
        <w:t>SWIS</w:t>
      </w:r>
      <w:proofErr w:type="spellEnd"/>
      <w:r>
        <w:t xml:space="preserve">). The prices in this state exclude the tariff equalisation contribution to areas outside the </w:t>
      </w:r>
      <w:proofErr w:type="spellStart"/>
      <w:r>
        <w:t>SWIS</w:t>
      </w:r>
      <w:proofErr w:type="spellEnd"/>
      <w:r>
        <w:t>, as these represent transfer payments rather than cost-related prices.</w:t>
      </w:r>
    </w:p>
    <w:p w:rsidR="00FB1420" w:rsidRDefault="00FB1420" w:rsidP="00FB1420">
      <w:pPr>
        <w:pStyle w:val="Source"/>
        <w:rPr>
          <w:b/>
        </w:rPr>
      </w:pPr>
      <w:r>
        <w:rPr>
          <w:i/>
        </w:rPr>
        <w:t>Source</w:t>
      </w:r>
      <w:r w:rsidRPr="00167F06">
        <w:t xml:space="preserve">: </w:t>
      </w:r>
      <w:proofErr w:type="spellStart"/>
      <w:r>
        <w:t>AEMC</w:t>
      </w:r>
      <w:proofErr w:type="spellEnd"/>
      <w:r>
        <w:t xml:space="preserve"> (</w:t>
      </w:r>
      <w:proofErr w:type="spellStart"/>
      <w:r>
        <w:t>2011</w:t>
      </w:r>
      <w:r w:rsidR="00E348CD">
        <w:t>a</w:t>
      </w:r>
      <w:proofErr w:type="spellEnd"/>
      <w:r>
        <w:t>).</w:t>
      </w:r>
    </w:p>
    <w:p w:rsidR="00D73009" w:rsidRDefault="00D73009" w:rsidP="00037AB4">
      <w:pPr>
        <w:pStyle w:val="FigureTitle"/>
        <w:spacing w:before="320"/>
      </w:pPr>
      <w:r>
        <w:rPr>
          <w:b w:val="0"/>
        </w:rPr>
        <w:t xml:space="preserve">Figure </w:t>
      </w:r>
      <w:r w:rsidR="006E210A">
        <w:rPr>
          <w:b w:val="0"/>
        </w:rPr>
        <w:t>2.</w:t>
      </w:r>
      <w:r w:rsidR="00493C6B">
        <w:rPr>
          <w:b w:val="0"/>
          <w:noProof/>
        </w:rPr>
        <w:t>11</w:t>
      </w:r>
      <w:r>
        <w:tab/>
      </w:r>
      <w:r w:rsidR="00900DCD">
        <w:t xml:space="preserve">Projected </w:t>
      </w:r>
      <w:r w:rsidR="004F4FB5">
        <w:t>residential</w:t>
      </w:r>
      <w:r w:rsidR="005E27F5">
        <w:t xml:space="preserve"> price c</w:t>
      </w:r>
      <w:r>
        <w:t>ost components in 2013</w:t>
      </w:r>
      <w:r w:rsidR="005C49D0">
        <w:noBreakHyphen/>
      </w:r>
      <w:r>
        <w:t>14, Australia</w:t>
      </w:r>
      <w:r w:rsidRPr="00D73009">
        <w:rPr>
          <w:rStyle w:val="NoteLabel"/>
        </w:rPr>
        <w:t>a</w:t>
      </w:r>
    </w:p>
    <w:p w:rsidR="00D73009" w:rsidRDefault="002F3646">
      <w:pPr>
        <w:pStyle w:val="Subtitle"/>
      </w:pPr>
      <w:r>
        <w:t>Cents per kWh</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D73009" w:rsidTr="00D73009">
        <w:tc>
          <w:tcPr>
            <w:tcW w:w="8777" w:type="dxa"/>
          </w:tcPr>
          <w:p w:rsidR="00D73009" w:rsidRDefault="00271672">
            <w:pPr>
              <w:pStyle w:val="Figure"/>
            </w:pPr>
            <w:r>
              <w:rPr>
                <w:noProof/>
              </w:rPr>
              <w:drawing>
                <wp:inline distT="0" distB="0" distL="0" distR="0" wp14:anchorId="5FEC60B4">
                  <wp:extent cx="5584190" cy="3213100"/>
                  <wp:effectExtent l="0" t="0" r="0" b="6350"/>
                  <wp:docPr id="20" name="Picture 20" descr="Projected residential price cost components in 2013 14, Australia. This figure shows the cents per kWh each component contributes to the total residential cost. Transmission and distribution account for 43.5 per cent of total price. Energy costs are around 30 per cent. Carbon tax effects are around 5 per cent of the costs, with the rest being retail and other cos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84190" cy="3213100"/>
                          </a:xfrm>
                          <a:prstGeom prst="rect">
                            <a:avLst/>
                          </a:prstGeom>
                          <a:noFill/>
                        </pic:spPr>
                      </pic:pic>
                    </a:graphicData>
                  </a:graphic>
                </wp:inline>
              </w:drawing>
            </w:r>
          </w:p>
        </w:tc>
      </w:tr>
    </w:tbl>
    <w:p w:rsidR="00D73009" w:rsidRDefault="00D73009">
      <w:pPr>
        <w:pStyle w:val="Note"/>
      </w:pPr>
      <w:proofErr w:type="spellStart"/>
      <w:r>
        <w:rPr>
          <w:rStyle w:val="NoteLabel"/>
        </w:rPr>
        <w:t>a</w:t>
      </w:r>
      <w:proofErr w:type="spellEnd"/>
      <w:r>
        <w:t xml:space="preserve"> The carbon </w:t>
      </w:r>
      <w:r w:rsidR="00C472C7">
        <w:t>tax cost</w:t>
      </w:r>
      <w:r>
        <w:t xml:space="preserve"> effect is calculated as the difference in the final retail price estimated by the </w:t>
      </w:r>
      <w:proofErr w:type="spellStart"/>
      <w:r>
        <w:t>AEMC</w:t>
      </w:r>
      <w:proofErr w:type="spellEnd"/>
      <w:r>
        <w:t xml:space="preserve"> with and without the carbon tax. </w:t>
      </w:r>
    </w:p>
    <w:p w:rsidR="00D73009" w:rsidRDefault="00D73009">
      <w:pPr>
        <w:pStyle w:val="Source"/>
      </w:pPr>
      <w:r>
        <w:rPr>
          <w:i/>
        </w:rPr>
        <w:t>Data source</w:t>
      </w:r>
      <w:r w:rsidRPr="00167F06">
        <w:t xml:space="preserve">: </w:t>
      </w:r>
      <w:proofErr w:type="spellStart"/>
      <w:r w:rsidR="00C472C7">
        <w:t>AEMC</w:t>
      </w:r>
      <w:proofErr w:type="spellEnd"/>
      <w:r w:rsidR="00C472C7">
        <w:t xml:space="preserve"> (</w:t>
      </w:r>
      <w:proofErr w:type="spellStart"/>
      <w:r w:rsidR="00C472C7">
        <w:t>2011</w:t>
      </w:r>
      <w:r w:rsidR="00E348CD">
        <w:t>a</w:t>
      </w:r>
      <w:proofErr w:type="spellEnd"/>
      <w:r w:rsidR="00C472C7">
        <w:t>).</w:t>
      </w:r>
    </w:p>
    <w:p w:rsidR="002568C9" w:rsidRPr="00A56C45" w:rsidRDefault="002568C9" w:rsidP="002568C9">
      <w:pPr>
        <w:pStyle w:val="BodyText"/>
      </w:pPr>
      <w:r>
        <w:lastRenderedPageBreak/>
        <w:t>Transmission costs are far lower than distribution costs, and so their projected contribution to overall electricity price growth is muted. However, as noted by industrial businesses, the significance of transmission costs may be much greater for businesses close to the transmission supply point (</w:t>
      </w:r>
      <w:r w:rsidRPr="00D01683">
        <w:t>Energy Consumers Group</w:t>
      </w:r>
      <w:r>
        <w:t xml:space="preserve"> 2011, p. 9).</w:t>
      </w:r>
    </w:p>
    <w:p w:rsidR="002568C9" w:rsidRDefault="002568C9" w:rsidP="002568C9">
      <w:pPr>
        <w:pStyle w:val="BodyText"/>
      </w:pPr>
      <w:r>
        <w:t xml:space="preserve">There are dramatic differences in the costs of network services in various jurisdictions. By 2013-14, the </w:t>
      </w:r>
      <w:proofErr w:type="spellStart"/>
      <w:r>
        <w:t>AEMC</w:t>
      </w:r>
      <w:proofErr w:type="spellEnd"/>
      <w:r>
        <w:t xml:space="preserve"> forecasts that total network costs in cents per kWh in Queensland, New South Wales and South Australia will be 86 per cent, 101 per cent and 83 per cent higher respectively than the costs in Victoria. Much of the debate about network performance rests on the degree to which these large gaps reflect excessive and inefficient costs or different operating conditions and capital vintages (chapter 6). Notably, the </w:t>
      </w:r>
      <w:proofErr w:type="spellStart"/>
      <w:r>
        <w:t>AEMC</w:t>
      </w:r>
      <w:proofErr w:type="spellEnd"/>
      <w:r>
        <w:t xml:space="preserve"> projections show that the disparities between network costs are likely to grow over time, instead of converging (unlike other costs, which are converging). Given that the</w:t>
      </w:r>
      <w:r w:rsidRPr="006E3E07">
        <w:t xml:space="preserve"> </w:t>
      </w:r>
      <w:r>
        <w:t>physical environment of businesses do not change rapidly over time,</w:t>
      </w:r>
      <w:r>
        <w:rPr>
          <w:rStyle w:val="FootnoteReference"/>
        </w:rPr>
        <w:footnoteReference w:id="22"/>
      </w:r>
      <w:r>
        <w:t xml:space="preserve"> spatial differences in the topography and climatic conditions of network businesses cannot readily explain this divergence (figure 2.12).</w:t>
      </w:r>
    </w:p>
    <w:p w:rsidR="002568C9" w:rsidRDefault="002568C9" w:rsidP="002568C9">
      <w:pPr>
        <w:pStyle w:val="Heading2"/>
      </w:pPr>
      <w:r>
        <w:t>2.</w:t>
      </w:r>
      <w:r w:rsidR="00493C6B">
        <w:rPr>
          <w:noProof/>
        </w:rPr>
        <w:t>5</w:t>
      </w:r>
      <w:r>
        <w:tab/>
        <w:t xml:space="preserve">The proximate reasons for higher network charges </w:t>
      </w:r>
    </w:p>
    <w:p w:rsidR="002568C9" w:rsidRDefault="002568C9" w:rsidP="002568C9">
      <w:pPr>
        <w:pStyle w:val="BodyText"/>
      </w:pPr>
      <w:r>
        <w:t xml:space="preserve">Some of the contributors to network price increases have reflected input cost increases, which are </w:t>
      </w:r>
      <w:r w:rsidRPr="00C04BBC">
        <w:t>typically</w:t>
      </w:r>
      <w:r>
        <w:t xml:space="preserve"> outside the control of either network businesses or government. For example, rising steel, copper and (to a lesser extent) aluminium prices have increased costs </w:t>
      </w:r>
      <w:r w:rsidRPr="00EE6CFA">
        <w:t>(</w:t>
      </w:r>
      <w:proofErr w:type="spellStart"/>
      <w:r w:rsidRPr="00EE6CFA">
        <w:t>AER</w:t>
      </w:r>
      <w:proofErr w:type="spellEnd"/>
      <w:r w:rsidRPr="00EE6CFA">
        <w:t xml:space="preserve"> </w:t>
      </w:r>
      <w:proofErr w:type="spellStart"/>
      <w:r w:rsidRPr="00EE6CFA">
        <w:t>2009</w:t>
      </w:r>
      <w:r w:rsidR="00E125C2">
        <w:t>a</w:t>
      </w:r>
      <w:proofErr w:type="spellEnd"/>
      <w:r w:rsidRPr="00EE6CFA">
        <w:t>, pp. </w:t>
      </w:r>
      <w:proofErr w:type="spellStart"/>
      <w:r w:rsidRPr="00EE6CFA">
        <w:t>485ff</w:t>
      </w:r>
      <w:proofErr w:type="spellEnd"/>
      <w:r w:rsidRPr="00EE6CFA">
        <w:t>; Plumb and Davis 2010</w:t>
      </w:r>
      <w:r w:rsidR="00C134A7">
        <w:t>;</w:t>
      </w:r>
      <w:r>
        <w:t xml:space="preserve"> figure 2.13</w:t>
      </w:r>
      <w:r w:rsidRPr="00EE6CFA">
        <w:t>).</w:t>
      </w:r>
      <w:r>
        <w:t xml:space="preserve"> Wage rates for public sector electricity, gas and water utilities have increased at a faster rate than wages in their private sector counterparts, and all industries (figure 2.13). </w:t>
      </w:r>
    </w:p>
    <w:p w:rsidR="002568C9" w:rsidRDefault="002568C9" w:rsidP="002568C9">
      <w:pPr>
        <w:pStyle w:val="BodyText"/>
      </w:pPr>
      <w:r>
        <w:t>Since they are determined as part of the regulatory process, increases in the regulated weighted average cost of capital are also major determinants of regulated revenues, and of resulting prices (chapter 5).</w:t>
      </w:r>
    </w:p>
    <w:p w:rsidR="0040782E" w:rsidRDefault="0040782E" w:rsidP="0040782E">
      <w:pPr>
        <w:pStyle w:val="FigureTitle"/>
      </w:pPr>
      <w:r>
        <w:rPr>
          <w:b w:val="0"/>
        </w:rPr>
        <w:lastRenderedPageBreak/>
        <w:t xml:space="preserve">Figure </w:t>
      </w:r>
      <w:r w:rsidR="006E210A">
        <w:rPr>
          <w:b w:val="0"/>
        </w:rPr>
        <w:t>2.</w:t>
      </w:r>
      <w:r w:rsidR="00493C6B">
        <w:rPr>
          <w:b w:val="0"/>
          <w:noProof/>
        </w:rPr>
        <w:t>12</w:t>
      </w:r>
      <w:r>
        <w:tab/>
        <w:t xml:space="preserve">Network costs </w:t>
      </w:r>
      <w:r w:rsidR="0005565A">
        <w:t xml:space="preserve">differ </w:t>
      </w:r>
      <w:r>
        <w:t>between businesses</w:t>
      </w:r>
      <w:r w:rsidR="0005565A">
        <w:t xml:space="preserve"> and the gap is widening</w:t>
      </w:r>
      <w:r w:rsidR="008663BC" w:rsidRPr="008663BC">
        <w:rPr>
          <w:rStyle w:val="NoteLabel"/>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7C36F6" w:rsidTr="007C36F6">
        <w:tc>
          <w:tcPr>
            <w:tcW w:w="8777" w:type="dxa"/>
          </w:tcPr>
          <w:p w:rsidR="007C36F6" w:rsidRPr="007C36F6" w:rsidRDefault="007C36F6" w:rsidP="0075344C">
            <w:pPr>
              <w:pStyle w:val="Figure"/>
              <w:rPr>
                <w:rFonts w:ascii="Arial" w:hAnsi="Arial" w:cs="Arial"/>
                <w:noProof/>
                <w:sz w:val="20"/>
              </w:rPr>
            </w:pPr>
            <w:r w:rsidRPr="007C36F6">
              <w:rPr>
                <w:rFonts w:ascii="Arial" w:hAnsi="Arial" w:cs="Arial"/>
                <w:noProof/>
                <w:sz w:val="20"/>
              </w:rPr>
              <w:t>Overall change from 2010</w:t>
            </w:r>
            <w:r w:rsidRPr="007C36F6">
              <w:rPr>
                <w:rFonts w:ascii="Arial" w:hAnsi="Arial" w:cs="Arial"/>
                <w:noProof/>
                <w:sz w:val="20"/>
              </w:rPr>
              <w:noBreakHyphen/>
              <w:t>11 to 2013</w:t>
            </w:r>
            <w:r w:rsidRPr="007C36F6">
              <w:rPr>
                <w:rFonts w:ascii="Arial" w:hAnsi="Arial" w:cs="Arial"/>
                <w:noProof/>
                <w:sz w:val="20"/>
              </w:rPr>
              <w:noBreakHyphen/>
              <w:t>14</w:t>
            </w:r>
          </w:p>
        </w:tc>
      </w:tr>
      <w:tr w:rsidR="007C36F6" w:rsidTr="000E4C1C">
        <w:tc>
          <w:tcPr>
            <w:tcW w:w="8777" w:type="dxa"/>
          </w:tcPr>
          <w:p w:rsidR="007C36F6" w:rsidRDefault="00271672" w:rsidP="0075344C">
            <w:pPr>
              <w:pStyle w:val="Figure"/>
              <w:rPr>
                <w:noProof/>
              </w:rPr>
            </w:pPr>
            <w:r>
              <w:rPr>
                <w:noProof/>
              </w:rPr>
              <w:drawing>
                <wp:inline distT="0" distB="0" distL="0" distR="0" wp14:anchorId="761D5769">
                  <wp:extent cx="5273675" cy="3005455"/>
                  <wp:effectExtent l="0" t="0" r="3175" b="4445"/>
                  <wp:docPr id="23" name="Picture 23" descr="Network costs differ between businesses and the gap is widening. This first chart maps the changes in the network charges relative to average and growth rate in cents per kWH from 2010 11 to 2013 14 for selected businesses in Queensland, New South Wales, Victoria, Tasmania and the Australian Capital Terri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3675" cy="3005455"/>
                          </a:xfrm>
                          <a:prstGeom prst="rect">
                            <a:avLst/>
                          </a:prstGeom>
                          <a:noFill/>
                        </pic:spPr>
                      </pic:pic>
                    </a:graphicData>
                  </a:graphic>
                </wp:inline>
              </w:drawing>
            </w:r>
          </w:p>
        </w:tc>
      </w:tr>
      <w:tr w:rsidR="007C36F6" w:rsidTr="007C36F6">
        <w:tc>
          <w:tcPr>
            <w:tcW w:w="8777" w:type="dxa"/>
          </w:tcPr>
          <w:p w:rsidR="007C36F6" w:rsidRPr="007C36F6" w:rsidRDefault="007C36F6" w:rsidP="00E672D2">
            <w:pPr>
              <w:pStyle w:val="Figure"/>
              <w:rPr>
                <w:rFonts w:ascii="Arial" w:hAnsi="Arial" w:cs="Arial"/>
                <w:noProof/>
                <w:sz w:val="20"/>
              </w:rPr>
            </w:pPr>
            <w:r w:rsidRPr="007C36F6">
              <w:rPr>
                <w:rFonts w:ascii="Arial" w:hAnsi="Arial" w:cs="Arial"/>
                <w:noProof/>
                <w:sz w:val="20"/>
              </w:rPr>
              <w:t xml:space="preserve">Convergence </w:t>
            </w:r>
            <w:r w:rsidR="00E672D2">
              <w:rPr>
                <w:rFonts w:ascii="Arial" w:hAnsi="Arial" w:cs="Arial"/>
                <w:noProof/>
                <w:sz w:val="20"/>
              </w:rPr>
              <w:t>—</w:t>
            </w:r>
            <w:r w:rsidRPr="007C36F6">
              <w:rPr>
                <w:rFonts w:ascii="Arial" w:hAnsi="Arial" w:cs="Arial"/>
                <w:noProof/>
                <w:sz w:val="20"/>
              </w:rPr>
              <w:t xml:space="preserve"> year by year change from 2010</w:t>
            </w:r>
            <w:r w:rsidRPr="007C36F6">
              <w:rPr>
                <w:rFonts w:ascii="Arial" w:hAnsi="Arial" w:cs="Arial"/>
                <w:noProof/>
                <w:sz w:val="20"/>
              </w:rPr>
              <w:noBreakHyphen/>
              <w:t>11 to 2013</w:t>
            </w:r>
            <w:r w:rsidRPr="007C36F6">
              <w:rPr>
                <w:rFonts w:ascii="Arial" w:hAnsi="Arial" w:cs="Arial"/>
                <w:noProof/>
                <w:sz w:val="20"/>
              </w:rPr>
              <w:noBreakHyphen/>
              <w:t>14</w:t>
            </w:r>
          </w:p>
        </w:tc>
      </w:tr>
      <w:tr w:rsidR="0040782E" w:rsidTr="00974A8E">
        <w:tc>
          <w:tcPr>
            <w:tcW w:w="8777" w:type="dxa"/>
          </w:tcPr>
          <w:p w:rsidR="0040782E" w:rsidRDefault="00271672" w:rsidP="0075344C">
            <w:pPr>
              <w:pStyle w:val="Figure"/>
            </w:pPr>
            <w:r>
              <w:rPr>
                <w:noProof/>
              </w:rPr>
              <w:drawing>
                <wp:inline distT="0" distB="0" distL="0" distR="0" wp14:anchorId="359BBFC4">
                  <wp:extent cx="5267325" cy="2499360"/>
                  <wp:effectExtent l="0" t="0" r="9525" b="0"/>
                  <wp:docPr id="25" name="Picture 25" descr="This second chart examines whether the various network charges are converging or not. There is no convergence for distribution and transmission costs, but other electricity costs (mainly energy) are tending to converge over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67325" cy="2499360"/>
                          </a:xfrm>
                          <a:prstGeom prst="rect">
                            <a:avLst/>
                          </a:prstGeom>
                          <a:noFill/>
                        </pic:spPr>
                      </pic:pic>
                    </a:graphicData>
                  </a:graphic>
                </wp:inline>
              </w:drawing>
            </w:r>
          </w:p>
        </w:tc>
      </w:tr>
    </w:tbl>
    <w:p w:rsidR="003E146F" w:rsidRDefault="0040782E" w:rsidP="003E146F">
      <w:pPr>
        <w:pStyle w:val="Note"/>
      </w:pPr>
      <w:r>
        <w:rPr>
          <w:rStyle w:val="NoteLabel"/>
        </w:rPr>
        <w:t>a</w:t>
      </w:r>
      <w:r>
        <w:sym w:font="Symbol" w:char="F020"/>
      </w:r>
      <w:r>
        <w:t xml:space="preserve">Network costs are the sum of the transmission and distribution costs for each </w:t>
      </w:r>
      <w:r w:rsidR="0005565A">
        <w:t>business</w:t>
      </w:r>
      <w:r>
        <w:t xml:space="preserve">. </w:t>
      </w:r>
      <w:r w:rsidR="003E146F">
        <w:t xml:space="preserve">The </w:t>
      </w:r>
      <w:r w:rsidR="008663BC">
        <w:t xml:space="preserve">top </w:t>
      </w:r>
      <w:r w:rsidR="003E146F">
        <w:t>graph shows that businesses</w:t>
      </w:r>
      <w:r w:rsidR="0005565A">
        <w:t xml:space="preserve"> with </w:t>
      </w:r>
      <w:r w:rsidR="003E146F">
        <w:t>costs</w:t>
      </w:r>
      <w:r w:rsidR="0005565A">
        <w:t xml:space="preserve"> well </w:t>
      </w:r>
      <w:r w:rsidR="003E146F">
        <w:t>above</w:t>
      </w:r>
      <w:r w:rsidR="0005565A">
        <w:t xml:space="preserve"> the </w:t>
      </w:r>
      <w:proofErr w:type="spellStart"/>
      <w:r w:rsidR="003E146F">
        <w:t>NEM</w:t>
      </w:r>
      <w:proofErr w:type="spellEnd"/>
      <w:r w:rsidR="003E146F">
        <w:t xml:space="preserve"> </w:t>
      </w:r>
      <w:r w:rsidR="0005565A">
        <w:t>average in 20</w:t>
      </w:r>
      <w:r w:rsidR="003E146F">
        <w:t>10</w:t>
      </w:r>
      <w:r w:rsidR="0005565A">
        <w:t>-</w:t>
      </w:r>
      <w:r w:rsidR="003E146F">
        <w:t>11</w:t>
      </w:r>
      <w:r w:rsidR="0005565A">
        <w:t xml:space="preserve">, </w:t>
      </w:r>
      <w:r w:rsidR="003E146F">
        <w:t>tended to have faster forecast percentage growth rates in costs from 2010</w:t>
      </w:r>
      <w:r w:rsidR="003E146F">
        <w:noBreakHyphen/>
        <w:t>11 to 2013</w:t>
      </w:r>
      <w:r w:rsidR="003E146F">
        <w:noBreakHyphen/>
        <w:t>14. Given this depiction of the data can sometimes give biased estimates of the extent of convergence or divergence (Friedman</w:t>
      </w:r>
      <w:r w:rsidR="00C134A7">
        <w:t xml:space="preserve"> 1992), measures of so-called σ</w:t>
      </w:r>
      <w:r w:rsidR="00C134A7">
        <w:noBreakHyphen/>
      </w:r>
      <w:r w:rsidR="003E146F">
        <w:t xml:space="preserve">convergence rigorously test whether convergence is present or not. </w:t>
      </w:r>
      <w:r w:rsidR="0005565A">
        <w:t>σ-convergence occurs when the coefficient of variation between states declines over time</w:t>
      </w:r>
      <w:r w:rsidR="00CB0994">
        <w:t xml:space="preserve">. In this case, the data reveals divergence. </w:t>
      </w:r>
    </w:p>
    <w:p w:rsidR="0005565A" w:rsidRDefault="0090789D" w:rsidP="0090789D">
      <w:pPr>
        <w:pStyle w:val="Note"/>
        <w:spacing w:line="240" w:lineRule="atLeast"/>
      </w:pPr>
      <m:oMath>
        <m:r>
          <w:rPr>
            <w:rFonts w:ascii="Cambria Math" w:hAnsi="Cambria Math" w:cs="Arial"/>
            <w:sz w:val="24"/>
          </w:rPr>
          <m:t>σ</m:t>
        </m:r>
        <m:r>
          <m:rPr>
            <m:sty m:val="p"/>
          </m:rPr>
          <w:rPr>
            <w:rFonts w:ascii="Cambria Math" w:hAnsi="Cambria Math" w:cs="Arial"/>
            <w:sz w:val="24"/>
          </w:rPr>
          <m:t>-</m:t>
        </m:r>
        <m:r>
          <w:rPr>
            <w:rFonts w:ascii="Cambria Math" w:hAnsi="Cambria Math" w:cs="Arial"/>
            <w:sz w:val="24"/>
          </w:rPr>
          <m:t>convergence</m:t>
        </m:r>
        <m:r>
          <m:rPr>
            <m:sty m:val="p"/>
          </m:rPr>
          <w:rPr>
            <w:rFonts w:ascii="Cambria Math" w:hAnsi="Cambria Math" w:cs="Arial"/>
            <w:sz w:val="24"/>
          </w:rPr>
          <m:t>=</m:t>
        </m:r>
        <m:d>
          <m:dPr>
            <m:ctrlPr>
              <w:rPr>
                <w:rFonts w:ascii="Cambria Math" w:hAnsi="Cambria Math" w:cs="Arial"/>
                <w:sz w:val="24"/>
              </w:rPr>
            </m:ctrlPr>
          </m:dPr>
          <m:e>
            <m:f>
              <m:fPr>
                <m:ctrlPr>
                  <w:rPr>
                    <w:rFonts w:ascii="Cambria Math" w:hAnsi="Cambria Math" w:cs="Arial"/>
                    <w:sz w:val="24"/>
                  </w:rPr>
                </m:ctrlPr>
              </m:fPr>
              <m:num>
                <m:r>
                  <w:rPr>
                    <w:rFonts w:ascii="Cambria Math" w:hAnsi="Cambria Math" w:cs="Arial"/>
                    <w:sz w:val="24"/>
                  </w:rPr>
                  <m:t>var</m:t>
                </m:r>
                <m:r>
                  <m:rPr>
                    <m:sty m:val="p"/>
                  </m:rPr>
                  <w:rPr>
                    <w:rFonts w:ascii="Cambria Math" w:hAnsi="Cambria Math" w:cs="Arial"/>
                    <w:sz w:val="24"/>
                  </w:rPr>
                  <m:t>(</m:t>
                </m:r>
                <m:sSub>
                  <m:sSubPr>
                    <m:ctrlPr>
                      <w:rPr>
                        <w:rFonts w:ascii="Cambria Math" w:hAnsi="Cambria Math" w:cs="Arial"/>
                        <w:sz w:val="24"/>
                      </w:rPr>
                    </m:ctrlPr>
                  </m:sSubPr>
                  <m:e>
                    <m:r>
                      <w:rPr>
                        <w:rFonts w:ascii="Cambria Math" w:hAnsi="Cambria Math" w:cs="Arial"/>
                        <w:sz w:val="24"/>
                      </w:rPr>
                      <m:t>R</m:t>
                    </m:r>
                  </m:e>
                  <m:sub>
                    <m:r>
                      <m:rPr>
                        <m:sty m:val="p"/>
                      </m:rPr>
                      <w:rPr>
                        <w:rFonts w:ascii="Cambria Math" w:hAnsi="Cambria Math" w:cs="Arial"/>
                        <w:sz w:val="24"/>
                      </w:rPr>
                      <m:t>2013-14</m:t>
                    </m:r>
                  </m:sub>
                </m:sSub>
                <m:r>
                  <m:rPr>
                    <m:sty m:val="p"/>
                  </m:rPr>
                  <w:rPr>
                    <w:rFonts w:ascii="Cambria Math" w:hAnsi="Cambria Math" w:cs="Arial"/>
                    <w:sz w:val="24"/>
                  </w:rPr>
                  <m:t>)/</m:t>
                </m:r>
                <m:r>
                  <w:rPr>
                    <w:rFonts w:ascii="Cambria Math" w:hAnsi="Cambria Math" w:cs="Arial"/>
                    <w:sz w:val="24"/>
                  </w:rPr>
                  <m:t>average</m:t>
                </m:r>
                <m:r>
                  <m:rPr>
                    <m:sty m:val="p"/>
                  </m:rPr>
                  <w:rPr>
                    <w:rFonts w:ascii="Cambria Math" w:hAnsi="Cambria Math" w:cs="Arial"/>
                    <w:sz w:val="24"/>
                  </w:rPr>
                  <m:t>(</m:t>
                </m:r>
                <m:sSub>
                  <m:sSubPr>
                    <m:ctrlPr>
                      <w:rPr>
                        <w:rFonts w:ascii="Cambria Math" w:hAnsi="Cambria Math" w:cs="Arial"/>
                        <w:sz w:val="24"/>
                      </w:rPr>
                    </m:ctrlPr>
                  </m:sSubPr>
                  <m:e>
                    <m:r>
                      <w:rPr>
                        <w:rFonts w:ascii="Cambria Math" w:hAnsi="Cambria Math" w:cs="Arial"/>
                        <w:sz w:val="24"/>
                      </w:rPr>
                      <m:t>R</m:t>
                    </m:r>
                  </m:e>
                  <m:sub>
                    <m:r>
                      <m:rPr>
                        <m:sty m:val="p"/>
                      </m:rPr>
                      <w:rPr>
                        <w:rFonts w:ascii="Cambria Math" w:hAnsi="Cambria Math" w:cs="Arial"/>
                        <w:sz w:val="24"/>
                      </w:rPr>
                      <m:t>2013-14</m:t>
                    </m:r>
                  </m:sub>
                </m:sSub>
                <m:r>
                  <m:rPr>
                    <m:sty m:val="p"/>
                  </m:rPr>
                  <w:rPr>
                    <w:rFonts w:ascii="Cambria Math" w:hAnsi="Cambria Math" w:cs="Arial"/>
                    <w:sz w:val="24"/>
                  </w:rPr>
                  <m:t>)</m:t>
                </m:r>
              </m:num>
              <m:den>
                <m:r>
                  <w:rPr>
                    <w:rFonts w:ascii="Cambria Math" w:hAnsi="Cambria Math" w:cs="Arial"/>
                    <w:sz w:val="24"/>
                  </w:rPr>
                  <m:t>var</m:t>
                </m:r>
                <m:r>
                  <m:rPr>
                    <m:sty m:val="p"/>
                  </m:rPr>
                  <w:rPr>
                    <w:rFonts w:ascii="Cambria Math" w:hAnsi="Cambria Math" w:cs="Arial"/>
                    <w:sz w:val="24"/>
                  </w:rPr>
                  <m:t>(</m:t>
                </m:r>
                <m:sSub>
                  <m:sSubPr>
                    <m:ctrlPr>
                      <w:rPr>
                        <w:rFonts w:ascii="Cambria Math" w:hAnsi="Cambria Math" w:cs="Arial"/>
                        <w:sz w:val="24"/>
                      </w:rPr>
                    </m:ctrlPr>
                  </m:sSubPr>
                  <m:e>
                    <m:r>
                      <w:rPr>
                        <w:rFonts w:ascii="Cambria Math" w:hAnsi="Cambria Math" w:cs="Arial"/>
                        <w:sz w:val="24"/>
                      </w:rPr>
                      <m:t>R</m:t>
                    </m:r>
                  </m:e>
                  <m:sub>
                    <m:r>
                      <m:rPr>
                        <m:sty m:val="p"/>
                      </m:rPr>
                      <w:rPr>
                        <w:rFonts w:ascii="Cambria Math" w:hAnsi="Cambria Math" w:cs="Arial"/>
                        <w:sz w:val="24"/>
                      </w:rPr>
                      <m:t>2010-11</m:t>
                    </m:r>
                  </m:sub>
                </m:sSub>
                <m:r>
                  <m:rPr>
                    <m:sty m:val="p"/>
                  </m:rPr>
                  <w:rPr>
                    <w:rFonts w:ascii="Cambria Math" w:hAnsi="Cambria Math" w:cs="Arial"/>
                    <w:sz w:val="24"/>
                  </w:rPr>
                  <m:t>)/</m:t>
                </m:r>
                <m:r>
                  <w:rPr>
                    <w:rFonts w:ascii="Cambria Math" w:hAnsi="Cambria Math" w:cs="Arial"/>
                    <w:sz w:val="24"/>
                  </w:rPr>
                  <m:t>average</m:t>
                </m:r>
                <m:r>
                  <m:rPr>
                    <m:sty m:val="p"/>
                  </m:rPr>
                  <w:rPr>
                    <w:rFonts w:ascii="Cambria Math" w:hAnsi="Cambria Math" w:cs="Arial"/>
                    <w:sz w:val="24"/>
                  </w:rPr>
                  <m:t>(</m:t>
                </m:r>
                <m:sSub>
                  <m:sSubPr>
                    <m:ctrlPr>
                      <w:rPr>
                        <w:rFonts w:ascii="Cambria Math" w:hAnsi="Cambria Math" w:cs="Arial"/>
                        <w:sz w:val="24"/>
                      </w:rPr>
                    </m:ctrlPr>
                  </m:sSubPr>
                  <m:e>
                    <m:r>
                      <w:rPr>
                        <w:rFonts w:ascii="Cambria Math" w:hAnsi="Cambria Math" w:cs="Arial"/>
                        <w:sz w:val="24"/>
                      </w:rPr>
                      <m:t>R</m:t>
                    </m:r>
                  </m:e>
                  <m:sub>
                    <m:r>
                      <m:rPr>
                        <m:sty m:val="p"/>
                      </m:rPr>
                      <w:rPr>
                        <w:rFonts w:ascii="Cambria Math" w:hAnsi="Cambria Math" w:cs="Arial"/>
                        <w:sz w:val="24"/>
                      </w:rPr>
                      <m:t>2010-11</m:t>
                    </m:r>
                  </m:sub>
                </m:sSub>
                <m:r>
                  <m:rPr>
                    <m:sty m:val="p"/>
                  </m:rPr>
                  <w:rPr>
                    <w:rFonts w:ascii="Cambria Math" w:hAnsi="Cambria Math" w:cs="Arial"/>
                    <w:sz w:val="24"/>
                  </w:rPr>
                  <m:t>)</m:t>
                </m:r>
              </m:den>
            </m:f>
          </m:e>
        </m:d>
      </m:oMath>
      <w:r w:rsidR="0005565A">
        <w:t xml:space="preserve"> </w:t>
      </w:r>
    </w:p>
    <w:p w:rsidR="0040782E" w:rsidRDefault="0040782E" w:rsidP="0040782E">
      <w:pPr>
        <w:pStyle w:val="Source"/>
      </w:pPr>
      <w:r>
        <w:rPr>
          <w:i/>
        </w:rPr>
        <w:t>Data source</w:t>
      </w:r>
      <w:r w:rsidRPr="00167F06">
        <w:t xml:space="preserve">: </w:t>
      </w:r>
      <w:proofErr w:type="spellStart"/>
      <w:r>
        <w:t>AEMC</w:t>
      </w:r>
      <w:proofErr w:type="spellEnd"/>
      <w:r>
        <w:t xml:space="preserve"> (</w:t>
      </w:r>
      <w:proofErr w:type="spellStart"/>
      <w:r>
        <w:t>2011</w:t>
      </w:r>
      <w:r w:rsidR="00E348CD">
        <w:t>a</w:t>
      </w:r>
      <w:proofErr w:type="spellEnd"/>
      <w:r>
        <w:t>)</w:t>
      </w:r>
      <w:r w:rsidR="00CB0994">
        <w:t xml:space="preserve"> and PC calculations</w:t>
      </w:r>
      <w:r>
        <w:t>.</w:t>
      </w:r>
    </w:p>
    <w:p w:rsidR="009327C7" w:rsidRDefault="009327C7">
      <w:pPr>
        <w:pStyle w:val="FigureTitle"/>
      </w:pPr>
      <w:r>
        <w:rPr>
          <w:b w:val="0"/>
        </w:rPr>
        <w:lastRenderedPageBreak/>
        <w:t xml:space="preserve">Figure </w:t>
      </w:r>
      <w:r w:rsidR="006E210A">
        <w:rPr>
          <w:b w:val="0"/>
        </w:rPr>
        <w:t>2.</w:t>
      </w:r>
      <w:r w:rsidR="00493C6B">
        <w:rPr>
          <w:b w:val="0"/>
          <w:noProof/>
        </w:rPr>
        <w:t>13</w:t>
      </w:r>
      <w:r>
        <w:tab/>
      </w:r>
      <w:r w:rsidR="003E3875">
        <w:t xml:space="preserve">Input prices </w:t>
      </w:r>
    </w:p>
    <w:p w:rsidR="009327C7" w:rsidRDefault="003E3875">
      <w:pPr>
        <w:pStyle w:val="Subtitle"/>
      </w:pPr>
      <w:r>
        <w:t>June 1998 to June 2012</w:t>
      </w:r>
    </w:p>
    <w:tbl>
      <w:tblPr>
        <w:tblW w:w="8778" w:type="dxa"/>
        <w:tblInd w:w="119" w:type="dxa"/>
        <w:tblBorders>
          <w:top w:val="single" w:sz="6" w:space="0" w:color="auto"/>
          <w:bottom w:val="single" w:sz="6" w:space="0" w:color="auto"/>
        </w:tblBorders>
        <w:tblLayout w:type="fixed"/>
        <w:tblLook w:val="0000" w:firstRow="0" w:lastRow="0" w:firstColumn="0" w:lastColumn="0" w:noHBand="0" w:noVBand="0"/>
      </w:tblPr>
      <w:tblGrid>
        <w:gridCol w:w="4389"/>
        <w:gridCol w:w="4389"/>
      </w:tblGrid>
      <w:tr w:rsidR="009327C7" w:rsidTr="006C041A">
        <w:tc>
          <w:tcPr>
            <w:tcW w:w="4389" w:type="dxa"/>
          </w:tcPr>
          <w:p w:rsidR="009327C7" w:rsidRDefault="00271672">
            <w:pPr>
              <w:pStyle w:val="Figure"/>
            </w:pPr>
            <w:r>
              <w:rPr>
                <w:noProof/>
              </w:rPr>
              <w:drawing>
                <wp:inline distT="0" distB="0" distL="0" distR="0" wp14:anchorId="3B6CCD06">
                  <wp:extent cx="2664460" cy="2749550"/>
                  <wp:effectExtent l="0" t="0" r="2540" b="0"/>
                  <wp:docPr id="26" name="Picture 26" descr="Input prices. This first chart compares the change in wage costs for private and public electricity, gas and water business with all industries from 1998 to 2012. State-owned wage rates have risen faster than private o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4460" cy="2749550"/>
                          </a:xfrm>
                          <a:prstGeom prst="rect">
                            <a:avLst/>
                          </a:prstGeom>
                          <a:noFill/>
                        </pic:spPr>
                      </pic:pic>
                    </a:graphicData>
                  </a:graphic>
                </wp:inline>
              </w:drawing>
            </w:r>
          </w:p>
        </w:tc>
        <w:tc>
          <w:tcPr>
            <w:tcW w:w="4389" w:type="dxa"/>
          </w:tcPr>
          <w:p w:rsidR="009327C7" w:rsidRDefault="00271672">
            <w:pPr>
              <w:pStyle w:val="Figure"/>
            </w:pPr>
            <w:r>
              <w:rPr>
                <w:noProof/>
              </w:rPr>
              <w:drawing>
                <wp:inline distT="0" distB="0" distL="0" distR="0" wp14:anchorId="287F7774">
                  <wp:extent cx="2688590" cy="2749550"/>
                  <wp:effectExtent l="0" t="0" r="0" b="0"/>
                  <wp:docPr id="28" name="Picture 28" descr="This second chart compares the changes in the price index of copper and brass, distribution transformers and aluminium  from 1998 to 2012. Other than a steep increase in the early 2000s, prices of inputs have been stable or falling. Distribution transformers fell dramatically over from the mid 2000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88590" cy="2749550"/>
                          </a:xfrm>
                          <a:prstGeom prst="rect">
                            <a:avLst/>
                          </a:prstGeom>
                          <a:noFill/>
                        </pic:spPr>
                      </pic:pic>
                    </a:graphicData>
                  </a:graphic>
                </wp:inline>
              </w:drawing>
            </w:r>
          </w:p>
        </w:tc>
      </w:tr>
    </w:tbl>
    <w:p w:rsidR="009327C7" w:rsidRDefault="009327C7">
      <w:pPr>
        <w:pStyle w:val="Source"/>
      </w:pPr>
      <w:r>
        <w:rPr>
          <w:i/>
        </w:rPr>
        <w:t>Data source</w:t>
      </w:r>
      <w:r w:rsidR="00532F2A">
        <w:rPr>
          <w:i/>
        </w:rPr>
        <w:t>s</w:t>
      </w:r>
      <w:r w:rsidRPr="00167F06">
        <w:t xml:space="preserve">: </w:t>
      </w:r>
      <w:r w:rsidR="00532F2A">
        <w:t xml:space="preserve">ABS </w:t>
      </w:r>
      <w:r w:rsidR="00987960">
        <w:t>(</w:t>
      </w:r>
      <w:r w:rsidR="00532F2A">
        <w:t>2012</w:t>
      </w:r>
      <w:r w:rsidR="00987960">
        <w:t>a)</w:t>
      </w:r>
      <w:r w:rsidR="00532F2A">
        <w:t xml:space="preserve">, </w:t>
      </w:r>
      <w:r w:rsidR="00532F2A" w:rsidRPr="00C134A7">
        <w:rPr>
          <w:i/>
        </w:rPr>
        <w:t>Labour Price Index, Australia</w:t>
      </w:r>
      <w:r w:rsidR="00532F2A">
        <w:t>, Cat. No. </w:t>
      </w:r>
      <w:r w:rsidR="00532F2A" w:rsidRPr="00532F2A">
        <w:t>6345.0</w:t>
      </w:r>
      <w:r w:rsidR="00C134A7">
        <w:t>;</w:t>
      </w:r>
      <w:r w:rsidR="00532F2A">
        <w:t xml:space="preserve"> ABS </w:t>
      </w:r>
      <w:r w:rsidR="00987960">
        <w:t>(</w:t>
      </w:r>
      <w:r w:rsidR="00532F2A">
        <w:t>2012</w:t>
      </w:r>
      <w:r w:rsidR="007A5198">
        <w:t>d)</w:t>
      </w:r>
      <w:r w:rsidR="00532F2A">
        <w:t xml:space="preserve">, </w:t>
      </w:r>
      <w:r w:rsidR="00532F2A" w:rsidRPr="00532F2A">
        <w:rPr>
          <w:i/>
        </w:rPr>
        <w:t>Producer Price Indexes, Australia</w:t>
      </w:r>
      <w:r w:rsidR="00532F2A">
        <w:t>, Cat. No. </w:t>
      </w:r>
      <w:r w:rsidR="00532F2A" w:rsidRPr="00532F2A">
        <w:t>6427.0</w:t>
      </w:r>
      <w:r w:rsidR="00755FC0">
        <w:t>.</w:t>
      </w:r>
    </w:p>
    <w:p w:rsidR="002568C9" w:rsidRDefault="002568C9" w:rsidP="002568C9">
      <w:pPr>
        <w:pStyle w:val="BodyText"/>
      </w:pPr>
      <w:r>
        <w:t>Above all, lower productivity appears to have been a major pressure on network charges. In recent years, the stock of electricity infrastructure has risen rapidly and, unusually by historical experiences, labour inputs have risen. As output has not risen as rapidly as average inputs, measured industry efficiency has fallen, and with it, prices per unit of power have risen.</w:t>
      </w:r>
    </w:p>
    <w:p w:rsidR="004075F5" w:rsidRDefault="003752AF" w:rsidP="004075F5">
      <w:pPr>
        <w:pStyle w:val="BodyText"/>
      </w:pPr>
      <w:r>
        <w:t xml:space="preserve">While it is less clear what has happened to the multifactor productivity </w:t>
      </w:r>
      <w:r w:rsidR="007A5198">
        <w:t xml:space="preserve">(MFP) </w:t>
      </w:r>
      <w:r>
        <w:t>of network services specifically, most of the factors driving lower productivity in the electricity industry appear to relate</w:t>
      </w:r>
      <w:r w:rsidRPr="003974F7">
        <w:t xml:space="preserve"> </w:t>
      </w:r>
      <w:r>
        <w:t>to the network (Topp and Kulys 2012).</w:t>
      </w:r>
      <w:r w:rsidR="004075F5">
        <w:rPr>
          <w:rStyle w:val="FootnoteReference"/>
        </w:rPr>
        <w:footnoteReference w:id="23"/>
      </w:r>
      <w:r>
        <w:t xml:space="preserve"> Evidence from </w:t>
      </w:r>
      <w:proofErr w:type="spellStart"/>
      <w:r w:rsidRPr="007D4383">
        <w:t>IPART</w:t>
      </w:r>
      <w:proofErr w:type="spellEnd"/>
      <w:r w:rsidRPr="007D4383">
        <w:t xml:space="preserve"> </w:t>
      </w:r>
      <w:r w:rsidR="007A5198">
        <w:t>(</w:t>
      </w:r>
      <w:r w:rsidRPr="007D4383">
        <w:t xml:space="preserve">2010) </w:t>
      </w:r>
      <w:r>
        <w:t>supports this, finding</w:t>
      </w:r>
      <w:r w:rsidRPr="007D4383">
        <w:t xml:space="preserve"> that in N</w:t>
      </w:r>
      <w:r w:rsidR="007A5198">
        <w:t>ew </w:t>
      </w:r>
      <w:r w:rsidRPr="007D4383">
        <w:t>S</w:t>
      </w:r>
      <w:r w:rsidR="007A5198">
        <w:t>outh </w:t>
      </w:r>
      <w:r w:rsidRPr="007D4383">
        <w:t>W</w:t>
      </w:r>
      <w:r w:rsidR="007A5198">
        <w:t>ales</w:t>
      </w:r>
      <w:r w:rsidRPr="007D4383">
        <w:t xml:space="preserve"> there were more pronounced productivity reductions for network businesses than for generators.</w:t>
      </w:r>
      <w:r w:rsidR="004075F5" w:rsidRPr="004075F5">
        <w:t xml:space="preserve"> </w:t>
      </w:r>
    </w:p>
    <w:p w:rsidR="004075F5" w:rsidRDefault="004075F5" w:rsidP="004075F5">
      <w:pPr>
        <w:pStyle w:val="BodyText"/>
      </w:pPr>
      <w:r>
        <w:t>Topp and Kulys identify three phases of multifactor productivity growth in the electricity industry</w:t>
      </w:r>
      <w:r w:rsidR="00C0287F">
        <w:t xml:space="preserve"> (figure 2.14)</w:t>
      </w:r>
      <w:r>
        <w:t>:</w:t>
      </w:r>
    </w:p>
    <w:p w:rsidR="004075F5" w:rsidRDefault="004075F5" w:rsidP="004075F5">
      <w:pPr>
        <w:pStyle w:val="ListBullet"/>
      </w:pPr>
      <w:r>
        <w:t>moderate growth phase from 1974</w:t>
      </w:r>
      <w:r>
        <w:noBreakHyphen/>
        <w:t>75 to 1985</w:t>
      </w:r>
      <w:r>
        <w:noBreakHyphen/>
        <w:t>86</w:t>
      </w:r>
    </w:p>
    <w:p w:rsidR="004075F5" w:rsidRDefault="004075F5" w:rsidP="004075F5">
      <w:pPr>
        <w:pStyle w:val="ListBullet"/>
      </w:pPr>
      <w:r>
        <w:t>a rapid growth phase from 1985</w:t>
      </w:r>
      <w:r>
        <w:noBreakHyphen/>
        <w:t>86 to 1997</w:t>
      </w:r>
      <w:r>
        <w:noBreakHyphen/>
        <w:t>98</w:t>
      </w:r>
    </w:p>
    <w:p w:rsidR="004075F5" w:rsidRDefault="004075F5" w:rsidP="004075F5">
      <w:pPr>
        <w:pStyle w:val="ListBullet"/>
      </w:pPr>
      <w:r>
        <w:lastRenderedPageBreak/>
        <w:t>a negative growth phase 1997</w:t>
      </w:r>
      <w:r>
        <w:noBreakHyphen/>
        <w:t>98 to 2009</w:t>
      </w:r>
      <w:r>
        <w:noBreakHyphen/>
        <w:t>10</w:t>
      </w:r>
      <w:r w:rsidR="00304CF5">
        <w:t>.</w:t>
      </w:r>
    </w:p>
    <w:p w:rsidR="0040782E" w:rsidRDefault="0040782E" w:rsidP="0040782E">
      <w:pPr>
        <w:pStyle w:val="FigureTitle"/>
        <w:rPr>
          <w:position w:val="6"/>
          <w:sz w:val="18"/>
        </w:rPr>
      </w:pPr>
      <w:r>
        <w:rPr>
          <w:b w:val="0"/>
        </w:rPr>
        <w:t xml:space="preserve">Figure </w:t>
      </w:r>
      <w:r w:rsidR="006E210A">
        <w:rPr>
          <w:b w:val="0"/>
        </w:rPr>
        <w:t>2.</w:t>
      </w:r>
      <w:r w:rsidR="00493C6B">
        <w:rPr>
          <w:b w:val="0"/>
          <w:noProof/>
        </w:rPr>
        <w:t>14</w:t>
      </w:r>
      <w:r>
        <w:tab/>
      </w:r>
      <w:r w:rsidRPr="00B618DE">
        <w:t xml:space="preserve">Measured electricity sector productivity has been </w:t>
      </w:r>
      <w:r>
        <w:t>falling</w:t>
      </w:r>
    </w:p>
    <w:p w:rsidR="0040782E" w:rsidRPr="00630FFA" w:rsidRDefault="0040782E" w:rsidP="0040782E">
      <w:pPr>
        <w:pStyle w:val="Subtitle"/>
      </w:pPr>
      <w:r>
        <w:t>1974</w:t>
      </w:r>
      <w:r>
        <w:noBreakHyphen/>
        <w:t>75 to 2009</w:t>
      </w:r>
      <w:r>
        <w:noBreakHyphen/>
        <w:t>10</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4388"/>
        <w:gridCol w:w="4389"/>
      </w:tblGrid>
      <w:tr w:rsidR="0040782E" w:rsidTr="0075344C">
        <w:tc>
          <w:tcPr>
            <w:tcW w:w="4388" w:type="dxa"/>
            <w:tcBorders>
              <w:right w:val="single" w:sz="4" w:space="0" w:color="auto"/>
            </w:tcBorders>
          </w:tcPr>
          <w:p w:rsidR="0040782E" w:rsidRDefault="0040782E" w:rsidP="0075344C">
            <w:pPr>
              <w:pStyle w:val="Figure"/>
            </w:pPr>
            <w:r w:rsidRPr="00E704FC">
              <w:rPr>
                <w:rFonts w:ascii="Arial" w:hAnsi="Arial"/>
                <w:sz w:val="20"/>
                <w:szCs w:val="24"/>
              </w:rPr>
              <w:t>Comparative productivity performance</w:t>
            </w:r>
            <w:r w:rsidRPr="004356E3">
              <w:rPr>
                <w:rStyle w:val="NoteLabel"/>
              </w:rPr>
              <w:t>a</w:t>
            </w:r>
          </w:p>
        </w:tc>
        <w:tc>
          <w:tcPr>
            <w:tcW w:w="4389" w:type="dxa"/>
            <w:tcBorders>
              <w:left w:val="single" w:sz="4" w:space="0" w:color="auto"/>
            </w:tcBorders>
          </w:tcPr>
          <w:p w:rsidR="0040782E" w:rsidRDefault="0040782E" w:rsidP="0075344C">
            <w:pPr>
              <w:pStyle w:val="Figure"/>
            </w:pPr>
            <w:r w:rsidRPr="00E704FC">
              <w:rPr>
                <w:rFonts w:ascii="Arial" w:hAnsi="Arial"/>
                <w:sz w:val="20"/>
                <w:szCs w:val="24"/>
              </w:rPr>
              <w:t xml:space="preserve">Input </w:t>
            </w:r>
            <w:r>
              <w:rPr>
                <w:rFonts w:ascii="Arial" w:hAnsi="Arial"/>
                <w:sz w:val="20"/>
                <w:szCs w:val="24"/>
              </w:rPr>
              <w:t xml:space="preserve">and output </w:t>
            </w:r>
            <w:r w:rsidRPr="00E704FC">
              <w:rPr>
                <w:rFonts w:ascii="Arial" w:hAnsi="Arial"/>
                <w:sz w:val="20"/>
                <w:szCs w:val="24"/>
              </w:rPr>
              <w:t>growth in electricity</w:t>
            </w:r>
          </w:p>
        </w:tc>
      </w:tr>
      <w:tr w:rsidR="0040782E" w:rsidTr="0075344C">
        <w:tc>
          <w:tcPr>
            <w:tcW w:w="4388" w:type="dxa"/>
            <w:tcBorders>
              <w:right w:val="single" w:sz="4" w:space="0" w:color="auto"/>
            </w:tcBorders>
          </w:tcPr>
          <w:p w:rsidR="0040782E" w:rsidRDefault="0040782E" w:rsidP="0075344C">
            <w:pPr>
              <w:pStyle w:val="Figure"/>
            </w:pPr>
            <w:r>
              <w:rPr>
                <w:noProof/>
              </w:rPr>
              <w:drawing>
                <wp:inline distT="0" distB="0" distL="0" distR="0" wp14:anchorId="63CFE359" wp14:editId="3951B02A">
                  <wp:extent cx="2733675" cy="2733675"/>
                  <wp:effectExtent l="0" t="0" r="9525" b="9525"/>
                  <wp:docPr id="21" name="Picture 21" descr="Measured electricity sector productivity has been falling. This chart compares the productivity index of electricity to the market sector between 1974-75 and 2009-1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33675" cy="2733675"/>
                          </a:xfrm>
                          <a:prstGeom prst="rect">
                            <a:avLst/>
                          </a:prstGeom>
                          <a:noFill/>
                          <a:ln>
                            <a:noFill/>
                          </a:ln>
                        </pic:spPr>
                      </pic:pic>
                    </a:graphicData>
                  </a:graphic>
                </wp:inline>
              </w:drawing>
            </w:r>
          </w:p>
        </w:tc>
        <w:tc>
          <w:tcPr>
            <w:tcW w:w="4389" w:type="dxa"/>
            <w:tcBorders>
              <w:left w:val="single" w:sz="4" w:space="0" w:color="auto"/>
            </w:tcBorders>
          </w:tcPr>
          <w:p w:rsidR="0040782E" w:rsidRDefault="0040782E" w:rsidP="0075344C">
            <w:pPr>
              <w:pStyle w:val="Figure"/>
            </w:pPr>
            <w:r>
              <w:rPr>
                <w:noProof/>
              </w:rPr>
              <w:drawing>
                <wp:inline distT="0" distB="0" distL="0" distR="0" wp14:anchorId="0DE00524" wp14:editId="6631ED4C">
                  <wp:extent cx="2752725" cy="2743200"/>
                  <wp:effectExtent l="0" t="0" r="9525" b="0"/>
                  <wp:docPr id="22" name="Picture 22" descr="Measured electricity sector productivity has been falling.This chart compares the input index of output, capital, weighted inputs and labour  between 1974-75 and 200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52725" cy="2743200"/>
                          </a:xfrm>
                          <a:prstGeom prst="rect">
                            <a:avLst/>
                          </a:prstGeom>
                          <a:noFill/>
                          <a:ln>
                            <a:noFill/>
                          </a:ln>
                        </pic:spPr>
                      </pic:pic>
                    </a:graphicData>
                  </a:graphic>
                </wp:inline>
              </w:drawing>
            </w:r>
          </w:p>
        </w:tc>
      </w:tr>
    </w:tbl>
    <w:p w:rsidR="0040782E" w:rsidRDefault="0040782E" w:rsidP="0040782E">
      <w:pPr>
        <w:pStyle w:val="Note"/>
      </w:pPr>
      <w:r>
        <w:rPr>
          <w:rStyle w:val="NoteLabel"/>
        </w:rPr>
        <w:t>a</w:t>
      </w:r>
      <w:r>
        <w:sym w:font="Symbol" w:char="F020"/>
      </w:r>
      <w:r w:rsidRPr="00B618DE">
        <w:t xml:space="preserve"> Multifactor productivity estimates</w:t>
      </w:r>
      <w:r>
        <w:t xml:space="preserve"> are increases in real output </w:t>
      </w:r>
      <w:r w:rsidRPr="00B618DE">
        <w:t>after taking account of changes in labour and capital inputs. The market sector includes all industries, with the exception of a few industries (public administration and defence), where reliable measures of productivity are difficult to calculate.</w:t>
      </w:r>
    </w:p>
    <w:p w:rsidR="0040782E" w:rsidRDefault="0040782E" w:rsidP="0040782E">
      <w:pPr>
        <w:pStyle w:val="Source"/>
      </w:pPr>
      <w:r>
        <w:rPr>
          <w:i/>
        </w:rPr>
        <w:t>Data source</w:t>
      </w:r>
      <w:r w:rsidRPr="00167F06">
        <w:t xml:space="preserve">: </w:t>
      </w:r>
      <w:r w:rsidRPr="007D4383">
        <w:t>Topp and Kulys (2012).</w:t>
      </w:r>
    </w:p>
    <w:p w:rsidR="002568C9" w:rsidRDefault="002568C9" w:rsidP="002568C9">
      <w:pPr>
        <w:pStyle w:val="BodyText"/>
      </w:pPr>
      <w:r>
        <w:t xml:space="preserve">Much of the negative growth rate appears to reflect capital growth without commensurate measured output growth. At face value, that suggests inefficiency. However, at least some of the growth in the capital stock reflects replacement capital for ageing assets, and new capital to meet the demand for greater reliability levels, growing peak demands, and requirements for greater undergrounding of lines (noting that underground lines are significantly more costly than overhead lines). Network businesses pointed to some of these pressures (for example, </w:t>
      </w:r>
      <w:proofErr w:type="spellStart"/>
      <w:r>
        <w:t>Ergon</w:t>
      </w:r>
      <w:proofErr w:type="spellEnd"/>
      <w:r>
        <w:t xml:space="preserve"> Energy sub. 8, p. 11). The </w:t>
      </w:r>
      <w:r w:rsidR="00C134A7">
        <w:t>ABS’</w:t>
      </w:r>
      <w:r>
        <w:t xml:space="preserve"> output measures for electricity fail to take account of the value of customer reliability, the benefits of undergrounding or the additional value of capacity at peak times. Were these counted as output benefits, MFP growth would have been higher. </w:t>
      </w:r>
    </w:p>
    <w:p w:rsidR="002568C9" w:rsidRDefault="002568C9" w:rsidP="002568C9">
      <w:pPr>
        <w:pStyle w:val="BodyText"/>
      </w:pPr>
      <w:r>
        <w:t xml:space="preserve">Nevertheless, the fact that some pressures have legitimately led to rising capital investment, and therefore a measured fall in productivity, does not necessarily mean that network businesses have performed as efficiently as they could. The regulator and many customers claim that regulatory flaws have led to premature and </w:t>
      </w:r>
      <w:r>
        <w:lastRenderedPageBreak/>
        <w:t>inefficient investment. These investment patterns (and the possibility of addressing them through benchmarking) are the preoccupation of chapters </w:t>
      </w:r>
      <w:r w:rsidRPr="00BF68DC">
        <w:t xml:space="preserve">5 to </w:t>
      </w:r>
      <w:r>
        <w:t xml:space="preserve">8. </w:t>
      </w:r>
    </w:p>
    <w:p w:rsidR="002568C9" w:rsidRDefault="002568C9" w:rsidP="002568C9">
      <w:pPr>
        <w:pStyle w:val="BodyText"/>
      </w:pPr>
      <w:r>
        <w:t xml:space="preserve">Moreover, even though customers value reliability, it is not clear that many of the investments have actually increased reliability or, to the extent that they have, that the benefits to customers have outweighed the investment costs (and the associated price increases that these entail). Similarly, while rising peak to average demand requires network reinforcement, it is an open question whether other approaches — such as demand management — could have been used as a more efficient alternative. Accordingly, there is a potentially large difference between the </w:t>
      </w:r>
      <w:r w:rsidRPr="00D53C90">
        <w:rPr>
          <w:i/>
        </w:rPr>
        <w:t>proximate</w:t>
      </w:r>
      <w:r>
        <w:t xml:space="preserve"> causes of rising network investment and the real underlying forces at work.</w:t>
      </w:r>
    </w:p>
    <w:p w:rsidR="00D20EC5" w:rsidRDefault="006E210A" w:rsidP="00D20EC5">
      <w:pPr>
        <w:pStyle w:val="Heading2"/>
      </w:pPr>
      <w:r>
        <w:t>2.</w:t>
      </w:r>
      <w:r w:rsidR="00493C6B">
        <w:rPr>
          <w:noProof/>
        </w:rPr>
        <w:t>6</w:t>
      </w:r>
      <w:r w:rsidR="00D20EC5">
        <w:tab/>
        <w:t>Reliability</w:t>
      </w:r>
    </w:p>
    <w:p w:rsidR="0007020D" w:rsidRDefault="004A0CE2" w:rsidP="00D20EC5">
      <w:pPr>
        <w:pStyle w:val="BodyText"/>
      </w:pPr>
      <w:r>
        <w:t>The reliability of networks ha</w:t>
      </w:r>
      <w:r w:rsidR="00215D51">
        <w:t>s</w:t>
      </w:r>
      <w:r>
        <w:t xml:space="preserve"> many dimensions — such as </w:t>
      </w:r>
      <w:r w:rsidR="009E10C4">
        <w:t xml:space="preserve">the </w:t>
      </w:r>
      <w:r>
        <w:t>num</w:t>
      </w:r>
      <w:r w:rsidR="009E10C4">
        <w:t>ber of outages per customer</w:t>
      </w:r>
      <w:r>
        <w:t>, average interruption duration</w:t>
      </w:r>
      <w:r w:rsidR="00753971">
        <w:t>s</w:t>
      </w:r>
      <w:r>
        <w:t xml:space="preserve"> and the geographical reach of outages (chapter </w:t>
      </w:r>
      <w:r w:rsidR="00494616">
        <w:t>14</w:t>
      </w:r>
      <w:r>
        <w:t xml:space="preserve">). Generally, transmission networks are </w:t>
      </w:r>
      <w:r w:rsidR="00BB320F">
        <w:t>very</w:t>
      </w:r>
      <w:r>
        <w:t xml:space="preserve"> reliable due to their high level of redundancy</w:t>
      </w:r>
      <w:r w:rsidR="00753971">
        <w:t xml:space="preserve"> and the rarity of events likely to trigger outages. Consequently, the most meaningful measure of network performance over short periods relate to distribution networks</w:t>
      </w:r>
      <w:r w:rsidR="00BB320F">
        <w:t xml:space="preserve">. </w:t>
      </w:r>
    </w:p>
    <w:p w:rsidR="00E1099C" w:rsidRDefault="0007020D" w:rsidP="00EE7B24">
      <w:pPr>
        <w:pStyle w:val="BodyText"/>
      </w:pPr>
      <w:r>
        <w:t>There are marked differences in reliability levels</w:t>
      </w:r>
      <w:r w:rsidR="00E1099C">
        <w:t xml:space="preserve"> between states</w:t>
      </w:r>
      <w:r>
        <w:t>, with a persistent gap between that of Queensland distributors and those in other jurisdictions (figure 2.</w:t>
      </w:r>
      <w:r w:rsidR="00E1099C">
        <w:t>1</w:t>
      </w:r>
      <w:r w:rsidR="00C0287F">
        <w:t>5</w:t>
      </w:r>
      <w:r>
        <w:t>), only some of which appears to reflect lower customer densities.</w:t>
      </w:r>
      <w:r>
        <w:rPr>
          <w:rStyle w:val="FootnoteReference"/>
        </w:rPr>
        <w:footnoteReference w:id="24"/>
      </w:r>
      <w:r w:rsidRPr="00D20EC5">
        <w:t xml:space="preserve"> </w:t>
      </w:r>
    </w:p>
    <w:p w:rsidR="002568C9" w:rsidRDefault="002568C9" w:rsidP="002568C9">
      <w:pPr>
        <w:pStyle w:val="BodyText"/>
      </w:pPr>
      <w:r>
        <w:t xml:space="preserve">The </w:t>
      </w:r>
      <w:proofErr w:type="spellStart"/>
      <w:r>
        <w:t>AER</w:t>
      </w:r>
      <w:proofErr w:type="spellEnd"/>
      <w:r>
        <w:t xml:space="preserve"> has observed that the reliability levels, as measured by average annual outage durations</w:t>
      </w:r>
      <w:r>
        <w:rPr>
          <w:rStyle w:val="FootnoteReference"/>
        </w:rPr>
        <w:footnoteReference w:id="25"/>
      </w:r>
      <w:r>
        <w:t xml:space="preserve"> and the annual number of interruptions per customer</w:t>
      </w:r>
      <w:r>
        <w:rPr>
          <w:rStyle w:val="FootnoteReference"/>
        </w:rPr>
        <w:footnoteReference w:id="26"/>
      </w:r>
      <w:r>
        <w:t xml:space="preserve"> have been relatively stable over time. The Commission found only one statistically significant trend — an increase in average minutes of outages per customer of 10 minutes per year in Victoria.</w:t>
      </w:r>
    </w:p>
    <w:p w:rsidR="002568C9" w:rsidRDefault="002568C9" w:rsidP="00EE7B24">
      <w:pPr>
        <w:pStyle w:val="BodyText"/>
      </w:pPr>
    </w:p>
    <w:p w:rsidR="00A62471" w:rsidRDefault="00A62471" w:rsidP="0002650F">
      <w:pPr>
        <w:pStyle w:val="FigureTitle"/>
      </w:pPr>
      <w:r>
        <w:rPr>
          <w:b w:val="0"/>
        </w:rPr>
        <w:lastRenderedPageBreak/>
        <w:t xml:space="preserve">Figure </w:t>
      </w:r>
      <w:r w:rsidR="006E210A">
        <w:rPr>
          <w:b w:val="0"/>
        </w:rPr>
        <w:t>2.</w:t>
      </w:r>
      <w:r w:rsidR="00493C6B">
        <w:rPr>
          <w:b w:val="0"/>
          <w:noProof/>
        </w:rPr>
        <w:t>15</w:t>
      </w:r>
      <w:r>
        <w:tab/>
      </w:r>
      <w:r w:rsidR="0007020D">
        <w:t>Reliability varies significantly</w:t>
      </w:r>
      <w:r w:rsidR="0007020D" w:rsidRPr="0007020D">
        <w:rPr>
          <w:rStyle w:val="NoteLabel"/>
        </w:rPr>
        <w:t>a</w:t>
      </w:r>
    </w:p>
    <w:tbl>
      <w:tblPr>
        <w:tblW w:w="8778" w:type="dxa"/>
        <w:tblInd w:w="119" w:type="dxa"/>
        <w:tblBorders>
          <w:top w:val="single" w:sz="6" w:space="0" w:color="auto"/>
          <w:bottom w:val="single" w:sz="6" w:space="0" w:color="auto"/>
        </w:tblBorders>
        <w:tblLayout w:type="fixed"/>
        <w:tblLook w:val="0000" w:firstRow="0" w:lastRow="0" w:firstColumn="0" w:lastColumn="0" w:noHBand="0" w:noVBand="0"/>
      </w:tblPr>
      <w:tblGrid>
        <w:gridCol w:w="4389"/>
        <w:gridCol w:w="4389"/>
      </w:tblGrid>
      <w:tr w:rsidR="00A62471" w:rsidTr="00F77A10">
        <w:tc>
          <w:tcPr>
            <w:tcW w:w="4389" w:type="dxa"/>
          </w:tcPr>
          <w:p w:rsidR="00A62471" w:rsidRDefault="00271672">
            <w:pPr>
              <w:pStyle w:val="Figure"/>
            </w:pPr>
            <w:r>
              <w:rPr>
                <w:noProof/>
              </w:rPr>
              <w:drawing>
                <wp:inline distT="0" distB="0" distL="0" distR="0" wp14:anchorId="03645424">
                  <wp:extent cx="2755900" cy="3152140"/>
                  <wp:effectExtent l="0" t="0" r="6350" b="0"/>
                  <wp:docPr id="224" name="Picture 224" descr="Reliability varies significantly. This chart shows the yearly outages per customer compared with the average minutes lost per customer in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55900" cy="3152140"/>
                          </a:xfrm>
                          <a:prstGeom prst="rect">
                            <a:avLst/>
                          </a:prstGeom>
                          <a:noFill/>
                        </pic:spPr>
                      </pic:pic>
                    </a:graphicData>
                  </a:graphic>
                </wp:inline>
              </w:drawing>
            </w:r>
          </w:p>
        </w:tc>
        <w:tc>
          <w:tcPr>
            <w:tcW w:w="4389" w:type="dxa"/>
          </w:tcPr>
          <w:p w:rsidR="00A62471" w:rsidRDefault="00271672">
            <w:pPr>
              <w:pStyle w:val="Figure"/>
            </w:pPr>
            <w:r>
              <w:rPr>
                <w:noProof/>
              </w:rPr>
              <w:drawing>
                <wp:inline distT="0" distB="0" distL="0" distR="0" wp14:anchorId="1BA2F80A">
                  <wp:extent cx="2859405" cy="3145790"/>
                  <wp:effectExtent l="0" t="0" r="0" b="0"/>
                  <wp:docPr id="225" name="Picture 225" descr="Reliability varies significantly. This chart shows the yearly outages per customer compared with the average minutes lost per customer in Queensland and South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59405" cy="3145790"/>
                          </a:xfrm>
                          <a:prstGeom prst="rect">
                            <a:avLst/>
                          </a:prstGeom>
                          <a:noFill/>
                        </pic:spPr>
                      </pic:pic>
                    </a:graphicData>
                  </a:graphic>
                </wp:inline>
              </w:drawing>
            </w:r>
          </w:p>
        </w:tc>
      </w:tr>
      <w:tr w:rsidR="00B92C41" w:rsidRPr="00B92C41" w:rsidTr="00B92C41">
        <w:tblPrEx>
          <w:tblCellMar>
            <w:left w:w="0" w:type="dxa"/>
            <w:right w:w="0" w:type="dxa"/>
          </w:tblCellMar>
        </w:tblPrEx>
        <w:trPr>
          <w:trHeight w:val="318"/>
        </w:trPr>
        <w:tc>
          <w:tcPr>
            <w:tcW w:w="8778" w:type="dxa"/>
            <w:gridSpan w:val="2"/>
          </w:tcPr>
          <w:p w:rsidR="00B92C41" w:rsidRPr="00551E21" w:rsidRDefault="00B92C41" w:rsidP="00B92C41">
            <w:pPr>
              <w:pStyle w:val="Figure"/>
              <w:rPr>
                <w:rFonts w:ascii="Arial" w:hAnsi="Arial" w:cs="Arial"/>
                <w:b/>
                <w:sz w:val="20"/>
              </w:rPr>
            </w:pPr>
            <w:r w:rsidRPr="00551E21">
              <w:rPr>
                <w:rFonts w:ascii="Arial" w:hAnsi="Arial" w:cs="Arial"/>
                <w:b/>
                <w:sz w:val="20"/>
              </w:rPr>
              <w:t>Average minutes lost per customer</w:t>
            </w:r>
            <w:r w:rsidR="00F774DD">
              <w:rPr>
                <w:rFonts w:ascii="Arial" w:hAnsi="Arial" w:cs="Arial"/>
                <w:b/>
                <w:sz w:val="20"/>
              </w:rPr>
              <w:t xml:space="preserve"> (</w:t>
            </w:r>
            <w:proofErr w:type="spellStart"/>
            <w:r w:rsidR="00F774DD">
              <w:rPr>
                <w:rFonts w:ascii="Arial" w:hAnsi="Arial" w:cs="Arial"/>
                <w:b/>
                <w:sz w:val="20"/>
              </w:rPr>
              <w:t>SAIDI</w:t>
            </w:r>
            <w:proofErr w:type="spellEnd"/>
            <w:r w:rsidR="00F774DD">
              <w:rPr>
                <w:rFonts w:ascii="Arial" w:hAnsi="Arial" w:cs="Arial"/>
                <w:b/>
                <w:sz w:val="20"/>
              </w:rPr>
              <w:t>)</w:t>
            </w:r>
          </w:p>
        </w:tc>
      </w:tr>
      <w:tr w:rsidR="00A62471" w:rsidTr="00F77A10">
        <w:tc>
          <w:tcPr>
            <w:tcW w:w="4389" w:type="dxa"/>
          </w:tcPr>
          <w:p w:rsidR="00A62471" w:rsidRDefault="00271672">
            <w:pPr>
              <w:pStyle w:val="Figure"/>
            </w:pPr>
            <w:r>
              <w:rPr>
                <w:noProof/>
              </w:rPr>
              <w:drawing>
                <wp:inline distT="0" distB="0" distL="0" distR="0" wp14:anchorId="11C99F0D">
                  <wp:extent cx="2707005" cy="3261360"/>
                  <wp:effectExtent l="0" t="0" r="0" b="0"/>
                  <wp:docPr id="226" name="Picture 226" descr="Reliability varies significantly. This chart shows the yearly outages per customer compared with the average minutes lost per customer in Tasm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07005" cy="3261360"/>
                          </a:xfrm>
                          <a:prstGeom prst="rect">
                            <a:avLst/>
                          </a:prstGeom>
                          <a:noFill/>
                        </pic:spPr>
                      </pic:pic>
                    </a:graphicData>
                  </a:graphic>
                </wp:inline>
              </w:drawing>
            </w:r>
          </w:p>
        </w:tc>
        <w:tc>
          <w:tcPr>
            <w:tcW w:w="4389" w:type="dxa"/>
          </w:tcPr>
          <w:p w:rsidR="00A62471" w:rsidRDefault="00271672">
            <w:pPr>
              <w:pStyle w:val="Figure"/>
            </w:pPr>
            <w:r>
              <w:rPr>
                <w:noProof/>
              </w:rPr>
              <w:drawing>
                <wp:inline distT="0" distB="0" distL="0" distR="0" wp14:anchorId="447812B5">
                  <wp:extent cx="2816860" cy="3274060"/>
                  <wp:effectExtent l="0" t="0" r="2540" b="2540"/>
                  <wp:docPr id="32" name="Picture 32" descr="Reliability varies significantly. This chart shows the yearly outages per customer compared with the average minutes lost per customer in New South Wa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16860" cy="3274060"/>
                          </a:xfrm>
                          <a:prstGeom prst="rect">
                            <a:avLst/>
                          </a:prstGeom>
                          <a:noFill/>
                        </pic:spPr>
                      </pic:pic>
                    </a:graphicData>
                  </a:graphic>
                </wp:inline>
              </w:drawing>
            </w:r>
          </w:p>
        </w:tc>
      </w:tr>
      <w:tr w:rsidR="00B92C41" w:rsidRPr="00551E21" w:rsidTr="000A5558">
        <w:tblPrEx>
          <w:tblCellMar>
            <w:left w:w="0" w:type="dxa"/>
            <w:right w:w="0" w:type="dxa"/>
          </w:tblCellMar>
        </w:tblPrEx>
        <w:trPr>
          <w:trHeight w:val="318"/>
        </w:trPr>
        <w:tc>
          <w:tcPr>
            <w:tcW w:w="8778" w:type="dxa"/>
            <w:gridSpan w:val="2"/>
          </w:tcPr>
          <w:p w:rsidR="00B92C41" w:rsidRPr="00551E21" w:rsidRDefault="00B92C41" w:rsidP="000A5558">
            <w:pPr>
              <w:pStyle w:val="Figure"/>
              <w:rPr>
                <w:rFonts w:ascii="Arial" w:hAnsi="Arial" w:cs="Arial"/>
                <w:b/>
                <w:sz w:val="20"/>
              </w:rPr>
            </w:pPr>
            <w:r w:rsidRPr="00551E21">
              <w:rPr>
                <w:rFonts w:ascii="Arial" w:hAnsi="Arial" w:cs="Arial"/>
                <w:b/>
                <w:sz w:val="20"/>
              </w:rPr>
              <w:t>Average minutes lost per customer</w:t>
            </w:r>
            <w:r w:rsidR="00F774DD">
              <w:rPr>
                <w:rFonts w:ascii="Arial" w:hAnsi="Arial" w:cs="Arial"/>
                <w:b/>
                <w:sz w:val="20"/>
              </w:rPr>
              <w:t xml:space="preserve"> (</w:t>
            </w:r>
            <w:proofErr w:type="spellStart"/>
            <w:r w:rsidR="00F774DD">
              <w:rPr>
                <w:rFonts w:ascii="Arial" w:hAnsi="Arial" w:cs="Arial"/>
                <w:b/>
                <w:sz w:val="20"/>
              </w:rPr>
              <w:t>SAIDI</w:t>
            </w:r>
            <w:proofErr w:type="spellEnd"/>
            <w:r w:rsidR="00F774DD">
              <w:rPr>
                <w:rFonts w:ascii="Arial" w:hAnsi="Arial" w:cs="Arial"/>
                <w:b/>
                <w:sz w:val="20"/>
              </w:rPr>
              <w:t>)</w:t>
            </w:r>
          </w:p>
        </w:tc>
      </w:tr>
    </w:tbl>
    <w:p w:rsidR="00F77A10" w:rsidRDefault="00F77A10" w:rsidP="00F77A10">
      <w:pPr>
        <w:pStyle w:val="Note"/>
      </w:pPr>
      <w:proofErr w:type="spellStart"/>
      <w:r>
        <w:rPr>
          <w:rStyle w:val="NoteLabel"/>
        </w:rPr>
        <w:t>a</w:t>
      </w:r>
      <w:proofErr w:type="spellEnd"/>
      <w:r>
        <w:sym w:font="Symbol" w:char="F020"/>
      </w:r>
      <w:r w:rsidRPr="00F07339">
        <w:t>The data reflect total outages experienced by distribution customers, including outages resulting from issues in the generation and transmission sectors. In general, the data have not been normalised to exclude outages beyond the network</w:t>
      </w:r>
      <w:r>
        <w:t xml:space="preserve"> operator’s reasonable control, although problems due to major weather events have been excluded.</w:t>
      </w:r>
      <w:r w:rsidR="00215D51">
        <w:t xml:space="preserve"> </w:t>
      </w:r>
      <w:proofErr w:type="spellStart"/>
      <w:r w:rsidR="00215D51">
        <w:t>SAIDI</w:t>
      </w:r>
      <w:proofErr w:type="spellEnd"/>
      <w:r w:rsidR="00215D51">
        <w:t xml:space="preserve"> denotes System Average Interruption Duration Index.</w:t>
      </w:r>
    </w:p>
    <w:p w:rsidR="00F77A10" w:rsidRDefault="00F77A10" w:rsidP="00F77A10">
      <w:pPr>
        <w:pStyle w:val="Note"/>
      </w:pPr>
      <w:r>
        <w:rPr>
          <w:i/>
        </w:rPr>
        <w:t>Data source</w:t>
      </w:r>
      <w:r w:rsidRPr="00167F06">
        <w:t xml:space="preserve">: </w:t>
      </w:r>
      <w:proofErr w:type="spellStart"/>
      <w:r>
        <w:t>AER</w:t>
      </w:r>
      <w:proofErr w:type="spellEnd"/>
      <w:r>
        <w:t xml:space="preserve"> (</w:t>
      </w:r>
      <w:proofErr w:type="spellStart"/>
      <w:r>
        <w:t>2011</w:t>
      </w:r>
      <w:r w:rsidR="00E125C2">
        <w:t>b</w:t>
      </w:r>
      <w:proofErr w:type="spellEnd"/>
      <w:r>
        <w:t>, p. 68).</w:t>
      </w:r>
    </w:p>
    <w:p w:rsidR="00E1099C" w:rsidRDefault="00E1099C" w:rsidP="00E1099C">
      <w:pPr>
        <w:pStyle w:val="BodyText"/>
      </w:pPr>
      <w:r>
        <w:lastRenderedPageBreak/>
        <w:t>While there is a positive relationship between annual interruption frequency and interruption duration, it is not a strong one (figure 2.1</w:t>
      </w:r>
      <w:r w:rsidR="00C0287F">
        <w:t>5</w:t>
      </w:r>
      <w:r>
        <w:t>). Since, all things being equal, any reduction in interruption frequency should lead to reductions in average annual hours lost per customer, this implies that average durations of interruptions</w:t>
      </w:r>
      <w:r>
        <w:rPr>
          <w:rStyle w:val="FootnoteReference"/>
        </w:rPr>
        <w:footnoteReference w:id="27"/>
      </w:r>
      <w:r>
        <w:t xml:space="preserve"> are tending to rise as interruption rates fall. There are statistically significant (but small) trend increases in average durations per outage in Queensland, Victoria and Tasmania, whose cause is unknown. </w:t>
      </w:r>
    </w:p>
    <w:p w:rsidR="00E1099C" w:rsidRDefault="00E1099C" w:rsidP="00E1099C">
      <w:pPr>
        <w:pStyle w:val="BodyText"/>
      </w:pPr>
      <w:r>
        <w:t>Regardless, the reliability data shows that many of the shifts from year to year reflect random events — shown by the gyrating movements in figure 2.1</w:t>
      </w:r>
      <w:r w:rsidR="00C0287F">
        <w:t>5</w:t>
      </w:r>
      <w:r>
        <w:t xml:space="preserve">. It is certainly not evident that the large increases in capital expenditure across the </w:t>
      </w:r>
      <w:proofErr w:type="spellStart"/>
      <w:r>
        <w:t>NEM</w:t>
      </w:r>
      <w:proofErr w:type="spellEnd"/>
      <w:r>
        <w:t xml:space="preserve"> have achieved greater reliability. That need not imply inefficient investment since it is possible that without such spending, reliability would have fallen (an issue where benchmarking analysis at the business and sub-regional level would be useful).</w:t>
      </w:r>
    </w:p>
    <w:p w:rsidR="0040782E" w:rsidRDefault="006E210A" w:rsidP="0040782E">
      <w:pPr>
        <w:pStyle w:val="Heading2"/>
      </w:pPr>
      <w:r>
        <w:t>2.</w:t>
      </w:r>
      <w:r w:rsidR="00493C6B">
        <w:rPr>
          <w:noProof/>
        </w:rPr>
        <w:t>7</w:t>
      </w:r>
      <w:r w:rsidR="0040782E">
        <w:tab/>
        <w:t>What is at stake?</w:t>
      </w:r>
    </w:p>
    <w:p w:rsidR="000B7C8C" w:rsidRDefault="00F005A8" w:rsidP="000B7C8C">
      <w:pPr>
        <w:pStyle w:val="BodyText"/>
      </w:pPr>
      <w:r>
        <w:t>As shown in table</w:t>
      </w:r>
      <w:r w:rsidR="00E1099C">
        <w:t>s</w:t>
      </w:r>
      <w:r>
        <w:t> </w:t>
      </w:r>
      <w:r w:rsidR="00E1099C">
        <w:t>2.2 and 2.3 and figure 2.</w:t>
      </w:r>
      <w:r w:rsidR="00C0287F">
        <w:t>5</w:t>
      </w:r>
      <w:r>
        <w:t xml:space="preserve">, the electricity network industry commands a large amount of </w:t>
      </w:r>
      <w:r w:rsidR="00E837DC">
        <w:t>resources</w:t>
      </w:r>
      <w:r>
        <w:t xml:space="preserve"> and provides services throughout the economy. </w:t>
      </w:r>
      <w:r w:rsidR="00C46AC2">
        <w:t>That suggests</w:t>
      </w:r>
      <w:r w:rsidR="00E837DC">
        <w:t xml:space="preserve"> potentially large benefits from reducing even small inefficiencies, let alone those of the magnitude suggested by some participants. </w:t>
      </w:r>
      <w:r w:rsidR="00B40814">
        <w:t xml:space="preserve">Like unhappy families in Tolstoy’s </w:t>
      </w:r>
      <w:r w:rsidR="00B40814" w:rsidRPr="0037260E">
        <w:rPr>
          <w:i/>
        </w:rPr>
        <w:t>Anna Karenina</w:t>
      </w:r>
      <w:r w:rsidR="00B40814">
        <w:t>, i</w:t>
      </w:r>
      <w:r w:rsidR="00AC227C">
        <w:t>nefficienc</w:t>
      </w:r>
      <w:r w:rsidR="000B7C8C">
        <w:t>y can be manifest</w:t>
      </w:r>
      <w:r w:rsidR="00C46AC2">
        <w:t>ed</w:t>
      </w:r>
      <w:r w:rsidR="000B7C8C">
        <w:t xml:space="preserve"> in many ways:</w:t>
      </w:r>
    </w:p>
    <w:p w:rsidR="00AC227C" w:rsidRDefault="000B7C8C" w:rsidP="008D7E18">
      <w:pPr>
        <w:pStyle w:val="ListBullet"/>
      </w:pPr>
      <w:r>
        <w:t>Businesses may invest prematurely in what would ultimately be productive i</w:t>
      </w:r>
      <w:r w:rsidR="00AC227C">
        <w:t>nvestment (the likely outcome of insufficient demand management or excessive reliability standards)</w:t>
      </w:r>
      <w:r w:rsidR="008D7E18">
        <w:t>.</w:t>
      </w:r>
    </w:p>
    <w:p w:rsidR="000B7C8C" w:rsidRDefault="000B7C8C" w:rsidP="008D7E18">
      <w:pPr>
        <w:pStyle w:val="ListBullet"/>
      </w:pPr>
      <w:r>
        <w:t xml:space="preserve">Businesses </w:t>
      </w:r>
      <w:r w:rsidR="004F063F">
        <w:t xml:space="preserve">may </w:t>
      </w:r>
      <w:r>
        <w:t>use existing capital inefficiently (low</w:t>
      </w:r>
      <w:r w:rsidR="00C46AC2">
        <w:t>er</w:t>
      </w:r>
      <w:r>
        <w:t xml:space="preserve"> capital productivity). For example, poor maintenance arrangements may require more redundancy than necessary</w:t>
      </w:r>
      <w:r w:rsidR="008D7E18">
        <w:t>.</w:t>
      </w:r>
    </w:p>
    <w:p w:rsidR="000B7C8C" w:rsidRDefault="000B7C8C" w:rsidP="008D7E18">
      <w:pPr>
        <w:pStyle w:val="ListBullet"/>
      </w:pPr>
      <w:r>
        <w:t xml:space="preserve">Businesses </w:t>
      </w:r>
      <w:r w:rsidR="00C46AC2">
        <w:t xml:space="preserve">may </w:t>
      </w:r>
      <w:r>
        <w:t>make investments that are not required at all to produce output (the conventional definition of ‘</w:t>
      </w:r>
      <w:proofErr w:type="spellStart"/>
      <w:r>
        <w:t>goldplating</w:t>
      </w:r>
      <w:proofErr w:type="spellEnd"/>
      <w:r>
        <w:t>’)</w:t>
      </w:r>
      <w:r w:rsidR="008D7E18">
        <w:t>.</w:t>
      </w:r>
    </w:p>
    <w:p w:rsidR="000B7C8C" w:rsidRDefault="0037260E" w:rsidP="008D7E18">
      <w:pPr>
        <w:pStyle w:val="ListBullet"/>
      </w:pPr>
      <w:r>
        <w:t>I</w:t>
      </w:r>
      <w:r w:rsidR="000B7C8C">
        <w:t>nvestment costs may be excessive due to poor project management</w:t>
      </w:r>
      <w:r w:rsidR="008D7E18">
        <w:t>.</w:t>
      </w:r>
    </w:p>
    <w:p w:rsidR="000B7C8C" w:rsidRDefault="000B7C8C" w:rsidP="008D7E18">
      <w:pPr>
        <w:pStyle w:val="ListBullet"/>
      </w:pPr>
      <w:r>
        <w:t>Labour may be in excess of what is required or poorly used (resultin</w:t>
      </w:r>
      <w:r w:rsidR="00E837DC">
        <w:t>g in lower labour productivity)</w:t>
      </w:r>
      <w:r w:rsidR="008D7E18">
        <w:t>.</w:t>
      </w:r>
    </w:p>
    <w:p w:rsidR="00E837DC" w:rsidRDefault="00E837DC" w:rsidP="008D7E18">
      <w:pPr>
        <w:pStyle w:val="ListBullet"/>
      </w:pPr>
      <w:r>
        <w:t xml:space="preserve">Physical investments and labour inputs may be at efficient levels and used efficiently, but may be priced excessively. This could arise if the weighted </w:t>
      </w:r>
      <w:r>
        <w:lastRenderedPageBreak/>
        <w:t>average cost of capital is too high or if unions are able to negotiate higher wages (which appears to be true — figure </w:t>
      </w:r>
      <w:r w:rsidR="00494616">
        <w:t>2.13</w:t>
      </w:r>
      <w:r w:rsidR="00215D51">
        <w:t xml:space="preserve"> — especially for the state-owned corporations</w:t>
      </w:r>
      <w:r>
        <w:t xml:space="preserve">). </w:t>
      </w:r>
      <w:r w:rsidR="003B10D2">
        <w:t xml:space="preserve">High network prices lead to so-called </w:t>
      </w:r>
      <w:proofErr w:type="spellStart"/>
      <w:r w:rsidR="003B10D2">
        <w:t>allocative</w:t>
      </w:r>
      <w:proofErr w:type="spellEnd"/>
      <w:r w:rsidR="003B10D2">
        <w:t xml:space="preserve"> efficiency losses for customers (chapter 3). </w:t>
      </w:r>
      <w:r>
        <w:t>The structure of prices may also be inefficient</w:t>
      </w:r>
      <w:r w:rsidR="003B10D2">
        <w:t xml:space="preserve"> if they are not cost-reflective (an issue particularly relevant to time-based charging — chapter 11)</w:t>
      </w:r>
      <w:r>
        <w:t xml:space="preserve">. </w:t>
      </w:r>
    </w:p>
    <w:p w:rsidR="00C46AC2" w:rsidRDefault="0037260E" w:rsidP="0040782E">
      <w:pPr>
        <w:pStyle w:val="BodyText"/>
      </w:pPr>
      <w:r>
        <w:t xml:space="preserve">The incorporation of benchmarking into incentive regulation (or even the publication of benchmarking results) attempts to eliminate such inefficiencies. </w:t>
      </w:r>
      <w:r w:rsidR="00C46AC2">
        <w:t>However, the magnitude and tim</w:t>
      </w:r>
      <w:r w:rsidR="005457B3">
        <w:t>ing of any such benefits depend</w:t>
      </w:r>
      <w:r w:rsidR="00C46AC2">
        <w:t xml:space="preserve"> on the nature of the policy reform and the source of the inefficiency.</w:t>
      </w:r>
    </w:p>
    <w:p w:rsidR="0037260E" w:rsidRDefault="0037260E" w:rsidP="0040782E">
      <w:pPr>
        <w:pStyle w:val="BodyText"/>
      </w:pPr>
      <w:r>
        <w:t>Since most regulatory determinations have some years to go (table 2.</w:t>
      </w:r>
      <w:r w:rsidR="00E1099C">
        <w:t>5</w:t>
      </w:r>
      <w:r>
        <w:t xml:space="preserve">), at best, </w:t>
      </w:r>
      <w:r w:rsidR="00E5760F">
        <w:t xml:space="preserve">any </w:t>
      </w:r>
      <w:r>
        <w:t>reforms of incentive regulations would not have effects on the most costly part of the system (distribution) until aft</w:t>
      </w:r>
      <w:r w:rsidR="00C46AC2">
        <w:t>er mid</w:t>
      </w:r>
      <w:r w:rsidR="00C46AC2">
        <w:noBreakHyphen/>
        <w:t>2014</w:t>
      </w:r>
      <w:r w:rsidR="005457B3">
        <w:t xml:space="preserve"> at the earliest. Reforms to incentive regulations may take some time to deliver benefits</w:t>
      </w:r>
      <w:r>
        <w:t xml:space="preserve">. </w:t>
      </w:r>
      <w:r w:rsidR="000B0799">
        <w:t xml:space="preserve">This (and the </w:t>
      </w:r>
      <w:r w:rsidR="00110A67">
        <w:t>period</w:t>
      </w:r>
      <w:r w:rsidR="000B0799">
        <w:t xml:space="preserve"> taken to roll out smart meters) also </w:t>
      </w:r>
      <w:r w:rsidR="00110A67">
        <w:t>extends</w:t>
      </w:r>
      <w:r w:rsidR="000B0799">
        <w:t xml:space="preserve"> the timing of major demand management </w:t>
      </w:r>
      <w:r w:rsidR="001A5F01">
        <w:t>initiatives</w:t>
      </w:r>
      <w:r w:rsidR="00E5760F">
        <w:t xml:space="preserve"> </w:t>
      </w:r>
      <w:r w:rsidR="00110A67">
        <w:t>by</w:t>
      </w:r>
      <w:r w:rsidR="00E5760F">
        <w:t xml:space="preserve"> some years (chapter </w:t>
      </w:r>
      <w:r w:rsidR="005457B3">
        <w:t>10</w:t>
      </w:r>
      <w:r w:rsidR="00E5760F">
        <w:t>).</w:t>
      </w:r>
      <w:r w:rsidR="000B0799">
        <w:t xml:space="preserve"> </w:t>
      </w:r>
    </w:p>
    <w:p w:rsidR="004564E6" w:rsidRDefault="004564E6" w:rsidP="004564E6">
      <w:pPr>
        <w:pStyle w:val="TableTitle"/>
      </w:pPr>
      <w:r>
        <w:rPr>
          <w:b w:val="0"/>
        </w:rPr>
        <w:t>Table 2.</w:t>
      </w:r>
      <w:r w:rsidR="00493C6B">
        <w:rPr>
          <w:b w:val="0"/>
          <w:noProof/>
        </w:rPr>
        <w:t>5</w:t>
      </w:r>
      <w:r>
        <w:tab/>
        <w:t>Timing of regulatory determinations</w:t>
      </w:r>
    </w:p>
    <w:tbl>
      <w:tblPr>
        <w:tblW w:w="5000" w:type="pct"/>
        <w:tblCellMar>
          <w:left w:w="0" w:type="dxa"/>
          <w:right w:w="0" w:type="dxa"/>
        </w:tblCellMar>
        <w:tblLook w:val="0000" w:firstRow="0" w:lastRow="0" w:firstColumn="0" w:lastColumn="0" w:noHBand="0" w:noVBand="0"/>
      </w:tblPr>
      <w:tblGrid>
        <w:gridCol w:w="1547"/>
        <w:gridCol w:w="4407"/>
        <w:gridCol w:w="142"/>
        <w:gridCol w:w="2693"/>
      </w:tblGrid>
      <w:tr w:rsidR="004564E6" w:rsidTr="00577063">
        <w:tc>
          <w:tcPr>
            <w:tcW w:w="880" w:type="pct"/>
            <w:tcBorders>
              <w:top w:val="single" w:sz="6" w:space="0" w:color="auto"/>
              <w:bottom w:val="single" w:sz="6" w:space="0" w:color="auto"/>
            </w:tcBorders>
            <w:shd w:val="clear" w:color="auto" w:fill="auto"/>
          </w:tcPr>
          <w:p w:rsidR="004564E6" w:rsidRDefault="004564E6" w:rsidP="00DD213F">
            <w:pPr>
              <w:pStyle w:val="TableColumnHeading"/>
              <w:jc w:val="left"/>
            </w:pPr>
            <w:r>
              <w:t>State</w:t>
            </w:r>
          </w:p>
        </w:tc>
        <w:tc>
          <w:tcPr>
            <w:tcW w:w="2507" w:type="pct"/>
            <w:tcBorders>
              <w:top w:val="single" w:sz="6" w:space="0" w:color="auto"/>
              <w:bottom w:val="single" w:sz="6" w:space="0" w:color="auto"/>
            </w:tcBorders>
            <w:shd w:val="clear" w:color="auto" w:fill="auto"/>
          </w:tcPr>
          <w:p w:rsidR="004564E6" w:rsidRDefault="004564E6" w:rsidP="00DD213F">
            <w:pPr>
              <w:pStyle w:val="TableColumnHeading"/>
            </w:pPr>
            <w:r>
              <w:t xml:space="preserve">Prior to </w:t>
            </w:r>
            <w:proofErr w:type="spellStart"/>
            <w:r>
              <w:t>AER</w:t>
            </w:r>
            <w:proofErr w:type="spellEnd"/>
            <w:r>
              <w:t xml:space="preserve"> role</w:t>
            </w:r>
          </w:p>
        </w:tc>
        <w:tc>
          <w:tcPr>
            <w:tcW w:w="1613" w:type="pct"/>
            <w:gridSpan w:val="2"/>
            <w:tcBorders>
              <w:top w:val="single" w:sz="6" w:space="0" w:color="auto"/>
              <w:bottom w:val="single" w:sz="6" w:space="0" w:color="auto"/>
            </w:tcBorders>
            <w:shd w:val="clear" w:color="auto" w:fill="auto"/>
          </w:tcPr>
          <w:p w:rsidR="004564E6" w:rsidRDefault="004564E6" w:rsidP="00DD213F">
            <w:pPr>
              <w:pStyle w:val="TableColumnHeading"/>
              <w:ind w:right="28"/>
            </w:pPr>
            <w:proofErr w:type="spellStart"/>
            <w:r>
              <w:t>AER</w:t>
            </w:r>
            <w:proofErr w:type="spellEnd"/>
            <w:r>
              <w:t xml:space="preserve"> determinations</w:t>
            </w:r>
          </w:p>
        </w:tc>
      </w:tr>
      <w:tr w:rsidR="004564E6" w:rsidTr="00DD213F">
        <w:tc>
          <w:tcPr>
            <w:tcW w:w="5000" w:type="pct"/>
            <w:gridSpan w:val="4"/>
            <w:tcBorders>
              <w:top w:val="single" w:sz="6" w:space="0" w:color="auto"/>
            </w:tcBorders>
          </w:tcPr>
          <w:p w:rsidR="004564E6" w:rsidRDefault="004564E6" w:rsidP="00577063">
            <w:pPr>
              <w:pStyle w:val="TableUnitsRow"/>
              <w:keepNext w:val="0"/>
              <w:keepLines w:val="0"/>
              <w:spacing w:before="120" w:after="40" w:line="240" w:lineRule="auto"/>
              <w:ind w:left="0" w:right="0"/>
              <w:jc w:val="left"/>
            </w:pPr>
            <w:r>
              <w:t>Distribution network businesses</w:t>
            </w:r>
          </w:p>
        </w:tc>
      </w:tr>
      <w:tr w:rsidR="004564E6" w:rsidTr="00577063">
        <w:tc>
          <w:tcPr>
            <w:tcW w:w="880" w:type="pct"/>
            <w:vAlign w:val="bottom"/>
          </w:tcPr>
          <w:p w:rsidR="004564E6" w:rsidRDefault="004564E6" w:rsidP="00DD213F">
            <w:pPr>
              <w:rPr>
                <w:rFonts w:ascii="Arial" w:hAnsi="Arial" w:cs="Arial"/>
                <w:color w:val="000000"/>
                <w:sz w:val="20"/>
                <w:szCs w:val="20"/>
              </w:rPr>
            </w:pPr>
            <w:r>
              <w:rPr>
                <w:rFonts w:ascii="Arial" w:hAnsi="Arial" w:cs="Arial"/>
                <w:color w:val="000000"/>
                <w:sz w:val="20"/>
                <w:szCs w:val="20"/>
              </w:rPr>
              <w:t>Queensland</w:t>
            </w:r>
          </w:p>
        </w:tc>
        <w:tc>
          <w:tcPr>
            <w:tcW w:w="2588" w:type="pct"/>
            <w:gridSpan w:val="2"/>
            <w:vAlign w:val="bottom"/>
          </w:tcPr>
          <w:p w:rsidR="004564E6" w:rsidRDefault="004564E6" w:rsidP="00DD213F">
            <w:pPr>
              <w:rPr>
                <w:rFonts w:ascii="Arial" w:hAnsi="Arial" w:cs="Arial"/>
                <w:color w:val="000000"/>
                <w:sz w:val="20"/>
                <w:szCs w:val="20"/>
              </w:rPr>
            </w:pPr>
            <w:r>
              <w:rPr>
                <w:rFonts w:ascii="Arial" w:hAnsi="Arial" w:cs="Arial"/>
                <w:color w:val="000000"/>
                <w:sz w:val="20"/>
                <w:szCs w:val="20"/>
              </w:rPr>
              <w:t>1 July 2005 to 30 June 2010 (</w:t>
            </w:r>
            <w:proofErr w:type="spellStart"/>
            <w:r>
              <w:rPr>
                <w:rFonts w:ascii="Arial" w:hAnsi="Arial" w:cs="Arial"/>
                <w:color w:val="000000"/>
                <w:sz w:val="20"/>
                <w:szCs w:val="20"/>
              </w:rPr>
              <w:t>QCA</w:t>
            </w:r>
            <w:proofErr w:type="spellEnd"/>
            <w:r>
              <w:rPr>
                <w:rFonts w:ascii="Arial" w:hAnsi="Arial" w:cs="Arial"/>
                <w:color w:val="000000"/>
                <w:sz w:val="20"/>
                <w:szCs w:val="20"/>
              </w:rPr>
              <w:t>)</w:t>
            </w:r>
          </w:p>
        </w:tc>
        <w:tc>
          <w:tcPr>
            <w:tcW w:w="1532" w:type="pct"/>
            <w:vAlign w:val="bottom"/>
          </w:tcPr>
          <w:p w:rsidR="004564E6" w:rsidRDefault="004564E6" w:rsidP="00DD213F">
            <w:pPr>
              <w:rPr>
                <w:rFonts w:ascii="Arial" w:hAnsi="Arial" w:cs="Arial"/>
                <w:color w:val="000000"/>
                <w:sz w:val="20"/>
                <w:szCs w:val="20"/>
              </w:rPr>
            </w:pPr>
            <w:r>
              <w:rPr>
                <w:rFonts w:ascii="Arial" w:hAnsi="Arial" w:cs="Arial"/>
                <w:color w:val="000000"/>
                <w:sz w:val="20"/>
                <w:szCs w:val="20"/>
              </w:rPr>
              <w:t>1 July 2010 to 30 June 2015</w:t>
            </w:r>
          </w:p>
        </w:tc>
      </w:tr>
      <w:tr w:rsidR="004564E6" w:rsidTr="00577063">
        <w:tc>
          <w:tcPr>
            <w:tcW w:w="880"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NSW</w:t>
            </w:r>
          </w:p>
        </w:tc>
        <w:tc>
          <w:tcPr>
            <w:tcW w:w="2588" w:type="pct"/>
            <w:gridSpan w:val="2"/>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2004 to 30 June 2009 (</w:t>
            </w:r>
            <w:proofErr w:type="spellStart"/>
            <w:r>
              <w:rPr>
                <w:rFonts w:ascii="Arial" w:hAnsi="Arial" w:cs="Arial"/>
                <w:color w:val="000000"/>
                <w:sz w:val="20"/>
                <w:szCs w:val="20"/>
              </w:rPr>
              <w:t>IPART</w:t>
            </w:r>
            <w:proofErr w:type="spellEnd"/>
            <w:r>
              <w:rPr>
                <w:rFonts w:ascii="Arial" w:hAnsi="Arial" w:cs="Arial"/>
                <w:color w:val="000000"/>
                <w:sz w:val="20"/>
                <w:szCs w:val="20"/>
              </w:rPr>
              <w:t>)</w:t>
            </w:r>
          </w:p>
        </w:tc>
        <w:tc>
          <w:tcPr>
            <w:tcW w:w="1532"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2009 to 30 June 2014</w:t>
            </w:r>
          </w:p>
        </w:tc>
      </w:tr>
      <w:tr w:rsidR="004564E6" w:rsidTr="00577063">
        <w:tc>
          <w:tcPr>
            <w:tcW w:w="880"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Victoria</w:t>
            </w:r>
          </w:p>
        </w:tc>
        <w:tc>
          <w:tcPr>
            <w:tcW w:w="2588" w:type="pct"/>
            <w:gridSpan w:val="2"/>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January 2006 to 31 December 2010 (</w:t>
            </w:r>
            <w:proofErr w:type="spellStart"/>
            <w:r>
              <w:rPr>
                <w:rFonts w:ascii="Arial" w:hAnsi="Arial" w:cs="Arial"/>
                <w:color w:val="000000"/>
                <w:sz w:val="20"/>
                <w:szCs w:val="20"/>
              </w:rPr>
              <w:t>ESCV</w:t>
            </w:r>
            <w:proofErr w:type="spellEnd"/>
            <w:r>
              <w:rPr>
                <w:rFonts w:ascii="Arial" w:hAnsi="Arial" w:cs="Arial"/>
                <w:color w:val="000000"/>
                <w:sz w:val="20"/>
                <w:szCs w:val="20"/>
              </w:rPr>
              <w:t>)</w:t>
            </w:r>
          </w:p>
        </w:tc>
        <w:tc>
          <w:tcPr>
            <w:tcW w:w="1532"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Jan 2011 to 31 Dec 2015</w:t>
            </w:r>
          </w:p>
        </w:tc>
      </w:tr>
      <w:tr w:rsidR="004564E6" w:rsidTr="00577063">
        <w:tc>
          <w:tcPr>
            <w:tcW w:w="880"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South Australia</w:t>
            </w:r>
          </w:p>
        </w:tc>
        <w:tc>
          <w:tcPr>
            <w:tcW w:w="2588" w:type="pct"/>
            <w:gridSpan w:val="2"/>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2005 to 30 June 2010 (</w:t>
            </w:r>
            <w:proofErr w:type="spellStart"/>
            <w:r>
              <w:rPr>
                <w:rFonts w:ascii="Arial" w:hAnsi="Arial" w:cs="Arial"/>
                <w:color w:val="000000"/>
                <w:sz w:val="20"/>
                <w:szCs w:val="20"/>
              </w:rPr>
              <w:t>ESCOSA</w:t>
            </w:r>
            <w:proofErr w:type="spellEnd"/>
            <w:r>
              <w:rPr>
                <w:rFonts w:ascii="Arial" w:hAnsi="Arial" w:cs="Arial"/>
                <w:color w:val="000000"/>
                <w:sz w:val="20"/>
                <w:szCs w:val="20"/>
              </w:rPr>
              <w:t>)</w:t>
            </w:r>
          </w:p>
        </w:tc>
        <w:tc>
          <w:tcPr>
            <w:tcW w:w="1532"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2010 to 30 June 2015</w:t>
            </w:r>
          </w:p>
        </w:tc>
      </w:tr>
      <w:tr w:rsidR="004564E6" w:rsidTr="00577063">
        <w:tc>
          <w:tcPr>
            <w:tcW w:w="880"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Tasmania</w:t>
            </w:r>
          </w:p>
        </w:tc>
        <w:tc>
          <w:tcPr>
            <w:tcW w:w="2588" w:type="pct"/>
            <w:gridSpan w:val="2"/>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2008 to 30 June 2012 (OTTER)</w:t>
            </w:r>
          </w:p>
        </w:tc>
        <w:tc>
          <w:tcPr>
            <w:tcW w:w="1532"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2012 to 30 June 2017</w:t>
            </w:r>
          </w:p>
        </w:tc>
      </w:tr>
      <w:tr w:rsidR="004564E6" w:rsidTr="00577063">
        <w:tc>
          <w:tcPr>
            <w:tcW w:w="880" w:type="pct"/>
            <w:tcBorders>
              <w:bottom w:val="single" w:sz="4" w:space="0" w:color="auto"/>
            </w:tcBorders>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ACT</w:t>
            </w:r>
          </w:p>
        </w:tc>
        <w:tc>
          <w:tcPr>
            <w:tcW w:w="2588" w:type="pct"/>
            <w:gridSpan w:val="2"/>
            <w:tcBorders>
              <w:bottom w:val="single" w:sz="4" w:space="0" w:color="auto"/>
            </w:tcBorders>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2004 to 30 June 2009 (</w:t>
            </w:r>
            <w:proofErr w:type="spellStart"/>
            <w:r>
              <w:rPr>
                <w:rFonts w:ascii="Arial" w:hAnsi="Arial" w:cs="Arial"/>
                <w:color w:val="000000"/>
                <w:sz w:val="20"/>
                <w:szCs w:val="20"/>
              </w:rPr>
              <w:t>ICRC</w:t>
            </w:r>
            <w:proofErr w:type="spellEnd"/>
            <w:r>
              <w:rPr>
                <w:rFonts w:ascii="Arial" w:hAnsi="Arial" w:cs="Arial"/>
                <w:color w:val="000000"/>
                <w:sz w:val="20"/>
                <w:szCs w:val="20"/>
              </w:rPr>
              <w:t>)</w:t>
            </w:r>
          </w:p>
        </w:tc>
        <w:tc>
          <w:tcPr>
            <w:tcW w:w="1532" w:type="pct"/>
            <w:tcBorders>
              <w:bottom w:val="single" w:sz="4" w:space="0" w:color="auto"/>
            </w:tcBorders>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2009 to 30 June 2014</w:t>
            </w:r>
          </w:p>
        </w:tc>
      </w:tr>
      <w:tr w:rsidR="004564E6" w:rsidTr="00DD213F">
        <w:tc>
          <w:tcPr>
            <w:tcW w:w="5000" w:type="pct"/>
            <w:gridSpan w:val="4"/>
            <w:tcBorders>
              <w:top w:val="single" w:sz="4" w:space="0" w:color="auto"/>
            </w:tcBorders>
          </w:tcPr>
          <w:p w:rsidR="004564E6" w:rsidRDefault="004564E6" w:rsidP="00577063">
            <w:pPr>
              <w:pStyle w:val="TableBodyText"/>
              <w:keepNext w:val="0"/>
              <w:keepLines w:val="0"/>
              <w:spacing w:before="120" w:line="240" w:lineRule="auto"/>
              <w:ind w:left="0" w:right="0"/>
              <w:jc w:val="left"/>
            </w:pPr>
            <w:r>
              <w:t>Transmission network businesses</w:t>
            </w:r>
          </w:p>
        </w:tc>
      </w:tr>
      <w:tr w:rsidR="004564E6" w:rsidTr="00577063">
        <w:tc>
          <w:tcPr>
            <w:tcW w:w="880"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Queensland</w:t>
            </w:r>
          </w:p>
        </w:tc>
        <w:tc>
          <w:tcPr>
            <w:tcW w:w="2588" w:type="pct"/>
            <w:gridSpan w:val="2"/>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January 2002 to 30 June 2007 (</w:t>
            </w:r>
            <w:proofErr w:type="spellStart"/>
            <w:r>
              <w:rPr>
                <w:rFonts w:ascii="Arial" w:hAnsi="Arial" w:cs="Arial"/>
                <w:color w:val="000000"/>
                <w:sz w:val="20"/>
                <w:szCs w:val="20"/>
              </w:rPr>
              <w:t>ACCC</w:t>
            </w:r>
            <w:proofErr w:type="spellEnd"/>
            <w:r>
              <w:rPr>
                <w:rFonts w:ascii="Arial" w:hAnsi="Arial" w:cs="Arial"/>
                <w:color w:val="000000"/>
                <w:sz w:val="20"/>
                <w:szCs w:val="20"/>
              </w:rPr>
              <w:t>)</w:t>
            </w:r>
          </w:p>
        </w:tc>
        <w:tc>
          <w:tcPr>
            <w:tcW w:w="1532"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2007 to 30 June 2012</w:t>
            </w:r>
          </w:p>
        </w:tc>
      </w:tr>
      <w:tr w:rsidR="004564E6" w:rsidTr="00577063">
        <w:tc>
          <w:tcPr>
            <w:tcW w:w="880"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NSW</w:t>
            </w:r>
          </w:p>
        </w:tc>
        <w:tc>
          <w:tcPr>
            <w:tcW w:w="2588" w:type="pct"/>
            <w:gridSpan w:val="2"/>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2004 to 30 June 2009 (</w:t>
            </w:r>
            <w:proofErr w:type="spellStart"/>
            <w:r>
              <w:rPr>
                <w:rFonts w:ascii="Arial" w:hAnsi="Arial" w:cs="Arial"/>
                <w:color w:val="000000"/>
                <w:sz w:val="20"/>
                <w:szCs w:val="20"/>
              </w:rPr>
              <w:t>ACCC</w:t>
            </w:r>
            <w:proofErr w:type="spellEnd"/>
            <w:r>
              <w:rPr>
                <w:rFonts w:ascii="Arial" w:hAnsi="Arial" w:cs="Arial"/>
                <w:color w:val="000000"/>
                <w:sz w:val="20"/>
                <w:szCs w:val="20"/>
              </w:rPr>
              <w:t>)</w:t>
            </w:r>
          </w:p>
        </w:tc>
        <w:tc>
          <w:tcPr>
            <w:tcW w:w="1532"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2009 to 30 June 2014</w:t>
            </w:r>
          </w:p>
        </w:tc>
      </w:tr>
      <w:tr w:rsidR="004564E6" w:rsidTr="00577063">
        <w:tc>
          <w:tcPr>
            <w:tcW w:w="880"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Victoria</w:t>
            </w:r>
          </w:p>
        </w:tc>
        <w:tc>
          <w:tcPr>
            <w:tcW w:w="2588" w:type="pct"/>
            <w:gridSpan w:val="2"/>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January 2003 to 31 March 2008 (</w:t>
            </w:r>
            <w:proofErr w:type="spellStart"/>
            <w:r>
              <w:rPr>
                <w:rFonts w:ascii="Arial" w:hAnsi="Arial" w:cs="Arial"/>
                <w:color w:val="000000"/>
                <w:sz w:val="20"/>
                <w:szCs w:val="20"/>
              </w:rPr>
              <w:t>ACCC</w:t>
            </w:r>
            <w:proofErr w:type="spellEnd"/>
            <w:r>
              <w:rPr>
                <w:rFonts w:ascii="Arial" w:hAnsi="Arial" w:cs="Arial"/>
                <w:color w:val="000000"/>
                <w:sz w:val="20"/>
                <w:szCs w:val="20"/>
              </w:rPr>
              <w:t>)</w:t>
            </w:r>
          </w:p>
        </w:tc>
        <w:tc>
          <w:tcPr>
            <w:tcW w:w="1532"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April 2008 to 31 March 2014</w:t>
            </w:r>
          </w:p>
        </w:tc>
      </w:tr>
      <w:tr w:rsidR="004564E6" w:rsidTr="00577063">
        <w:tc>
          <w:tcPr>
            <w:tcW w:w="880"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South Australia</w:t>
            </w:r>
          </w:p>
        </w:tc>
        <w:tc>
          <w:tcPr>
            <w:tcW w:w="2588" w:type="pct"/>
            <w:gridSpan w:val="2"/>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January 2003 to 30 June 2008 (</w:t>
            </w:r>
            <w:proofErr w:type="spellStart"/>
            <w:r>
              <w:rPr>
                <w:rFonts w:ascii="Arial" w:hAnsi="Arial" w:cs="Arial"/>
                <w:color w:val="000000"/>
                <w:sz w:val="20"/>
                <w:szCs w:val="20"/>
              </w:rPr>
              <w:t>ACCC</w:t>
            </w:r>
            <w:proofErr w:type="spellEnd"/>
            <w:r>
              <w:rPr>
                <w:rFonts w:ascii="Arial" w:hAnsi="Arial" w:cs="Arial"/>
                <w:color w:val="000000"/>
                <w:sz w:val="20"/>
                <w:szCs w:val="20"/>
              </w:rPr>
              <w:t>)</w:t>
            </w:r>
          </w:p>
        </w:tc>
        <w:tc>
          <w:tcPr>
            <w:tcW w:w="1532" w:type="pct"/>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July 2008 to 30 June 2013</w:t>
            </w:r>
          </w:p>
        </w:tc>
      </w:tr>
      <w:tr w:rsidR="004564E6" w:rsidTr="00577063">
        <w:tc>
          <w:tcPr>
            <w:tcW w:w="880" w:type="pct"/>
            <w:tcBorders>
              <w:bottom w:val="single" w:sz="6" w:space="0" w:color="auto"/>
            </w:tcBorders>
            <w:shd w:val="clear" w:color="auto" w:fill="auto"/>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Tasmania</w:t>
            </w:r>
          </w:p>
        </w:tc>
        <w:tc>
          <w:tcPr>
            <w:tcW w:w="2588" w:type="pct"/>
            <w:gridSpan w:val="2"/>
            <w:tcBorders>
              <w:bottom w:val="single" w:sz="6" w:space="0" w:color="auto"/>
            </w:tcBorders>
            <w:shd w:val="clear" w:color="auto" w:fill="auto"/>
            <w:vAlign w:val="bottom"/>
          </w:tcPr>
          <w:p w:rsidR="004564E6" w:rsidRDefault="004564E6" w:rsidP="00124306">
            <w:pPr>
              <w:spacing w:before="40" w:after="40"/>
              <w:rPr>
                <w:rFonts w:ascii="Arial" w:hAnsi="Arial" w:cs="Arial"/>
                <w:color w:val="000000"/>
                <w:sz w:val="20"/>
                <w:szCs w:val="20"/>
              </w:rPr>
            </w:pPr>
            <w:r>
              <w:rPr>
                <w:rFonts w:ascii="Arial" w:hAnsi="Arial" w:cs="Arial"/>
                <w:color w:val="000000"/>
                <w:sz w:val="20"/>
                <w:szCs w:val="20"/>
              </w:rPr>
              <w:t>1 January 2004 to 30 June 2009 (</w:t>
            </w:r>
            <w:proofErr w:type="spellStart"/>
            <w:r>
              <w:rPr>
                <w:rFonts w:ascii="Arial" w:hAnsi="Arial" w:cs="Arial"/>
                <w:color w:val="000000"/>
                <w:sz w:val="20"/>
                <w:szCs w:val="20"/>
              </w:rPr>
              <w:t>ACCC</w:t>
            </w:r>
            <w:proofErr w:type="spellEnd"/>
            <w:r>
              <w:rPr>
                <w:rFonts w:ascii="Arial" w:hAnsi="Arial" w:cs="Arial"/>
                <w:color w:val="000000"/>
                <w:sz w:val="20"/>
                <w:szCs w:val="20"/>
              </w:rPr>
              <w:t>)</w:t>
            </w:r>
          </w:p>
        </w:tc>
        <w:tc>
          <w:tcPr>
            <w:tcW w:w="1532" w:type="pct"/>
            <w:tcBorders>
              <w:bottom w:val="single" w:sz="6" w:space="0" w:color="auto"/>
            </w:tcBorders>
            <w:shd w:val="clear" w:color="auto" w:fill="auto"/>
            <w:vAlign w:val="bottom"/>
          </w:tcPr>
          <w:p w:rsidR="004564E6" w:rsidRDefault="009206F1" w:rsidP="00124306">
            <w:pPr>
              <w:spacing w:before="40" w:after="40"/>
              <w:rPr>
                <w:rFonts w:ascii="Arial" w:hAnsi="Arial" w:cs="Arial"/>
                <w:color w:val="000000"/>
                <w:sz w:val="20"/>
                <w:szCs w:val="20"/>
              </w:rPr>
            </w:pPr>
            <w:r>
              <w:rPr>
                <w:rFonts w:ascii="Arial" w:hAnsi="Arial" w:cs="Arial"/>
                <w:color w:val="000000"/>
                <w:sz w:val="20"/>
                <w:szCs w:val="20"/>
              </w:rPr>
              <w:t>1 July</w:t>
            </w:r>
            <w:r w:rsidR="004564E6">
              <w:rPr>
                <w:rFonts w:ascii="Arial" w:hAnsi="Arial" w:cs="Arial"/>
                <w:color w:val="000000"/>
                <w:sz w:val="20"/>
                <w:szCs w:val="20"/>
              </w:rPr>
              <w:t xml:space="preserve"> 2009 to </w:t>
            </w:r>
            <w:r>
              <w:rPr>
                <w:rFonts w:ascii="Arial" w:hAnsi="Arial" w:cs="Arial"/>
                <w:color w:val="000000"/>
                <w:sz w:val="20"/>
                <w:szCs w:val="20"/>
              </w:rPr>
              <w:t xml:space="preserve">30 </w:t>
            </w:r>
            <w:r w:rsidR="004564E6">
              <w:rPr>
                <w:rFonts w:ascii="Arial" w:hAnsi="Arial" w:cs="Arial"/>
                <w:color w:val="000000"/>
                <w:sz w:val="20"/>
                <w:szCs w:val="20"/>
              </w:rPr>
              <w:t>June 2014</w:t>
            </w:r>
          </w:p>
        </w:tc>
      </w:tr>
    </w:tbl>
    <w:p w:rsidR="004564E6" w:rsidRPr="008E77FE" w:rsidRDefault="004564E6" w:rsidP="004564E6">
      <w:pPr>
        <w:pStyle w:val="Source"/>
      </w:pPr>
      <w:r>
        <w:rPr>
          <w:i/>
        </w:rPr>
        <w:t>Source</w:t>
      </w:r>
      <w:r>
        <w:t xml:space="preserve">: Various determinations by the </w:t>
      </w:r>
      <w:proofErr w:type="spellStart"/>
      <w:r>
        <w:t>AER</w:t>
      </w:r>
      <w:proofErr w:type="spellEnd"/>
      <w:r>
        <w:t xml:space="preserve"> and </w:t>
      </w:r>
      <w:r w:rsidR="009206F1">
        <w:t xml:space="preserve">by </w:t>
      </w:r>
      <w:r>
        <w:t>state and territory regulators.</w:t>
      </w:r>
    </w:p>
    <w:p w:rsidR="00E15A55" w:rsidRDefault="00E15A55" w:rsidP="00E15A55">
      <w:pPr>
        <w:pStyle w:val="BodyText"/>
      </w:pPr>
      <w:r>
        <w:t xml:space="preserve">Even when the </w:t>
      </w:r>
      <w:proofErr w:type="spellStart"/>
      <w:r>
        <w:t>AER</w:t>
      </w:r>
      <w:proofErr w:type="spellEnd"/>
      <w:r>
        <w:t xml:space="preserve"> makes new regulatory determinations, it would not be possible to deploy existing excessive (‘</w:t>
      </w:r>
      <w:proofErr w:type="spellStart"/>
      <w:r>
        <w:t>goldplated</w:t>
      </w:r>
      <w:proofErr w:type="spellEnd"/>
      <w:r>
        <w:t xml:space="preserve">’) capital elsewhere — these are sunk investments. The best that can be achieved is a lower future level of investment to avoid </w:t>
      </w:r>
      <w:proofErr w:type="spellStart"/>
      <w:r>
        <w:t>goldplating</w:t>
      </w:r>
      <w:proofErr w:type="spellEnd"/>
      <w:r>
        <w:t>.</w:t>
      </w:r>
    </w:p>
    <w:p w:rsidR="00E15A55" w:rsidRDefault="00E15A55" w:rsidP="00E15A55">
      <w:pPr>
        <w:pStyle w:val="BodyText"/>
      </w:pPr>
      <w:r>
        <w:lastRenderedPageBreak/>
        <w:t xml:space="preserve">The removal of any excessive reliability standards could have more immediate efficiency effects (as could better use of the existing capital stock and improved project management), since these could defer or reduce some investments forecast under current regulatory determinations. Given incentive regulations, this would increase network profits, but not reduce prices until the next reset. However, higher profits are better than unnecessary investment. They permit greater investment elsewhere in the economy or can increase consumption. The value of deferred investment is approximately equivalent to the gain in net national income from such reform. An important and policy-relevant exception is that where the network business subject to new reliability standards is foreign-owned, the profits represent transfers abroad, and do not constitute welfare benefits to Australians. This is relevant to the process for privatising state-owned network businesses (chapter 7). If governments announced new reliability standards before privatisation, the short-term profits would be capitalised in the sale value, and still benefit Australians. </w:t>
      </w:r>
    </w:p>
    <w:p w:rsidR="00110A67" w:rsidRDefault="00E15A55" w:rsidP="00E15A55">
      <w:pPr>
        <w:pStyle w:val="BodyText"/>
      </w:pPr>
      <w:r>
        <w:t xml:space="preserve"> </w:t>
      </w:r>
      <w:r w:rsidR="00110A67">
        <w:t>‘B</w:t>
      </w:r>
      <w:r w:rsidR="00C11811">
        <w:t>ack</w:t>
      </w:r>
      <w:r w:rsidR="00110A67">
        <w:t>-of-the-envelope’ calculations suggest that deferred investment can yield substantial economic benefits. Based on relatively modest assumed deferral (of three years), the net present value of the benefits were nearly $8 billion over a 30</w:t>
      </w:r>
      <w:r w:rsidR="007A5198">
        <w:t> </w:t>
      </w:r>
      <w:r w:rsidR="00110A67">
        <w:t xml:space="preserve">year period. Whether such </w:t>
      </w:r>
      <w:r w:rsidR="00D727C2">
        <w:t>savings can be realised depends on how far reliability standards are away from their optimal level.</w:t>
      </w:r>
    </w:p>
    <w:p w:rsidR="00D727C2" w:rsidRDefault="00EC53BE" w:rsidP="0040782E">
      <w:pPr>
        <w:pStyle w:val="BodyText"/>
      </w:pPr>
      <w:r>
        <w:t xml:space="preserve">There could also be large benefits on the employment side. Employable people are footloose in a flexible economy. This means that if there is a productivity improvement in one industry, people usually find jobs elsewhere at </w:t>
      </w:r>
      <w:r w:rsidR="008A77AE">
        <w:t>c</w:t>
      </w:r>
      <w:r>
        <w:t xml:space="preserve">lose to their former wages. In the case of electricity networks, employment is as geographically dispersed as are the wires and poles. Accordingly, the frictions in movements of employees sometimes associated with employment losses </w:t>
      </w:r>
      <w:r w:rsidR="002639EB">
        <w:t>concentrated</w:t>
      </w:r>
      <w:r>
        <w:t xml:space="preserve"> in a particular location would be </w:t>
      </w:r>
      <w:r w:rsidR="006C626F">
        <w:t>less likely</w:t>
      </w:r>
      <w:r>
        <w:t xml:space="preserve">. Given estimated </w:t>
      </w:r>
      <w:r w:rsidR="002639EB">
        <w:t xml:space="preserve">employment levels in network businesses, a 10 per cent improvement in labour productivity would release around </w:t>
      </w:r>
      <w:r w:rsidR="008A77AE">
        <w:t>25</w:t>
      </w:r>
      <w:r w:rsidR="002639EB">
        <w:t xml:space="preserve">00 workers to other industries, with </w:t>
      </w:r>
      <w:r w:rsidR="008A77AE">
        <w:t xml:space="preserve">annual </w:t>
      </w:r>
      <w:r w:rsidR="002639EB">
        <w:t xml:space="preserve">economic benefits of around </w:t>
      </w:r>
      <w:r w:rsidR="008A77AE">
        <w:t>$300 million. Since these benefits would be sustained over future years, the net present value of the benefits would be substantially greater.</w:t>
      </w:r>
    </w:p>
    <w:p w:rsidR="00C11811" w:rsidRDefault="00C11811" w:rsidP="0040782E">
      <w:pPr>
        <w:pStyle w:val="BodyText"/>
      </w:pPr>
      <w:r>
        <w:t>The above estimates of the economic benefits of higher labour and capital productivity are illustrative. They depend on assumptions about future growth in investment, capital and labour and use scenarios that may not be realistic. Nevertheless, one conclusion is robust — small improvements in the efficiency of electricity networks have large abso</w:t>
      </w:r>
      <w:r w:rsidR="00651973">
        <w:t xml:space="preserve">lute benefits for Australians. </w:t>
      </w:r>
    </w:p>
    <w:p w:rsidR="001A5F01" w:rsidRDefault="004F063F" w:rsidP="0040782E">
      <w:pPr>
        <w:pStyle w:val="BodyText"/>
      </w:pPr>
      <w:r>
        <w:t xml:space="preserve">Any </w:t>
      </w:r>
      <w:r w:rsidR="00C559CC">
        <w:t xml:space="preserve">household </w:t>
      </w:r>
      <w:r>
        <w:t>consumption-side efficienc</w:t>
      </w:r>
      <w:r w:rsidR="00C559CC">
        <w:t>y benefits</w:t>
      </w:r>
      <w:r>
        <w:t xml:space="preserve"> </w:t>
      </w:r>
      <w:r w:rsidR="00C559CC">
        <w:t xml:space="preserve">from reform are likely to be much smaller </w:t>
      </w:r>
      <w:r w:rsidR="00C11811">
        <w:t>as</w:t>
      </w:r>
      <w:r w:rsidR="00C559CC">
        <w:t xml:space="preserve"> electricity demand is relatively inelastic (section </w:t>
      </w:r>
      <w:r w:rsidR="00F9691E">
        <w:t>2.3</w:t>
      </w:r>
      <w:r w:rsidR="00C559CC">
        <w:t xml:space="preserve">) and </w:t>
      </w:r>
      <w:r w:rsidR="00C11811">
        <w:t xml:space="preserve">because </w:t>
      </w:r>
      <w:r w:rsidR="00C559CC">
        <w:t>network infrastruc</w:t>
      </w:r>
      <w:r w:rsidR="00C11811">
        <w:t>tu</w:t>
      </w:r>
      <w:r w:rsidR="00C559CC">
        <w:t xml:space="preserve">re is only a share of total </w:t>
      </w:r>
      <w:r w:rsidR="00F9691E">
        <w:t xml:space="preserve">electricity </w:t>
      </w:r>
      <w:r w:rsidR="00C559CC">
        <w:t xml:space="preserve">retail costs. However, the </w:t>
      </w:r>
      <w:r w:rsidR="00C559CC">
        <w:lastRenderedPageBreak/>
        <w:t xml:space="preserve">gains may be larger for globally footloose industrial businesses, which will tend to be more </w:t>
      </w:r>
      <w:r w:rsidR="00C559CC" w:rsidRPr="00BF68DC">
        <w:t xml:space="preserve">responsive to prices </w:t>
      </w:r>
      <w:r w:rsidR="002B5A70" w:rsidRPr="00BF68DC">
        <w:t xml:space="preserve">and in particular to their likely future trajectory </w:t>
      </w:r>
      <w:r w:rsidR="00C559CC" w:rsidRPr="00BF68DC">
        <w:t xml:space="preserve">(chapter 3). </w:t>
      </w:r>
      <w:r w:rsidR="00F9691E" w:rsidRPr="00BF68DC">
        <w:t xml:space="preserve">The consumer transfer benefits from reform </w:t>
      </w:r>
      <w:r w:rsidR="00C559CC" w:rsidRPr="00BF68DC">
        <w:t xml:space="preserve">would be more important, </w:t>
      </w:r>
      <w:r w:rsidR="00C11811" w:rsidRPr="00BF68DC">
        <w:t xml:space="preserve">and as discussed in chapter 3, </w:t>
      </w:r>
      <w:r w:rsidR="00C559CC" w:rsidRPr="00BF68DC">
        <w:t>are</w:t>
      </w:r>
      <w:r w:rsidR="00C559CC">
        <w:t xml:space="preserve"> still relevant in gauging the </w:t>
      </w:r>
      <w:r w:rsidR="00C11811">
        <w:t>beneficial impacts</w:t>
      </w:r>
      <w:r w:rsidR="00C559CC">
        <w:t xml:space="preserve"> of competition regulations.</w:t>
      </w:r>
    </w:p>
    <w:p w:rsidR="00640CD1" w:rsidRDefault="00640CD1" w:rsidP="00640CD1">
      <w:pPr>
        <w:pStyle w:val="Heading3"/>
      </w:pPr>
      <w:r>
        <w:t>General equilibrium effects</w:t>
      </w:r>
    </w:p>
    <w:p w:rsidR="00AD185D" w:rsidRDefault="00EB58D7" w:rsidP="00EB58D7">
      <w:pPr>
        <w:pStyle w:val="BodyText"/>
      </w:pPr>
      <w:r>
        <w:t>General equilibrium</w:t>
      </w:r>
      <w:r w:rsidR="00320745">
        <w:t xml:space="preserve"> (GE)</w:t>
      </w:r>
      <w:r>
        <w:t xml:space="preserve"> analysis takes account of the multiple linkages between industries (</w:t>
      </w:r>
      <w:r w:rsidR="00320745">
        <w:t>reflected in the importance of electricity networks to all other industries shown in figure </w:t>
      </w:r>
      <w:r w:rsidR="00494616">
        <w:t>2.5</w:t>
      </w:r>
      <w:r>
        <w:t xml:space="preserve">), and </w:t>
      </w:r>
      <w:r w:rsidR="00AD185D">
        <w:t xml:space="preserve">of </w:t>
      </w:r>
      <w:r>
        <w:t xml:space="preserve">how price and productivity shocks cascade throughout an economy. </w:t>
      </w:r>
      <w:r w:rsidR="00320745">
        <w:t xml:space="preserve">GE benefits </w:t>
      </w:r>
      <w:r w:rsidR="00AD185D">
        <w:t xml:space="preserve">often </w:t>
      </w:r>
      <w:r w:rsidR="00320745">
        <w:t xml:space="preserve">exceed the </w:t>
      </w:r>
      <w:r w:rsidR="00AD185D">
        <w:t xml:space="preserve">benefits of reform revealed by </w:t>
      </w:r>
      <w:r w:rsidR="00320745">
        <w:t xml:space="preserve">partial equilibrium </w:t>
      </w:r>
      <w:r w:rsidR="00AD185D">
        <w:t>analysis (like that above). GE benefits could readily be between 20 and 30 per cent higher.</w:t>
      </w:r>
    </w:p>
    <w:sectPr w:rsidR="00AD185D" w:rsidSect="00AC2D73">
      <w:headerReference w:type="even" r:id="rId32"/>
      <w:headerReference w:type="default" r:id="rId33"/>
      <w:footerReference w:type="even" r:id="rId34"/>
      <w:footerReference w:type="default" r:id="rId35"/>
      <w:pgSz w:w="11907" w:h="16840" w:code="9"/>
      <w:pgMar w:top="1985" w:right="1304" w:bottom="1418" w:left="1814" w:header="1701" w:footer="567" w:gutter="0"/>
      <w:pgNumType w:start="79"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2B8" w:rsidRDefault="005452B8">
      <w:r>
        <w:separator/>
      </w:r>
    </w:p>
  </w:endnote>
  <w:endnote w:type="continuationSeparator" w:id="0">
    <w:p w:rsidR="005452B8" w:rsidRDefault="00545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5452B8">
      <w:trPr>
        <w:trHeight w:hRule="exact" w:val="740"/>
      </w:trPr>
      <w:tc>
        <w:tcPr>
          <w:tcW w:w="510" w:type="dxa"/>
          <w:tcBorders>
            <w:top w:val="single" w:sz="6" w:space="0" w:color="auto"/>
          </w:tcBorders>
        </w:tcPr>
        <w:p w:rsidR="005452B8" w:rsidRDefault="005452B8"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271672">
            <w:rPr>
              <w:rStyle w:val="PageNumber"/>
              <w:noProof/>
            </w:rPr>
            <w:t>104</w:t>
          </w:r>
          <w:r>
            <w:rPr>
              <w:rStyle w:val="PageNumber"/>
            </w:rPr>
            <w:fldChar w:fldCharType="end"/>
          </w:r>
        </w:p>
      </w:tc>
      <w:tc>
        <w:tcPr>
          <w:tcW w:w="1644" w:type="dxa"/>
          <w:tcBorders>
            <w:top w:val="single" w:sz="6" w:space="0" w:color="auto"/>
          </w:tcBorders>
        </w:tcPr>
        <w:p w:rsidR="005452B8" w:rsidRDefault="005452B8" w:rsidP="0019293B">
          <w:pPr>
            <w:pStyle w:val="Footer"/>
          </w:pPr>
          <w:fldSimple w:instr=" SUBJECT  \* MERGEFORMAT ">
            <w:r>
              <w:t>Electricity Network Regulation</w:t>
            </w:r>
          </w:fldSimple>
        </w:p>
      </w:tc>
      <w:tc>
        <w:tcPr>
          <w:tcW w:w="6634" w:type="dxa"/>
        </w:tcPr>
        <w:p w:rsidR="005452B8" w:rsidRDefault="005452B8" w:rsidP="0019293B">
          <w:pPr>
            <w:pStyle w:val="Footer"/>
          </w:pPr>
        </w:p>
      </w:tc>
    </w:tr>
  </w:tbl>
  <w:p w:rsidR="005452B8" w:rsidRDefault="005452B8"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5452B8">
      <w:trPr>
        <w:trHeight w:hRule="exact" w:val="740"/>
      </w:trPr>
      <w:tc>
        <w:tcPr>
          <w:tcW w:w="6634" w:type="dxa"/>
        </w:tcPr>
        <w:p w:rsidR="005452B8" w:rsidRDefault="005452B8">
          <w:pPr>
            <w:pStyle w:val="Footer"/>
            <w:ind w:right="360" w:firstLine="360"/>
          </w:pPr>
        </w:p>
      </w:tc>
      <w:tc>
        <w:tcPr>
          <w:tcW w:w="1644" w:type="dxa"/>
          <w:tcBorders>
            <w:top w:val="single" w:sz="6" w:space="0" w:color="auto"/>
          </w:tcBorders>
        </w:tcPr>
        <w:p w:rsidR="005452B8" w:rsidRDefault="005452B8">
          <w:pPr>
            <w:pStyle w:val="Footer"/>
          </w:pPr>
          <w:fldSimple w:instr=" TITLE  \* MERGEFORMAT ">
            <w:r>
              <w:t>Structure and performance</w:t>
            </w:r>
          </w:fldSimple>
        </w:p>
      </w:tc>
      <w:tc>
        <w:tcPr>
          <w:tcW w:w="510" w:type="dxa"/>
          <w:tcBorders>
            <w:top w:val="single" w:sz="6" w:space="0" w:color="auto"/>
          </w:tcBorders>
        </w:tcPr>
        <w:p w:rsidR="005452B8" w:rsidRDefault="005452B8">
          <w:pPr>
            <w:pStyle w:val="Footer"/>
            <w:jc w:val="right"/>
          </w:pPr>
          <w:r>
            <w:rPr>
              <w:rStyle w:val="PageNumber"/>
            </w:rPr>
            <w:fldChar w:fldCharType="begin"/>
          </w:r>
          <w:r>
            <w:rPr>
              <w:rStyle w:val="PageNumber"/>
            </w:rPr>
            <w:instrText xml:space="preserve">PAGE  </w:instrText>
          </w:r>
          <w:r>
            <w:rPr>
              <w:rStyle w:val="PageNumber"/>
            </w:rPr>
            <w:fldChar w:fldCharType="separate"/>
          </w:r>
          <w:r w:rsidR="00271672">
            <w:rPr>
              <w:rStyle w:val="PageNumber"/>
              <w:noProof/>
            </w:rPr>
            <w:t>103</w:t>
          </w:r>
          <w:r>
            <w:rPr>
              <w:rStyle w:val="PageNumber"/>
            </w:rPr>
            <w:fldChar w:fldCharType="end"/>
          </w:r>
        </w:p>
      </w:tc>
    </w:tr>
  </w:tbl>
  <w:p w:rsidR="005452B8" w:rsidRDefault="005452B8">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2B8" w:rsidRDefault="005452B8">
      <w:r>
        <w:separator/>
      </w:r>
    </w:p>
  </w:footnote>
  <w:footnote w:type="continuationSeparator" w:id="0">
    <w:p w:rsidR="005452B8" w:rsidRDefault="005452B8">
      <w:r>
        <w:continuationSeparator/>
      </w:r>
    </w:p>
  </w:footnote>
  <w:footnote w:id="1">
    <w:p w:rsidR="005452B8" w:rsidRDefault="005452B8">
      <w:pPr>
        <w:pStyle w:val="FootnoteText"/>
      </w:pPr>
      <w:r>
        <w:rPr>
          <w:rStyle w:val="FootnoteReference"/>
        </w:rPr>
        <w:footnoteRef/>
      </w:r>
      <w:r>
        <w:t xml:space="preserve"> </w:t>
      </w:r>
      <w:r>
        <w:tab/>
      </w:r>
      <w:proofErr w:type="spellStart"/>
      <w:r>
        <w:t>AER</w:t>
      </w:r>
      <w:proofErr w:type="spellEnd"/>
      <w:r>
        <w:t xml:space="preserve"> (</w:t>
      </w:r>
      <w:proofErr w:type="spellStart"/>
      <w:r>
        <w:t>2011b</w:t>
      </w:r>
      <w:proofErr w:type="spellEnd"/>
      <w:r>
        <w:t>, pp. 57–60, 73–5).</w:t>
      </w:r>
    </w:p>
  </w:footnote>
  <w:footnote w:id="2">
    <w:p w:rsidR="005452B8" w:rsidRDefault="005452B8">
      <w:pPr>
        <w:pStyle w:val="FootnoteText"/>
      </w:pPr>
      <w:r>
        <w:rPr>
          <w:rStyle w:val="FootnoteReference"/>
        </w:rPr>
        <w:footnoteRef/>
      </w:r>
      <w:r>
        <w:t xml:space="preserve"> </w:t>
      </w:r>
      <w:proofErr w:type="spellStart"/>
      <w:r>
        <w:t>AER</w:t>
      </w:r>
      <w:proofErr w:type="spellEnd"/>
      <w:r>
        <w:t xml:space="preserve"> (</w:t>
      </w:r>
      <w:proofErr w:type="spellStart"/>
      <w:r>
        <w:t>2011b</w:t>
      </w:r>
      <w:proofErr w:type="spellEnd"/>
      <w:r>
        <w:t xml:space="preserve">, p. 27) and </w:t>
      </w:r>
      <w:proofErr w:type="spellStart"/>
      <w:r>
        <w:t>BREE</w:t>
      </w:r>
      <w:proofErr w:type="spellEnd"/>
      <w:r>
        <w:t xml:space="preserve"> (2012).</w:t>
      </w:r>
    </w:p>
  </w:footnote>
  <w:footnote w:id="3">
    <w:p w:rsidR="005452B8" w:rsidRDefault="005452B8">
      <w:pPr>
        <w:pStyle w:val="FootnoteText"/>
      </w:pPr>
      <w:r>
        <w:rPr>
          <w:rStyle w:val="FootnoteReference"/>
        </w:rPr>
        <w:footnoteRef/>
      </w:r>
      <w:r>
        <w:t xml:space="preserve"> </w:t>
      </w:r>
      <w:r>
        <w:tab/>
        <w:t xml:space="preserve">The market price cap re-calibrated by </w:t>
      </w:r>
      <w:proofErr w:type="spellStart"/>
      <w:r>
        <w:t>AEMO</w:t>
      </w:r>
      <w:proofErr w:type="spellEnd"/>
      <w:r>
        <w:t xml:space="preserve"> annually based on a formula set down in the Rules (clause 3.9.4).</w:t>
      </w:r>
    </w:p>
  </w:footnote>
  <w:footnote w:id="4">
    <w:p w:rsidR="005452B8" w:rsidRDefault="005452B8" w:rsidP="00572DD7">
      <w:pPr>
        <w:pStyle w:val="FootnoteText"/>
      </w:pPr>
      <w:r>
        <w:rPr>
          <w:rStyle w:val="FootnoteReference"/>
        </w:rPr>
        <w:footnoteRef/>
      </w:r>
      <w:r>
        <w:t xml:space="preserve"> </w:t>
      </w:r>
      <w:r>
        <w:tab/>
        <w:t xml:space="preserve">The story is more complex than this because investors in generators will typically reduce their risks from fluctuating spot prices through derivative contracts. As noted by Frontier Economics, generators usually enter into swap contacts for most of their capacity and so do not benefit from pushing up the spot price for their swap contracted capacity (2010, p. 13), limiting the gains from strategic behaviour. </w:t>
      </w:r>
    </w:p>
  </w:footnote>
  <w:footnote w:id="5">
    <w:p w:rsidR="005452B8" w:rsidRDefault="005452B8">
      <w:pPr>
        <w:pStyle w:val="FootnoteText"/>
      </w:pPr>
      <w:r>
        <w:rPr>
          <w:rStyle w:val="FootnoteReference"/>
        </w:rPr>
        <w:footnoteRef/>
      </w:r>
      <w:r>
        <w:t xml:space="preserve"> </w:t>
      </w:r>
      <w:r>
        <w:tab/>
        <w:t>Clause 3.14.2 of the Rules. Unlike the market price cap, the administered cap is not indexed, but can be reviewed from ‘time to time’.</w:t>
      </w:r>
    </w:p>
  </w:footnote>
  <w:footnote w:id="6">
    <w:p w:rsidR="005452B8" w:rsidRDefault="005452B8" w:rsidP="004655C7">
      <w:pPr>
        <w:pStyle w:val="FootnoteText"/>
      </w:pPr>
      <w:r>
        <w:rPr>
          <w:rStyle w:val="FootnoteReference"/>
        </w:rPr>
        <w:footnoteRef/>
      </w:r>
      <w:r>
        <w:t xml:space="preserve"> </w:t>
      </w:r>
      <w:r>
        <w:tab/>
        <w:t xml:space="preserve">Ancillary services </w:t>
      </w:r>
      <w:r w:rsidRPr="007660FA">
        <w:t>maintain key technical characteristics of the system, including standards for frequency, voltage, network loading and system restart processes</w:t>
      </w:r>
      <w:r>
        <w:t xml:space="preserve"> (</w:t>
      </w:r>
      <w:proofErr w:type="spellStart"/>
      <w:r>
        <w:t>AEMO</w:t>
      </w:r>
      <w:proofErr w:type="spellEnd"/>
      <w:r>
        <w:t xml:space="preserve"> </w:t>
      </w:r>
      <w:proofErr w:type="spellStart"/>
      <w:r>
        <w:t>2010a</w:t>
      </w:r>
      <w:proofErr w:type="spellEnd"/>
      <w:r>
        <w:t>)</w:t>
      </w:r>
      <w:r w:rsidRPr="007660FA">
        <w:t xml:space="preserve">. </w:t>
      </w:r>
      <w:proofErr w:type="spellStart"/>
      <w:r w:rsidRPr="007660FA">
        <w:t>AEMO</w:t>
      </w:r>
      <w:proofErr w:type="spellEnd"/>
      <w:r w:rsidRPr="007660FA">
        <w:t xml:space="preserve"> operates eight separate markets for the delivery of frequency control ancillary services (akin to the wholesale energy spot market) and purchases network control ancillary services from transmission businesses and system restart ancillary services under agreements with service providers.</w:t>
      </w:r>
      <w:r>
        <w:t xml:space="preserve"> </w:t>
      </w:r>
    </w:p>
  </w:footnote>
  <w:footnote w:id="7">
    <w:p w:rsidR="005452B8" w:rsidRDefault="005452B8">
      <w:pPr>
        <w:pStyle w:val="FootnoteText"/>
      </w:pPr>
      <w:r>
        <w:rPr>
          <w:rStyle w:val="FootnoteReference"/>
        </w:rPr>
        <w:footnoteRef/>
      </w:r>
      <w:r>
        <w:t xml:space="preserve"> </w:t>
      </w:r>
      <w:r>
        <w:tab/>
        <w:t xml:space="preserve">A consequence explored in a large literature on the economics of integration in electricity and other similar utilities (summarised in Lafontaine and Slade 2007 and </w:t>
      </w:r>
      <w:proofErr w:type="spellStart"/>
      <w:r>
        <w:t>Saal</w:t>
      </w:r>
      <w:proofErr w:type="spellEnd"/>
      <w:r>
        <w:t xml:space="preserve"> 2011).</w:t>
      </w:r>
    </w:p>
  </w:footnote>
  <w:footnote w:id="8">
    <w:p w:rsidR="005452B8" w:rsidRDefault="005452B8">
      <w:pPr>
        <w:pStyle w:val="FootnoteText"/>
      </w:pPr>
      <w:r>
        <w:rPr>
          <w:rStyle w:val="FootnoteReference"/>
        </w:rPr>
        <w:footnoteRef/>
      </w:r>
      <w:r>
        <w:t xml:space="preserve"> </w:t>
      </w:r>
      <w:r>
        <w:tab/>
        <w:t xml:space="preserve">See for example, Farsi et al. (2010) and </w:t>
      </w:r>
      <w:proofErr w:type="spellStart"/>
      <w:r>
        <w:t>Kwoka</w:t>
      </w:r>
      <w:proofErr w:type="spellEnd"/>
      <w:r>
        <w:t xml:space="preserve"> (2004).</w:t>
      </w:r>
    </w:p>
  </w:footnote>
  <w:footnote w:id="9">
    <w:p w:rsidR="005452B8" w:rsidRDefault="005452B8" w:rsidP="00955ED6">
      <w:pPr>
        <w:pStyle w:val="FootnoteText"/>
      </w:pPr>
      <w:r>
        <w:rPr>
          <w:rStyle w:val="FootnoteReference"/>
        </w:rPr>
        <w:footnoteRef/>
      </w:r>
      <w:r>
        <w:t xml:space="preserve"> </w:t>
      </w:r>
      <w:r>
        <w:tab/>
        <w:t xml:space="preserve">Currently, Essential Energy provides some services outside New South Wales, principally in the area around </w:t>
      </w:r>
      <w:r w:rsidRPr="00E03C04">
        <w:t>Goondiwindi</w:t>
      </w:r>
      <w:r>
        <w:t xml:space="preserve"> in Queensland, Victoria and the ACT (Essential Energy, sub. 30, p. 3). There is common ownership (compared with common management) among private network businesses. For example, </w:t>
      </w:r>
      <w:r w:rsidRPr="00DE048A">
        <w:t>Cheung Kong Infrastructure and Power Assets Holdings</w:t>
      </w:r>
      <w:r>
        <w:t xml:space="preserve"> and </w:t>
      </w:r>
      <w:r w:rsidRPr="00C71C11">
        <w:t>Spark Infrastructure</w:t>
      </w:r>
      <w:r>
        <w:t xml:space="preserve"> jointly own </w:t>
      </w:r>
      <w:proofErr w:type="spellStart"/>
      <w:r>
        <w:t>Powercor</w:t>
      </w:r>
      <w:proofErr w:type="spellEnd"/>
      <w:r>
        <w:t xml:space="preserve">, </w:t>
      </w:r>
      <w:proofErr w:type="spellStart"/>
      <w:r>
        <w:t>Citipower</w:t>
      </w:r>
      <w:proofErr w:type="spellEnd"/>
      <w:r>
        <w:t xml:space="preserve">, and </w:t>
      </w:r>
      <w:proofErr w:type="spellStart"/>
      <w:r>
        <w:t>ETSA</w:t>
      </w:r>
      <w:proofErr w:type="spellEnd"/>
      <w:r>
        <w:t xml:space="preserve"> Utilities, while </w:t>
      </w:r>
      <w:r w:rsidRPr="00C71C11">
        <w:t>Singapore Power International</w:t>
      </w:r>
      <w:r>
        <w:t xml:space="preserve"> has ownership interests in </w:t>
      </w:r>
      <w:proofErr w:type="spellStart"/>
      <w:r>
        <w:t>Jemena</w:t>
      </w:r>
      <w:proofErr w:type="spellEnd"/>
      <w:r>
        <w:t xml:space="preserve">, United Energy and </w:t>
      </w:r>
      <w:proofErr w:type="spellStart"/>
      <w:r>
        <w:t>ActewAGLand</w:t>
      </w:r>
      <w:proofErr w:type="spellEnd"/>
      <w:r>
        <w:t xml:space="preserve"> </w:t>
      </w:r>
      <w:proofErr w:type="spellStart"/>
      <w:r>
        <w:t>SP</w:t>
      </w:r>
      <w:proofErr w:type="spellEnd"/>
      <w:r>
        <w:t> </w:t>
      </w:r>
      <w:proofErr w:type="spellStart"/>
      <w:r>
        <w:t>Ausnet</w:t>
      </w:r>
      <w:proofErr w:type="spellEnd"/>
      <w:r>
        <w:t xml:space="preserve">. </w:t>
      </w:r>
    </w:p>
  </w:footnote>
  <w:footnote w:id="10">
    <w:p w:rsidR="005452B8" w:rsidRDefault="005452B8" w:rsidP="006B247F">
      <w:pPr>
        <w:pStyle w:val="FootnoteText"/>
      </w:pPr>
      <w:r>
        <w:rPr>
          <w:rStyle w:val="FootnoteReference"/>
        </w:rPr>
        <w:footnoteRef/>
      </w:r>
      <w:r>
        <w:t xml:space="preserve"> The employment and outputs of the industry are important in gauging the potential economic impacts of reforms (section 2.7).</w:t>
      </w:r>
    </w:p>
  </w:footnote>
  <w:footnote w:id="11">
    <w:p w:rsidR="005452B8" w:rsidRDefault="005452B8" w:rsidP="00D422CB">
      <w:pPr>
        <w:pStyle w:val="FootnoteText"/>
      </w:pPr>
      <w:r>
        <w:rPr>
          <w:rStyle w:val="FootnoteReference"/>
        </w:rPr>
        <w:footnoteRef/>
      </w:r>
      <w:r>
        <w:t xml:space="preserve"> </w:t>
      </w:r>
      <w:r>
        <w:tab/>
        <w:t xml:space="preserve">The wage inflation rate was calculated as the weighted average of private and public of the growth rates in labour earnings for the electricity, gas, water and waste services industry (ABS 2012a, </w:t>
      </w:r>
      <w:r w:rsidRPr="00F075E0">
        <w:rPr>
          <w:i/>
        </w:rPr>
        <w:t>Labour Price Index, Australia</w:t>
      </w:r>
      <w:r>
        <w:rPr>
          <w:i/>
        </w:rPr>
        <w:t xml:space="preserve"> 2012</w:t>
      </w:r>
      <w:r>
        <w:t>, Cat. No. </w:t>
      </w:r>
      <w:r w:rsidRPr="00F075E0">
        <w:t>6345.0</w:t>
      </w:r>
      <w:r>
        <w:t>)</w:t>
      </w:r>
    </w:p>
  </w:footnote>
  <w:footnote w:id="12">
    <w:p w:rsidR="005452B8" w:rsidRDefault="005452B8" w:rsidP="00D422CB">
      <w:pPr>
        <w:pStyle w:val="FootnoteText"/>
      </w:pPr>
      <w:r>
        <w:rPr>
          <w:rStyle w:val="FootnoteReference"/>
        </w:rPr>
        <w:footnoteRef/>
      </w:r>
      <w:r>
        <w:t xml:space="preserve"> </w:t>
      </w:r>
      <w:r>
        <w:tab/>
        <w:t>Estimated by applying the 2006</w:t>
      </w:r>
      <w:r>
        <w:noBreakHyphen/>
        <w:t>07 network service share of the value-added of the electricity, gas, water and waste services (</w:t>
      </w:r>
      <w:proofErr w:type="spellStart"/>
      <w:r>
        <w:t>EGWWS</w:t>
      </w:r>
      <w:proofErr w:type="spellEnd"/>
      <w:r>
        <w:t xml:space="preserve">) industry to </w:t>
      </w:r>
      <w:proofErr w:type="spellStart"/>
      <w:r>
        <w:t>EGWWS</w:t>
      </w:r>
      <w:proofErr w:type="spellEnd"/>
      <w:r>
        <w:t xml:space="preserve"> value added in 2010</w:t>
      </w:r>
      <w:r>
        <w:noBreakHyphen/>
        <w:t>11 (from the ABS National Accounts), and then multiplying by 0.9 to remove non-</w:t>
      </w:r>
      <w:proofErr w:type="spellStart"/>
      <w:r>
        <w:t>NEM</w:t>
      </w:r>
      <w:proofErr w:type="spellEnd"/>
      <w:r>
        <w:t xml:space="preserve"> regions.</w:t>
      </w:r>
    </w:p>
  </w:footnote>
  <w:footnote w:id="13">
    <w:p w:rsidR="005452B8" w:rsidRDefault="005452B8" w:rsidP="007E22F5">
      <w:pPr>
        <w:pStyle w:val="FootnoteText"/>
      </w:pPr>
      <w:r>
        <w:rPr>
          <w:rStyle w:val="FootnoteReference"/>
        </w:rPr>
        <w:footnoteRef/>
      </w:r>
      <w:r>
        <w:t xml:space="preserve"> </w:t>
      </w:r>
      <w:r>
        <w:tab/>
        <w:t xml:space="preserve">There are anomalies between the </w:t>
      </w:r>
      <w:proofErr w:type="spellStart"/>
      <w:r>
        <w:t>ESAA’s</w:t>
      </w:r>
      <w:proofErr w:type="spellEnd"/>
      <w:r>
        <w:t xml:space="preserve"> (lowest), Bureau of Resources and Energy Economics’ (highest) and the </w:t>
      </w:r>
      <w:proofErr w:type="spellStart"/>
      <w:r>
        <w:t>AER’s</w:t>
      </w:r>
      <w:proofErr w:type="spellEnd"/>
      <w:r>
        <w:t xml:space="preserve"> (the middle) measures of electricity consumption. The </w:t>
      </w:r>
      <w:proofErr w:type="spellStart"/>
      <w:r>
        <w:t>AER’s</w:t>
      </w:r>
      <w:proofErr w:type="spellEnd"/>
      <w:r>
        <w:t xml:space="preserve"> measure appears to relate to supply, which must be greater than actual consumption. The </w:t>
      </w:r>
      <w:proofErr w:type="spellStart"/>
      <w:r>
        <w:t>ESAA’s</w:t>
      </w:r>
      <w:proofErr w:type="spellEnd"/>
      <w:r>
        <w:t xml:space="preserve"> data relate directly to consumption by various customers types and likely to be the better measure. Either way, the </w:t>
      </w:r>
      <w:proofErr w:type="spellStart"/>
      <w:r>
        <w:t>AER’s</w:t>
      </w:r>
      <w:proofErr w:type="spellEnd"/>
      <w:r>
        <w:t xml:space="preserve"> data also suggest falling demand. </w:t>
      </w:r>
      <w:proofErr w:type="spellStart"/>
      <w:r>
        <w:t>AEMO’s</w:t>
      </w:r>
      <w:proofErr w:type="spellEnd"/>
      <w:r>
        <w:t xml:space="preserve"> data (</w:t>
      </w:r>
      <w:proofErr w:type="spellStart"/>
      <w:r>
        <w:t>2012a</w:t>
      </w:r>
      <w:proofErr w:type="spellEnd"/>
      <w:r>
        <w:t>) also shows an estimated decline in customer sales of around 2.4 per cent in 2011</w:t>
      </w:r>
      <w:r>
        <w:noBreakHyphen/>
        <w:t>12, but rising sales by 2013</w:t>
      </w:r>
      <w:r>
        <w:noBreakHyphen/>
        <w:t>14.</w:t>
      </w:r>
    </w:p>
  </w:footnote>
  <w:footnote w:id="14">
    <w:p w:rsidR="005452B8" w:rsidRDefault="005452B8" w:rsidP="007E22F5">
      <w:pPr>
        <w:pStyle w:val="FootnoteText"/>
      </w:pPr>
      <w:r>
        <w:rPr>
          <w:rStyle w:val="FootnoteReference"/>
        </w:rPr>
        <w:footnoteRef/>
      </w:r>
      <w:r>
        <w:t xml:space="preserve"> Critical peak demand use has also declined in recent years — mostly due to milder weather — but is forecast to rise again (</w:t>
      </w:r>
      <w:proofErr w:type="spellStart"/>
      <w:r>
        <w:t>AEMO</w:t>
      </w:r>
      <w:proofErr w:type="spellEnd"/>
      <w:r>
        <w:t xml:space="preserve"> </w:t>
      </w:r>
      <w:proofErr w:type="spellStart"/>
      <w:r>
        <w:t>2012a</w:t>
      </w:r>
      <w:proofErr w:type="spellEnd"/>
      <w:r>
        <w:t>).</w:t>
      </w:r>
    </w:p>
  </w:footnote>
  <w:footnote w:id="15">
    <w:p w:rsidR="005452B8" w:rsidRDefault="005452B8">
      <w:pPr>
        <w:pStyle w:val="FootnoteText"/>
      </w:pPr>
      <w:r>
        <w:rPr>
          <w:rStyle w:val="FootnoteReference"/>
        </w:rPr>
        <w:footnoteRef/>
      </w:r>
      <w:r>
        <w:t xml:space="preserve"> </w:t>
      </w:r>
      <w:r>
        <w:tab/>
        <w:t>For example, an industry might be highly dependent on electricity as an input, but have low overall output and low consumption of electricity, and consequently, provide little revenue to network businesses.</w:t>
      </w:r>
    </w:p>
  </w:footnote>
  <w:footnote w:id="16">
    <w:p w:rsidR="005452B8" w:rsidRDefault="005452B8">
      <w:pPr>
        <w:pStyle w:val="FootnoteText"/>
      </w:pPr>
      <w:r>
        <w:rPr>
          <w:rStyle w:val="FootnoteReference"/>
        </w:rPr>
        <w:footnoteRef/>
      </w:r>
      <w:r>
        <w:t xml:space="preserve"> Nevertheless, while lower income households reveal that they have little capacity to substitute away from electricity, there is some (weak) evidence that they are more willing to face power interruptions (chapter 14).</w:t>
      </w:r>
    </w:p>
  </w:footnote>
  <w:footnote w:id="17">
    <w:p w:rsidR="005452B8" w:rsidRDefault="005452B8">
      <w:pPr>
        <w:pStyle w:val="FootnoteText"/>
      </w:pPr>
      <w:r>
        <w:rPr>
          <w:rStyle w:val="FootnoteReference"/>
        </w:rPr>
        <w:footnoteRef/>
      </w:r>
      <w:r>
        <w:t xml:space="preserve"> The reason for the lower price growth is uncertain, but may be due to re-balancing of tariffs. </w:t>
      </w:r>
    </w:p>
  </w:footnote>
  <w:footnote w:id="18">
    <w:p w:rsidR="005452B8" w:rsidRDefault="005452B8" w:rsidP="00A9167F">
      <w:pPr>
        <w:pStyle w:val="FootnoteText"/>
        <w:tabs>
          <w:tab w:val="clear" w:pos="284"/>
          <w:tab w:val="left" w:pos="426"/>
        </w:tabs>
        <w:ind w:left="426" w:hanging="426"/>
      </w:pPr>
      <w:r>
        <w:rPr>
          <w:rStyle w:val="FootnoteReference"/>
        </w:rPr>
        <w:footnoteRef/>
      </w:r>
      <w:r>
        <w:t xml:space="preserve"> </w:t>
      </w:r>
      <w:r>
        <w:tab/>
        <w:t xml:space="preserve">This relates to distribution businesses (which account for the bulk of network costs), not transmission businesses. However, the </w:t>
      </w:r>
      <w:r w:rsidRPr="00E750C0">
        <w:t xml:space="preserve">Australian Competition and Consumer Commission </w:t>
      </w:r>
      <w:r>
        <w:t xml:space="preserve">(not the </w:t>
      </w:r>
      <w:proofErr w:type="spellStart"/>
      <w:r>
        <w:t>AER</w:t>
      </w:r>
      <w:proofErr w:type="spellEnd"/>
      <w:r>
        <w:t xml:space="preserve">) had authorised most of the transmission determinations that were in force at the time that prices began to accelerate. </w:t>
      </w:r>
    </w:p>
  </w:footnote>
  <w:footnote w:id="19">
    <w:p w:rsidR="005452B8" w:rsidRDefault="005452B8" w:rsidP="00D62F4B">
      <w:pPr>
        <w:pStyle w:val="FootnoteText"/>
        <w:tabs>
          <w:tab w:val="clear" w:pos="284"/>
          <w:tab w:val="left" w:pos="426"/>
        </w:tabs>
        <w:ind w:left="426" w:hanging="426"/>
      </w:pPr>
      <w:r>
        <w:rPr>
          <w:rStyle w:val="FootnoteReference"/>
        </w:rPr>
        <w:footnoteRef/>
      </w:r>
      <w:r>
        <w:tab/>
        <w:t xml:space="preserve">The </w:t>
      </w:r>
      <w:proofErr w:type="spellStart"/>
      <w:r>
        <w:t>AER</w:t>
      </w:r>
      <w:proofErr w:type="spellEnd"/>
      <w:r>
        <w:t xml:space="preserve"> (</w:t>
      </w:r>
      <w:proofErr w:type="spellStart"/>
      <w:r>
        <w:t>2011b</w:t>
      </w:r>
      <w:proofErr w:type="spellEnd"/>
      <w:r>
        <w:t>, p. 110) derive a slightly different range of 41–51 per cent, but exclude Victoria.</w:t>
      </w:r>
    </w:p>
  </w:footnote>
  <w:footnote w:id="20">
    <w:p w:rsidR="005452B8" w:rsidRDefault="005452B8" w:rsidP="00D62F4B">
      <w:pPr>
        <w:pStyle w:val="FootnoteText"/>
        <w:tabs>
          <w:tab w:val="clear" w:pos="284"/>
          <w:tab w:val="left" w:pos="426"/>
        </w:tabs>
        <w:ind w:left="426" w:hanging="426"/>
      </w:pPr>
      <w:r>
        <w:rPr>
          <w:rStyle w:val="FootnoteReference"/>
        </w:rPr>
        <w:footnoteRef/>
      </w:r>
      <w:r>
        <w:t xml:space="preserve"> </w:t>
      </w:r>
      <w:r>
        <w:tab/>
        <w:t>This takes account of the varying typical power consumption patterns across jurisdictions.</w:t>
      </w:r>
    </w:p>
  </w:footnote>
  <w:footnote w:id="21">
    <w:p w:rsidR="005452B8" w:rsidRDefault="005452B8" w:rsidP="00D62F4B">
      <w:pPr>
        <w:pStyle w:val="FootnoteText"/>
        <w:tabs>
          <w:tab w:val="clear" w:pos="284"/>
          <w:tab w:val="left" w:pos="426"/>
        </w:tabs>
        <w:ind w:left="426" w:hanging="426"/>
      </w:pPr>
      <w:r>
        <w:rPr>
          <w:rStyle w:val="FootnoteReference"/>
        </w:rPr>
        <w:footnoteRef/>
      </w:r>
      <w:r>
        <w:t xml:space="preserve"> </w:t>
      </w:r>
      <w:r>
        <w:tab/>
        <w:t xml:space="preserve">With a range of 27–52 per cent across the </w:t>
      </w:r>
      <w:proofErr w:type="spellStart"/>
      <w:r>
        <w:t>NEM</w:t>
      </w:r>
      <w:proofErr w:type="spellEnd"/>
      <w:r>
        <w:t xml:space="preserve"> jurisdictions and an unweighted average of 43.3 per cent in 2013-14.</w:t>
      </w:r>
    </w:p>
  </w:footnote>
  <w:footnote w:id="22">
    <w:p w:rsidR="005452B8" w:rsidRDefault="005452B8" w:rsidP="002568C9">
      <w:pPr>
        <w:pStyle w:val="FootnoteText"/>
      </w:pPr>
      <w:r>
        <w:rPr>
          <w:rStyle w:val="FootnoteReference"/>
        </w:rPr>
        <w:footnoteRef/>
      </w:r>
      <w:r>
        <w:t xml:space="preserve"> Peak demand in summer between 2012 and 2021 is projected to grow at different rates. The forecast growth rates are low for South Australia, New South Wales and Tasmania, and highest for Victoria and Queensland, (</w:t>
      </w:r>
      <w:proofErr w:type="spellStart"/>
      <w:r>
        <w:t>AEMO</w:t>
      </w:r>
      <w:proofErr w:type="spellEnd"/>
      <w:r>
        <w:t xml:space="preserve"> </w:t>
      </w:r>
      <w:proofErr w:type="spellStart"/>
      <w:r>
        <w:t>2012a</w:t>
      </w:r>
      <w:proofErr w:type="spellEnd"/>
      <w:r>
        <w:t>).</w:t>
      </w:r>
    </w:p>
  </w:footnote>
  <w:footnote w:id="23">
    <w:p w:rsidR="005452B8" w:rsidRDefault="005452B8" w:rsidP="001C785F">
      <w:pPr>
        <w:pStyle w:val="FootnoteText"/>
        <w:tabs>
          <w:tab w:val="clear" w:pos="284"/>
          <w:tab w:val="left" w:pos="426"/>
        </w:tabs>
        <w:ind w:left="426" w:hanging="426"/>
      </w:pPr>
      <w:r>
        <w:rPr>
          <w:rStyle w:val="FootnoteReference"/>
        </w:rPr>
        <w:footnoteRef/>
      </w:r>
      <w:r>
        <w:tab/>
        <w:t>MFP measures the extent to which output growth cannot be explained by labour and capital inputs. Over the long-run, it measures greater efficiency and technical progress, while over the short-run it may reflect the business cycle or any other factor that leads to temporary underutilisation of capital or labour.</w:t>
      </w:r>
    </w:p>
  </w:footnote>
  <w:footnote w:id="24">
    <w:p w:rsidR="005452B8" w:rsidRDefault="005452B8" w:rsidP="001C785F">
      <w:pPr>
        <w:pStyle w:val="FootnoteText"/>
        <w:tabs>
          <w:tab w:val="clear" w:pos="284"/>
          <w:tab w:val="left" w:pos="426"/>
        </w:tabs>
        <w:ind w:left="426" w:hanging="426"/>
      </w:pPr>
      <w:r>
        <w:rPr>
          <w:rStyle w:val="FootnoteReference"/>
        </w:rPr>
        <w:footnoteRef/>
      </w:r>
      <w:r>
        <w:t xml:space="preserve"> </w:t>
      </w:r>
      <w:r>
        <w:tab/>
        <w:t>Even when controlling for rural location, reliability tends to be lower for Queensland network businesses (</w:t>
      </w:r>
      <w:proofErr w:type="spellStart"/>
      <w:r>
        <w:t>AER</w:t>
      </w:r>
      <w:proofErr w:type="spellEnd"/>
      <w:r>
        <w:t xml:space="preserve"> </w:t>
      </w:r>
      <w:proofErr w:type="spellStart"/>
      <w:r>
        <w:t>2008a</w:t>
      </w:r>
      <w:proofErr w:type="spellEnd"/>
      <w:r>
        <w:t>, p. 162).</w:t>
      </w:r>
    </w:p>
  </w:footnote>
  <w:footnote w:id="25">
    <w:p w:rsidR="005452B8" w:rsidRDefault="005452B8" w:rsidP="002568C9">
      <w:pPr>
        <w:pStyle w:val="FootnoteText"/>
        <w:tabs>
          <w:tab w:val="clear" w:pos="284"/>
          <w:tab w:val="left" w:pos="426"/>
        </w:tabs>
        <w:ind w:left="426" w:hanging="426"/>
      </w:pPr>
      <w:r>
        <w:rPr>
          <w:rStyle w:val="FootnoteReference"/>
        </w:rPr>
        <w:footnoteRef/>
      </w:r>
      <w:r>
        <w:tab/>
      </w:r>
      <w:r w:rsidRPr="00CB2179">
        <w:t>System Average Interruption Duration Index</w:t>
      </w:r>
      <w:r>
        <w:t xml:space="preserve">. </w:t>
      </w:r>
    </w:p>
  </w:footnote>
  <w:footnote w:id="26">
    <w:p w:rsidR="005452B8" w:rsidRDefault="005452B8" w:rsidP="002568C9">
      <w:pPr>
        <w:pStyle w:val="FootnoteText"/>
        <w:tabs>
          <w:tab w:val="clear" w:pos="284"/>
          <w:tab w:val="left" w:pos="426"/>
        </w:tabs>
        <w:ind w:left="426" w:hanging="426"/>
      </w:pPr>
      <w:r>
        <w:rPr>
          <w:rStyle w:val="FootnoteReference"/>
        </w:rPr>
        <w:footnoteRef/>
      </w:r>
      <w:r>
        <w:tab/>
      </w:r>
      <w:r w:rsidRPr="00CB2179">
        <w:t>System Average Interruption Frequency Index</w:t>
      </w:r>
      <w:r>
        <w:t>.</w:t>
      </w:r>
    </w:p>
  </w:footnote>
  <w:footnote w:id="27">
    <w:p w:rsidR="005452B8" w:rsidRDefault="005452B8" w:rsidP="001C785F">
      <w:pPr>
        <w:pStyle w:val="FootnoteText"/>
        <w:tabs>
          <w:tab w:val="clear" w:pos="284"/>
          <w:tab w:val="left" w:pos="426"/>
        </w:tabs>
        <w:ind w:left="426" w:hanging="426"/>
      </w:pPr>
      <w:r>
        <w:rPr>
          <w:rStyle w:val="FootnoteReference"/>
        </w:rPr>
        <w:footnoteRef/>
      </w:r>
      <w:r>
        <w:tab/>
        <w:t xml:space="preserve">This is the </w:t>
      </w:r>
      <w:r w:rsidRPr="00124F3E">
        <w:t>Customer Average Interruption Duration Index</w:t>
      </w:r>
      <w:r>
        <w:t xml:space="preserve"> or the average restoration time.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5452B8">
      <w:tc>
        <w:tcPr>
          <w:tcW w:w="2155" w:type="dxa"/>
          <w:tcBorders>
            <w:top w:val="single" w:sz="24" w:space="0" w:color="auto"/>
          </w:tcBorders>
        </w:tcPr>
        <w:p w:rsidR="005452B8" w:rsidRDefault="005452B8" w:rsidP="0019293B">
          <w:pPr>
            <w:pStyle w:val="HeaderEven"/>
          </w:pPr>
        </w:p>
      </w:tc>
      <w:tc>
        <w:tcPr>
          <w:tcW w:w="6634" w:type="dxa"/>
          <w:tcBorders>
            <w:top w:val="single" w:sz="6" w:space="0" w:color="auto"/>
          </w:tcBorders>
        </w:tcPr>
        <w:p w:rsidR="005452B8" w:rsidRDefault="005452B8" w:rsidP="0019293B">
          <w:pPr>
            <w:pStyle w:val="HeaderEven"/>
          </w:pPr>
        </w:p>
      </w:tc>
    </w:tr>
  </w:tbl>
  <w:p w:rsidR="005452B8" w:rsidRDefault="005452B8"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5452B8">
      <w:tc>
        <w:tcPr>
          <w:tcW w:w="6634" w:type="dxa"/>
          <w:tcBorders>
            <w:top w:val="single" w:sz="6" w:space="0" w:color="auto"/>
          </w:tcBorders>
        </w:tcPr>
        <w:p w:rsidR="005452B8" w:rsidRDefault="005452B8" w:rsidP="00E669E2">
          <w:pPr>
            <w:pStyle w:val="HeaderOdd"/>
          </w:pPr>
        </w:p>
      </w:tc>
      <w:tc>
        <w:tcPr>
          <w:tcW w:w="2155" w:type="dxa"/>
          <w:tcBorders>
            <w:top w:val="single" w:sz="24" w:space="0" w:color="auto"/>
          </w:tcBorders>
        </w:tcPr>
        <w:p w:rsidR="005452B8" w:rsidRDefault="005452B8" w:rsidP="00E669E2">
          <w:pPr>
            <w:pStyle w:val="HeaderOdd"/>
          </w:pPr>
        </w:p>
      </w:tc>
    </w:tr>
  </w:tbl>
  <w:p w:rsidR="005452B8" w:rsidRDefault="005452B8"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76F093A"/>
    <w:multiLevelType w:val="hybridMultilevel"/>
    <w:tmpl w:val="81726A34"/>
    <w:lvl w:ilvl="0" w:tplc="B442E98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24B1CA6"/>
    <w:multiLevelType w:val="hybridMultilevel"/>
    <w:tmpl w:val="4E3224AC"/>
    <w:lvl w:ilvl="0" w:tplc="8FDA2A7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A096576"/>
    <w:multiLevelType w:val="singleLevel"/>
    <w:tmpl w:val="ED98921A"/>
    <w:lvl w:ilvl="0">
      <w:start w:val="1"/>
      <w:numFmt w:val="decimal"/>
      <w:lvlText w:val="%1."/>
      <w:legacy w:legacy="1" w:legacySpace="0" w:legacyIndent="340"/>
      <w:lvlJc w:val="left"/>
      <w:pPr>
        <w:ind w:left="340" w:hanging="340"/>
      </w:pPr>
    </w:lvl>
  </w:abstractNum>
  <w:abstractNum w:abstractNumId="31">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60055F7F"/>
    <w:multiLevelType w:val="singleLevel"/>
    <w:tmpl w:val="ED98921A"/>
    <w:lvl w:ilvl="0">
      <w:start w:val="1"/>
      <w:numFmt w:val="decimal"/>
      <w:lvlText w:val="%1."/>
      <w:legacy w:legacy="1" w:legacySpace="0" w:legacyIndent="340"/>
      <w:lvlJc w:val="left"/>
      <w:pPr>
        <w:ind w:left="340" w:hanging="340"/>
      </w:pPr>
    </w:lvl>
  </w:abstractNum>
  <w:abstractNum w:abstractNumId="33">
    <w:nsid w:val="608E741E"/>
    <w:multiLevelType w:val="singleLevel"/>
    <w:tmpl w:val="ED98921A"/>
    <w:lvl w:ilvl="0">
      <w:start w:val="1"/>
      <w:numFmt w:val="decimal"/>
      <w:lvlText w:val="%1."/>
      <w:legacy w:legacy="1" w:legacySpace="0" w:legacyIndent="340"/>
      <w:lvlJc w:val="left"/>
      <w:pPr>
        <w:ind w:left="340" w:hanging="340"/>
      </w:pPr>
    </w:lvl>
  </w:abstractNum>
  <w:abstractNum w:abstractNumId="34">
    <w:nsid w:val="61320C1E"/>
    <w:multiLevelType w:val="singleLevel"/>
    <w:tmpl w:val="C444122C"/>
    <w:lvl w:ilvl="0">
      <w:start w:val="1"/>
      <w:numFmt w:val="decimal"/>
      <w:lvlText w:val="%1."/>
      <w:legacy w:legacy="1" w:legacySpace="0" w:legacyIndent="284"/>
      <w:lvlJc w:val="left"/>
      <w:pPr>
        <w:ind w:left="284" w:hanging="284"/>
      </w:pPr>
    </w:lvl>
  </w:abstractNum>
  <w:abstractNum w:abstractNumId="35">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6">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7">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8">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39">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1">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2">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3">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1"/>
  </w:num>
  <w:num w:numId="4">
    <w:abstractNumId w:val="7"/>
  </w:num>
  <w:num w:numId="5">
    <w:abstractNumId w:val="5"/>
  </w:num>
  <w:num w:numId="6">
    <w:abstractNumId w:val="25"/>
  </w:num>
  <w:num w:numId="7">
    <w:abstractNumId w:val="3"/>
  </w:num>
  <w:num w:numId="8">
    <w:abstractNumId w:val="9"/>
  </w:num>
  <w:num w:numId="9">
    <w:abstractNumId w:val="2"/>
  </w:num>
  <w:num w:numId="10">
    <w:abstractNumId w:val="36"/>
  </w:num>
  <w:num w:numId="11">
    <w:abstractNumId w:val="4"/>
  </w:num>
  <w:num w:numId="12">
    <w:abstractNumId w:val="1"/>
  </w:num>
  <w:num w:numId="13">
    <w:abstractNumId w:val="0"/>
  </w:num>
  <w:num w:numId="14">
    <w:abstractNumId w:val="28"/>
  </w:num>
  <w:num w:numId="15">
    <w:abstractNumId w:val="42"/>
  </w:num>
  <w:num w:numId="16">
    <w:abstractNumId w:val="17"/>
  </w:num>
  <w:num w:numId="17">
    <w:abstractNumId w:val="16"/>
  </w:num>
  <w:num w:numId="18">
    <w:abstractNumId w:val="26"/>
  </w:num>
  <w:num w:numId="19">
    <w:abstractNumId w:val="12"/>
  </w:num>
  <w:num w:numId="20">
    <w:abstractNumId w:val="33"/>
  </w:num>
  <w:num w:numId="21">
    <w:abstractNumId w:val="35"/>
  </w:num>
  <w:num w:numId="22">
    <w:abstractNumId w:val="24"/>
  </w:num>
  <w:num w:numId="23">
    <w:abstractNumId w:val="27"/>
  </w:num>
  <w:num w:numId="24">
    <w:abstractNumId w:val="29"/>
  </w:num>
  <w:num w:numId="25">
    <w:abstractNumId w:val="40"/>
  </w:num>
  <w:num w:numId="26">
    <w:abstractNumId w:val="32"/>
  </w:num>
  <w:num w:numId="27">
    <w:abstractNumId w:val="37"/>
  </w:num>
  <w:num w:numId="28">
    <w:abstractNumId w:val="38"/>
  </w:num>
  <w:num w:numId="29">
    <w:abstractNumId w:val="30"/>
  </w:num>
  <w:num w:numId="30">
    <w:abstractNumId w:val="22"/>
  </w:num>
  <w:num w:numId="31">
    <w:abstractNumId w:val="43"/>
  </w:num>
  <w:num w:numId="32">
    <w:abstractNumId w:val="15"/>
  </w:num>
  <w:num w:numId="33">
    <w:abstractNumId w:val="8"/>
  </w:num>
  <w:num w:numId="34">
    <w:abstractNumId w:val="18"/>
  </w:num>
  <w:num w:numId="35">
    <w:abstractNumId w:val="39"/>
  </w:num>
  <w:num w:numId="36">
    <w:abstractNumId w:val="31"/>
  </w:num>
  <w:num w:numId="37">
    <w:abstractNumId w:val="13"/>
  </w:num>
  <w:num w:numId="38">
    <w:abstractNumId w:val="34"/>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21"/>
  </w:num>
  <w:num w:numId="46">
    <w:abstractNumId w:val="25"/>
  </w:num>
  <w:num w:numId="47">
    <w:abstractNumId w:val="25"/>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Structure and performance"/>
    <w:docVar w:name="ShortReportTitle" w:val="Electricity Network Regulation"/>
  </w:docVars>
  <w:rsids>
    <w:rsidRoot w:val="0040782E"/>
    <w:rsid w:val="000012CA"/>
    <w:rsid w:val="00004E26"/>
    <w:rsid w:val="00004FA1"/>
    <w:rsid w:val="00010D28"/>
    <w:rsid w:val="00023D4F"/>
    <w:rsid w:val="000245AA"/>
    <w:rsid w:val="0002650F"/>
    <w:rsid w:val="00027260"/>
    <w:rsid w:val="00032A3A"/>
    <w:rsid w:val="00033B9E"/>
    <w:rsid w:val="0003664B"/>
    <w:rsid w:val="00037AB4"/>
    <w:rsid w:val="00040CE4"/>
    <w:rsid w:val="00040D34"/>
    <w:rsid w:val="0004111F"/>
    <w:rsid w:val="00044727"/>
    <w:rsid w:val="00044E06"/>
    <w:rsid w:val="0005565A"/>
    <w:rsid w:val="000565B3"/>
    <w:rsid w:val="0007020D"/>
    <w:rsid w:val="0007150B"/>
    <w:rsid w:val="0007330C"/>
    <w:rsid w:val="000741ED"/>
    <w:rsid w:val="0008108C"/>
    <w:rsid w:val="00084698"/>
    <w:rsid w:val="00086098"/>
    <w:rsid w:val="00086913"/>
    <w:rsid w:val="000938F5"/>
    <w:rsid w:val="00094B4C"/>
    <w:rsid w:val="000A1415"/>
    <w:rsid w:val="000A5558"/>
    <w:rsid w:val="000A5F1F"/>
    <w:rsid w:val="000B0799"/>
    <w:rsid w:val="000B451C"/>
    <w:rsid w:val="000B601B"/>
    <w:rsid w:val="000B7C8C"/>
    <w:rsid w:val="000C04B7"/>
    <w:rsid w:val="000C0D41"/>
    <w:rsid w:val="000C207E"/>
    <w:rsid w:val="000C6095"/>
    <w:rsid w:val="000D1712"/>
    <w:rsid w:val="000D621E"/>
    <w:rsid w:val="000E12B8"/>
    <w:rsid w:val="000E3442"/>
    <w:rsid w:val="000E4C1C"/>
    <w:rsid w:val="000E55EE"/>
    <w:rsid w:val="000F16BC"/>
    <w:rsid w:val="000F4AE8"/>
    <w:rsid w:val="000F77E0"/>
    <w:rsid w:val="000F7C6C"/>
    <w:rsid w:val="001003A1"/>
    <w:rsid w:val="00100E3F"/>
    <w:rsid w:val="00110116"/>
    <w:rsid w:val="00110A67"/>
    <w:rsid w:val="00112DE7"/>
    <w:rsid w:val="00113550"/>
    <w:rsid w:val="00123A7F"/>
    <w:rsid w:val="00124306"/>
    <w:rsid w:val="00124E9E"/>
    <w:rsid w:val="00124F3E"/>
    <w:rsid w:val="00125D9B"/>
    <w:rsid w:val="0012645A"/>
    <w:rsid w:val="00126EB8"/>
    <w:rsid w:val="00130E21"/>
    <w:rsid w:val="00135086"/>
    <w:rsid w:val="001363AA"/>
    <w:rsid w:val="00140067"/>
    <w:rsid w:val="00141689"/>
    <w:rsid w:val="00146262"/>
    <w:rsid w:val="00146F43"/>
    <w:rsid w:val="00147354"/>
    <w:rsid w:val="00147679"/>
    <w:rsid w:val="001508BB"/>
    <w:rsid w:val="00155C7B"/>
    <w:rsid w:val="001637F5"/>
    <w:rsid w:val="00164943"/>
    <w:rsid w:val="0016589E"/>
    <w:rsid w:val="001673A6"/>
    <w:rsid w:val="0017083D"/>
    <w:rsid w:val="00175C07"/>
    <w:rsid w:val="00181871"/>
    <w:rsid w:val="00182665"/>
    <w:rsid w:val="00183173"/>
    <w:rsid w:val="00183E82"/>
    <w:rsid w:val="0019293B"/>
    <w:rsid w:val="001A5F01"/>
    <w:rsid w:val="001B1C8C"/>
    <w:rsid w:val="001C0865"/>
    <w:rsid w:val="001C2DA8"/>
    <w:rsid w:val="001C3ABA"/>
    <w:rsid w:val="001C3B40"/>
    <w:rsid w:val="001C4F8A"/>
    <w:rsid w:val="001C785F"/>
    <w:rsid w:val="001D1846"/>
    <w:rsid w:val="001D2338"/>
    <w:rsid w:val="001D2AC1"/>
    <w:rsid w:val="001D7FA1"/>
    <w:rsid w:val="001E2892"/>
    <w:rsid w:val="001E5C98"/>
    <w:rsid w:val="001E6B1A"/>
    <w:rsid w:val="001E7BE8"/>
    <w:rsid w:val="001F0248"/>
    <w:rsid w:val="001F1E40"/>
    <w:rsid w:val="001F37EB"/>
    <w:rsid w:val="001F3EB3"/>
    <w:rsid w:val="002010A3"/>
    <w:rsid w:val="00202A5F"/>
    <w:rsid w:val="00202C2C"/>
    <w:rsid w:val="00204EDA"/>
    <w:rsid w:val="00215D51"/>
    <w:rsid w:val="002165AF"/>
    <w:rsid w:val="00217B03"/>
    <w:rsid w:val="0022367B"/>
    <w:rsid w:val="00224020"/>
    <w:rsid w:val="00226C57"/>
    <w:rsid w:val="0023448E"/>
    <w:rsid w:val="00234BC1"/>
    <w:rsid w:val="00242279"/>
    <w:rsid w:val="00244A49"/>
    <w:rsid w:val="00244A78"/>
    <w:rsid w:val="00245C82"/>
    <w:rsid w:val="0024664C"/>
    <w:rsid w:val="002568C9"/>
    <w:rsid w:val="00262A60"/>
    <w:rsid w:val="002632D2"/>
    <w:rsid w:val="002636A3"/>
    <w:rsid w:val="002639EB"/>
    <w:rsid w:val="002646D9"/>
    <w:rsid w:val="00267A84"/>
    <w:rsid w:val="00271672"/>
    <w:rsid w:val="00275F1F"/>
    <w:rsid w:val="0027683E"/>
    <w:rsid w:val="00290584"/>
    <w:rsid w:val="00291B40"/>
    <w:rsid w:val="00293A71"/>
    <w:rsid w:val="002A1421"/>
    <w:rsid w:val="002A37F7"/>
    <w:rsid w:val="002A6582"/>
    <w:rsid w:val="002B187C"/>
    <w:rsid w:val="002B2468"/>
    <w:rsid w:val="002B4008"/>
    <w:rsid w:val="002B5A70"/>
    <w:rsid w:val="002B6595"/>
    <w:rsid w:val="002B70F4"/>
    <w:rsid w:val="002C1883"/>
    <w:rsid w:val="002C3B81"/>
    <w:rsid w:val="002C5E19"/>
    <w:rsid w:val="002D0E8E"/>
    <w:rsid w:val="002D771D"/>
    <w:rsid w:val="002D7E5B"/>
    <w:rsid w:val="002E0D49"/>
    <w:rsid w:val="002E0EA7"/>
    <w:rsid w:val="002E0F2F"/>
    <w:rsid w:val="002E38DC"/>
    <w:rsid w:val="002F167A"/>
    <w:rsid w:val="002F3646"/>
    <w:rsid w:val="002F4840"/>
    <w:rsid w:val="002F6846"/>
    <w:rsid w:val="00301189"/>
    <w:rsid w:val="00304CF5"/>
    <w:rsid w:val="00306A3F"/>
    <w:rsid w:val="00306F8B"/>
    <w:rsid w:val="0031253A"/>
    <w:rsid w:val="0031375A"/>
    <w:rsid w:val="00314DA0"/>
    <w:rsid w:val="00320745"/>
    <w:rsid w:val="0032139F"/>
    <w:rsid w:val="00323E09"/>
    <w:rsid w:val="0032487A"/>
    <w:rsid w:val="00327CAC"/>
    <w:rsid w:val="00333932"/>
    <w:rsid w:val="00335CB2"/>
    <w:rsid w:val="0033733E"/>
    <w:rsid w:val="00337769"/>
    <w:rsid w:val="003378A0"/>
    <w:rsid w:val="00344ECB"/>
    <w:rsid w:val="003513B2"/>
    <w:rsid w:val="003518AA"/>
    <w:rsid w:val="00352165"/>
    <w:rsid w:val="00353182"/>
    <w:rsid w:val="003565D9"/>
    <w:rsid w:val="003602E1"/>
    <w:rsid w:val="0036175E"/>
    <w:rsid w:val="0037026F"/>
    <w:rsid w:val="0037068E"/>
    <w:rsid w:val="00371240"/>
    <w:rsid w:val="00371FE1"/>
    <w:rsid w:val="0037260E"/>
    <w:rsid w:val="00372935"/>
    <w:rsid w:val="00373E43"/>
    <w:rsid w:val="00374500"/>
    <w:rsid w:val="00374731"/>
    <w:rsid w:val="003752AF"/>
    <w:rsid w:val="00375729"/>
    <w:rsid w:val="00375C6F"/>
    <w:rsid w:val="0037747B"/>
    <w:rsid w:val="00384398"/>
    <w:rsid w:val="0038513D"/>
    <w:rsid w:val="003865F0"/>
    <w:rsid w:val="0039014B"/>
    <w:rsid w:val="003919F9"/>
    <w:rsid w:val="00394FF4"/>
    <w:rsid w:val="003A2CE4"/>
    <w:rsid w:val="003B10D2"/>
    <w:rsid w:val="003B2BA5"/>
    <w:rsid w:val="003B6D53"/>
    <w:rsid w:val="003C38B5"/>
    <w:rsid w:val="003C5715"/>
    <w:rsid w:val="003C5D99"/>
    <w:rsid w:val="003C77B7"/>
    <w:rsid w:val="003D02B0"/>
    <w:rsid w:val="003D6CE0"/>
    <w:rsid w:val="003E146F"/>
    <w:rsid w:val="003E3875"/>
    <w:rsid w:val="003E3F52"/>
    <w:rsid w:val="003E5102"/>
    <w:rsid w:val="003E5ACC"/>
    <w:rsid w:val="003F0789"/>
    <w:rsid w:val="003F4AB5"/>
    <w:rsid w:val="003F68C2"/>
    <w:rsid w:val="00401882"/>
    <w:rsid w:val="0040247C"/>
    <w:rsid w:val="00405933"/>
    <w:rsid w:val="004075F5"/>
    <w:rsid w:val="0040782E"/>
    <w:rsid w:val="004100C8"/>
    <w:rsid w:val="0041106A"/>
    <w:rsid w:val="00411EA5"/>
    <w:rsid w:val="00412ACE"/>
    <w:rsid w:val="00413585"/>
    <w:rsid w:val="004159E1"/>
    <w:rsid w:val="0042163D"/>
    <w:rsid w:val="00421F5C"/>
    <w:rsid w:val="00423C13"/>
    <w:rsid w:val="004243E2"/>
    <w:rsid w:val="00425962"/>
    <w:rsid w:val="00425D0F"/>
    <w:rsid w:val="00430F53"/>
    <w:rsid w:val="00431249"/>
    <w:rsid w:val="00431641"/>
    <w:rsid w:val="00434C19"/>
    <w:rsid w:val="00450810"/>
    <w:rsid w:val="004529C1"/>
    <w:rsid w:val="00452D36"/>
    <w:rsid w:val="00453A19"/>
    <w:rsid w:val="00454A9A"/>
    <w:rsid w:val="004564E6"/>
    <w:rsid w:val="0046049E"/>
    <w:rsid w:val="00464E9D"/>
    <w:rsid w:val="004653E2"/>
    <w:rsid w:val="004655C7"/>
    <w:rsid w:val="00465B19"/>
    <w:rsid w:val="00477144"/>
    <w:rsid w:val="00485CBA"/>
    <w:rsid w:val="00493C6B"/>
    <w:rsid w:val="0049459F"/>
    <w:rsid w:val="00494616"/>
    <w:rsid w:val="004A0CE2"/>
    <w:rsid w:val="004A38DD"/>
    <w:rsid w:val="004B3543"/>
    <w:rsid w:val="004B43AE"/>
    <w:rsid w:val="004B47BD"/>
    <w:rsid w:val="004B4929"/>
    <w:rsid w:val="004B5B12"/>
    <w:rsid w:val="004B6D3C"/>
    <w:rsid w:val="004B75CC"/>
    <w:rsid w:val="004C0285"/>
    <w:rsid w:val="004C1DB1"/>
    <w:rsid w:val="004C30ED"/>
    <w:rsid w:val="004D2817"/>
    <w:rsid w:val="004D5675"/>
    <w:rsid w:val="004E200F"/>
    <w:rsid w:val="004E2A63"/>
    <w:rsid w:val="004F063F"/>
    <w:rsid w:val="004F4FB5"/>
    <w:rsid w:val="004F5603"/>
    <w:rsid w:val="00502DE5"/>
    <w:rsid w:val="005061CB"/>
    <w:rsid w:val="00521F07"/>
    <w:rsid w:val="00523639"/>
    <w:rsid w:val="00527269"/>
    <w:rsid w:val="005317B4"/>
    <w:rsid w:val="0053256E"/>
    <w:rsid w:val="00532F2A"/>
    <w:rsid w:val="00541946"/>
    <w:rsid w:val="00543A5F"/>
    <w:rsid w:val="005452B8"/>
    <w:rsid w:val="005457B3"/>
    <w:rsid w:val="00547EF1"/>
    <w:rsid w:val="00551E21"/>
    <w:rsid w:val="005541D9"/>
    <w:rsid w:val="00555120"/>
    <w:rsid w:val="0056088E"/>
    <w:rsid w:val="00561179"/>
    <w:rsid w:val="0056117A"/>
    <w:rsid w:val="005639C4"/>
    <w:rsid w:val="00572DD7"/>
    <w:rsid w:val="00577063"/>
    <w:rsid w:val="00583C39"/>
    <w:rsid w:val="00587119"/>
    <w:rsid w:val="00587FE4"/>
    <w:rsid w:val="005909CF"/>
    <w:rsid w:val="00590C83"/>
    <w:rsid w:val="00591E71"/>
    <w:rsid w:val="00592706"/>
    <w:rsid w:val="00594440"/>
    <w:rsid w:val="005A0D41"/>
    <w:rsid w:val="005A0FC5"/>
    <w:rsid w:val="005A5672"/>
    <w:rsid w:val="005A7149"/>
    <w:rsid w:val="005A7299"/>
    <w:rsid w:val="005A75EA"/>
    <w:rsid w:val="005B1C19"/>
    <w:rsid w:val="005C0AF5"/>
    <w:rsid w:val="005C1DA9"/>
    <w:rsid w:val="005C49D0"/>
    <w:rsid w:val="005D1E45"/>
    <w:rsid w:val="005D1F08"/>
    <w:rsid w:val="005D4CC7"/>
    <w:rsid w:val="005E1760"/>
    <w:rsid w:val="005E1FED"/>
    <w:rsid w:val="005E27F5"/>
    <w:rsid w:val="005F383F"/>
    <w:rsid w:val="005F5DCF"/>
    <w:rsid w:val="0060378C"/>
    <w:rsid w:val="0060453A"/>
    <w:rsid w:val="00605805"/>
    <w:rsid w:val="006069F0"/>
    <w:rsid w:val="00607BF1"/>
    <w:rsid w:val="00612315"/>
    <w:rsid w:val="00613FF5"/>
    <w:rsid w:val="00616612"/>
    <w:rsid w:val="00627F0A"/>
    <w:rsid w:val="00630D4D"/>
    <w:rsid w:val="00632536"/>
    <w:rsid w:val="00632A74"/>
    <w:rsid w:val="00633B2F"/>
    <w:rsid w:val="006345AE"/>
    <w:rsid w:val="00640CD1"/>
    <w:rsid w:val="0064394D"/>
    <w:rsid w:val="006477F2"/>
    <w:rsid w:val="00650E83"/>
    <w:rsid w:val="00650F8A"/>
    <w:rsid w:val="00651973"/>
    <w:rsid w:val="00651CDE"/>
    <w:rsid w:val="00655D0A"/>
    <w:rsid w:val="00657030"/>
    <w:rsid w:val="0065793C"/>
    <w:rsid w:val="006608C7"/>
    <w:rsid w:val="006667D1"/>
    <w:rsid w:val="00667ABA"/>
    <w:rsid w:val="0067054D"/>
    <w:rsid w:val="00674906"/>
    <w:rsid w:val="00681D1B"/>
    <w:rsid w:val="00684A33"/>
    <w:rsid w:val="00690AC4"/>
    <w:rsid w:val="006912A0"/>
    <w:rsid w:val="00696322"/>
    <w:rsid w:val="006A1A43"/>
    <w:rsid w:val="006A44A1"/>
    <w:rsid w:val="006A4655"/>
    <w:rsid w:val="006A5706"/>
    <w:rsid w:val="006A5CF2"/>
    <w:rsid w:val="006B247F"/>
    <w:rsid w:val="006B2B3C"/>
    <w:rsid w:val="006B4C0A"/>
    <w:rsid w:val="006B67B6"/>
    <w:rsid w:val="006C041A"/>
    <w:rsid w:val="006C4971"/>
    <w:rsid w:val="006C626F"/>
    <w:rsid w:val="006C669B"/>
    <w:rsid w:val="006C7038"/>
    <w:rsid w:val="006D0090"/>
    <w:rsid w:val="006D3876"/>
    <w:rsid w:val="006D3A4F"/>
    <w:rsid w:val="006D7C07"/>
    <w:rsid w:val="006E1084"/>
    <w:rsid w:val="006E1877"/>
    <w:rsid w:val="006E210A"/>
    <w:rsid w:val="006E3E07"/>
    <w:rsid w:val="006E5502"/>
    <w:rsid w:val="006E73EF"/>
    <w:rsid w:val="006F59C3"/>
    <w:rsid w:val="00701472"/>
    <w:rsid w:val="007056AC"/>
    <w:rsid w:val="00705929"/>
    <w:rsid w:val="00706526"/>
    <w:rsid w:val="00714202"/>
    <w:rsid w:val="00714D4D"/>
    <w:rsid w:val="0072067E"/>
    <w:rsid w:val="007242FF"/>
    <w:rsid w:val="00727A33"/>
    <w:rsid w:val="00734267"/>
    <w:rsid w:val="00735377"/>
    <w:rsid w:val="00741A80"/>
    <w:rsid w:val="00742867"/>
    <w:rsid w:val="00743F24"/>
    <w:rsid w:val="00744A40"/>
    <w:rsid w:val="00746019"/>
    <w:rsid w:val="00750575"/>
    <w:rsid w:val="0075282E"/>
    <w:rsid w:val="00752CDB"/>
    <w:rsid w:val="0075344C"/>
    <w:rsid w:val="00753971"/>
    <w:rsid w:val="00754021"/>
    <w:rsid w:val="00755FC0"/>
    <w:rsid w:val="007560C3"/>
    <w:rsid w:val="007604BB"/>
    <w:rsid w:val="00764AA3"/>
    <w:rsid w:val="007655A7"/>
    <w:rsid w:val="007660FA"/>
    <w:rsid w:val="00767F78"/>
    <w:rsid w:val="00776388"/>
    <w:rsid w:val="007834BB"/>
    <w:rsid w:val="00785232"/>
    <w:rsid w:val="00790DE1"/>
    <w:rsid w:val="00791EFA"/>
    <w:rsid w:val="007926E3"/>
    <w:rsid w:val="00793B3D"/>
    <w:rsid w:val="007A21EB"/>
    <w:rsid w:val="007A449F"/>
    <w:rsid w:val="007A5198"/>
    <w:rsid w:val="007B0AB3"/>
    <w:rsid w:val="007B24B1"/>
    <w:rsid w:val="007B35D9"/>
    <w:rsid w:val="007B37D5"/>
    <w:rsid w:val="007B654D"/>
    <w:rsid w:val="007C117D"/>
    <w:rsid w:val="007C36C9"/>
    <w:rsid w:val="007C36F6"/>
    <w:rsid w:val="007D3F9D"/>
    <w:rsid w:val="007D5907"/>
    <w:rsid w:val="007D619E"/>
    <w:rsid w:val="007E01E4"/>
    <w:rsid w:val="007E22F5"/>
    <w:rsid w:val="007F3345"/>
    <w:rsid w:val="007F3927"/>
    <w:rsid w:val="007F4598"/>
    <w:rsid w:val="007F48C7"/>
    <w:rsid w:val="007F5DA5"/>
    <w:rsid w:val="007F634A"/>
    <w:rsid w:val="007F7107"/>
    <w:rsid w:val="008101E4"/>
    <w:rsid w:val="0081030F"/>
    <w:rsid w:val="008169FF"/>
    <w:rsid w:val="0082087D"/>
    <w:rsid w:val="00823E40"/>
    <w:rsid w:val="00823EB3"/>
    <w:rsid w:val="0082648D"/>
    <w:rsid w:val="008272CC"/>
    <w:rsid w:val="00836BDA"/>
    <w:rsid w:val="00841338"/>
    <w:rsid w:val="008419D0"/>
    <w:rsid w:val="00842933"/>
    <w:rsid w:val="008449D1"/>
    <w:rsid w:val="008460B3"/>
    <w:rsid w:val="0084626F"/>
    <w:rsid w:val="00851E8F"/>
    <w:rsid w:val="008540CD"/>
    <w:rsid w:val="0085587F"/>
    <w:rsid w:val="0086082C"/>
    <w:rsid w:val="00862D69"/>
    <w:rsid w:val="00863995"/>
    <w:rsid w:val="00864ADC"/>
    <w:rsid w:val="008663BC"/>
    <w:rsid w:val="008777AF"/>
    <w:rsid w:val="00880153"/>
    <w:rsid w:val="00880F97"/>
    <w:rsid w:val="0088133A"/>
    <w:rsid w:val="008863F9"/>
    <w:rsid w:val="0089285E"/>
    <w:rsid w:val="00892E63"/>
    <w:rsid w:val="0089436C"/>
    <w:rsid w:val="008A0B15"/>
    <w:rsid w:val="008A1FFC"/>
    <w:rsid w:val="008A4592"/>
    <w:rsid w:val="008A77AE"/>
    <w:rsid w:val="008A7ED6"/>
    <w:rsid w:val="008B0625"/>
    <w:rsid w:val="008B105C"/>
    <w:rsid w:val="008C2294"/>
    <w:rsid w:val="008C3036"/>
    <w:rsid w:val="008C56F7"/>
    <w:rsid w:val="008D0CD0"/>
    <w:rsid w:val="008D126B"/>
    <w:rsid w:val="008D2895"/>
    <w:rsid w:val="008D365C"/>
    <w:rsid w:val="008D4B01"/>
    <w:rsid w:val="008D7E18"/>
    <w:rsid w:val="008E7F4D"/>
    <w:rsid w:val="008F01C9"/>
    <w:rsid w:val="008F07A1"/>
    <w:rsid w:val="008F2007"/>
    <w:rsid w:val="008F3125"/>
    <w:rsid w:val="008F5390"/>
    <w:rsid w:val="00900DCD"/>
    <w:rsid w:val="009030BF"/>
    <w:rsid w:val="0090789D"/>
    <w:rsid w:val="00907EB6"/>
    <w:rsid w:val="00914368"/>
    <w:rsid w:val="00915C64"/>
    <w:rsid w:val="009206F1"/>
    <w:rsid w:val="00921786"/>
    <w:rsid w:val="00923005"/>
    <w:rsid w:val="00925A1B"/>
    <w:rsid w:val="00927D76"/>
    <w:rsid w:val="00930619"/>
    <w:rsid w:val="00931076"/>
    <w:rsid w:val="009327C7"/>
    <w:rsid w:val="009345D9"/>
    <w:rsid w:val="00934B15"/>
    <w:rsid w:val="00935041"/>
    <w:rsid w:val="00937CED"/>
    <w:rsid w:val="00942AA2"/>
    <w:rsid w:val="00942B62"/>
    <w:rsid w:val="00943ACB"/>
    <w:rsid w:val="00945294"/>
    <w:rsid w:val="0094755F"/>
    <w:rsid w:val="00955ED6"/>
    <w:rsid w:val="00956A0C"/>
    <w:rsid w:val="00956BD9"/>
    <w:rsid w:val="00962489"/>
    <w:rsid w:val="00962508"/>
    <w:rsid w:val="0096324A"/>
    <w:rsid w:val="00974A8E"/>
    <w:rsid w:val="009776EC"/>
    <w:rsid w:val="00982FEE"/>
    <w:rsid w:val="00987960"/>
    <w:rsid w:val="00990C2C"/>
    <w:rsid w:val="00992E3F"/>
    <w:rsid w:val="009958E7"/>
    <w:rsid w:val="00995A6D"/>
    <w:rsid w:val="009960C3"/>
    <w:rsid w:val="0099681E"/>
    <w:rsid w:val="009A062B"/>
    <w:rsid w:val="009A5D37"/>
    <w:rsid w:val="009B0856"/>
    <w:rsid w:val="009B1BE7"/>
    <w:rsid w:val="009B325B"/>
    <w:rsid w:val="009B56F7"/>
    <w:rsid w:val="009B5FAF"/>
    <w:rsid w:val="009C0F58"/>
    <w:rsid w:val="009C467D"/>
    <w:rsid w:val="009D052D"/>
    <w:rsid w:val="009D1DD0"/>
    <w:rsid w:val="009D7296"/>
    <w:rsid w:val="009E10C4"/>
    <w:rsid w:val="009E43BC"/>
    <w:rsid w:val="009E7C12"/>
    <w:rsid w:val="009E7F66"/>
    <w:rsid w:val="009F5AF6"/>
    <w:rsid w:val="009F696D"/>
    <w:rsid w:val="009F6BC6"/>
    <w:rsid w:val="009F7A1B"/>
    <w:rsid w:val="00A03CC0"/>
    <w:rsid w:val="00A04B37"/>
    <w:rsid w:val="00A07036"/>
    <w:rsid w:val="00A15FFA"/>
    <w:rsid w:val="00A17328"/>
    <w:rsid w:val="00A17689"/>
    <w:rsid w:val="00A21719"/>
    <w:rsid w:val="00A218BA"/>
    <w:rsid w:val="00A22F95"/>
    <w:rsid w:val="00A23A20"/>
    <w:rsid w:val="00A268B9"/>
    <w:rsid w:val="00A2703A"/>
    <w:rsid w:val="00A311D0"/>
    <w:rsid w:val="00A33DFF"/>
    <w:rsid w:val="00A35115"/>
    <w:rsid w:val="00A42CDC"/>
    <w:rsid w:val="00A437C4"/>
    <w:rsid w:val="00A444BA"/>
    <w:rsid w:val="00A50C6D"/>
    <w:rsid w:val="00A554AB"/>
    <w:rsid w:val="00A55CA1"/>
    <w:rsid w:val="00A56C45"/>
    <w:rsid w:val="00A56E3B"/>
    <w:rsid w:val="00A62471"/>
    <w:rsid w:val="00A67246"/>
    <w:rsid w:val="00A715F8"/>
    <w:rsid w:val="00A726BA"/>
    <w:rsid w:val="00A75B7F"/>
    <w:rsid w:val="00A76861"/>
    <w:rsid w:val="00A9167F"/>
    <w:rsid w:val="00A92B53"/>
    <w:rsid w:val="00A94FA6"/>
    <w:rsid w:val="00AA13C3"/>
    <w:rsid w:val="00AA1A62"/>
    <w:rsid w:val="00AA23F6"/>
    <w:rsid w:val="00AA49A0"/>
    <w:rsid w:val="00AA6710"/>
    <w:rsid w:val="00AB0681"/>
    <w:rsid w:val="00AB6138"/>
    <w:rsid w:val="00AB6896"/>
    <w:rsid w:val="00AC0720"/>
    <w:rsid w:val="00AC227C"/>
    <w:rsid w:val="00AC2D73"/>
    <w:rsid w:val="00AD185D"/>
    <w:rsid w:val="00AD1A59"/>
    <w:rsid w:val="00AD3969"/>
    <w:rsid w:val="00AE033A"/>
    <w:rsid w:val="00AE26F7"/>
    <w:rsid w:val="00AE6476"/>
    <w:rsid w:val="00AF07F6"/>
    <w:rsid w:val="00AF3461"/>
    <w:rsid w:val="00AF75DE"/>
    <w:rsid w:val="00AF7A79"/>
    <w:rsid w:val="00B0204D"/>
    <w:rsid w:val="00B03C5E"/>
    <w:rsid w:val="00B07747"/>
    <w:rsid w:val="00B10C12"/>
    <w:rsid w:val="00B1698E"/>
    <w:rsid w:val="00B22EBD"/>
    <w:rsid w:val="00B2512A"/>
    <w:rsid w:val="00B36682"/>
    <w:rsid w:val="00B40726"/>
    <w:rsid w:val="00B40814"/>
    <w:rsid w:val="00B40E0D"/>
    <w:rsid w:val="00B440AD"/>
    <w:rsid w:val="00B4733A"/>
    <w:rsid w:val="00B5288A"/>
    <w:rsid w:val="00B52A7F"/>
    <w:rsid w:val="00B53E7E"/>
    <w:rsid w:val="00B6055A"/>
    <w:rsid w:val="00B63136"/>
    <w:rsid w:val="00B6342E"/>
    <w:rsid w:val="00B6411D"/>
    <w:rsid w:val="00B64241"/>
    <w:rsid w:val="00B67F02"/>
    <w:rsid w:val="00B70026"/>
    <w:rsid w:val="00B7113F"/>
    <w:rsid w:val="00B85A9C"/>
    <w:rsid w:val="00B91438"/>
    <w:rsid w:val="00B92C41"/>
    <w:rsid w:val="00B93539"/>
    <w:rsid w:val="00B93C8C"/>
    <w:rsid w:val="00B94993"/>
    <w:rsid w:val="00B979E4"/>
    <w:rsid w:val="00BA1C37"/>
    <w:rsid w:val="00BA3906"/>
    <w:rsid w:val="00BA465B"/>
    <w:rsid w:val="00BA6143"/>
    <w:rsid w:val="00BA73B6"/>
    <w:rsid w:val="00BA7DA7"/>
    <w:rsid w:val="00BB19DF"/>
    <w:rsid w:val="00BB31CE"/>
    <w:rsid w:val="00BB320F"/>
    <w:rsid w:val="00BB4FCD"/>
    <w:rsid w:val="00BC4327"/>
    <w:rsid w:val="00BD13EA"/>
    <w:rsid w:val="00BD5E8B"/>
    <w:rsid w:val="00BE3808"/>
    <w:rsid w:val="00BF160C"/>
    <w:rsid w:val="00BF5DEB"/>
    <w:rsid w:val="00BF68DC"/>
    <w:rsid w:val="00C0030A"/>
    <w:rsid w:val="00C01C5E"/>
    <w:rsid w:val="00C01F00"/>
    <w:rsid w:val="00C024CD"/>
    <w:rsid w:val="00C0287F"/>
    <w:rsid w:val="00C062E9"/>
    <w:rsid w:val="00C07412"/>
    <w:rsid w:val="00C07B64"/>
    <w:rsid w:val="00C11811"/>
    <w:rsid w:val="00C134A7"/>
    <w:rsid w:val="00C13721"/>
    <w:rsid w:val="00C1556A"/>
    <w:rsid w:val="00C20788"/>
    <w:rsid w:val="00C21DE2"/>
    <w:rsid w:val="00C23AF7"/>
    <w:rsid w:val="00C246CF"/>
    <w:rsid w:val="00C24D9C"/>
    <w:rsid w:val="00C3066D"/>
    <w:rsid w:val="00C31521"/>
    <w:rsid w:val="00C36B8E"/>
    <w:rsid w:val="00C412EB"/>
    <w:rsid w:val="00C42D4F"/>
    <w:rsid w:val="00C46AC2"/>
    <w:rsid w:val="00C472C7"/>
    <w:rsid w:val="00C543F4"/>
    <w:rsid w:val="00C54DC3"/>
    <w:rsid w:val="00C559CC"/>
    <w:rsid w:val="00C61031"/>
    <w:rsid w:val="00C62078"/>
    <w:rsid w:val="00C6291C"/>
    <w:rsid w:val="00C633CB"/>
    <w:rsid w:val="00C65F6B"/>
    <w:rsid w:val="00C661B2"/>
    <w:rsid w:val="00C674AD"/>
    <w:rsid w:val="00C67C11"/>
    <w:rsid w:val="00C7120A"/>
    <w:rsid w:val="00C71C11"/>
    <w:rsid w:val="00C735C1"/>
    <w:rsid w:val="00C742CE"/>
    <w:rsid w:val="00C76E44"/>
    <w:rsid w:val="00C77B32"/>
    <w:rsid w:val="00C806FD"/>
    <w:rsid w:val="00C86330"/>
    <w:rsid w:val="00C8762C"/>
    <w:rsid w:val="00C9155E"/>
    <w:rsid w:val="00C945E7"/>
    <w:rsid w:val="00C96635"/>
    <w:rsid w:val="00CA00F9"/>
    <w:rsid w:val="00CA1BC1"/>
    <w:rsid w:val="00CA2961"/>
    <w:rsid w:val="00CA3F42"/>
    <w:rsid w:val="00CA500C"/>
    <w:rsid w:val="00CB01C9"/>
    <w:rsid w:val="00CB0994"/>
    <w:rsid w:val="00CB13BE"/>
    <w:rsid w:val="00CB2179"/>
    <w:rsid w:val="00CB3665"/>
    <w:rsid w:val="00CB50D7"/>
    <w:rsid w:val="00CB550B"/>
    <w:rsid w:val="00CB7177"/>
    <w:rsid w:val="00CC097B"/>
    <w:rsid w:val="00CC1998"/>
    <w:rsid w:val="00CC3CE9"/>
    <w:rsid w:val="00CC4946"/>
    <w:rsid w:val="00CC4CDD"/>
    <w:rsid w:val="00CC5870"/>
    <w:rsid w:val="00CC5EC8"/>
    <w:rsid w:val="00CD0C4E"/>
    <w:rsid w:val="00CD17A2"/>
    <w:rsid w:val="00D0010B"/>
    <w:rsid w:val="00D01683"/>
    <w:rsid w:val="00D0440C"/>
    <w:rsid w:val="00D10A32"/>
    <w:rsid w:val="00D117B1"/>
    <w:rsid w:val="00D20EC5"/>
    <w:rsid w:val="00D217D9"/>
    <w:rsid w:val="00D22787"/>
    <w:rsid w:val="00D242C7"/>
    <w:rsid w:val="00D256F0"/>
    <w:rsid w:val="00D270A4"/>
    <w:rsid w:val="00D34E1B"/>
    <w:rsid w:val="00D376BA"/>
    <w:rsid w:val="00D377FB"/>
    <w:rsid w:val="00D4030E"/>
    <w:rsid w:val="00D422CB"/>
    <w:rsid w:val="00D460C2"/>
    <w:rsid w:val="00D47BA2"/>
    <w:rsid w:val="00D53C90"/>
    <w:rsid w:val="00D5568A"/>
    <w:rsid w:val="00D55F9D"/>
    <w:rsid w:val="00D560C1"/>
    <w:rsid w:val="00D6245A"/>
    <w:rsid w:val="00D62F4B"/>
    <w:rsid w:val="00D63D73"/>
    <w:rsid w:val="00D65BAA"/>
    <w:rsid w:val="00D66E1E"/>
    <w:rsid w:val="00D7028C"/>
    <w:rsid w:val="00D71528"/>
    <w:rsid w:val="00D727C2"/>
    <w:rsid w:val="00D72941"/>
    <w:rsid w:val="00D73009"/>
    <w:rsid w:val="00D75722"/>
    <w:rsid w:val="00D76098"/>
    <w:rsid w:val="00D772F3"/>
    <w:rsid w:val="00D90F4F"/>
    <w:rsid w:val="00D9131E"/>
    <w:rsid w:val="00D921F1"/>
    <w:rsid w:val="00D93716"/>
    <w:rsid w:val="00D964B8"/>
    <w:rsid w:val="00DA01AB"/>
    <w:rsid w:val="00DA23CD"/>
    <w:rsid w:val="00DA32D1"/>
    <w:rsid w:val="00DA465B"/>
    <w:rsid w:val="00DA5BBA"/>
    <w:rsid w:val="00DB2150"/>
    <w:rsid w:val="00DB41BB"/>
    <w:rsid w:val="00DB67C9"/>
    <w:rsid w:val="00DC0C95"/>
    <w:rsid w:val="00DC667F"/>
    <w:rsid w:val="00DC7103"/>
    <w:rsid w:val="00DD213F"/>
    <w:rsid w:val="00DD6580"/>
    <w:rsid w:val="00DD6582"/>
    <w:rsid w:val="00DE048A"/>
    <w:rsid w:val="00DE5325"/>
    <w:rsid w:val="00DF2189"/>
    <w:rsid w:val="00DF2B06"/>
    <w:rsid w:val="00DF5C30"/>
    <w:rsid w:val="00DF76C2"/>
    <w:rsid w:val="00E03C04"/>
    <w:rsid w:val="00E1099C"/>
    <w:rsid w:val="00E125C2"/>
    <w:rsid w:val="00E15A55"/>
    <w:rsid w:val="00E16149"/>
    <w:rsid w:val="00E17C72"/>
    <w:rsid w:val="00E21FC6"/>
    <w:rsid w:val="00E221F5"/>
    <w:rsid w:val="00E2328C"/>
    <w:rsid w:val="00E24337"/>
    <w:rsid w:val="00E24826"/>
    <w:rsid w:val="00E25D4A"/>
    <w:rsid w:val="00E26AA6"/>
    <w:rsid w:val="00E348CD"/>
    <w:rsid w:val="00E37784"/>
    <w:rsid w:val="00E42045"/>
    <w:rsid w:val="00E512FD"/>
    <w:rsid w:val="00E558B9"/>
    <w:rsid w:val="00E5760F"/>
    <w:rsid w:val="00E57A21"/>
    <w:rsid w:val="00E669E2"/>
    <w:rsid w:val="00E672D2"/>
    <w:rsid w:val="00E7090F"/>
    <w:rsid w:val="00E750C0"/>
    <w:rsid w:val="00E76135"/>
    <w:rsid w:val="00E837DC"/>
    <w:rsid w:val="00E87A36"/>
    <w:rsid w:val="00E87C13"/>
    <w:rsid w:val="00E91A0A"/>
    <w:rsid w:val="00E93FAB"/>
    <w:rsid w:val="00EA1095"/>
    <w:rsid w:val="00EA1E4A"/>
    <w:rsid w:val="00EA7151"/>
    <w:rsid w:val="00EB12D8"/>
    <w:rsid w:val="00EB1CF1"/>
    <w:rsid w:val="00EB3C41"/>
    <w:rsid w:val="00EB58D7"/>
    <w:rsid w:val="00EB6088"/>
    <w:rsid w:val="00EC2844"/>
    <w:rsid w:val="00EC53BE"/>
    <w:rsid w:val="00ED1479"/>
    <w:rsid w:val="00ED62E7"/>
    <w:rsid w:val="00EE2108"/>
    <w:rsid w:val="00EE3F8B"/>
    <w:rsid w:val="00EE4836"/>
    <w:rsid w:val="00EE5A76"/>
    <w:rsid w:val="00EE6CFA"/>
    <w:rsid w:val="00EE7B24"/>
    <w:rsid w:val="00EF000B"/>
    <w:rsid w:val="00EF1553"/>
    <w:rsid w:val="00EF188B"/>
    <w:rsid w:val="00EF25F0"/>
    <w:rsid w:val="00EF481C"/>
    <w:rsid w:val="00EF6C6C"/>
    <w:rsid w:val="00F005A8"/>
    <w:rsid w:val="00F00873"/>
    <w:rsid w:val="00F00FE1"/>
    <w:rsid w:val="00F056FC"/>
    <w:rsid w:val="00F07339"/>
    <w:rsid w:val="00F075E0"/>
    <w:rsid w:val="00F07E77"/>
    <w:rsid w:val="00F10476"/>
    <w:rsid w:val="00F135D8"/>
    <w:rsid w:val="00F21261"/>
    <w:rsid w:val="00F30428"/>
    <w:rsid w:val="00F31299"/>
    <w:rsid w:val="00F32EF8"/>
    <w:rsid w:val="00F3480B"/>
    <w:rsid w:val="00F3534A"/>
    <w:rsid w:val="00F515F4"/>
    <w:rsid w:val="00F52E02"/>
    <w:rsid w:val="00F67CE3"/>
    <w:rsid w:val="00F71B77"/>
    <w:rsid w:val="00F729F4"/>
    <w:rsid w:val="00F74670"/>
    <w:rsid w:val="00F75B79"/>
    <w:rsid w:val="00F774DD"/>
    <w:rsid w:val="00F77A10"/>
    <w:rsid w:val="00F83A7B"/>
    <w:rsid w:val="00F85325"/>
    <w:rsid w:val="00F875F8"/>
    <w:rsid w:val="00F9691E"/>
    <w:rsid w:val="00FA0B6D"/>
    <w:rsid w:val="00FA11E1"/>
    <w:rsid w:val="00FA13AA"/>
    <w:rsid w:val="00FA3743"/>
    <w:rsid w:val="00FB1420"/>
    <w:rsid w:val="00FB1DFE"/>
    <w:rsid w:val="00FB6126"/>
    <w:rsid w:val="00FB6B16"/>
    <w:rsid w:val="00FC1676"/>
    <w:rsid w:val="00FC1954"/>
    <w:rsid w:val="00FC3192"/>
    <w:rsid w:val="00FC5CBA"/>
    <w:rsid w:val="00FC754C"/>
    <w:rsid w:val="00FD22B1"/>
    <w:rsid w:val="00FD25AA"/>
    <w:rsid w:val="00FD32A0"/>
    <w:rsid w:val="00FD79B4"/>
    <w:rsid w:val="00FE169C"/>
    <w:rsid w:val="00FE6741"/>
    <w:rsid w:val="00FE6AB1"/>
    <w:rsid w:val="00FF1288"/>
    <w:rsid w:val="00FF3996"/>
    <w:rsid w:val="00FF4512"/>
    <w:rsid w:val="00FF702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40782E"/>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1,Body Text Char1,Body Text Char Char,Body Text Char1 Char Char,Body Text Char Char Char Char,Body Text Char1 Char Char Char Char,Body Text Char Char Char Char Char Char,Body Text Char1 Char Char Char Char Char Char"/>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character" w:customStyle="1" w:styleId="Heading2Char">
    <w:name w:val="Heading 2 Char"/>
    <w:basedOn w:val="DefaultParagraphFont"/>
    <w:link w:val="Heading2"/>
    <w:rsid w:val="0040782E"/>
    <w:rPr>
      <w:rFonts w:ascii="Arial" w:hAnsi="Arial"/>
      <w:b/>
      <w:sz w:val="32"/>
    </w:rPr>
  </w:style>
  <w:style w:type="character" w:customStyle="1" w:styleId="Heading3Char">
    <w:name w:val="Heading 3 Char"/>
    <w:basedOn w:val="DefaultParagraphFont"/>
    <w:link w:val="Heading3"/>
    <w:rsid w:val="0040782E"/>
    <w:rPr>
      <w:rFonts w:ascii="Arial" w:hAnsi="Arial"/>
      <w:b/>
      <w:sz w:val="26"/>
    </w:rPr>
  </w:style>
  <w:style w:type="character" w:customStyle="1" w:styleId="BodyTextChar">
    <w:name w:val="Body Text Char"/>
    <w:aliases w:val="Body Text1 Char,Body Text Char1 Char,Body Text Char Char Char,Body Text Char1 Char Char Char,Body Text Char Char Char Char Char,Body Text Char1 Char Char Char Char Char,Body Text Char Char Char Char Char Char Char"/>
    <w:basedOn w:val="DefaultParagraphFont"/>
    <w:link w:val="BodyText"/>
    <w:rsid w:val="0040782E"/>
    <w:rPr>
      <w:sz w:val="26"/>
    </w:rPr>
  </w:style>
  <w:style w:type="character" w:customStyle="1" w:styleId="FootnoteTextChar">
    <w:name w:val="Footnote Text Char"/>
    <w:basedOn w:val="DefaultParagraphFont"/>
    <w:link w:val="FootnoteText"/>
    <w:rsid w:val="0040782E"/>
    <w:rPr>
      <w:sz w:val="22"/>
    </w:rPr>
  </w:style>
  <w:style w:type="paragraph" w:styleId="NormalWeb">
    <w:name w:val="Normal (Web)"/>
    <w:basedOn w:val="Normal"/>
    <w:uiPriority w:val="99"/>
    <w:unhideWhenUsed/>
    <w:rsid w:val="00F00FE1"/>
    <w:pPr>
      <w:spacing w:before="100" w:beforeAutospacing="1" w:after="100" w:afterAutospacing="1"/>
    </w:pPr>
    <w:rPr>
      <w:rFonts w:eastAsiaTheme="minorEastAsia"/>
      <w:sz w:val="24"/>
    </w:rPr>
  </w:style>
  <w:style w:type="character" w:styleId="PlaceholderText">
    <w:name w:val="Placeholder Text"/>
    <w:basedOn w:val="DefaultParagraphFont"/>
    <w:uiPriority w:val="99"/>
    <w:semiHidden/>
    <w:rsid w:val="00244A49"/>
    <w:rPr>
      <w:color w:val="808080"/>
    </w:rPr>
  </w:style>
  <w:style w:type="character" w:styleId="Hyperlink">
    <w:name w:val="Hyperlink"/>
    <w:basedOn w:val="DefaultParagraphFont"/>
    <w:rsid w:val="00613FF5"/>
    <w:rPr>
      <w:color w:val="0000FF" w:themeColor="hyperlink"/>
      <w:u w:val="single"/>
    </w:rPr>
  </w:style>
  <w:style w:type="table" w:styleId="TableGrid">
    <w:name w:val="Table Grid"/>
    <w:basedOn w:val="TableNormal"/>
    <w:rsid w:val="00907E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40782E"/>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1,Body Text Char1,Body Text Char Char,Body Text Char1 Char Char,Body Text Char Char Char Char,Body Text Char1 Char Char Char Char,Body Text Char Char Char Char Char Char,Body Text Char1 Char Char Char Char Char Char"/>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character" w:customStyle="1" w:styleId="Heading2Char">
    <w:name w:val="Heading 2 Char"/>
    <w:basedOn w:val="DefaultParagraphFont"/>
    <w:link w:val="Heading2"/>
    <w:rsid w:val="0040782E"/>
    <w:rPr>
      <w:rFonts w:ascii="Arial" w:hAnsi="Arial"/>
      <w:b/>
      <w:sz w:val="32"/>
    </w:rPr>
  </w:style>
  <w:style w:type="character" w:customStyle="1" w:styleId="Heading3Char">
    <w:name w:val="Heading 3 Char"/>
    <w:basedOn w:val="DefaultParagraphFont"/>
    <w:link w:val="Heading3"/>
    <w:rsid w:val="0040782E"/>
    <w:rPr>
      <w:rFonts w:ascii="Arial" w:hAnsi="Arial"/>
      <w:b/>
      <w:sz w:val="26"/>
    </w:rPr>
  </w:style>
  <w:style w:type="character" w:customStyle="1" w:styleId="BodyTextChar">
    <w:name w:val="Body Text Char"/>
    <w:aliases w:val="Body Text1 Char,Body Text Char1 Char,Body Text Char Char Char,Body Text Char1 Char Char Char,Body Text Char Char Char Char Char,Body Text Char1 Char Char Char Char Char,Body Text Char Char Char Char Char Char Char"/>
    <w:basedOn w:val="DefaultParagraphFont"/>
    <w:link w:val="BodyText"/>
    <w:rsid w:val="0040782E"/>
    <w:rPr>
      <w:sz w:val="26"/>
    </w:rPr>
  </w:style>
  <w:style w:type="character" w:customStyle="1" w:styleId="FootnoteTextChar">
    <w:name w:val="Footnote Text Char"/>
    <w:basedOn w:val="DefaultParagraphFont"/>
    <w:link w:val="FootnoteText"/>
    <w:rsid w:val="0040782E"/>
    <w:rPr>
      <w:sz w:val="22"/>
    </w:rPr>
  </w:style>
  <w:style w:type="paragraph" w:styleId="NormalWeb">
    <w:name w:val="Normal (Web)"/>
    <w:basedOn w:val="Normal"/>
    <w:uiPriority w:val="99"/>
    <w:unhideWhenUsed/>
    <w:rsid w:val="00F00FE1"/>
    <w:pPr>
      <w:spacing w:before="100" w:beforeAutospacing="1" w:after="100" w:afterAutospacing="1"/>
    </w:pPr>
    <w:rPr>
      <w:rFonts w:eastAsiaTheme="minorEastAsia"/>
      <w:sz w:val="24"/>
    </w:rPr>
  </w:style>
  <w:style w:type="character" w:styleId="PlaceholderText">
    <w:name w:val="Placeholder Text"/>
    <w:basedOn w:val="DefaultParagraphFont"/>
    <w:uiPriority w:val="99"/>
    <w:semiHidden/>
    <w:rsid w:val="00244A49"/>
    <w:rPr>
      <w:color w:val="808080"/>
    </w:rPr>
  </w:style>
  <w:style w:type="character" w:styleId="Hyperlink">
    <w:name w:val="Hyperlink"/>
    <w:basedOn w:val="DefaultParagraphFont"/>
    <w:rsid w:val="00613FF5"/>
    <w:rPr>
      <w:color w:val="0000FF" w:themeColor="hyperlink"/>
      <w:u w:val="single"/>
    </w:rPr>
  </w:style>
  <w:style w:type="table" w:styleId="TableGrid">
    <w:name w:val="Table Grid"/>
    <w:basedOn w:val="TableNormal"/>
    <w:rsid w:val="00907E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43474">
      <w:bodyDiv w:val="1"/>
      <w:marLeft w:val="0"/>
      <w:marRight w:val="0"/>
      <w:marTop w:val="0"/>
      <w:marBottom w:val="0"/>
      <w:divBdr>
        <w:top w:val="none" w:sz="0" w:space="0" w:color="auto"/>
        <w:left w:val="none" w:sz="0" w:space="0" w:color="auto"/>
        <w:bottom w:val="none" w:sz="0" w:space="0" w:color="auto"/>
        <w:right w:val="none" w:sz="0" w:space="0" w:color="auto"/>
      </w:divBdr>
    </w:div>
    <w:div w:id="40053913">
      <w:bodyDiv w:val="1"/>
      <w:marLeft w:val="0"/>
      <w:marRight w:val="0"/>
      <w:marTop w:val="0"/>
      <w:marBottom w:val="0"/>
      <w:divBdr>
        <w:top w:val="none" w:sz="0" w:space="0" w:color="auto"/>
        <w:left w:val="none" w:sz="0" w:space="0" w:color="auto"/>
        <w:bottom w:val="none" w:sz="0" w:space="0" w:color="auto"/>
        <w:right w:val="none" w:sz="0" w:space="0" w:color="auto"/>
      </w:divBdr>
    </w:div>
    <w:div w:id="252322194">
      <w:bodyDiv w:val="1"/>
      <w:marLeft w:val="0"/>
      <w:marRight w:val="0"/>
      <w:marTop w:val="0"/>
      <w:marBottom w:val="0"/>
      <w:divBdr>
        <w:top w:val="none" w:sz="0" w:space="0" w:color="auto"/>
        <w:left w:val="none" w:sz="0" w:space="0" w:color="auto"/>
        <w:bottom w:val="none" w:sz="0" w:space="0" w:color="auto"/>
        <w:right w:val="none" w:sz="0" w:space="0" w:color="auto"/>
      </w:divBdr>
    </w:div>
    <w:div w:id="284505377">
      <w:bodyDiv w:val="1"/>
      <w:marLeft w:val="0"/>
      <w:marRight w:val="0"/>
      <w:marTop w:val="0"/>
      <w:marBottom w:val="0"/>
      <w:divBdr>
        <w:top w:val="none" w:sz="0" w:space="0" w:color="auto"/>
        <w:left w:val="none" w:sz="0" w:space="0" w:color="auto"/>
        <w:bottom w:val="none" w:sz="0" w:space="0" w:color="auto"/>
        <w:right w:val="none" w:sz="0" w:space="0" w:color="auto"/>
      </w:divBdr>
    </w:div>
    <w:div w:id="438184906">
      <w:bodyDiv w:val="1"/>
      <w:marLeft w:val="0"/>
      <w:marRight w:val="0"/>
      <w:marTop w:val="0"/>
      <w:marBottom w:val="0"/>
      <w:divBdr>
        <w:top w:val="none" w:sz="0" w:space="0" w:color="auto"/>
        <w:left w:val="none" w:sz="0" w:space="0" w:color="auto"/>
        <w:bottom w:val="none" w:sz="0" w:space="0" w:color="auto"/>
        <w:right w:val="none" w:sz="0" w:space="0" w:color="auto"/>
      </w:divBdr>
    </w:div>
    <w:div w:id="441149996">
      <w:bodyDiv w:val="1"/>
      <w:marLeft w:val="0"/>
      <w:marRight w:val="0"/>
      <w:marTop w:val="0"/>
      <w:marBottom w:val="0"/>
      <w:divBdr>
        <w:top w:val="none" w:sz="0" w:space="0" w:color="auto"/>
        <w:left w:val="none" w:sz="0" w:space="0" w:color="auto"/>
        <w:bottom w:val="none" w:sz="0" w:space="0" w:color="auto"/>
        <w:right w:val="none" w:sz="0" w:space="0" w:color="auto"/>
      </w:divBdr>
    </w:div>
    <w:div w:id="454713336">
      <w:bodyDiv w:val="1"/>
      <w:marLeft w:val="0"/>
      <w:marRight w:val="0"/>
      <w:marTop w:val="0"/>
      <w:marBottom w:val="0"/>
      <w:divBdr>
        <w:top w:val="none" w:sz="0" w:space="0" w:color="auto"/>
        <w:left w:val="none" w:sz="0" w:space="0" w:color="auto"/>
        <w:bottom w:val="none" w:sz="0" w:space="0" w:color="auto"/>
        <w:right w:val="none" w:sz="0" w:space="0" w:color="auto"/>
      </w:divBdr>
    </w:div>
    <w:div w:id="525600311">
      <w:bodyDiv w:val="1"/>
      <w:marLeft w:val="0"/>
      <w:marRight w:val="0"/>
      <w:marTop w:val="0"/>
      <w:marBottom w:val="0"/>
      <w:divBdr>
        <w:top w:val="none" w:sz="0" w:space="0" w:color="auto"/>
        <w:left w:val="none" w:sz="0" w:space="0" w:color="auto"/>
        <w:bottom w:val="none" w:sz="0" w:space="0" w:color="auto"/>
        <w:right w:val="none" w:sz="0" w:space="0" w:color="auto"/>
      </w:divBdr>
    </w:div>
    <w:div w:id="580338855">
      <w:bodyDiv w:val="1"/>
      <w:marLeft w:val="0"/>
      <w:marRight w:val="0"/>
      <w:marTop w:val="0"/>
      <w:marBottom w:val="0"/>
      <w:divBdr>
        <w:top w:val="none" w:sz="0" w:space="0" w:color="auto"/>
        <w:left w:val="none" w:sz="0" w:space="0" w:color="auto"/>
        <w:bottom w:val="none" w:sz="0" w:space="0" w:color="auto"/>
        <w:right w:val="none" w:sz="0" w:space="0" w:color="auto"/>
      </w:divBdr>
    </w:div>
    <w:div w:id="580525363">
      <w:bodyDiv w:val="1"/>
      <w:marLeft w:val="0"/>
      <w:marRight w:val="0"/>
      <w:marTop w:val="0"/>
      <w:marBottom w:val="0"/>
      <w:divBdr>
        <w:top w:val="none" w:sz="0" w:space="0" w:color="auto"/>
        <w:left w:val="none" w:sz="0" w:space="0" w:color="auto"/>
        <w:bottom w:val="none" w:sz="0" w:space="0" w:color="auto"/>
        <w:right w:val="none" w:sz="0" w:space="0" w:color="auto"/>
      </w:divBdr>
    </w:div>
    <w:div w:id="599990419">
      <w:bodyDiv w:val="1"/>
      <w:marLeft w:val="0"/>
      <w:marRight w:val="0"/>
      <w:marTop w:val="0"/>
      <w:marBottom w:val="0"/>
      <w:divBdr>
        <w:top w:val="none" w:sz="0" w:space="0" w:color="auto"/>
        <w:left w:val="none" w:sz="0" w:space="0" w:color="auto"/>
        <w:bottom w:val="none" w:sz="0" w:space="0" w:color="auto"/>
        <w:right w:val="none" w:sz="0" w:space="0" w:color="auto"/>
      </w:divBdr>
    </w:div>
    <w:div w:id="643779168">
      <w:bodyDiv w:val="1"/>
      <w:marLeft w:val="0"/>
      <w:marRight w:val="0"/>
      <w:marTop w:val="0"/>
      <w:marBottom w:val="0"/>
      <w:divBdr>
        <w:top w:val="none" w:sz="0" w:space="0" w:color="auto"/>
        <w:left w:val="none" w:sz="0" w:space="0" w:color="auto"/>
        <w:bottom w:val="none" w:sz="0" w:space="0" w:color="auto"/>
        <w:right w:val="none" w:sz="0" w:space="0" w:color="auto"/>
      </w:divBdr>
    </w:div>
    <w:div w:id="650063146">
      <w:bodyDiv w:val="1"/>
      <w:marLeft w:val="0"/>
      <w:marRight w:val="0"/>
      <w:marTop w:val="0"/>
      <w:marBottom w:val="0"/>
      <w:divBdr>
        <w:top w:val="none" w:sz="0" w:space="0" w:color="auto"/>
        <w:left w:val="none" w:sz="0" w:space="0" w:color="auto"/>
        <w:bottom w:val="none" w:sz="0" w:space="0" w:color="auto"/>
        <w:right w:val="none" w:sz="0" w:space="0" w:color="auto"/>
      </w:divBdr>
    </w:div>
    <w:div w:id="653800644">
      <w:bodyDiv w:val="1"/>
      <w:marLeft w:val="0"/>
      <w:marRight w:val="0"/>
      <w:marTop w:val="0"/>
      <w:marBottom w:val="0"/>
      <w:divBdr>
        <w:top w:val="none" w:sz="0" w:space="0" w:color="auto"/>
        <w:left w:val="none" w:sz="0" w:space="0" w:color="auto"/>
        <w:bottom w:val="none" w:sz="0" w:space="0" w:color="auto"/>
        <w:right w:val="none" w:sz="0" w:space="0" w:color="auto"/>
      </w:divBdr>
    </w:div>
    <w:div w:id="714541910">
      <w:bodyDiv w:val="1"/>
      <w:marLeft w:val="0"/>
      <w:marRight w:val="0"/>
      <w:marTop w:val="0"/>
      <w:marBottom w:val="0"/>
      <w:divBdr>
        <w:top w:val="none" w:sz="0" w:space="0" w:color="auto"/>
        <w:left w:val="none" w:sz="0" w:space="0" w:color="auto"/>
        <w:bottom w:val="none" w:sz="0" w:space="0" w:color="auto"/>
        <w:right w:val="none" w:sz="0" w:space="0" w:color="auto"/>
      </w:divBdr>
    </w:div>
    <w:div w:id="786505520">
      <w:bodyDiv w:val="1"/>
      <w:marLeft w:val="0"/>
      <w:marRight w:val="0"/>
      <w:marTop w:val="0"/>
      <w:marBottom w:val="0"/>
      <w:divBdr>
        <w:top w:val="none" w:sz="0" w:space="0" w:color="auto"/>
        <w:left w:val="none" w:sz="0" w:space="0" w:color="auto"/>
        <w:bottom w:val="none" w:sz="0" w:space="0" w:color="auto"/>
        <w:right w:val="none" w:sz="0" w:space="0" w:color="auto"/>
      </w:divBdr>
    </w:div>
    <w:div w:id="833567459">
      <w:bodyDiv w:val="1"/>
      <w:marLeft w:val="0"/>
      <w:marRight w:val="0"/>
      <w:marTop w:val="0"/>
      <w:marBottom w:val="0"/>
      <w:divBdr>
        <w:top w:val="none" w:sz="0" w:space="0" w:color="auto"/>
        <w:left w:val="none" w:sz="0" w:space="0" w:color="auto"/>
        <w:bottom w:val="none" w:sz="0" w:space="0" w:color="auto"/>
        <w:right w:val="none" w:sz="0" w:space="0" w:color="auto"/>
      </w:divBdr>
    </w:div>
    <w:div w:id="877357006">
      <w:bodyDiv w:val="1"/>
      <w:marLeft w:val="0"/>
      <w:marRight w:val="0"/>
      <w:marTop w:val="0"/>
      <w:marBottom w:val="0"/>
      <w:divBdr>
        <w:top w:val="none" w:sz="0" w:space="0" w:color="auto"/>
        <w:left w:val="none" w:sz="0" w:space="0" w:color="auto"/>
        <w:bottom w:val="none" w:sz="0" w:space="0" w:color="auto"/>
        <w:right w:val="none" w:sz="0" w:space="0" w:color="auto"/>
      </w:divBdr>
    </w:div>
    <w:div w:id="905604230">
      <w:bodyDiv w:val="1"/>
      <w:marLeft w:val="0"/>
      <w:marRight w:val="0"/>
      <w:marTop w:val="0"/>
      <w:marBottom w:val="0"/>
      <w:divBdr>
        <w:top w:val="none" w:sz="0" w:space="0" w:color="auto"/>
        <w:left w:val="none" w:sz="0" w:space="0" w:color="auto"/>
        <w:bottom w:val="none" w:sz="0" w:space="0" w:color="auto"/>
        <w:right w:val="none" w:sz="0" w:space="0" w:color="auto"/>
      </w:divBdr>
    </w:div>
    <w:div w:id="997196648">
      <w:bodyDiv w:val="1"/>
      <w:marLeft w:val="0"/>
      <w:marRight w:val="0"/>
      <w:marTop w:val="0"/>
      <w:marBottom w:val="0"/>
      <w:divBdr>
        <w:top w:val="none" w:sz="0" w:space="0" w:color="auto"/>
        <w:left w:val="none" w:sz="0" w:space="0" w:color="auto"/>
        <w:bottom w:val="none" w:sz="0" w:space="0" w:color="auto"/>
        <w:right w:val="none" w:sz="0" w:space="0" w:color="auto"/>
      </w:divBdr>
    </w:div>
    <w:div w:id="1021473936">
      <w:bodyDiv w:val="1"/>
      <w:marLeft w:val="0"/>
      <w:marRight w:val="0"/>
      <w:marTop w:val="0"/>
      <w:marBottom w:val="0"/>
      <w:divBdr>
        <w:top w:val="none" w:sz="0" w:space="0" w:color="auto"/>
        <w:left w:val="none" w:sz="0" w:space="0" w:color="auto"/>
        <w:bottom w:val="none" w:sz="0" w:space="0" w:color="auto"/>
        <w:right w:val="none" w:sz="0" w:space="0" w:color="auto"/>
      </w:divBdr>
    </w:div>
    <w:div w:id="1193615368">
      <w:bodyDiv w:val="1"/>
      <w:marLeft w:val="0"/>
      <w:marRight w:val="0"/>
      <w:marTop w:val="0"/>
      <w:marBottom w:val="0"/>
      <w:divBdr>
        <w:top w:val="none" w:sz="0" w:space="0" w:color="auto"/>
        <w:left w:val="none" w:sz="0" w:space="0" w:color="auto"/>
        <w:bottom w:val="none" w:sz="0" w:space="0" w:color="auto"/>
        <w:right w:val="none" w:sz="0" w:space="0" w:color="auto"/>
      </w:divBdr>
    </w:div>
    <w:div w:id="1236622012">
      <w:bodyDiv w:val="1"/>
      <w:marLeft w:val="0"/>
      <w:marRight w:val="0"/>
      <w:marTop w:val="0"/>
      <w:marBottom w:val="0"/>
      <w:divBdr>
        <w:top w:val="none" w:sz="0" w:space="0" w:color="auto"/>
        <w:left w:val="none" w:sz="0" w:space="0" w:color="auto"/>
        <w:bottom w:val="none" w:sz="0" w:space="0" w:color="auto"/>
        <w:right w:val="none" w:sz="0" w:space="0" w:color="auto"/>
      </w:divBdr>
    </w:div>
    <w:div w:id="1305429623">
      <w:bodyDiv w:val="1"/>
      <w:marLeft w:val="0"/>
      <w:marRight w:val="0"/>
      <w:marTop w:val="0"/>
      <w:marBottom w:val="0"/>
      <w:divBdr>
        <w:top w:val="none" w:sz="0" w:space="0" w:color="auto"/>
        <w:left w:val="none" w:sz="0" w:space="0" w:color="auto"/>
        <w:bottom w:val="none" w:sz="0" w:space="0" w:color="auto"/>
        <w:right w:val="none" w:sz="0" w:space="0" w:color="auto"/>
      </w:divBdr>
    </w:div>
    <w:div w:id="1429501600">
      <w:bodyDiv w:val="1"/>
      <w:marLeft w:val="0"/>
      <w:marRight w:val="0"/>
      <w:marTop w:val="0"/>
      <w:marBottom w:val="0"/>
      <w:divBdr>
        <w:top w:val="none" w:sz="0" w:space="0" w:color="auto"/>
        <w:left w:val="none" w:sz="0" w:space="0" w:color="auto"/>
        <w:bottom w:val="none" w:sz="0" w:space="0" w:color="auto"/>
        <w:right w:val="none" w:sz="0" w:space="0" w:color="auto"/>
      </w:divBdr>
    </w:div>
    <w:div w:id="1456097297">
      <w:bodyDiv w:val="1"/>
      <w:marLeft w:val="0"/>
      <w:marRight w:val="0"/>
      <w:marTop w:val="0"/>
      <w:marBottom w:val="0"/>
      <w:divBdr>
        <w:top w:val="none" w:sz="0" w:space="0" w:color="auto"/>
        <w:left w:val="none" w:sz="0" w:space="0" w:color="auto"/>
        <w:bottom w:val="none" w:sz="0" w:space="0" w:color="auto"/>
        <w:right w:val="none" w:sz="0" w:space="0" w:color="auto"/>
      </w:divBdr>
    </w:div>
    <w:div w:id="1458573351">
      <w:bodyDiv w:val="1"/>
      <w:marLeft w:val="0"/>
      <w:marRight w:val="0"/>
      <w:marTop w:val="0"/>
      <w:marBottom w:val="0"/>
      <w:divBdr>
        <w:top w:val="none" w:sz="0" w:space="0" w:color="auto"/>
        <w:left w:val="none" w:sz="0" w:space="0" w:color="auto"/>
        <w:bottom w:val="none" w:sz="0" w:space="0" w:color="auto"/>
        <w:right w:val="none" w:sz="0" w:space="0" w:color="auto"/>
      </w:divBdr>
    </w:div>
    <w:div w:id="1600138961">
      <w:bodyDiv w:val="1"/>
      <w:marLeft w:val="0"/>
      <w:marRight w:val="0"/>
      <w:marTop w:val="0"/>
      <w:marBottom w:val="0"/>
      <w:divBdr>
        <w:top w:val="none" w:sz="0" w:space="0" w:color="auto"/>
        <w:left w:val="none" w:sz="0" w:space="0" w:color="auto"/>
        <w:bottom w:val="none" w:sz="0" w:space="0" w:color="auto"/>
        <w:right w:val="none" w:sz="0" w:space="0" w:color="auto"/>
      </w:divBdr>
    </w:div>
    <w:div w:id="1703941543">
      <w:bodyDiv w:val="1"/>
      <w:marLeft w:val="0"/>
      <w:marRight w:val="0"/>
      <w:marTop w:val="0"/>
      <w:marBottom w:val="0"/>
      <w:divBdr>
        <w:top w:val="none" w:sz="0" w:space="0" w:color="auto"/>
        <w:left w:val="none" w:sz="0" w:space="0" w:color="auto"/>
        <w:bottom w:val="none" w:sz="0" w:space="0" w:color="auto"/>
        <w:right w:val="none" w:sz="0" w:space="0" w:color="auto"/>
      </w:divBdr>
    </w:div>
    <w:div w:id="1709333121">
      <w:bodyDiv w:val="1"/>
      <w:marLeft w:val="0"/>
      <w:marRight w:val="0"/>
      <w:marTop w:val="0"/>
      <w:marBottom w:val="0"/>
      <w:divBdr>
        <w:top w:val="none" w:sz="0" w:space="0" w:color="auto"/>
        <w:left w:val="none" w:sz="0" w:space="0" w:color="auto"/>
        <w:bottom w:val="none" w:sz="0" w:space="0" w:color="auto"/>
        <w:right w:val="none" w:sz="0" w:space="0" w:color="auto"/>
      </w:divBdr>
    </w:div>
    <w:div w:id="1800877284">
      <w:bodyDiv w:val="1"/>
      <w:marLeft w:val="0"/>
      <w:marRight w:val="0"/>
      <w:marTop w:val="0"/>
      <w:marBottom w:val="0"/>
      <w:divBdr>
        <w:top w:val="none" w:sz="0" w:space="0" w:color="auto"/>
        <w:left w:val="none" w:sz="0" w:space="0" w:color="auto"/>
        <w:bottom w:val="none" w:sz="0" w:space="0" w:color="auto"/>
        <w:right w:val="none" w:sz="0" w:space="0" w:color="auto"/>
      </w:divBdr>
    </w:div>
    <w:div w:id="1862476905">
      <w:bodyDiv w:val="1"/>
      <w:marLeft w:val="0"/>
      <w:marRight w:val="0"/>
      <w:marTop w:val="0"/>
      <w:marBottom w:val="0"/>
      <w:divBdr>
        <w:top w:val="none" w:sz="0" w:space="0" w:color="auto"/>
        <w:left w:val="none" w:sz="0" w:space="0" w:color="auto"/>
        <w:bottom w:val="none" w:sz="0" w:space="0" w:color="auto"/>
        <w:right w:val="none" w:sz="0" w:space="0" w:color="auto"/>
      </w:divBdr>
    </w:div>
    <w:div w:id="1979338525">
      <w:bodyDiv w:val="1"/>
      <w:marLeft w:val="0"/>
      <w:marRight w:val="0"/>
      <w:marTop w:val="0"/>
      <w:marBottom w:val="0"/>
      <w:divBdr>
        <w:top w:val="none" w:sz="0" w:space="0" w:color="auto"/>
        <w:left w:val="none" w:sz="0" w:space="0" w:color="auto"/>
        <w:bottom w:val="none" w:sz="0" w:space="0" w:color="auto"/>
        <w:right w:val="none" w:sz="0" w:space="0" w:color="auto"/>
      </w:divBdr>
    </w:div>
    <w:div w:id="208097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header" Target="header1.xml"/><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emf"/><Relationship Id="rId30" Type="http://schemas.openxmlformats.org/officeDocument/2006/relationships/image" Target="media/image22.png"/><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86BCD875AD483885972207EC2AE62D"/>
        <w:category>
          <w:name w:val="General"/>
          <w:gallery w:val="placeholder"/>
        </w:category>
        <w:types>
          <w:type w:val="bbPlcHdr"/>
        </w:types>
        <w:behaviors>
          <w:behavior w:val="content"/>
        </w:behaviors>
        <w:guid w:val="{2F5B87AC-03B8-4312-8394-E8D92439CC9A}"/>
      </w:docPartPr>
      <w:docPartBody>
        <w:p w:rsidR="00282090" w:rsidRDefault="00633AB4" w:rsidP="0075521D">
          <w:pPr>
            <w:pStyle w:val="0786BCD875AD483885972207EC2AE62D6"/>
          </w:pPr>
          <m:oMathPara>
            <m:oMath>
              <m:sSub>
                <m:sSubPr>
                  <m:ctrlPr>
                    <w:rPr>
                      <w:rFonts w:ascii="Cambria Math" w:hAnsi="Cambria Math"/>
                      <w:i/>
                    </w:rPr>
                  </m:ctrlPr>
                </m:sSubPr>
                <m:e>
                  <m:r>
                    <m:rPr>
                      <m:sty m:val="p"/>
                    </m:rPr>
                    <w:rPr>
                      <w:rFonts w:ascii="Cambria Math" w:hAnsi="Cambria Math"/>
                    </w:rPr>
                    <m:t>α</m:t>
                  </m:r>
                </m:e>
                <m:sub>
                  <m:r>
                    <m:rPr>
                      <m:sty m:val="p"/>
                    </m:rPr>
                    <w:rPr>
                      <w:rFonts w:ascii="Cambria Math" w:hAnsi="Cambria Math"/>
                    </w:rPr>
                    <m:t>jk</m:t>
                  </m:r>
                </m:sub>
              </m:sSub>
              <m:r>
                <m:rPr>
                  <m:sty m:val="p"/>
                </m:rPr>
                <w:rPr>
                  <w:rStyle w:val="PlaceholderText"/>
                  <w:rFonts w:ascii="Cambria Math" w:hAnsi="Cambria Math"/>
                </w:rPr>
                <m:t>=</m:t>
              </m:r>
              <m:f>
                <m:fPr>
                  <m:type m:val="lin"/>
                  <m:ctrlPr>
                    <w:rPr>
                      <w:rFonts w:ascii="Cambria Math" w:hAnsi="Cambria Math"/>
                      <w:i/>
                    </w:rPr>
                  </m:ctrlPr>
                </m:fPr>
                <m:num>
                  <m:sSub>
                    <m:sSubPr>
                      <m:ctrlPr>
                        <w:rPr>
                          <w:rFonts w:ascii="Cambria Math" w:hAnsi="Cambria Math"/>
                          <w:i/>
                        </w:rPr>
                      </m:ctrlPr>
                    </m:sSubPr>
                    <m:e>
                      <m:r>
                        <m:rPr>
                          <m:sty m:val="p"/>
                        </m:rPr>
                        <w:rPr>
                          <w:rFonts w:ascii="Cambria Math" w:hAnsi="Cambria Math"/>
                        </w:rPr>
                        <m:t>Input</m:t>
                      </m:r>
                    </m:e>
                    <m:sub>
                      <m:r>
                        <m:rPr>
                          <m:sty m:val="p"/>
                        </m:rPr>
                        <w:rPr>
                          <w:rFonts w:ascii="Cambria Math" w:hAnsi="Cambria Math"/>
                        </w:rPr>
                        <m:t>j</m:t>
                      </m:r>
                    </m:sub>
                  </m:sSub>
                </m:num>
                <m:den>
                  <m:sSub>
                    <m:sSubPr>
                      <m:ctrlPr>
                        <w:rPr>
                          <w:rFonts w:ascii="Cambria Math" w:hAnsi="Cambria Math"/>
                          <w:i/>
                        </w:rPr>
                      </m:ctrlPr>
                    </m:sSubPr>
                    <m:e>
                      <m:r>
                        <m:rPr>
                          <m:sty m:val="p"/>
                        </m:rPr>
                        <w:rPr>
                          <w:rFonts w:ascii="Cambria Math" w:hAnsi="Cambria Math"/>
                        </w:rPr>
                        <m:t>TotalUse</m:t>
                      </m:r>
                    </m:e>
                    <m:sub>
                      <m:r>
                        <m:rPr>
                          <m:sty m:val="p"/>
                        </m:rPr>
                        <w:rPr>
                          <w:rFonts w:ascii="Cambria Math" w:hAnsi="Cambria Math"/>
                        </w:rPr>
                        <m:t>k</m:t>
                      </m:r>
                    </m:sub>
                  </m:sSub>
                </m:den>
              </m:f>
              <m:r>
                <m:rPr>
                  <m:sty m:val="p"/>
                </m:rPr>
                <w:rPr>
                  <w:rStyle w:val="PlaceholderText"/>
                  <w:rFonts w:ascii="Cambria Math" w:hAnsi="Cambria Math"/>
                </w:rPr>
                <m:t xml:space="preserve"> </m:t>
              </m:r>
            </m:oMath>
          </m:oMathPara>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03C"/>
    <w:rsid w:val="0004050B"/>
    <w:rsid w:val="0004065A"/>
    <w:rsid w:val="0007669C"/>
    <w:rsid w:val="001215CB"/>
    <w:rsid w:val="0013096E"/>
    <w:rsid w:val="00202D59"/>
    <w:rsid w:val="002566D7"/>
    <w:rsid w:val="00282090"/>
    <w:rsid w:val="003150FC"/>
    <w:rsid w:val="003464ED"/>
    <w:rsid w:val="003F2740"/>
    <w:rsid w:val="00417CF4"/>
    <w:rsid w:val="0043308A"/>
    <w:rsid w:val="00472472"/>
    <w:rsid w:val="004A4E0C"/>
    <w:rsid w:val="004F58E0"/>
    <w:rsid w:val="00512682"/>
    <w:rsid w:val="0051511C"/>
    <w:rsid w:val="005A6259"/>
    <w:rsid w:val="005F3F7E"/>
    <w:rsid w:val="0060439E"/>
    <w:rsid w:val="006279D5"/>
    <w:rsid w:val="00632026"/>
    <w:rsid w:val="00633AB4"/>
    <w:rsid w:val="0067747E"/>
    <w:rsid w:val="00695D6C"/>
    <w:rsid w:val="006A0AEF"/>
    <w:rsid w:val="006D7950"/>
    <w:rsid w:val="00710B0F"/>
    <w:rsid w:val="0075521D"/>
    <w:rsid w:val="007816C5"/>
    <w:rsid w:val="007C20D5"/>
    <w:rsid w:val="00837CC2"/>
    <w:rsid w:val="00870081"/>
    <w:rsid w:val="008D1FD6"/>
    <w:rsid w:val="008E1C9A"/>
    <w:rsid w:val="009031A5"/>
    <w:rsid w:val="00906071"/>
    <w:rsid w:val="009C63EF"/>
    <w:rsid w:val="009D58D3"/>
    <w:rsid w:val="00A37910"/>
    <w:rsid w:val="00B310B0"/>
    <w:rsid w:val="00B46962"/>
    <w:rsid w:val="00B92B33"/>
    <w:rsid w:val="00BB27A5"/>
    <w:rsid w:val="00BD4C5E"/>
    <w:rsid w:val="00C02002"/>
    <w:rsid w:val="00CA266C"/>
    <w:rsid w:val="00D17C16"/>
    <w:rsid w:val="00D2298F"/>
    <w:rsid w:val="00E06730"/>
    <w:rsid w:val="00E7603C"/>
    <w:rsid w:val="00EE3F7C"/>
    <w:rsid w:val="00F27739"/>
    <w:rsid w:val="00F56CE5"/>
    <w:rsid w:val="00F91DD0"/>
    <w:rsid w:val="00FA3F87"/>
    <w:rsid w:val="00FC5F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521D"/>
    <w:rPr>
      <w:color w:val="808080"/>
    </w:rPr>
  </w:style>
  <w:style w:type="paragraph" w:customStyle="1" w:styleId="365A21D24DFA41529DA4661CDEB93E37">
    <w:name w:val="365A21D24DFA41529DA4661CDEB93E37"/>
    <w:rsid w:val="002566D7"/>
    <w:pPr>
      <w:spacing w:after="0" w:line="240" w:lineRule="auto"/>
    </w:pPr>
    <w:rPr>
      <w:rFonts w:ascii="Times New Roman" w:eastAsia="Times New Roman" w:hAnsi="Times New Roman" w:cs="Times New Roman"/>
      <w:sz w:val="26"/>
      <w:szCs w:val="24"/>
    </w:rPr>
  </w:style>
  <w:style w:type="paragraph" w:customStyle="1" w:styleId="365A21D24DFA41529DA4661CDEB93E371">
    <w:name w:val="365A21D24DFA41529DA4661CDEB93E371"/>
    <w:rsid w:val="0060439E"/>
    <w:pPr>
      <w:spacing w:after="0" w:line="240" w:lineRule="auto"/>
    </w:pPr>
    <w:rPr>
      <w:rFonts w:ascii="Times New Roman" w:eastAsia="Times New Roman" w:hAnsi="Times New Roman" w:cs="Times New Roman"/>
      <w:sz w:val="26"/>
      <w:szCs w:val="24"/>
    </w:rPr>
  </w:style>
  <w:style w:type="paragraph" w:customStyle="1" w:styleId="365A21D24DFA41529DA4661CDEB93E372">
    <w:name w:val="365A21D24DFA41529DA4661CDEB93E372"/>
    <w:rsid w:val="00FC5FD3"/>
    <w:pPr>
      <w:spacing w:after="0" w:line="240" w:lineRule="auto"/>
    </w:pPr>
    <w:rPr>
      <w:rFonts w:ascii="Times New Roman" w:eastAsia="Times New Roman" w:hAnsi="Times New Roman" w:cs="Times New Roman"/>
      <w:sz w:val="26"/>
      <w:szCs w:val="24"/>
    </w:rPr>
  </w:style>
  <w:style w:type="paragraph" w:customStyle="1" w:styleId="365A21D24DFA41529DA4661CDEB93E373">
    <w:name w:val="365A21D24DFA41529DA4661CDEB93E373"/>
    <w:rsid w:val="00A37910"/>
    <w:pPr>
      <w:spacing w:after="0" w:line="240" w:lineRule="auto"/>
    </w:pPr>
    <w:rPr>
      <w:rFonts w:ascii="Times New Roman" w:eastAsia="Times New Roman" w:hAnsi="Times New Roman" w:cs="Times New Roman"/>
      <w:sz w:val="26"/>
      <w:szCs w:val="24"/>
    </w:rPr>
  </w:style>
  <w:style w:type="paragraph" w:customStyle="1" w:styleId="365A21D24DFA41529DA4661CDEB93E374">
    <w:name w:val="365A21D24DFA41529DA4661CDEB93E374"/>
    <w:rsid w:val="00906071"/>
    <w:pPr>
      <w:spacing w:after="0" w:line="240" w:lineRule="auto"/>
    </w:pPr>
    <w:rPr>
      <w:rFonts w:ascii="Times New Roman" w:eastAsia="Times New Roman" w:hAnsi="Times New Roman" w:cs="Times New Roman"/>
      <w:sz w:val="26"/>
      <w:szCs w:val="24"/>
    </w:rPr>
  </w:style>
  <w:style w:type="paragraph" w:customStyle="1" w:styleId="365A21D24DFA41529DA4661CDEB93E375">
    <w:name w:val="365A21D24DFA41529DA4661CDEB93E375"/>
    <w:rsid w:val="00F56CE5"/>
    <w:pPr>
      <w:spacing w:after="0" w:line="240" w:lineRule="auto"/>
    </w:pPr>
    <w:rPr>
      <w:rFonts w:ascii="Times New Roman" w:eastAsia="Times New Roman" w:hAnsi="Times New Roman" w:cs="Times New Roman"/>
      <w:sz w:val="26"/>
      <w:szCs w:val="24"/>
    </w:rPr>
  </w:style>
  <w:style w:type="paragraph" w:customStyle="1" w:styleId="F7C0AE73F0FC4EA19321DBD9EE13E5E0">
    <w:name w:val="F7C0AE73F0FC4EA19321DBD9EE13E5E0"/>
    <w:rsid w:val="00282090"/>
  </w:style>
  <w:style w:type="paragraph" w:customStyle="1" w:styleId="0786BCD875AD483885972207EC2AE62D">
    <w:name w:val="0786BCD875AD483885972207EC2AE62D"/>
    <w:rsid w:val="00282090"/>
  </w:style>
  <w:style w:type="paragraph" w:customStyle="1" w:styleId="0786BCD875AD483885972207EC2AE62D1">
    <w:name w:val="0786BCD875AD483885972207EC2AE62D1"/>
    <w:rsid w:val="00B92B33"/>
    <w:pPr>
      <w:spacing w:after="0" w:line="240" w:lineRule="auto"/>
    </w:pPr>
    <w:rPr>
      <w:rFonts w:ascii="Times New Roman" w:eastAsia="Times New Roman" w:hAnsi="Times New Roman" w:cs="Times New Roman"/>
      <w:sz w:val="26"/>
      <w:szCs w:val="24"/>
    </w:rPr>
  </w:style>
  <w:style w:type="paragraph" w:customStyle="1" w:styleId="0786BCD875AD483885972207EC2AE62D2">
    <w:name w:val="0786BCD875AD483885972207EC2AE62D2"/>
    <w:rsid w:val="003464ED"/>
    <w:pPr>
      <w:spacing w:after="0" w:line="240" w:lineRule="auto"/>
    </w:pPr>
    <w:rPr>
      <w:rFonts w:ascii="Times New Roman" w:eastAsia="Times New Roman" w:hAnsi="Times New Roman" w:cs="Times New Roman"/>
      <w:sz w:val="26"/>
      <w:szCs w:val="24"/>
    </w:rPr>
  </w:style>
  <w:style w:type="paragraph" w:customStyle="1" w:styleId="0786BCD875AD483885972207EC2AE62D3">
    <w:name w:val="0786BCD875AD483885972207EC2AE62D3"/>
    <w:rsid w:val="0043308A"/>
    <w:pPr>
      <w:spacing w:after="0" w:line="240" w:lineRule="auto"/>
    </w:pPr>
    <w:rPr>
      <w:rFonts w:ascii="Times New Roman" w:eastAsia="Times New Roman" w:hAnsi="Times New Roman" w:cs="Times New Roman"/>
      <w:sz w:val="26"/>
      <w:szCs w:val="24"/>
    </w:rPr>
  </w:style>
  <w:style w:type="paragraph" w:customStyle="1" w:styleId="0786BCD875AD483885972207EC2AE62D4">
    <w:name w:val="0786BCD875AD483885972207EC2AE62D4"/>
    <w:rsid w:val="00C02002"/>
    <w:pPr>
      <w:spacing w:after="0" w:line="240" w:lineRule="auto"/>
    </w:pPr>
    <w:rPr>
      <w:rFonts w:ascii="Times New Roman" w:eastAsia="Times New Roman" w:hAnsi="Times New Roman" w:cs="Times New Roman"/>
      <w:sz w:val="26"/>
      <w:szCs w:val="24"/>
    </w:rPr>
  </w:style>
  <w:style w:type="paragraph" w:customStyle="1" w:styleId="0786BCD875AD483885972207EC2AE62D5">
    <w:name w:val="0786BCD875AD483885972207EC2AE62D5"/>
    <w:rsid w:val="006D7950"/>
    <w:pPr>
      <w:spacing w:after="0" w:line="240" w:lineRule="auto"/>
    </w:pPr>
    <w:rPr>
      <w:rFonts w:ascii="Times New Roman" w:eastAsia="Times New Roman" w:hAnsi="Times New Roman" w:cs="Times New Roman"/>
      <w:sz w:val="26"/>
      <w:szCs w:val="24"/>
    </w:rPr>
  </w:style>
  <w:style w:type="paragraph" w:customStyle="1" w:styleId="0786BCD875AD483885972207EC2AE62D6">
    <w:name w:val="0786BCD875AD483885972207EC2AE62D6"/>
    <w:rsid w:val="0075521D"/>
    <w:pPr>
      <w:spacing w:after="0" w:line="240" w:lineRule="auto"/>
    </w:pPr>
    <w:rPr>
      <w:rFonts w:ascii="Times New Roman" w:eastAsia="Times New Roman" w:hAnsi="Times New Roman" w:cs="Times New Roman"/>
      <w:sz w:val="26"/>
      <w:szCs w:val="24"/>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521D"/>
    <w:rPr>
      <w:color w:val="808080"/>
    </w:rPr>
  </w:style>
  <w:style w:type="paragraph" w:customStyle="1" w:styleId="365A21D24DFA41529DA4661CDEB93E37">
    <w:name w:val="365A21D24DFA41529DA4661CDEB93E37"/>
    <w:rsid w:val="002566D7"/>
    <w:pPr>
      <w:spacing w:after="0" w:line="240" w:lineRule="auto"/>
    </w:pPr>
    <w:rPr>
      <w:rFonts w:ascii="Times New Roman" w:eastAsia="Times New Roman" w:hAnsi="Times New Roman" w:cs="Times New Roman"/>
      <w:sz w:val="26"/>
      <w:szCs w:val="24"/>
    </w:rPr>
  </w:style>
  <w:style w:type="paragraph" w:customStyle="1" w:styleId="365A21D24DFA41529DA4661CDEB93E371">
    <w:name w:val="365A21D24DFA41529DA4661CDEB93E371"/>
    <w:rsid w:val="0060439E"/>
    <w:pPr>
      <w:spacing w:after="0" w:line="240" w:lineRule="auto"/>
    </w:pPr>
    <w:rPr>
      <w:rFonts w:ascii="Times New Roman" w:eastAsia="Times New Roman" w:hAnsi="Times New Roman" w:cs="Times New Roman"/>
      <w:sz w:val="26"/>
      <w:szCs w:val="24"/>
    </w:rPr>
  </w:style>
  <w:style w:type="paragraph" w:customStyle="1" w:styleId="365A21D24DFA41529DA4661CDEB93E372">
    <w:name w:val="365A21D24DFA41529DA4661CDEB93E372"/>
    <w:rsid w:val="00FC5FD3"/>
    <w:pPr>
      <w:spacing w:after="0" w:line="240" w:lineRule="auto"/>
    </w:pPr>
    <w:rPr>
      <w:rFonts w:ascii="Times New Roman" w:eastAsia="Times New Roman" w:hAnsi="Times New Roman" w:cs="Times New Roman"/>
      <w:sz w:val="26"/>
      <w:szCs w:val="24"/>
    </w:rPr>
  </w:style>
  <w:style w:type="paragraph" w:customStyle="1" w:styleId="365A21D24DFA41529DA4661CDEB93E373">
    <w:name w:val="365A21D24DFA41529DA4661CDEB93E373"/>
    <w:rsid w:val="00A37910"/>
    <w:pPr>
      <w:spacing w:after="0" w:line="240" w:lineRule="auto"/>
    </w:pPr>
    <w:rPr>
      <w:rFonts w:ascii="Times New Roman" w:eastAsia="Times New Roman" w:hAnsi="Times New Roman" w:cs="Times New Roman"/>
      <w:sz w:val="26"/>
      <w:szCs w:val="24"/>
    </w:rPr>
  </w:style>
  <w:style w:type="paragraph" w:customStyle="1" w:styleId="365A21D24DFA41529DA4661CDEB93E374">
    <w:name w:val="365A21D24DFA41529DA4661CDEB93E374"/>
    <w:rsid w:val="00906071"/>
    <w:pPr>
      <w:spacing w:after="0" w:line="240" w:lineRule="auto"/>
    </w:pPr>
    <w:rPr>
      <w:rFonts w:ascii="Times New Roman" w:eastAsia="Times New Roman" w:hAnsi="Times New Roman" w:cs="Times New Roman"/>
      <w:sz w:val="26"/>
      <w:szCs w:val="24"/>
    </w:rPr>
  </w:style>
  <w:style w:type="paragraph" w:customStyle="1" w:styleId="365A21D24DFA41529DA4661CDEB93E375">
    <w:name w:val="365A21D24DFA41529DA4661CDEB93E375"/>
    <w:rsid w:val="00F56CE5"/>
    <w:pPr>
      <w:spacing w:after="0" w:line="240" w:lineRule="auto"/>
    </w:pPr>
    <w:rPr>
      <w:rFonts w:ascii="Times New Roman" w:eastAsia="Times New Roman" w:hAnsi="Times New Roman" w:cs="Times New Roman"/>
      <w:sz w:val="26"/>
      <w:szCs w:val="24"/>
    </w:rPr>
  </w:style>
  <w:style w:type="paragraph" w:customStyle="1" w:styleId="F7C0AE73F0FC4EA19321DBD9EE13E5E0">
    <w:name w:val="F7C0AE73F0FC4EA19321DBD9EE13E5E0"/>
    <w:rsid w:val="00282090"/>
  </w:style>
  <w:style w:type="paragraph" w:customStyle="1" w:styleId="0786BCD875AD483885972207EC2AE62D">
    <w:name w:val="0786BCD875AD483885972207EC2AE62D"/>
    <w:rsid w:val="00282090"/>
  </w:style>
  <w:style w:type="paragraph" w:customStyle="1" w:styleId="0786BCD875AD483885972207EC2AE62D1">
    <w:name w:val="0786BCD875AD483885972207EC2AE62D1"/>
    <w:rsid w:val="00B92B33"/>
    <w:pPr>
      <w:spacing w:after="0" w:line="240" w:lineRule="auto"/>
    </w:pPr>
    <w:rPr>
      <w:rFonts w:ascii="Times New Roman" w:eastAsia="Times New Roman" w:hAnsi="Times New Roman" w:cs="Times New Roman"/>
      <w:sz w:val="26"/>
      <w:szCs w:val="24"/>
    </w:rPr>
  </w:style>
  <w:style w:type="paragraph" w:customStyle="1" w:styleId="0786BCD875AD483885972207EC2AE62D2">
    <w:name w:val="0786BCD875AD483885972207EC2AE62D2"/>
    <w:rsid w:val="003464ED"/>
    <w:pPr>
      <w:spacing w:after="0" w:line="240" w:lineRule="auto"/>
    </w:pPr>
    <w:rPr>
      <w:rFonts w:ascii="Times New Roman" w:eastAsia="Times New Roman" w:hAnsi="Times New Roman" w:cs="Times New Roman"/>
      <w:sz w:val="26"/>
      <w:szCs w:val="24"/>
    </w:rPr>
  </w:style>
  <w:style w:type="paragraph" w:customStyle="1" w:styleId="0786BCD875AD483885972207EC2AE62D3">
    <w:name w:val="0786BCD875AD483885972207EC2AE62D3"/>
    <w:rsid w:val="0043308A"/>
    <w:pPr>
      <w:spacing w:after="0" w:line="240" w:lineRule="auto"/>
    </w:pPr>
    <w:rPr>
      <w:rFonts w:ascii="Times New Roman" w:eastAsia="Times New Roman" w:hAnsi="Times New Roman" w:cs="Times New Roman"/>
      <w:sz w:val="26"/>
      <w:szCs w:val="24"/>
    </w:rPr>
  </w:style>
  <w:style w:type="paragraph" w:customStyle="1" w:styleId="0786BCD875AD483885972207EC2AE62D4">
    <w:name w:val="0786BCD875AD483885972207EC2AE62D4"/>
    <w:rsid w:val="00C02002"/>
    <w:pPr>
      <w:spacing w:after="0" w:line="240" w:lineRule="auto"/>
    </w:pPr>
    <w:rPr>
      <w:rFonts w:ascii="Times New Roman" w:eastAsia="Times New Roman" w:hAnsi="Times New Roman" w:cs="Times New Roman"/>
      <w:sz w:val="26"/>
      <w:szCs w:val="24"/>
    </w:rPr>
  </w:style>
  <w:style w:type="paragraph" w:customStyle="1" w:styleId="0786BCD875AD483885972207EC2AE62D5">
    <w:name w:val="0786BCD875AD483885972207EC2AE62D5"/>
    <w:rsid w:val="006D7950"/>
    <w:pPr>
      <w:spacing w:after="0" w:line="240" w:lineRule="auto"/>
    </w:pPr>
    <w:rPr>
      <w:rFonts w:ascii="Times New Roman" w:eastAsia="Times New Roman" w:hAnsi="Times New Roman" w:cs="Times New Roman"/>
      <w:sz w:val="26"/>
      <w:szCs w:val="24"/>
    </w:rPr>
  </w:style>
  <w:style w:type="paragraph" w:customStyle="1" w:styleId="0786BCD875AD483885972207EC2AE62D6">
    <w:name w:val="0786BCD875AD483885972207EC2AE62D6"/>
    <w:rsid w:val="0075521D"/>
    <w:pPr>
      <w:spacing w:after="0" w:line="240" w:lineRule="auto"/>
    </w:pPr>
    <w:rPr>
      <w:rFonts w:ascii="Times New Roman" w:eastAsia="Times New Roman" w:hAnsi="Times New Roman" w:cs="Times New Roman"/>
      <w:sz w:val="26"/>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D25E7-7785-416F-B43F-7DF6D13DB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2617</TotalTime>
  <Pages>36</Pages>
  <Words>9905</Words>
  <Characters>54905</Characters>
  <Application>Microsoft Office Word</Application>
  <DocSecurity>0</DocSecurity>
  <Lines>457</Lines>
  <Paragraphs>129</Paragraphs>
  <ScaleCrop>false</ScaleCrop>
  <HeadingPairs>
    <vt:vector size="2" baseType="variant">
      <vt:variant>
        <vt:lpstr>Title</vt:lpstr>
      </vt:variant>
      <vt:variant>
        <vt:i4>1</vt:i4>
      </vt:variant>
    </vt:vector>
  </HeadingPairs>
  <TitlesOfParts>
    <vt:vector size="1" baseType="lpstr">
      <vt:lpstr>Structure and performance</vt:lpstr>
    </vt:vector>
  </TitlesOfParts>
  <Company>Productivity Commission</Company>
  <LinksUpToDate>false</LinksUpToDate>
  <CharactersWithSpaces>64681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and performance</dc:title>
  <dc:subject>Electricity Network Regulation</dc:subject>
  <dc:creator>Productivity Commission</dc:creator>
  <cp:keywords/>
  <dc:description>2.</dc:description>
  <cp:lastModifiedBy>Melissa Edwards</cp:lastModifiedBy>
  <cp:revision>509</cp:revision>
  <cp:lastPrinted>2012-10-09T01:05:00Z</cp:lastPrinted>
  <dcterms:created xsi:type="dcterms:W3CDTF">2012-03-26T22:33:00Z</dcterms:created>
  <dcterms:modified xsi:type="dcterms:W3CDTF">2012-10-18T03:16:00Z</dcterms:modified>
</cp:coreProperties>
</file>