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F7C9E" w:rsidP="001C285A">
      <w:pPr>
        <w:pStyle w:val="Chapter"/>
        <w:spacing w:after="1320"/>
        <w:ind w:left="907" w:hanging="907"/>
      </w:pPr>
      <w:bookmarkStart w:id="0" w:name="ChapterNumber"/>
      <w:r>
        <w:t>9</w:t>
      </w:r>
      <w:bookmarkEnd w:id="0"/>
      <w:r>
        <w:tab/>
      </w:r>
      <w:bookmarkStart w:id="1" w:name="ChapterTitle"/>
      <w:r>
        <w:t>Peak demand and demand management</w:t>
      </w:r>
      <w:bookmarkEnd w:id="1"/>
      <w:r w:rsidR="009F4FC7">
        <w:tab/>
      </w:r>
    </w:p>
    <w:p w:rsidR="00D3271D" w:rsidRDefault="00D3271D">
      <w:pPr>
        <w:pStyle w:val="BoxSpac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3271D">
        <w:tc>
          <w:tcPr>
            <w:tcW w:w="8771" w:type="dxa"/>
            <w:tcBorders>
              <w:top w:val="single" w:sz="6" w:space="0" w:color="auto"/>
              <w:bottom w:val="nil"/>
            </w:tcBorders>
          </w:tcPr>
          <w:p w:rsidR="00D3271D" w:rsidRPr="00D3271D" w:rsidRDefault="00D3271D" w:rsidP="00D3271D">
            <w:pPr>
              <w:pStyle w:val="BoxTitle"/>
            </w:pPr>
            <w:r w:rsidRPr="00D3271D">
              <w:t>Key points</w:t>
            </w:r>
          </w:p>
        </w:tc>
      </w:tr>
      <w:tr w:rsidR="00D3271D">
        <w:trPr>
          <w:cantSplit/>
        </w:trPr>
        <w:tc>
          <w:tcPr>
            <w:tcW w:w="8771" w:type="dxa"/>
            <w:tcBorders>
              <w:top w:val="nil"/>
              <w:left w:val="single" w:sz="6" w:space="0" w:color="auto"/>
              <w:bottom w:val="nil"/>
              <w:right w:val="single" w:sz="6" w:space="0" w:color="auto"/>
            </w:tcBorders>
          </w:tcPr>
          <w:p w:rsidR="00BB11AA" w:rsidRPr="00862EB7" w:rsidRDefault="004034AA" w:rsidP="00BB11AA">
            <w:pPr>
              <w:pStyle w:val="BoxListBullet"/>
              <w:rPr>
                <w:spacing w:val="-6"/>
              </w:rPr>
            </w:pPr>
            <w:r w:rsidRPr="00862EB7">
              <w:rPr>
                <w:spacing w:val="-6"/>
              </w:rPr>
              <w:t>Heat</w:t>
            </w:r>
            <w:r w:rsidR="001E21B1" w:rsidRPr="00862EB7">
              <w:rPr>
                <w:spacing w:val="-6"/>
              </w:rPr>
              <w:t xml:space="preserve"> </w:t>
            </w:r>
            <w:r w:rsidRPr="00862EB7">
              <w:rPr>
                <w:spacing w:val="-6"/>
              </w:rPr>
              <w:t>waves</w:t>
            </w:r>
            <w:r w:rsidR="00CE31B7" w:rsidRPr="00862EB7">
              <w:rPr>
                <w:spacing w:val="-6"/>
              </w:rPr>
              <w:t>, cold snaps</w:t>
            </w:r>
            <w:r w:rsidRPr="00862EB7">
              <w:rPr>
                <w:spacing w:val="-6"/>
              </w:rPr>
              <w:t xml:space="preserve"> and other </w:t>
            </w:r>
            <w:r w:rsidR="000E10D5" w:rsidRPr="00862EB7">
              <w:rPr>
                <w:spacing w:val="-6"/>
              </w:rPr>
              <w:t xml:space="preserve">often short-lived and infrequent </w:t>
            </w:r>
            <w:r w:rsidR="00D021DA" w:rsidRPr="00862EB7">
              <w:rPr>
                <w:spacing w:val="-6"/>
              </w:rPr>
              <w:t>events</w:t>
            </w:r>
            <w:r w:rsidRPr="00862EB7">
              <w:rPr>
                <w:spacing w:val="-6"/>
              </w:rPr>
              <w:t xml:space="preserve"> can </w:t>
            </w:r>
            <w:r w:rsidR="00BA7D5D" w:rsidRPr="00862EB7">
              <w:rPr>
                <w:spacing w:val="-6"/>
              </w:rPr>
              <w:t>create</w:t>
            </w:r>
            <w:r w:rsidRPr="00862EB7">
              <w:rPr>
                <w:spacing w:val="-6"/>
              </w:rPr>
              <w:t xml:space="preserve"> </w:t>
            </w:r>
            <w:r w:rsidR="00BA7D5D" w:rsidRPr="00862EB7">
              <w:rPr>
                <w:spacing w:val="-6"/>
              </w:rPr>
              <w:t>major</w:t>
            </w:r>
            <w:r w:rsidRPr="00862EB7">
              <w:rPr>
                <w:spacing w:val="-6"/>
              </w:rPr>
              <w:t xml:space="preserve"> spikes in electricity usage, known as </w:t>
            </w:r>
            <w:r w:rsidR="00862EB7" w:rsidRPr="00862EB7">
              <w:rPr>
                <w:spacing w:val="-6"/>
              </w:rPr>
              <w:t>‘</w:t>
            </w:r>
            <w:r w:rsidR="001C285A">
              <w:rPr>
                <w:spacing w:val="-6"/>
              </w:rPr>
              <w:t>peak’ or</w:t>
            </w:r>
            <w:r w:rsidR="00862EB7" w:rsidRPr="00862EB7">
              <w:rPr>
                <w:spacing w:val="-6"/>
              </w:rPr>
              <w:t xml:space="preserve"> ‘critical peak</w:t>
            </w:r>
            <w:r w:rsidR="001C285A">
              <w:rPr>
                <w:spacing w:val="-6"/>
              </w:rPr>
              <w:t>’</w:t>
            </w:r>
            <w:r w:rsidR="00862EB7" w:rsidRPr="00862EB7">
              <w:rPr>
                <w:spacing w:val="-6"/>
              </w:rPr>
              <w:t xml:space="preserve"> </w:t>
            </w:r>
            <w:r w:rsidRPr="00862EB7">
              <w:rPr>
                <w:spacing w:val="-6"/>
              </w:rPr>
              <w:t>demand</w:t>
            </w:r>
            <w:r w:rsidR="00BB11AA" w:rsidRPr="00862EB7">
              <w:rPr>
                <w:spacing w:val="-6"/>
              </w:rPr>
              <w:t>.</w:t>
            </w:r>
          </w:p>
          <w:p w:rsidR="004034AA" w:rsidRDefault="003452FF" w:rsidP="00BB11AA">
            <w:pPr>
              <w:pStyle w:val="BoxListBullet"/>
            </w:pPr>
            <w:r>
              <w:t xml:space="preserve">The </w:t>
            </w:r>
            <w:r w:rsidR="00CB532D">
              <w:t xml:space="preserve">magnitude </w:t>
            </w:r>
            <w:r>
              <w:t>of p</w:t>
            </w:r>
            <w:r w:rsidR="004034AA">
              <w:t xml:space="preserve">eak demand has </w:t>
            </w:r>
            <w:r w:rsidR="009D17A5">
              <w:t>risen</w:t>
            </w:r>
            <w:r w:rsidR="004034AA">
              <w:t xml:space="preserve"> over the last decade, driven primarily by </w:t>
            </w:r>
            <w:r w:rsidR="00BA7D5D">
              <w:t>growth</w:t>
            </w:r>
            <w:r w:rsidR="004034AA">
              <w:t xml:space="preserve"> in residential air-conditioning. </w:t>
            </w:r>
            <w:r w:rsidR="00BB11AA">
              <w:t xml:space="preserve">Other </w:t>
            </w:r>
            <w:r w:rsidR="00BA7D5D">
              <w:t>factors</w:t>
            </w:r>
            <w:r w:rsidR="00BB11AA">
              <w:t xml:space="preserve">, including normal industrial usage, </w:t>
            </w:r>
            <w:r w:rsidR="00AB503F">
              <w:t xml:space="preserve">can </w:t>
            </w:r>
            <w:r w:rsidR="00BB11AA">
              <w:t>add to demand during peak</w:t>
            </w:r>
            <w:r w:rsidR="00D62D8B">
              <w:t xml:space="preserve"> period</w:t>
            </w:r>
            <w:r w:rsidR="00BB11AA">
              <w:t xml:space="preserve">s. </w:t>
            </w:r>
          </w:p>
          <w:p w:rsidR="00EF12E4" w:rsidRDefault="00D3271D" w:rsidP="009F4FC7">
            <w:pPr>
              <w:pStyle w:val="BoxListBullet"/>
            </w:pPr>
            <w:r w:rsidRPr="0094770A">
              <w:t xml:space="preserve">Peak demand is a key driver of investment in </w:t>
            </w:r>
            <w:r w:rsidR="006844E4">
              <w:t>generation and network capacity</w:t>
            </w:r>
            <w:r w:rsidR="002110B0">
              <w:t xml:space="preserve">, the costs of which are ultimately borne by </w:t>
            </w:r>
            <w:r w:rsidR="00A00741">
              <w:t xml:space="preserve">all </w:t>
            </w:r>
            <w:r w:rsidR="00AB503F">
              <w:t>electricity users</w:t>
            </w:r>
            <w:r w:rsidR="009F4FC7">
              <w:t xml:space="preserve">. </w:t>
            </w:r>
          </w:p>
          <w:p w:rsidR="00E6629F" w:rsidRPr="001C285A" w:rsidRDefault="00EF12E4" w:rsidP="00862EB7">
            <w:pPr>
              <w:pStyle w:val="BoxListBullet2"/>
              <w:rPr>
                <w:spacing w:val="-4"/>
              </w:rPr>
            </w:pPr>
            <w:r w:rsidRPr="001C285A">
              <w:rPr>
                <w:spacing w:val="-4"/>
              </w:rPr>
              <w:t xml:space="preserve">capacity that </w:t>
            </w:r>
            <w:r w:rsidR="003452FF" w:rsidRPr="001C285A">
              <w:rPr>
                <w:spacing w:val="-4"/>
              </w:rPr>
              <w:t>cater</w:t>
            </w:r>
            <w:r w:rsidR="001C285A" w:rsidRPr="001C285A">
              <w:rPr>
                <w:spacing w:val="-4"/>
              </w:rPr>
              <w:t>s</w:t>
            </w:r>
            <w:r w:rsidR="003452FF" w:rsidRPr="001C285A">
              <w:rPr>
                <w:spacing w:val="-4"/>
              </w:rPr>
              <w:t xml:space="preserve"> for less</w:t>
            </w:r>
            <w:r w:rsidR="006844E4" w:rsidRPr="001C285A">
              <w:rPr>
                <w:spacing w:val="-4"/>
              </w:rPr>
              <w:t xml:space="preserve"> than 40 hours </w:t>
            </w:r>
            <w:r w:rsidR="001E21B1" w:rsidRPr="001C285A">
              <w:rPr>
                <w:spacing w:val="-4"/>
              </w:rPr>
              <w:t xml:space="preserve">a </w:t>
            </w:r>
            <w:r w:rsidR="006844E4" w:rsidRPr="001C285A">
              <w:rPr>
                <w:spacing w:val="-4"/>
              </w:rPr>
              <w:t xml:space="preserve">year </w:t>
            </w:r>
            <w:r w:rsidRPr="001C285A">
              <w:rPr>
                <w:spacing w:val="-4"/>
              </w:rPr>
              <w:t xml:space="preserve">of electricity consumption </w:t>
            </w:r>
            <w:r w:rsidR="006844E4" w:rsidRPr="001C285A">
              <w:rPr>
                <w:spacing w:val="-4"/>
              </w:rPr>
              <w:t xml:space="preserve">(or </w:t>
            </w:r>
            <w:r w:rsidR="001E21B1" w:rsidRPr="001C285A">
              <w:rPr>
                <w:spacing w:val="-4"/>
              </w:rPr>
              <w:t xml:space="preserve">under one </w:t>
            </w:r>
            <w:r w:rsidR="006844E4" w:rsidRPr="001C285A">
              <w:rPr>
                <w:spacing w:val="-4"/>
              </w:rPr>
              <w:t>per cent of time) account</w:t>
            </w:r>
            <w:r w:rsidR="003452FF" w:rsidRPr="001C285A">
              <w:rPr>
                <w:spacing w:val="-4"/>
              </w:rPr>
              <w:t>s</w:t>
            </w:r>
            <w:r w:rsidR="006844E4" w:rsidRPr="001C285A">
              <w:rPr>
                <w:spacing w:val="-4"/>
              </w:rPr>
              <w:t xml:space="preserve"> for around 25 per cent of reta</w:t>
            </w:r>
            <w:r w:rsidR="00D744C8" w:rsidRPr="001C285A">
              <w:rPr>
                <w:spacing w:val="-4"/>
              </w:rPr>
              <w:t xml:space="preserve">il electricity </w:t>
            </w:r>
            <w:r w:rsidR="00762F27" w:rsidRPr="001C285A">
              <w:rPr>
                <w:spacing w:val="-4"/>
              </w:rPr>
              <w:t>bills</w:t>
            </w:r>
            <w:r w:rsidR="001C285A" w:rsidRPr="001C285A">
              <w:rPr>
                <w:spacing w:val="-4"/>
              </w:rPr>
              <w:t>.</w:t>
            </w:r>
          </w:p>
          <w:p w:rsidR="00A00741" w:rsidRDefault="00CB532D" w:rsidP="009F4FC7">
            <w:pPr>
              <w:pStyle w:val="BoxListBullet"/>
            </w:pPr>
            <w:r>
              <w:t xml:space="preserve">‘Demand management’ involves financial incentives or non-price means of curtailing peak demand, including shifting electricity usage to non-peak times. </w:t>
            </w:r>
          </w:p>
          <w:p w:rsidR="00EE7542" w:rsidRDefault="00D62D8B" w:rsidP="00773C1D">
            <w:pPr>
              <w:pStyle w:val="BoxListBullet"/>
            </w:pPr>
            <w:r>
              <w:t>Some key</w:t>
            </w:r>
            <w:r w:rsidR="00D021DA">
              <w:t xml:space="preserve"> </w:t>
            </w:r>
            <w:r w:rsidR="00D54F66">
              <w:t>commercial electricity users</w:t>
            </w:r>
            <w:r w:rsidR="00D021DA">
              <w:t xml:space="preserve"> are subject to </w:t>
            </w:r>
            <w:r w:rsidR="00C777A0">
              <w:t>demand management</w:t>
            </w:r>
            <w:r w:rsidR="00D021DA">
              <w:t xml:space="preserve">, </w:t>
            </w:r>
            <w:r w:rsidR="00CB532D">
              <w:t>but</w:t>
            </w:r>
            <w:r w:rsidR="006630BA">
              <w:t xml:space="preserve"> </w:t>
            </w:r>
            <w:r w:rsidR="006630BA" w:rsidRPr="008045AB">
              <w:t xml:space="preserve">network charges generally fall short of being cost-reflective, with only a small share of businesses facing much higher </w:t>
            </w:r>
            <w:r w:rsidR="00BE0EC2">
              <w:t xml:space="preserve">network </w:t>
            </w:r>
            <w:r w:rsidR="006630BA" w:rsidRPr="008045AB">
              <w:t>charges at peak times.</w:t>
            </w:r>
          </w:p>
          <w:p w:rsidR="00E6629F" w:rsidRDefault="00CE3255" w:rsidP="00D3271D">
            <w:pPr>
              <w:pStyle w:val="BoxListBullet"/>
            </w:pPr>
            <w:r>
              <w:t>H</w:t>
            </w:r>
            <w:r w:rsidR="00AB503F">
              <w:t>o</w:t>
            </w:r>
            <w:r>
              <w:t xml:space="preserve">useholds </w:t>
            </w:r>
            <w:r w:rsidR="002934F2">
              <w:t>are not provided with</w:t>
            </w:r>
            <w:r>
              <w:t xml:space="preserve"> </w:t>
            </w:r>
            <w:r w:rsidR="00361635">
              <w:t>such</w:t>
            </w:r>
            <w:r>
              <w:t xml:space="preserve"> incentives. Rather, u</w:t>
            </w:r>
            <w:r w:rsidR="006844E4">
              <w:t xml:space="preserve">nder current </w:t>
            </w:r>
            <w:r w:rsidR="002934F2">
              <w:t xml:space="preserve">‘average’ </w:t>
            </w:r>
            <w:r w:rsidR="00BE0EC2">
              <w:t xml:space="preserve">network </w:t>
            </w:r>
            <w:r w:rsidR="006844E4">
              <w:t>pricing, the substantial addition</w:t>
            </w:r>
            <w:r w:rsidR="00D30D3E">
              <w:t>al</w:t>
            </w:r>
            <w:r w:rsidR="005F1CD3">
              <w:t xml:space="preserve"> costs of meeting peak demand are</w:t>
            </w:r>
            <w:r w:rsidR="006844E4">
              <w:t xml:space="preserve"> spread across </w:t>
            </w:r>
            <w:r w:rsidR="00443A49">
              <w:t xml:space="preserve">all </w:t>
            </w:r>
            <w:r w:rsidR="002934F2">
              <w:t>households and time periods.</w:t>
            </w:r>
            <w:r w:rsidR="006844E4">
              <w:t xml:space="preserve"> This smoothing of prices</w:t>
            </w:r>
            <w:r w:rsidR="00E6629F">
              <w:t>:</w:t>
            </w:r>
          </w:p>
          <w:p w:rsidR="00E6629F" w:rsidRPr="001C285A" w:rsidRDefault="001C285A" w:rsidP="00D12A2A">
            <w:pPr>
              <w:pStyle w:val="BoxListBullet2"/>
              <w:rPr>
                <w:spacing w:val="-4"/>
              </w:rPr>
            </w:pPr>
            <w:r w:rsidRPr="001C285A">
              <w:rPr>
                <w:spacing w:val="-4"/>
              </w:rPr>
              <w:t>encourages</w:t>
            </w:r>
            <w:r w:rsidR="00D12A2A" w:rsidRPr="001C285A">
              <w:rPr>
                <w:spacing w:val="-4"/>
              </w:rPr>
              <w:t xml:space="preserve"> over-consump</w:t>
            </w:r>
            <w:r w:rsidRPr="001C285A">
              <w:rPr>
                <w:spacing w:val="-4"/>
              </w:rPr>
              <w:t>tion at peak times and</w:t>
            </w:r>
            <w:r w:rsidR="006844E4" w:rsidRPr="001C285A">
              <w:rPr>
                <w:spacing w:val="-4"/>
              </w:rPr>
              <w:t xml:space="preserve"> inefficient </w:t>
            </w:r>
            <w:r w:rsidR="002110B0" w:rsidRPr="001C285A">
              <w:rPr>
                <w:spacing w:val="-4"/>
              </w:rPr>
              <w:t>supply-</w:t>
            </w:r>
            <w:r w:rsidR="006844E4" w:rsidRPr="001C285A">
              <w:rPr>
                <w:spacing w:val="-4"/>
              </w:rPr>
              <w:t>side investmen</w:t>
            </w:r>
            <w:r w:rsidR="00D12A2A" w:rsidRPr="001C285A">
              <w:rPr>
                <w:spacing w:val="-4"/>
              </w:rPr>
              <w:t>t</w:t>
            </w:r>
          </w:p>
          <w:p w:rsidR="00E6629F" w:rsidRDefault="006844E4" w:rsidP="00E6629F">
            <w:pPr>
              <w:pStyle w:val="BoxListBullet2"/>
            </w:pPr>
            <w:r>
              <w:t xml:space="preserve">results in </w:t>
            </w:r>
            <w:r w:rsidR="002A1C96">
              <w:t xml:space="preserve">electricity bills </w:t>
            </w:r>
            <w:r>
              <w:t xml:space="preserve">being higher than </w:t>
            </w:r>
            <w:r w:rsidR="002A1C96">
              <w:t>ne</w:t>
            </w:r>
            <w:r w:rsidR="000E10D5">
              <w:t>cessary</w:t>
            </w:r>
            <w:r>
              <w:t xml:space="preserve"> over the longer term</w:t>
            </w:r>
          </w:p>
          <w:p w:rsidR="006844E4" w:rsidRPr="00E34E39" w:rsidRDefault="00E6629F" w:rsidP="00E6629F">
            <w:pPr>
              <w:pStyle w:val="BoxListBullet2"/>
            </w:pPr>
            <w:r w:rsidRPr="009D17A5">
              <w:t>ma</w:t>
            </w:r>
            <w:r w:rsidR="00BB11AA" w:rsidRPr="009D17A5">
              <w:t xml:space="preserve">y </w:t>
            </w:r>
            <w:r w:rsidR="004034AA" w:rsidRPr="007013B6">
              <w:t xml:space="preserve">create inequities, with </w:t>
            </w:r>
            <w:r w:rsidR="00D62D8B">
              <w:t>low income</w:t>
            </w:r>
            <w:r w:rsidR="004034AA" w:rsidRPr="009D17A5">
              <w:t xml:space="preserve"> consumers </w:t>
            </w:r>
            <w:r w:rsidR="004034AA" w:rsidRPr="000E10D5">
              <w:t>cross-</w:t>
            </w:r>
            <w:r w:rsidR="004034AA" w:rsidRPr="00E34E39">
              <w:t xml:space="preserve">subsiding the </w:t>
            </w:r>
            <w:r w:rsidR="00A00741">
              <w:t>better off</w:t>
            </w:r>
            <w:r w:rsidR="006844E4" w:rsidRPr="00E34E39">
              <w:t xml:space="preserve">. </w:t>
            </w:r>
          </w:p>
          <w:p w:rsidR="00E6629F" w:rsidRDefault="00D30D3E" w:rsidP="000435FC">
            <w:pPr>
              <w:pStyle w:val="BoxListBullet"/>
            </w:pPr>
            <w:r>
              <w:t xml:space="preserve">By signalling the much higher costs of </w:t>
            </w:r>
            <w:r w:rsidR="00361635">
              <w:t xml:space="preserve">drawing on system capacity </w:t>
            </w:r>
            <w:r w:rsidR="00D12A2A">
              <w:t>at peak times,</w:t>
            </w:r>
            <w:r w:rsidR="00E06804">
              <w:t xml:space="preserve"> </w:t>
            </w:r>
            <w:r w:rsidR="000050F5">
              <w:t>de</w:t>
            </w:r>
            <w:r w:rsidR="00D12A2A">
              <w:t>mand management approaches can</w:t>
            </w:r>
            <w:r w:rsidR="000050F5">
              <w:t xml:space="preserve"> give </w:t>
            </w:r>
            <w:r w:rsidR="002A1C96">
              <w:t xml:space="preserve">consumers </w:t>
            </w:r>
            <w:r>
              <w:t>strong incentives t</w:t>
            </w:r>
            <w:r w:rsidR="00361635">
              <w:t>o economise, where feasible, on electricity usage during peak</w:t>
            </w:r>
            <w:r w:rsidR="00065FA8">
              <w:t xml:space="preserve"> demand</w:t>
            </w:r>
            <w:r w:rsidR="00D12A2A">
              <w:t xml:space="preserve"> periods — </w:t>
            </w:r>
            <w:r w:rsidR="00E7031C">
              <w:t>and would reduce</w:t>
            </w:r>
            <w:r w:rsidR="00D12A2A">
              <w:t xml:space="preserve"> the</w:t>
            </w:r>
            <w:r w:rsidR="00E7031C">
              <w:t xml:space="preserve"> cross-</w:t>
            </w:r>
            <w:r w:rsidR="00D12A2A">
              <w:t xml:space="preserve">subsidisation of </w:t>
            </w:r>
            <w:r w:rsidR="001C285A">
              <w:t>‘peaky ’</w:t>
            </w:r>
            <w:r w:rsidR="00D12A2A">
              <w:t>consume</w:t>
            </w:r>
            <w:r w:rsidR="001C285A">
              <w:t>rs.</w:t>
            </w:r>
          </w:p>
          <w:p w:rsidR="00D3271D" w:rsidRDefault="002110B0" w:rsidP="00CB532D">
            <w:pPr>
              <w:pStyle w:val="BoxListBullet"/>
            </w:pPr>
            <w:r>
              <w:t>T</w:t>
            </w:r>
            <w:r w:rsidR="00D744C8">
              <w:t xml:space="preserve">he </w:t>
            </w:r>
            <w:r w:rsidR="00D62D8B">
              <w:t xml:space="preserve">adoption </w:t>
            </w:r>
            <w:r w:rsidR="00D744C8">
              <w:t xml:space="preserve">of demand management by </w:t>
            </w:r>
            <w:r w:rsidR="00D62D8B">
              <w:t xml:space="preserve">electricity </w:t>
            </w:r>
            <w:r w:rsidR="00D744C8">
              <w:t>network businesses</w:t>
            </w:r>
            <w:r w:rsidR="00BC6FA4">
              <w:t xml:space="preserve"> appears low</w:t>
            </w:r>
            <w:r w:rsidR="00D62D8B">
              <w:t>. C</w:t>
            </w:r>
            <w:r w:rsidR="00BC6FA4">
              <w:t>hief</w:t>
            </w:r>
            <w:r w:rsidR="000435FC">
              <w:t xml:space="preserve"> among </w:t>
            </w:r>
            <w:r w:rsidR="00D62D8B">
              <w:t xml:space="preserve">the </w:t>
            </w:r>
            <w:r w:rsidR="000435FC">
              <w:t>possible causes</w:t>
            </w:r>
            <w:r w:rsidR="00A46D1F">
              <w:t xml:space="preserve"> are</w:t>
            </w:r>
            <w:r w:rsidR="001C285A">
              <w:t xml:space="preserve"> </w:t>
            </w:r>
            <w:r w:rsidR="00D12A2A">
              <w:t>poor understanding of potential benefits</w:t>
            </w:r>
            <w:r w:rsidR="001C285A">
              <w:t xml:space="preserve"> by consumers</w:t>
            </w:r>
            <w:r w:rsidR="00D12A2A">
              <w:t xml:space="preserve">, </w:t>
            </w:r>
            <w:r w:rsidR="00A46D1F">
              <w:t xml:space="preserve">that </w:t>
            </w:r>
            <w:r w:rsidR="00D12A2A">
              <w:t xml:space="preserve">smart meters are not </w:t>
            </w:r>
            <w:r w:rsidR="00BC6FA4">
              <w:t>widely available</w:t>
            </w:r>
            <w:r w:rsidR="000435FC">
              <w:t xml:space="preserve"> for residential users</w:t>
            </w:r>
            <w:r w:rsidR="004309E8">
              <w:t xml:space="preserve"> and </w:t>
            </w:r>
            <w:r w:rsidR="00A46D1F">
              <w:t xml:space="preserve">that </w:t>
            </w:r>
            <w:r w:rsidR="004309E8">
              <w:t xml:space="preserve">distribution businesses </w:t>
            </w:r>
            <w:r w:rsidR="00D62D8B">
              <w:t>face conflicting</w:t>
            </w:r>
            <w:r w:rsidR="004309E8">
              <w:t xml:space="preserve"> incentives.</w:t>
            </w:r>
          </w:p>
          <w:p w:rsidR="001C285A" w:rsidRPr="00CC15E7" w:rsidRDefault="00CC15E7" w:rsidP="00CC15E7">
            <w:pPr>
              <w:pStyle w:val="BoxListBullet"/>
              <w:rPr>
                <w:spacing w:val="-6"/>
              </w:rPr>
            </w:pPr>
            <w:r w:rsidRPr="00CC15E7">
              <w:rPr>
                <w:spacing w:val="-6"/>
              </w:rPr>
              <w:t>If efficiently implemented, critical peak pricing would produce savings worth around $100</w:t>
            </w:r>
            <w:r w:rsidRPr="00CC15E7">
              <w:rPr>
                <w:spacing w:val="-6"/>
              </w:rPr>
              <w:noBreakHyphen/>
              <w:t xml:space="preserve">$250 per household each year (including the costs of smart meters). </w:t>
            </w:r>
            <w:r w:rsidR="001C285A" w:rsidRPr="00CC15E7">
              <w:rPr>
                <w:spacing w:val="-6"/>
              </w:rPr>
              <w:t>Consumers could reduce their electricity bills in the short term and slo</w:t>
            </w:r>
            <w:r w:rsidRPr="00CC15E7">
              <w:rPr>
                <w:spacing w:val="-6"/>
              </w:rPr>
              <w:t>w increases in the longer term.</w:t>
            </w:r>
          </w:p>
        </w:tc>
      </w:tr>
      <w:tr w:rsidR="00D3271D">
        <w:trPr>
          <w:cantSplit/>
        </w:trPr>
        <w:tc>
          <w:tcPr>
            <w:tcW w:w="8771" w:type="dxa"/>
            <w:tcBorders>
              <w:top w:val="nil"/>
              <w:left w:val="single" w:sz="6" w:space="0" w:color="auto"/>
              <w:bottom w:val="single" w:sz="6" w:space="0" w:color="auto"/>
              <w:right w:val="single" w:sz="6" w:space="0" w:color="auto"/>
            </w:tcBorders>
          </w:tcPr>
          <w:p w:rsidR="00D3271D" w:rsidRDefault="00D3271D">
            <w:pPr>
              <w:pStyle w:val="Box"/>
              <w:spacing w:before="0" w:line="120" w:lineRule="exact"/>
            </w:pPr>
          </w:p>
        </w:tc>
      </w:tr>
    </w:tbl>
    <w:p w:rsidR="00874419" w:rsidRPr="00253C77" w:rsidRDefault="000E20B8" w:rsidP="00874419">
      <w:pPr>
        <w:pStyle w:val="Heading2"/>
      </w:pPr>
      <w:fldSimple w:instr=" COMMENTS  \* MERGEFORMAT ">
        <w:r w:rsidR="000852D8">
          <w:t>9.</w:t>
        </w:r>
      </w:fldSimple>
      <w:fldSimple w:instr=" SEQ Heading2 ">
        <w:r w:rsidR="000852D8">
          <w:rPr>
            <w:noProof/>
          </w:rPr>
          <w:t>1</w:t>
        </w:r>
      </w:fldSimple>
      <w:r w:rsidR="00271762" w:rsidRPr="00253C77">
        <w:tab/>
        <w:t>What is peak demand and why is it a problem?</w:t>
      </w:r>
    </w:p>
    <w:p w:rsidR="00041A8F" w:rsidRDefault="00874419" w:rsidP="00874419">
      <w:pPr>
        <w:pStyle w:val="BodyText"/>
      </w:pPr>
      <w:r>
        <w:t xml:space="preserve">Demand for electricity is inherently variable and can fluctuate from hour-to-hour, day-to-day, season-to-season and year-to-year. </w:t>
      </w:r>
      <w:r w:rsidR="004E78EA">
        <w:t xml:space="preserve">The </w:t>
      </w:r>
      <w:r w:rsidR="00860C7E">
        <w:t xml:space="preserve">causes </w:t>
      </w:r>
      <w:r w:rsidR="00A00741">
        <w:t xml:space="preserve">are numerous and </w:t>
      </w:r>
      <w:r>
        <w:t>includ</w:t>
      </w:r>
      <w:r w:rsidR="004E78EA">
        <w:t>e</w:t>
      </w:r>
      <w:r>
        <w:t xml:space="preserve"> </w:t>
      </w:r>
      <w:r w:rsidR="00D70BB4">
        <w:t xml:space="preserve">both random and habitual consumption behaviours, </w:t>
      </w:r>
      <w:r>
        <w:t xml:space="preserve">business and sleeping hours, </w:t>
      </w:r>
      <w:r w:rsidR="00860C7E">
        <w:t xml:space="preserve">and </w:t>
      </w:r>
      <w:r>
        <w:t>seasonal and daily changes in outdoor temperatures</w:t>
      </w:r>
      <w:r w:rsidR="00D70BB4">
        <w:t>.</w:t>
      </w:r>
      <w:r>
        <w:t xml:space="preserve"> </w:t>
      </w:r>
      <w:r w:rsidR="00696047">
        <w:t>As well as the common fluctuations in e</w:t>
      </w:r>
      <w:r w:rsidR="003F2D0C">
        <w:t xml:space="preserve">lectricity </w:t>
      </w:r>
      <w:r w:rsidR="00505DD7">
        <w:t>usage</w:t>
      </w:r>
      <w:r w:rsidR="00696047">
        <w:t xml:space="preserve"> seen through each day and across the year</w:t>
      </w:r>
      <w:r w:rsidR="00505DD7">
        <w:t>, sometimes there can be</w:t>
      </w:r>
      <w:r w:rsidR="003F2D0C">
        <w:t xml:space="preserve"> major spikes in usage</w:t>
      </w:r>
      <w:r w:rsidR="00696047">
        <w:t>,</w:t>
      </w:r>
      <w:r w:rsidR="003F2D0C">
        <w:t xml:space="preserve"> </w:t>
      </w:r>
      <w:r w:rsidR="00696047">
        <w:t xml:space="preserve">for example during unusually hot days </w:t>
      </w:r>
      <w:r>
        <w:t xml:space="preserve">(figure 9.1). </w:t>
      </w:r>
    </w:p>
    <w:p w:rsidR="00AE61D5" w:rsidRDefault="00AE61D5" w:rsidP="00AE61D5">
      <w:pPr>
        <w:pStyle w:val="FigureTitle"/>
      </w:pPr>
      <w:r>
        <w:rPr>
          <w:b w:val="0"/>
        </w:rPr>
        <w:t xml:space="preserve">Figure </w:t>
      </w:r>
      <w:fldSimple w:instr=" COMMENTS  \* MERGEFORMAT ">
        <w:r w:rsidR="000852D8" w:rsidRPr="000852D8">
          <w:rPr>
            <w:b w:val="0"/>
          </w:rPr>
          <w:t>9.</w:t>
        </w:r>
      </w:fldSimple>
      <w:r>
        <w:rPr>
          <w:b w:val="0"/>
        </w:rPr>
        <w:fldChar w:fldCharType="begin"/>
      </w:r>
      <w:r>
        <w:rPr>
          <w:b w:val="0"/>
        </w:rPr>
        <w:instrText xml:space="preserve"> SEQ Figure \* ARABIC </w:instrText>
      </w:r>
      <w:r>
        <w:rPr>
          <w:b w:val="0"/>
        </w:rPr>
        <w:fldChar w:fldCharType="separate"/>
      </w:r>
      <w:r w:rsidR="000852D8">
        <w:rPr>
          <w:b w:val="0"/>
          <w:noProof/>
        </w:rPr>
        <w:t>1</w:t>
      </w:r>
      <w:r>
        <w:rPr>
          <w:b w:val="0"/>
        </w:rPr>
        <w:fldChar w:fldCharType="end"/>
      </w:r>
      <w:r>
        <w:tab/>
        <w:t>The impact of temperatures on the profile of daily load</w:t>
      </w:r>
    </w:p>
    <w:p w:rsidR="00AE61D5" w:rsidRDefault="00AE61D5" w:rsidP="00AE61D5">
      <w:pPr>
        <w:pStyle w:val="Subtitle"/>
      </w:pPr>
      <w:r>
        <w:t xml:space="preserve">Queensland, </w:t>
      </w:r>
      <w:proofErr w:type="spellStart"/>
      <w:r>
        <w:t>MVA</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E61D5" w:rsidTr="003D0D76">
        <w:tc>
          <w:tcPr>
            <w:tcW w:w="8777" w:type="dxa"/>
          </w:tcPr>
          <w:p w:rsidR="00AE61D5" w:rsidRDefault="007A245D" w:rsidP="003D0D76">
            <w:pPr>
              <w:pStyle w:val="Figure"/>
            </w:pPr>
            <w:r>
              <w:rPr>
                <w:noProof/>
              </w:rPr>
              <w:drawing>
                <wp:inline distT="0" distB="0" distL="0" distR="0" wp14:anchorId="2D50D4A0">
                  <wp:extent cx="4645660" cy="2268220"/>
                  <wp:effectExtent l="0" t="0" r="0" b="0"/>
                  <wp:docPr id="2" name="Picture 2" descr="The impact of temperatures on the profile of daily load. This figure compares the daily load over 24 hours of Wednesday 29 November 2006, which recorded a maximum temperature of 36 degrees C and Thursday 30 November 2006, which recorded a maximum temperature of 23 degrees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45660" cy="2268220"/>
                          </a:xfrm>
                          <a:prstGeom prst="rect">
                            <a:avLst/>
                          </a:prstGeom>
                          <a:noFill/>
                        </pic:spPr>
                      </pic:pic>
                    </a:graphicData>
                  </a:graphic>
                </wp:inline>
              </w:drawing>
            </w:r>
          </w:p>
        </w:tc>
      </w:tr>
    </w:tbl>
    <w:p w:rsidR="00AE61D5" w:rsidRDefault="00AE61D5" w:rsidP="00AE61D5">
      <w:pPr>
        <w:pStyle w:val="Source"/>
      </w:pPr>
      <w:r>
        <w:rPr>
          <w:i/>
        </w:rPr>
        <w:t>Data source</w:t>
      </w:r>
      <w:r w:rsidRPr="00167F06">
        <w:t xml:space="preserve">: </w:t>
      </w:r>
      <w:r>
        <w:t>Topp and Kulys (2012).</w:t>
      </w:r>
    </w:p>
    <w:p w:rsidR="00D142C4" w:rsidRPr="00FC4AD9" w:rsidRDefault="00D142C4" w:rsidP="00D142C4">
      <w:pPr>
        <w:pStyle w:val="BodyText"/>
        <w:rPr>
          <w:spacing w:val="-4"/>
        </w:rPr>
      </w:pPr>
      <w:r>
        <w:rPr>
          <w:spacing w:val="-4"/>
        </w:rPr>
        <w:t xml:space="preserve">In contrast to the variable nature of </w:t>
      </w:r>
      <w:r w:rsidR="00696047">
        <w:rPr>
          <w:spacing w:val="-4"/>
        </w:rPr>
        <w:t xml:space="preserve">electricity </w:t>
      </w:r>
      <w:r>
        <w:rPr>
          <w:spacing w:val="-4"/>
        </w:rPr>
        <w:t>demand, n</w:t>
      </w:r>
      <w:r w:rsidRPr="00FC4AD9">
        <w:rPr>
          <w:spacing w:val="-4"/>
        </w:rPr>
        <w:t>etwork capacity (which is determined by the technical design limits of indiv</w:t>
      </w:r>
      <w:r>
        <w:rPr>
          <w:spacing w:val="-4"/>
        </w:rPr>
        <w:t>idual network elements)</w:t>
      </w:r>
      <w:r w:rsidRPr="00FC4AD9">
        <w:rPr>
          <w:spacing w:val="-4"/>
        </w:rPr>
        <w:t xml:space="preserve"> cannot be increased in the short-run. As network usage approaches or exceeds capacity limits, there may be damage to equipment and loss of network performance, which may even lead to a partial or full system shutdown (</w:t>
      </w:r>
      <w:proofErr w:type="spellStart"/>
      <w:r w:rsidRPr="00FC4AD9">
        <w:rPr>
          <w:spacing w:val="-4"/>
        </w:rPr>
        <w:t>AEMC</w:t>
      </w:r>
      <w:proofErr w:type="spellEnd"/>
      <w:r w:rsidRPr="00FC4AD9">
        <w:rPr>
          <w:spacing w:val="-4"/>
        </w:rPr>
        <w:t xml:space="preserve"> </w:t>
      </w:r>
      <w:proofErr w:type="spellStart"/>
      <w:r w:rsidRPr="00FC4AD9">
        <w:rPr>
          <w:spacing w:val="-4"/>
        </w:rPr>
        <w:t>2008</w:t>
      </w:r>
      <w:r w:rsidR="0014545B">
        <w:rPr>
          <w:spacing w:val="-4"/>
        </w:rPr>
        <w:t>b</w:t>
      </w:r>
      <w:proofErr w:type="spellEnd"/>
      <w:r w:rsidRPr="00FC4AD9">
        <w:rPr>
          <w:spacing w:val="-4"/>
        </w:rPr>
        <w:t>).</w:t>
      </w:r>
    </w:p>
    <w:p w:rsidR="00D142C4" w:rsidRDefault="00D142C4" w:rsidP="00D142C4">
      <w:pPr>
        <w:pStyle w:val="BodyText"/>
      </w:pPr>
      <w:r>
        <w:t>As i</w:t>
      </w:r>
      <w:r w:rsidDel="00F93466">
        <w:t>t is not economic to store electricity at its p</w:t>
      </w:r>
      <w:r>
        <w:t xml:space="preserve">oint of use, avoiding supply failures requires networks to be built to reliably exceed peak demand. That is, they must be able to accommodate </w:t>
      </w:r>
      <w:r w:rsidDel="00F93466">
        <w:t>the highest draw of power from end users in any instant</w:t>
      </w:r>
      <w:r>
        <w:t>.</w:t>
      </w:r>
    </w:p>
    <w:p w:rsidR="00204E58" w:rsidRDefault="00313199" w:rsidP="00AB3B0D">
      <w:pPr>
        <w:pStyle w:val="BodyText"/>
      </w:pPr>
      <w:r>
        <w:rPr>
          <w:spacing w:val="-2"/>
        </w:rPr>
        <w:t xml:space="preserve">This means that </w:t>
      </w:r>
      <w:r w:rsidR="000B249F" w:rsidRPr="00313199">
        <w:rPr>
          <w:spacing w:val="-2"/>
        </w:rPr>
        <w:t xml:space="preserve">infrequent and short periods of </w:t>
      </w:r>
      <w:r w:rsidR="00DA578B" w:rsidRPr="00313199">
        <w:rPr>
          <w:spacing w:val="-2"/>
        </w:rPr>
        <w:t xml:space="preserve">high </w:t>
      </w:r>
      <w:r w:rsidR="000B249F" w:rsidRPr="00313199">
        <w:t>electricity consumption</w:t>
      </w:r>
      <w:r w:rsidR="000B249F">
        <w:t xml:space="preserve"> </w:t>
      </w:r>
      <w:r w:rsidR="00AE61D5">
        <w:t xml:space="preserve">can require </w:t>
      </w:r>
      <w:r w:rsidR="00055051">
        <w:t xml:space="preserve">a </w:t>
      </w:r>
      <w:r w:rsidR="00AE61D5">
        <w:t xml:space="preserve">disproportionate share of </w:t>
      </w:r>
      <w:r w:rsidR="00AE61D5" w:rsidRPr="006F2398">
        <w:rPr>
          <w:spacing w:val="-2"/>
        </w:rPr>
        <w:t>generation and network investment</w:t>
      </w:r>
      <w:r w:rsidR="00AE61D5">
        <w:rPr>
          <w:spacing w:val="-2"/>
        </w:rPr>
        <w:t xml:space="preserve">, which in turn </w:t>
      </w:r>
      <w:r w:rsidR="00AE61D5">
        <w:t xml:space="preserve">drive </w:t>
      </w:r>
      <w:r w:rsidR="000B249F">
        <w:t>up the cost of electricity</w:t>
      </w:r>
      <w:r w:rsidR="00A07AE3">
        <w:t xml:space="preserve"> generally</w:t>
      </w:r>
      <w:r w:rsidR="00AE61D5">
        <w:t>. This is the problem of ‘peak’ demand (or ‘critical peak’ demand, as the problem of major spikes is sometimes called).</w:t>
      </w:r>
    </w:p>
    <w:p w:rsidR="000B249F" w:rsidRDefault="000B249F" w:rsidP="00AB3B0D">
      <w:pPr>
        <w:pStyle w:val="BodyText"/>
      </w:pPr>
      <w:r>
        <w:lastRenderedPageBreak/>
        <w:t>Commentators have used different metrics to demonstrate the scale of the problem. For example</w:t>
      </w:r>
      <w:r w:rsidR="00253FF1">
        <w:t>:</w:t>
      </w:r>
    </w:p>
    <w:p w:rsidR="000B249F" w:rsidRPr="00626438" w:rsidRDefault="000B249F" w:rsidP="009474A4">
      <w:pPr>
        <w:pStyle w:val="ListBullet"/>
        <w:rPr>
          <w:spacing w:val="-6"/>
        </w:rPr>
      </w:pPr>
      <w:r w:rsidRPr="00626438">
        <w:rPr>
          <w:spacing w:val="-6"/>
        </w:rPr>
        <w:t>$1</w:t>
      </w:r>
      <w:r w:rsidR="00626438">
        <w:rPr>
          <w:spacing w:val="-6"/>
        </w:rPr>
        <w:t>1 </w:t>
      </w:r>
      <w:r w:rsidRPr="00626438">
        <w:rPr>
          <w:spacing w:val="-6"/>
        </w:rPr>
        <w:t>billion in system (network and generation) capacity</w:t>
      </w:r>
      <w:r w:rsidR="00626438">
        <w:rPr>
          <w:spacing w:val="-6"/>
        </w:rPr>
        <w:t xml:space="preserve"> is used for only 100 hours per </w:t>
      </w:r>
      <w:r w:rsidRPr="00626438">
        <w:rPr>
          <w:spacing w:val="-6"/>
        </w:rPr>
        <w:t>year</w:t>
      </w:r>
    </w:p>
    <w:p w:rsidR="000B249F" w:rsidRPr="009474A4" w:rsidRDefault="00253FF1" w:rsidP="009474A4">
      <w:pPr>
        <w:pStyle w:val="ListBullet"/>
      </w:pPr>
      <w:r>
        <w:rPr>
          <w:spacing w:val="-2"/>
        </w:rPr>
        <w:t>c</w:t>
      </w:r>
      <w:r w:rsidR="000B249F" w:rsidRPr="006F2398">
        <w:rPr>
          <w:spacing w:val="-2"/>
        </w:rPr>
        <w:t xml:space="preserve">apital expenditure to accommodate </w:t>
      </w:r>
      <w:r w:rsidR="00917E7D">
        <w:rPr>
          <w:spacing w:val="-2"/>
        </w:rPr>
        <w:t>‘</w:t>
      </w:r>
      <w:r w:rsidR="000B249F" w:rsidRPr="006F2398">
        <w:rPr>
          <w:spacing w:val="-2"/>
        </w:rPr>
        <w:t>peak load growth</w:t>
      </w:r>
      <w:r w:rsidR="00917E7D">
        <w:rPr>
          <w:spacing w:val="-2"/>
        </w:rPr>
        <w:t>’</w:t>
      </w:r>
      <w:r w:rsidR="000B249F" w:rsidRPr="006F2398">
        <w:rPr>
          <w:spacing w:val="-2"/>
        </w:rPr>
        <w:t xml:space="preserve"> in the </w:t>
      </w:r>
      <w:proofErr w:type="spellStart"/>
      <w:r w:rsidR="000B249F">
        <w:rPr>
          <w:spacing w:val="-2"/>
        </w:rPr>
        <w:t>NEM</w:t>
      </w:r>
      <w:proofErr w:type="spellEnd"/>
      <w:r w:rsidR="000B249F">
        <w:rPr>
          <w:spacing w:val="-2"/>
        </w:rPr>
        <w:t xml:space="preserve"> </w:t>
      </w:r>
      <w:r w:rsidR="000B249F" w:rsidRPr="006F2398">
        <w:rPr>
          <w:spacing w:val="-2"/>
        </w:rPr>
        <w:t xml:space="preserve">distribution network </w:t>
      </w:r>
      <w:r w:rsidR="000B249F" w:rsidRPr="002A39A0">
        <w:rPr>
          <w:spacing w:val="-2"/>
        </w:rPr>
        <w:t>accounts for around 45 per cent of approved total expenditures, and slightly more than half of transmission spending (</w:t>
      </w:r>
      <w:proofErr w:type="spellStart"/>
      <w:r w:rsidR="000B249F" w:rsidRPr="002A39A0">
        <w:rPr>
          <w:spacing w:val="-2"/>
        </w:rPr>
        <w:t>AEMC</w:t>
      </w:r>
      <w:proofErr w:type="spellEnd"/>
      <w:r w:rsidR="000B249F" w:rsidRPr="002A39A0">
        <w:rPr>
          <w:spacing w:val="-2"/>
        </w:rPr>
        <w:t xml:space="preserve"> </w:t>
      </w:r>
      <w:proofErr w:type="spellStart"/>
      <w:r w:rsidR="000B249F" w:rsidRPr="002A39A0">
        <w:rPr>
          <w:spacing w:val="-2"/>
        </w:rPr>
        <w:t>2102</w:t>
      </w:r>
      <w:r w:rsidR="0014545B">
        <w:rPr>
          <w:spacing w:val="-2"/>
        </w:rPr>
        <w:t>f</w:t>
      </w:r>
      <w:proofErr w:type="spellEnd"/>
      <w:r w:rsidR="000B249F" w:rsidRPr="002A39A0">
        <w:rPr>
          <w:spacing w:val="-2"/>
        </w:rPr>
        <w:t>)</w:t>
      </w:r>
    </w:p>
    <w:p w:rsidR="000B249F" w:rsidRDefault="000B249F" w:rsidP="009474A4">
      <w:pPr>
        <w:pStyle w:val="ListBullet"/>
      </w:pPr>
      <w:r w:rsidRPr="002A39A0">
        <w:rPr>
          <w:spacing w:val="-2"/>
        </w:rPr>
        <w:t>around 25 per cent of retail electricity bills reflect the cost system capacity that is used for less than 40 hours a year (or under one per cent of time</w:t>
      </w:r>
      <w:r w:rsidR="009474A4">
        <w:rPr>
          <w:spacing w:val="-2"/>
        </w:rPr>
        <w:t>)</w:t>
      </w:r>
      <w:r w:rsidRPr="002A39A0">
        <w:rPr>
          <w:spacing w:val="-2"/>
        </w:rPr>
        <w:t xml:space="preserve"> (</w:t>
      </w:r>
      <w:proofErr w:type="spellStart"/>
      <w:r w:rsidRPr="002A39A0">
        <w:rPr>
          <w:spacing w:val="-2"/>
        </w:rPr>
        <w:t>NESI</w:t>
      </w:r>
      <w:proofErr w:type="spellEnd"/>
      <w:r w:rsidRPr="002A39A0">
        <w:rPr>
          <w:spacing w:val="-2"/>
        </w:rPr>
        <w:t xml:space="preserve"> 2011).</w:t>
      </w:r>
    </w:p>
    <w:p w:rsidR="002A7094" w:rsidRDefault="00FC5D44" w:rsidP="002A7094">
      <w:pPr>
        <w:pStyle w:val="BodyText"/>
        <w:rPr>
          <w:spacing w:val="-6"/>
        </w:rPr>
      </w:pPr>
      <w:r>
        <w:t>In Australia, a</w:t>
      </w:r>
      <w:r w:rsidR="002A7094">
        <w:t xml:space="preserve">lthough the </w:t>
      </w:r>
      <w:r w:rsidR="00A031EB">
        <w:t>‘</w:t>
      </w:r>
      <w:r w:rsidR="00A720A4">
        <w:t>magnitude</w:t>
      </w:r>
      <w:r w:rsidR="00A031EB">
        <w:t>’</w:t>
      </w:r>
      <w:r w:rsidR="00A031EB">
        <w:rPr>
          <w:rStyle w:val="FootnoteReference"/>
          <w:spacing w:val="-2"/>
        </w:rPr>
        <w:footnoteReference w:id="1"/>
      </w:r>
      <w:r w:rsidR="00A720A4">
        <w:t xml:space="preserve"> </w:t>
      </w:r>
      <w:r w:rsidR="002A7094">
        <w:t xml:space="preserve">of peak demand has </w:t>
      </w:r>
      <w:r w:rsidR="0051182B">
        <w:t>dipped</w:t>
      </w:r>
      <w:r w:rsidR="002A7094">
        <w:t xml:space="preserve"> slightly with the last two (mild) summers, overall it</w:t>
      </w:r>
      <w:r w:rsidR="002A7094" w:rsidDel="00F93466">
        <w:t xml:space="preserve"> has been trending </w:t>
      </w:r>
      <w:r w:rsidR="002A7094">
        <w:t xml:space="preserve">upwards over the last decade. To cater for this </w:t>
      </w:r>
      <w:r w:rsidR="00EC094A">
        <w:t>growth</w:t>
      </w:r>
      <w:r w:rsidR="002A7094">
        <w:t xml:space="preserve">, there has been significant </w:t>
      </w:r>
      <w:r>
        <w:t xml:space="preserve">generation and </w:t>
      </w:r>
      <w:r w:rsidR="002A7094">
        <w:t xml:space="preserve">network investment. Yet over </w:t>
      </w:r>
      <w:r w:rsidR="002A7094" w:rsidDel="00F93466">
        <w:t xml:space="preserve">the same period, </w:t>
      </w:r>
      <w:r w:rsidR="002A7094">
        <w:t>total</w:t>
      </w:r>
      <w:r w:rsidR="002A7094" w:rsidDel="00F93466">
        <w:t xml:space="preserve"> demand has actually been flat or falling in the </w:t>
      </w:r>
      <w:proofErr w:type="spellStart"/>
      <w:r w:rsidR="002A7094" w:rsidDel="00F93466">
        <w:t>NEM</w:t>
      </w:r>
      <w:proofErr w:type="spellEnd"/>
      <w:r w:rsidR="002A7094">
        <w:t xml:space="preserve">. </w:t>
      </w:r>
      <w:r w:rsidR="00321A0B">
        <w:rPr>
          <w:spacing w:val="-6"/>
        </w:rPr>
        <w:t xml:space="preserve">This has </w:t>
      </w:r>
      <w:r w:rsidR="007F0123">
        <w:rPr>
          <w:spacing w:val="-6"/>
        </w:rPr>
        <w:t>caused</w:t>
      </w:r>
      <w:r w:rsidR="00321A0B">
        <w:rPr>
          <w:spacing w:val="-6"/>
        </w:rPr>
        <w:t xml:space="preserve"> t</w:t>
      </w:r>
      <w:r w:rsidR="00EF090A">
        <w:t>he u</w:t>
      </w:r>
      <w:r w:rsidR="00EF090A" w:rsidRPr="00B80310">
        <w:rPr>
          <w:spacing w:val="-6"/>
        </w:rPr>
        <w:t xml:space="preserve">tilisation of network assets </w:t>
      </w:r>
      <w:r w:rsidR="007F0123">
        <w:rPr>
          <w:spacing w:val="-6"/>
        </w:rPr>
        <w:t xml:space="preserve">to </w:t>
      </w:r>
      <w:r w:rsidR="00C35ADE">
        <w:rPr>
          <w:spacing w:val="-6"/>
        </w:rPr>
        <w:t>decline</w:t>
      </w:r>
      <w:r w:rsidR="00EF090A">
        <w:rPr>
          <w:spacing w:val="-6"/>
        </w:rPr>
        <w:t xml:space="preserve">, </w:t>
      </w:r>
      <w:r w:rsidR="00EF090A">
        <w:t>contributing</w:t>
      </w:r>
      <w:r w:rsidR="002A7094">
        <w:t xml:space="preserve"> to a fall in </w:t>
      </w:r>
      <w:r w:rsidR="00E30834">
        <w:t xml:space="preserve">estimated multifactor </w:t>
      </w:r>
      <w:r w:rsidR="002A7094" w:rsidDel="00F93466">
        <w:t>productivity (</w:t>
      </w:r>
      <w:r w:rsidR="0058397B">
        <w:t>Figure 9.2</w:t>
      </w:r>
      <w:r w:rsidR="002A7094" w:rsidDel="00F93466">
        <w:t>).</w:t>
      </w:r>
      <w:r w:rsidR="00EF090A" w:rsidRPr="00EF090A">
        <w:rPr>
          <w:spacing w:val="-6"/>
        </w:rPr>
        <w:t xml:space="preserve"> </w:t>
      </w:r>
    </w:p>
    <w:p w:rsidR="003D0D76" w:rsidRDefault="003D0D76" w:rsidP="003D0D76">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Figure \* ARABIC </w:instrText>
      </w:r>
      <w:r>
        <w:rPr>
          <w:b w:val="0"/>
        </w:rPr>
        <w:fldChar w:fldCharType="separate"/>
      </w:r>
      <w:r w:rsidR="000852D8">
        <w:rPr>
          <w:b w:val="0"/>
          <w:noProof/>
        </w:rPr>
        <w:t>2</w:t>
      </w:r>
      <w:r>
        <w:rPr>
          <w:b w:val="0"/>
        </w:rPr>
        <w:fldChar w:fldCharType="end"/>
      </w:r>
      <w:r>
        <w:tab/>
        <w:t xml:space="preserve">Electricity supply: inputs, output and multifactor </w:t>
      </w:r>
      <w:r w:rsidR="00626438">
        <w:t>productivity</w:t>
      </w:r>
    </w:p>
    <w:p w:rsidR="003D0D76" w:rsidRDefault="003D0D76" w:rsidP="003D0D76">
      <w:pPr>
        <w:pStyle w:val="Subtitle"/>
      </w:pPr>
      <w:r>
        <w:t>Index 2006-07 = 100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D0D76" w:rsidTr="003D0D76">
        <w:tc>
          <w:tcPr>
            <w:tcW w:w="8777" w:type="dxa"/>
          </w:tcPr>
          <w:p w:rsidR="003D0D76" w:rsidRDefault="003D0D76" w:rsidP="003D0D76">
            <w:pPr>
              <w:pStyle w:val="Figure"/>
            </w:pPr>
            <w:r>
              <w:rPr>
                <w:noProof/>
              </w:rPr>
              <w:drawing>
                <wp:inline distT="0" distB="0" distL="0" distR="0" wp14:anchorId="061F22D4" wp14:editId="7387CF7E">
                  <wp:extent cx="5303520" cy="2297430"/>
                  <wp:effectExtent l="0" t="0" r="0" b="0"/>
                  <wp:docPr id="4" name="Picture 4" descr="Electricity supply inputs, output and multifactor productivity. This figure shows the index of multifactor productivity, inputs (labour and capital) and outputs (real valued added), between 1974 75 and 2008 09, where 2006 07 was used as the base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8600" cy="2299631"/>
                          </a:xfrm>
                          <a:prstGeom prst="rect">
                            <a:avLst/>
                          </a:prstGeom>
                          <a:noFill/>
                          <a:ln>
                            <a:noFill/>
                          </a:ln>
                        </pic:spPr>
                      </pic:pic>
                    </a:graphicData>
                  </a:graphic>
                </wp:inline>
              </w:drawing>
            </w:r>
          </w:p>
        </w:tc>
      </w:tr>
    </w:tbl>
    <w:p w:rsidR="003D0D76" w:rsidRDefault="003D0D76" w:rsidP="003D0D76">
      <w:pPr>
        <w:pStyle w:val="Source"/>
      </w:pPr>
      <w:r>
        <w:rPr>
          <w:i/>
        </w:rPr>
        <w:t>Source</w:t>
      </w:r>
      <w:r w:rsidRPr="00167F06">
        <w:t xml:space="preserve">: </w:t>
      </w:r>
      <w:r w:rsidDel="00F93466">
        <w:t>Topp and Kulys 2012</w:t>
      </w:r>
    </w:p>
    <w:p w:rsidR="00452A07" w:rsidRPr="002A39A0" w:rsidRDefault="001B3D5C" w:rsidP="00452A07">
      <w:pPr>
        <w:pStyle w:val="BodyText"/>
      </w:pPr>
      <w:r>
        <w:lastRenderedPageBreak/>
        <w:t>Of course, i</w:t>
      </w:r>
      <w:r w:rsidRPr="002A39A0">
        <w:t xml:space="preserve">t </w:t>
      </w:r>
      <w:r w:rsidR="00452A07" w:rsidRPr="002A39A0">
        <w:t xml:space="preserve">is </w:t>
      </w:r>
      <w:r w:rsidR="00452A07">
        <w:t>not</w:t>
      </w:r>
      <w:r w:rsidR="00452A07" w:rsidRPr="002A39A0">
        <w:t xml:space="preserve"> surprising that people demand </w:t>
      </w:r>
      <w:r w:rsidR="00452A07">
        <w:t xml:space="preserve">significantly </w:t>
      </w:r>
      <w:r w:rsidR="00452A07" w:rsidRPr="002A39A0">
        <w:t xml:space="preserve">more power when outside temperatures are particularly warm or cold. Consumers may well value the comfort and amenity gained from their use of network capacity very highly during peaks. </w:t>
      </w:r>
    </w:p>
    <w:p w:rsidR="00452A07" w:rsidRPr="002A39A0" w:rsidRDefault="00452A07" w:rsidP="00452A07">
      <w:pPr>
        <w:pStyle w:val="BodyText"/>
      </w:pPr>
      <w:r w:rsidRPr="002A39A0">
        <w:t xml:space="preserve">Growth in peak demand therefore need not </w:t>
      </w:r>
      <w:r w:rsidR="00C3051C">
        <w:t xml:space="preserve">indicate </w:t>
      </w:r>
      <w:r w:rsidRPr="002A39A0">
        <w:t xml:space="preserve">an economic problem, </w:t>
      </w:r>
      <w:r>
        <w:t>at least not on its own</w:t>
      </w:r>
      <w:r w:rsidRPr="002A39A0">
        <w:t xml:space="preserve">. Rather, the issue is whether the rate of peak demand is economically efficient, given the benefits and costs entailed. This depends on whether the </w:t>
      </w:r>
      <w:r>
        <w:t xml:space="preserve">amenity and other benefits </w:t>
      </w:r>
      <w:r w:rsidRPr="002A39A0">
        <w:t xml:space="preserve">consumers </w:t>
      </w:r>
      <w:r>
        <w:t>gain</w:t>
      </w:r>
      <w:r w:rsidRPr="002A39A0">
        <w:t xml:space="preserve"> from </w:t>
      </w:r>
      <w:r w:rsidR="00726305">
        <w:t xml:space="preserve">all of </w:t>
      </w:r>
      <w:r w:rsidRPr="002A39A0">
        <w:t xml:space="preserve">their peak electricity consumption are </w:t>
      </w:r>
      <w:r w:rsidR="003535C3">
        <w:t xml:space="preserve">at least </w:t>
      </w:r>
      <w:r w:rsidRPr="002A39A0">
        <w:t>commensurate in value with the high cost of supply</w:t>
      </w:r>
      <w:r>
        <w:t>ing</w:t>
      </w:r>
      <w:r w:rsidRPr="002A39A0">
        <w:t xml:space="preserve"> it. </w:t>
      </w:r>
    </w:p>
    <w:p w:rsidR="00452A07" w:rsidRDefault="00452A07" w:rsidP="002A7094">
      <w:pPr>
        <w:pStyle w:val="BodyText"/>
      </w:pPr>
      <w:r w:rsidRPr="002A39A0">
        <w:t xml:space="preserve">Appropriately structured time-based prices that reflect those high costs would help to confirm this. Faced with such price signals, consumers </w:t>
      </w:r>
      <w:r>
        <w:t xml:space="preserve">would </w:t>
      </w:r>
      <w:r w:rsidRPr="002A39A0">
        <w:t xml:space="preserve">have a financial incentive to consider reducing or shifting the timing of some or all of their peak electricity use, and suppliers would receive a signal about the value consumers place on additional peak capacity. </w:t>
      </w:r>
    </w:p>
    <w:p w:rsidR="00874419" w:rsidRPr="00FC4AD9" w:rsidRDefault="00AB3B0D" w:rsidP="00874419">
      <w:pPr>
        <w:pStyle w:val="BodyText"/>
        <w:rPr>
          <w:spacing w:val="-4"/>
        </w:rPr>
      </w:pPr>
      <w:r>
        <w:rPr>
          <w:spacing w:val="-4"/>
        </w:rPr>
        <w:t>However, a</w:t>
      </w:r>
      <w:r w:rsidRPr="00FC4AD9">
        <w:rPr>
          <w:spacing w:val="-4"/>
        </w:rPr>
        <w:t xml:space="preserve">s </w:t>
      </w:r>
      <w:r w:rsidR="00874419" w:rsidRPr="00FC4AD9">
        <w:rPr>
          <w:spacing w:val="-4"/>
        </w:rPr>
        <w:t xml:space="preserve">discussed in more detail </w:t>
      </w:r>
      <w:r w:rsidR="004F0ED8" w:rsidRPr="00FC4AD9">
        <w:rPr>
          <w:spacing w:val="-4"/>
        </w:rPr>
        <w:t>below</w:t>
      </w:r>
      <w:r w:rsidR="00874419" w:rsidRPr="00FC4AD9">
        <w:rPr>
          <w:spacing w:val="-4"/>
        </w:rPr>
        <w:t>, littl</w:t>
      </w:r>
      <w:r w:rsidR="006F2398" w:rsidRPr="00FC4AD9">
        <w:rPr>
          <w:spacing w:val="-4"/>
        </w:rPr>
        <w:t>e use is currently made of cost-reflective time-</w:t>
      </w:r>
      <w:r w:rsidR="00874419" w:rsidRPr="00FC4AD9">
        <w:rPr>
          <w:spacing w:val="-4"/>
        </w:rPr>
        <w:t xml:space="preserve">based </w:t>
      </w:r>
      <w:r w:rsidR="00E30834" w:rsidRPr="00FC4AD9">
        <w:rPr>
          <w:spacing w:val="-4"/>
        </w:rPr>
        <w:t xml:space="preserve">network </w:t>
      </w:r>
      <w:r w:rsidR="00874419" w:rsidRPr="00FC4AD9">
        <w:rPr>
          <w:spacing w:val="-4"/>
        </w:rPr>
        <w:t>pricing. Some business</w:t>
      </w:r>
      <w:r w:rsidR="00C35ADE" w:rsidRPr="00FC4AD9">
        <w:rPr>
          <w:spacing w:val="-4"/>
        </w:rPr>
        <w:t>es</w:t>
      </w:r>
      <w:r w:rsidR="00874419" w:rsidRPr="00FC4AD9">
        <w:rPr>
          <w:spacing w:val="-4"/>
        </w:rPr>
        <w:t xml:space="preserve"> face price signals</w:t>
      </w:r>
      <w:r w:rsidR="00874419" w:rsidRPr="00FC4AD9" w:rsidDel="00B67EDA">
        <w:rPr>
          <w:spacing w:val="-4"/>
        </w:rPr>
        <w:t xml:space="preserve"> </w:t>
      </w:r>
      <w:r w:rsidR="00874419" w:rsidRPr="00FC4AD9">
        <w:rPr>
          <w:spacing w:val="-4"/>
        </w:rPr>
        <w:t>that partially reflect supply cost</w:t>
      </w:r>
      <w:r w:rsidR="006F2398" w:rsidRPr="00FC4AD9">
        <w:rPr>
          <w:spacing w:val="-4"/>
        </w:rPr>
        <w:t xml:space="preserve">s, </w:t>
      </w:r>
      <w:r w:rsidR="00874419" w:rsidRPr="00FC4AD9">
        <w:rPr>
          <w:spacing w:val="-4"/>
        </w:rPr>
        <w:t>but this is confined mainly to wholesale energy costs rather than reflecting the costs of peak network capacity.</w:t>
      </w:r>
      <w:r w:rsidR="00782D6A" w:rsidRPr="00FC4AD9">
        <w:rPr>
          <w:rStyle w:val="FootnoteReference"/>
          <w:spacing w:val="-4"/>
        </w:rPr>
        <w:footnoteReference w:id="2"/>
      </w:r>
      <w:r w:rsidR="00874419" w:rsidRPr="00FC4AD9">
        <w:rPr>
          <w:spacing w:val="-4"/>
        </w:rPr>
        <w:t xml:space="preserve"> For most households and many small businesses, average (or flat) network tariffs mean that the substantial additional costs of meeting peak demand are spread across all households and time periods. Consumers thus have little incentive to economise on their usage in these periods, so peak consumption </w:t>
      </w:r>
      <w:r w:rsidR="0023430D" w:rsidRPr="00FC4AD9">
        <w:rPr>
          <w:spacing w:val="-4"/>
        </w:rPr>
        <w:t>exceeds what</w:t>
      </w:r>
      <w:r w:rsidR="00874419" w:rsidRPr="00FC4AD9">
        <w:rPr>
          <w:spacing w:val="-4"/>
        </w:rPr>
        <w:t xml:space="preserve"> would </w:t>
      </w:r>
      <w:r w:rsidR="00782D6A" w:rsidRPr="00FC4AD9">
        <w:rPr>
          <w:spacing w:val="-4"/>
        </w:rPr>
        <w:t xml:space="preserve">likely </w:t>
      </w:r>
      <w:r w:rsidR="00874419" w:rsidRPr="00FC4AD9">
        <w:rPr>
          <w:spacing w:val="-4"/>
        </w:rPr>
        <w:t xml:space="preserve">be observed were consumers to face its true cost. </w:t>
      </w:r>
    </w:p>
    <w:p w:rsidR="00874419" w:rsidRPr="00452A07" w:rsidRDefault="00874419" w:rsidP="00874419">
      <w:pPr>
        <w:pStyle w:val="BodyText"/>
        <w:rPr>
          <w:spacing w:val="-4"/>
        </w:rPr>
      </w:pPr>
      <w:r w:rsidRPr="00452A07">
        <w:rPr>
          <w:spacing w:val="-4"/>
        </w:rPr>
        <w:t xml:space="preserve">The upshot is that, in these circumstances, growth in peak </w:t>
      </w:r>
      <w:r w:rsidR="007241DF" w:rsidRPr="00452A07">
        <w:rPr>
          <w:spacing w:val="-4"/>
        </w:rPr>
        <w:t xml:space="preserve">electricity </w:t>
      </w:r>
      <w:r w:rsidRPr="00452A07">
        <w:rPr>
          <w:spacing w:val="-4"/>
        </w:rPr>
        <w:t xml:space="preserve">demand is </w:t>
      </w:r>
      <w:r w:rsidR="002744F4" w:rsidRPr="00452A07">
        <w:rPr>
          <w:spacing w:val="-4"/>
        </w:rPr>
        <w:t xml:space="preserve">likely to be </w:t>
      </w:r>
      <w:r w:rsidR="0064067E" w:rsidRPr="00452A07">
        <w:rPr>
          <w:spacing w:val="-4"/>
        </w:rPr>
        <w:t>inducing</w:t>
      </w:r>
      <w:r w:rsidRPr="00452A07">
        <w:rPr>
          <w:spacing w:val="-4"/>
        </w:rPr>
        <w:t xml:space="preserve"> </w:t>
      </w:r>
      <w:r w:rsidR="00782D6A" w:rsidRPr="00452A07">
        <w:rPr>
          <w:spacing w:val="-4"/>
        </w:rPr>
        <w:t>(</w:t>
      </w:r>
      <w:r w:rsidR="00296FBA" w:rsidRPr="00452A07">
        <w:rPr>
          <w:spacing w:val="-4"/>
        </w:rPr>
        <w:t>or bringing forward</w:t>
      </w:r>
      <w:r w:rsidR="00782D6A" w:rsidRPr="00452A07">
        <w:rPr>
          <w:spacing w:val="-4"/>
        </w:rPr>
        <w:t>)</w:t>
      </w:r>
      <w:r w:rsidR="00296FBA" w:rsidRPr="00452A07">
        <w:rPr>
          <w:spacing w:val="-4"/>
        </w:rPr>
        <w:t xml:space="preserve"> </w:t>
      </w:r>
      <w:r w:rsidR="002744F4" w:rsidRPr="00452A07">
        <w:rPr>
          <w:spacing w:val="-4"/>
        </w:rPr>
        <w:t xml:space="preserve">a </w:t>
      </w:r>
      <w:r w:rsidR="007241DF" w:rsidRPr="00452A07">
        <w:rPr>
          <w:spacing w:val="-4"/>
        </w:rPr>
        <w:t>sizable</w:t>
      </w:r>
      <w:r w:rsidR="002744F4" w:rsidRPr="00452A07">
        <w:rPr>
          <w:spacing w:val="-4"/>
        </w:rPr>
        <w:t xml:space="preserve"> </w:t>
      </w:r>
      <w:r w:rsidR="00F00BE8" w:rsidRPr="00452A07">
        <w:rPr>
          <w:spacing w:val="-4"/>
        </w:rPr>
        <w:t>stream</w:t>
      </w:r>
      <w:r w:rsidR="002744F4" w:rsidRPr="00452A07">
        <w:rPr>
          <w:spacing w:val="-4"/>
        </w:rPr>
        <w:t xml:space="preserve"> of</w:t>
      </w:r>
      <w:r w:rsidRPr="00452A07">
        <w:rPr>
          <w:spacing w:val="-4"/>
        </w:rPr>
        <w:t xml:space="preserve"> otherwise unnecessary investment, for which consumers ultimately pay.</w:t>
      </w:r>
      <w:r w:rsidR="0074249F" w:rsidRPr="00452A07">
        <w:rPr>
          <w:spacing w:val="-4"/>
        </w:rPr>
        <w:t xml:space="preserve"> And the widening gap between peak and average demand is contributing to reduced productivity in the electricity sector.</w:t>
      </w:r>
    </w:p>
    <w:p w:rsidR="002315E7" w:rsidRDefault="000E20B8" w:rsidP="006F2D73">
      <w:pPr>
        <w:pStyle w:val="Heading2"/>
      </w:pPr>
      <w:fldSimple w:instr=" COMMENTS  \* MERGEFORMAT ">
        <w:r w:rsidR="000852D8">
          <w:t>9.</w:t>
        </w:r>
      </w:fldSimple>
      <w:fldSimple w:instr=" SEQ Heading2 ">
        <w:r w:rsidR="000852D8">
          <w:rPr>
            <w:noProof/>
          </w:rPr>
          <w:t>2</w:t>
        </w:r>
      </w:fldSimple>
      <w:r w:rsidR="006F2D73">
        <w:tab/>
      </w:r>
      <w:r w:rsidR="002315E7">
        <w:t xml:space="preserve">A roadmap for how this </w:t>
      </w:r>
      <w:r w:rsidR="009E3E8A">
        <w:t xml:space="preserve">report </w:t>
      </w:r>
      <w:r w:rsidR="002315E7">
        <w:t xml:space="preserve">addresses </w:t>
      </w:r>
      <w:r w:rsidR="00254124">
        <w:t xml:space="preserve">peak </w:t>
      </w:r>
      <w:r w:rsidR="002315E7">
        <w:t>demand management</w:t>
      </w:r>
    </w:p>
    <w:p w:rsidR="006F2D73" w:rsidRDefault="006F2D73" w:rsidP="006F2D73">
      <w:pPr>
        <w:pStyle w:val="Heading3"/>
      </w:pPr>
      <w:r>
        <w:t xml:space="preserve">This chapter </w:t>
      </w:r>
    </w:p>
    <w:p w:rsidR="006F2D73" w:rsidRDefault="006F2D73" w:rsidP="006F2D73">
      <w:pPr>
        <w:pStyle w:val="BodyText"/>
      </w:pPr>
      <w:r>
        <w:t xml:space="preserve">This chapter is the first of </w:t>
      </w:r>
      <w:r w:rsidR="00F93466">
        <w:t xml:space="preserve">four </w:t>
      </w:r>
      <w:r>
        <w:t>relevant to the problem of peak demand as a driver of electricity</w:t>
      </w:r>
      <w:r w:rsidR="00AB7786">
        <w:t xml:space="preserve"> network </w:t>
      </w:r>
      <w:r w:rsidR="00AB7786" w:rsidRPr="00536619">
        <w:t>costs</w:t>
      </w:r>
      <w:r w:rsidR="00254124" w:rsidRPr="00536619">
        <w:t>, and appropriate solutions to it</w:t>
      </w:r>
      <w:r w:rsidRPr="00536619">
        <w:t xml:space="preserve">. </w:t>
      </w:r>
      <w:r w:rsidR="000B5688" w:rsidRPr="00536619">
        <w:t xml:space="preserve">It </w:t>
      </w:r>
      <w:r w:rsidR="00254124" w:rsidRPr="00536619">
        <w:t>highlights</w:t>
      </w:r>
      <w:r w:rsidR="000B5688">
        <w:t xml:space="preserve"> that, if left unfettered, peak demand and electricity costs would</w:t>
      </w:r>
      <w:r w:rsidR="00CB0B25">
        <w:t xml:space="preserve"> continue to rise inefficiently. It then establishes a rationale for demand management to reduce spending on peak-specific network capacity and limit future increases in electricity bills. </w:t>
      </w:r>
    </w:p>
    <w:p w:rsidR="006F2D73" w:rsidRDefault="006F2D73" w:rsidP="006F2D73">
      <w:pPr>
        <w:pStyle w:val="BodyText"/>
      </w:pPr>
      <w:r>
        <w:t xml:space="preserve">Accordingly, </w:t>
      </w:r>
      <w:r w:rsidR="00B23FAD">
        <w:t xml:space="preserve">having already outlined why </w:t>
      </w:r>
      <w:r w:rsidR="002B66D4">
        <w:t xml:space="preserve">peak demand </w:t>
      </w:r>
      <w:r w:rsidR="00B23FAD">
        <w:t xml:space="preserve">is a problem </w:t>
      </w:r>
      <w:r w:rsidR="00B53165">
        <w:t xml:space="preserve">(section 9.1), </w:t>
      </w:r>
      <w:r w:rsidR="002B66D4">
        <w:t>this</w:t>
      </w:r>
      <w:r>
        <w:t xml:space="preserve"> chapter:</w:t>
      </w:r>
    </w:p>
    <w:p w:rsidR="00550FA5" w:rsidRDefault="003317D7" w:rsidP="006F2D73">
      <w:pPr>
        <w:pStyle w:val="ListBullet"/>
      </w:pPr>
      <w:r>
        <w:t>examines in more detail various facets and causes of the problem (section 9.3)</w:t>
      </w:r>
    </w:p>
    <w:p w:rsidR="006F2D73" w:rsidRPr="00536CE8" w:rsidRDefault="002B66D4" w:rsidP="006F2D73">
      <w:pPr>
        <w:pStyle w:val="ListBullet"/>
        <w:rPr>
          <w:spacing w:val="-4"/>
        </w:rPr>
      </w:pPr>
      <w:r w:rsidRPr="00536CE8">
        <w:rPr>
          <w:spacing w:val="-4"/>
        </w:rPr>
        <w:t>explains how the</w:t>
      </w:r>
      <w:r w:rsidR="003317D7" w:rsidRPr="00536CE8">
        <w:rPr>
          <w:spacing w:val="-4"/>
        </w:rPr>
        <w:t xml:space="preserve"> </w:t>
      </w:r>
      <w:r w:rsidR="006F2D73" w:rsidRPr="00536CE8">
        <w:rPr>
          <w:spacing w:val="-4"/>
        </w:rPr>
        <w:t>tools of dema</w:t>
      </w:r>
      <w:r w:rsidR="000B5688" w:rsidRPr="00536CE8">
        <w:rPr>
          <w:spacing w:val="-4"/>
        </w:rPr>
        <w:t>nd management, including both cost-reflective pricing and non-price measures</w:t>
      </w:r>
      <w:r w:rsidRPr="00536CE8">
        <w:rPr>
          <w:spacing w:val="-4"/>
        </w:rPr>
        <w:t>, can potentially address peak demand</w:t>
      </w:r>
      <w:r w:rsidR="000B5688" w:rsidRPr="00536CE8">
        <w:rPr>
          <w:spacing w:val="-4"/>
        </w:rPr>
        <w:t xml:space="preserve"> </w:t>
      </w:r>
      <w:r w:rsidR="006F2D73" w:rsidRPr="00536CE8">
        <w:rPr>
          <w:spacing w:val="-4"/>
        </w:rPr>
        <w:t>(section 9.</w:t>
      </w:r>
      <w:r w:rsidR="00A12135" w:rsidRPr="00536CE8">
        <w:rPr>
          <w:spacing w:val="-4"/>
        </w:rPr>
        <w:t>4</w:t>
      </w:r>
      <w:r w:rsidR="006F2D73" w:rsidRPr="00536CE8">
        <w:rPr>
          <w:spacing w:val="-4"/>
        </w:rPr>
        <w:t>)</w:t>
      </w:r>
    </w:p>
    <w:p w:rsidR="006F2D73" w:rsidRDefault="003317D7" w:rsidP="006F2D73">
      <w:pPr>
        <w:pStyle w:val="ListBullet"/>
      </w:pPr>
      <w:r>
        <w:t xml:space="preserve">investigates </w:t>
      </w:r>
      <w:r w:rsidR="006F2D73">
        <w:t xml:space="preserve">the </w:t>
      </w:r>
      <w:r>
        <w:t xml:space="preserve">extent to which </w:t>
      </w:r>
      <w:r w:rsidR="006F2D73">
        <w:t>demand management i</w:t>
      </w:r>
      <w:r>
        <w:t>s applied</w:t>
      </w:r>
      <w:r w:rsidR="006F2D73">
        <w:t xml:space="preserve"> </w:t>
      </w:r>
      <w:r>
        <w:t xml:space="preserve">across </w:t>
      </w:r>
      <w:r w:rsidR="006F2D73">
        <w:t xml:space="preserve">the </w:t>
      </w:r>
      <w:proofErr w:type="spellStart"/>
      <w:r w:rsidR="006F2D73">
        <w:t>NEM</w:t>
      </w:r>
      <w:proofErr w:type="spellEnd"/>
      <w:r w:rsidR="006F2D73">
        <w:t xml:space="preserve"> (section 9.</w:t>
      </w:r>
      <w:r w:rsidR="00A12135">
        <w:t>5</w:t>
      </w:r>
      <w:r w:rsidR="006F2D73">
        <w:t xml:space="preserve">) </w:t>
      </w:r>
    </w:p>
    <w:p w:rsidR="00A12135" w:rsidRPr="00536CE8" w:rsidRDefault="00A12135" w:rsidP="00A12135">
      <w:pPr>
        <w:pStyle w:val="ListBullet"/>
        <w:rPr>
          <w:spacing w:val="-4"/>
        </w:rPr>
      </w:pPr>
      <w:r w:rsidRPr="00536CE8">
        <w:rPr>
          <w:spacing w:val="-4"/>
        </w:rPr>
        <w:t>outlines reasons for the limited uptake of demand management to date (sec</w:t>
      </w:r>
      <w:r w:rsidR="00452A07" w:rsidRPr="00536CE8">
        <w:rPr>
          <w:spacing w:val="-4"/>
        </w:rPr>
        <w:t>tion </w:t>
      </w:r>
      <w:r w:rsidRPr="00536CE8">
        <w:rPr>
          <w:spacing w:val="-4"/>
        </w:rPr>
        <w:t>9.6)</w:t>
      </w:r>
    </w:p>
    <w:p w:rsidR="006F2D73" w:rsidRDefault="00A12135" w:rsidP="006F2D73">
      <w:pPr>
        <w:pStyle w:val="ListBullet"/>
      </w:pPr>
      <w:r>
        <w:t>examines estimates of the prospective benefits and costs from the further adoption of demand management in Australia</w:t>
      </w:r>
      <w:r w:rsidR="00A46D1F">
        <w:t xml:space="preserve"> (section </w:t>
      </w:r>
      <w:r w:rsidR="00452A07">
        <w:t>9.7</w:t>
      </w:r>
      <w:r w:rsidR="006F2D73">
        <w:t>)</w:t>
      </w:r>
      <w:r w:rsidR="00A46D1F">
        <w:t>.</w:t>
      </w:r>
    </w:p>
    <w:p w:rsidR="006F2D73" w:rsidRDefault="00B67EDA" w:rsidP="006F2D73">
      <w:pPr>
        <w:pStyle w:val="Heading3"/>
      </w:pPr>
      <w:r>
        <w:t xml:space="preserve">The following </w:t>
      </w:r>
      <w:r w:rsidR="006F2D73">
        <w:t>chapters</w:t>
      </w:r>
    </w:p>
    <w:p w:rsidR="002315E7" w:rsidRDefault="00642909" w:rsidP="002315E7">
      <w:pPr>
        <w:pStyle w:val="BodyText"/>
      </w:pPr>
      <w:r>
        <w:t>Chapters 10</w:t>
      </w:r>
      <w:r w:rsidR="00EE7542">
        <w:t>, 11</w:t>
      </w:r>
      <w:r>
        <w:t xml:space="preserve"> and 1</w:t>
      </w:r>
      <w:r w:rsidR="00EE7542">
        <w:t>2</w:t>
      </w:r>
      <w:r w:rsidR="00E4603F">
        <w:t xml:space="preserve"> address</w:t>
      </w:r>
      <w:r w:rsidR="002315E7">
        <w:t xml:space="preserve"> barriers to demand management, with the associated recommendations forming a package of interrelated reforms:</w:t>
      </w:r>
    </w:p>
    <w:p w:rsidR="002315E7" w:rsidRDefault="002315E7" w:rsidP="002315E7">
      <w:pPr>
        <w:pStyle w:val="ListBullet"/>
      </w:pPr>
      <w:r>
        <w:t>chapter 1</w:t>
      </w:r>
      <w:r w:rsidR="000435FC">
        <w:t>0</w:t>
      </w:r>
      <w:r>
        <w:t xml:space="preserve"> assesses the technologies required to implement demand management, including the need for smart meters to allow time-based pricing and achieve other forms of demand management </w:t>
      </w:r>
    </w:p>
    <w:p w:rsidR="001D3FB6" w:rsidRPr="00452A07" w:rsidRDefault="000435FC" w:rsidP="006B1EEF">
      <w:pPr>
        <w:pStyle w:val="ListBullet"/>
        <w:rPr>
          <w:spacing w:val="-4"/>
        </w:rPr>
      </w:pPr>
      <w:r w:rsidRPr="00452A07">
        <w:rPr>
          <w:spacing w:val="-4"/>
        </w:rPr>
        <w:t>chapter 11</w:t>
      </w:r>
      <w:r w:rsidR="006B1EEF" w:rsidRPr="00452A07">
        <w:rPr>
          <w:spacing w:val="-4"/>
        </w:rPr>
        <w:t xml:space="preserve"> evaluates </w:t>
      </w:r>
      <w:r w:rsidR="002315E7" w:rsidRPr="00452A07">
        <w:rPr>
          <w:spacing w:val="-4"/>
        </w:rPr>
        <w:t>the role of cost-reflective (time-based) network charges</w:t>
      </w:r>
      <w:r w:rsidR="00642909" w:rsidRPr="00452A07">
        <w:rPr>
          <w:spacing w:val="-4"/>
        </w:rPr>
        <w:t xml:space="preserve"> that allow</w:t>
      </w:r>
      <w:r w:rsidR="002315E7" w:rsidRPr="00452A07">
        <w:rPr>
          <w:spacing w:val="-4"/>
        </w:rPr>
        <w:t xml:space="preserve"> consumers </w:t>
      </w:r>
      <w:r w:rsidR="00642909" w:rsidRPr="00452A07">
        <w:rPr>
          <w:spacing w:val="-4"/>
        </w:rPr>
        <w:t xml:space="preserve">to </w:t>
      </w:r>
      <w:r w:rsidR="002315E7" w:rsidRPr="00452A07">
        <w:rPr>
          <w:spacing w:val="-4"/>
        </w:rPr>
        <w:t xml:space="preserve">reveal how much or how little investment in distribution capacity they </w:t>
      </w:r>
      <w:r w:rsidR="00E36760" w:rsidRPr="00452A07">
        <w:rPr>
          <w:spacing w:val="-4"/>
        </w:rPr>
        <w:t>value</w:t>
      </w:r>
      <w:r w:rsidR="002315E7" w:rsidRPr="00452A07">
        <w:rPr>
          <w:spacing w:val="-4"/>
        </w:rPr>
        <w:t xml:space="preserve">. </w:t>
      </w:r>
      <w:r w:rsidR="006B1EEF" w:rsidRPr="00452A07">
        <w:rPr>
          <w:spacing w:val="-4"/>
        </w:rPr>
        <w:t xml:space="preserve">It outlines the importance of a carefully managed transition, along with </w:t>
      </w:r>
      <w:r w:rsidR="00536CE8">
        <w:rPr>
          <w:spacing w:val="-4"/>
        </w:rPr>
        <w:t>measures</w:t>
      </w:r>
      <w:r w:rsidR="006B1EEF" w:rsidRPr="00452A07">
        <w:rPr>
          <w:spacing w:val="-4"/>
        </w:rPr>
        <w:t xml:space="preserve"> to address equity and affordability concerns</w:t>
      </w:r>
      <w:r w:rsidR="00196B3A" w:rsidRPr="00452A07">
        <w:rPr>
          <w:spacing w:val="-4"/>
        </w:rPr>
        <w:t xml:space="preserve"> and to support </w:t>
      </w:r>
      <w:r w:rsidR="00E97D01" w:rsidRPr="00452A07">
        <w:rPr>
          <w:spacing w:val="-4"/>
        </w:rPr>
        <w:t xml:space="preserve">distribution business’s engagement with retailers and </w:t>
      </w:r>
      <w:r w:rsidR="00196B3A" w:rsidRPr="00452A07">
        <w:rPr>
          <w:spacing w:val="-4"/>
        </w:rPr>
        <w:t>community consultation</w:t>
      </w:r>
      <w:r w:rsidR="006B1EEF" w:rsidRPr="00452A07">
        <w:rPr>
          <w:spacing w:val="-4"/>
        </w:rPr>
        <w:t>.</w:t>
      </w:r>
    </w:p>
    <w:p w:rsidR="006B1EEF" w:rsidRDefault="00EE7542" w:rsidP="00265224">
      <w:pPr>
        <w:pStyle w:val="ListBullet"/>
      </w:pPr>
      <w:r>
        <w:t xml:space="preserve">chapter 12 examines </w:t>
      </w:r>
      <w:r w:rsidR="006B1EEF">
        <w:t>reforms that would be complementary to the transition to time-based pricing including:</w:t>
      </w:r>
    </w:p>
    <w:p w:rsidR="006B1EEF" w:rsidRDefault="006B1EEF" w:rsidP="006B1EEF">
      <w:pPr>
        <w:pStyle w:val="ListBullet2"/>
      </w:pPr>
      <w:r>
        <w:lastRenderedPageBreak/>
        <w:t xml:space="preserve">the framework for network regulation and the incentives it creates </w:t>
      </w:r>
      <w:r w:rsidR="00296FBA">
        <w:t xml:space="preserve">(or currently fails to create) </w:t>
      </w:r>
      <w:r>
        <w:t xml:space="preserve">for network businesses to invest in demand management. That includes their motivation to price network services efficiently or employ other demand management solutions </w:t>
      </w:r>
    </w:p>
    <w:p w:rsidR="002315E7" w:rsidRDefault="002315E7" w:rsidP="006B1EEF">
      <w:pPr>
        <w:pStyle w:val="ListBullet2"/>
      </w:pPr>
      <w:r>
        <w:t>the important intermediary role of retailers, including their incentives and flexibility to engage demand management.</w:t>
      </w:r>
    </w:p>
    <w:p w:rsidR="00EE7542" w:rsidRDefault="00F93466" w:rsidP="006630BA">
      <w:pPr>
        <w:pStyle w:val="Heading3"/>
      </w:pPr>
      <w:r>
        <w:t>Scope of the analysis</w:t>
      </w:r>
    </w:p>
    <w:p w:rsidR="00EE7542" w:rsidRDefault="00CB0B25" w:rsidP="00EE7542">
      <w:pPr>
        <w:pStyle w:val="BodyText"/>
      </w:pPr>
      <w:r>
        <w:t>The terms of reference for this inquiry are focussed on network expenditure.</w:t>
      </w:r>
      <w:r w:rsidR="00D848D9">
        <w:t xml:space="preserve"> Accordingly, the Commission’s treatment of demand management gives</w:t>
      </w:r>
      <w:r w:rsidR="00EE7542">
        <w:t xml:space="preserve"> </w:t>
      </w:r>
      <w:r w:rsidR="00D848D9">
        <w:t>prominence to achieving network efficiencies. Nevertheless</w:t>
      </w:r>
      <w:r w:rsidR="00EE7542">
        <w:t xml:space="preserve">, managing peak demand for network services can also </w:t>
      </w:r>
      <w:r w:rsidR="00D638A6">
        <w:t>lower generation costs</w:t>
      </w:r>
      <w:r w:rsidR="00EE7542">
        <w:t xml:space="preserve">. </w:t>
      </w:r>
      <w:r w:rsidR="00D638A6">
        <w:t>The Commission has</w:t>
      </w:r>
      <w:r w:rsidR="003243AF">
        <w:t xml:space="preserve"> </w:t>
      </w:r>
      <w:r w:rsidR="003243AF" w:rsidRPr="00E36760">
        <w:rPr>
          <w:spacing w:val="-2"/>
        </w:rPr>
        <w:t>taken account of the po</w:t>
      </w:r>
      <w:r w:rsidR="00D638A6" w:rsidRPr="00E36760">
        <w:rPr>
          <w:spacing w:val="-2"/>
        </w:rPr>
        <w:t>tential for such benefits in its</w:t>
      </w:r>
      <w:r w:rsidR="003243AF" w:rsidRPr="00E36760">
        <w:rPr>
          <w:spacing w:val="-2"/>
        </w:rPr>
        <w:t xml:space="preserve"> empirical </w:t>
      </w:r>
      <w:r w:rsidR="00E36760" w:rsidRPr="00E36760">
        <w:rPr>
          <w:spacing w:val="-2"/>
        </w:rPr>
        <w:t>analysis</w:t>
      </w:r>
      <w:r w:rsidR="003243AF" w:rsidRPr="00E36760">
        <w:rPr>
          <w:spacing w:val="-2"/>
        </w:rPr>
        <w:t xml:space="preserve"> (section </w:t>
      </w:r>
      <w:r w:rsidR="00E36760" w:rsidRPr="00E36760">
        <w:rPr>
          <w:spacing w:val="-2"/>
        </w:rPr>
        <w:t>9</w:t>
      </w:r>
      <w:r w:rsidR="003243AF" w:rsidRPr="00E36760">
        <w:rPr>
          <w:spacing w:val="-2"/>
        </w:rPr>
        <w:t>.5)</w:t>
      </w:r>
      <w:r w:rsidR="00E36760" w:rsidRPr="00E36760">
        <w:rPr>
          <w:spacing w:val="-2"/>
        </w:rPr>
        <w:t>.</w:t>
      </w:r>
      <w:r w:rsidR="009825EF">
        <w:t xml:space="preserve"> </w:t>
      </w:r>
    </w:p>
    <w:p w:rsidR="003243AF" w:rsidRPr="00DC1893" w:rsidRDefault="00D848D9" w:rsidP="00D848D9">
      <w:pPr>
        <w:pStyle w:val="BodyText"/>
        <w:rPr>
          <w:spacing w:val="-6"/>
        </w:rPr>
      </w:pPr>
      <w:r w:rsidRPr="00DC1893">
        <w:rPr>
          <w:spacing w:val="-4"/>
        </w:rPr>
        <w:t xml:space="preserve">The terms of reference for this inquiry also direct the Commission to have particular regard for the </w:t>
      </w:r>
      <w:proofErr w:type="spellStart"/>
      <w:r w:rsidRPr="00DC1893">
        <w:rPr>
          <w:spacing w:val="-4"/>
        </w:rPr>
        <w:t>AEMC’s</w:t>
      </w:r>
      <w:proofErr w:type="spellEnd"/>
      <w:r w:rsidRPr="00DC1893">
        <w:rPr>
          <w:spacing w:val="-4"/>
        </w:rPr>
        <w:t xml:space="preserve"> current </w:t>
      </w:r>
      <w:r w:rsidRPr="00DC1893">
        <w:rPr>
          <w:i/>
          <w:spacing w:val="-4"/>
        </w:rPr>
        <w:t>Power of Choice</w:t>
      </w:r>
      <w:r w:rsidRPr="00DC1893">
        <w:rPr>
          <w:spacing w:val="-4"/>
        </w:rPr>
        <w:t xml:space="preserve"> Review. </w:t>
      </w:r>
      <w:r w:rsidRPr="00DC1893">
        <w:rPr>
          <w:spacing w:val="-6"/>
        </w:rPr>
        <w:t>The broad scope</w:t>
      </w:r>
      <w:r w:rsidR="00D638A6" w:rsidRPr="00DC1893">
        <w:rPr>
          <w:spacing w:val="-6"/>
        </w:rPr>
        <w:t xml:space="preserve"> of that</w:t>
      </w:r>
      <w:r w:rsidR="003243AF" w:rsidRPr="00DC1893">
        <w:rPr>
          <w:spacing w:val="-6"/>
        </w:rPr>
        <w:t xml:space="preserve"> review goes beyond the </w:t>
      </w:r>
      <w:r w:rsidR="00D638A6" w:rsidRPr="00DC1893">
        <w:rPr>
          <w:spacing w:val="-6"/>
        </w:rPr>
        <w:t>Productivity Commission’s</w:t>
      </w:r>
      <w:r w:rsidR="00C35ADE" w:rsidRPr="00DC1893">
        <w:rPr>
          <w:spacing w:val="-6"/>
        </w:rPr>
        <w:t xml:space="preserve"> consideration of </w:t>
      </w:r>
      <w:r w:rsidR="003243AF" w:rsidRPr="00DC1893">
        <w:rPr>
          <w:spacing w:val="-6"/>
        </w:rPr>
        <w:t>demand management, which focuses on the potential to limit network expenditur</w:t>
      </w:r>
      <w:r w:rsidR="0039037D" w:rsidRPr="00DC1893">
        <w:rPr>
          <w:spacing w:val="-6"/>
        </w:rPr>
        <w:t>e and associated prices.</w:t>
      </w:r>
      <w:r w:rsidR="00200E47" w:rsidRPr="00DC1893">
        <w:rPr>
          <w:spacing w:val="-6"/>
        </w:rPr>
        <w:t xml:space="preserve"> </w:t>
      </w:r>
      <w:r w:rsidR="004E4B42" w:rsidRPr="00DC1893">
        <w:rPr>
          <w:spacing w:val="-6"/>
        </w:rPr>
        <w:t xml:space="preserve">However, to ensure </w:t>
      </w:r>
      <w:r w:rsidR="00200E47" w:rsidRPr="00DC1893">
        <w:rPr>
          <w:spacing w:val="-6"/>
        </w:rPr>
        <w:t xml:space="preserve">a </w:t>
      </w:r>
      <w:r w:rsidR="00CD2020" w:rsidRPr="00DC1893">
        <w:rPr>
          <w:spacing w:val="-6"/>
        </w:rPr>
        <w:t xml:space="preserve">coherent </w:t>
      </w:r>
      <w:r w:rsidR="0039037D" w:rsidRPr="00DC1893">
        <w:rPr>
          <w:spacing w:val="-6"/>
        </w:rPr>
        <w:t>approach</w:t>
      </w:r>
      <w:r w:rsidR="004E4B42" w:rsidRPr="00DC1893">
        <w:rPr>
          <w:spacing w:val="-6"/>
        </w:rPr>
        <w:t xml:space="preserve"> to demand management,</w:t>
      </w:r>
      <w:r w:rsidR="00CD2020" w:rsidRPr="00DC1893">
        <w:rPr>
          <w:spacing w:val="-6"/>
        </w:rPr>
        <w:t xml:space="preserve"> </w:t>
      </w:r>
      <w:r w:rsidR="004E4B42" w:rsidRPr="00DC1893">
        <w:rPr>
          <w:spacing w:val="-6"/>
        </w:rPr>
        <w:t>in considering the case for</w:t>
      </w:r>
      <w:r w:rsidR="009825EF" w:rsidRPr="00DC1893">
        <w:rPr>
          <w:spacing w:val="-6"/>
        </w:rPr>
        <w:t xml:space="preserve"> reforms</w:t>
      </w:r>
      <w:r w:rsidR="00D638A6" w:rsidRPr="00DC1893">
        <w:rPr>
          <w:spacing w:val="-6"/>
        </w:rPr>
        <w:t xml:space="preserve"> </w:t>
      </w:r>
      <w:r w:rsidR="009825EF" w:rsidRPr="00DC1893">
        <w:rPr>
          <w:spacing w:val="-6"/>
        </w:rPr>
        <w:t>the Commission</w:t>
      </w:r>
      <w:r w:rsidR="00CD2020" w:rsidRPr="00DC1893">
        <w:rPr>
          <w:spacing w:val="-6"/>
        </w:rPr>
        <w:t xml:space="preserve"> </w:t>
      </w:r>
      <w:r w:rsidR="004E4B42" w:rsidRPr="00DC1893">
        <w:rPr>
          <w:spacing w:val="-6"/>
        </w:rPr>
        <w:t>has</w:t>
      </w:r>
      <w:r w:rsidR="00CD2020" w:rsidRPr="00DC1893">
        <w:rPr>
          <w:spacing w:val="-6"/>
        </w:rPr>
        <w:t xml:space="preserve"> take</w:t>
      </w:r>
      <w:r w:rsidR="004E4B42" w:rsidRPr="00DC1893">
        <w:rPr>
          <w:spacing w:val="-6"/>
        </w:rPr>
        <w:t>n</w:t>
      </w:r>
      <w:r w:rsidR="00CD2020" w:rsidRPr="00DC1893">
        <w:rPr>
          <w:spacing w:val="-6"/>
        </w:rPr>
        <w:t xml:space="preserve"> into account</w:t>
      </w:r>
      <w:r w:rsidR="003243AF" w:rsidRPr="00DC1893">
        <w:rPr>
          <w:spacing w:val="-6"/>
        </w:rPr>
        <w:t xml:space="preserve"> the intermediary role of </w:t>
      </w:r>
      <w:r w:rsidR="003243AF" w:rsidRPr="00DC1893">
        <w:rPr>
          <w:spacing w:val="-2"/>
        </w:rPr>
        <w:t xml:space="preserve">retailers </w:t>
      </w:r>
      <w:r w:rsidR="001A05A3" w:rsidRPr="00DC1893">
        <w:rPr>
          <w:spacing w:val="-2"/>
        </w:rPr>
        <w:t xml:space="preserve">because charges from network businesses are passed on to retailers, but to be effective </w:t>
      </w:r>
      <w:r w:rsidR="00161A6E" w:rsidRPr="00DC1893">
        <w:rPr>
          <w:spacing w:val="-2"/>
        </w:rPr>
        <w:t xml:space="preserve">cost reflective prices </w:t>
      </w:r>
      <w:r w:rsidR="001A05A3" w:rsidRPr="00DC1893">
        <w:rPr>
          <w:spacing w:val="-2"/>
        </w:rPr>
        <w:t>need to be passed through to consumers.</w:t>
      </w:r>
      <w:r w:rsidR="001A05A3" w:rsidRPr="00DC1893">
        <w:rPr>
          <w:spacing w:val="-6"/>
          <w:highlight w:val="yellow"/>
        </w:rPr>
        <w:t xml:space="preserve"> </w:t>
      </w:r>
    </w:p>
    <w:p w:rsidR="00D848D9" w:rsidRDefault="00200E47" w:rsidP="00D848D9">
      <w:pPr>
        <w:pStyle w:val="BodyText"/>
      </w:pPr>
      <w:r>
        <w:t>B</w:t>
      </w:r>
      <w:r w:rsidR="00210651">
        <w:t>ased on</w:t>
      </w:r>
      <w:r w:rsidR="009E5BED">
        <w:t xml:space="preserve"> the </w:t>
      </w:r>
      <w:r w:rsidR="001A05A3">
        <w:t>recommendations in</w:t>
      </w:r>
      <w:r w:rsidRPr="00200E47">
        <w:t xml:space="preserve"> </w:t>
      </w:r>
      <w:r>
        <w:t xml:space="preserve">the </w:t>
      </w:r>
      <w:proofErr w:type="spellStart"/>
      <w:r>
        <w:t>AEMC’s</w:t>
      </w:r>
      <w:proofErr w:type="spellEnd"/>
      <w:r>
        <w:t xml:space="preserve"> </w:t>
      </w:r>
      <w:r w:rsidRPr="001A05A3">
        <w:rPr>
          <w:i/>
        </w:rPr>
        <w:t>Power of Choice</w:t>
      </w:r>
      <w:r>
        <w:t xml:space="preserve"> </w:t>
      </w:r>
      <w:r w:rsidR="00210651">
        <w:t>Draft Report (rel</w:t>
      </w:r>
      <w:r w:rsidR="009825EF">
        <w:t>eased in</w:t>
      </w:r>
      <w:r w:rsidR="009E5BED" w:rsidRPr="009E5BED">
        <w:t xml:space="preserve"> </w:t>
      </w:r>
      <w:r w:rsidR="009E5BED">
        <w:t xml:space="preserve">September </w:t>
      </w:r>
      <w:r w:rsidR="00E97D01">
        <w:t xml:space="preserve">2012), </w:t>
      </w:r>
      <w:r w:rsidR="009825EF">
        <w:t>the Commission has</w:t>
      </w:r>
      <w:r w:rsidR="00210651">
        <w:t xml:space="preserve"> afforded</w:t>
      </w:r>
      <w:r w:rsidR="00D848D9">
        <w:t xml:space="preserve"> less attenti</w:t>
      </w:r>
      <w:r w:rsidR="00AB1A33">
        <w:t xml:space="preserve">on to a </w:t>
      </w:r>
      <w:r w:rsidR="00AB1A33" w:rsidRPr="00536CE8">
        <w:rPr>
          <w:spacing w:val="-2"/>
        </w:rPr>
        <w:t xml:space="preserve">number of </w:t>
      </w:r>
      <w:r w:rsidR="00233999" w:rsidRPr="00536CE8">
        <w:rPr>
          <w:spacing w:val="-2"/>
        </w:rPr>
        <w:t xml:space="preserve">initiatives </w:t>
      </w:r>
      <w:r w:rsidR="00210651" w:rsidRPr="00536CE8">
        <w:rPr>
          <w:spacing w:val="-2"/>
        </w:rPr>
        <w:t>the AEMC has signalled an intention to address as a priority</w:t>
      </w:r>
      <w:r w:rsidR="00AB1A33" w:rsidRPr="00536CE8">
        <w:rPr>
          <w:spacing w:val="-2"/>
        </w:rPr>
        <w:t>.</w:t>
      </w:r>
      <w:r w:rsidR="00D848D9" w:rsidRPr="00536CE8">
        <w:rPr>
          <w:spacing w:val="-2"/>
        </w:rPr>
        <w:t xml:space="preserve"> </w:t>
      </w:r>
      <w:r w:rsidR="00AB1A33" w:rsidRPr="00536CE8">
        <w:rPr>
          <w:spacing w:val="-2"/>
        </w:rPr>
        <w:t>(For example, th</w:t>
      </w:r>
      <w:r w:rsidR="0039037D" w:rsidRPr="00536CE8">
        <w:rPr>
          <w:spacing w:val="-2"/>
        </w:rPr>
        <w:t xml:space="preserve">e AEMC has suggested changes </w:t>
      </w:r>
      <w:r w:rsidR="00AB1A33" w:rsidRPr="00536CE8">
        <w:rPr>
          <w:spacing w:val="-2"/>
        </w:rPr>
        <w:t>target</w:t>
      </w:r>
      <w:r w:rsidR="0039037D" w:rsidRPr="00536CE8">
        <w:rPr>
          <w:spacing w:val="-2"/>
        </w:rPr>
        <w:t>ing</w:t>
      </w:r>
      <w:r w:rsidR="00AB1A33" w:rsidRPr="00536CE8">
        <w:rPr>
          <w:spacing w:val="-2"/>
        </w:rPr>
        <w:t xml:space="preserve"> areas where there is </w:t>
      </w:r>
      <w:r w:rsidR="00210651" w:rsidRPr="00536CE8">
        <w:rPr>
          <w:spacing w:val="-2"/>
        </w:rPr>
        <w:t xml:space="preserve">evidence of </w:t>
      </w:r>
      <w:r w:rsidR="00AB1A33" w:rsidRPr="00536CE8">
        <w:rPr>
          <w:spacing w:val="-2"/>
        </w:rPr>
        <w:t>‘low hanging fruit’, including to harness the demand management potential of industrial and large businesses users</w:t>
      </w:r>
      <w:r w:rsidR="0042371C" w:rsidRPr="00536CE8">
        <w:rPr>
          <w:spacing w:val="-2"/>
        </w:rPr>
        <w:t>. T</w:t>
      </w:r>
      <w:r w:rsidR="00233999" w:rsidRPr="00536CE8">
        <w:rPr>
          <w:spacing w:val="-2"/>
        </w:rPr>
        <w:t>he Commission considers early action in these areas would be beneficial</w:t>
      </w:r>
      <w:r w:rsidR="0042371C" w:rsidRPr="00536CE8">
        <w:rPr>
          <w:spacing w:val="-2"/>
        </w:rPr>
        <w:t>, including the application of more efficient network charges to commercial end-users</w:t>
      </w:r>
      <w:r w:rsidR="00AB1A33" w:rsidRPr="00536CE8">
        <w:rPr>
          <w:spacing w:val="-2"/>
        </w:rPr>
        <w:t xml:space="preserve">.) Instead, </w:t>
      </w:r>
      <w:r w:rsidR="009825EF" w:rsidRPr="00536CE8">
        <w:rPr>
          <w:spacing w:val="-2"/>
        </w:rPr>
        <w:t>the Commission has</w:t>
      </w:r>
      <w:r w:rsidR="00AB1A33" w:rsidRPr="00536CE8">
        <w:rPr>
          <w:spacing w:val="-2"/>
        </w:rPr>
        <w:t xml:space="preserve"> focussed </w:t>
      </w:r>
      <w:r w:rsidR="00210651" w:rsidRPr="00536CE8">
        <w:rPr>
          <w:spacing w:val="-2"/>
        </w:rPr>
        <w:t xml:space="preserve">on changes that are of a longer term nature </w:t>
      </w:r>
      <w:r w:rsidR="00CF002E" w:rsidRPr="00536CE8">
        <w:rPr>
          <w:spacing w:val="-2"/>
        </w:rPr>
        <w:t xml:space="preserve">focussed on the contribution that households make to peak demand </w:t>
      </w:r>
      <w:r w:rsidR="00210651" w:rsidRPr="00536CE8">
        <w:rPr>
          <w:spacing w:val="-2"/>
        </w:rPr>
        <w:t>— gradually taking</w:t>
      </w:r>
      <w:r w:rsidR="00AB1A33" w:rsidRPr="00536CE8">
        <w:rPr>
          <w:spacing w:val="-2"/>
        </w:rPr>
        <w:t xml:space="preserve"> effect over the medium</w:t>
      </w:r>
      <w:r w:rsidR="00210651" w:rsidRPr="00536CE8">
        <w:rPr>
          <w:spacing w:val="-2"/>
        </w:rPr>
        <w:t>-</w:t>
      </w:r>
      <w:r w:rsidR="00AB1A33" w:rsidRPr="00536CE8">
        <w:rPr>
          <w:spacing w:val="-2"/>
        </w:rPr>
        <w:t xml:space="preserve"> t</w:t>
      </w:r>
      <w:r w:rsidR="00210651" w:rsidRPr="00536CE8">
        <w:rPr>
          <w:spacing w:val="-2"/>
        </w:rPr>
        <w:t>o long-</w:t>
      </w:r>
      <w:r w:rsidR="00AB1A33" w:rsidRPr="00536CE8">
        <w:rPr>
          <w:spacing w:val="-2"/>
        </w:rPr>
        <w:t>term</w:t>
      </w:r>
      <w:r w:rsidR="00210651" w:rsidRPr="00536CE8">
        <w:rPr>
          <w:spacing w:val="-2"/>
        </w:rPr>
        <w:t xml:space="preserve">. In some of these areas, there are some key differences between </w:t>
      </w:r>
      <w:r w:rsidR="009825EF" w:rsidRPr="00536CE8">
        <w:rPr>
          <w:spacing w:val="-2"/>
        </w:rPr>
        <w:t>the Commission’s</w:t>
      </w:r>
      <w:r w:rsidR="00210651" w:rsidRPr="00536CE8">
        <w:rPr>
          <w:spacing w:val="-2"/>
        </w:rPr>
        <w:t xml:space="preserve"> suggested approach and that of the AEMC. </w:t>
      </w:r>
      <w:r w:rsidR="00E53BF0" w:rsidRPr="00536CE8">
        <w:rPr>
          <w:spacing w:val="-2"/>
        </w:rPr>
        <w:t xml:space="preserve">However, as the final recommendations by the AEMC Review are not due to be released until November 2012, they will </w:t>
      </w:r>
      <w:r w:rsidR="00210651" w:rsidRPr="00536CE8">
        <w:rPr>
          <w:spacing w:val="-2"/>
        </w:rPr>
        <w:t>be addressed more specifica</w:t>
      </w:r>
      <w:r w:rsidR="00E53BF0" w:rsidRPr="00536CE8">
        <w:rPr>
          <w:spacing w:val="-2"/>
        </w:rPr>
        <w:t>lly in</w:t>
      </w:r>
      <w:r w:rsidR="009825EF" w:rsidRPr="00536CE8">
        <w:rPr>
          <w:spacing w:val="-2"/>
        </w:rPr>
        <w:t xml:space="preserve"> the Commission’s</w:t>
      </w:r>
      <w:r w:rsidR="00E53BF0" w:rsidRPr="00536CE8">
        <w:rPr>
          <w:spacing w:val="-2"/>
        </w:rPr>
        <w:t xml:space="preserve"> Final Report (April 2013).</w:t>
      </w:r>
      <w:r w:rsidR="00E53BF0">
        <w:t xml:space="preserve"> </w:t>
      </w:r>
    </w:p>
    <w:p w:rsidR="00CD5844" w:rsidRDefault="000E20B8" w:rsidP="00CD5844">
      <w:pPr>
        <w:pStyle w:val="Heading2"/>
      </w:pPr>
      <w:fldSimple w:instr=" COMMENTS  \* MERGEFORMAT ">
        <w:r w:rsidR="000852D8">
          <w:t>9.</w:t>
        </w:r>
      </w:fldSimple>
      <w:fldSimple w:instr=" SEQ Heading2 ">
        <w:r w:rsidR="000852D8">
          <w:rPr>
            <w:noProof/>
          </w:rPr>
          <w:t>3</w:t>
        </w:r>
      </w:fldSimple>
      <w:r w:rsidR="00CD5844">
        <w:tab/>
      </w:r>
      <w:r w:rsidR="00874419">
        <w:t>F</w:t>
      </w:r>
      <w:r w:rsidR="00CD5844">
        <w:t>acets of the peak demand problem</w:t>
      </w:r>
    </w:p>
    <w:p w:rsidR="0035527E" w:rsidRDefault="0035527E" w:rsidP="0035527E">
      <w:pPr>
        <w:pStyle w:val="BodyText"/>
        <w:rPr>
          <w:lang w:eastAsia="en-US"/>
        </w:rPr>
      </w:pPr>
      <w:r>
        <w:rPr>
          <w:lang w:eastAsia="en-US"/>
        </w:rPr>
        <w:t xml:space="preserve">There are several different facets to the peak demand problem. Understanding them and their causes </w:t>
      </w:r>
      <w:r w:rsidR="00B479E5">
        <w:rPr>
          <w:lang w:eastAsia="en-US"/>
        </w:rPr>
        <w:t xml:space="preserve">is critical for devising </w:t>
      </w:r>
      <w:r w:rsidR="00826002">
        <w:rPr>
          <w:lang w:eastAsia="en-US"/>
        </w:rPr>
        <w:t>efficient</w:t>
      </w:r>
      <w:r>
        <w:rPr>
          <w:lang w:eastAsia="en-US"/>
        </w:rPr>
        <w:t xml:space="preserve"> </w:t>
      </w:r>
      <w:r w:rsidR="00F36F31">
        <w:rPr>
          <w:lang w:eastAsia="en-US"/>
        </w:rPr>
        <w:t xml:space="preserve">policy </w:t>
      </w:r>
      <w:r>
        <w:rPr>
          <w:lang w:eastAsia="en-US"/>
        </w:rPr>
        <w:t>solutions.</w:t>
      </w:r>
    </w:p>
    <w:p w:rsidR="00900E61" w:rsidRDefault="00900E61" w:rsidP="007F0922">
      <w:pPr>
        <w:pStyle w:val="Heading3"/>
      </w:pPr>
      <w:r>
        <w:t>There are multiple types of peaks</w:t>
      </w:r>
    </w:p>
    <w:p w:rsidR="007F0922" w:rsidRDefault="007F0922" w:rsidP="00DC1893">
      <w:pPr>
        <w:pStyle w:val="Heading4"/>
        <w:spacing w:before="360"/>
      </w:pPr>
      <w:r>
        <w:t>Localised network peaks</w:t>
      </w:r>
    </w:p>
    <w:p w:rsidR="000477D9" w:rsidRDefault="00FC0B59" w:rsidP="00900E61">
      <w:pPr>
        <w:pStyle w:val="BodyText"/>
        <w:rPr>
          <w:lang w:eastAsia="en-US"/>
        </w:rPr>
      </w:pPr>
      <w:r>
        <w:rPr>
          <w:lang w:eastAsia="en-US"/>
        </w:rPr>
        <w:t xml:space="preserve">Congestion can occur </w:t>
      </w:r>
      <w:r w:rsidR="00200E47">
        <w:rPr>
          <w:lang w:eastAsia="en-US"/>
        </w:rPr>
        <w:t>in</w:t>
      </w:r>
      <w:r w:rsidR="008233FE">
        <w:rPr>
          <w:lang w:eastAsia="en-US"/>
        </w:rPr>
        <w:t xml:space="preserve"> </w:t>
      </w:r>
      <w:r>
        <w:rPr>
          <w:lang w:eastAsia="en-US"/>
        </w:rPr>
        <w:t xml:space="preserve">localised areas </w:t>
      </w:r>
      <w:r w:rsidR="008233FE">
        <w:rPr>
          <w:lang w:eastAsia="en-US"/>
        </w:rPr>
        <w:t xml:space="preserve">within </w:t>
      </w:r>
      <w:r>
        <w:rPr>
          <w:lang w:eastAsia="en-US"/>
        </w:rPr>
        <w:t>the distribution network</w:t>
      </w:r>
      <w:r w:rsidR="00200E47">
        <w:rPr>
          <w:lang w:eastAsia="en-US"/>
        </w:rPr>
        <w:t>. It</w:t>
      </w:r>
      <w:r>
        <w:rPr>
          <w:lang w:eastAsia="en-US"/>
        </w:rPr>
        <w:t xml:space="preserve"> </w:t>
      </w:r>
      <w:r w:rsidR="00900E61">
        <w:rPr>
          <w:lang w:eastAsia="en-US"/>
        </w:rPr>
        <w:t xml:space="preserve">typically </w:t>
      </w:r>
      <w:r w:rsidR="00D638A6">
        <w:rPr>
          <w:lang w:eastAsia="en-US"/>
        </w:rPr>
        <w:t>occur</w:t>
      </w:r>
      <w:r w:rsidR="009E5BED">
        <w:rPr>
          <w:lang w:eastAsia="en-US"/>
        </w:rPr>
        <w:t>s</w:t>
      </w:r>
      <w:r w:rsidR="00900E61">
        <w:rPr>
          <w:lang w:eastAsia="en-US"/>
        </w:rPr>
        <w:t xml:space="preserve"> in t</w:t>
      </w:r>
      <w:r w:rsidR="0002055D">
        <w:rPr>
          <w:lang w:eastAsia="en-US"/>
        </w:rPr>
        <w:t xml:space="preserve">he evening on hot </w:t>
      </w:r>
      <w:r w:rsidR="00900E61">
        <w:rPr>
          <w:lang w:eastAsia="en-US"/>
        </w:rPr>
        <w:t xml:space="preserve">summer </w:t>
      </w:r>
      <w:r w:rsidR="0002055D">
        <w:rPr>
          <w:lang w:eastAsia="en-US"/>
        </w:rPr>
        <w:t xml:space="preserve">days </w:t>
      </w:r>
      <w:r w:rsidR="00900E61">
        <w:rPr>
          <w:lang w:eastAsia="en-US"/>
        </w:rPr>
        <w:t xml:space="preserve">or in the early morning on very cold days. These peaks </w:t>
      </w:r>
      <w:r w:rsidR="00200E47">
        <w:rPr>
          <w:lang w:eastAsia="en-US"/>
        </w:rPr>
        <w:t>in demand</w:t>
      </w:r>
      <w:r w:rsidR="009E5BED">
        <w:rPr>
          <w:lang w:eastAsia="en-US"/>
        </w:rPr>
        <w:t>,</w:t>
      </w:r>
      <w:r w:rsidR="00200E47">
        <w:rPr>
          <w:lang w:eastAsia="en-US"/>
        </w:rPr>
        <w:t xml:space="preserve"> </w:t>
      </w:r>
      <w:r w:rsidR="008B4EA3">
        <w:rPr>
          <w:lang w:eastAsia="en-US"/>
        </w:rPr>
        <w:t xml:space="preserve">and the congestion </w:t>
      </w:r>
      <w:r w:rsidR="009E5BED">
        <w:rPr>
          <w:lang w:eastAsia="en-US"/>
        </w:rPr>
        <w:t xml:space="preserve">which can result, </w:t>
      </w:r>
      <w:r w:rsidR="00900E61">
        <w:rPr>
          <w:lang w:eastAsia="en-US"/>
        </w:rPr>
        <w:t>come about because of demand and supply characteristics, including</w:t>
      </w:r>
      <w:r w:rsidR="0078216B">
        <w:rPr>
          <w:lang w:eastAsia="en-US"/>
        </w:rPr>
        <w:t>:</w:t>
      </w:r>
      <w:r w:rsidR="00900E61">
        <w:rPr>
          <w:lang w:eastAsia="en-US"/>
        </w:rPr>
        <w:t xml:space="preserve"> </w:t>
      </w:r>
    </w:p>
    <w:p w:rsidR="00900E61" w:rsidRDefault="00900E61" w:rsidP="000477D9">
      <w:pPr>
        <w:pStyle w:val="ListBullet"/>
      </w:pPr>
      <w:r>
        <w:t xml:space="preserve">the </w:t>
      </w:r>
      <w:r w:rsidR="008B4EA3">
        <w:t xml:space="preserve">coincidence </w:t>
      </w:r>
      <w:r>
        <w:t>of similar end uses, such as the time most people arrive home from work and turn on their air con</w:t>
      </w:r>
      <w:r w:rsidR="0002055D">
        <w:t xml:space="preserve">ditioners, </w:t>
      </w:r>
      <w:r w:rsidR="00CB32D3">
        <w:t>or in areas of the netwo</w:t>
      </w:r>
      <w:r w:rsidR="0002055D">
        <w:t>rk with similar industrial uses</w:t>
      </w:r>
    </w:p>
    <w:p w:rsidR="000477D9" w:rsidRDefault="005679C2" w:rsidP="000477D9">
      <w:pPr>
        <w:pStyle w:val="ListBullet"/>
      </w:pPr>
      <w:r>
        <w:t>the limited</w:t>
      </w:r>
      <w:r w:rsidR="00E53BF0">
        <w:t xml:space="preserve"> </w:t>
      </w:r>
      <w:r w:rsidR="000477D9">
        <w:t xml:space="preserve">levels of spare capacity </w:t>
      </w:r>
      <w:r w:rsidR="00E53BF0">
        <w:t>in some areas of the network experiencing increasing congestion and approaching an investment ‘trigger point’ (a</w:t>
      </w:r>
      <w:r w:rsidR="000477D9">
        <w:t>nd, to a lesser extent, the configuration of the network</w:t>
      </w:r>
      <w:r w:rsidR="00DB7A61">
        <w:rPr>
          <w:rStyle w:val="FootnoteReference"/>
        </w:rPr>
        <w:footnoteReference w:id="3"/>
      </w:r>
      <w:r w:rsidR="00E53BF0">
        <w:t>)</w:t>
      </w:r>
      <w:r w:rsidR="00DB7A61">
        <w:t>.</w:t>
      </w:r>
    </w:p>
    <w:p w:rsidR="001A058C" w:rsidRDefault="00CD3B32" w:rsidP="001A058C">
      <w:pPr>
        <w:pStyle w:val="BodyText"/>
      </w:pPr>
      <w:r>
        <w:rPr>
          <w:lang w:eastAsia="en-US"/>
        </w:rPr>
        <w:t>Suc</w:t>
      </w:r>
      <w:r w:rsidR="00E53BF0">
        <w:rPr>
          <w:lang w:eastAsia="en-US"/>
        </w:rPr>
        <w:t xml:space="preserve">h peaks most commonly present at the zone substation level </w:t>
      </w:r>
      <w:r w:rsidR="00BE5070">
        <w:rPr>
          <w:lang w:eastAsia="en-US"/>
        </w:rPr>
        <w:t xml:space="preserve">of the </w:t>
      </w:r>
      <w:r>
        <w:rPr>
          <w:lang w:eastAsia="en-US"/>
        </w:rPr>
        <w:t xml:space="preserve">distribution network, </w:t>
      </w:r>
      <w:r w:rsidR="00D638A6">
        <w:rPr>
          <w:lang w:eastAsia="en-US"/>
        </w:rPr>
        <w:t>because</w:t>
      </w:r>
      <w:r w:rsidR="00BE5070">
        <w:rPr>
          <w:lang w:eastAsia="en-US"/>
        </w:rPr>
        <w:t xml:space="preserve"> </w:t>
      </w:r>
      <w:r w:rsidR="00862287">
        <w:t>users with similar demand profiles</w:t>
      </w:r>
      <w:r w:rsidR="00862287">
        <w:rPr>
          <w:lang w:eastAsia="en-US"/>
        </w:rPr>
        <w:t xml:space="preserve"> </w:t>
      </w:r>
      <w:r w:rsidR="00BE5070">
        <w:rPr>
          <w:lang w:eastAsia="en-US"/>
        </w:rPr>
        <w:t>tend to congregate</w:t>
      </w:r>
      <w:r w:rsidR="006634C7">
        <w:rPr>
          <w:lang w:eastAsia="en-US"/>
        </w:rPr>
        <w:t xml:space="preserve"> in a</w:t>
      </w:r>
      <w:r w:rsidR="005C07D1">
        <w:rPr>
          <w:lang w:eastAsia="en-US"/>
        </w:rPr>
        <w:t xml:space="preserve"> geographical</w:t>
      </w:r>
      <w:r w:rsidR="006634C7">
        <w:rPr>
          <w:lang w:eastAsia="en-US"/>
        </w:rPr>
        <w:t xml:space="preserve"> area</w:t>
      </w:r>
      <w:r w:rsidR="00BE5070">
        <w:rPr>
          <w:lang w:eastAsia="en-US"/>
        </w:rPr>
        <w:t xml:space="preserve">, often due to local planning restrictions. </w:t>
      </w:r>
      <w:r>
        <w:rPr>
          <w:lang w:eastAsia="en-US"/>
        </w:rPr>
        <w:t>(A</w:t>
      </w:r>
      <w:r>
        <w:t xml:space="preserve"> high concentration of similarly </w:t>
      </w:r>
      <w:r w:rsidR="005C07D1">
        <w:t>‘</w:t>
      </w:r>
      <w:r>
        <w:t>peaky</w:t>
      </w:r>
      <w:r w:rsidR="005C07D1">
        <w:t>’</w:t>
      </w:r>
      <w:r>
        <w:t xml:space="preserve"> users in a local network area will result in a network load profile that is far peakier than one that includes a mix of residential, business, commercial and industrial users.)</w:t>
      </w:r>
      <w:r w:rsidR="001A058C">
        <w:t xml:space="preserve"> </w:t>
      </w:r>
      <w:r w:rsidR="005C07D1">
        <w:t>Further,</w:t>
      </w:r>
      <w:r w:rsidR="00CC52BC">
        <w:t xml:space="preserve"> </w:t>
      </w:r>
      <w:r w:rsidR="005679C2">
        <w:t xml:space="preserve">according to </w:t>
      </w:r>
      <w:r w:rsidR="001A058C">
        <w:t>Oakl</w:t>
      </w:r>
      <w:r w:rsidR="00655841">
        <w:t>e</w:t>
      </w:r>
      <w:r w:rsidR="001A058C">
        <w:t>y Greenwood:</w:t>
      </w:r>
    </w:p>
    <w:p w:rsidR="003671CB" w:rsidRPr="003671CB" w:rsidRDefault="001A058C" w:rsidP="003671CB">
      <w:pPr>
        <w:pStyle w:val="Quote"/>
      </w:pPr>
      <w:r w:rsidRPr="003F0CD0">
        <w:t>Because different parts of the network serve di</w:t>
      </w:r>
      <w:r>
        <w:t xml:space="preserve">fferent sets of customers, peak </w:t>
      </w:r>
      <w:r w:rsidRPr="003F0CD0">
        <w:t>demand from the network perspective is essentially a local matt</w:t>
      </w:r>
      <w:r>
        <w:t xml:space="preserve">er and is based on the area and </w:t>
      </w:r>
      <w:r w:rsidRPr="003F0CD0">
        <w:t>specific set of customers served by that part of the network.</w:t>
      </w:r>
      <w:r>
        <w:t xml:space="preserve"> (</w:t>
      </w:r>
      <w:proofErr w:type="spellStart"/>
      <w:r>
        <w:t>2012</w:t>
      </w:r>
      <w:r w:rsidR="0014545B">
        <w:t>a</w:t>
      </w:r>
      <w:proofErr w:type="spellEnd"/>
      <w:r>
        <w:t>, p. 23</w:t>
      </w:r>
      <w:r w:rsidR="00F27B7A">
        <w:t>)</w:t>
      </w:r>
    </w:p>
    <w:p w:rsidR="007F0922" w:rsidRDefault="007F0922" w:rsidP="007F0922">
      <w:pPr>
        <w:pStyle w:val="Heading4"/>
      </w:pPr>
      <w:r>
        <w:t>Whole of system peaks</w:t>
      </w:r>
    </w:p>
    <w:p w:rsidR="005679C2" w:rsidRDefault="00FC0B59" w:rsidP="00900E61">
      <w:pPr>
        <w:pStyle w:val="BodyText"/>
        <w:rPr>
          <w:lang w:eastAsia="en-US"/>
        </w:rPr>
      </w:pPr>
      <w:r>
        <w:rPr>
          <w:lang w:eastAsia="en-US"/>
        </w:rPr>
        <w:t>As well as localised peaks, ‘w</w:t>
      </w:r>
      <w:r w:rsidR="00900E61">
        <w:rPr>
          <w:lang w:eastAsia="en-US"/>
        </w:rPr>
        <w:t>hole of system</w:t>
      </w:r>
      <w:r>
        <w:rPr>
          <w:lang w:eastAsia="en-US"/>
        </w:rPr>
        <w:t>’</w:t>
      </w:r>
      <w:r w:rsidR="00900E61">
        <w:rPr>
          <w:lang w:eastAsia="en-US"/>
        </w:rPr>
        <w:t xml:space="preserve"> energy peaks can occur </w:t>
      </w:r>
      <w:r w:rsidR="008618E3">
        <w:rPr>
          <w:lang w:eastAsia="en-US"/>
        </w:rPr>
        <w:t xml:space="preserve">if </w:t>
      </w:r>
      <w:r w:rsidR="00900E61">
        <w:rPr>
          <w:lang w:eastAsia="en-US"/>
        </w:rPr>
        <w:t xml:space="preserve">demand reaches </w:t>
      </w:r>
      <w:r w:rsidR="008B4EA3">
        <w:rPr>
          <w:lang w:eastAsia="en-US"/>
        </w:rPr>
        <w:t>very high levels</w:t>
      </w:r>
      <w:r w:rsidR="00900E61">
        <w:rPr>
          <w:lang w:eastAsia="en-US"/>
        </w:rPr>
        <w:t xml:space="preserve"> across the </w:t>
      </w:r>
      <w:proofErr w:type="spellStart"/>
      <w:r w:rsidR="00900E61">
        <w:rPr>
          <w:lang w:eastAsia="en-US"/>
        </w:rPr>
        <w:t>NEM</w:t>
      </w:r>
      <w:proofErr w:type="spellEnd"/>
      <w:r w:rsidR="00900E61">
        <w:rPr>
          <w:lang w:eastAsia="en-US"/>
        </w:rPr>
        <w:t xml:space="preserve">, or a </w:t>
      </w:r>
      <w:proofErr w:type="spellStart"/>
      <w:r w:rsidR="00900E61">
        <w:rPr>
          <w:lang w:eastAsia="en-US"/>
        </w:rPr>
        <w:t>NEM</w:t>
      </w:r>
      <w:proofErr w:type="spellEnd"/>
      <w:r w:rsidR="00900E61">
        <w:rPr>
          <w:lang w:eastAsia="en-US"/>
        </w:rPr>
        <w:t xml:space="preserve"> region</w:t>
      </w:r>
      <w:r w:rsidR="00135B27">
        <w:rPr>
          <w:lang w:eastAsia="en-US"/>
        </w:rPr>
        <w:t>.</w:t>
      </w:r>
      <w:r w:rsidR="00900E61">
        <w:rPr>
          <w:lang w:eastAsia="en-US"/>
        </w:rPr>
        <w:t xml:space="preserve"> In </w:t>
      </w:r>
      <w:r w:rsidR="008618E3">
        <w:rPr>
          <w:lang w:eastAsia="en-US"/>
        </w:rPr>
        <w:t xml:space="preserve">such </w:t>
      </w:r>
      <w:r w:rsidR="00900E61">
        <w:rPr>
          <w:lang w:eastAsia="en-US"/>
        </w:rPr>
        <w:t xml:space="preserve">instances, energy prices in the wholesale spot market </w:t>
      </w:r>
      <w:r w:rsidR="000C6E5C">
        <w:rPr>
          <w:lang w:eastAsia="en-US"/>
        </w:rPr>
        <w:t xml:space="preserve">can </w:t>
      </w:r>
      <w:r w:rsidR="00C36F5F">
        <w:rPr>
          <w:lang w:eastAsia="en-US"/>
        </w:rPr>
        <w:t>spike</w:t>
      </w:r>
      <w:r w:rsidR="00900E61">
        <w:rPr>
          <w:lang w:eastAsia="en-US"/>
        </w:rPr>
        <w:t xml:space="preserve"> and large transmission lines </w:t>
      </w:r>
      <w:r w:rsidR="00900E61">
        <w:rPr>
          <w:lang w:eastAsia="en-US"/>
        </w:rPr>
        <w:lastRenderedPageBreak/>
        <w:t xml:space="preserve">(including interconnectors) may reach capacity. </w:t>
      </w:r>
      <w:r w:rsidR="00E472FB">
        <w:rPr>
          <w:lang w:eastAsia="en-US"/>
        </w:rPr>
        <w:t>Some generation capacity only exists to d</w:t>
      </w:r>
      <w:r w:rsidR="00900E61">
        <w:rPr>
          <w:lang w:eastAsia="en-US"/>
        </w:rPr>
        <w:t xml:space="preserve">eliver electricity during wholesale market </w:t>
      </w:r>
      <w:r w:rsidR="00E472FB">
        <w:rPr>
          <w:lang w:eastAsia="en-US"/>
        </w:rPr>
        <w:t xml:space="preserve">spikes. </w:t>
      </w:r>
    </w:p>
    <w:p w:rsidR="00900E61" w:rsidRDefault="00900E61" w:rsidP="00900E61">
      <w:pPr>
        <w:pStyle w:val="BodyText"/>
        <w:rPr>
          <w:lang w:eastAsia="en-US"/>
        </w:rPr>
      </w:pPr>
      <w:r>
        <w:rPr>
          <w:lang w:eastAsia="en-US"/>
        </w:rPr>
        <w:t xml:space="preserve">Retailers must also </w:t>
      </w:r>
      <w:r w:rsidR="00480F70">
        <w:rPr>
          <w:lang w:eastAsia="en-US"/>
        </w:rPr>
        <w:t>manage the risk of high</w:t>
      </w:r>
      <w:r w:rsidR="00161A6E">
        <w:rPr>
          <w:lang w:eastAsia="en-US"/>
        </w:rPr>
        <w:t xml:space="preserve"> wholesale pool prices during</w:t>
      </w:r>
      <w:r w:rsidR="00BD3E45">
        <w:rPr>
          <w:lang w:eastAsia="en-US"/>
        </w:rPr>
        <w:t xml:space="preserve"> </w:t>
      </w:r>
      <w:r w:rsidR="00321F32">
        <w:rPr>
          <w:lang w:eastAsia="en-US"/>
        </w:rPr>
        <w:t>whole-</w:t>
      </w:r>
      <w:r w:rsidR="00BD3E45">
        <w:rPr>
          <w:lang w:eastAsia="en-US"/>
        </w:rPr>
        <w:t>of</w:t>
      </w:r>
      <w:r w:rsidR="00321F32">
        <w:rPr>
          <w:lang w:eastAsia="en-US"/>
        </w:rPr>
        <w:t>-</w:t>
      </w:r>
      <w:r w:rsidR="00BD3E45">
        <w:rPr>
          <w:lang w:eastAsia="en-US"/>
        </w:rPr>
        <w:t>system peaks</w:t>
      </w:r>
      <w:r w:rsidR="00C106B0">
        <w:rPr>
          <w:lang w:eastAsia="en-US"/>
        </w:rPr>
        <w:t>,</w:t>
      </w:r>
      <w:r w:rsidR="008618E3">
        <w:rPr>
          <w:lang w:eastAsia="en-US"/>
        </w:rPr>
        <w:t xml:space="preserve"> </w:t>
      </w:r>
      <w:r w:rsidR="00BD3E45">
        <w:rPr>
          <w:lang w:eastAsia="en-US"/>
        </w:rPr>
        <w:t xml:space="preserve">which </w:t>
      </w:r>
      <w:r w:rsidR="00E53BF0">
        <w:rPr>
          <w:lang w:eastAsia="en-US"/>
        </w:rPr>
        <w:t>they do through a variety of tools including purchasing various financial derivatives, purchasing supply contracts from generators, or owning generation assets themselves.</w:t>
      </w:r>
      <w:r w:rsidR="00480F70">
        <w:rPr>
          <w:lang w:eastAsia="en-US"/>
        </w:rPr>
        <w:t xml:space="preserve"> </w:t>
      </w:r>
      <w:r w:rsidR="00C106B0">
        <w:rPr>
          <w:lang w:eastAsia="en-US"/>
        </w:rPr>
        <w:t xml:space="preserve">Each of these approaches is supported by the existence of a ‘natural hedge’ — </w:t>
      </w:r>
      <w:r w:rsidR="009825EF">
        <w:rPr>
          <w:lang w:eastAsia="en-US"/>
        </w:rPr>
        <w:t>that is</w:t>
      </w:r>
      <w:r w:rsidR="00B53165">
        <w:rPr>
          <w:lang w:eastAsia="en-US"/>
        </w:rPr>
        <w:t>,</w:t>
      </w:r>
      <w:r w:rsidR="009825EF">
        <w:rPr>
          <w:lang w:eastAsia="en-US"/>
        </w:rPr>
        <w:t xml:space="preserve"> where price fluctuations result in </w:t>
      </w:r>
      <w:r w:rsidR="000C6E5C">
        <w:rPr>
          <w:lang w:eastAsia="en-US"/>
        </w:rPr>
        <w:t xml:space="preserve">profits </w:t>
      </w:r>
      <w:r w:rsidR="009825EF">
        <w:rPr>
          <w:lang w:eastAsia="en-US"/>
        </w:rPr>
        <w:t xml:space="preserve">to generators that are perfectly offset by </w:t>
      </w:r>
      <w:r w:rsidR="000C6E5C">
        <w:rPr>
          <w:lang w:eastAsia="en-US"/>
        </w:rPr>
        <w:t xml:space="preserve">losses </w:t>
      </w:r>
      <w:r w:rsidR="009825EF">
        <w:rPr>
          <w:lang w:eastAsia="en-US"/>
        </w:rPr>
        <w:t xml:space="preserve">to </w:t>
      </w:r>
      <w:r w:rsidR="00135B27">
        <w:rPr>
          <w:lang w:eastAsia="en-US"/>
        </w:rPr>
        <w:t>retailers</w:t>
      </w:r>
      <w:r w:rsidR="009825EF">
        <w:rPr>
          <w:lang w:eastAsia="en-US"/>
        </w:rPr>
        <w:t xml:space="preserve"> and vice-versa</w:t>
      </w:r>
      <w:r w:rsidR="00862287">
        <w:rPr>
          <w:lang w:eastAsia="en-US"/>
        </w:rPr>
        <w:t xml:space="preserve"> (appendix C)</w:t>
      </w:r>
      <w:r w:rsidR="00135B27">
        <w:rPr>
          <w:lang w:eastAsia="en-US"/>
        </w:rPr>
        <w:t>.</w:t>
      </w:r>
      <w:r w:rsidR="00C106B0">
        <w:rPr>
          <w:lang w:eastAsia="en-US"/>
        </w:rPr>
        <w:t xml:space="preserve"> Managing the risks of whole of system peaks, therefore,</w:t>
      </w:r>
      <w:r w:rsidR="00E53BF0">
        <w:rPr>
          <w:lang w:eastAsia="en-US"/>
        </w:rPr>
        <w:t xml:space="preserve"> </w:t>
      </w:r>
      <w:r w:rsidR="00BD3E45">
        <w:rPr>
          <w:lang w:eastAsia="en-US"/>
        </w:rPr>
        <w:t>adds</w:t>
      </w:r>
      <w:r>
        <w:rPr>
          <w:lang w:eastAsia="en-US"/>
        </w:rPr>
        <w:t xml:space="preserve"> </w:t>
      </w:r>
      <w:r w:rsidR="00BD3E45">
        <w:rPr>
          <w:lang w:eastAsia="en-US"/>
        </w:rPr>
        <w:t>to</w:t>
      </w:r>
      <w:r w:rsidR="008618E3">
        <w:rPr>
          <w:lang w:eastAsia="en-US"/>
        </w:rPr>
        <w:t xml:space="preserve"> </w:t>
      </w:r>
      <w:r>
        <w:rPr>
          <w:lang w:eastAsia="en-US"/>
        </w:rPr>
        <w:t>the cost of</w:t>
      </w:r>
      <w:r w:rsidR="00C106B0">
        <w:rPr>
          <w:lang w:eastAsia="en-US"/>
        </w:rPr>
        <w:t xml:space="preserve"> retailers</w:t>
      </w:r>
      <w:r>
        <w:rPr>
          <w:lang w:eastAsia="en-US"/>
        </w:rPr>
        <w:t xml:space="preserve"> </w:t>
      </w:r>
      <w:r w:rsidR="00BD3E45">
        <w:rPr>
          <w:lang w:eastAsia="en-US"/>
        </w:rPr>
        <w:t xml:space="preserve">supplying </w:t>
      </w:r>
      <w:r>
        <w:rPr>
          <w:lang w:eastAsia="en-US"/>
        </w:rPr>
        <w:t>energy</w:t>
      </w:r>
      <w:r w:rsidR="00BD3E45">
        <w:rPr>
          <w:lang w:eastAsia="en-US"/>
        </w:rPr>
        <w:t xml:space="preserve"> to their customers</w:t>
      </w:r>
      <w:r>
        <w:rPr>
          <w:lang w:eastAsia="en-US"/>
        </w:rPr>
        <w:t xml:space="preserve">. </w:t>
      </w:r>
    </w:p>
    <w:p w:rsidR="00FE0682" w:rsidRDefault="00AD5184" w:rsidP="00AD5184">
      <w:pPr>
        <w:pStyle w:val="BodyText"/>
      </w:pPr>
      <w:r>
        <w:t xml:space="preserve">Many factors can of course contribute to wholesale price spikes. These include intraregional transmission failures, interconnection capacity constraints, generation </w:t>
      </w:r>
      <w:r w:rsidR="00536CE8">
        <w:t xml:space="preserve">failures or disorderly bidding. </w:t>
      </w:r>
      <w:r>
        <w:t>However,</w:t>
      </w:r>
      <w:r w:rsidRPr="00AD5184">
        <w:t xml:space="preserve"> </w:t>
      </w:r>
      <w:r>
        <w:t xml:space="preserve">as the Australian Financial Markets Association indicated, days </w:t>
      </w:r>
      <w:r w:rsidR="003671CB">
        <w:t>with high demand are generally a pre-requ</w:t>
      </w:r>
      <w:r w:rsidR="00FE0682">
        <w:t>isite</w:t>
      </w:r>
      <w:r w:rsidR="00F22602">
        <w:t>:</w:t>
      </w:r>
      <w:r w:rsidR="007E148C">
        <w:t xml:space="preserve"> </w:t>
      </w:r>
    </w:p>
    <w:p w:rsidR="00FE0682" w:rsidRDefault="00FE0682" w:rsidP="00FE0682">
      <w:pPr>
        <w:pStyle w:val="Quote"/>
      </w:pPr>
      <w:r>
        <w:t>The few days with high maximum prices are associated with periods of high demand with only a very small number of exceptions in the 870 day sample</w:t>
      </w:r>
      <w:r w:rsidR="00BD3E45">
        <w:t xml:space="preserve"> [from January 2009 to May 2011]</w:t>
      </w:r>
      <w:r>
        <w:t xml:space="preserve">. Conversely, periods of low demand are unlikely to be associated </w:t>
      </w:r>
      <w:r w:rsidR="00CB32D3">
        <w:t xml:space="preserve">with </w:t>
      </w:r>
      <w:r>
        <w:t>prices in excess of $300/</w:t>
      </w:r>
      <w:proofErr w:type="spellStart"/>
      <w:r>
        <w:t>MWh</w:t>
      </w:r>
      <w:proofErr w:type="spellEnd"/>
      <w:r>
        <w:t>.</w:t>
      </w:r>
      <w:r w:rsidRPr="00B82341">
        <w:t xml:space="preserve"> </w:t>
      </w:r>
      <w:r>
        <w:t>(</w:t>
      </w:r>
      <w:proofErr w:type="spellStart"/>
      <w:r>
        <w:t>AFMA</w:t>
      </w:r>
      <w:proofErr w:type="spellEnd"/>
      <w:r>
        <w:t xml:space="preserve"> </w:t>
      </w:r>
      <w:proofErr w:type="spellStart"/>
      <w:r>
        <w:t>2011</w:t>
      </w:r>
      <w:r w:rsidR="00894D31">
        <w:t>a</w:t>
      </w:r>
      <w:proofErr w:type="spellEnd"/>
      <w:r>
        <w:t>, p. 3)</w:t>
      </w:r>
    </w:p>
    <w:p w:rsidR="001A058C" w:rsidRDefault="00AD5184" w:rsidP="001A058C">
      <w:pPr>
        <w:pStyle w:val="BodyText"/>
      </w:pPr>
      <w:r>
        <w:t>I</w:t>
      </w:r>
      <w:r w:rsidR="0013685E">
        <w:t xml:space="preserve">n most states in the </w:t>
      </w:r>
      <w:proofErr w:type="spellStart"/>
      <w:r w:rsidR="0013685E">
        <w:t>NEM</w:t>
      </w:r>
      <w:proofErr w:type="spellEnd"/>
      <w:r w:rsidR="0013685E">
        <w:t xml:space="preserve">, demand peaks occur most frequently during </w:t>
      </w:r>
      <w:r w:rsidR="00452A07">
        <w:t>summer (figure 9.3</w:t>
      </w:r>
      <w:r w:rsidR="000435FC">
        <w:t>)</w:t>
      </w:r>
      <w:r w:rsidR="001A058C">
        <w:t xml:space="preserve">. </w:t>
      </w:r>
      <w:r w:rsidR="007F0922">
        <w:t xml:space="preserve">The peaks are caused by the combined electricity use of industry, retail and residential consumers, but tend to </w:t>
      </w:r>
      <w:r w:rsidR="001A058C">
        <w:t xml:space="preserve">occur when large numbers of people experience very hot conditions on normal </w:t>
      </w:r>
      <w:r w:rsidR="007F0922">
        <w:t>workdays</w:t>
      </w:r>
      <w:r w:rsidR="001A058C">
        <w:t xml:space="preserve"> (</w:t>
      </w:r>
      <w:r w:rsidR="000C6E5C">
        <w:t>Ernst</w:t>
      </w:r>
      <w:r w:rsidR="001A058C">
        <w:t xml:space="preserve"> &amp; Young 2011).</w:t>
      </w:r>
    </w:p>
    <w:p w:rsidR="001A058C" w:rsidRDefault="001A058C" w:rsidP="001A058C">
      <w:pPr>
        <w:pStyle w:val="FigureTitle"/>
      </w:pPr>
      <w:r>
        <w:rPr>
          <w:b w:val="0"/>
        </w:rPr>
        <w:t xml:space="preserve">Figure </w:t>
      </w:r>
      <w:fldSimple w:instr=" COMMENTS  \* MERGEFORMAT ">
        <w:r w:rsidR="000852D8" w:rsidRPr="000852D8">
          <w:rPr>
            <w:b w:val="0"/>
          </w:rPr>
          <w:t>9.</w:t>
        </w:r>
      </w:fldSimple>
      <w:r w:rsidR="00AB004B">
        <w:rPr>
          <w:b w:val="0"/>
        </w:rPr>
        <w:fldChar w:fldCharType="begin"/>
      </w:r>
      <w:r>
        <w:rPr>
          <w:b w:val="0"/>
        </w:rPr>
        <w:instrText xml:space="preserve"> SEQ Figure \* ARABIC </w:instrText>
      </w:r>
      <w:r w:rsidR="00AB004B">
        <w:rPr>
          <w:b w:val="0"/>
        </w:rPr>
        <w:fldChar w:fldCharType="separate"/>
      </w:r>
      <w:r w:rsidR="000852D8">
        <w:rPr>
          <w:b w:val="0"/>
          <w:noProof/>
        </w:rPr>
        <w:t>3</w:t>
      </w:r>
      <w:r w:rsidR="00AB004B">
        <w:rPr>
          <w:b w:val="0"/>
        </w:rPr>
        <w:fldChar w:fldCharType="end"/>
      </w:r>
      <w:r>
        <w:tab/>
        <w:t>Seasonal timing of peak demand</w:t>
      </w:r>
    </w:p>
    <w:p w:rsidR="001A058C" w:rsidRDefault="001A058C" w:rsidP="001A058C">
      <w:pPr>
        <w:pStyle w:val="Subtitle"/>
      </w:pPr>
      <w:r>
        <w:t>Highest 100 half hour periods of energy use in each state between 1999 and 2011</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A058C" w:rsidTr="001A058C">
        <w:tc>
          <w:tcPr>
            <w:tcW w:w="8777" w:type="dxa"/>
          </w:tcPr>
          <w:p w:rsidR="001A058C" w:rsidRDefault="002C0F8D" w:rsidP="001A058C">
            <w:pPr>
              <w:pStyle w:val="Figure"/>
            </w:pPr>
            <w:r>
              <w:rPr>
                <w:noProof/>
              </w:rPr>
              <w:drawing>
                <wp:inline distT="0" distB="0" distL="0" distR="0" wp14:anchorId="61F2B5D4">
                  <wp:extent cx="4481195" cy="2011680"/>
                  <wp:effectExtent l="0" t="0" r="0" b="7620"/>
                  <wp:docPr id="6" name="Picture 6" descr="Figure 9.3 Seasonal timing of peak demand. This figure shows what the highest 100 half hour periods of energy use were between 1999 and 2011 for New South Wales, South Australia, Victoria, Queensland and Tasmania and in which seasons they occu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1195" cy="2011680"/>
                          </a:xfrm>
                          <a:prstGeom prst="rect">
                            <a:avLst/>
                          </a:prstGeom>
                          <a:noFill/>
                        </pic:spPr>
                      </pic:pic>
                    </a:graphicData>
                  </a:graphic>
                </wp:inline>
              </w:drawing>
            </w:r>
          </w:p>
        </w:tc>
      </w:tr>
    </w:tbl>
    <w:p w:rsidR="001A058C" w:rsidRDefault="001A058C" w:rsidP="001A058C">
      <w:pPr>
        <w:pStyle w:val="Source"/>
      </w:pPr>
      <w:r>
        <w:rPr>
          <w:i/>
        </w:rPr>
        <w:t>Data source</w:t>
      </w:r>
      <w:r w:rsidRPr="00167F06">
        <w:t xml:space="preserve">: </w:t>
      </w:r>
      <w:r>
        <w:t>Ernst &amp; Young 2011</w:t>
      </w:r>
    </w:p>
    <w:p w:rsidR="00135B27" w:rsidRDefault="00135B27" w:rsidP="00B53165">
      <w:pPr>
        <w:pStyle w:val="Heading4"/>
      </w:pPr>
      <w:r>
        <w:lastRenderedPageBreak/>
        <w:t>Addressing whol</w:t>
      </w:r>
      <w:r w:rsidR="0092033C">
        <w:t>e-</w:t>
      </w:r>
      <w:r>
        <w:t>o</w:t>
      </w:r>
      <w:r w:rsidR="0092033C">
        <w:t>f-</w:t>
      </w:r>
      <w:r>
        <w:t>system versus local peaks</w:t>
      </w:r>
    </w:p>
    <w:p w:rsidR="00B82341" w:rsidRDefault="00B82341" w:rsidP="00B82341">
      <w:pPr>
        <w:pStyle w:val="BodyText"/>
      </w:pPr>
      <w:r>
        <w:rPr>
          <w:lang w:eastAsia="en-US"/>
        </w:rPr>
        <w:t xml:space="preserve">Wholesale </w:t>
      </w:r>
      <w:r w:rsidR="00B50150">
        <w:rPr>
          <w:lang w:eastAsia="en-US"/>
        </w:rPr>
        <w:t xml:space="preserve">price </w:t>
      </w:r>
      <w:r>
        <w:rPr>
          <w:lang w:eastAsia="en-US"/>
        </w:rPr>
        <w:t>peaks will often coincide with local network peaks, but the two can</w:t>
      </w:r>
      <w:r w:rsidR="005A7415">
        <w:rPr>
          <w:lang w:eastAsia="en-US"/>
        </w:rPr>
        <w:t xml:space="preserve"> occur independently or may</w:t>
      </w:r>
      <w:r>
        <w:rPr>
          <w:lang w:eastAsia="en-US"/>
        </w:rPr>
        <w:t xml:space="preserve"> overlap </w:t>
      </w:r>
      <w:r w:rsidR="005A7415">
        <w:rPr>
          <w:lang w:eastAsia="en-US"/>
        </w:rPr>
        <w:t xml:space="preserve">only </w:t>
      </w:r>
      <w:r>
        <w:rPr>
          <w:lang w:eastAsia="en-US"/>
        </w:rPr>
        <w:t>to a limited extent</w:t>
      </w:r>
      <w:r>
        <w:t>:</w:t>
      </w:r>
    </w:p>
    <w:p w:rsidR="00B82341" w:rsidRPr="00281D50" w:rsidRDefault="00B82341" w:rsidP="00B82341">
      <w:pPr>
        <w:pStyle w:val="Quote"/>
        <w:rPr>
          <w:spacing w:val="-4"/>
        </w:rPr>
      </w:pPr>
      <w:r w:rsidRPr="00281D50">
        <w:rPr>
          <w:spacing w:val="-4"/>
        </w:rPr>
        <w:t>Network peaks most commonly occur in the distribution network, and will not necessarily coincide with peaks in the wholesale spot price for electricity</w:t>
      </w:r>
      <w:r w:rsidR="00A46D1F">
        <w:rPr>
          <w:spacing w:val="-4"/>
        </w:rPr>
        <w:t>.</w:t>
      </w:r>
      <w:r w:rsidRPr="00281D50">
        <w:rPr>
          <w:spacing w:val="-4"/>
        </w:rPr>
        <w:t xml:space="preserve"> (</w:t>
      </w:r>
      <w:proofErr w:type="spellStart"/>
      <w:r w:rsidR="0061234C" w:rsidRPr="00281D50">
        <w:rPr>
          <w:spacing w:val="-4"/>
        </w:rPr>
        <w:t>NESI</w:t>
      </w:r>
      <w:proofErr w:type="spellEnd"/>
      <w:r w:rsidR="0061234C" w:rsidRPr="00281D50">
        <w:rPr>
          <w:spacing w:val="-4"/>
        </w:rPr>
        <w:t xml:space="preserve"> </w:t>
      </w:r>
      <w:r w:rsidRPr="00281D50">
        <w:rPr>
          <w:spacing w:val="-4"/>
        </w:rPr>
        <w:t xml:space="preserve">2011, p. 74) </w:t>
      </w:r>
    </w:p>
    <w:p w:rsidR="00B82341" w:rsidRDefault="00B82341" w:rsidP="00B82341">
      <w:pPr>
        <w:pStyle w:val="BodyText"/>
        <w:rPr>
          <w:lang w:eastAsia="en-US"/>
        </w:rPr>
      </w:pPr>
      <w:r>
        <w:rPr>
          <w:lang w:eastAsia="en-US"/>
        </w:rPr>
        <w:t>Notwithstanding such unpredictability, it is typical that:</w:t>
      </w:r>
    </w:p>
    <w:p w:rsidR="00B82341" w:rsidRDefault="00B82341" w:rsidP="00B82341">
      <w:pPr>
        <w:pStyle w:val="ListBullet"/>
        <w:rPr>
          <w:lang w:eastAsia="en-US"/>
        </w:rPr>
      </w:pPr>
      <w:r>
        <w:rPr>
          <w:lang w:eastAsia="en-US"/>
        </w:rPr>
        <w:t xml:space="preserve">peaks in wholesale energy demand occur late in the afternoon around 4 pm and include a large proportion of business and </w:t>
      </w:r>
      <w:r w:rsidR="00BD3E45">
        <w:rPr>
          <w:lang w:eastAsia="en-US"/>
        </w:rPr>
        <w:t xml:space="preserve">major </w:t>
      </w:r>
      <w:r>
        <w:rPr>
          <w:lang w:eastAsia="en-US"/>
        </w:rPr>
        <w:t>industrial loads</w:t>
      </w:r>
    </w:p>
    <w:p w:rsidR="00B82341" w:rsidRDefault="00B82341" w:rsidP="00FF6579">
      <w:pPr>
        <w:pStyle w:val="ListBullet"/>
        <w:rPr>
          <w:lang w:eastAsia="en-US"/>
        </w:rPr>
      </w:pPr>
      <w:r>
        <w:rPr>
          <w:lang w:eastAsia="en-US"/>
        </w:rPr>
        <w:t>local network peaks will occur in the earl</w:t>
      </w:r>
      <w:r w:rsidR="00B627EC">
        <w:rPr>
          <w:lang w:eastAsia="en-US"/>
        </w:rPr>
        <w:t>y evening, usually between 6</w:t>
      </w:r>
      <w:r w:rsidR="00B627EC">
        <w:rPr>
          <w:lang w:eastAsia="en-US"/>
        </w:rPr>
        <w:noBreakHyphen/>
      </w:r>
      <w:r>
        <w:rPr>
          <w:lang w:eastAsia="en-US"/>
        </w:rPr>
        <w:t>8</w:t>
      </w:r>
      <w:r w:rsidR="00B627EC">
        <w:rPr>
          <w:lang w:eastAsia="en-US"/>
        </w:rPr>
        <w:t> </w:t>
      </w:r>
      <w:r>
        <w:rPr>
          <w:lang w:eastAsia="en-US"/>
        </w:rPr>
        <w:t xml:space="preserve">pm, and </w:t>
      </w:r>
      <w:r w:rsidR="0061234C">
        <w:rPr>
          <w:lang w:eastAsia="en-US"/>
        </w:rPr>
        <w:t xml:space="preserve">are </w:t>
      </w:r>
      <w:r>
        <w:rPr>
          <w:lang w:eastAsia="en-US"/>
        </w:rPr>
        <w:t>associated with a higher proportion of residential load.</w:t>
      </w:r>
    </w:p>
    <w:p w:rsidR="00487ADF" w:rsidRDefault="00FF6579" w:rsidP="00FF6579">
      <w:pPr>
        <w:pStyle w:val="BodyText"/>
        <w:rPr>
          <w:spacing w:val="-2"/>
        </w:rPr>
      </w:pPr>
      <w:r w:rsidRPr="001943B4">
        <w:rPr>
          <w:spacing w:val="-2"/>
        </w:rPr>
        <w:t xml:space="preserve">A demand management solution </w:t>
      </w:r>
      <w:r w:rsidR="00BD3E45" w:rsidRPr="001943B4">
        <w:rPr>
          <w:spacing w:val="-2"/>
        </w:rPr>
        <w:t>to address</w:t>
      </w:r>
      <w:r w:rsidRPr="001943B4">
        <w:rPr>
          <w:spacing w:val="-2"/>
        </w:rPr>
        <w:t xml:space="preserve"> a </w:t>
      </w:r>
      <w:r w:rsidR="00135B27" w:rsidRPr="001943B4">
        <w:rPr>
          <w:spacing w:val="-2"/>
        </w:rPr>
        <w:t xml:space="preserve">localised </w:t>
      </w:r>
      <w:r w:rsidRPr="001943B4">
        <w:rPr>
          <w:spacing w:val="-2"/>
        </w:rPr>
        <w:t xml:space="preserve">network peak will typically be designed differently from one addressing </w:t>
      </w:r>
      <w:r w:rsidR="00EC5AFD" w:rsidRPr="001943B4">
        <w:rPr>
          <w:spacing w:val="-2"/>
        </w:rPr>
        <w:t xml:space="preserve">a </w:t>
      </w:r>
      <w:r w:rsidR="0092033C" w:rsidRPr="001943B4">
        <w:rPr>
          <w:spacing w:val="-2"/>
        </w:rPr>
        <w:t>whole</w:t>
      </w:r>
      <w:r w:rsidR="0092033C">
        <w:rPr>
          <w:spacing w:val="-2"/>
        </w:rPr>
        <w:t>-</w:t>
      </w:r>
      <w:r w:rsidR="0092033C" w:rsidRPr="001943B4">
        <w:rPr>
          <w:spacing w:val="-2"/>
        </w:rPr>
        <w:t>of</w:t>
      </w:r>
      <w:r w:rsidR="0092033C">
        <w:rPr>
          <w:spacing w:val="-2"/>
        </w:rPr>
        <w:t>-</w:t>
      </w:r>
      <w:r w:rsidR="00135B27" w:rsidRPr="001943B4">
        <w:rPr>
          <w:spacing w:val="-2"/>
        </w:rPr>
        <w:t>system peak</w:t>
      </w:r>
      <w:r w:rsidR="00BD3E45" w:rsidRPr="001943B4">
        <w:rPr>
          <w:spacing w:val="-2"/>
        </w:rPr>
        <w:t xml:space="preserve"> </w:t>
      </w:r>
      <w:r w:rsidR="00135B27" w:rsidRPr="001943B4">
        <w:rPr>
          <w:spacing w:val="-2"/>
        </w:rPr>
        <w:t xml:space="preserve">that causes wholesale prices to spike </w:t>
      </w:r>
      <w:r w:rsidR="00BD3E45" w:rsidRPr="001943B4">
        <w:rPr>
          <w:spacing w:val="-2"/>
        </w:rPr>
        <w:t>(</w:t>
      </w:r>
      <w:r w:rsidRPr="001943B4">
        <w:rPr>
          <w:spacing w:val="-2"/>
        </w:rPr>
        <w:t>though a single technology platform can be used to implement s</w:t>
      </w:r>
      <w:r w:rsidR="00F90DD4" w:rsidRPr="001943B4">
        <w:rPr>
          <w:spacing w:val="-2"/>
        </w:rPr>
        <w:t>olutions addressing both peaks</w:t>
      </w:r>
      <w:r w:rsidR="005906B9" w:rsidRPr="0092033C">
        <w:rPr>
          <w:rStyle w:val="FootnoteReference"/>
          <w:spacing w:val="-2"/>
        </w:rPr>
        <w:footnoteReference w:id="4"/>
      </w:r>
      <w:r w:rsidR="00BD3E45" w:rsidRPr="0092033C">
        <w:rPr>
          <w:spacing w:val="-2"/>
        </w:rPr>
        <w:t>)</w:t>
      </w:r>
      <w:r w:rsidR="005906B9" w:rsidRPr="0092033C">
        <w:rPr>
          <w:spacing w:val="-2"/>
        </w:rPr>
        <w:t>.</w:t>
      </w:r>
      <w:r w:rsidR="00F90DD4" w:rsidRPr="0092033C">
        <w:rPr>
          <w:spacing w:val="-2"/>
        </w:rPr>
        <w:t xml:space="preserve"> </w:t>
      </w:r>
      <w:r w:rsidR="00F761E1">
        <w:rPr>
          <w:spacing w:val="-2"/>
        </w:rPr>
        <w:t>Even still, there may</w:t>
      </w:r>
      <w:r w:rsidR="003E24E2">
        <w:rPr>
          <w:spacing w:val="-2"/>
        </w:rPr>
        <w:t xml:space="preserve"> be interactions between demand management approache</w:t>
      </w:r>
      <w:r w:rsidR="00F761E1">
        <w:rPr>
          <w:spacing w:val="-2"/>
        </w:rPr>
        <w:t>s designed to impact network or</w:t>
      </w:r>
      <w:r w:rsidR="003E24E2">
        <w:rPr>
          <w:spacing w:val="-2"/>
        </w:rPr>
        <w:t xml:space="preserve"> wholesale market peaks. As recognised by the AER:</w:t>
      </w:r>
    </w:p>
    <w:p w:rsidR="003E24E2" w:rsidRPr="0092033C" w:rsidRDefault="003E24E2" w:rsidP="003E24E2">
      <w:pPr>
        <w:pStyle w:val="Quote"/>
      </w:pPr>
      <w:r>
        <w:t>…an initiative targeting reductions in network peak demand could also provide additional benefits to the wholesale market (in terms of the deferral of generation capacity). (</w:t>
      </w:r>
      <w:proofErr w:type="spellStart"/>
      <w:r>
        <w:t>AER</w:t>
      </w:r>
      <w:proofErr w:type="spellEnd"/>
      <w:r>
        <w:t xml:space="preserve"> </w:t>
      </w:r>
      <w:proofErr w:type="spellStart"/>
      <w:r>
        <w:t>2012</w:t>
      </w:r>
      <w:r w:rsidR="0014545B">
        <w:t>c</w:t>
      </w:r>
      <w:proofErr w:type="spellEnd"/>
      <w:r>
        <w:t>, p. 2)</w:t>
      </w:r>
    </w:p>
    <w:p w:rsidR="00FF6579" w:rsidRPr="00EC5AFD" w:rsidRDefault="00742255" w:rsidP="00FF6579">
      <w:pPr>
        <w:pStyle w:val="BodyText"/>
        <w:rPr>
          <w:spacing w:val="-2"/>
        </w:rPr>
      </w:pPr>
      <w:r w:rsidRPr="001943B4">
        <w:rPr>
          <w:spacing w:val="-2"/>
        </w:rPr>
        <w:t xml:space="preserve">Adapting demand management </w:t>
      </w:r>
      <w:r w:rsidR="00F90DD4" w:rsidRPr="001943B4">
        <w:rPr>
          <w:spacing w:val="-2"/>
        </w:rPr>
        <w:t xml:space="preserve">to the relevant geographic area is particularly important for managing </w:t>
      </w:r>
      <w:r w:rsidR="00EC5AFD" w:rsidRPr="001943B4">
        <w:rPr>
          <w:spacing w:val="-2"/>
        </w:rPr>
        <w:t xml:space="preserve">local </w:t>
      </w:r>
      <w:r w:rsidR="00F90DD4" w:rsidRPr="001943B4">
        <w:rPr>
          <w:spacing w:val="-2"/>
        </w:rPr>
        <w:t xml:space="preserve">network peaks, </w:t>
      </w:r>
      <w:r w:rsidRPr="001943B4">
        <w:rPr>
          <w:spacing w:val="-2"/>
        </w:rPr>
        <w:t>as a threshold reduction in peak dem</w:t>
      </w:r>
      <w:r w:rsidR="00EC5AFD" w:rsidRPr="001943B4">
        <w:rPr>
          <w:spacing w:val="-2"/>
        </w:rPr>
        <w:t>and</w:t>
      </w:r>
      <w:r w:rsidR="00EC5AFD" w:rsidRPr="00EC5AFD">
        <w:rPr>
          <w:spacing w:val="-2"/>
        </w:rPr>
        <w:t xml:space="preserve"> will be required to defer a</w:t>
      </w:r>
      <w:r w:rsidRPr="00EC5AFD">
        <w:rPr>
          <w:spacing w:val="-2"/>
        </w:rPr>
        <w:t xml:space="preserve"> capital project and </w:t>
      </w:r>
      <w:r w:rsidR="00EC5AFD" w:rsidRPr="00EC5AFD">
        <w:rPr>
          <w:spacing w:val="-2"/>
        </w:rPr>
        <w:t>the annual deferral val</w:t>
      </w:r>
      <w:r w:rsidR="00896723">
        <w:rPr>
          <w:spacing w:val="-2"/>
        </w:rPr>
        <w:t>u</w:t>
      </w:r>
      <w:r w:rsidR="00EC5AFD" w:rsidRPr="00EC5AFD">
        <w:rPr>
          <w:spacing w:val="-2"/>
        </w:rPr>
        <w:t xml:space="preserve">e </w:t>
      </w:r>
      <w:r w:rsidR="005906B9">
        <w:rPr>
          <w:spacing w:val="-2"/>
        </w:rPr>
        <w:t xml:space="preserve">— the maximum amount </w:t>
      </w:r>
      <w:r w:rsidR="00B50150">
        <w:rPr>
          <w:spacing w:val="-2"/>
        </w:rPr>
        <w:t xml:space="preserve">a network business would see which might instead </w:t>
      </w:r>
      <w:r w:rsidR="005906B9">
        <w:rPr>
          <w:spacing w:val="-2"/>
        </w:rPr>
        <w:t>be spen</w:t>
      </w:r>
      <w:r w:rsidR="00212542">
        <w:rPr>
          <w:spacing w:val="-2"/>
        </w:rPr>
        <w:t>t</w:t>
      </w:r>
      <w:r w:rsidR="005906B9">
        <w:rPr>
          <w:spacing w:val="-2"/>
        </w:rPr>
        <w:t xml:space="preserve"> on a demand management solution — </w:t>
      </w:r>
      <w:r w:rsidR="00EC5AFD" w:rsidRPr="00EC5AFD">
        <w:rPr>
          <w:spacing w:val="-2"/>
        </w:rPr>
        <w:t>varies considerably depending on inherent supply costs</w:t>
      </w:r>
      <w:r w:rsidR="00190698" w:rsidRPr="00EC5AFD">
        <w:rPr>
          <w:spacing w:val="-2"/>
        </w:rPr>
        <w:t>.</w:t>
      </w:r>
      <w:r w:rsidR="00D523E9" w:rsidRPr="00EC5AFD">
        <w:rPr>
          <w:rStyle w:val="FootnoteReference"/>
          <w:spacing w:val="-2"/>
        </w:rPr>
        <w:footnoteReference w:id="5"/>
      </w:r>
      <w:r w:rsidR="00EC5AFD" w:rsidRPr="00EC5AFD">
        <w:rPr>
          <w:spacing w:val="-2"/>
        </w:rPr>
        <w:t xml:space="preserve"> </w:t>
      </w:r>
      <w:r w:rsidRPr="00EC5AFD">
        <w:rPr>
          <w:spacing w:val="-2"/>
        </w:rPr>
        <w:t>As recognised by the AEMC:</w:t>
      </w:r>
    </w:p>
    <w:p w:rsidR="00742255" w:rsidRDefault="00742255" w:rsidP="00742255">
      <w:pPr>
        <w:pStyle w:val="Quote"/>
        <w:rPr>
          <w:spacing w:val="-4"/>
        </w:rPr>
      </w:pPr>
      <w:r w:rsidRPr="00EC5AFD">
        <w:rPr>
          <w:spacing w:val="-4"/>
        </w:rPr>
        <w:t>Regional variations in demand quantum and timing, and the regional basis of infrastructure planning decisions, mean that efforts to influence peak demand from a top down, whole of market level may need to be tailored to the local market characteristics</w:t>
      </w:r>
      <w:r w:rsidR="00A46D1F">
        <w:rPr>
          <w:spacing w:val="-4"/>
        </w:rPr>
        <w:t>.</w:t>
      </w:r>
      <w:r w:rsidRPr="00EC5AFD">
        <w:rPr>
          <w:spacing w:val="-4"/>
        </w:rPr>
        <w:t xml:space="preserve"> (</w:t>
      </w:r>
      <w:proofErr w:type="spellStart"/>
      <w:r w:rsidRPr="00EC5AFD">
        <w:rPr>
          <w:spacing w:val="-4"/>
        </w:rPr>
        <w:t>2012</w:t>
      </w:r>
      <w:r w:rsidR="0014545B">
        <w:rPr>
          <w:spacing w:val="-4"/>
        </w:rPr>
        <w:t>g</w:t>
      </w:r>
      <w:proofErr w:type="spellEnd"/>
      <w:r w:rsidRPr="00EC5AFD">
        <w:rPr>
          <w:spacing w:val="-4"/>
        </w:rPr>
        <w:t xml:space="preserve">, </w:t>
      </w:r>
      <w:proofErr w:type="spellStart"/>
      <w:r w:rsidRPr="00EC5AFD">
        <w:rPr>
          <w:spacing w:val="-4"/>
        </w:rPr>
        <w:t>p.1</w:t>
      </w:r>
      <w:proofErr w:type="spellEnd"/>
      <w:r w:rsidRPr="00EC5AFD">
        <w:rPr>
          <w:spacing w:val="-4"/>
        </w:rPr>
        <w:t>)</w:t>
      </w:r>
    </w:p>
    <w:p w:rsidR="00487ADF" w:rsidRPr="00161393" w:rsidRDefault="00487ADF" w:rsidP="00A910B2">
      <w:pPr>
        <w:pStyle w:val="BodyText"/>
      </w:pPr>
      <w:r w:rsidRPr="00161393">
        <w:t>In contrast, managing whole of system peaks is less contingent on a specific quantum of demand, with all load reduction being of some value</w:t>
      </w:r>
      <w:r w:rsidR="001943B4" w:rsidRPr="00161393">
        <w:t>.</w:t>
      </w:r>
      <w:r w:rsidR="001943B4" w:rsidRPr="00161393">
        <w:rPr>
          <w:rStyle w:val="FootnoteReference"/>
        </w:rPr>
        <w:footnoteReference w:id="6"/>
      </w:r>
    </w:p>
    <w:p w:rsidR="00FC2F33" w:rsidRDefault="00FC2F33" w:rsidP="00FC2F33">
      <w:pPr>
        <w:pStyle w:val="Heading3"/>
      </w:pPr>
      <w:r w:rsidRPr="00161393">
        <w:lastRenderedPageBreak/>
        <w:t xml:space="preserve">Peak demand </w:t>
      </w:r>
      <w:r w:rsidR="00B72125" w:rsidRPr="00161393">
        <w:t>is growing and becoming more ‘peaky’</w:t>
      </w:r>
      <w:r>
        <w:t xml:space="preserve"> </w:t>
      </w:r>
    </w:p>
    <w:p w:rsidR="00982451" w:rsidRDefault="00CD6657" w:rsidP="00FC2F33">
      <w:pPr>
        <w:pStyle w:val="BodyText"/>
        <w:rPr>
          <w:spacing w:val="-6"/>
        </w:rPr>
      </w:pPr>
      <w:r w:rsidRPr="009B28AC">
        <w:rPr>
          <w:spacing w:val="-6"/>
        </w:rPr>
        <w:t>While</w:t>
      </w:r>
      <w:r w:rsidR="00134609" w:rsidRPr="009B28AC">
        <w:rPr>
          <w:spacing w:val="-6"/>
        </w:rPr>
        <w:t xml:space="preserve"> </w:t>
      </w:r>
      <w:r w:rsidRPr="009B28AC">
        <w:rPr>
          <w:spacing w:val="-6"/>
        </w:rPr>
        <w:t>determinants of peak and average demand</w:t>
      </w:r>
      <w:r w:rsidR="003851B7">
        <w:rPr>
          <w:spacing w:val="-6"/>
        </w:rPr>
        <w:t xml:space="preserve"> overlap (box 9.2</w:t>
      </w:r>
      <w:r w:rsidR="006335ED">
        <w:rPr>
          <w:spacing w:val="-6"/>
        </w:rPr>
        <w:t>), since 2007–</w:t>
      </w:r>
      <w:r w:rsidRPr="009B28AC">
        <w:rPr>
          <w:spacing w:val="-6"/>
        </w:rPr>
        <w:t xml:space="preserve">08 average demand has </w:t>
      </w:r>
      <w:r w:rsidR="00134609" w:rsidRPr="009B28AC">
        <w:rPr>
          <w:spacing w:val="-6"/>
        </w:rPr>
        <w:t xml:space="preserve">been flat or falling in the </w:t>
      </w:r>
      <w:proofErr w:type="spellStart"/>
      <w:r w:rsidR="00134609" w:rsidRPr="009B28AC">
        <w:rPr>
          <w:spacing w:val="-6"/>
        </w:rPr>
        <w:t>NEM</w:t>
      </w:r>
      <w:proofErr w:type="spellEnd"/>
      <w:r w:rsidRPr="009B28AC">
        <w:rPr>
          <w:spacing w:val="-6"/>
        </w:rPr>
        <w:t xml:space="preserve"> but peak loads have been trending upwards</w:t>
      </w:r>
      <w:r w:rsidR="00296DBF" w:rsidRPr="009B28AC">
        <w:rPr>
          <w:spacing w:val="-6"/>
        </w:rPr>
        <w:t xml:space="preserve"> </w:t>
      </w:r>
      <w:r w:rsidR="008F1AAD">
        <w:rPr>
          <w:spacing w:val="-6"/>
        </w:rPr>
        <w:t xml:space="preserve">over the longer term </w:t>
      </w:r>
      <w:r w:rsidR="00296DBF" w:rsidRPr="009B28AC">
        <w:rPr>
          <w:spacing w:val="-6"/>
        </w:rPr>
        <w:t>(figure</w:t>
      </w:r>
      <w:r w:rsidR="00FC4AD9">
        <w:rPr>
          <w:spacing w:val="-6"/>
        </w:rPr>
        <w:t> </w:t>
      </w:r>
      <w:r w:rsidR="00982451" w:rsidRPr="009B28AC">
        <w:rPr>
          <w:spacing w:val="-6"/>
        </w:rPr>
        <w:t>9.4</w:t>
      </w:r>
      <w:r w:rsidR="00296DBF" w:rsidRPr="009B28AC">
        <w:rPr>
          <w:spacing w:val="-6"/>
        </w:rPr>
        <w:t>)</w:t>
      </w:r>
      <w:r w:rsidR="000F5A58" w:rsidRPr="009B28AC">
        <w:rPr>
          <w:spacing w:val="-6"/>
        </w:rPr>
        <w:t>.</w:t>
      </w:r>
      <w:r w:rsidR="00B72125" w:rsidRPr="009B28AC">
        <w:rPr>
          <w:spacing w:val="-6"/>
        </w:rPr>
        <w:t xml:space="preserve"> Thus, the gap between peak and average demand is widening (albeit with some exceptions, generally </w:t>
      </w:r>
      <w:r w:rsidR="00212542" w:rsidRPr="009B28AC">
        <w:rPr>
          <w:spacing w:val="-6"/>
        </w:rPr>
        <w:t xml:space="preserve">observed </w:t>
      </w:r>
      <w:r w:rsidR="00B72125" w:rsidRPr="009B28AC">
        <w:rPr>
          <w:spacing w:val="-6"/>
        </w:rPr>
        <w:t>during a run of milder seasons).</w:t>
      </w:r>
    </w:p>
    <w:p w:rsidR="00EC5AFD" w:rsidRPr="00F817AE" w:rsidRDefault="00EC5AFD" w:rsidP="00EC5AFD">
      <w:pPr>
        <w:pStyle w:val="FigureTitle"/>
      </w:pPr>
      <w:r w:rsidRPr="00F817AE">
        <w:rPr>
          <w:b w:val="0"/>
        </w:rPr>
        <w:t xml:space="preserve">Figure </w:t>
      </w:r>
      <w:bookmarkStart w:id="3" w:name="OLE_LINK11"/>
      <w:r w:rsidR="00AB004B" w:rsidRPr="00F817AE">
        <w:rPr>
          <w:b w:val="0"/>
        </w:rPr>
        <w:fldChar w:fldCharType="begin"/>
      </w:r>
      <w:r w:rsidRPr="00F817AE">
        <w:rPr>
          <w:b w:val="0"/>
        </w:rPr>
        <w:instrText xml:space="preserve"> COMMENTS  \* MERGEFORMAT </w:instrText>
      </w:r>
      <w:r w:rsidR="00AB004B" w:rsidRPr="00F817AE">
        <w:rPr>
          <w:b w:val="0"/>
        </w:rPr>
        <w:fldChar w:fldCharType="separate"/>
      </w:r>
      <w:r w:rsidR="000852D8">
        <w:rPr>
          <w:b w:val="0"/>
        </w:rPr>
        <w:t>9.</w:t>
      </w:r>
      <w:r w:rsidR="00AB004B" w:rsidRPr="00F817AE">
        <w:rPr>
          <w:b w:val="0"/>
        </w:rPr>
        <w:fldChar w:fldCharType="end"/>
      </w:r>
      <w:r w:rsidR="00AB004B" w:rsidRPr="00F817AE">
        <w:rPr>
          <w:b w:val="0"/>
        </w:rPr>
        <w:fldChar w:fldCharType="begin"/>
      </w:r>
      <w:r w:rsidRPr="00F817AE">
        <w:rPr>
          <w:b w:val="0"/>
        </w:rPr>
        <w:instrText xml:space="preserve"> SEQ Figure \* ARABIC </w:instrText>
      </w:r>
      <w:r w:rsidR="00AB004B" w:rsidRPr="00F817AE">
        <w:rPr>
          <w:b w:val="0"/>
        </w:rPr>
        <w:fldChar w:fldCharType="separate"/>
      </w:r>
      <w:r w:rsidR="000852D8">
        <w:rPr>
          <w:b w:val="0"/>
          <w:noProof/>
        </w:rPr>
        <w:t>4</w:t>
      </w:r>
      <w:r w:rsidR="00AB004B" w:rsidRPr="00F817AE">
        <w:rPr>
          <w:b w:val="0"/>
        </w:rPr>
        <w:fldChar w:fldCharType="end"/>
      </w:r>
      <w:bookmarkEnd w:id="3"/>
      <w:r w:rsidRPr="00F817AE">
        <w:tab/>
        <w:t>Rising peak demand</w:t>
      </w:r>
      <w:r w:rsidR="00B22AE3">
        <w:t xml:space="preserve"> and its increasing ‘peakiness’</w:t>
      </w:r>
    </w:p>
    <w:tbl>
      <w:tblPr>
        <w:tblW w:w="8807" w:type="dxa"/>
        <w:tblInd w:w="119" w:type="dxa"/>
        <w:tblBorders>
          <w:top w:val="single" w:sz="6" w:space="0" w:color="auto"/>
          <w:bottom w:val="single" w:sz="6" w:space="0" w:color="auto"/>
        </w:tblBorders>
        <w:tblLayout w:type="fixed"/>
        <w:tblLook w:val="0000" w:firstRow="0" w:lastRow="0" w:firstColumn="0" w:lastColumn="0" w:noHBand="0" w:noVBand="0"/>
      </w:tblPr>
      <w:tblGrid>
        <w:gridCol w:w="8807"/>
      </w:tblGrid>
      <w:tr w:rsidR="008F1AAD" w:rsidTr="008F1AAD">
        <w:tc>
          <w:tcPr>
            <w:tcW w:w="8807" w:type="dxa"/>
          </w:tcPr>
          <w:p w:rsidR="008F1AAD" w:rsidRDefault="00155B61" w:rsidP="008F1AAD">
            <w:pPr>
              <w:pStyle w:val="Figure"/>
            </w:pPr>
            <w:r>
              <w:rPr>
                <w:noProof/>
              </w:rPr>
              <w:drawing>
                <wp:inline distT="0" distB="0" distL="0" distR="0" wp14:anchorId="01EFAB8E">
                  <wp:extent cx="4572635" cy="2341245"/>
                  <wp:effectExtent l="0" t="0" r="0" b="1905"/>
                  <wp:docPr id="10" name="Picture 10" descr="Figure 9.4 Rising peak demand and its increasing ‘peakiness’. This chart compares the system peak load between 1988 89 and 2010 11 for New South Wales, Victoria, Queensland, South Australia and Tasma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635" cy="2341245"/>
                          </a:xfrm>
                          <a:prstGeom prst="rect">
                            <a:avLst/>
                          </a:prstGeom>
                          <a:noFill/>
                        </pic:spPr>
                      </pic:pic>
                    </a:graphicData>
                  </a:graphic>
                </wp:inline>
              </w:drawing>
            </w:r>
          </w:p>
        </w:tc>
      </w:tr>
      <w:tr w:rsidR="008F1AAD" w:rsidTr="008F1AAD">
        <w:tc>
          <w:tcPr>
            <w:tcW w:w="8807" w:type="dxa"/>
          </w:tcPr>
          <w:p w:rsidR="008F1AAD" w:rsidRDefault="00155B61" w:rsidP="008F1AAD">
            <w:pPr>
              <w:pStyle w:val="Figure"/>
              <w:rPr>
                <w:noProof/>
              </w:rPr>
            </w:pPr>
            <w:r>
              <w:rPr>
                <w:noProof/>
              </w:rPr>
              <w:drawing>
                <wp:inline distT="0" distB="0" distL="0" distR="0" wp14:anchorId="6DBBFD7B">
                  <wp:extent cx="4572635" cy="2164080"/>
                  <wp:effectExtent l="0" t="0" r="0" b="7620"/>
                  <wp:docPr id="17" name="Picture 17" descr="Rising peak demand and its increasing ‘peakiness’. This chart shows the NEM-wide ratio of peak to average load between 1988-89 and 20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635" cy="2164080"/>
                          </a:xfrm>
                          <a:prstGeom prst="rect">
                            <a:avLst/>
                          </a:prstGeom>
                          <a:noFill/>
                        </pic:spPr>
                      </pic:pic>
                    </a:graphicData>
                  </a:graphic>
                </wp:inline>
              </w:drawing>
            </w:r>
          </w:p>
        </w:tc>
      </w:tr>
    </w:tbl>
    <w:p w:rsidR="00B22AE3" w:rsidRDefault="00B22AE3" w:rsidP="00B22AE3">
      <w:pPr>
        <w:pStyle w:val="Source"/>
      </w:pPr>
      <w:r>
        <w:rPr>
          <w:i/>
        </w:rPr>
        <w:t>Data sources</w:t>
      </w:r>
      <w:r w:rsidRPr="00167F06">
        <w:t xml:space="preserve">: </w:t>
      </w:r>
      <w:proofErr w:type="spellStart"/>
      <w:r>
        <w:t>ESAA</w:t>
      </w:r>
      <w:proofErr w:type="spellEnd"/>
      <w:r>
        <w:t xml:space="preserve"> reports various years</w:t>
      </w:r>
      <w:r w:rsidR="0042188D">
        <w:t>.</w:t>
      </w:r>
    </w:p>
    <w:p w:rsidR="00626438" w:rsidRPr="00DC1893" w:rsidRDefault="00626438" w:rsidP="00626438">
      <w:pPr>
        <w:pStyle w:val="BodyText"/>
        <w:rPr>
          <w:spacing w:val="-4"/>
        </w:rPr>
      </w:pPr>
      <w:r w:rsidRPr="00DC1893">
        <w:rPr>
          <w:spacing w:val="-4"/>
        </w:rPr>
        <w:t xml:space="preserve">It should be noted that year-to-year variation and short-term shifts in prevailing weather conditions can create ‘noise’ around longer-term trends in peak demand growth. This can complicate the forecasting of peak demand and planning of network augmentation projects to accommodate expectations of growth. Seasonally adjusted estimates attempt to correct for weather driven variation in peak demand in </w:t>
      </w:r>
      <w:proofErr w:type="spellStart"/>
      <w:r w:rsidRPr="00DC1893">
        <w:rPr>
          <w:spacing w:val="-4"/>
        </w:rPr>
        <w:t>NEM</w:t>
      </w:r>
      <w:proofErr w:type="spellEnd"/>
      <w:r w:rsidRPr="00DC1893">
        <w:rPr>
          <w:spacing w:val="-4"/>
        </w:rPr>
        <w:t xml:space="preserve"> regions. </w:t>
      </w:r>
    </w:p>
    <w:p w:rsidR="00626438" w:rsidRPr="008F1AAD" w:rsidRDefault="00626438" w:rsidP="00626438">
      <w:pPr>
        <w:pStyle w:val="BodyText"/>
      </w:pPr>
      <w:r>
        <w:lastRenderedPageBreak/>
        <w:t xml:space="preserve">While long term forecasts of peak demand generally assume continued long-term growth, most regions of the </w:t>
      </w:r>
      <w:proofErr w:type="spellStart"/>
      <w:r>
        <w:t>NEM</w:t>
      </w:r>
      <w:proofErr w:type="spellEnd"/>
      <w:r>
        <w:t xml:space="preserve"> have experienced relatively mild summers in recent years, which have resulted in a lower rate of peak demand growth compared to earlier years (box 9.1). In the absence of policy changes</w:t>
      </w:r>
      <w:r w:rsidRPr="005356DF">
        <w:t xml:space="preserve"> </w:t>
      </w:r>
      <w:r>
        <w:t xml:space="preserve">(or structural shifts from technology and appliance changes) affecting the underlying determinants of peak demand, a greater number of future peak events is expected (on average) than has occurred over the last two years. </w:t>
      </w:r>
    </w:p>
    <w:p w:rsidR="00DC1893" w:rsidRPr="00DC1893" w:rsidRDefault="00DC1893" w:rsidP="00DC1893">
      <w:pPr>
        <w:pStyle w:val="BodyText"/>
      </w:pPr>
      <w:r w:rsidRPr="00DC1893">
        <w:t xml:space="preserve">Because investment in additional capacity is generally forward-looking and ‘lumpy’ (driven by economies of scope and scale, with an expectation of continued growth in demand) the utilisation of network assets typically falls following such investment. In addition, the fall in network utilisation following investment has been compounded by the much flatter (or even falling) growth in average consumption across the </w:t>
      </w:r>
      <w:proofErr w:type="spellStart"/>
      <w:r w:rsidRPr="00DC1893">
        <w:t>NEM</w:t>
      </w:r>
      <w:proofErr w:type="spellEnd"/>
      <w:r w:rsidRPr="00DC1893">
        <w:t>. Accordingly, the utilisation of network assets has declined in most states (chapter 6), and therefore has contributed to the decline in measured multifactor productivity (figure 9.5).</w:t>
      </w:r>
    </w:p>
    <w:p w:rsidR="009B28AC" w:rsidRDefault="009B28AC" w:rsidP="009B28AC">
      <w:pPr>
        <w:pStyle w:val="FigureTitle"/>
      </w:pPr>
      <w:r>
        <w:rPr>
          <w:b w:val="0"/>
        </w:rPr>
        <w:t xml:space="preserve">Figure </w:t>
      </w:r>
      <w:fldSimple w:instr=" COMMENTS  \* MERGEFORMAT ">
        <w:r w:rsidR="000852D8" w:rsidRPr="000852D8">
          <w:rPr>
            <w:b w:val="0"/>
          </w:rPr>
          <w:t>9.</w:t>
        </w:r>
      </w:fldSimple>
      <w:r>
        <w:rPr>
          <w:b w:val="0"/>
        </w:rPr>
        <w:fldChar w:fldCharType="begin"/>
      </w:r>
      <w:r>
        <w:rPr>
          <w:b w:val="0"/>
        </w:rPr>
        <w:instrText xml:space="preserve"> SEQ Figure \* ARABIC </w:instrText>
      </w:r>
      <w:r>
        <w:rPr>
          <w:b w:val="0"/>
        </w:rPr>
        <w:fldChar w:fldCharType="separate"/>
      </w:r>
      <w:r w:rsidR="000852D8">
        <w:rPr>
          <w:b w:val="0"/>
          <w:noProof/>
        </w:rPr>
        <w:t>5</w:t>
      </w:r>
      <w:r>
        <w:rPr>
          <w:b w:val="0"/>
        </w:rPr>
        <w:fldChar w:fldCharType="end"/>
      </w:r>
      <w:r>
        <w:tab/>
        <w:t>Peak demand growth reduces productivity</w:t>
      </w:r>
    </w:p>
    <w:p w:rsidR="009B28AC" w:rsidRDefault="009B28AC" w:rsidP="009B28AC">
      <w:pPr>
        <w:pStyle w:val="Subtitle"/>
      </w:pPr>
      <w:r>
        <w:t>Multifactor productivity index</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17"/>
      </w:tblGrid>
      <w:tr w:rsidR="009B28AC" w:rsidTr="00DC1893">
        <w:trPr>
          <w:trHeight w:val="3846"/>
        </w:trPr>
        <w:tc>
          <w:tcPr>
            <w:tcW w:w="8717" w:type="dxa"/>
          </w:tcPr>
          <w:p w:rsidR="009B28AC" w:rsidRDefault="00171772" w:rsidP="009B28AC">
            <w:pPr>
              <w:pStyle w:val="Figure"/>
            </w:pPr>
            <w:r>
              <w:rPr>
                <w:noProof/>
              </w:rPr>
              <w:drawing>
                <wp:inline distT="0" distB="0" distL="0" distR="0" wp14:anchorId="0174B07F">
                  <wp:extent cx="4615180" cy="2322830"/>
                  <wp:effectExtent l="0" t="0" r="0" b="0"/>
                  <wp:docPr id="18" name="Picture 18" descr="Peak demand growth reduces productivity. This figure shows the multifactor productivity index between 1974-75 and 2009-10 and the index without peak demand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5180" cy="2322830"/>
                          </a:xfrm>
                          <a:prstGeom prst="rect">
                            <a:avLst/>
                          </a:prstGeom>
                          <a:noFill/>
                        </pic:spPr>
                      </pic:pic>
                    </a:graphicData>
                  </a:graphic>
                </wp:inline>
              </w:drawing>
            </w:r>
          </w:p>
        </w:tc>
      </w:tr>
    </w:tbl>
    <w:p w:rsidR="009B28AC" w:rsidRDefault="009B28AC" w:rsidP="009B28AC">
      <w:pPr>
        <w:pStyle w:val="Source"/>
      </w:pPr>
      <w:r>
        <w:rPr>
          <w:i/>
        </w:rPr>
        <w:t>Data source</w:t>
      </w:r>
      <w:r w:rsidRPr="00167F06">
        <w:t xml:space="preserve">: </w:t>
      </w:r>
      <w:r>
        <w:t>Topp and Kulys 2012</w:t>
      </w:r>
    </w:p>
    <w:p w:rsidR="00DC1893" w:rsidRPr="00DC1893" w:rsidRDefault="00DC1893" w:rsidP="00DC1893">
      <w:pPr>
        <w:pStyle w:val="BodyText"/>
      </w:pPr>
      <w:r>
        <w:t>The peakiness of demand (that is, the ratio of average to peak demand) significantly affects the cost of supplying electricity. Although the pattern of electricity use across households varies widely, household consumption is generally much ‘peakier’ than business, large commercial and industrial uses. As an indication of the long term gains attainable from improving the load factor</w:t>
      </w:r>
      <w:r w:rsidR="00B627EC">
        <w:t>,</w:t>
      </w:r>
      <w:r>
        <w:rPr>
          <w:rStyle w:val="FootnoteReference"/>
        </w:rPr>
        <w:footnoteReference w:id="7"/>
      </w:r>
      <w:r>
        <w:t xml:space="preserve"> it is </w:t>
      </w:r>
      <w:r w:rsidR="0042188D">
        <w:t>estimated that moving from a 38 per cent to a 50 per </w:t>
      </w:r>
      <w:r>
        <w:t xml:space="preserve">cent load factor would reduce an average </w:t>
      </w:r>
      <w:r>
        <w:lastRenderedPageBreak/>
        <w:t xml:space="preserve">electricity bill in 2015 by $32 per MW. This is equivalent to about $1.6 billion per annum across the </w:t>
      </w:r>
      <w:proofErr w:type="spellStart"/>
      <w:r>
        <w:t>N</w:t>
      </w:r>
      <w:r w:rsidR="00532815">
        <w:t>EM</w:t>
      </w:r>
      <w:proofErr w:type="spellEnd"/>
      <w:r w:rsidR="00532815">
        <w:t xml:space="preserve"> (</w:t>
      </w:r>
      <w:proofErr w:type="spellStart"/>
      <w:r w:rsidR="00532815">
        <w:t>Simshauser</w:t>
      </w:r>
      <w:proofErr w:type="spellEnd"/>
      <w:r w:rsidR="00532815">
        <w:t xml:space="preserve"> 2012</w:t>
      </w:r>
      <w:r>
        <w:t>)</w:t>
      </w:r>
      <w:r w:rsidR="00532815">
        <w:t>.</w:t>
      </w:r>
    </w:p>
    <w:p w:rsidR="00E36760" w:rsidRDefault="00E36760" w:rsidP="00E3676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36760" w:rsidTr="00D70BB4">
        <w:tc>
          <w:tcPr>
            <w:tcW w:w="8771" w:type="dxa"/>
            <w:tcBorders>
              <w:top w:val="single" w:sz="6" w:space="0" w:color="auto"/>
              <w:bottom w:val="nil"/>
            </w:tcBorders>
          </w:tcPr>
          <w:p w:rsidR="00E36760" w:rsidRPr="00BF48BD" w:rsidRDefault="00E36760" w:rsidP="00D70BB4">
            <w:pPr>
              <w:pStyle w:val="BoxTitle"/>
            </w:pPr>
            <w:r>
              <w:rPr>
                <w:b w:val="0"/>
              </w:rPr>
              <w:t xml:space="preserve">Box </w:t>
            </w:r>
            <w:fldSimple w:instr=" COMMENTS  \* MERGEFORMAT ">
              <w:r w:rsidR="000852D8" w:rsidRPr="000852D8">
                <w:rPr>
                  <w:b w:val="0"/>
                </w:rPr>
                <w:t>9.</w:t>
              </w:r>
            </w:fldSimple>
            <w:r>
              <w:rPr>
                <w:b w:val="0"/>
              </w:rPr>
              <w:fldChar w:fldCharType="begin"/>
            </w:r>
            <w:r>
              <w:rPr>
                <w:b w:val="0"/>
              </w:rPr>
              <w:instrText xml:space="preserve"> SEQ Box \* ARABIC </w:instrText>
            </w:r>
            <w:r>
              <w:rPr>
                <w:b w:val="0"/>
              </w:rPr>
              <w:fldChar w:fldCharType="separate"/>
            </w:r>
            <w:r w:rsidR="000852D8">
              <w:rPr>
                <w:b w:val="0"/>
                <w:noProof/>
              </w:rPr>
              <w:t>1</w:t>
            </w:r>
            <w:r>
              <w:rPr>
                <w:b w:val="0"/>
              </w:rPr>
              <w:fldChar w:fldCharType="end"/>
            </w:r>
            <w:r>
              <w:tab/>
              <w:t>The cyclical impact of climate muddies the long term trend</w:t>
            </w:r>
          </w:p>
        </w:tc>
      </w:tr>
      <w:tr w:rsidR="00E36760" w:rsidTr="00D70BB4">
        <w:trPr>
          <w:cantSplit/>
        </w:trPr>
        <w:tc>
          <w:tcPr>
            <w:tcW w:w="8771" w:type="dxa"/>
            <w:tcBorders>
              <w:top w:val="nil"/>
              <w:left w:val="single" w:sz="6" w:space="0" w:color="auto"/>
              <w:bottom w:val="nil"/>
              <w:right w:val="single" w:sz="6" w:space="0" w:color="auto"/>
            </w:tcBorders>
          </w:tcPr>
          <w:p w:rsidR="00AB3E22" w:rsidRDefault="00E36760" w:rsidP="00D70BB4">
            <w:pPr>
              <w:pStyle w:val="Box"/>
            </w:pPr>
            <w:r w:rsidRPr="00BF48BD">
              <w:t>Peak electricity demand in Australia is most commonly experienced on very hot days.</w:t>
            </w:r>
            <w:r w:rsidR="00B552B3">
              <w:t xml:space="preserve"> In the last two years, there was a decline in</w:t>
            </w:r>
            <w:r w:rsidR="003616EB">
              <w:t xml:space="preserve"> the frequency of very hot days.</w:t>
            </w:r>
            <w:r w:rsidR="00B552B3">
              <w:t xml:space="preserve"> </w:t>
            </w:r>
            <w:r w:rsidR="008F1007">
              <w:t>A</w:t>
            </w:r>
            <w:r w:rsidR="003616EB">
              <w:t xml:space="preserve"> recent publication</w:t>
            </w:r>
            <w:r w:rsidR="00B552B3">
              <w:t xml:space="preserve"> by climate scientists can</w:t>
            </w:r>
            <w:r w:rsidR="0042188D">
              <w:t xml:space="preserve"> provide some longer term contex</w:t>
            </w:r>
            <w:r w:rsidR="00B552B3">
              <w:t>t to these recent weather events.</w:t>
            </w:r>
            <w:r w:rsidRPr="00BF48BD">
              <w:t xml:space="preserve"> </w:t>
            </w:r>
            <w:r w:rsidR="00B552B3">
              <w:t xml:space="preserve">In the most recent state of the climate report, the CSIRO and the Bureau of Meteorology (2012) </w:t>
            </w:r>
            <w:r w:rsidR="008F1007">
              <w:t>said</w:t>
            </w:r>
            <w:r w:rsidR="003616EB">
              <w:t>:</w:t>
            </w:r>
          </w:p>
          <w:p w:rsidR="00C05C42" w:rsidRPr="00B552B3" w:rsidRDefault="00C05C42" w:rsidP="00536CE8">
            <w:pPr>
              <w:pStyle w:val="BoxQuote"/>
              <w:rPr>
                <w:rFonts w:eastAsia="CorpidC1-Light"/>
              </w:rPr>
            </w:pPr>
            <w:r w:rsidRPr="00B552B3">
              <w:rPr>
                <w:rFonts w:eastAsia="CorpidC1-Light"/>
              </w:rPr>
              <w:t xml:space="preserve">Australian annual-average daily mean temperatures showed little change from 1910 to 1950 but have progressively </w:t>
            </w:r>
            <w:r w:rsidR="0042188D">
              <w:rPr>
                <w:rFonts w:eastAsia="CorpidC1-Light"/>
              </w:rPr>
              <w:t xml:space="preserve">warmed since, increasing by </w:t>
            </w:r>
            <w:proofErr w:type="spellStart"/>
            <w:r w:rsidR="0042188D">
              <w:rPr>
                <w:rFonts w:eastAsia="CorpidC1-Light"/>
              </w:rPr>
              <w:t>0.9</w:t>
            </w:r>
            <w:r w:rsidRPr="00B552B3">
              <w:rPr>
                <w:rFonts w:eastAsia="CorpidC1-Light"/>
              </w:rPr>
              <w:t>°C</w:t>
            </w:r>
            <w:proofErr w:type="spellEnd"/>
            <w:r w:rsidRPr="00B552B3">
              <w:rPr>
                <w:rFonts w:eastAsia="CorpidC1-Light"/>
              </w:rPr>
              <w:t xml:space="preserve"> from </w:t>
            </w:r>
            <w:r w:rsidR="00B552B3" w:rsidRPr="00B552B3">
              <w:rPr>
                <w:rFonts w:eastAsia="CorpidC1-Light"/>
              </w:rPr>
              <w:t>1910 to 2011</w:t>
            </w:r>
            <w:r w:rsidR="00B552B3">
              <w:rPr>
                <w:rFonts w:eastAsia="CorpidC1-Light"/>
              </w:rPr>
              <w:t xml:space="preserve"> …</w:t>
            </w:r>
          </w:p>
          <w:p w:rsidR="00AB3E22" w:rsidRPr="00B552B3" w:rsidRDefault="00AB3E22" w:rsidP="00536CE8">
            <w:pPr>
              <w:pStyle w:val="BoxQuote"/>
            </w:pPr>
            <w:r w:rsidRPr="00B552B3">
              <w:rPr>
                <w:rFonts w:eastAsia="CorpidC1-Light"/>
              </w:rPr>
              <w:t>The warming trend has occurred against a backdrop of natural, year-to-year climate variability. Most notably, El</w:t>
            </w:r>
            <w:r w:rsidR="00C05C42" w:rsidRPr="0058333A">
              <w:rPr>
                <w:rFonts w:eastAsia="CorpidC1-Light"/>
              </w:rPr>
              <w:t xml:space="preserve"> </w:t>
            </w:r>
            <w:r w:rsidRPr="00D06FE1">
              <w:rPr>
                <w:rFonts w:eastAsia="CorpidC1-Light"/>
              </w:rPr>
              <w:t>Nino and La Nina events during the past</w:t>
            </w:r>
            <w:r w:rsidRPr="006429A3">
              <w:rPr>
                <w:rFonts w:eastAsia="CorpidC1-Light"/>
              </w:rPr>
              <w:t xml:space="preserve"> </w:t>
            </w:r>
            <w:r w:rsidRPr="00065FA8">
              <w:rPr>
                <w:rFonts w:eastAsia="CorpidC1-Light"/>
              </w:rPr>
              <w:t>century have continued to produce the</w:t>
            </w:r>
            <w:r w:rsidRPr="00642C08">
              <w:rPr>
                <w:rFonts w:eastAsia="CorpidC1-Light"/>
              </w:rPr>
              <w:t xml:space="preserve"> </w:t>
            </w:r>
            <w:r w:rsidRPr="00C71532">
              <w:rPr>
                <w:rFonts w:eastAsia="CorpidC1-Light"/>
              </w:rPr>
              <w:t>hot droughts and cooler wet periods</w:t>
            </w:r>
            <w:r w:rsidRPr="004458E6">
              <w:rPr>
                <w:rFonts w:eastAsia="CorpidC1-Light"/>
              </w:rPr>
              <w:t xml:space="preserve"> for which Australia is well known.</w:t>
            </w:r>
            <w:r w:rsidR="00C05C42" w:rsidRPr="00536CE8">
              <w:rPr>
                <w:rFonts w:eastAsia="CorpidC1-Light"/>
              </w:rPr>
              <w:t xml:space="preserve"> 2010 and 2011, for example, were the coolest years recorded since 2001 due to two consecutive La Nina events.</w:t>
            </w:r>
            <w:r w:rsidR="00B552B3">
              <w:rPr>
                <w:rFonts w:eastAsia="CorpidC1-Light"/>
              </w:rPr>
              <w:t xml:space="preserve"> (p. 3)</w:t>
            </w:r>
          </w:p>
          <w:p w:rsidR="00E36760" w:rsidRPr="00BF48BD" w:rsidRDefault="00E36760" w:rsidP="00D70BB4">
            <w:pPr>
              <w:pStyle w:val="Box"/>
            </w:pPr>
            <w:r w:rsidRPr="00BF48BD">
              <w:t>In the eight years prior to those La Niña events, the average number of days where the maximum temperature exceeded 40 degrees</w:t>
            </w:r>
            <w:r w:rsidR="00075B21">
              <w:t xml:space="preserve"> C</w:t>
            </w:r>
            <w:r w:rsidR="00B045D0">
              <w:t>elsius</w:t>
            </w:r>
            <w:r w:rsidRPr="00BF48BD">
              <w:t xml:space="preserve"> (averaged across reporting weather stations throughout Australia) exceeded 14, compared to less than 11 days in 2010 and less tha</w:t>
            </w:r>
            <w:r>
              <w:t>n 7 days in 2011.</w:t>
            </w:r>
          </w:p>
          <w:p w:rsidR="00E36760" w:rsidRDefault="00E36760" w:rsidP="00D70BB4">
            <w:pPr>
              <w:pStyle w:val="FigureTitle"/>
            </w:pPr>
            <w:r>
              <w:t>Australia’s seasonal climate is inherently variable</w:t>
            </w:r>
          </w:p>
          <w:p w:rsidR="00E36760" w:rsidRDefault="00E36760" w:rsidP="00D70BB4">
            <w:pPr>
              <w:pStyle w:val="Subtitle"/>
              <w:spacing w:before="120"/>
              <w:ind w:left="0"/>
            </w:pPr>
            <w:r>
              <w:t xml:space="preserve">Average number of days over </w:t>
            </w:r>
            <w:proofErr w:type="spellStart"/>
            <w:r>
              <w:t>40</w:t>
            </w:r>
            <w:r w:rsidRPr="00697E97">
              <w:rPr>
                <w:rFonts w:ascii="Calibri" w:hAnsi="Calibri" w:cs="Calibri"/>
                <w:sz w:val="32"/>
              </w:rPr>
              <w:t>°</w:t>
            </w:r>
            <w:r w:rsidR="00075B21" w:rsidRPr="007F7989">
              <w:rPr>
                <w:rFonts w:ascii="Calibri" w:hAnsi="Calibri" w:cs="Calibri"/>
                <w:sz w:val="24"/>
                <w:szCs w:val="24"/>
              </w:rPr>
              <w:t>C</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36760" w:rsidTr="00D70BB4">
              <w:tc>
                <w:tcPr>
                  <w:tcW w:w="8777" w:type="dxa"/>
                  <w:tcBorders>
                    <w:top w:val="nil"/>
                    <w:bottom w:val="nil"/>
                  </w:tcBorders>
                </w:tcPr>
                <w:p w:rsidR="00E36760" w:rsidRDefault="00171772" w:rsidP="00D70BB4">
                  <w:pPr>
                    <w:pStyle w:val="Figure"/>
                    <w:jc w:val="left"/>
                  </w:pPr>
                  <w:r>
                    <w:rPr>
                      <w:noProof/>
                    </w:rPr>
                    <w:drawing>
                      <wp:inline distT="0" distB="0" distL="0" distR="0" wp14:anchorId="482EA9F5">
                        <wp:extent cx="4657725" cy="2042160"/>
                        <wp:effectExtent l="0" t="0" r="9525" b="0"/>
                        <wp:docPr id="19" name="Picture 19" descr="Australia’s seasonal climate is inherently variable. This figure shows the average number of days where the maximum temperature exceeded 40 degrees Celsius between 1998 and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57725" cy="2042160"/>
                                </a:xfrm>
                                <a:prstGeom prst="rect">
                                  <a:avLst/>
                                </a:prstGeom>
                                <a:noFill/>
                              </pic:spPr>
                            </pic:pic>
                          </a:graphicData>
                        </a:graphic>
                      </wp:inline>
                    </w:drawing>
                  </w:r>
                </w:p>
              </w:tc>
            </w:tr>
          </w:tbl>
          <w:p w:rsidR="00E36760" w:rsidRDefault="00E36760" w:rsidP="0018399D">
            <w:pPr>
              <w:pStyle w:val="Box"/>
            </w:pPr>
            <w:r>
              <w:t>The recent decline in the number of very hot days is not evidence of an end to the long run warming trend (BOM 2012). Instead, it follows similar patterns to most other La Niña events (such as that in</w:t>
            </w:r>
            <w:r w:rsidR="00B552B3">
              <w:t xml:space="preserve"> </w:t>
            </w:r>
            <w:r>
              <w:t xml:space="preserve">1999 and 2000), highlighting the substantial impact that climate variation has on weather events in different years. As such, the frequency of very hot days is </w:t>
            </w:r>
            <w:r w:rsidR="00B552B3">
              <w:t>projected to increase in the future</w:t>
            </w:r>
            <w:r>
              <w:t xml:space="preserve">. </w:t>
            </w:r>
          </w:p>
        </w:tc>
      </w:tr>
      <w:tr w:rsidR="00E36760" w:rsidTr="00D70BB4">
        <w:trPr>
          <w:cantSplit/>
        </w:trPr>
        <w:tc>
          <w:tcPr>
            <w:tcW w:w="8771" w:type="dxa"/>
            <w:tcBorders>
              <w:top w:val="nil"/>
              <w:left w:val="single" w:sz="6" w:space="0" w:color="auto"/>
              <w:bottom w:val="nil"/>
              <w:right w:val="single" w:sz="6" w:space="0" w:color="auto"/>
            </w:tcBorders>
          </w:tcPr>
          <w:p w:rsidR="00E36760" w:rsidRPr="00DC1893" w:rsidRDefault="00E36760" w:rsidP="0018399D">
            <w:pPr>
              <w:pStyle w:val="BoxSource"/>
              <w:rPr>
                <w:spacing w:val="-4"/>
              </w:rPr>
            </w:pPr>
            <w:r w:rsidRPr="00DC1893">
              <w:rPr>
                <w:i/>
                <w:spacing w:val="-4"/>
              </w:rPr>
              <w:t>Source(s)</w:t>
            </w:r>
            <w:r w:rsidRPr="00DC1893">
              <w:rPr>
                <w:spacing w:val="-4"/>
              </w:rPr>
              <w:t xml:space="preserve">: </w:t>
            </w:r>
            <w:r w:rsidR="00DC1893">
              <w:rPr>
                <w:spacing w:val="-4"/>
              </w:rPr>
              <w:t xml:space="preserve">BOM </w:t>
            </w:r>
            <w:r w:rsidRPr="00DC1893">
              <w:rPr>
                <w:spacing w:val="-4"/>
              </w:rPr>
              <w:t>2012</w:t>
            </w:r>
            <w:r w:rsidR="008F1007" w:rsidRPr="00DC1893">
              <w:rPr>
                <w:spacing w:val="-4"/>
              </w:rPr>
              <w:t>; CSIRO and BOM 2012</w:t>
            </w:r>
          </w:p>
        </w:tc>
      </w:tr>
      <w:tr w:rsidR="00E36760" w:rsidTr="00D70BB4">
        <w:trPr>
          <w:cantSplit/>
        </w:trPr>
        <w:tc>
          <w:tcPr>
            <w:tcW w:w="8771" w:type="dxa"/>
            <w:tcBorders>
              <w:top w:val="nil"/>
              <w:left w:val="single" w:sz="6" w:space="0" w:color="auto"/>
              <w:bottom w:val="single" w:sz="6" w:space="0" w:color="auto"/>
              <w:right w:val="single" w:sz="6" w:space="0" w:color="auto"/>
            </w:tcBorders>
          </w:tcPr>
          <w:p w:rsidR="00E36760" w:rsidRDefault="00E36760" w:rsidP="00D70BB4">
            <w:pPr>
              <w:pStyle w:val="Box"/>
              <w:spacing w:before="0" w:line="120" w:lineRule="exact"/>
            </w:pPr>
          </w:p>
        </w:tc>
      </w:tr>
      <w:tr w:rsidR="00E36760" w:rsidRPr="000863A5" w:rsidTr="00D70BB4">
        <w:tc>
          <w:tcPr>
            <w:tcW w:w="8771" w:type="dxa"/>
            <w:tcBorders>
              <w:top w:val="nil"/>
              <w:left w:val="nil"/>
              <w:bottom w:val="nil"/>
              <w:right w:val="nil"/>
            </w:tcBorders>
          </w:tcPr>
          <w:p w:rsidR="00E36760" w:rsidRPr="000863A5" w:rsidRDefault="00E36760" w:rsidP="00D70BB4">
            <w:pPr>
              <w:pStyle w:val="Box"/>
              <w:keepNext w:val="0"/>
              <w:spacing w:before="60" w:after="60" w:line="80" w:lineRule="exact"/>
              <w:rPr>
                <w:b/>
                <w:sz w:val="14"/>
              </w:rPr>
            </w:pPr>
          </w:p>
        </w:tc>
      </w:tr>
    </w:tbl>
    <w:p w:rsidR="00D523E9" w:rsidRDefault="00281D50" w:rsidP="00D523E9">
      <w:pPr>
        <w:pStyle w:val="Heading3"/>
      </w:pPr>
      <w:r>
        <w:lastRenderedPageBreak/>
        <w:t xml:space="preserve">Household </w:t>
      </w:r>
      <w:r w:rsidR="009C2F68">
        <w:t>usage</w:t>
      </w:r>
      <w:r>
        <w:t xml:space="preserve"> is a major contributor to </w:t>
      </w:r>
      <w:r w:rsidR="00B548B7">
        <w:t>peak demand</w:t>
      </w:r>
    </w:p>
    <w:p w:rsidR="00A33E2E" w:rsidRDefault="00EC5AFD" w:rsidP="00A33E2E">
      <w:pPr>
        <w:pStyle w:val="BodyText"/>
      </w:pPr>
      <w:r>
        <w:t>Household consumption accounts for less than one-third of total electricity use but has important implications for peak demand, with some estimates showing it may account for more than two-thirds o</w:t>
      </w:r>
      <w:r w:rsidR="00B80310">
        <w:t>f peak loads (</w:t>
      </w:r>
      <w:proofErr w:type="spellStart"/>
      <w:r w:rsidR="00B80310">
        <w:t>NERA</w:t>
      </w:r>
      <w:proofErr w:type="spellEnd"/>
      <w:r w:rsidR="00B80310">
        <w:t xml:space="preserve"> </w:t>
      </w:r>
      <w:proofErr w:type="spellStart"/>
      <w:r w:rsidR="00B80310">
        <w:t>2008</w:t>
      </w:r>
      <w:r w:rsidR="00C66F6D">
        <w:t>a</w:t>
      </w:r>
      <w:proofErr w:type="spellEnd"/>
      <w:r w:rsidR="00B80310">
        <w:t>). Of course, the contribution to peak load at a given network asset may be much higher or lower than this</w:t>
      </w:r>
      <w:r w:rsidR="008D3FCB">
        <w:t>,</w:t>
      </w:r>
      <w:r w:rsidR="00A33E2E">
        <w:t xml:space="preserve"> depending on </w:t>
      </w:r>
      <w:r w:rsidR="00B80310">
        <w:t xml:space="preserve">the proportion of household </w:t>
      </w:r>
      <w:r>
        <w:t xml:space="preserve">users </w:t>
      </w:r>
      <w:r w:rsidR="00A33E2E">
        <w:t xml:space="preserve">within localised areas of the network </w:t>
      </w:r>
      <w:r w:rsidR="00B80310">
        <w:t>(compared to commercial and industrial users)</w:t>
      </w:r>
      <w:r w:rsidR="009B28AC">
        <w:t>. For example:</w:t>
      </w:r>
      <w:r w:rsidR="00A33E2E">
        <w:t xml:space="preserve"> </w:t>
      </w:r>
    </w:p>
    <w:p w:rsidR="00A33E2E" w:rsidRDefault="00A33E2E" w:rsidP="00A33E2E">
      <w:pPr>
        <w:pStyle w:val="ListBullet"/>
      </w:pPr>
      <w:r>
        <w:t>the Commission has been told that</w:t>
      </w:r>
      <w:r w:rsidR="008D3FCB">
        <w:t>,</w:t>
      </w:r>
      <w:r>
        <w:t xml:space="preserve"> </w:t>
      </w:r>
      <w:r w:rsidR="008F1007">
        <w:t xml:space="preserve">for </w:t>
      </w:r>
      <w:r>
        <w:t>some zone substations,</w:t>
      </w:r>
      <w:r w:rsidR="009B28AC">
        <w:t xml:space="preserve"> 80 </w:t>
      </w:r>
      <w:r>
        <w:t xml:space="preserve">per cent or more </w:t>
      </w:r>
      <w:r w:rsidR="008F1007">
        <w:t xml:space="preserve">of the </w:t>
      </w:r>
      <w:r>
        <w:t>customers will be residential</w:t>
      </w:r>
    </w:p>
    <w:p w:rsidR="00B80310" w:rsidRPr="00AE695B" w:rsidRDefault="00A33E2E" w:rsidP="00EC5AFD">
      <w:pPr>
        <w:pStyle w:val="ListBullet"/>
        <w:rPr>
          <w:spacing w:val="-6"/>
        </w:rPr>
      </w:pPr>
      <w:r w:rsidRPr="00AE695B">
        <w:rPr>
          <w:spacing w:val="-6"/>
        </w:rPr>
        <w:t>even if the share of residential load to other uses is 50:50</w:t>
      </w:r>
      <w:r w:rsidR="00610CA1" w:rsidRPr="00AE695B">
        <w:rPr>
          <w:spacing w:val="-6"/>
        </w:rPr>
        <w:t xml:space="preserve"> at other substations</w:t>
      </w:r>
      <w:r w:rsidRPr="00AE695B">
        <w:rPr>
          <w:spacing w:val="-6"/>
        </w:rPr>
        <w:t>, during peak times</w:t>
      </w:r>
      <w:r w:rsidR="009D1017" w:rsidRPr="00AE695B">
        <w:rPr>
          <w:spacing w:val="-6"/>
        </w:rPr>
        <w:t>,</w:t>
      </w:r>
      <w:r w:rsidRPr="00AE695B">
        <w:rPr>
          <w:spacing w:val="-6"/>
        </w:rPr>
        <w:t xml:space="preserve"> residential load will generally </w:t>
      </w:r>
      <w:r w:rsidR="00E36760" w:rsidRPr="00AE695B">
        <w:rPr>
          <w:spacing w:val="-6"/>
        </w:rPr>
        <w:t>m</w:t>
      </w:r>
      <w:r w:rsidRPr="00AE695B">
        <w:rPr>
          <w:spacing w:val="-6"/>
        </w:rPr>
        <w:t>ake up a higher proportion of the load.</w:t>
      </w:r>
    </w:p>
    <w:p w:rsidR="00EC5AFD" w:rsidRDefault="00EC5AFD" w:rsidP="00EC5AFD">
      <w:pPr>
        <w:pStyle w:val="BodyText"/>
      </w:pPr>
      <w:r>
        <w:t xml:space="preserve">When residential demand peaks, the load on the network will typically be about double that experienced on an average </w:t>
      </w:r>
      <w:r w:rsidR="00B80310">
        <w:t>day around th</w:t>
      </w:r>
      <w:r w:rsidR="00B548B7">
        <w:t>e same</w:t>
      </w:r>
      <w:r w:rsidR="00DC1893">
        <w:t xml:space="preserve"> time (figure 9.6</w:t>
      </w:r>
      <w:r>
        <w:t xml:space="preserve">). </w:t>
      </w:r>
    </w:p>
    <w:p w:rsidR="0042188D" w:rsidRDefault="0042188D" w:rsidP="0042188D">
      <w:pPr>
        <w:pStyle w:val="FigureTitle"/>
      </w:pPr>
      <w:r>
        <w:rPr>
          <w:b w:val="0"/>
        </w:rPr>
        <w:t xml:space="preserve">Figure </w:t>
      </w:r>
      <w:fldSimple w:instr=" COMMENTS  \* MERGEFORMAT ">
        <w:r w:rsidRPr="000852D8">
          <w:rPr>
            <w:b w:val="0"/>
          </w:rPr>
          <w:t>9.</w:t>
        </w:r>
      </w:fldSimple>
      <w:r>
        <w:rPr>
          <w:b w:val="0"/>
        </w:rPr>
        <w:fldChar w:fldCharType="begin"/>
      </w:r>
      <w:r>
        <w:rPr>
          <w:b w:val="0"/>
        </w:rPr>
        <w:instrText xml:space="preserve"> SEQ Figure \* ARABIC </w:instrText>
      </w:r>
      <w:r>
        <w:rPr>
          <w:b w:val="0"/>
        </w:rPr>
        <w:fldChar w:fldCharType="separate"/>
      </w:r>
      <w:r>
        <w:rPr>
          <w:b w:val="0"/>
          <w:noProof/>
        </w:rPr>
        <w:t>6</w:t>
      </w:r>
      <w:r>
        <w:rPr>
          <w:b w:val="0"/>
        </w:rPr>
        <w:fldChar w:fldCharType="end"/>
      </w:r>
      <w:r>
        <w:tab/>
        <w:t>Household peak loads are very peaky</w:t>
      </w:r>
    </w:p>
    <w:p w:rsidR="0042188D" w:rsidRDefault="0042188D" w:rsidP="0042188D">
      <w:pPr>
        <w:pStyle w:val="Subtitle"/>
      </w:pPr>
      <w:r>
        <w:t>Household electricity demand (kW), by time of day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2188D" w:rsidTr="0042188D">
        <w:trPr>
          <w:trHeight w:val="3086"/>
        </w:trPr>
        <w:tc>
          <w:tcPr>
            <w:tcW w:w="8777" w:type="dxa"/>
          </w:tcPr>
          <w:p w:rsidR="0042188D" w:rsidRDefault="00171772" w:rsidP="0042188D">
            <w:pPr>
              <w:pStyle w:val="Figure"/>
            </w:pPr>
            <w:r>
              <w:rPr>
                <w:noProof/>
              </w:rPr>
              <w:drawing>
                <wp:inline distT="0" distB="0" distL="0" distR="0" wp14:anchorId="5E9E48B1">
                  <wp:extent cx="4468495" cy="1859280"/>
                  <wp:effectExtent l="0" t="0" r="8255" b="7620"/>
                  <wp:docPr id="20" name="Picture 20" descr="Household peak loads are very peaky. This figure shows annual average daily load and maximum household electricity demand over a 24 hour peri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8495" cy="1859280"/>
                          </a:xfrm>
                          <a:prstGeom prst="rect">
                            <a:avLst/>
                          </a:prstGeom>
                          <a:noFill/>
                        </pic:spPr>
                      </pic:pic>
                    </a:graphicData>
                  </a:graphic>
                </wp:inline>
              </w:drawing>
            </w:r>
          </w:p>
        </w:tc>
      </w:tr>
    </w:tbl>
    <w:p w:rsidR="0042188D" w:rsidRDefault="0042188D" w:rsidP="0042188D">
      <w:pPr>
        <w:pStyle w:val="Note"/>
      </w:pPr>
      <w:r>
        <w:rPr>
          <w:rStyle w:val="NoteLabel"/>
        </w:rPr>
        <w:t>a</w:t>
      </w:r>
      <w:r>
        <w:t xml:space="preserve"> Based on interval meter data from 3000 Sydney households in the financial year 2010.</w:t>
      </w:r>
    </w:p>
    <w:p w:rsidR="0042188D" w:rsidRDefault="0042188D" w:rsidP="0042188D">
      <w:pPr>
        <w:pStyle w:val="Source"/>
      </w:pPr>
      <w:r>
        <w:rPr>
          <w:i/>
        </w:rPr>
        <w:t>Data source</w:t>
      </w:r>
      <w:r w:rsidRPr="00167F06">
        <w:t xml:space="preserve">: </w:t>
      </w:r>
      <w:proofErr w:type="spellStart"/>
      <w:r>
        <w:t>AGL</w:t>
      </w:r>
      <w:proofErr w:type="spellEnd"/>
      <w:r>
        <w:t xml:space="preserve"> 2012, Presentation to </w:t>
      </w:r>
      <w:proofErr w:type="spellStart"/>
      <w:r>
        <w:t>AEMC</w:t>
      </w:r>
      <w:proofErr w:type="spellEnd"/>
      <w:r>
        <w:t xml:space="preserve"> </w:t>
      </w:r>
      <w:proofErr w:type="spellStart"/>
      <w:r>
        <w:t>PoC</w:t>
      </w:r>
      <w:proofErr w:type="spellEnd"/>
      <w:r>
        <w:t xml:space="preserve"> Review, Sydney April. </w:t>
      </w:r>
    </w:p>
    <w:p w:rsidR="00DD1B93" w:rsidRDefault="00DD1B93" w:rsidP="00DD1B93">
      <w:pPr>
        <w:pStyle w:val="BodyText"/>
      </w:pPr>
      <w:r>
        <w:t>Factors that affect household electricity use during peak periods may include consumers’ income</w:t>
      </w:r>
      <w:r>
        <w:rPr>
          <w:rStyle w:val="FootnoteReference"/>
        </w:rPr>
        <w:footnoteReference w:id="8"/>
      </w:r>
      <w:r>
        <w:t>, the types of electrical appliances they own and the pattern of use, lifestyle fac</w:t>
      </w:r>
      <w:r w:rsidR="003851B7">
        <w:t>tors and weather events</w:t>
      </w:r>
      <w:r>
        <w:t xml:space="preserve">. These factors also change over time, such as from the increasing penetration of solar panels and a range of government-initiated energy efficiency programs (although each of these factors has primarily affected average demand, with a lesser effect on peak consumption). </w:t>
      </w:r>
    </w:p>
    <w:p w:rsidR="0022349D" w:rsidRDefault="0022349D" w:rsidP="0022349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2349D" w:rsidTr="00281D50">
        <w:tc>
          <w:tcPr>
            <w:tcW w:w="8771" w:type="dxa"/>
            <w:tcBorders>
              <w:top w:val="single" w:sz="6" w:space="0" w:color="auto"/>
              <w:bottom w:val="nil"/>
            </w:tcBorders>
          </w:tcPr>
          <w:p w:rsidR="0022349D" w:rsidRDefault="0022349D" w:rsidP="00B201F0">
            <w:pPr>
              <w:pStyle w:val="BoxTitle"/>
            </w:pPr>
            <w:r>
              <w:rPr>
                <w:b w:val="0"/>
              </w:rPr>
              <w:t xml:space="preserve">Box </w:t>
            </w:r>
            <w:fldSimple w:instr=" COMMENTS  \* MERGEFORMAT ">
              <w:r w:rsidR="000852D8" w:rsidRPr="000852D8">
                <w:rPr>
                  <w:b w:val="0"/>
                </w:rPr>
                <w:t>9.</w:t>
              </w:r>
            </w:fldSimple>
            <w:r w:rsidR="00AB004B">
              <w:rPr>
                <w:b w:val="0"/>
              </w:rPr>
              <w:fldChar w:fldCharType="begin"/>
            </w:r>
            <w:r>
              <w:rPr>
                <w:b w:val="0"/>
              </w:rPr>
              <w:instrText xml:space="preserve"> SEQ Box \* ARABIC </w:instrText>
            </w:r>
            <w:r w:rsidR="00AB004B">
              <w:rPr>
                <w:b w:val="0"/>
              </w:rPr>
              <w:fldChar w:fldCharType="separate"/>
            </w:r>
            <w:r w:rsidR="000852D8">
              <w:rPr>
                <w:b w:val="0"/>
                <w:noProof/>
              </w:rPr>
              <w:t>2</w:t>
            </w:r>
            <w:r w:rsidR="00AB004B">
              <w:rPr>
                <w:b w:val="0"/>
              </w:rPr>
              <w:fldChar w:fldCharType="end"/>
            </w:r>
            <w:r>
              <w:tab/>
              <w:t>Determinants and forecasts of demand</w:t>
            </w:r>
          </w:p>
        </w:tc>
      </w:tr>
      <w:tr w:rsidR="0022349D" w:rsidTr="00281D50">
        <w:trPr>
          <w:cantSplit/>
        </w:trPr>
        <w:tc>
          <w:tcPr>
            <w:tcW w:w="8771" w:type="dxa"/>
            <w:tcBorders>
              <w:top w:val="nil"/>
              <w:left w:val="single" w:sz="6" w:space="0" w:color="auto"/>
              <w:bottom w:val="single" w:sz="4" w:space="0" w:color="auto"/>
              <w:right w:val="single" w:sz="6" w:space="0" w:color="auto"/>
            </w:tcBorders>
          </w:tcPr>
          <w:p w:rsidR="0022349D" w:rsidRDefault="0022349D" w:rsidP="0022349D">
            <w:pPr>
              <w:pStyle w:val="Box"/>
            </w:pPr>
            <w:r>
              <w:t>The growth of peak (</w:t>
            </w:r>
            <w:r w:rsidR="00D2523F">
              <w:t>maximum) electricity demand</w:t>
            </w:r>
            <w:r>
              <w:t xml:space="preserve"> reflect</w:t>
            </w:r>
            <w:r w:rsidR="00D2523F">
              <w:t>s</w:t>
            </w:r>
            <w:r>
              <w:t xml:space="preserve"> prices and a variety of economic, policy and structural determinants. </w:t>
            </w:r>
            <w:r w:rsidR="00D2523F">
              <w:t xml:space="preserve">Apart from </w:t>
            </w:r>
            <w:r w:rsidR="008D3FCB">
              <w:t xml:space="preserve">electricity </w:t>
            </w:r>
            <w:r w:rsidR="00D2523F">
              <w:t>p</w:t>
            </w:r>
            <w:r w:rsidR="00F6747C">
              <w:t>ric</w:t>
            </w:r>
            <w:r w:rsidR="0005449C">
              <w:t xml:space="preserve">ing levels and </w:t>
            </w:r>
            <w:r w:rsidR="008D3FCB">
              <w:t>structures</w:t>
            </w:r>
            <w:r w:rsidR="00F6747C">
              <w:t>,</w:t>
            </w:r>
            <w:r w:rsidR="00D2523F">
              <w:t xml:space="preserve"> relevant factors underlying growth rates include</w:t>
            </w:r>
            <w:r>
              <w:t>:</w:t>
            </w:r>
          </w:p>
          <w:p w:rsidR="00CB32D3" w:rsidRDefault="00397CA3" w:rsidP="0022349D">
            <w:pPr>
              <w:pStyle w:val="BoxListBullet"/>
            </w:pPr>
            <w:r>
              <w:t xml:space="preserve">economic prosperity and </w:t>
            </w:r>
            <w:r w:rsidR="00E93648">
              <w:t xml:space="preserve">both </w:t>
            </w:r>
            <w:r w:rsidR="0022349D">
              <w:t xml:space="preserve">the penetration of </w:t>
            </w:r>
            <w:r w:rsidR="00F6747C">
              <w:t xml:space="preserve">household air conditioning </w:t>
            </w:r>
            <w:r w:rsidR="00CB32D3">
              <w:t>to address seasonal temperature variability</w:t>
            </w:r>
            <w:r w:rsidR="00E93648">
              <w:t>,</w:t>
            </w:r>
            <w:r w:rsidR="00B226B0">
              <w:t xml:space="preserve"> and the </w:t>
            </w:r>
            <w:r w:rsidR="003B5669">
              <w:t xml:space="preserve">size and </w:t>
            </w:r>
            <w:r w:rsidR="00B226B0">
              <w:t>design of houses (especially the trend to two story houses with no eaves)</w:t>
            </w:r>
            <w:r w:rsidR="00CB32D3">
              <w:t xml:space="preserve"> </w:t>
            </w:r>
          </w:p>
          <w:p w:rsidR="0022349D" w:rsidRDefault="00CB32D3" w:rsidP="0022349D">
            <w:pPr>
              <w:pStyle w:val="BoxListBullet"/>
            </w:pPr>
            <w:r>
              <w:t xml:space="preserve">the penetration of </w:t>
            </w:r>
            <w:r w:rsidR="0022349D">
              <w:t>r</w:t>
            </w:r>
            <w:r w:rsidR="00F6747C">
              <w:t>ooftop photovoltaic systems</w:t>
            </w:r>
            <w:r w:rsidR="00003BE4">
              <w:t>, which can reduce electricity drawn from the network and centralised generation sources</w:t>
            </w:r>
          </w:p>
          <w:p w:rsidR="0022349D" w:rsidRDefault="0022349D" w:rsidP="0022349D">
            <w:pPr>
              <w:pStyle w:val="BoxListBullet"/>
            </w:pPr>
            <w:r>
              <w:t xml:space="preserve">broader economic conditions, both domestically and internationally, and population </w:t>
            </w:r>
            <w:r w:rsidR="00F6747C">
              <w:t>growth driving new connections</w:t>
            </w:r>
          </w:p>
          <w:p w:rsidR="0022349D" w:rsidRDefault="0022349D" w:rsidP="0022349D">
            <w:pPr>
              <w:pStyle w:val="BoxListBullet"/>
            </w:pPr>
            <w:r>
              <w:t>the outlook for large industrial uses and specific sectors, such as mining and manufacturing</w:t>
            </w:r>
          </w:p>
          <w:p w:rsidR="0022349D" w:rsidRDefault="0022349D" w:rsidP="0022349D">
            <w:pPr>
              <w:pStyle w:val="BoxListBullet"/>
            </w:pPr>
            <w:r>
              <w:t>policy settings, including energy efficiency initiatives</w:t>
            </w:r>
            <w:r w:rsidR="00F6747C">
              <w:t>.</w:t>
            </w:r>
          </w:p>
          <w:p w:rsidR="00F6747C" w:rsidRDefault="00F6747C" w:rsidP="0022349D">
            <w:pPr>
              <w:pStyle w:val="Box"/>
            </w:pPr>
            <w:r>
              <w:t>Although peak and average demand have many of the above determinants in common, their rates of growth will not always move in tandem</w:t>
            </w:r>
            <w:r w:rsidR="00D2523F">
              <w:t xml:space="preserve"> or at the same rate</w:t>
            </w:r>
            <w:r>
              <w:t xml:space="preserve">. </w:t>
            </w:r>
          </w:p>
          <w:p w:rsidR="00F6747C" w:rsidRDefault="0022349D" w:rsidP="00F6747C">
            <w:pPr>
              <w:pStyle w:val="Box"/>
            </w:pPr>
            <w:r w:rsidRPr="00F15C01">
              <w:t>Growth in peak (maximum) demand is forecast to be lower than in previous years, but is projected to continue to grow in the longer term (</w:t>
            </w:r>
            <w:proofErr w:type="spellStart"/>
            <w:r w:rsidRPr="00F15C01">
              <w:t>AEMO</w:t>
            </w:r>
            <w:proofErr w:type="spellEnd"/>
            <w:r w:rsidRPr="00F15C01">
              <w:t xml:space="preserve"> </w:t>
            </w:r>
            <w:proofErr w:type="spellStart"/>
            <w:r w:rsidRPr="00F15C01">
              <w:t>2012</w:t>
            </w:r>
            <w:r w:rsidR="00C66F6D">
              <w:t>a</w:t>
            </w:r>
            <w:proofErr w:type="spellEnd"/>
            <w:r w:rsidRPr="00F15C01">
              <w:t xml:space="preserve">). Over the next 10 years, annual growth in peak demand across </w:t>
            </w:r>
            <w:proofErr w:type="spellStart"/>
            <w:r w:rsidRPr="00F15C01">
              <w:t>NEM</w:t>
            </w:r>
            <w:proofErr w:type="spellEnd"/>
            <w:r w:rsidRPr="00F15C01">
              <w:t xml:space="preserve"> regions is forecast to range between 1</w:t>
            </w:r>
            <w:r w:rsidRPr="00F15C01">
              <w:noBreakHyphen/>
              <w:t>2.5 per cent. These forecasts are revisions on previous estimates, such as in the annual Electricity Statement of Opportunities (</w:t>
            </w:r>
            <w:proofErr w:type="spellStart"/>
            <w:r w:rsidR="00E57EE0">
              <w:t>AEMO</w:t>
            </w:r>
            <w:proofErr w:type="spellEnd"/>
            <w:r w:rsidR="00E57EE0">
              <w:t xml:space="preserve"> </w:t>
            </w:r>
            <w:proofErr w:type="spellStart"/>
            <w:r w:rsidRPr="00F15C01">
              <w:t>2011</w:t>
            </w:r>
            <w:r w:rsidR="00C66F6D">
              <w:t>b</w:t>
            </w:r>
            <w:proofErr w:type="spellEnd"/>
            <w:r w:rsidRPr="00F15C01">
              <w:t xml:space="preserve">), which predicted annual growth rates in excess of 4 per cent in some regions over the next ten years. </w:t>
            </w:r>
          </w:p>
          <w:p w:rsidR="00281D50" w:rsidRPr="005356DF" w:rsidRDefault="00F6747C" w:rsidP="002201B0">
            <w:pPr>
              <w:pStyle w:val="Box"/>
              <w:spacing w:after="120"/>
              <w:rPr>
                <w:spacing w:val="-2"/>
              </w:rPr>
            </w:pPr>
            <w:r w:rsidRPr="008D3FCB">
              <w:rPr>
                <w:spacing w:val="-2"/>
              </w:rPr>
              <w:t>A</w:t>
            </w:r>
            <w:r w:rsidR="0022349D" w:rsidRPr="008D3FCB">
              <w:rPr>
                <w:spacing w:val="-2"/>
              </w:rPr>
              <w:t>nnual energy (or average) consumption is projected to be 2.4 per cent lower in 2011-12 than 2010-11, and over the next ten year period, average annual growth is forecast to be 1.7 per cent (</w:t>
            </w:r>
            <w:proofErr w:type="spellStart"/>
            <w:r w:rsidR="0022349D" w:rsidRPr="008D3FCB">
              <w:rPr>
                <w:spacing w:val="-2"/>
              </w:rPr>
              <w:t>AEMO</w:t>
            </w:r>
            <w:proofErr w:type="spellEnd"/>
            <w:r w:rsidR="0022349D" w:rsidRPr="008D3FCB">
              <w:rPr>
                <w:spacing w:val="-2"/>
              </w:rPr>
              <w:t xml:space="preserve"> </w:t>
            </w:r>
            <w:proofErr w:type="spellStart"/>
            <w:r w:rsidR="0022349D" w:rsidRPr="008D3FCB">
              <w:rPr>
                <w:spacing w:val="-2"/>
              </w:rPr>
              <w:t>2012</w:t>
            </w:r>
            <w:r w:rsidR="00C66F6D">
              <w:rPr>
                <w:spacing w:val="-2"/>
              </w:rPr>
              <w:t>a</w:t>
            </w:r>
            <w:proofErr w:type="spellEnd"/>
            <w:r w:rsidR="0022349D" w:rsidRPr="008D3FCB">
              <w:rPr>
                <w:spacing w:val="-2"/>
              </w:rPr>
              <w:t xml:space="preserve">). Power prices and economic conditions principally underpin average demand growth, although other determinants of industry performance such as the level of the Australian dollar will also affect </w:t>
            </w:r>
            <w:r w:rsidR="002201B0">
              <w:rPr>
                <w:spacing w:val="-2"/>
              </w:rPr>
              <w:t xml:space="preserve">the </w:t>
            </w:r>
            <w:r w:rsidR="0022349D" w:rsidRPr="008D3FCB">
              <w:rPr>
                <w:spacing w:val="-2"/>
              </w:rPr>
              <w:t>derived demand for electricity.</w:t>
            </w:r>
          </w:p>
        </w:tc>
      </w:tr>
      <w:tr w:rsidR="0022349D" w:rsidTr="00281D50">
        <w:trPr>
          <w:cantSplit/>
        </w:trPr>
        <w:tc>
          <w:tcPr>
            <w:tcW w:w="8771" w:type="dxa"/>
            <w:tcBorders>
              <w:top w:val="single" w:sz="4" w:space="0" w:color="auto"/>
              <w:left w:val="nil"/>
              <w:bottom w:val="nil"/>
              <w:right w:val="nil"/>
            </w:tcBorders>
          </w:tcPr>
          <w:p w:rsidR="0022349D" w:rsidRDefault="0022349D" w:rsidP="00AE695B">
            <w:pPr>
              <w:pStyle w:val="Box"/>
              <w:keepNext w:val="0"/>
              <w:spacing w:before="0" w:line="120" w:lineRule="exact"/>
            </w:pPr>
          </w:p>
          <w:p w:rsidR="00281D50" w:rsidRDefault="00281D50" w:rsidP="00AE695B">
            <w:pPr>
              <w:pStyle w:val="Box"/>
              <w:keepNext w:val="0"/>
              <w:spacing w:before="0" w:line="120" w:lineRule="exact"/>
            </w:pPr>
          </w:p>
        </w:tc>
      </w:tr>
    </w:tbl>
    <w:p w:rsidR="00003BE4" w:rsidRDefault="00003BE4" w:rsidP="00003BE4">
      <w:pPr>
        <w:pStyle w:val="BodyText"/>
      </w:pPr>
      <w:r>
        <w:t>In response to recent increases in network and energy prices, total household (and business) consumption has displayed a ‘conservation effect’ — that is, average consumption has decreased as consumers seek to limit their bills (</w:t>
      </w:r>
      <w:proofErr w:type="spellStart"/>
      <w:r>
        <w:t>AEMO</w:t>
      </w:r>
      <w:proofErr w:type="spellEnd"/>
      <w:r>
        <w:t xml:space="preserve"> </w:t>
      </w:r>
      <w:proofErr w:type="spellStart"/>
      <w:r>
        <w:t>2012</w:t>
      </w:r>
      <w:r w:rsidR="00C66F6D">
        <w:t>a</w:t>
      </w:r>
      <w:proofErr w:type="spellEnd"/>
      <w:r>
        <w:t xml:space="preserve">). Survey evidence indicates that 92 per cent of households have taken steps to limit their power use and conserve energy following recent price rises (or for other, largely environmental, reasons) (ABS 4102, 2010). Higher prices will also encourage some reduction in consumption during peak demand periods. However, if consumers faced the same weather conditions, it would be expected that the reduction in peak consumption would be proportionately less as consumers generally find it less convenient to reduce electricity use during peak times. </w:t>
      </w:r>
    </w:p>
    <w:p w:rsidR="00003BE4" w:rsidRPr="00AE695B" w:rsidRDefault="00003BE4" w:rsidP="00003BE4">
      <w:pPr>
        <w:pStyle w:val="BodyText"/>
        <w:rPr>
          <w:spacing w:val="-2"/>
        </w:rPr>
      </w:pPr>
      <w:r w:rsidRPr="00AE695B">
        <w:rPr>
          <w:spacing w:val="-2"/>
        </w:rPr>
        <w:lastRenderedPageBreak/>
        <w:t>Peak demand growth would be more explicitly affected in cases where demand management tools discourage peak consumption. This could include critical peak pricing (higher prices during periods of peak demand) or consumers agreeing to have some of their electricity use curtailed — such as through direct load control schemes.</w:t>
      </w:r>
    </w:p>
    <w:p w:rsidR="00003BE4" w:rsidRPr="00C74EE1" w:rsidRDefault="00003BE4" w:rsidP="00003BE4">
      <w:pPr>
        <w:pStyle w:val="BodyText"/>
        <w:rPr>
          <w:b/>
        </w:rPr>
      </w:pPr>
      <w:r>
        <w:t>Currently though, even where metering would allow</w:t>
      </w:r>
      <w:r w:rsidRPr="00CB4754">
        <w:t xml:space="preserve"> higher peak-time charges</w:t>
      </w:r>
      <w:r>
        <w:t xml:space="preserve"> for residential users, the network component of these charges only vaguely reflect underlying costs (including simple and predictable shoulder, off peak and peak charges</w:t>
      </w:r>
      <w:r>
        <w:rPr>
          <w:rStyle w:val="FootnoteReference"/>
        </w:rPr>
        <w:footnoteReference w:id="9"/>
      </w:r>
      <w:r>
        <w:t>). As such, peak demand (typically confined to the handful of days each year) has been minimally affected</w:t>
      </w:r>
      <w:r w:rsidRPr="00CB4754">
        <w:t>.</w:t>
      </w:r>
      <w:r>
        <w:t xml:space="preserve"> </w:t>
      </w:r>
    </w:p>
    <w:p w:rsidR="00FE26AF" w:rsidRDefault="00FE26AF" w:rsidP="006E7DEB">
      <w:pPr>
        <w:pStyle w:val="Heading3"/>
      </w:pPr>
      <w:r>
        <w:t xml:space="preserve">Residential air-conditioning is </w:t>
      </w:r>
      <w:r w:rsidR="00F36C1A">
        <w:t xml:space="preserve">the main contributor </w:t>
      </w:r>
    </w:p>
    <w:p w:rsidR="00FE26AF" w:rsidRDefault="00FE26AF" w:rsidP="00FE26AF">
      <w:pPr>
        <w:pStyle w:val="BodyText"/>
      </w:pPr>
      <w:r>
        <w:t>A</w:t>
      </w:r>
      <w:r w:rsidR="00A910B2">
        <w:t>c</w:t>
      </w:r>
      <w:r>
        <w:t>co</w:t>
      </w:r>
      <w:r w:rsidR="00860C48">
        <w:t>rding to the AEMC</w:t>
      </w:r>
      <w:r>
        <w:t>:</w:t>
      </w:r>
    </w:p>
    <w:p w:rsidR="00FE26AF" w:rsidRDefault="00FE26AF" w:rsidP="00FE26AF">
      <w:pPr>
        <w:pStyle w:val="Quote"/>
      </w:pPr>
      <w:r>
        <w:t>The increasing penetration of air conditioning, particularly in the residential sector, has been cited by network businesses as a key reason</w:t>
      </w:r>
      <w:r w:rsidR="006C2529">
        <w:t xml:space="preserve"> for increasing maximum demand. </w:t>
      </w:r>
      <w:r>
        <w:t>(</w:t>
      </w:r>
      <w:proofErr w:type="spellStart"/>
      <w:r>
        <w:t>2011</w:t>
      </w:r>
      <w:r w:rsidR="00C66F6D">
        <w:t>a</w:t>
      </w:r>
      <w:proofErr w:type="spellEnd"/>
      <w:r>
        <w:t xml:space="preserve">, </w:t>
      </w:r>
      <w:proofErr w:type="spellStart"/>
      <w:r>
        <w:t>p.10</w:t>
      </w:r>
      <w:proofErr w:type="spellEnd"/>
      <w:r>
        <w:t>)</w:t>
      </w:r>
    </w:p>
    <w:p w:rsidR="005356DF" w:rsidRDefault="005356DF" w:rsidP="005356DF">
      <w:pPr>
        <w:pStyle w:val="FigureTitle"/>
      </w:pPr>
      <w:r>
        <w:rPr>
          <w:b w:val="0"/>
        </w:rPr>
        <w:t xml:space="preserve">Figure </w:t>
      </w:r>
      <w:fldSimple w:instr=" COMMENTS  \* MERGEFORMAT ">
        <w:r w:rsidR="000852D8" w:rsidRPr="000852D8">
          <w:rPr>
            <w:b w:val="0"/>
          </w:rPr>
          <w:t>9.</w:t>
        </w:r>
      </w:fldSimple>
      <w:r w:rsidR="00AB004B">
        <w:rPr>
          <w:b w:val="0"/>
        </w:rPr>
        <w:fldChar w:fldCharType="begin"/>
      </w:r>
      <w:r>
        <w:rPr>
          <w:b w:val="0"/>
        </w:rPr>
        <w:instrText xml:space="preserve"> SEQ Figure \* ARABIC </w:instrText>
      </w:r>
      <w:r w:rsidR="00AB004B">
        <w:rPr>
          <w:b w:val="0"/>
        </w:rPr>
        <w:fldChar w:fldCharType="separate"/>
      </w:r>
      <w:r w:rsidR="000852D8">
        <w:rPr>
          <w:b w:val="0"/>
          <w:noProof/>
        </w:rPr>
        <w:t>7</w:t>
      </w:r>
      <w:r w:rsidR="00AB004B">
        <w:rPr>
          <w:b w:val="0"/>
        </w:rPr>
        <w:fldChar w:fldCharType="end"/>
      </w:r>
      <w:r>
        <w:tab/>
        <w:t>The increase in household air-conditioning</w:t>
      </w:r>
    </w:p>
    <w:p w:rsidR="005356DF" w:rsidRDefault="005356DF" w:rsidP="005356DF">
      <w:pPr>
        <w:pStyle w:val="Subtitle"/>
      </w:pPr>
      <w:r>
        <w:t>Per cent of households with air-conditioning</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5356DF" w:rsidTr="005356DF">
        <w:trPr>
          <w:trHeight w:val="3511"/>
        </w:trPr>
        <w:tc>
          <w:tcPr>
            <w:tcW w:w="4388" w:type="dxa"/>
          </w:tcPr>
          <w:p w:rsidR="005356DF" w:rsidRDefault="00171772" w:rsidP="005356DF">
            <w:pPr>
              <w:pStyle w:val="Figure"/>
            </w:pPr>
            <w:r>
              <w:rPr>
                <w:noProof/>
              </w:rPr>
              <w:drawing>
                <wp:inline distT="0" distB="0" distL="0" distR="0" wp14:anchorId="575C9418">
                  <wp:extent cx="2554605" cy="2066925"/>
                  <wp:effectExtent l="0" t="0" r="0" b="0"/>
                  <wp:docPr id="21" name="Picture 21" descr="The increase in household air-conditioning. This chart shows the percentage of households with air-conditioning between 1975 and 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54605" cy="2066925"/>
                          </a:xfrm>
                          <a:prstGeom prst="rect">
                            <a:avLst/>
                          </a:prstGeom>
                          <a:noFill/>
                        </pic:spPr>
                      </pic:pic>
                    </a:graphicData>
                  </a:graphic>
                </wp:inline>
              </w:drawing>
            </w:r>
          </w:p>
        </w:tc>
        <w:tc>
          <w:tcPr>
            <w:tcW w:w="4389" w:type="dxa"/>
          </w:tcPr>
          <w:p w:rsidR="005356DF" w:rsidRDefault="00171772" w:rsidP="005356DF">
            <w:pPr>
              <w:pStyle w:val="Figure"/>
            </w:pPr>
            <w:r>
              <w:rPr>
                <w:noProof/>
              </w:rPr>
              <w:drawing>
                <wp:inline distT="0" distB="0" distL="0" distR="0" wp14:anchorId="75983D4C">
                  <wp:extent cx="2780030" cy="2066925"/>
                  <wp:effectExtent l="0" t="0" r="1270" b="9525"/>
                  <wp:docPr id="22" name="Picture 22" descr="The increase in household air-conditioning. This chart shows the percentage of households with air-conditioning within each state and nationally between 2005, 2008 and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0030" cy="2066925"/>
                          </a:xfrm>
                          <a:prstGeom prst="rect">
                            <a:avLst/>
                          </a:prstGeom>
                          <a:noFill/>
                        </pic:spPr>
                      </pic:pic>
                    </a:graphicData>
                  </a:graphic>
                </wp:inline>
              </w:drawing>
            </w:r>
          </w:p>
        </w:tc>
      </w:tr>
    </w:tbl>
    <w:p w:rsidR="005356DF" w:rsidRPr="00802F2D" w:rsidRDefault="005356DF" w:rsidP="005356DF">
      <w:pPr>
        <w:pStyle w:val="Source"/>
      </w:pPr>
      <w:r>
        <w:rPr>
          <w:i/>
        </w:rPr>
        <w:t>Data source</w:t>
      </w:r>
      <w:r w:rsidRPr="00167F06">
        <w:t xml:space="preserve">: </w:t>
      </w:r>
      <w:r>
        <w:t>Topp and Kulys 2012,</w:t>
      </w:r>
      <w:r w:rsidRPr="00117BAD">
        <w:t xml:space="preserve"> </w:t>
      </w:r>
      <w:r>
        <w:t>ABS 2011</w:t>
      </w:r>
    </w:p>
    <w:p w:rsidR="005356DF" w:rsidRPr="002F347F" w:rsidRDefault="005356DF" w:rsidP="005356DF">
      <w:pPr>
        <w:pStyle w:val="BodyText"/>
        <w:rPr>
          <w:spacing w:val="-4"/>
        </w:rPr>
      </w:pPr>
      <w:r w:rsidRPr="002F347F">
        <w:rPr>
          <w:spacing w:val="-4"/>
        </w:rPr>
        <w:t xml:space="preserve">In 2020, the national stock of air-conditioning is forecast to be almost double </w:t>
      </w:r>
      <w:r w:rsidR="008362C6" w:rsidRPr="002F347F">
        <w:rPr>
          <w:spacing w:val="-4"/>
        </w:rPr>
        <w:t>its year</w:t>
      </w:r>
      <w:r w:rsidRPr="002F347F">
        <w:rPr>
          <w:spacing w:val="-4"/>
        </w:rPr>
        <w:t xml:space="preserve"> 2000</w:t>
      </w:r>
      <w:r w:rsidR="008362C6" w:rsidRPr="002F347F">
        <w:rPr>
          <w:spacing w:val="-4"/>
        </w:rPr>
        <w:t xml:space="preserve"> level</w:t>
      </w:r>
      <w:r w:rsidRPr="002F347F">
        <w:rPr>
          <w:spacing w:val="-4"/>
        </w:rPr>
        <w:t xml:space="preserve"> (</w:t>
      </w:r>
      <w:proofErr w:type="spellStart"/>
      <w:r w:rsidRPr="002F347F">
        <w:rPr>
          <w:spacing w:val="-4"/>
        </w:rPr>
        <w:t>AEMC</w:t>
      </w:r>
      <w:proofErr w:type="spellEnd"/>
      <w:r w:rsidRPr="002F347F">
        <w:rPr>
          <w:spacing w:val="-4"/>
        </w:rPr>
        <w:t xml:space="preserve"> </w:t>
      </w:r>
      <w:proofErr w:type="spellStart"/>
      <w:r w:rsidRPr="002F347F">
        <w:rPr>
          <w:spacing w:val="-4"/>
        </w:rPr>
        <w:t>PoC</w:t>
      </w:r>
      <w:proofErr w:type="spellEnd"/>
      <w:r w:rsidRPr="002F347F">
        <w:rPr>
          <w:spacing w:val="-4"/>
        </w:rPr>
        <w:t xml:space="preserve"> Review), and the associated use of electricity is projected to be five times greater than it was in 1990 (</w:t>
      </w:r>
      <w:proofErr w:type="spellStart"/>
      <w:r w:rsidRPr="002F347F">
        <w:rPr>
          <w:spacing w:val="-4"/>
        </w:rPr>
        <w:t>DEWHA</w:t>
      </w:r>
      <w:proofErr w:type="spellEnd"/>
      <w:r w:rsidRPr="002F347F">
        <w:rPr>
          <w:spacing w:val="-4"/>
        </w:rPr>
        <w:t xml:space="preserve"> 2008). Rising incomes and the declining cost of air-conditioners are key cause</w:t>
      </w:r>
      <w:r w:rsidR="003601B9" w:rsidRPr="002F347F">
        <w:rPr>
          <w:spacing w:val="-4"/>
        </w:rPr>
        <w:t>s</w:t>
      </w:r>
      <w:r w:rsidRPr="002F347F">
        <w:rPr>
          <w:spacing w:val="-4"/>
        </w:rPr>
        <w:t xml:space="preserve"> of this trend</w:t>
      </w:r>
      <w:r w:rsidR="009E3F35" w:rsidRPr="002F347F">
        <w:rPr>
          <w:spacing w:val="-4"/>
        </w:rPr>
        <w:t>. O</w:t>
      </w:r>
      <w:r w:rsidRPr="002F347F">
        <w:rPr>
          <w:spacing w:val="-4"/>
        </w:rPr>
        <w:t xml:space="preserve">ther factors include </w:t>
      </w:r>
      <w:r w:rsidRPr="002F347F">
        <w:rPr>
          <w:spacing w:val="-4"/>
        </w:rPr>
        <w:lastRenderedPageBreak/>
        <w:t>new homes that are much larger than in the past</w:t>
      </w:r>
      <w:r w:rsidRPr="002F347F">
        <w:rPr>
          <w:rStyle w:val="FootnoteReference"/>
          <w:spacing w:val="-4"/>
        </w:rPr>
        <w:footnoteReference w:id="10"/>
      </w:r>
      <w:r w:rsidRPr="002F347F">
        <w:rPr>
          <w:spacing w:val="-4"/>
        </w:rPr>
        <w:t xml:space="preserve"> and the </w:t>
      </w:r>
      <w:r w:rsidR="003601B9" w:rsidRPr="002F347F">
        <w:rPr>
          <w:spacing w:val="-4"/>
        </w:rPr>
        <w:t xml:space="preserve">increasing </w:t>
      </w:r>
      <w:r w:rsidRPr="002F347F">
        <w:rPr>
          <w:spacing w:val="-4"/>
        </w:rPr>
        <w:t>use of multiple air-conditioners and multi-systems</w:t>
      </w:r>
      <w:r w:rsidR="00281D50" w:rsidRPr="002F347F">
        <w:rPr>
          <w:spacing w:val="-4"/>
        </w:rPr>
        <w:t xml:space="preserve"> (</w:t>
      </w:r>
      <w:r w:rsidR="0016795D" w:rsidRPr="002F347F">
        <w:rPr>
          <w:spacing w:val="-4"/>
        </w:rPr>
        <w:t>p</w:t>
      </w:r>
      <w:r w:rsidR="00281D50" w:rsidRPr="002F347F">
        <w:rPr>
          <w:spacing w:val="-4"/>
        </w:rPr>
        <w:t>articularly by higher income households)</w:t>
      </w:r>
      <w:r w:rsidRPr="002F347F">
        <w:rPr>
          <w:spacing w:val="-4"/>
        </w:rPr>
        <w:t xml:space="preserve">. </w:t>
      </w:r>
    </w:p>
    <w:p w:rsidR="001316B2" w:rsidRPr="002F347F" w:rsidRDefault="001316B2" w:rsidP="009C47F3">
      <w:pPr>
        <w:pStyle w:val="BodyText"/>
        <w:rPr>
          <w:spacing w:val="-4"/>
        </w:rPr>
      </w:pPr>
      <w:r w:rsidRPr="002F347F">
        <w:rPr>
          <w:spacing w:val="-4"/>
        </w:rPr>
        <w:t xml:space="preserve">The age </w:t>
      </w:r>
      <w:r w:rsidR="009E3F35" w:rsidRPr="002F347F">
        <w:rPr>
          <w:spacing w:val="-4"/>
        </w:rPr>
        <w:t xml:space="preserve">of air-conditioners </w:t>
      </w:r>
      <w:r w:rsidRPr="002F347F">
        <w:rPr>
          <w:spacing w:val="-4"/>
        </w:rPr>
        <w:t xml:space="preserve">and the way they are used can </w:t>
      </w:r>
      <w:r w:rsidR="008362C6" w:rsidRPr="002F347F">
        <w:rPr>
          <w:spacing w:val="-4"/>
        </w:rPr>
        <w:t xml:space="preserve">also </w:t>
      </w:r>
      <w:r w:rsidRPr="002F347F">
        <w:rPr>
          <w:spacing w:val="-4"/>
        </w:rPr>
        <w:t>significantly impact on their contribution to peak demand and, in turn, network costs.</w:t>
      </w:r>
      <w:r w:rsidRPr="002F347F">
        <w:rPr>
          <w:rStyle w:val="FootnoteReference"/>
          <w:spacing w:val="-4"/>
        </w:rPr>
        <w:footnoteReference w:id="11"/>
      </w:r>
      <w:r w:rsidRPr="002F347F">
        <w:rPr>
          <w:spacing w:val="-4"/>
        </w:rPr>
        <w:t xml:space="preserve"> In most climates, air-conditioning is used </w:t>
      </w:r>
      <w:r w:rsidR="009A11D1" w:rsidRPr="002F347F">
        <w:rPr>
          <w:spacing w:val="-4"/>
        </w:rPr>
        <w:t xml:space="preserve">for a low proportion of the time — typically for the hottest parts of hot days. As such, they draw significant amounts of energy during peak demand periods, but little or no energy for most of the year, resulting </w:t>
      </w:r>
      <w:r w:rsidRPr="002F347F">
        <w:rPr>
          <w:spacing w:val="-4"/>
        </w:rPr>
        <w:t>in a very low load factor (ratio of average to maximum consumption). For example</w:t>
      </w:r>
      <w:r w:rsidR="009C47F3" w:rsidRPr="002F347F">
        <w:rPr>
          <w:spacing w:val="-4"/>
        </w:rPr>
        <w:t>,</w:t>
      </w:r>
      <w:r w:rsidR="00EA3DB6" w:rsidRPr="002F347F">
        <w:rPr>
          <w:spacing w:val="-4"/>
        </w:rPr>
        <w:t xml:space="preserve"> </w:t>
      </w:r>
      <w:r w:rsidRPr="002F347F">
        <w:rPr>
          <w:spacing w:val="-4"/>
        </w:rPr>
        <w:t>residential air</w:t>
      </w:r>
      <w:r w:rsidR="009E3F35" w:rsidRPr="002F347F">
        <w:rPr>
          <w:spacing w:val="-4"/>
        </w:rPr>
        <w:t xml:space="preserve"> </w:t>
      </w:r>
      <w:r w:rsidRPr="002F347F">
        <w:rPr>
          <w:spacing w:val="-4"/>
        </w:rPr>
        <w:t xml:space="preserve">conditioning </w:t>
      </w:r>
      <w:r w:rsidR="009A11D1" w:rsidRPr="002F347F">
        <w:rPr>
          <w:spacing w:val="-4"/>
        </w:rPr>
        <w:t>account</w:t>
      </w:r>
      <w:r w:rsidR="00D41A5B" w:rsidRPr="002F347F">
        <w:rPr>
          <w:spacing w:val="-4"/>
        </w:rPr>
        <w:t>s</w:t>
      </w:r>
      <w:r w:rsidR="009A11D1" w:rsidRPr="002F347F">
        <w:rPr>
          <w:spacing w:val="-4"/>
        </w:rPr>
        <w:t xml:space="preserve"> for</w:t>
      </w:r>
      <w:r w:rsidR="00D41A5B" w:rsidRPr="002F347F">
        <w:rPr>
          <w:spacing w:val="-4"/>
        </w:rPr>
        <w:t xml:space="preserve"> 20 per </w:t>
      </w:r>
      <w:r w:rsidRPr="002F347F">
        <w:rPr>
          <w:spacing w:val="-4"/>
        </w:rPr>
        <w:t xml:space="preserve">cent of </w:t>
      </w:r>
      <w:r w:rsidR="009C47F3" w:rsidRPr="002F347F">
        <w:rPr>
          <w:spacing w:val="-4"/>
        </w:rPr>
        <w:t>annual</w:t>
      </w:r>
      <w:r w:rsidR="009A11D1" w:rsidRPr="002F347F">
        <w:rPr>
          <w:spacing w:val="-4"/>
        </w:rPr>
        <w:t xml:space="preserve"> electricity consumption</w:t>
      </w:r>
      <w:r w:rsidRPr="002F347F">
        <w:rPr>
          <w:spacing w:val="-4"/>
        </w:rPr>
        <w:t>, but can account for the majority of the increased residential load during a peak demand event</w:t>
      </w:r>
      <w:r w:rsidR="00647B8D" w:rsidRPr="002F347F">
        <w:rPr>
          <w:spacing w:val="-4"/>
        </w:rPr>
        <w:t>.</w:t>
      </w:r>
    </w:p>
    <w:p w:rsidR="001316B2" w:rsidRPr="009C47F3" w:rsidRDefault="00EA3DB6" w:rsidP="009C47F3">
      <w:pPr>
        <w:pStyle w:val="BodyText"/>
      </w:pPr>
      <w:r w:rsidRPr="009C47F3">
        <w:t>Most other household appliances</w:t>
      </w:r>
      <w:r w:rsidR="001316B2" w:rsidRPr="009C47F3">
        <w:t xml:space="preserve"> (</w:t>
      </w:r>
      <w:r w:rsidRPr="009C47F3">
        <w:t>such as r</w:t>
      </w:r>
      <w:r w:rsidR="001316B2" w:rsidRPr="009C47F3">
        <w:t>efrigeration</w:t>
      </w:r>
      <w:r w:rsidRPr="009C47F3">
        <w:t>)</w:t>
      </w:r>
      <w:r w:rsidR="001316B2" w:rsidRPr="009C47F3">
        <w:t xml:space="preserve"> </w:t>
      </w:r>
      <w:r w:rsidRPr="009C47F3">
        <w:t xml:space="preserve">have </w:t>
      </w:r>
      <w:r w:rsidR="001316B2" w:rsidRPr="009C47F3">
        <w:t>a much flatter load profile, with a load factor of around 60 to 70 per cent</w:t>
      </w:r>
      <w:r w:rsidR="00647B8D">
        <w:t xml:space="preserve"> — hence, contributing less to the peak demand problem</w:t>
      </w:r>
      <w:r w:rsidR="001316B2" w:rsidRPr="009C47F3">
        <w:t xml:space="preserve">. Similarly, industrial and commercial uses of electricity also </w:t>
      </w:r>
      <w:r w:rsidR="0076148B">
        <w:t>have much flatter load profiles</w:t>
      </w:r>
      <w:r w:rsidR="001316B2" w:rsidRPr="009C47F3">
        <w:t xml:space="preserve"> (</w:t>
      </w:r>
      <w:proofErr w:type="spellStart"/>
      <w:r w:rsidR="001316B2" w:rsidRPr="009C47F3">
        <w:t>LaCommare</w:t>
      </w:r>
      <w:proofErr w:type="spellEnd"/>
      <w:r w:rsidR="001316B2" w:rsidRPr="009C47F3">
        <w:t xml:space="preserve"> et al. 2002).</w:t>
      </w:r>
    </w:p>
    <w:p w:rsidR="008B1ECE" w:rsidRDefault="00E93648" w:rsidP="001316B2">
      <w:pPr>
        <w:pStyle w:val="BodyText"/>
        <w:rPr>
          <w:spacing w:val="-4"/>
        </w:rPr>
      </w:pPr>
      <w:r w:rsidRPr="009C47F3">
        <w:rPr>
          <w:spacing w:val="-4"/>
        </w:rPr>
        <w:t xml:space="preserve">Some </w:t>
      </w:r>
      <w:r w:rsidR="001316B2" w:rsidRPr="009C47F3">
        <w:rPr>
          <w:spacing w:val="-4"/>
        </w:rPr>
        <w:t xml:space="preserve">56 per cent of households cite that their </w:t>
      </w:r>
      <w:r w:rsidR="003B5669" w:rsidRPr="009C47F3">
        <w:rPr>
          <w:spacing w:val="-4"/>
        </w:rPr>
        <w:t xml:space="preserve">main </w:t>
      </w:r>
      <w:r w:rsidR="001316B2" w:rsidRPr="009C47F3">
        <w:rPr>
          <w:spacing w:val="-4"/>
        </w:rPr>
        <w:t>reason for using an air-conditioner</w:t>
      </w:r>
      <w:r w:rsidR="001316B2" w:rsidRPr="001B09EB">
        <w:rPr>
          <w:spacing w:val="-4"/>
        </w:rPr>
        <w:t xml:space="preserve"> is (or would be) to sleep better</w:t>
      </w:r>
      <w:r w:rsidR="001316B2">
        <w:rPr>
          <w:spacing w:val="-4"/>
        </w:rPr>
        <w:t xml:space="preserve"> </w:t>
      </w:r>
      <w:r w:rsidR="001316B2" w:rsidRPr="001B09EB">
        <w:rPr>
          <w:spacing w:val="-4"/>
        </w:rPr>
        <w:t xml:space="preserve">(Galaxy Research 2012). </w:t>
      </w:r>
      <w:r w:rsidR="001316B2">
        <w:rPr>
          <w:spacing w:val="-4"/>
        </w:rPr>
        <w:t>O</w:t>
      </w:r>
      <w:r w:rsidR="001316B2" w:rsidRPr="001B09EB">
        <w:rPr>
          <w:spacing w:val="-4"/>
        </w:rPr>
        <w:t xml:space="preserve">n the basis that </w:t>
      </w:r>
      <w:r w:rsidR="001316B2">
        <w:rPr>
          <w:spacing w:val="-4"/>
        </w:rPr>
        <w:t>overnight use would be unlikely to contribute to peak demand,</w:t>
      </w:r>
      <w:r w:rsidR="001316B2" w:rsidRPr="001B09EB">
        <w:rPr>
          <w:spacing w:val="-4"/>
        </w:rPr>
        <w:t xml:space="preserve"> </w:t>
      </w:r>
      <w:r w:rsidR="001316B2">
        <w:rPr>
          <w:spacing w:val="-4"/>
        </w:rPr>
        <w:t xml:space="preserve">it would not be </w:t>
      </w:r>
      <w:r w:rsidR="003B5669">
        <w:rPr>
          <w:spacing w:val="-4"/>
        </w:rPr>
        <w:t xml:space="preserve">as </w:t>
      </w:r>
      <w:r w:rsidR="001316B2">
        <w:rPr>
          <w:spacing w:val="-4"/>
        </w:rPr>
        <w:t xml:space="preserve">costly to service such demand and, if </w:t>
      </w:r>
      <w:r w:rsidR="003B5669">
        <w:rPr>
          <w:spacing w:val="-4"/>
        </w:rPr>
        <w:t xml:space="preserve">network </w:t>
      </w:r>
      <w:r w:rsidR="001316B2">
        <w:rPr>
          <w:spacing w:val="-4"/>
        </w:rPr>
        <w:t>prices reflected that cost, consumers could even increase their comfort level more than they might otherwise have chosen</w:t>
      </w:r>
      <w:r w:rsidR="001316B2" w:rsidRPr="001B09EB">
        <w:rPr>
          <w:spacing w:val="-4"/>
        </w:rPr>
        <w:t>. This highlights that it is the use of the appliance</w:t>
      </w:r>
      <w:r w:rsidR="001316B2">
        <w:rPr>
          <w:spacing w:val="-4"/>
        </w:rPr>
        <w:t xml:space="preserve"> (including the timing of use and </w:t>
      </w:r>
      <w:r w:rsidR="008B1ECE">
        <w:rPr>
          <w:spacing w:val="-4"/>
        </w:rPr>
        <w:t>resulting load factor)</w:t>
      </w:r>
      <w:r w:rsidR="009E3F35">
        <w:rPr>
          <w:spacing w:val="-4"/>
        </w:rPr>
        <w:t>,</w:t>
      </w:r>
      <w:r w:rsidR="008B1ECE">
        <w:rPr>
          <w:spacing w:val="-4"/>
        </w:rPr>
        <w:t xml:space="preserve"> </w:t>
      </w:r>
      <w:r w:rsidR="009E3F35" w:rsidRPr="001B09EB">
        <w:rPr>
          <w:spacing w:val="-4"/>
        </w:rPr>
        <w:t>rather than the appliance itself</w:t>
      </w:r>
      <w:r w:rsidR="009E3F35">
        <w:rPr>
          <w:spacing w:val="-4"/>
        </w:rPr>
        <w:t>,</w:t>
      </w:r>
      <w:r w:rsidR="009E3F35" w:rsidRPr="001B09EB">
        <w:rPr>
          <w:spacing w:val="-4"/>
        </w:rPr>
        <w:t xml:space="preserve"> </w:t>
      </w:r>
      <w:r w:rsidR="008B1ECE">
        <w:rPr>
          <w:spacing w:val="-4"/>
        </w:rPr>
        <w:t xml:space="preserve">that is </w:t>
      </w:r>
      <w:r w:rsidR="009E3F35">
        <w:rPr>
          <w:spacing w:val="-4"/>
        </w:rPr>
        <w:t xml:space="preserve">the </w:t>
      </w:r>
      <w:r w:rsidR="008B1ECE">
        <w:rPr>
          <w:spacing w:val="-4"/>
        </w:rPr>
        <w:t>key determinant of its contribution to peak demand.</w:t>
      </w:r>
    </w:p>
    <w:p w:rsidR="00CB4754" w:rsidRDefault="0096337F" w:rsidP="001316B2">
      <w:pPr>
        <w:pStyle w:val="BodyText"/>
      </w:pPr>
      <w:r>
        <w:t xml:space="preserve">Given </w:t>
      </w:r>
      <w:r w:rsidR="008B1ECE">
        <w:t>its impact</w:t>
      </w:r>
      <w:r w:rsidR="00831A67">
        <w:t xml:space="preserve"> on network</w:t>
      </w:r>
      <w:r w:rsidR="008B1ECE">
        <w:t xml:space="preserve"> investment</w:t>
      </w:r>
      <w:r w:rsidR="00CB4754">
        <w:t xml:space="preserve"> </w:t>
      </w:r>
      <w:r w:rsidR="008B1ECE">
        <w:t>and the potential to encourage behavioural change in its use, air-conditioning</w:t>
      </w:r>
      <w:r w:rsidR="00CB4754">
        <w:t>:</w:t>
      </w:r>
    </w:p>
    <w:p w:rsidR="00CB4754" w:rsidRPr="00232E17" w:rsidRDefault="008B1ECE" w:rsidP="00CB4754">
      <w:pPr>
        <w:pStyle w:val="Quote"/>
      </w:pPr>
      <w:r>
        <w:t>…</w:t>
      </w:r>
      <w:r w:rsidR="00CB4754">
        <w:t xml:space="preserve"> attracts considerable political and policy attention due to its very poor load factor and the potential to create major problems for the electricity generation, transmission and distribution systems on peak summer days. (</w:t>
      </w:r>
      <w:proofErr w:type="spellStart"/>
      <w:r w:rsidR="00CB4754">
        <w:t>DEWHA</w:t>
      </w:r>
      <w:proofErr w:type="spellEnd"/>
      <w:r>
        <w:t xml:space="preserve"> </w:t>
      </w:r>
      <w:r w:rsidR="0035522D">
        <w:t xml:space="preserve">2008, </w:t>
      </w:r>
      <w:proofErr w:type="spellStart"/>
      <w:r w:rsidR="0035522D">
        <w:t>p.x</w:t>
      </w:r>
      <w:proofErr w:type="spellEnd"/>
      <w:r w:rsidR="00CB4754">
        <w:t>)</w:t>
      </w:r>
    </w:p>
    <w:p w:rsidR="005A5075" w:rsidRDefault="005A5075" w:rsidP="005A5075">
      <w:pPr>
        <w:pStyle w:val="BodyText"/>
      </w:pPr>
      <w:r>
        <w:t xml:space="preserve">As an indication of the costs of expanding the network to accommodate peak loads from air-conditioning, it is estimated that </w:t>
      </w:r>
      <w:r w:rsidRPr="002E4F8F">
        <w:t>a 2 kilo</w:t>
      </w:r>
      <w:r>
        <w:t>watt (electrical input) reverse</w:t>
      </w:r>
      <w:r w:rsidRPr="002E4F8F">
        <w:t xml:space="preserve"> cycle air conditioner could impose a system wide cost of </w:t>
      </w:r>
      <w:r>
        <w:t xml:space="preserve">around </w:t>
      </w:r>
      <w:r w:rsidRPr="002E4F8F">
        <w:t>$7000</w:t>
      </w:r>
      <w:r w:rsidR="00B37FEB">
        <w:t xml:space="preserve"> </w:t>
      </w:r>
      <w:r>
        <w:t>(</w:t>
      </w:r>
      <w:proofErr w:type="spellStart"/>
      <w:r w:rsidR="00D23CE3">
        <w:t>DRET</w:t>
      </w:r>
      <w:proofErr w:type="spellEnd"/>
      <w:r w:rsidR="00D23CE3">
        <w:t> </w:t>
      </w:r>
      <w:r>
        <w:t>2011).</w:t>
      </w:r>
      <w:r w:rsidR="00B37FEB">
        <w:rPr>
          <w:rStyle w:val="FootnoteReference"/>
        </w:rPr>
        <w:footnoteReference w:id="12"/>
      </w:r>
      <w:r>
        <w:t xml:space="preserve"> </w:t>
      </w:r>
      <w:r w:rsidR="00154EF4">
        <w:lastRenderedPageBreak/>
        <w:t>While this estimate illustrates the high costs of investing in incremental units of network and generation capacity, in</w:t>
      </w:r>
      <w:r w:rsidR="00B37FEB">
        <w:t xml:space="preserve"> the Commission’s view, it is</w:t>
      </w:r>
      <w:r w:rsidR="00154EF4">
        <w:t xml:space="preserve"> </w:t>
      </w:r>
      <w:r>
        <w:t xml:space="preserve">likely to </w:t>
      </w:r>
      <w:r w:rsidR="00F87FD4">
        <w:t>overstate the actual cost</w:t>
      </w:r>
      <w:r w:rsidR="00154EF4">
        <w:t xml:space="preserve"> of air-conditioning</w:t>
      </w:r>
      <w:r>
        <w:t>, since:</w:t>
      </w:r>
    </w:p>
    <w:p w:rsidR="0064289D" w:rsidRDefault="0064289D" w:rsidP="0064289D">
      <w:pPr>
        <w:pStyle w:val="ListBullet"/>
      </w:pPr>
      <w:r>
        <w:t xml:space="preserve">it assumes an extra air-conditioner will require additional generation, transmission and distribution capacity to be built (more realistically it will </w:t>
      </w:r>
      <w:r w:rsidRPr="00B75476">
        <w:rPr>
          <w:i/>
        </w:rPr>
        <w:t>contribute to</w:t>
      </w:r>
      <w:r>
        <w:t xml:space="preserve"> the threshold decision to expand capacity)</w:t>
      </w:r>
    </w:p>
    <w:p w:rsidR="005A5075" w:rsidRDefault="005A5075" w:rsidP="005A5075">
      <w:pPr>
        <w:pStyle w:val="ListBullet"/>
      </w:pPr>
      <w:r>
        <w:t>it assumes that the appliance is always operating during peak demand periods</w:t>
      </w:r>
      <w:r w:rsidR="00B32D21">
        <w:t xml:space="preserve"> —</w:t>
      </w:r>
      <w:r>
        <w:t xml:space="preserve"> about 30-35 per cent are normally turned off (Swift 2005; </w:t>
      </w:r>
      <w:proofErr w:type="spellStart"/>
      <w:r>
        <w:t>CRA</w:t>
      </w:r>
      <w:proofErr w:type="spellEnd"/>
      <w:r>
        <w:t xml:space="preserve"> 2006)</w:t>
      </w:r>
    </w:p>
    <w:p w:rsidR="005A5075" w:rsidRDefault="005A5075" w:rsidP="005A5075">
      <w:pPr>
        <w:pStyle w:val="ListBullet"/>
      </w:pPr>
      <w:r>
        <w:t>it assumes that all air-conditioners are running at full capacity when ope</w:t>
      </w:r>
      <w:r w:rsidR="00B32D21">
        <w:t>rating during peak consumption —</w:t>
      </w:r>
      <w:r>
        <w:t>a more realistic figure may be 80-90 per cent.</w:t>
      </w:r>
    </w:p>
    <w:p w:rsidR="00154EF4" w:rsidRDefault="005A5075" w:rsidP="00CF3D68">
      <w:pPr>
        <w:pStyle w:val="BodyText"/>
      </w:pPr>
      <w:r>
        <w:t xml:space="preserve">Nevertheless, even if the true cost </w:t>
      </w:r>
      <w:r w:rsidR="00154EF4">
        <w:t xml:space="preserve">of an air-conditioner that is used mostly during peak times </w:t>
      </w:r>
      <w:r>
        <w:t xml:space="preserve">is more realistically </w:t>
      </w:r>
      <w:r w:rsidR="00AE695B">
        <w:t>$2400</w:t>
      </w:r>
      <w:r w:rsidR="00154EF4">
        <w:t xml:space="preserve">, that represents an implicit subsidy of around $330 per year from customers that do not own or do not use air-conditioners at peak times. </w:t>
      </w:r>
    </w:p>
    <w:p w:rsidR="006E7DEB" w:rsidRDefault="00F36C1A" w:rsidP="00D21106">
      <w:pPr>
        <w:pStyle w:val="Heading4"/>
      </w:pPr>
      <w:r>
        <w:t>Reasons and scope for change</w:t>
      </w:r>
    </w:p>
    <w:p w:rsidR="006E7DEB" w:rsidRDefault="00860C48" w:rsidP="00CF3D68">
      <w:pPr>
        <w:pStyle w:val="BodyText"/>
      </w:pPr>
      <w:r>
        <w:t>The</w:t>
      </w:r>
      <w:r w:rsidR="0023773C">
        <w:t xml:space="preserve"> flat </w:t>
      </w:r>
      <w:r w:rsidR="00015CC0">
        <w:t xml:space="preserve">network </w:t>
      </w:r>
      <w:r w:rsidR="0023773C">
        <w:t xml:space="preserve">tariffs </w:t>
      </w:r>
      <w:r>
        <w:t xml:space="preserve">currently in place </w:t>
      </w:r>
      <w:r w:rsidR="0023773C">
        <w:t xml:space="preserve">hide </w:t>
      </w:r>
      <w:r>
        <w:t>the</w:t>
      </w:r>
      <w:r w:rsidR="0022724D">
        <w:t xml:space="preserve"> costs of </w:t>
      </w:r>
      <w:r>
        <w:t>supplying additional peak capacity to meet the increased use of</w:t>
      </w:r>
      <w:r w:rsidR="0022724D">
        <w:t xml:space="preserve"> air</w:t>
      </w:r>
      <w:r w:rsidR="0023773C">
        <w:t>-</w:t>
      </w:r>
      <w:r w:rsidR="0022724D">
        <w:t>conditioning</w:t>
      </w:r>
      <w:r w:rsidR="0023773C">
        <w:t>,</w:t>
      </w:r>
      <w:r>
        <w:t xml:space="preserve"> and therefore provide </w:t>
      </w:r>
      <w:r w:rsidR="00A910B2">
        <w:t xml:space="preserve">consumers </w:t>
      </w:r>
      <w:r>
        <w:t>no financial incentive to</w:t>
      </w:r>
      <w:r w:rsidR="00015CC0">
        <w:t xml:space="preserve"> change their consumption behaviour</w:t>
      </w:r>
      <w:r>
        <w:t>. The</w:t>
      </w:r>
      <w:r w:rsidR="0023773C">
        <w:t xml:space="preserve"> </w:t>
      </w:r>
      <w:r w:rsidR="00A910B2">
        <w:t xml:space="preserve">upshot </w:t>
      </w:r>
      <w:r>
        <w:t>is</w:t>
      </w:r>
      <w:r w:rsidR="00A910B2">
        <w:t xml:space="preserve"> that people who</w:t>
      </w:r>
      <w:r w:rsidR="0023773C">
        <w:t xml:space="preserve"> own air-conditioners (and use the </w:t>
      </w:r>
      <w:r w:rsidR="00F90DD4">
        <w:t xml:space="preserve">appliance </w:t>
      </w:r>
      <w:r w:rsidR="0023773C">
        <w:t xml:space="preserve">intensively at peak times) </w:t>
      </w:r>
      <w:r>
        <w:t>are</w:t>
      </w:r>
      <w:r w:rsidR="0023773C">
        <w:t xml:space="preserve"> subsidised by those that do</w:t>
      </w:r>
      <w:r w:rsidR="00A910B2">
        <w:t xml:space="preserve"> </w:t>
      </w:r>
      <w:r w:rsidR="0023773C">
        <w:t>n</w:t>
      </w:r>
      <w:r w:rsidR="00A910B2">
        <w:t>o</w:t>
      </w:r>
      <w:r w:rsidR="0023773C">
        <w:t xml:space="preserve">t. </w:t>
      </w:r>
    </w:p>
    <w:p w:rsidR="0022724D" w:rsidRDefault="008362C6" w:rsidP="002B5A78">
      <w:pPr>
        <w:pStyle w:val="BodyText"/>
      </w:pPr>
      <w:r>
        <w:t>As well as</w:t>
      </w:r>
      <w:r w:rsidR="00F90DD4">
        <w:t xml:space="preserve"> t</w:t>
      </w:r>
      <w:r w:rsidR="000A3BB4">
        <w:t>his</w:t>
      </w:r>
      <w:r w:rsidR="00F90DD4">
        <w:t xml:space="preserve"> </w:t>
      </w:r>
      <w:r w:rsidR="00D21106">
        <w:t>giving</w:t>
      </w:r>
      <w:r w:rsidR="00F90DD4">
        <w:t xml:space="preserve"> rise to</w:t>
      </w:r>
      <w:r>
        <w:t xml:space="preserve"> inefficiency</w:t>
      </w:r>
      <w:r w:rsidR="00F90DD4">
        <w:t xml:space="preserve">, </w:t>
      </w:r>
      <w:r w:rsidR="009C2F68">
        <w:t>it</w:t>
      </w:r>
      <w:r>
        <w:t xml:space="preserve"> </w:t>
      </w:r>
      <w:r w:rsidR="00E764F6">
        <w:t>affect</w:t>
      </w:r>
      <w:r w:rsidR="000A3BB4">
        <w:t xml:space="preserve">s distributional outcomes, since lower income households tend not to own </w:t>
      </w:r>
      <w:r w:rsidR="002B5A78">
        <w:t xml:space="preserve">(or own fewer) air-conditioners. </w:t>
      </w:r>
      <w:r w:rsidR="0022724D" w:rsidRPr="00B4203A">
        <w:t>ABS surveys indicate th</w:t>
      </w:r>
      <w:r w:rsidR="000A3BB4">
        <w:t>at higher income households</w:t>
      </w:r>
      <w:r w:rsidR="0022724D" w:rsidRPr="00B4203A">
        <w:t xml:space="preserve"> generally have a higher rate of air conditioning (one or more air conditioners), compared to lower income households</w:t>
      </w:r>
      <w:r w:rsidR="000A3BB4">
        <w:t>. Further</w:t>
      </w:r>
      <w:r w:rsidR="000A3BB4" w:rsidRPr="003565A2">
        <w:t>, there is some evidence to show that expectations of thermal comfort increase with income and the thermal efficiency of dwellings</w:t>
      </w:r>
      <w:r w:rsidR="000A3BB4" w:rsidRPr="00B4203A">
        <w:t xml:space="preserve"> </w:t>
      </w:r>
      <w:r w:rsidR="000A3BB4">
        <w:t>(the likelihood of which increases with income)</w:t>
      </w:r>
      <w:r w:rsidR="0076148B">
        <w:t xml:space="preserve"> </w:t>
      </w:r>
      <w:r w:rsidR="002F347F">
        <w:t>(ABS 2010 and 2009</w:t>
      </w:r>
      <w:r w:rsidR="002B5A78">
        <w:t>)</w:t>
      </w:r>
      <w:r w:rsidR="002F347F">
        <w:t>.</w:t>
      </w:r>
    </w:p>
    <w:p w:rsidR="009E3FB0" w:rsidRDefault="00CB4754" w:rsidP="00CF3D68">
      <w:pPr>
        <w:pStyle w:val="BodyText"/>
      </w:pPr>
      <w:r>
        <w:t xml:space="preserve">More recently, the growth in the number of households with air-conditioning has started to slow and may even be reaching saturation in some areas. </w:t>
      </w:r>
      <w:r w:rsidR="00F87FD4">
        <w:t>Nevertheless</w:t>
      </w:r>
      <w:r w:rsidR="009E3FB0">
        <w:t xml:space="preserve">, the </w:t>
      </w:r>
      <w:r w:rsidR="009E3FB0" w:rsidRPr="002F347F">
        <w:rPr>
          <w:spacing w:val="-2"/>
        </w:rPr>
        <w:t>number of months of the year air-conditioning is used is increasing over time — one-third of hou</w:t>
      </w:r>
      <w:r w:rsidR="005A2B28" w:rsidRPr="002F347F">
        <w:rPr>
          <w:spacing w:val="-2"/>
        </w:rPr>
        <w:t>seholds used</w:t>
      </w:r>
      <w:r w:rsidR="009E3FB0" w:rsidRPr="002F347F">
        <w:rPr>
          <w:spacing w:val="-2"/>
        </w:rPr>
        <w:t xml:space="preserve"> their air-conditioner for 3 to 6 months</w:t>
      </w:r>
      <w:r w:rsidR="005A2B28" w:rsidRPr="002F347F">
        <w:rPr>
          <w:spacing w:val="-2"/>
        </w:rPr>
        <w:t xml:space="preserve"> of the year</w:t>
      </w:r>
      <w:r w:rsidR="009E3FB0" w:rsidRPr="002F347F">
        <w:rPr>
          <w:spacing w:val="-2"/>
        </w:rPr>
        <w:t xml:space="preserve"> in 2008, up from a quarter of households in 2002. </w:t>
      </w:r>
      <w:r w:rsidR="006E1F88" w:rsidRPr="002F347F">
        <w:rPr>
          <w:spacing w:val="-2"/>
        </w:rPr>
        <w:t>Further, there is no sign that the increasing use of multiple air-conditioners and multi-split systems will cease in the near term.</w:t>
      </w:r>
      <w:r w:rsidR="006E1F88">
        <w:t xml:space="preserve"> </w:t>
      </w:r>
    </w:p>
    <w:p w:rsidR="00A7741C" w:rsidRDefault="00D719E0" w:rsidP="00A7741C">
      <w:pPr>
        <w:pStyle w:val="BodyText"/>
      </w:pPr>
      <w:r>
        <w:t>While</w:t>
      </w:r>
      <w:r w:rsidR="00A7741C">
        <w:t xml:space="preserve"> growth in peak demand from the increased penetration of household air-c</w:t>
      </w:r>
      <w:r>
        <w:t xml:space="preserve">onditioning </w:t>
      </w:r>
      <w:r w:rsidR="00B80A73">
        <w:t xml:space="preserve">is </w:t>
      </w:r>
      <w:r>
        <w:t>a</w:t>
      </w:r>
      <w:r w:rsidR="00A7741C">
        <w:t xml:space="preserve"> dilemma for network</w:t>
      </w:r>
      <w:r>
        <w:t xml:space="preserve"> businesses</w:t>
      </w:r>
      <w:r w:rsidR="00FA5134">
        <w:t xml:space="preserve">, </w:t>
      </w:r>
      <w:r>
        <w:t xml:space="preserve">it </w:t>
      </w:r>
      <w:r w:rsidR="00FA5134">
        <w:t xml:space="preserve">does not automatically </w:t>
      </w:r>
      <w:r w:rsidR="00F87FD4">
        <w:t xml:space="preserve">mean </w:t>
      </w:r>
      <w:r>
        <w:lastRenderedPageBreak/>
        <w:t xml:space="preserve">that targeting </w:t>
      </w:r>
      <w:r w:rsidR="000C1492">
        <w:t xml:space="preserve">their </w:t>
      </w:r>
      <w:r>
        <w:t>use will provide the most</w:t>
      </w:r>
      <w:r w:rsidR="00A7741C">
        <w:t xml:space="preserve"> effective solution. </w:t>
      </w:r>
      <w:r w:rsidR="00B80A73">
        <w:t>When demand is at its maximum, any source</w:t>
      </w:r>
      <w:r w:rsidR="00FF6209">
        <w:t xml:space="preserve"> of demand reduction can</w:t>
      </w:r>
      <w:r w:rsidR="00B80A73">
        <w:t xml:space="preserve"> potential</w:t>
      </w:r>
      <w:r w:rsidR="00FF6209">
        <w:t>ly relieve network congestion</w:t>
      </w:r>
      <w:r w:rsidR="00B80A73">
        <w:t xml:space="preserve">. </w:t>
      </w:r>
      <w:r w:rsidR="00A7741C">
        <w:t>As st</w:t>
      </w:r>
      <w:r>
        <w:t xml:space="preserve">ated by </w:t>
      </w:r>
      <w:proofErr w:type="spellStart"/>
      <w:r>
        <w:t>CRA</w:t>
      </w:r>
      <w:proofErr w:type="spellEnd"/>
      <w:r w:rsidR="008362C6">
        <w:t>,</w:t>
      </w:r>
      <w:r>
        <w:t xml:space="preserve"> in evaluating feasible demand management options</w:t>
      </w:r>
      <w:r w:rsidR="00A7741C">
        <w:t>:</w:t>
      </w:r>
    </w:p>
    <w:p w:rsidR="00A7741C" w:rsidRDefault="00D719E0" w:rsidP="00A7741C">
      <w:pPr>
        <w:pStyle w:val="Quote"/>
      </w:pPr>
      <w:r>
        <w:t>… [demand management]</w:t>
      </w:r>
      <w:r w:rsidR="00A7741C">
        <w:t xml:space="preserve"> does not need to come from an end use that is causing peak demand to grow. Rather, any end-use load that can be reliably reduced when the network area experiences a peak is useful </w:t>
      </w:r>
      <w:r>
        <w:t xml:space="preserve">… </w:t>
      </w:r>
      <w:r w:rsidR="00C66F6D">
        <w:t>(2004</w:t>
      </w:r>
      <w:r w:rsidR="00A7741C">
        <w:t xml:space="preserve">, </w:t>
      </w:r>
      <w:proofErr w:type="spellStart"/>
      <w:r w:rsidR="00A7741C">
        <w:t>p.14</w:t>
      </w:r>
      <w:proofErr w:type="spellEnd"/>
      <w:r w:rsidR="00A7741C">
        <w:t>)</w:t>
      </w:r>
    </w:p>
    <w:p w:rsidR="009E3FB0" w:rsidRDefault="00D719E0" w:rsidP="00F24F54">
      <w:pPr>
        <w:pStyle w:val="BodyText"/>
      </w:pPr>
      <w:r>
        <w:t xml:space="preserve">However, </w:t>
      </w:r>
      <w:r w:rsidR="00B80A73">
        <w:t>demand management trials generally show residential customers with air conditioners activated on very hot days are most flexible about reducing their peak consumption</w:t>
      </w:r>
      <w:r w:rsidR="00EA3DB6">
        <w:t xml:space="preserve"> (</w:t>
      </w:r>
      <w:proofErr w:type="spellStart"/>
      <w:r w:rsidR="00EA3DB6">
        <w:t>Futura</w:t>
      </w:r>
      <w:proofErr w:type="spellEnd"/>
      <w:r w:rsidR="00EA3DB6">
        <w:t xml:space="preserve"> 2011)</w:t>
      </w:r>
      <w:r w:rsidR="00B80A73">
        <w:t xml:space="preserve">. Further, </w:t>
      </w:r>
      <w:r>
        <w:t>i</w:t>
      </w:r>
      <w:r w:rsidR="000317D0">
        <w:t xml:space="preserve">n many localised network areas, there would be limited scope to substitute </w:t>
      </w:r>
      <w:r w:rsidR="000C272E">
        <w:t>reductions in peak demand use between residential and business users</w:t>
      </w:r>
      <w:r>
        <w:t xml:space="preserve">, especially in network areas where household peaks in demand occur </w:t>
      </w:r>
      <w:r w:rsidR="00306593">
        <w:t>much earlier or later than</w:t>
      </w:r>
      <w:r w:rsidR="00F90DD4">
        <w:t xml:space="preserve"> usual business hours (figure 9.7</w:t>
      </w:r>
      <w:r w:rsidR="00306593">
        <w:t>).</w:t>
      </w:r>
      <w:r w:rsidR="00B80A73" w:rsidRPr="00B80A73">
        <w:t xml:space="preserve"> </w:t>
      </w:r>
      <w:r w:rsidR="00860C48">
        <w:t>This means it is important that any solutions</w:t>
      </w:r>
      <w:r w:rsidR="001B5DB9">
        <w:t xml:space="preserve"> </w:t>
      </w:r>
      <w:r w:rsidR="00860C48">
        <w:t>consider incentives</w:t>
      </w:r>
      <w:r w:rsidR="001B5DB9">
        <w:t xml:space="preserve"> for households to economise on peak power use</w:t>
      </w:r>
      <w:r w:rsidR="006A317E">
        <w:t>. Ideally, to yield network savings, any incentives should target both</w:t>
      </w:r>
      <w:r w:rsidR="001B5DB9">
        <w:t xml:space="preserve"> the specific times network congestion is experienced </w:t>
      </w:r>
      <w:r w:rsidR="006A317E">
        <w:t>and h</w:t>
      </w:r>
      <w:r w:rsidR="009D2E28">
        <w:t>ouseholds whose load reduction w</w:t>
      </w:r>
      <w:r w:rsidR="006A317E">
        <w:t>ould help to relieve such congestion.</w:t>
      </w:r>
      <w:r w:rsidR="001B5DB9">
        <w:t xml:space="preserve"> </w:t>
      </w:r>
    </w:p>
    <w:p w:rsidR="00207347" w:rsidRDefault="000E20B8" w:rsidP="00207347">
      <w:pPr>
        <w:pStyle w:val="Heading2"/>
      </w:pPr>
      <w:fldSimple w:instr=" COMMENTS  \* MERGEFORMAT ">
        <w:r w:rsidR="000852D8">
          <w:t>9.</w:t>
        </w:r>
      </w:fldSimple>
      <w:fldSimple w:instr=" SEQ Heading2 ">
        <w:r w:rsidR="000852D8">
          <w:rPr>
            <w:noProof/>
          </w:rPr>
          <w:t>4</w:t>
        </w:r>
      </w:fldSimple>
      <w:r w:rsidR="00207347" w:rsidRPr="00CE6F05">
        <w:tab/>
      </w:r>
      <w:r w:rsidR="000163DC">
        <w:t>What is demand</w:t>
      </w:r>
      <w:r w:rsidR="00207347">
        <w:t xml:space="preserve"> management</w:t>
      </w:r>
      <w:r w:rsidR="00B44CC4">
        <w:t xml:space="preserve"> and how can it provide a solution?</w:t>
      </w:r>
    </w:p>
    <w:p w:rsidR="00781D7B" w:rsidRPr="00647B8D" w:rsidRDefault="000163DC" w:rsidP="00E37F17">
      <w:pPr>
        <w:pStyle w:val="BodyText"/>
        <w:rPr>
          <w:spacing w:val="-2"/>
        </w:rPr>
      </w:pPr>
      <w:r w:rsidRPr="00647B8D">
        <w:rPr>
          <w:spacing w:val="-2"/>
        </w:rPr>
        <w:t>Demand</w:t>
      </w:r>
      <w:r w:rsidR="00181C50" w:rsidRPr="00647B8D">
        <w:rPr>
          <w:spacing w:val="-2"/>
        </w:rPr>
        <w:t xml:space="preserve"> management</w:t>
      </w:r>
      <w:r w:rsidR="004673AE" w:rsidRPr="00647B8D">
        <w:rPr>
          <w:rStyle w:val="FootnoteReference"/>
          <w:spacing w:val="-2"/>
        </w:rPr>
        <w:footnoteReference w:id="13"/>
      </w:r>
      <w:r w:rsidR="00181C50" w:rsidRPr="00647B8D">
        <w:rPr>
          <w:spacing w:val="-2"/>
        </w:rPr>
        <w:t xml:space="preserve"> offers</w:t>
      </w:r>
      <w:r w:rsidR="00900E61" w:rsidRPr="00647B8D">
        <w:rPr>
          <w:spacing w:val="-2"/>
        </w:rPr>
        <w:t xml:space="preserve"> a potential solutio</w:t>
      </w:r>
      <w:r w:rsidR="004673AE" w:rsidRPr="00647B8D">
        <w:rPr>
          <w:spacing w:val="-2"/>
        </w:rPr>
        <w:t>n to the problem of peak demand by</w:t>
      </w:r>
      <w:r w:rsidR="002827E6" w:rsidRPr="00647B8D">
        <w:rPr>
          <w:spacing w:val="-2"/>
        </w:rPr>
        <w:t xml:space="preserve"> </w:t>
      </w:r>
      <w:r w:rsidR="000F6911" w:rsidRPr="00647B8D">
        <w:rPr>
          <w:spacing w:val="-2"/>
        </w:rPr>
        <w:t>providing incentives</w:t>
      </w:r>
      <w:r w:rsidR="002827E6" w:rsidRPr="00647B8D">
        <w:rPr>
          <w:spacing w:val="-2"/>
        </w:rPr>
        <w:t xml:space="preserve"> for consumers</w:t>
      </w:r>
      <w:r w:rsidR="0045473D" w:rsidRPr="00647B8D">
        <w:rPr>
          <w:spacing w:val="-2"/>
        </w:rPr>
        <w:t xml:space="preserve"> and business</w:t>
      </w:r>
      <w:r w:rsidR="00B87F0E" w:rsidRPr="00647B8D">
        <w:rPr>
          <w:spacing w:val="-2"/>
        </w:rPr>
        <w:t>es</w:t>
      </w:r>
      <w:r w:rsidR="002827E6" w:rsidRPr="00647B8D">
        <w:rPr>
          <w:spacing w:val="-2"/>
        </w:rPr>
        <w:t xml:space="preserve"> to reduce consumption at costly peak times and, where possible, shift the timing of their power use to non-peak times.</w:t>
      </w:r>
      <w:r w:rsidR="00781D7B" w:rsidRPr="00647B8D">
        <w:rPr>
          <w:spacing w:val="-2"/>
        </w:rPr>
        <w:t xml:space="preserve"> </w:t>
      </w:r>
    </w:p>
    <w:p w:rsidR="00535DCD" w:rsidRPr="00781D7B" w:rsidRDefault="00535DCD" w:rsidP="00F318BD">
      <w:pPr>
        <w:pStyle w:val="Heading4"/>
      </w:pPr>
      <w:r>
        <w:t>Potential benefits of demand management</w:t>
      </w:r>
    </w:p>
    <w:p w:rsidR="00E37F17" w:rsidRDefault="00E37F17" w:rsidP="00E37F17">
      <w:pPr>
        <w:pStyle w:val="BodyText"/>
      </w:pPr>
      <w:r>
        <w:t xml:space="preserve">The economic </w:t>
      </w:r>
      <w:r w:rsidRPr="000F6911">
        <w:t>p</w:t>
      </w:r>
      <w:r>
        <w:t>otential for demand management arises because it can:</w:t>
      </w:r>
    </w:p>
    <w:p w:rsidR="00E37F17" w:rsidRPr="00AE695B" w:rsidRDefault="00E37F17" w:rsidP="00E37F17">
      <w:pPr>
        <w:pStyle w:val="ListBullet"/>
        <w:rPr>
          <w:spacing w:val="-4"/>
        </w:rPr>
      </w:pPr>
      <w:r w:rsidRPr="00AE695B">
        <w:rPr>
          <w:spacing w:val="-4"/>
        </w:rPr>
        <w:t>avoid an inefficiently high rate of peak demand growth</w:t>
      </w:r>
      <w:r w:rsidR="00B30370" w:rsidRPr="00AE695B">
        <w:rPr>
          <w:spacing w:val="-4"/>
        </w:rPr>
        <w:t>,</w:t>
      </w:r>
      <w:r w:rsidR="00967128" w:rsidRPr="00AE695B">
        <w:rPr>
          <w:spacing w:val="-4"/>
        </w:rPr>
        <w:t xml:space="preserve"> delay</w:t>
      </w:r>
      <w:r w:rsidR="00B30370" w:rsidRPr="00AE695B">
        <w:rPr>
          <w:spacing w:val="-4"/>
        </w:rPr>
        <w:t>ing</w:t>
      </w:r>
      <w:r w:rsidR="00967128" w:rsidRPr="00AE695B">
        <w:rPr>
          <w:spacing w:val="-4"/>
        </w:rPr>
        <w:t xml:space="preserve"> the need for network augmentation and red</w:t>
      </w:r>
      <w:r w:rsidR="00400893" w:rsidRPr="00AE695B">
        <w:rPr>
          <w:spacing w:val="-4"/>
        </w:rPr>
        <w:t>ucing</w:t>
      </w:r>
      <w:r w:rsidR="00967128" w:rsidRPr="00AE695B">
        <w:rPr>
          <w:spacing w:val="-4"/>
        </w:rPr>
        <w:t xml:space="preserve"> the size of peak</w:t>
      </w:r>
      <w:r w:rsidR="00041BDB" w:rsidRPr="00AE695B">
        <w:rPr>
          <w:spacing w:val="-4"/>
        </w:rPr>
        <w:t>-specific network</w:t>
      </w:r>
      <w:r w:rsidR="00967128" w:rsidRPr="00AE695B">
        <w:rPr>
          <w:spacing w:val="-4"/>
        </w:rPr>
        <w:t xml:space="preserve"> investments</w:t>
      </w:r>
    </w:p>
    <w:p w:rsidR="001A4E0A" w:rsidRDefault="00E37F17" w:rsidP="00E37F17">
      <w:pPr>
        <w:pStyle w:val="ListBullet"/>
      </w:pPr>
      <w:r>
        <w:t xml:space="preserve">improve the utilisation </w:t>
      </w:r>
      <w:r w:rsidR="001A4E0A">
        <w:t xml:space="preserve">(and productivity) </w:t>
      </w:r>
      <w:r>
        <w:t xml:space="preserve">of supply side capacity </w:t>
      </w:r>
      <w:r w:rsidR="00642521">
        <w:t>by al</w:t>
      </w:r>
      <w:r w:rsidR="00A70CCA">
        <w:t>lowing financial incentives</w:t>
      </w:r>
      <w:r w:rsidR="00642521">
        <w:t xml:space="preserve"> to shift the timing of electricity use and reduce the gap between average and peak consumption — </w:t>
      </w:r>
      <w:r w:rsidR="00300A1A">
        <w:t xml:space="preserve">achieving </w:t>
      </w:r>
      <w:proofErr w:type="spellStart"/>
      <w:r w:rsidR="00300A1A">
        <w:t>allocative</w:t>
      </w:r>
      <w:proofErr w:type="spellEnd"/>
      <w:r w:rsidR="00300A1A">
        <w:t xml:space="preserve"> efficiency</w:t>
      </w:r>
    </w:p>
    <w:p w:rsidR="00E37F17" w:rsidRDefault="002F347F" w:rsidP="00E37F17">
      <w:pPr>
        <w:pStyle w:val="ListBullet"/>
      </w:pPr>
      <w:r>
        <w:t>decrease</w:t>
      </w:r>
      <w:r w:rsidR="00E37F17">
        <w:t xml:space="preserve"> investment in costly peak-generation </w:t>
      </w:r>
      <w:r w:rsidR="008163D5">
        <w:t xml:space="preserve">and reduce generation costs </w:t>
      </w:r>
      <w:r w:rsidR="00B87F0E">
        <w:t xml:space="preserve">by </w:t>
      </w:r>
      <w:r>
        <w:t>reducing</w:t>
      </w:r>
      <w:r w:rsidR="008163D5">
        <w:t xml:space="preserve"> reliance on higher cost peaking supply (open cycle gas turbines) </w:t>
      </w:r>
    </w:p>
    <w:p w:rsidR="00400893" w:rsidRPr="00647B8D" w:rsidRDefault="0045473D" w:rsidP="00400893">
      <w:pPr>
        <w:pStyle w:val="ListBullet"/>
        <w:rPr>
          <w:spacing w:val="-2"/>
        </w:rPr>
      </w:pPr>
      <w:r w:rsidRPr="00647B8D">
        <w:rPr>
          <w:spacing w:val="-2"/>
        </w:rPr>
        <w:lastRenderedPageBreak/>
        <w:t xml:space="preserve">improve competition and </w:t>
      </w:r>
      <w:r w:rsidR="00400893" w:rsidRPr="00647B8D">
        <w:rPr>
          <w:spacing w:val="-2"/>
        </w:rPr>
        <w:t xml:space="preserve">reduce </w:t>
      </w:r>
      <w:r w:rsidRPr="00647B8D">
        <w:rPr>
          <w:spacing w:val="-2"/>
        </w:rPr>
        <w:t>the abilit</w:t>
      </w:r>
      <w:r w:rsidR="00F22602">
        <w:rPr>
          <w:spacing w:val="-2"/>
        </w:rPr>
        <w:t>y of an individual generator to</w:t>
      </w:r>
      <w:r w:rsidR="00B87F0E" w:rsidRPr="00647B8D">
        <w:rPr>
          <w:spacing w:val="-2"/>
        </w:rPr>
        <w:t xml:space="preserve"> exercise market power</w:t>
      </w:r>
      <w:r w:rsidR="00400893" w:rsidRPr="00647B8D">
        <w:rPr>
          <w:spacing w:val="-2"/>
        </w:rPr>
        <w:t xml:space="preserve"> in the wholesale market</w:t>
      </w:r>
      <w:r w:rsidR="00B87F0E" w:rsidRPr="00647B8D">
        <w:rPr>
          <w:spacing w:val="-2"/>
        </w:rPr>
        <w:t xml:space="preserve"> during congestion at peak periods</w:t>
      </w:r>
      <w:r w:rsidR="00F47D04">
        <w:rPr>
          <w:spacing w:val="-2"/>
        </w:rPr>
        <w:t xml:space="preserve"> (</w:t>
      </w:r>
      <w:proofErr w:type="spellStart"/>
      <w:r w:rsidR="00F47D04">
        <w:rPr>
          <w:spacing w:val="-2"/>
        </w:rPr>
        <w:t>Joskow</w:t>
      </w:r>
      <w:proofErr w:type="spellEnd"/>
      <w:r w:rsidR="00F47D04">
        <w:rPr>
          <w:spacing w:val="-2"/>
        </w:rPr>
        <w:t xml:space="preserve"> et al. </w:t>
      </w:r>
      <w:r w:rsidR="00400893" w:rsidRPr="00647B8D">
        <w:rPr>
          <w:spacing w:val="-2"/>
        </w:rPr>
        <w:t xml:space="preserve">2011; </w:t>
      </w:r>
      <w:proofErr w:type="spellStart"/>
      <w:r w:rsidR="00400893" w:rsidRPr="00647B8D">
        <w:rPr>
          <w:spacing w:val="-2"/>
        </w:rPr>
        <w:t>Borenstein</w:t>
      </w:r>
      <w:proofErr w:type="spellEnd"/>
      <w:r w:rsidR="00400893" w:rsidRPr="00647B8D">
        <w:rPr>
          <w:spacing w:val="-2"/>
        </w:rPr>
        <w:t xml:space="preserve"> 2005; Bushnell 2005; </w:t>
      </w:r>
      <w:proofErr w:type="spellStart"/>
      <w:r w:rsidR="00400893" w:rsidRPr="00647B8D">
        <w:rPr>
          <w:spacing w:val="-2"/>
        </w:rPr>
        <w:t>Bore</w:t>
      </w:r>
      <w:r w:rsidR="00647B8D" w:rsidRPr="00647B8D">
        <w:rPr>
          <w:spacing w:val="-2"/>
        </w:rPr>
        <w:t>nstein</w:t>
      </w:r>
      <w:proofErr w:type="spellEnd"/>
      <w:r w:rsidR="00647B8D" w:rsidRPr="00647B8D">
        <w:rPr>
          <w:spacing w:val="-2"/>
        </w:rPr>
        <w:t xml:space="preserve"> and Holland </w:t>
      </w:r>
      <w:r w:rsidR="00400893" w:rsidRPr="00647B8D">
        <w:rPr>
          <w:spacing w:val="-2"/>
        </w:rPr>
        <w:t>2005)</w:t>
      </w:r>
    </w:p>
    <w:p w:rsidR="002F22DE" w:rsidRDefault="00E37F17" w:rsidP="00E37F17">
      <w:pPr>
        <w:pStyle w:val="ListBullet"/>
      </w:pPr>
      <w:r>
        <w:t>improve supply reliability</w:t>
      </w:r>
      <w:r w:rsidR="008163D5">
        <w:t xml:space="preserve">, including </w:t>
      </w:r>
      <w:r w:rsidR="00B30370">
        <w:t>increasing</w:t>
      </w:r>
      <w:r w:rsidR="008163D5">
        <w:t xml:space="preserve"> load shedding options and assisting with the restoration of power after loss </w:t>
      </w:r>
    </w:p>
    <w:p w:rsidR="00400893" w:rsidRDefault="00400893" w:rsidP="00400893">
      <w:pPr>
        <w:pStyle w:val="ListBullet"/>
      </w:pPr>
      <w:r>
        <w:t>reduce volatility in demand</w:t>
      </w:r>
      <w:r w:rsidRPr="008163D5">
        <w:t xml:space="preserve"> </w:t>
      </w:r>
      <w:r>
        <w:t>(and wholesale prices</w:t>
      </w:r>
      <w:r w:rsidR="00436346">
        <w:t>)</w:t>
      </w:r>
    </w:p>
    <w:p w:rsidR="00436346" w:rsidRDefault="008163D5" w:rsidP="00436346">
      <w:pPr>
        <w:pStyle w:val="ListBullet"/>
      </w:pPr>
      <w:r>
        <w:t>allow operational efficiencies for network businesses, including from advanced metering infrastructure</w:t>
      </w:r>
      <w:r w:rsidR="00041BDB">
        <w:t>, which</w:t>
      </w:r>
      <w:r>
        <w:t xml:space="preserve"> enable</w:t>
      </w:r>
      <w:r w:rsidR="00041BDB">
        <w:t>s</w:t>
      </w:r>
      <w:r>
        <w:t xml:space="preserve"> remote access to consumption data, assist</w:t>
      </w:r>
      <w:r w:rsidR="00041BDB">
        <w:t>s</w:t>
      </w:r>
      <w:r>
        <w:t xml:space="preserve"> with more timely and less costly disc</w:t>
      </w:r>
      <w:r w:rsidR="00041BDB">
        <w:t>onnection and reconnection, and</w:t>
      </w:r>
      <w:r w:rsidR="006A2CDA">
        <w:t xml:space="preserve"> </w:t>
      </w:r>
      <w:r>
        <w:t>improve</w:t>
      </w:r>
      <w:r w:rsidR="00041BDB">
        <w:t>s</w:t>
      </w:r>
      <w:r>
        <w:t xml:space="preserve"> </w:t>
      </w:r>
      <w:r w:rsidR="00041BDB">
        <w:t xml:space="preserve">network </w:t>
      </w:r>
      <w:r>
        <w:t>planning and detection of outages</w:t>
      </w:r>
    </w:p>
    <w:p w:rsidR="00E764F6" w:rsidRDefault="006F74F7" w:rsidP="00436346">
      <w:pPr>
        <w:pStyle w:val="ListBullet"/>
      </w:pPr>
      <w:r>
        <w:t>in the short term, provide scope for some consumers to receive reduced electricity bills and</w:t>
      </w:r>
      <w:r w:rsidR="00436346">
        <w:t>,</w:t>
      </w:r>
      <w:r>
        <w:t xml:space="preserve"> in the longer term, could slow the rate of growth of future electricity bills for all consumers</w:t>
      </w:r>
      <w:r w:rsidR="00436346">
        <w:t>.</w:t>
      </w:r>
    </w:p>
    <w:p w:rsidR="00990672" w:rsidRDefault="00134688" w:rsidP="008E1CE7">
      <w:pPr>
        <w:pStyle w:val="BodyText"/>
      </w:pPr>
      <w:r>
        <w:t xml:space="preserve">The </w:t>
      </w:r>
      <w:r w:rsidR="00967128">
        <w:t xml:space="preserve">focus </w:t>
      </w:r>
      <w:r>
        <w:t xml:space="preserve">of this report is </w:t>
      </w:r>
      <w:r w:rsidR="00967128">
        <w:t>on the</w:t>
      </w:r>
      <w:r>
        <w:t xml:space="preserve"> potential for</w:t>
      </w:r>
      <w:r w:rsidR="00990672">
        <w:t xml:space="preserve"> </w:t>
      </w:r>
      <w:r>
        <w:t>demand management to delay</w:t>
      </w:r>
      <w:r w:rsidR="00990672">
        <w:t xml:space="preserve"> the large capital cost of expanding supply-side capacity</w:t>
      </w:r>
      <w:r>
        <w:t xml:space="preserve"> and to improve the overall efficiency of network infrastructure</w:t>
      </w:r>
      <w:r w:rsidR="00990672">
        <w:t>.</w:t>
      </w:r>
      <w:r w:rsidRPr="00134688">
        <w:t xml:space="preserve"> </w:t>
      </w:r>
      <w:r w:rsidR="00990672">
        <w:t>A</w:t>
      </w:r>
      <w:r w:rsidR="008D6397">
        <w:t>n investment that is</w:t>
      </w:r>
      <w:r w:rsidR="00990672">
        <w:t xml:space="preserve"> t</w:t>
      </w:r>
      <w:r w:rsidR="008D6397">
        <w:t>oo early or too large</w:t>
      </w:r>
      <w:r w:rsidR="00990672">
        <w:rPr>
          <w:rStyle w:val="FootnoteReference"/>
        </w:rPr>
        <w:footnoteReference w:id="14"/>
      </w:r>
      <w:r w:rsidR="00990672">
        <w:t xml:space="preserve"> will not be productive</w:t>
      </w:r>
      <w:r w:rsidR="009D5C9D">
        <w:t>, especially</w:t>
      </w:r>
      <w:r w:rsidR="00990672">
        <w:t xml:space="preserve"> if it is used very rarely </w:t>
      </w:r>
      <w:r w:rsidR="00990672" w:rsidRPr="00990672">
        <w:rPr>
          <w:i/>
        </w:rPr>
        <w:t>and</w:t>
      </w:r>
      <w:r w:rsidR="00990672" w:rsidRPr="000F6911">
        <w:t xml:space="preserve"> </w:t>
      </w:r>
      <w:r w:rsidR="00990672">
        <w:t xml:space="preserve">consumers </w:t>
      </w:r>
      <w:r w:rsidR="00535DCD">
        <w:t xml:space="preserve">would not gain sufficient benefit to </w:t>
      </w:r>
      <w:r w:rsidR="009D5C9D">
        <w:t xml:space="preserve">justify the cost of </w:t>
      </w:r>
      <w:r w:rsidR="00535DCD">
        <w:t>the additional capacity</w:t>
      </w:r>
      <w:r w:rsidR="00990672">
        <w:t xml:space="preserve">. </w:t>
      </w:r>
      <w:r w:rsidR="00535DCD">
        <w:rPr>
          <w:spacing w:val="-2"/>
        </w:rPr>
        <w:t xml:space="preserve">Importantly, as noted earlier, reducing peak demand and associated supply side investments is not itself an objective, with reductions in peak consumption only desirable to the extent that the costs of peak consumption exceed end users’ valuation of it. </w:t>
      </w:r>
      <w:r w:rsidR="00535DCD">
        <w:t>However, a</w:t>
      </w:r>
      <w:r w:rsidR="00990672">
        <w:t>llowing consumers to reveal their preferences can</w:t>
      </w:r>
      <w:r w:rsidR="00E37F17">
        <w:t xml:space="preserve"> avoid an </w:t>
      </w:r>
      <w:r w:rsidR="00A37FC3">
        <w:rPr>
          <w:i/>
        </w:rPr>
        <w:t>inefficient</w:t>
      </w:r>
      <w:r w:rsidR="00E37F17">
        <w:t xml:space="preserve"> rate of peak demand growth</w:t>
      </w:r>
      <w:r w:rsidR="00A37FC3">
        <w:t xml:space="preserve"> and</w:t>
      </w:r>
      <w:r w:rsidR="00BB3689">
        <w:t xml:space="preserve">, in turn, improve </w:t>
      </w:r>
      <w:r w:rsidR="002F22DE">
        <w:t>network utilisation.</w:t>
      </w:r>
      <w:r w:rsidR="00A219C1">
        <w:rPr>
          <w:rStyle w:val="FootnoteReference"/>
        </w:rPr>
        <w:footnoteReference w:id="15"/>
      </w:r>
      <w:r w:rsidR="008E1CE7">
        <w:t xml:space="preserve"> </w:t>
      </w:r>
    </w:p>
    <w:p w:rsidR="00A37FC3" w:rsidRDefault="00A37FC3" w:rsidP="00A37FC3">
      <w:pPr>
        <w:pStyle w:val="Heading4"/>
      </w:pPr>
      <w:r>
        <w:t>Demand management options</w:t>
      </w:r>
    </w:p>
    <w:p w:rsidR="002135E0" w:rsidRDefault="002135E0" w:rsidP="002135E0">
      <w:pPr>
        <w:pStyle w:val="BodyText"/>
        <w:rPr>
          <w:spacing w:val="-2"/>
        </w:rPr>
      </w:pPr>
      <w:r>
        <w:rPr>
          <w:spacing w:val="-2"/>
        </w:rPr>
        <w:t xml:space="preserve">Options to implement demand management are broad and </w:t>
      </w:r>
      <w:r>
        <w:t xml:space="preserve">can include a combination of more </w:t>
      </w:r>
      <w:r w:rsidR="009D5C9D">
        <w:t>cost</w:t>
      </w:r>
      <w:r w:rsidR="00163750">
        <w:t>-</w:t>
      </w:r>
      <w:r w:rsidR="009D5C9D">
        <w:t xml:space="preserve">reflective </w:t>
      </w:r>
      <w:r w:rsidR="00A17956">
        <w:t>pricing</w:t>
      </w:r>
      <w:r>
        <w:t>, negot</w:t>
      </w:r>
      <w:r w:rsidR="008D6397">
        <w:t xml:space="preserve">iated load management programs and </w:t>
      </w:r>
      <w:r>
        <w:t>di</w:t>
      </w:r>
      <w:r w:rsidR="008D6397">
        <w:t>stributed generation solutions (chapter 13</w:t>
      </w:r>
      <w:r>
        <w:t>)</w:t>
      </w:r>
      <w:r w:rsidR="008D6397" w:rsidRPr="008D6397">
        <w:rPr>
          <w:spacing w:val="-2"/>
        </w:rPr>
        <w:t xml:space="preserve"> </w:t>
      </w:r>
      <w:r w:rsidR="008D6397">
        <w:rPr>
          <w:spacing w:val="-2"/>
        </w:rPr>
        <w:t>(table 9.1)</w:t>
      </w:r>
      <w:r w:rsidR="008D6397">
        <w:t xml:space="preserve">. Such measures can also be combined with </w:t>
      </w:r>
      <w:r>
        <w:t>information-led behavioural change</w:t>
      </w:r>
      <w:r w:rsidR="008D6397">
        <w:t>.</w:t>
      </w:r>
      <w:r w:rsidR="00F90DD4">
        <w:rPr>
          <w:spacing w:val="-2"/>
        </w:rPr>
        <w:t xml:space="preserve"> </w:t>
      </w:r>
      <w:r w:rsidR="00A17956">
        <w:rPr>
          <w:spacing w:val="-2"/>
        </w:rPr>
        <w:t xml:space="preserve">Some </w:t>
      </w:r>
      <w:r>
        <w:rPr>
          <w:spacing w:val="-2"/>
        </w:rPr>
        <w:t xml:space="preserve">measures will be more </w:t>
      </w:r>
      <w:r>
        <w:rPr>
          <w:spacing w:val="-2"/>
        </w:rPr>
        <w:lastRenderedPageBreak/>
        <w:t>effective at targeting peak consumption than others</w:t>
      </w:r>
      <w:r w:rsidR="00A17956">
        <w:rPr>
          <w:spacing w:val="-2"/>
        </w:rPr>
        <w:t>,</w:t>
      </w:r>
      <w:r>
        <w:rPr>
          <w:spacing w:val="-2"/>
        </w:rPr>
        <w:t xml:space="preserve"> and </w:t>
      </w:r>
      <w:r w:rsidR="00A17956">
        <w:rPr>
          <w:spacing w:val="-2"/>
        </w:rPr>
        <w:t xml:space="preserve">each </w:t>
      </w:r>
      <w:r>
        <w:rPr>
          <w:spacing w:val="-2"/>
        </w:rPr>
        <w:t>will involve different costs to implement. For example, many energy efficiency measures have a</w:t>
      </w:r>
      <w:r w:rsidR="005675A8">
        <w:rPr>
          <w:spacing w:val="-2"/>
        </w:rPr>
        <w:t xml:space="preserve"> ‘conservation effect’ by reducing</w:t>
      </w:r>
      <w:r>
        <w:rPr>
          <w:spacing w:val="-2"/>
        </w:rPr>
        <w:t xml:space="preserve"> consumption across all periods, rather than just ‘clipping the peak’ or shifting load.</w:t>
      </w:r>
      <w:r w:rsidR="009C3DB5">
        <w:rPr>
          <w:rStyle w:val="FootnoteReference"/>
          <w:spacing w:val="-2"/>
        </w:rPr>
        <w:footnoteReference w:id="16"/>
      </w:r>
    </w:p>
    <w:p w:rsidR="00535DCD" w:rsidRDefault="00535DCD" w:rsidP="00535DCD">
      <w:pPr>
        <w:pStyle w:val="TableTitle"/>
      </w:pPr>
      <w:r>
        <w:rPr>
          <w:b w:val="0"/>
        </w:rPr>
        <w:t xml:space="preserve">Table </w:t>
      </w:r>
      <w:fldSimple w:instr=" COMMENTS  \* MERGEFORMAT ">
        <w:r w:rsidR="000852D8" w:rsidRPr="000852D8">
          <w:rPr>
            <w:b w:val="0"/>
          </w:rPr>
          <w:t>9.</w:t>
        </w:r>
      </w:fldSimple>
      <w:r>
        <w:rPr>
          <w:b w:val="0"/>
        </w:rPr>
        <w:fldChar w:fldCharType="begin"/>
      </w:r>
      <w:r>
        <w:rPr>
          <w:b w:val="0"/>
        </w:rPr>
        <w:instrText xml:space="preserve"> SEQ Table \* ARABIC </w:instrText>
      </w:r>
      <w:r>
        <w:rPr>
          <w:b w:val="0"/>
        </w:rPr>
        <w:fldChar w:fldCharType="separate"/>
      </w:r>
      <w:r w:rsidR="000852D8">
        <w:rPr>
          <w:b w:val="0"/>
          <w:noProof/>
        </w:rPr>
        <w:t>1</w:t>
      </w:r>
      <w:r>
        <w:rPr>
          <w:b w:val="0"/>
        </w:rPr>
        <w:fldChar w:fldCharType="end"/>
      </w:r>
      <w:r>
        <w:tab/>
        <w:t>Summary of demand management approaches</w:t>
      </w:r>
    </w:p>
    <w:tbl>
      <w:tblPr>
        <w:tblW w:w="5000" w:type="pct"/>
        <w:tblCellMar>
          <w:left w:w="0" w:type="dxa"/>
          <w:right w:w="0" w:type="dxa"/>
        </w:tblCellMar>
        <w:tblLook w:val="04A0" w:firstRow="1" w:lastRow="0" w:firstColumn="1" w:lastColumn="0" w:noHBand="0" w:noVBand="1"/>
      </w:tblPr>
      <w:tblGrid>
        <w:gridCol w:w="1843"/>
        <w:gridCol w:w="3402"/>
        <w:gridCol w:w="3544"/>
      </w:tblGrid>
      <w:tr w:rsidR="00535DCD" w:rsidTr="003A474C">
        <w:trPr>
          <w:trHeight w:val="526"/>
        </w:trPr>
        <w:tc>
          <w:tcPr>
            <w:tcW w:w="1048" w:type="pct"/>
            <w:tcBorders>
              <w:top w:val="single" w:sz="8" w:space="0" w:color="auto"/>
              <w:left w:val="nil"/>
              <w:bottom w:val="single" w:sz="8" w:space="0" w:color="auto"/>
              <w:right w:val="nil"/>
            </w:tcBorders>
            <w:hideMark/>
          </w:tcPr>
          <w:p w:rsidR="00535DCD" w:rsidRDefault="00535DCD" w:rsidP="00535DCD">
            <w:pPr>
              <w:pStyle w:val="TableColumnHeading"/>
              <w:jc w:val="left"/>
            </w:pPr>
            <w:r>
              <w:t>Name</w:t>
            </w:r>
          </w:p>
        </w:tc>
        <w:tc>
          <w:tcPr>
            <w:tcW w:w="1935" w:type="pct"/>
            <w:tcBorders>
              <w:top w:val="single" w:sz="8" w:space="0" w:color="auto"/>
              <w:left w:val="nil"/>
              <w:bottom w:val="single" w:sz="8" w:space="0" w:color="auto"/>
              <w:right w:val="nil"/>
            </w:tcBorders>
            <w:hideMark/>
          </w:tcPr>
          <w:p w:rsidR="00535DCD" w:rsidRDefault="00535DCD" w:rsidP="00535DCD">
            <w:pPr>
              <w:pStyle w:val="TableColumnHeading"/>
              <w:jc w:val="left"/>
            </w:pPr>
            <w:r>
              <w:t>How it works</w:t>
            </w:r>
          </w:p>
        </w:tc>
        <w:tc>
          <w:tcPr>
            <w:tcW w:w="2016" w:type="pct"/>
            <w:tcBorders>
              <w:top w:val="single" w:sz="8" w:space="0" w:color="auto"/>
              <w:left w:val="nil"/>
              <w:bottom w:val="single" w:sz="8" w:space="0" w:color="auto"/>
              <w:right w:val="nil"/>
            </w:tcBorders>
            <w:hideMark/>
          </w:tcPr>
          <w:p w:rsidR="00535DCD" w:rsidRDefault="00535DCD" w:rsidP="00535DCD">
            <w:pPr>
              <w:pStyle w:val="TableColumnHeading"/>
              <w:ind w:right="28"/>
              <w:jc w:val="left"/>
            </w:pPr>
            <w:r>
              <w:t>Technologies involved</w:t>
            </w:r>
          </w:p>
        </w:tc>
      </w:tr>
      <w:tr w:rsidR="00535DCD" w:rsidTr="003A474C">
        <w:trPr>
          <w:trHeight w:val="680"/>
        </w:trPr>
        <w:tc>
          <w:tcPr>
            <w:tcW w:w="1048" w:type="pct"/>
            <w:hideMark/>
          </w:tcPr>
          <w:p w:rsidR="00535DCD" w:rsidRDefault="00535DCD" w:rsidP="00535DCD">
            <w:pPr>
              <w:pStyle w:val="TableUnitsRow"/>
              <w:jc w:val="left"/>
            </w:pPr>
            <w:r>
              <w:t xml:space="preserve">Cost-reflective pricing </w:t>
            </w:r>
          </w:p>
        </w:tc>
        <w:tc>
          <w:tcPr>
            <w:tcW w:w="1935" w:type="pct"/>
            <w:hideMark/>
          </w:tcPr>
          <w:p w:rsidR="00535DCD" w:rsidRDefault="00535DCD" w:rsidP="00642C08">
            <w:pPr>
              <w:pStyle w:val="TableUnitsRow"/>
              <w:jc w:val="left"/>
            </w:pPr>
            <w:r>
              <w:t xml:space="preserve">Charging customers different amounts for their consumption at different times of the day or year, reflecting the varying costs of delivering electricity at different times of year. These price signals </w:t>
            </w:r>
            <w:r w:rsidR="00642C08">
              <w:t>could</w:t>
            </w:r>
            <w:r>
              <w:t xml:space="preserve"> shift consumption away from the peak.</w:t>
            </w:r>
          </w:p>
        </w:tc>
        <w:tc>
          <w:tcPr>
            <w:tcW w:w="2016" w:type="pct"/>
            <w:hideMark/>
          </w:tcPr>
          <w:p w:rsidR="00535DCD" w:rsidRDefault="00535DCD" w:rsidP="00535DCD">
            <w:pPr>
              <w:pStyle w:val="TableUnitsRow"/>
              <w:ind w:right="28"/>
              <w:jc w:val="left"/>
            </w:pPr>
            <w:r>
              <w:t xml:space="preserve">Advanced/smart meters and associated infrastructure and billing systems. </w:t>
            </w:r>
            <w:r>
              <w:br/>
              <w:t xml:space="preserve">Information and control tools can assist consumers to respond. For example, in-home displays and whole house gateway systems can allow appliances to be individually controlled and automatically adjusted in response to prices. Web portals, </w:t>
            </w:r>
            <w:proofErr w:type="spellStart"/>
            <w:r>
              <w:t>SMS</w:t>
            </w:r>
            <w:proofErr w:type="spellEnd"/>
            <w:r>
              <w:t xml:space="preserve"> and email technologies can notify customers </w:t>
            </w:r>
            <w:r w:rsidR="009D5C9D">
              <w:t xml:space="preserve">in advance </w:t>
            </w:r>
            <w:r>
              <w:t>of high prices and</w:t>
            </w:r>
            <w:r w:rsidR="00DD78FB">
              <w:t xml:space="preserve"> load control events</w:t>
            </w:r>
            <w:r w:rsidR="002F347F">
              <w:t>.</w:t>
            </w:r>
          </w:p>
        </w:tc>
      </w:tr>
      <w:tr w:rsidR="00535DCD" w:rsidTr="003A474C">
        <w:trPr>
          <w:trHeight w:val="932"/>
        </w:trPr>
        <w:tc>
          <w:tcPr>
            <w:tcW w:w="1048" w:type="pct"/>
            <w:hideMark/>
          </w:tcPr>
          <w:p w:rsidR="00535DCD" w:rsidRDefault="00535DCD" w:rsidP="00535DCD">
            <w:pPr>
              <w:pStyle w:val="TableBodyText"/>
              <w:jc w:val="left"/>
            </w:pPr>
            <w:r>
              <w:t>Residential direct load control programs</w:t>
            </w:r>
          </w:p>
        </w:tc>
        <w:tc>
          <w:tcPr>
            <w:tcW w:w="1935" w:type="pct"/>
            <w:hideMark/>
          </w:tcPr>
          <w:p w:rsidR="00535DCD" w:rsidRDefault="00535DCD" w:rsidP="00535DCD">
            <w:pPr>
              <w:pStyle w:val="TableBodyText"/>
              <w:jc w:val="left"/>
            </w:pPr>
            <w:r>
              <w:t>Networks, retailers</w:t>
            </w:r>
            <w:r w:rsidR="00E764F6">
              <w:t xml:space="preserve"> (with the agreement of customers)</w:t>
            </w:r>
            <w:r>
              <w:t xml:space="preserve"> or customers automating the response of household appliances such as air conditioners during network or wholesale ‘peak’ events.</w:t>
            </w:r>
          </w:p>
        </w:tc>
        <w:tc>
          <w:tcPr>
            <w:tcW w:w="2016" w:type="pct"/>
            <w:hideMark/>
          </w:tcPr>
          <w:p w:rsidR="00535DCD" w:rsidRDefault="00535DCD" w:rsidP="00535DCD">
            <w:pPr>
              <w:pStyle w:val="TableBodyText"/>
              <w:ind w:right="28"/>
              <w:jc w:val="left"/>
            </w:pPr>
            <w:r>
              <w:t>‘Demand response enabling devices’ (</w:t>
            </w:r>
            <w:proofErr w:type="spellStart"/>
            <w:r>
              <w:t>DREDs</w:t>
            </w:r>
            <w:proofErr w:type="spellEnd"/>
            <w:r>
              <w:t xml:space="preserve">) and communications infrastructure to interact with them. The ‘enabling device’ can include a smart meter. </w:t>
            </w:r>
          </w:p>
        </w:tc>
      </w:tr>
      <w:tr w:rsidR="00535DCD" w:rsidTr="003A474C">
        <w:trPr>
          <w:trHeight w:val="680"/>
        </w:trPr>
        <w:tc>
          <w:tcPr>
            <w:tcW w:w="1048" w:type="pct"/>
            <w:hideMark/>
          </w:tcPr>
          <w:p w:rsidR="00535DCD" w:rsidRDefault="00535DCD" w:rsidP="00535DCD">
            <w:pPr>
              <w:pStyle w:val="TableBodyText"/>
              <w:jc w:val="left"/>
            </w:pPr>
            <w:r>
              <w:t>Industrial and commercial load management contracts</w:t>
            </w:r>
          </w:p>
        </w:tc>
        <w:tc>
          <w:tcPr>
            <w:tcW w:w="1935" w:type="pct"/>
            <w:hideMark/>
          </w:tcPr>
          <w:p w:rsidR="00535DCD" w:rsidRDefault="00535DCD" w:rsidP="00163750">
            <w:pPr>
              <w:pStyle w:val="TableBodyText"/>
              <w:jc w:val="left"/>
            </w:pPr>
            <w:r>
              <w:t xml:space="preserve">During ‘peak events’ </w:t>
            </w:r>
            <w:r w:rsidR="009D5C9D">
              <w:t>and subject to pre</w:t>
            </w:r>
            <w:r w:rsidR="00163750">
              <w:t>-</w:t>
            </w:r>
            <w:r w:rsidR="009D5C9D">
              <w:t xml:space="preserve">agreed terms, </w:t>
            </w:r>
            <w:r>
              <w:t>industrial or commercial equipment is turned down or off by a network or retailer, or an aggregator working on their behalf. Usually the user can opt out at some cost</w:t>
            </w:r>
            <w:r w:rsidR="00DD78FB">
              <w:t xml:space="preserve"> (based on pre-agreed terms)</w:t>
            </w:r>
            <w:r>
              <w:t>.</w:t>
            </w:r>
          </w:p>
        </w:tc>
        <w:tc>
          <w:tcPr>
            <w:tcW w:w="2016" w:type="pct"/>
            <w:hideMark/>
          </w:tcPr>
          <w:p w:rsidR="00535DCD" w:rsidRDefault="00535DCD" w:rsidP="0076148B">
            <w:pPr>
              <w:pStyle w:val="TableBodyText"/>
              <w:ind w:right="28"/>
              <w:jc w:val="left"/>
            </w:pPr>
            <w:r>
              <w:t xml:space="preserve">A variety of options, from manual responses via emails and </w:t>
            </w:r>
            <w:proofErr w:type="spellStart"/>
            <w:r>
              <w:t>SMS</w:t>
            </w:r>
            <w:proofErr w:type="spellEnd"/>
            <w:r>
              <w:t>, to automated responses with the use of ‘Building Management Systems’, ‘Supervisory Control And Data Acquisition’ systems, ‘Site Servers’ and ‘Network Operation Centres’.</w:t>
            </w:r>
            <w:r>
              <w:rPr>
                <w:rStyle w:val="NoteLabel"/>
                <w:szCs w:val="18"/>
              </w:rPr>
              <w:t>a</w:t>
            </w:r>
          </w:p>
        </w:tc>
      </w:tr>
      <w:tr w:rsidR="00535DCD" w:rsidTr="003A474C">
        <w:trPr>
          <w:trHeight w:val="680"/>
        </w:trPr>
        <w:tc>
          <w:tcPr>
            <w:tcW w:w="1048" w:type="pct"/>
            <w:hideMark/>
          </w:tcPr>
          <w:p w:rsidR="00535DCD" w:rsidRDefault="00535DCD" w:rsidP="00535DCD">
            <w:pPr>
              <w:pStyle w:val="TableBodyText"/>
              <w:jc w:val="left"/>
            </w:pPr>
            <w:r>
              <w:t xml:space="preserve">Distributed generation </w:t>
            </w:r>
            <w:r w:rsidR="003A474C">
              <w:br/>
            </w:r>
            <w:r>
              <w:t>(chapter 13)</w:t>
            </w:r>
          </w:p>
        </w:tc>
        <w:tc>
          <w:tcPr>
            <w:tcW w:w="1935" w:type="pct"/>
            <w:hideMark/>
          </w:tcPr>
          <w:p w:rsidR="00535DCD" w:rsidRDefault="00535DCD" w:rsidP="00190698">
            <w:pPr>
              <w:pStyle w:val="TableBodyText"/>
              <w:jc w:val="left"/>
            </w:pPr>
            <w:r>
              <w:t xml:space="preserve">The production of electricity close to its point of consumption, such that it does not need to pass through </w:t>
            </w:r>
            <w:r w:rsidR="00EA450D">
              <w:t xml:space="preserve">all or any of </w:t>
            </w:r>
            <w:r>
              <w:t xml:space="preserve">the network. A variant on this is ‘fuel substitution’, in which customers are switched from electric to gas appliances. </w:t>
            </w:r>
          </w:p>
        </w:tc>
        <w:tc>
          <w:tcPr>
            <w:tcW w:w="2016" w:type="pct"/>
            <w:hideMark/>
          </w:tcPr>
          <w:p w:rsidR="00535DCD" w:rsidRDefault="00535DCD" w:rsidP="00535DCD">
            <w:pPr>
              <w:pStyle w:val="TableBodyText"/>
              <w:ind w:right="28"/>
              <w:jc w:val="left"/>
            </w:pPr>
            <w:r>
              <w:t>Gas co-generation, gas tri-generation, standby generators, gas heating and solar PV.</w:t>
            </w:r>
          </w:p>
        </w:tc>
      </w:tr>
      <w:tr w:rsidR="00535DCD" w:rsidTr="003A474C">
        <w:trPr>
          <w:trHeight w:val="680"/>
        </w:trPr>
        <w:tc>
          <w:tcPr>
            <w:tcW w:w="1048" w:type="pct"/>
            <w:tcBorders>
              <w:bottom w:val="single" w:sz="4" w:space="0" w:color="auto"/>
            </w:tcBorders>
            <w:hideMark/>
          </w:tcPr>
          <w:p w:rsidR="00535DCD" w:rsidRDefault="00535DCD" w:rsidP="00535DCD">
            <w:pPr>
              <w:pStyle w:val="TableBodyText"/>
              <w:jc w:val="left"/>
            </w:pPr>
            <w:r>
              <w:t>Energy efficiency</w:t>
            </w:r>
          </w:p>
        </w:tc>
        <w:tc>
          <w:tcPr>
            <w:tcW w:w="1935" w:type="pct"/>
            <w:tcBorders>
              <w:bottom w:val="single" w:sz="4" w:space="0" w:color="auto"/>
            </w:tcBorders>
            <w:hideMark/>
          </w:tcPr>
          <w:p w:rsidR="00535DCD" w:rsidRDefault="00535DCD" w:rsidP="00535DCD">
            <w:pPr>
              <w:pStyle w:val="TableBodyText"/>
              <w:jc w:val="left"/>
            </w:pPr>
            <w:r>
              <w:t>Lowering the electricity demands of appliances, including during peak events.</w:t>
            </w:r>
          </w:p>
        </w:tc>
        <w:tc>
          <w:tcPr>
            <w:tcW w:w="2016" w:type="pct"/>
            <w:tcBorders>
              <w:bottom w:val="single" w:sz="4" w:space="0" w:color="auto"/>
            </w:tcBorders>
            <w:hideMark/>
          </w:tcPr>
          <w:p w:rsidR="00535DCD" w:rsidRDefault="00535DCD" w:rsidP="00EA450D">
            <w:pPr>
              <w:pStyle w:val="TableBodyText"/>
              <w:ind w:right="28"/>
              <w:jc w:val="left"/>
            </w:pPr>
            <w:r>
              <w:t>Wide ranging. Many approaches do not h</w:t>
            </w:r>
            <w:r w:rsidR="00DD78FB">
              <w:t>ave a targeted impact during</w:t>
            </w:r>
            <w:r>
              <w:t xml:space="preserve"> peak events</w:t>
            </w:r>
            <w:r w:rsidR="00163750">
              <w:t>.</w:t>
            </w:r>
          </w:p>
        </w:tc>
      </w:tr>
    </w:tbl>
    <w:p w:rsidR="00535DCD" w:rsidRDefault="00535DCD" w:rsidP="00535DCD">
      <w:pPr>
        <w:pStyle w:val="Note"/>
        <w:rPr>
          <w:rFonts w:eastAsiaTheme="minorHAnsi" w:cs="Arial"/>
          <w:szCs w:val="18"/>
        </w:rPr>
      </w:pPr>
      <w:r>
        <w:rPr>
          <w:rStyle w:val="NoteLabel"/>
        </w:rPr>
        <w:t>a</w:t>
      </w:r>
      <w:r>
        <w:t xml:space="preserve"> </w:t>
      </w:r>
      <w:proofErr w:type="spellStart"/>
      <w:r>
        <w:t>EnerNOC</w:t>
      </w:r>
      <w:proofErr w:type="spellEnd"/>
      <w:r>
        <w:t xml:space="preserve"> (Correspondence)</w:t>
      </w:r>
    </w:p>
    <w:p w:rsidR="00535DCD" w:rsidRDefault="00535DCD" w:rsidP="00F318BD">
      <w:pPr>
        <w:pStyle w:val="Heading4"/>
      </w:pPr>
      <w:r>
        <w:lastRenderedPageBreak/>
        <w:t>Consumers respond to price signals</w:t>
      </w:r>
    </w:p>
    <w:p w:rsidR="00F41DC1" w:rsidRPr="0019449B" w:rsidRDefault="00AA4A32" w:rsidP="003E36F3">
      <w:pPr>
        <w:pStyle w:val="BodyText"/>
        <w:rPr>
          <w:spacing w:val="-4"/>
        </w:rPr>
      </w:pPr>
      <w:r w:rsidRPr="0019449B">
        <w:rPr>
          <w:spacing w:val="-4"/>
        </w:rPr>
        <w:t xml:space="preserve">A potentially key tool of demand management is the use of electricity prices that vary to reflect the costs of supply at different times. In principle, such approaches should help ensure that peak network capacity is available for high value uses, in part by allowing cheaper non-peak prices for lower value or less time sensitive uses. Of course, price signals already play a key role in people’s decisions about what, when and how much to consume of many different goods and services, and they are also used to ration scarce capacity in some network industries. Thus, differences in airfares will often influence not just which airline but also which flights travellers choose; while in previous times, cheaper rates after </w:t>
      </w:r>
      <w:proofErr w:type="spellStart"/>
      <w:r w:rsidRPr="0019449B">
        <w:rPr>
          <w:spacing w:val="-4"/>
        </w:rPr>
        <w:t>9pm</w:t>
      </w:r>
      <w:proofErr w:type="spellEnd"/>
      <w:r w:rsidRPr="0019449B">
        <w:rPr>
          <w:spacing w:val="-4"/>
        </w:rPr>
        <w:t xml:space="preserve"> encouraged many people to delay their (then expensive) long distance telephone calls. Although not use</w:t>
      </w:r>
      <w:r w:rsidR="00E82566">
        <w:rPr>
          <w:spacing w:val="-4"/>
        </w:rPr>
        <w:t>d</w:t>
      </w:r>
      <w:r w:rsidRPr="0019449B">
        <w:rPr>
          <w:spacing w:val="-4"/>
        </w:rPr>
        <w:t xml:space="preserve"> extensively to date in Australia to manage electricity demand</w:t>
      </w:r>
      <w:r w:rsidR="00EA450D" w:rsidRPr="0019449B">
        <w:rPr>
          <w:spacing w:val="-4"/>
        </w:rPr>
        <w:t xml:space="preserve"> to households</w:t>
      </w:r>
      <w:r w:rsidRPr="0019449B">
        <w:rPr>
          <w:spacing w:val="-4"/>
        </w:rPr>
        <w:t>, price signalling</w:t>
      </w:r>
      <w:r w:rsidR="0086396F">
        <w:rPr>
          <w:spacing w:val="-4"/>
        </w:rPr>
        <w:t xml:space="preserve"> appears to the Commission to </w:t>
      </w:r>
      <w:r w:rsidRPr="0019449B">
        <w:rPr>
          <w:spacing w:val="-4"/>
        </w:rPr>
        <w:t>o</w:t>
      </w:r>
      <w:r w:rsidR="000952E1" w:rsidRPr="0019449B">
        <w:rPr>
          <w:spacing w:val="-4"/>
        </w:rPr>
        <w:t>ffer significant scope to do so</w:t>
      </w:r>
      <w:r w:rsidRPr="0019449B">
        <w:rPr>
          <w:spacing w:val="-4"/>
        </w:rPr>
        <w:t xml:space="preserve">. </w:t>
      </w:r>
    </w:p>
    <w:p w:rsidR="003E36F3" w:rsidRPr="0019449B" w:rsidRDefault="000952E1" w:rsidP="00190698">
      <w:pPr>
        <w:pStyle w:val="BodyText"/>
        <w:spacing w:before="230"/>
        <w:rPr>
          <w:spacing w:val="-4"/>
        </w:rPr>
      </w:pPr>
      <w:r w:rsidRPr="0019449B">
        <w:rPr>
          <w:spacing w:val="-4"/>
        </w:rPr>
        <w:t xml:space="preserve">However, </w:t>
      </w:r>
      <w:r w:rsidR="003E36F3" w:rsidRPr="0019449B">
        <w:rPr>
          <w:spacing w:val="-4"/>
        </w:rPr>
        <w:t xml:space="preserve">since the implementation of time-based </w:t>
      </w:r>
      <w:r w:rsidR="00EF2A62" w:rsidRPr="0019449B">
        <w:rPr>
          <w:spacing w:val="-4"/>
        </w:rPr>
        <w:t xml:space="preserve">network </w:t>
      </w:r>
      <w:r w:rsidR="003E36F3" w:rsidRPr="0019449B">
        <w:rPr>
          <w:spacing w:val="-4"/>
        </w:rPr>
        <w:t xml:space="preserve">pricing </w:t>
      </w:r>
      <w:r w:rsidR="00B07EAD" w:rsidRPr="0019449B">
        <w:rPr>
          <w:spacing w:val="-4"/>
        </w:rPr>
        <w:t xml:space="preserve">in the electricity market would not be </w:t>
      </w:r>
      <w:r w:rsidR="003E36F3" w:rsidRPr="0019449B">
        <w:rPr>
          <w:spacing w:val="-4"/>
        </w:rPr>
        <w:t>costless and would be a significant change for most consumers, it is sensible to assess the empirical evidence about the performance of pricing approaches in electricity</w:t>
      </w:r>
      <w:r w:rsidRPr="0019449B">
        <w:rPr>
          <w:spacing w:val="-4"/>
        </w:rPr>
        <w:t>, and in particular to what extent consumers respond to price signals</w:t>
      </w:r>
      <w:r w:rsidR="003E36F3" w:rsidRPr="0019449B">
        <w:rPr>
          <w:spacing w:val="-4"/>
        </w:rPr>
        <w:t xml:space="preserve">. </w:t>
      </w:r>
    </w:p>
    <w:p w:rsidR="00DF42D4" w:rsidRDefault="00F61B68" w:rsidP="00190698">
      <w:pPr>
        <w:pStyle w:val="BodyText"/>
        <w:spacing w:before="230"/>
        <w:rPr>
          <w:color w:val="000000" w:themeColor="text1"/>
        </w:rPr>
      </w:pPr>
      <w:r w:rsidRPr="0019449B">
        <w:t xml:space="preserve">Most studies find that Australian consumers </w:t>
      </w:r>
      <w:r w:rsidR="00DE3277" w:rsidRPr="0019449B">
        <w:t>do adjust their consumption in response</w:t>
      </w:r>
      <w:r w:rsidRPr="0019449B">
        <w:t xml:space="preserve"> to time-based pricing. For example, across seven Australian pricing trials, the average reductions in peak demand were between 13–40 per cent (</w:t>
      </w:r>
      <w:proofErr w:type="spellStart"/>
      <w:r w:rsidRPr="0019449B">
        <w:t>Futura</w:t>
      </w:r>
      <w:proofErr w:type="spellEnd"/>
      <w:r w:rsidRPr="0019449B">
        <w:t> 2011). The exte</w:t>
      </w:r>
      <w:r w:rsidR="00190698" w:rsidRPr="0019449B">
        <w:t>nt of response by consumers of course depends</w:t>
      </w:r>
      <w:r w:rsidRPr="0019449B">
        <w:t xml:space="preserve"> on the strength of the price signal</w:t>
      </w:r>
      <w:r w:rsidR="00E764F6" w:rsidRPr="0019449B">
        <w:t xml:space="preserve"> and consumers</w:t>
      </w:r>
      <w:r w:rsidR="0019449B" w:rsidRPr="0019449B">
        <w:t>’</w:t>
      </w:r>
      <w:r w:rsidR="00E764F6" w:rsidRPr="0019449B">
        <w:t xml:space="preserve"> ability to adapt</w:t>
      </w:r>
      <w:r w:rsidRPr="0019449B">
        <w:t xml:space="preserve">. In particular, when prices are </w:t>
      </w:r>
      <w:r w:rsidR="00AE695B">
        <w:t>considerably</w:t>
      </w:r>
      <w:r w:rsidRPr="0019449B">
        <w:t xml:space="preserve"> higher during a declared peak event — </w:t>
      </w:r>
      <w:r w:rsidR="00F21127">
        <w:t>so-called critical peak pricing —</w:t>
      </w:r>
      <w:r w:rsidRPr="0019449B">
        <w:t xml:space="preserve"> the reduction in peak consumption is generally more than four times that under flatter ‘time of use’ tariffs</w:t>
      </w:r>
      <w:r w:rsidR="00B75EBC">
        <w:rPr>
          <w:color w:val="000000" w:themeColor="text1"/>
        </w:rPr>
        <w:t xml:space="preserve"> (</w:t>
      </w:r>
      <w:proofErr w:type="spellStart"/>
      <w:r w:rsidR="00B75EBC">
        <w:rPr>
          <w:color w:val="000000" w:themeColor="text1"/>
        </w:rPr>
        <w:t>ESAA</w:t>
      </w:r>
      <w:proofErr w:type="spellEnd"/>
      <w:r w:rsidR="00B75EBC">
        <w:rPr>
          <w:color w:val="000000" w:themeColor="text1"/>
        </w:rPr>
        <w:t xml:space="preserve"> sub. 23, p. 29; </w:t>
      </w:r>
      <w:proofErr w:type="spellStart"/>
      <w:r w:rsidRPr="0019449B">
        <w:rPr>
          <w:color w:val="000000" w:themeColor="text1"/>
        </w:rPr>
        <w:t>Faruqui</w:t>
      </w:r>
      <w:proofErr w:type="spellEnd"/>
      <w:r w:rsidRPr="0019449B">
        <w:rPr>
          <w:color w:val="000000" w:themeColor="text1"/>
        </w:rPr>
        <w:t xml:space="preserve"> </w:t>
      </w:r>
      <w:proofErr w:type="spellStart"/>
      <w:r w:rsidR="006501C8">
        <w:rPr>
          <w:color w:val="000000" w:themeColor="text1"/>
        </w:rPr>
        <w:t>etal</w:t>
      </w:r>
      <w:proofErr w:type="spellEnd"/>
      <w:r w:rsidR="006501C8">
        <w:rPr>
          <w:color w:val="000000" w:themeColor="text1"/>
        </w:rPr>
        <w:t xml:space="preserve">. </w:t>
      </w:r>
      <w:r w:rsidRPr="0019449B">
        <w:rPr>
          <w:color w:val="000000" w:themeColor="text1"/>
        </w:rPr>
        <w:t xml:space="preserve">2012; </w:t>
      </w:r>
      <w:proofErr w:type="spellStart"/>
      <w:r w:rsidRPr="0019449B">
        <w:rPr>
          <w:color w:val="000000" w:themeColor="text1"/>
        </w:rPr>
        <w:t>Futura</w:t>
      </w:r>
      <w:proofErr w:type="spellEnd"/>
      <w:r w:rsidRPr="0019449B">
        <w:rPr>
          <w:color w:val="000000" w:themeColor="text1"/>
        </w:rPr>
        <w:t xml:space="preserve"> 2011</w:t>
      </w:r>
      <w:r w:rsidR="006501C8">
        <w:rPr>
          <w:color w:val="000000" w:themeColor="text1"/>
        </w:rPr>
        <w:t xml:space="preserve">; </w:t>
      </w:r>
      <w:proofErr w:type="spellStart"/>
      <w:r w:rsidR="006501C8">
        <w:rPr>
          <w:color w:val="000000" w:themeColor="text1"/>
        </w:rPr>
        <w:t>ESAA</w:t>
      </w:r>
      <w:proofErr w:type="spellEnd"/>
      <w:r w:rsidR="006501C8">
        <w:rPr>
          <w:color w:val="000000" w:themeColor="text1"/>
        </w:rPr>
        <w:t xml:space="preserve"> </w:t>
      </w:r>
      <w:proofErr w:type="spellStart"/>
      <w:r w:rsidR="006501C8">
        <w:rPr>
          <w:color w:val="000000" w:themeColor="text1"/>
        </w:rPr>
        <w:t>sub.23</w:t>
      </w:r>
      <w:proofErr w:type="spellEnd"/>
      <w:r w:rsidRPr="0019449B">
        <w:rPr>
          <w:color w:val="000000" w:themeColor="text1"/>
        </w:rPr>
        <w:t xml:space="preserve">). </w:t>
      </w:r>
      <w:r w:rsidR="00993EE9" w:rsidRPr="0019449B">
        <w:rPr>
          <w:color w:val="000000" w:themeColor="text1"/>
        </w:rPr>
        <w:t>(</w:t>
      </w:r>
      <w:r w:rsidRPr="0019449B">
        <w:rPr>
          <w:color w:val="000000" w:themeColor="text1"/>
        </w:rPr>
        <w:t xml:space="preserve">Further empirical evidence on </w:t>
      </w:r>
      <w:r w:rsidR="00BA54C7" w:rsidRPr="0019449B">
        <w:rPr>
          <w:color w:val="000000" w:themeColor="text1"/>
        </w:rPr>
        <w:t>consumer’s price responsiveness, and</w:t>
      </w:r>
      <w:r w:rsidRPr="0019449B">
        <w:rPr>
          <w:color w:val="000000" w:themeColor="text1"/>
        </w:rPr>
        <w:t xml:space="preserve"> flexib</w:t>
      </w:r>
      <w:r w:rsidR="00BA54C7" w:rsidRPr="0019449B">
        <w:rPr>
          <w:color w:val="000000" w:themeColor="text1"/>
        </w:rPr>
        <w:t xml:space="preserve">ility </w:t>
      </w:r>
      <w:r w:rsidRPr="0019449B">
        <w:rPr>
          <w:color w:val="000000" w:themeColor="text1"/>
        </w:rPr>
        <w:t>with the timing of their electricity use</w:t>
      </w:r>
      <w:r w:rsidR="00BA54C7" w:rsidRPr="0019449B">
        <w:rPr>
          <w:color w:val="000000" w:themeColor="text1"/>
        </w:rPr>
        <w:t>,</w:t>
      </w:r>
      <w:r w:rsidRPr="0019449B">
        <w:rPr>
          <w:color w:val="000000" w:themeColor="text1"/>
        </w:rPr>
        <w:t xml:space="preserve"> </w:t>
      </w:r>
      <w:r w:rsidR="00993EE9" w:rsidRPr="0019449B">
        <w:rPr>
          <w:color w:val="000000" w:themeColor="text1"/>
        </w:rPr>
        <w:t>is summarised in box 9.3</w:t>
      </w:r>
      <w:r w:rsidR="00DD78FB">
        <w:rPr>
          <w:color w:val="000000" w:themeColor="text1"/>
        </w:rPr>
        <w:t>.</w:t>
      </w:r>
      <w:r w:rsidR="00993EE9" w:rsidRPr="0019449B">
        <w:rPr>
          <w:color w:val="000000" w:themeColor="text1"/>
        </w:rPr>
        <w:t>)</w:t>
      </w:r>
    </w:p>
    <w:p w:rsidR="00993EE9" w:rsidRPr="009C3DB5" w:rsidRDefault="00B012A5" w:rsidP="00190698">
      <w:pPr>
        <w:pStyle w:val="BodyText"/>
        <w:spacing w:before="230"/>
        <w:rPr>
          <w:spacing w:val="-4"/>
        </w:rPr>
      </w:pPr>
      <w:r>
        <w:rPr>
          <w:spacing w:val="-4"/>
        </w:rPr>
        <w:t>P</w:t>
      </w:r>
      <w:r w:rsidR="00993EE9" w:rsidRPr="009C3DB5">
        <w:rPr>
          <w:spacing w:val="-4"/>
        </w:rPr>
        <w:t>ricing on its own may not be enough to support an efficient consumption response</w:t>
      </w:r>
      <w:r w:rsidR="00A37F47">
        <w:rPr>
          <w:spacing w:val="-4"/>
        </w:rPr>
        <w:t xml:space="preserve"> — a</w:t>
      </w:r>
      <w:r w:rsidR="00993EE9">
        <w:rPr>
          <w:spacing w:val="-4"/>
        </w:rPr>
        <w:t xml:space="preserve"> point made by</w:t>
      </w:r>
      <w:r w:rsidR="00993EE9" w:rsidRPr="009C3DB5">
        <w:rPr>
          <w:spacing w:val="-4"/>
        </w:rPr>
        <w:t xml:space="preserve"> </w:t>
      </w:r>
      <w:r w:rsidR="00993EE9">
        <w:rPr>
          <w:spacing w:val="-4"/>
        </w:rPr>
        <w:t>the Standing Council on Energy and Resources:</w:t>
      </w:r>
    </w:p>
    <w:p w:rsidR="00993EE9" w:rsidRDefault="00993EE9" w:rsidP="00993EE9">
      <w:pPr>
        <w:pStyle w:val="Quote"/>
      </w:pPr>
      <w:r>
        <w:t>Many consumers have limited knowledge of and engagement with their electricity consumption and may not understand the new pricing structures sufficiently well to take advantage of new opportunities. (2011</w:t>
      </w:r>
      <w:r w:rsidR="006501C8">
        <w:t>a</w:t>
      </w:r>
      <w:r>
        <w:t>, p. 16)</w:t>
      </w:r>
    </w:p>
    <w:p w:rsidR="00993EE9" w:rsidRDefault="00993EE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93EE9">
        <w:tc>
          <w:tcPr>
            <w:tcW w:w="8771" w:type="dxa"/>
            <w:tcBorders>
              <w:top w:val="single" w:sz="6" w:space="0" w:color="auto"/>
              <w:bottom w:val="nil"/>
            </w:tcBorders>
          </w:tcPr>
          <w:p w:rsidR="00993EE9" w:rsidRDefault="00993EE9" w:rsidP="00351541">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Box \* ARABIC </w:instrText>
            </w:r>
            <w:r>
              <w:rPr>
                <w:b w:val="0"/>
              </w:rPr>
              <w:fldChar w:fldCharType="separate"/>
            </w:r>
            <w:r w:rsidR="000852D8">
              <w:rPr>
                <w:b w:val="0"/>
                <w:noProof/>
              </w:rPr>
              <w:t>3</w:t>
            </w:r>
            <w:r>
              <w:rPr>
                <w:b w:val="0"/>
              </w:rPr>
              <w:fldChar w:fldCharType="end"/>
            </w:r>
            <w:r>
              <w:tab/>
            </w:r>
            <w:r w:rsidR="00351541">
              <w:t>C</w:t>
            </w:r>
            <w:r>
              <w:t>onsum</w:t>
            </w:r>
            <w:r w:rsidR="00351541">
              <w:t>pti</w:t>
            </w:r>
            <w:r w:rsidR="007560BF">
              <w:t xml:space="preserve">on responsiveness to </w:t>
            </w:r>
            <w:r w:rsidR="00350785">
              <w:t>time-based</w:t>
            </w:r>
            <w:r w:rsidR="00351541">
              <w:t xml:space="preserve"> prices</w:t>
            </w:r>
            <w:r w:rsidRPr="00BA54C7">
              <w:rPr>
                <w:rStyle w:val="FootnoteReference"/>
                <w:rFonts w:ascii="Arial" w:hAnsi="Arial" w:cs="Arial"/>
              </w:rPr>
              <w:footnoteReference w:id="17"/>
            </w:r>
          </w:p>
        </w:tc>
      </w:tr>
      <w:tr w:rsidR="00993EE9">
        <w:trPr>
          <w:cantSplit/>
        </w:trPr>
        <w:tc>
          <w:tcPr>
            <w:tcW w:w="8771" w:type="dxa"/>
            <w:tcBorders>
              <w:top w:val="nil"/>
              <w:left w:val="single" w:sz="6" w:space="0" w:color="auto"/>
              <w:bottom w:val="nil"/>
              <w:right w:val="single" w:sz="6" w:space="0" w:color="auto"/>
            </w:tcBorders>
          </w:tcPr>
          <w:p w:rsidR="00993EE9" w:rsidRDefault="00BA54C7" w:rsidP="00993EE9">
            <w:pPr>
              <w:pStyle w:val="Box"/>
            </w:pPr>
            <w:r>
              <w:t>Findings of s</w:t>
            </w:r>
            <w:r w:rsidR="00993EE9">
              <w:t xml:space="preserve">tudies examining households’ responses to time-based </w:t>
            </w:r>
            <w:r w:rsidR="00351541">
              <w:t xml:space="preserve">electricity </w:t>
            </w:r>
            <w:r w:rsidR="00993EE9">
              <w:t xml:space="preserve">pricing </w:t>
            </w:r>
            <w:r>
              <w:t>include</w:t>
            </w:r>
            <w:r w:rsidR="00993EE9">
              <w:t>:</w:t>
            </w:r>
          </w:p>
          <w:p w:rsidR="00993EE9" w:rsidRDefault="00993EE9" w:rsidP="00993EE9">
            <w:pPr>
              <w:pStyle w:val="BoxListBullet"/>
            </w:pPr>
            <w:r>
              <w:t>consumers primarily shift power from peak to n</w:t>
            </w:r>
            <w:r w:rsidR="00F22602">
              <w:t>on-peak times, but total demand</w:t>
            </w:r>
            <w:r>
              <w:t xml:space="preserve"> also falls (the ‘conservation effect’), </w:t>
            </w:r>
            <w:r w:rsidR="00BA54C7">
              <w:t>although</w:t>
            </w:r>
            <w:r>
              <w:t xml:space="preserve"> usually by no more tha</w:t>
            </w:r>
            <w:r w:rsidR="009E1BDF">
              <w:t>n 10 per cent (</w:t>
            </w:r>
            <w:proofErr w:type="spellStart"/>
            <w:r w:rsidR="009E1BDF">
              <w:t>Simshauser</w:t>
            </w:r>
            <w:proofErr w:type="spellEnd"/>
            <w:r w:rsidR="009E1BDF">
              <w:t xml:space="preserve"> 2012)</w:t>
            </w:r>
          </w:p>
          <w:p w:rsidR="00993EE9" w:rsidRDefault="00993EE9" w:rsidP="00993EE9">
            <w:pPr>
              <w:pStyle w:val="BoxListBullet"/>
            </w:pPr>
            <w:r>
              <w:t>the more extreme the climate in a particular region (either hot or cold), the greater the responsiveness</w:t>
            </w:r>
          </w:p>
          <w:p w:rsidR="00993EE9" w:rsidRDefault="00993EE9" w:rsidP="00993EE9">
            <w:pPr>
              <w:pStyle w:val="BoxListBullet"/>
            </w:pPr>
            <w:r>
              <w:t xml:space="preserve">households with air-conditioners are consistently more responsive at peak times than those without. Moreover, houses with air-conditioning usually demonstrate a capacity to shift their load into non-peak periods, rather than only reduce their total consumption </w:t>
            </w:r>
            <w:r w:rsidRPr="002631F1">
              <w:t>(</w:t>
            </w:r>
            <w:proofErr w:type="spellStart"/>
            <w:r w:rsidRPr="002631F1">
              <w:t>CRA</w:t>
            </w:r>
            <w:proofErr w:type="spellEnd"/>
            <w:r>
              <w:t> </w:t>
            </w:r>
            <w:r w:rsidRPr="002631F1">
              <w:t xml:space="preserve"> 2005; </w:t>
            </w:r>
            <w:proofErr w:type="spellStart"/>
            <w:r w:rsidRPr="002631F1">
              <w:t>NERA</w:t>
            </w:r>
            <w:proofErr w:type="spellEnd"/>
            <w:r>
              <w:t> </w:t>
            </w:r>
            <w:r w:rsidRPr="002631F1">
              <w:t xml:space="preserve"> </w:t>
            </w:r>
            <w:proofErr w:type="spellStart"/>
            <w:r w:rsidRPr="002631F1">
              <w:t>2008</w:t>
            </w:r>
            <w:r w:rsidR="004C3D7B">
              <w:t>b</w:t>
            </w:r>
            <w:proofErr w:type="spellEnd"/>
            <w:r w:rsidRPr="002631F1">
              <w:t xml:space="preserve">; </w:t>
            </w:r>
            <w:proofErr w:type="spellStart"/>
            <w:r w:rsidRPr="002631F1">
              <w:t>Futura</w:t>
            </w:r>
            <w:proofErr w:type="spellEnd"/>
            <w:r>
              <w:t> </w:t>
            </w:r>
            <w:r w:rsidR="00CB07DF">
              <w:t xml:space="preserve"> 2009</w:t>
            </w:r>
            <w:r w:rsidRPr="002631F1">
              <w:t>)</w:t>
            </w:r>
            <w:r>
              <w:t xml:space="preserve"> </w:t>
            </w:r>
          </w:p>
          <w:p w:rsidR="00993EE9" w:rsidRDefault="00993EE9" w:rsidP="00993EE9">
            <w:pPr>
              <w:pStyle w:val="BoxListBullet"/>
            </w:pPr>
            <w:r>
              <w:t>households are generally less responsive to high peak charges</w:t>
            </w:r>
            <w:r w:rsidRPr="00780389">
              <w:t xml:space="preserve"> </w:t>
            </w:r>
            <w:r>
              <w:t>during winter, which is relevant to some New South Wales regions and Tasmania, where winter peaks are higher than summer peaks</w:t>
            </w:r>
          </w:p>
          <w:p w:rsidR="00993EE9" w:rsidRDefault="00993EE9" w:rsidP="00993EE9">
            <w:pPr>
              <w:pStyle w:val="BoxListBullet"/>
              <w:rPr>
                <w:spacing w:val="-2"/>
              </w:rPr>
            </w:pPr>
            <w:r w:rsidRPr="00CD5F39">
              <w:rPr>
                <w:spacing w:val="-4"/>
              </w:rPr>
              <w:t>although consumers will normally continue to show some responsiveness to successive price increases during peak events, the increme</w:t>
            </w:r>
            <w:r w:rsidR="00CD5F39" w:rsidRPr="00CD5F39">
              <w:rPr>
                <w:spacing w:val="-4"/>
              </w:rPr>
              <w:t>ntal response tends to tail off (</w:t>
            </w:r>
            <w:proofErr w:type="spellStart"/>
            <w:r w:rsidR="00CD5F39" w:rsidRPr="00CD5F39">
              <w:rPr>
                <w:spacing w:val="-4"/>
              </w:rPr>
              <w:t>Borenstein</w:t>
            </w:r>
            <w:proofErr w:type="spellEnd"/>
            <w:r w:rsidR="00F56262">
              <w:rPr>
                <w:spacing w:val="-4"/>
              </w:rPr>
              <w:t xml:space="preserve"> et al.</w:t>
            </w:r>
            <w:r w:rsidR="00CD5F39" w:rsidRPr="00CD5F39">
              <w:rPr>
                <w:spacing w:val="-4"/>
              </w:rPr>
              <w:t> 2011</w:t>
            </w:r>
            <w:r w:rsidRPr="00CD5F39">
              <w:rPr>
                <w:spacing w:val="-4"/>
              </w:rPr>
              <w:t xml:space="preserve">; Caves, Christensen and </w:t>
            </w:r>
            <w:proofErr w:type="spellStart"/>
            <w:r w:rsidRPr="00CD5F39">
              <w:rPr>
                <w:spacing w:val="-4"/>
              </w:rPr>
              <w:t>Herriges</w:t>
            </w:r>
            <w:proofErr w:type="spellEnd"/>
            <w:r w:rsidRPr="00CD5F39">
              <w:rPr>
                <w:spacing w:val="-4"/>
              </w:rPr>
              <w:t xml:space="preserve">, 1984; </w:t>
            </w:r>
            <w:proofErr w:type="spellStart"/>
            <w:r w:rsidRPr="00CD5F39">
              <w:rPr>
                <w:spacing w:val="-4"/>
              </w:rPr>
              <w:t>Faruqui</w:t>
            </w:r>
            <w:proofErr w:type="spellEnd"/>
            <w:r w:rsidRPr="00CD5F39">
              <w:rPr>
                <w:spacing w:val="-4"/>
              </w:rPr>
              <w:t xml:space="preserve"> a</w:t>
            </w:r>
            <w:r w:rsidR="00FE7BC4">
              <w:rPr>
                <w:spacing w:val="-4"/>
              </w:rPr>
              <w:t xml:space="preserve">nd Palmer  2012; </w:t>
            </w:r>
            <w:proofErr w:type="spellStart"/>
            <w:r w:rsidR="00FE7BC4">
              <w:rPr>
                <w:spacing w:val="-4"/>
              </w:rPr>
              <w:t>Simshauser</w:t>
            </w:r>
            <w:proofErr w:type="spellEnd"/>
            <w:r w:rsidR="00FE7BC4">
              <w:rPr>
                <w:spacing w:val="-4"/>
              </w:rPr>
              <w:t> 2012</w:t>
            </w:r>
            <w:r w:rsidRPr="00CD5F39">
              <w:rPr>
                <w:spacing w:val="-4"/>
              </w:rPr>
              <w:t xml:space="preserve">; </w:t>
            </w:r>
            <w:proofErr w:type="spellStart"/>
            <w:r w:rsidRPr="00CD5F39">
              <w:rPr>
                <w:spacing w:val="-4"/>
              </w:rPr>
              <w:t>Faruqui</w:t>
            </w:r>
            <w:proofErr w:type="spellEnd"/>
            <w:r w:rsidRPr="00CD5F39">
              <w:rPr>
                <w:spacing w:val="-4"/>
              </w:rPr>
              <w:t xml:space="preserve"> and </w:t>
            </w:r>
            <w:proofErr w:type="spellStart"/>
            <w:r w:rsidRPr="00CD5F39">
              <w:rPr>
                <w:spacing w:val="-4"/>
              </w:rPr>
              <w:t>Sergici</w:t>
            </w:r>
            <w:proofErr w:type="spellEnd"/>
            <w:r w:rsidRPr="00CD5F39">
              <w:rPr>
                <w:spacing w:val="-4"/>
              </w:rPr>
              <w:t> 2010).</w:t>
            </w:r>
            <w:r w:rsidRPr="00E43135">
              <w:rPr>
                <w:spacing w:val="-2"/>
              </w:rPr>
              <w:t xml:space="preserve"> Such a result is consistent with increasingly </w:t>
            </w:r>
            <w:r w:rsidR="00E764F6">
              <w:rPr>
                <w:spacing w:val="-2"/>
              </w:rPr>
              <w:t>fewer</w:t>
            </w:r>
            <w:r w:rsidRPr="00E43135">
              <w:rPr>
                <w:spacing w:val="-2"/>
              </w:rPr>
              <w:t xml:space="preserve"> discretionary uses being available as consumers curtail their load in response to higher and higher prices. </w:t>
            </w:r>
            <w:r w:rsidR="006F74F7">
              <w:rPr>
                <w:spacing w:val="-2"/>
              </w:rPr>
              <w:t>As an extreme</w:t>
            </w:r>
            <w:r w:rsidR="006F74F7" w:rsidRPr="00E43135">
              <w:rPr>
                <w:spacing w:val="-2"/>
              </w:rPr>
              <w:t xml:space="preserve"> </w:t>
            </w:r>
            <w:r w:rsidRPr="00E43135">
              <w:rPr>
                <w:spacing w:val="-2"/>
              </w:rPr>
              <w:t>example</w:t>
            </w:r>
            <w:r w:rsidR="006F74F7">
              <w:rPr>
                <w:spacing w:val="-2"/>
              </w:rPr>
              <w:t>,</w:t>
            </w:r>
            <w:r w:rsidRPr="00E43135">
              <w:rPr>
                <w:spacing w:val="-2"/>
              </w:rPr>
              <w:t xml:space="preserve"> the </w:t>
            </w:r>
            <w:proofErr w:type="spellStart"/>
            <w:r w:rsidRPr="00E43135">
              <w:rPr>
                <w:spacing w:val="-2"/>
              </w:rPr>
              <w:t>Ausgrid</w:t>
            </w:r>
            <w:proofErr w:type="spellEnd"/>
            <w:r w:rsidRPr="00E43135">
              <w:rPr>
                <w:spacing w:val="-2"/>
              </w:rPr>
              <w:t xml:space="preserve"> Strategic Pricing Study</w:t>
            </w:r>
            <w:r w:rsidR="006F74F7">
              <w:rPr>
                <w:spacing w:val="-2"/>
              </w:rPr>
              <w:t xml:space="preserve"> fou</w:t>
            </w:r>
            <w:r w:rsidR="00642C08">
              <w:rPr>
                <w:spacing w:val="-2"/>
              </w:rPr>
              <w:t>n</w:t>
            </w:r>
            <w:r w:rsidR="006F74F7">
              <w:rPr>
                <w:spacing w:val="-2"/>
              </w:rPr>
              <w:t xml:space="preserve">d </w:t>
            </w:r>
            <w:r w:rsidRPr="00E43135">
              <w:rPr>
                <w:spacing w:val="-2"/>
              </w:rPr>
              <w:t>no greater response among customers facing a peak to off-peak price ratio of 31, ov</w:t>
            </w:r>
            <w:r w:rsidR="009E1BDF">
              <w:rPr>
                <w:spacing w:val="-2"/>
              </w:rPr>
              <w:t>er those facing a 13 fold ratio</w:t>
            </w:r>
            <w:r w:rsidRPr="00E43135">
              <w:rPr>
                <w:rStyle w:val="FootnoteReference"/>
                <w:spacing w:val="-2"/>
              </w:rPr>
              <w:footnoteReference w:id="18"/>
            </w:r>
          </w:p>
          <w:p w:rsidR="006D21CC" w:rsidRPr="00E43135" w:rsidRDefault="00CD5F39" w:rsidP="0076148B">
            <w:pPr>
              <w:pStyle w:val="BoxListBullet2"/>
              <w:rPr>
                <w:szCs w:val="22"/>
                <w:lang w:eastAsia="en-US"/>
              </w:rPr>
            </w:pPr>
            <w:r>
              <w:t>H</w:t>
            </w:r>
            <w:r w:rsidR="006D21CC">
              <w:t>owever, some customers facing the higher price did not have in home displays</w:t>
            </w:r>
            <w:r>
              <w:t>,</w:t>
            </w:r>
            <w:r w:rsidR="00870622">
              <w:t xml:space="preserve"> </w:t>
            </w:r>
            <w:r>
              <w:t xml:space="preserve">unlike </w:t>
            </w:r>
            <w:r w:rsidR="00870622">
              <w:t>all consumers facing the lower price (</w:t>
            </w:r>
            <w:proofErr w:type="spellStart"/>
            <w:r w:rsidR="00870622">
              <w:t>Futura</w:t>
            </w:r>
            <w:proofErr w:type="spellEnd"/>
            <w:r w:rsidR="00870622">
              <w:t> 2011)</w:t>
            </w:r>
            <w:r w:rsidR="009E1BDF">
              <w:t>.</w:t>
            </w:r>
          </w:p>
          <w:p w:rsidR="00993EE9" w:rsidRDefault="00993EE9" w:rsidP="00993EE9">
            <w:pPr>
              <w:pStyle w:val="BoxListBullet"/>
            </w:pPr>
            <w:r w:rsidRPr="002631F1">
              <w:t>the addition of technology to automatically turn off, turn down or cycle appliances, or notify homeowners of critical peaks</w:t>
            </w:r>
            <w:r>
              <w:t xml:space="preserve"> and other price information</w:t>
            </w:r>
            <w:r w:rsidRPr="002631F1">
              <w:t>, increases the average response (</w:t>
            </w:r>
            <w:proofErr w:type="spellStart"/>
            <w:r w:rsidRPr="002631F1">
              <w:t>Faruqui</w:t>
            </w:r>
            <w:proofErr w:type="spellEnd"/>
            <w:r w:rsidRPr="002631F1">
              <w:t xml:space="preserve"> and Palmer</w:t>
            </w:r>
            <w:r>
              <w:t> </w:t>
            </w:r>
            <w:r w:rsidRPr="002631F1">
              <w:t xml:space="preserve"> 2012)</w:t>
            </w:r>
            <w:r>
              <w:t>. For example:</w:t>
            </w:r>
          </w:p>
          <w:p w:rsidR="00993EE9" w:rsidRDefault="00993EE9" w:rsidP="00993EE9">
            <w:pPr>
              <w:pStyle w:val="BoxListBullet2"/>
            </w:pPr>
            <w:r>
              <w:t xml:space="preserve">notifying customers (usually 24 hours) in advance of a critical peak event (such as through email, </w:t>
            </w:r>
            <w:proofErr w:type="spellStart"/>
            <w:r>
              <w:t>SMS</w:t>
            </w:r>
            <w:proofErr w:type="spellEnd"/>
            <w:r>
              <w:t xml:space="preserve">, web portal, or using an in-home display) assists consumers to prepare to shift their load, maintain their comfort and reduce the possibility for inconvenience </w:t>
            </w:r>
          </w:p>
          <w:p w:rsidR="00993EE9" w:rsidRPr="00993EE9" w:rsidRDefault="00993EE9" w:rsidP="00993EE9">
            <w:pPr>
              <w:pStyle w:val="BoxListBullet2"/>
              <w:rPr>
                <w:spacing w:val="-4"/>
              </w:rPr>
            </w:pPr>
            <w:r w:rsidRPr="003E5AD3">
              <w:rPr>
                <w:spacing w:val="-4"/>
              </w:rPr>
              <w:t>in the absence of price signals, assistive technologies and information about energy use general</w:t>
            </w:r>
            <w:r>
              <w:rPr>
                <w:spacing w:val="-4"/>
              </w:rPr>
              <w:t>ly has little impact (</w:t>
            </w:r>
            <w:proofErr w:type="spellStart"/>
            <w:r w:rsidRPr="003E5AD3">
              <w:rPr>
                <w:spacing w:val="-4"/>
              </w:rPr>
              <w:t>Ausgrid</w:t>
            </w:r>
            <w:proofErr w:type="spellEnd"/>
            <w:r w:rsidRPr="003E5AD3">
              <w:rPr>
                <w:spacing w:val="-4"/>
              </w:rPr>
              <w:t xml:space="preserve"> strategic pricing study and Californ</w:t>
            </w:r>
            <w:r>
              <w:rPr>
                <w:spacing w:val="-4"/>
              </w:rPr>
              <w:t>ia state-wide pricing project).</w:t>
            </w:r>
          </w:p>
        </w:tc>
      </w:tr>
      <w:tr w:rsidR="00993EE9">
        <w:trPr>
          <w:cantSplit/>
        </w:trPr>
        <w:tc>
          <w:tcPr>
            <w:tcW w:w="8771" w:type="dxa"/>
            <w:tcBorders>
              <w:top w:val="nil"/>
              <w:left w:val="single" w:sz="6" w:space="0" w:color="auto"/>
              <w:bottom w:val="single" w:sz="6" w:space="0" w:color="auto"/>
              <w:right w:val="single" w:sz="6" w:space="0" w:color="auto"/>
            </w:tcBorders>
          </w:tcPr>
          <w:p w:rsidR="00993EE9" w:rsidRDefault="00993EE9">
            <w:pPr>
              <w:pStyle w:val="Box"/>
              <w:spacing w:before="0" w:line="120" w:lineRule="exact"/>
            </w:pPr>
          </w:p>
        </w:tc>
      </w:tr>
      <w:tr w:rsidR="00993EE9" w:rsidRPr="000863A5">
        <w:tc>
          <w:tcPr>
            <w:tcW w:w="8771" w:type="dxa"/>
            <w:tcBorders>
              <w:top w:val="nil"/>
              <w:left w:val="nil"/>
              <w:bottom w:val="nil"/>
              <w:right w:val="nil"/>
            </w:tcBorders>
          </w:tcPr>
          <w:p w:rsidR="00993EE9" w:rsidRPr="000863A5" w:rsidRDefault="00993EE9" w:rsidP="008A2973">
            <w:pPr>
              <w:pStyle w:val="Box"/>
              <w:keepNext w:val="0"/>
              <w:spacing w:before="60" w:after="60" w:line="80" w:lineRule="exact"/>
              <w:rPr>
                <w:b/>
                <w:sz w:val="14"/>
              </w:rPr>
            </w:pPr>
          </w:p>
        </w:tc>
      </w:tr>
    </w:tbl>
    <w:p w:rsidR="00CD5F39" w:rsidRDefault="00CD5F39" w:rsidP="00CD5F39">
      <w:pPr>
        <w:pStyle w:val="BodyText"/>
        <w:spacing w:before="230"/>
      </w:pPr>
      <w:r>
        <w:lastRenderedPageBreak/>
        <w:t>Nevertheless, as discussed in box 9.4, imperfect information, along with cognitive and behaviou</w:t>
      </w:r>
      <w:r w:rsidR="00EF19E2">
        <w:t>ral traits among consumers, do</w:t>
      </w:r>
      <w:r>
        <w:t xml:space="preserve"> not preclude the use of pricing to manage demand, although they may have implications for how such pricing is introduced and the role of complementary reforms.</w:t>
      </w:r>
    </w:p>
    <w:p w:rsidR="00CD5F39" w:rsidRDefault="00CD5F39" w:rsidP="00CD5F39">
      <w:pPr>
        <w:pStyle w:val="BodyText"/>
        <w:spacing w:before="230"/>
      </w:pPr>
      <w:r>
        <w:t xml:space="preserve">For example, with the agreement of customers, </w:t>
      </w:r>
      <w:r w:rsidR="009E1BDF">
        <w:t>tools to assist consumers to reduce their consumption during peak hours and to take advantage of lower prices at all other times may complement demand management</w:t>
      </w:r>
      <w:r>
        <w:t>. Tools could include:</w:t>
      </w:r>
    </w:p>
    <w:p w:rsidR="00CD5F39" w:rsidRDefault="00CD5F39" w:rsidP="00CD5F39">
      <w:pPr>
        <w:pStyle w:val="ListBullet"/>
        <w:spacing w:before="110"/>
      </w:pPr>
      <w:r>
        <w:t>technologies and devices to communicate cons</w:t>
      </w:r>
      <w:r w:rsidR="009E1BDF">
        <w:t>umption and pricing information</w:t>
      </w:r>
      <w:r>
        <w:t xml:space="preserve"> to consumers</w:t>
      </w:r>
      <w:r w:rsidR="009E1BDF">
        <w:t>,</w:t>
      </w:r>
      <w:r>
        <w:t xml:space="preserve"> which allow them to modify their behaviour to achieve energy savings</w:t>
      </w:r>
    </w:p>
    <w:p w:rsidR="00CD5F39" w:rsidRDefault="00CD5F39" w:rsidP="00CD5F39">
      <w:pPr>
        <w:pStyle w:val="ListBullet"/>
        <w:spacing w:before="110"/>
      </w:pPr>
      <w:r>
        <w:t xml:space="preserve">access to demand management services and programs (such as </w:t>
      </w:r>
      <w:r w:rsidR="00654B27">
        <w:t xml:space="preserve">those </w:t>
      </w:r>
      <w:r>
        <w:t xml:space="preserve">provided by retailers or other third parties). For example, a customer may choose to participate in direct load control of appliances to ensure that lapses in their monitoring of prices or appliance usage would not expose them to high bills </w:t>
      </w:r>
    </w:p>
    <w:p w:rsidR="00CD5F39" w:rsidRDefault="00CD5F39" w:rsidP="00CD5F39">
      <w:pPr>
        <w:pStyle w:val="ListBullet"/>
        <w:spacing w:before="110"/>
      </w:pPr>
      <w:r>
        <w:t>access to education on options to change consumption habits.</w:t>
      </w:r>
    </w:p>
    <w:p w:rsidR="00CD5F39" w:rsidRDefault="00CD5F39" w:rsidP="00CD5F39">
      <w:pPr>
        <w:pStyle w:val="BodyText"/>
      </w:pPr>
      <w:r>
        <w:t xml:space="preserve">Acceptance of new pricing arrangements can be encouraged by educating consumers about the real costs of peak-time consumption. People may be willing to change their behaviour if they are aware of the broader benefits of curtailing peak demands. Few people realise the real costs of supplying power for just a few hours of peak demand. </w:t>
      </w:r>
    </w:p>
    <w:p w:rsidR="00CD5F39" w:rsidRDefault="00CD5F39" w:rsidP="00CD5F39">
      <w:pPr>
        <w:pStyle w:val="Heading4"/>
      </w:pPr>
      <w:r>
        <w:t>… but ‘peaky’ consumers will not volunteer to pay</w:t>
      </w:r>
    </w:p>
    <w:p w:rsidR="00AE695B" w:rsidRDefault="00CD5F39" w:rsidP="00AE695B">
      <w:pPr>
        <w:pStyle w:val="BodyText"/>
      </w:pPr>
      <w:r>
        <w:t>Network benefits will only be realised if a sufficient number of consumers are influenced to adapt the pattern and timing of their electricity use, or to pay the true cost-reflective price for their consumption during peak times. As such, the scale of demand management is therefore particularly important. Allowing consumers to ‘volunteer’ to face the true costs of their consumption results not only in low uptake, but also in a low level of consumptio</w:t>
      </w:r>
      <w:r w:rsidR="00AE695B">
        <w:t xml:space="preserve">n response. </w:t>
      </w:r>
    </w:p>
    <w:p w:rsidR="00CD5F39" w:rsidRPr="00993EE9" w:rsidRDefault="00AE695B" w:rsidP="00AE695B">
      <w:pPr>
        <w:pStyle w:val="BodyText"/>
      </w:pPr>
      <w:r>
        <w:t>T</w:t>
      </w:r>
      <w:r w:rsidR="00CD5F39">
        <w:t>he efficiencies from demand management come from behavioural change. Inevitably, they are greatest when more peaky users are exposed to the true costs of their consumption habits — an outcome they would be unlikely to voluntarily choose as, at least initially, they could face higher bills (unless they immediately adjusted their consumption patterns)</w:t>
      </w:r>
      <w:r w:rsidR="00CD5F39" w:rsidRPr="002B77CC">
        <w:rPr>
          <w:spacing w:val="-2"/>
        </w:rPr>
        <w:t xml:space="preserve">. </w:t>
      </w:r>
    </w:p>
    <w:p w:rsidR="0039037D" w:rsidRDefault="0039037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9037D">
        <w:tc>
          <w:tcPr>
            <w:tcW w:w="8771" w:type="dxa"/>
            <w:tcBorders>
              <w:top w:val="single" w:sz="6" w:space="0" w:color="auto"/>
              <w:bottom w:val="nil"/>
            </w:tcBorders>
          </w:tcPr>
          <w:p w:rsidR="0039037D" w:rsidRDefault="0039037D" w:rsidP="0039037D">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Box \* ARABIC </w:instrText>
            </w:r>
            <w:r>
              <w:rPr>
                <w:b w:val="0"/>
              </w:rPr>
              <w:fldChar w:fldCharType="separate"/>
            </w:r>
            <w:r w:rsidR="000852D8">
              <w:rPr>
                <w:b w:val="0"/>
                <w:noProof/>
              </w:rPr>
              <w:t>4</w:t>
            </w:r>
            <w:r>
              <w:rPr>
                <w:b w:val="0"/>
              </w:rPr>
              <w:fldChar w:fldCharType="end"/>
            </w:r>
            <w:r>
              <w:tab/>
              <w:t>Behavioural traits would not preclude cost-reflective pricing</w:t>
            </w:r>
          </w:p>
        </w:tc>
      </w:tr>
      <w:tr w:rsidR="0039037D">
        <w:trPr>
          <w:cantSplit/>
        </w:trPr>
        <w:tc>
          <w:tcPr>
            <w:tcW w:w="8771" w:type="dxa"/>
            <w:tcBorders>
              <w:top w:val="nil"/>
              <w:left w:val="single" w:sz="6" w:space="0" w:color="auto"/>
              <w:bottom w:val="nil"/>
              <w:right w:val="single" w:sz="6" w:space="0" w:color="auto"/>
            </w:tcBorders>
          </w:tcPr>
          <w:p w:rsidR="0039037D" w:rsidRDefault="0039037D" w:rsidP="0039037D">
            <w:pPr>
              <w:pStyle w:val="Box"/>
              <w:rPr>
                <w:lang w:val="en-US"/>
              </w:rPr>
            </w:pPr>
            <w:r>
              <w:rPr>
                <w:lang w:val="en-US"/>
              </w:rPr>
              <w:t xml:space="preserve">While price signals guide many aspects of consumption and production in advanced Western economies such as Australia, it is sometimes asserted in debates about electricity market reform that consumers either wouldn’t or couldn’t respond to </w:t>
            </w:r>
            <w:r w:rsidR="00350785">
              <w:rPr>
                <w:lang w:val="en-US"/>
              </w:rPr>
              <w:t>time-based</w:t>
            </w:r>
            <w:r>
              <w:rPr>
                <w:lang w:val="en-US"/>
              </w:rPr>
              <w:t xml:space="preserve"> tariffs and adapt the timing of their power use. To the extent elaborated on, these arguments rest on the perceived pervasiveness and effects of cognitive limitations and behavioral biases among consumers, including:</w:t>
            </w:r>
          </w:p>
          <w:p w:rsidR="0039037D" w:rsidRDefault="0039037D" w:rsidP="0039037D">
            <w:pPr>
              <w:pStyle w:val="BoxListBullet"/>
              <w:rPr>
                <w:lang w:val="en-US"/>
              </w:rPr>
            </w:pPr>
            <w:r>
              <w:rPr>
                <w:lang w:val="en-US"/>
              </w:rPr>
              <w:t xml:space="preserve">the suggested limited capacity of consumers to digest pricing information </w:t>
            </w:r>
          </w:p>
          <w:p w:rsidR="0039037D" w:rsidRDefault="0039037D" w:rsidP="0039037D">
            <w:pPr>
              <w:pStyle w:val="BoxListBullet"/>
              <w:rPr>
                <w:lang w:val="en-US"/>
              </w:rPr>
            </w:pPr>
            <w:r>
              <w:rPr>
                <w:lang w:val="en-US"/>
              </w:rPr>
              <w:t>‘status quo’ bias related to the familiarity of consumers with flat price structures</w:t>
            </w:r>
          </w:p>
          <w:p w:rsidR="0039037D" w:rsidRDefault="0039037D" w:rsidP="0039037D">
            <w:pPr>
              <w:pStyle w:val="BoxListBullet"/>
              <w:rPr>
                <w:lang w:val="en-US"/>
              </w:rPr>
            </w:pPr>
            <w:r>
              <w:rPr>
                <w:lang w:val="en-US"/>
              </w:rPr>
              <w:t xml:space="preserve">consumer preferences for certainty and valuing loss aversion more than </w:t>
            </w:r>
            <w:r w:rsidR="007B5E33">
              <w:rPr>
                <w:lang w:val="en-US"/>
              </w:rPr>
              <w:t xml:space="preserve">seeking </w:t>
            </w:r>
            <w:r>
              <w:rPr>
                <w:lang w:val="en-US"/>
              </w:rPr>
              <w:t>opportunities for savings</w:t>
            </w:r>
          </w:p>
          <w:p w:rsidR="0039037D" w:rsidRPr="00302667" w:rsidRDefault="0039037D" w:rsidP="0039037D">
            <w:pPr>
              <w:pStyle w:val="BoxListBullet"/>
              <w:rPr>
                <w:lang w:val="en-US"/>
              </w:rPr>
            </w:pPr>
            <w:r>
              <w:rPr>
                <w:lang w:val="en-US"/>
              </w:rPr>
              <w:t>consumer time preferences, including a bias against immediate costs even if these may be outweighed by future benefits</w:t>
            </w:r>
            <w:r w:rsidR="009E1BDF">
              <w:rPr>
                <w:lang w:val="en-US"/>
              </w:rPr>
              <w:t>.</w:t>
            </w:r>
            <w:r>
              <w:rPr>
                <w:lang w:val="en-US"/>
              </w:rPr>
              <w:t xml:space="preserve"> (For example, smart meters represent an immediate cost, while savings from reduced supply-side capacity are</w:t>
            </w:r>
            <w:r w:rsidR="00654B27">
              <w:rPr>
                <w:lang w:val="en-US"/>
              </w:rPr>
              <w:t xml:space="preserve"> realised in the</w:t>
            </w:r>
            <w:r>
              <w:rPr>
                <w:lang w:val="en-US"/>
              </w:rPr>
              <w:t xml:space="preserve"> medium to long term</w:t>
            </w:r>
            <w:r w:rsidR="009E1BDF">
              <w:rPr>
                <w:lang w:val="en-US"/>
              </w:rPr>
              <w:t>.).</w:t>
            </w:r>
            <w:r>
              <w:rPr>
                <w:lang w:val="en-US"/>
              </w:rPr>
              <w:t xml:space="preserve"> (</w:t>
            </w:r>
            <w:proofErr w:type="spellStart"/>
            <w:r>
              <w:rPr>
                <w:lang w:val="en-US"/>
              </w:rPr>
              <w:t>Ofgem</w:t>
            </w:r>
            <w:proofErr w:type="spellEnd"/>
            <w:r>
              <w:rPr>
                <w:lang w:val="en-US"/>
              </w:rPr>
              <w:t xml:space="preserve"> 2011) </w:t>
            </w:r>
          </w:p>
          <w:p w:rsidR="00535DCD" w:rsidRDefault="0039037D" w:rsidP="0039037D">
            <w:pPr>
              <w:pStyle w:val="Box"/>
            </w:pPr>
            <w:r>
              <w:t>The Commission has examined issues around cognitive limitations and behavioural biases in a number of settings (for</w:t>
            </w:r>
            <w:r w:rsidR="009E1BDF">
              <w:t xml:space="preserve"> example, IC 1996;</w:t>
            </w:r>
            <w:r w:rsidR="009F4170">
              <w:t xml:space="preserve"> PC 1999, 2008</w:t>
            </w:r>
            <w:r>
              <w:t>, 2010</w:t>
            </w:r>
            <w:r w:rsidR="00870622">
              <w:t xml:space="preserve">, </w:t>
            </w:r>
            <w:proofErr w:type="spellStart"/>
            <w:r w:rsidR="00870622">
              <w:t>2012</w:t>
            </w:r>
            <w:r w:rsidR="004C3D7B">
              <w:t>a</w:t>
            </w:r>
            <w:proofErr w:type="spellEnd"/>
            <w:r w:rsidR="00A37F47">
              <w:t xml:space="preserve">). </w:t>
            </w:r>
            <w:r w:rsidR="00535DCD">
              <w:t>M</w:t>
            </w:r>
            <w:r>
              <w:t xml:space="preserve">any if not all consumers exhibit some of these traits, </w:t>
            </w:r>
            <w:r w:rsidR="00535DCD">
              <w:t xml:space="preserve">which may have implications for appropriate implementation of </w:t>
            </w:r>
            <w:r w:rsidR="00A37F47">
              <w:t xml:space="preserve">demand management initiatives such as </w:t>
            </w:r>
            <w:r w:rsidR="00535DCD">
              <w:t>time-based pricing.</w:t>
            </w:r>
          </w:p>
          <w:p w:rsidR="0039037D" w:rsidRDefault="00535DCD" w:rsidP="0039037D">
            <w:pPr>
              <w:pStyle w:val="Box"/>
              <w:rPr>
                <w:szCs w:val="22"/>
                <w:lang w:eastAsia="en-US"/>
              </w:rPr>
            </w:pPr>
            <w:r w:rsidRPr="00316001">
              <w:t xml:space="preserve">However, </w:t>
            </w:r>
            <w:r w:rsidR="0039037D" w:rsidRPr="00316001">
              <w:t xml:space="preserve">the Commission does not consider that they would preclude adaption to </w:t>
            </w:r>
            <w:r w:rsidR="00350785">
              <w:t>time-based</w:t>
            </w:r>
            <w:r w:rsidR="0039037D" w:rsidRPr="00316001">
              <w:t xml:space="preserve"> pricing by most consumers. Consumers</w:t>
            </w:r>
            <w:r w:rsidR="0039037D">
              <w:t xml:space="preserve"> already interact with various forms of dynamic or time-based pricing. That include</w:t>
            </w:r>
            <w:r w:rsidR="007D74E6">
              <w:t>s</w:t>
            </w:r>
            <w:r w:rsidR="0039037D">
              <w:t xml:space="preserve"> </w:t>
            </w:r>
            <w:r w:rsidR="00DD0386">
              <w:t xml:space="preserve">purchasing </w:t>
            </w:r>
            <w:r w:rsidR="0039037D">
              <w:t>airline ticket</w:t>
            </w:r>
            <w:r w:rsidR="007D74E6">
              <w:t>s</w:t>
            </w:r>
            <w:r w:rsidR="0039037D">
              <w:t>, rent</w:t>
            </w:r>
            <w:r w:rsidR="007D74E6">
              <w:t>ing</w:t>
            </w:r>
            <w:r w:rsidR="0039037D">
              <w:t xml:space="preserve"> car</w:t>
            </w:r>
            <w:r w:rsidR="007D74E6">
              <w:t>s</w:t>
            </w:r>
            <w:r w:rsidR="0039037D">
              <w:t>, park</w:t>
            </w:r>
            <w:r w:rsidR="007D74E6">
              <w:t>ing</w:t>
            </w:r>
            <w:r w:rsidR="0039037D">
              <w:t xml:space="preserve"> in a major city, purchas</w:t>
            </w:r>
            <w:r w:rsidR="007D74E6">
              <w:t>ing</w:t>
            </w:r>
            <w:r w:rsidR="0039037D">
              <w:t xml:space="preserve"> seasonal vegetables, and </w:t>
            </w:r>
            <w:r w:rsidR="007D74E6">
              <w:t>driving across Sydney Harbour Bridge</w:t>
            </w:r>
            <w:r w:rsidR="00DD0386">
              <w:t xml:space="preserve">. </w:t>
            </w:r>
          </w:p>
          <w:p w:rsidR="0039037D" w:rsidRDefault="0039037D" w:rsidP="00C776A6">
            <w:pPr>
              <w:pStyle w:val="Box"/>
            </w:pPr>
            <w:r>
              <w:t xml:space="preserve">Moreover, for </w:t>
            </w:r>
            <w:r w:rsidR="00350785">
              <w:t>time-based</w:t>
            </w:r>
            <w:r>
              <w:t xml:space="preserve"> pricing to be effective does not require that all consumers adjust their behaviour. For example, for some consumers, an apparent disinterest in new forms of pricing is likely to reflect that electricity is a relatively low share of their budget. Some of these consumers may well be willing to </w:t>
            </w:r>
            <w:r w:rsidR="00C776A6">
              <w:t>‘</w:t>
            </w:r>
            <w:r w:rsidR="007D74E6">
              <w:t>tolerate</w:t>
            </w:r>
            <w:r>
              <w:t>’ higher prices than undertake the effort needed to reduce their consumption. For many households</w:t>
            </w:r>
            <w:r w:rsidR="002C27A9">
              <w:t xml:space="preserve">, including </w:t>
            </w:r>
            <w:r w:rsidR="00C776A6">
              <w:t xml:space="preserve">many of </w:t>
            </w:r>
            <w:r w:rsidR="002C27A9">
              <w:t>those</w:t>
            </w:r>
            <w:r>
              <w:t xml:space="preserve"> on low incomes</w:t>
            </w:r>
            <w:r w:rsidR="002C27A9">
              <w:t xml:space="preserve"> for which</w:t>
            </w:r>
            <w:r>
              <w:t xml:space="preserve"> the </w:t>
            </w:r>
            <w:r w:rsidR="007B5E33">
              <w:t xml:space="preserve">cost </w:t>
            </w:r>
            <w:r>
              <w:t xml:space="preserve">of electricity is </w:t>
            </w:r>
            <w:r w:rsidR="007B5E33">
              <w:t xml:space="preserve">a </w:t>
            </w:r>
            <w:r>
              <w:t>significantly higher</w:t>
            </w:r>
            <w:r w:rsidR="007B5E33">
              <w:t xml:space="preserve"> proportion of their overall expenditure</w:t>
            </w:r>
            <w:r>
              <w:t xml:space="preserve">, the opportunity to save money by shifting the timing of </w:t>
            </w:r>
            <w:r w:rsidR="007B5E33">
              <w:t xml:space="preserve">their </w:t>
            </w:r>
            <w:r>
              <w:t xml:space="preserve">consumption (and no longer cross subsidise the peaky use of other consumers) </w:t>
            </w:r>
            <w:r w:rsidR="007D74E6">
              <w:t>might</w:t>
            </w:r>
            <w:r>
              <w:t xml:space="preserve"> be an attractive proposition.</w:t>
            </w:r>
            <w:r w:rsidR="00326B15">
              <w:t xml:space="preserve"> </w:t>
            </w:r>
          </w:p>
        </w:tc>
      </w:tr>
      <w:tr w:rsidR="0039037D">
        <w:trPr>
          <w:cantSplit/>
        </w:trPr>
        <w:tc>
          <w:tcPr>
            <w:tcW w:w="8771" w:type="dxa"/>
            <w:tcBorders>
              <w:top w:val="nil"/>
              <w:left w:val="single" w:sz="6" w:space="0" w:color="auto"/>
              <w:bottom w:val="single" w:sz="6" w:space="0" w:color="auto"/>
              <w:right w:val="single" w:sz="6" w:space="0" w:color="auto"/>
            </w:tcBorders>
          </w:tcPr>
          <w:p w:rsidR="0039037D" w:rsidRDefault="0039037D">
            <w:pPr>
              <w:pStyle w:val="Box"/>
              <w:spacing w:before="0" w:line="120" w:lineRule="exact"/>
            </w:pPr>
          </w:p>
        </w:tc>
      </w:tr>
      <w:tr w:rsidR="0039037D" w:rsidRPr="000863A5">
        <w:tc>
          <w:tcPr>
            <w:tcW w:w="8771" w:type="dxa"/>
            <w:tcBorders>
              <w:top w:val="nil"/>
              <w:left w:val="nil"/>
              <w:bottom w:val="nil"/>
              <w:right w:val="nil"/>
            </w:tcBorders>
          </w:tcPr>
          <w:p w:rsidR="0039037D" w:rsidRPr="000863A5" w:rsidRDefault="0039037D" w:rsidP="0039037D">
            <w:pPr>
              <w:pStyle w:val="Box"/>
              <w:keepNext w:val="0"/>
              <w:spacing w:before="60" w:after="60" w:line="80" w:lineRule="exact"/>
              <w:rPr>
                <w:b/>
                <w:sz w:val="14"/>
              </w:rPr>
            </w:pPr>
          </w:p>
        </w:tc>
      </w:tr>
    </w:tbl>
    <w:p w:rsidR="00912CB6" w:rsidRPr="002C27A9" w:rsidRDefault="00121E1D" w:rsidP="00912CB6">
      <w:pPr>
        <w:pStyle w:val="BodyText"/>
        <w:rPr>
          <w:spacing w:val="-2"/>
        </w:rPr>
      </w:pPr>
      <w:r w:rsidRPr="002C27A9">
        <w:rPr>
          <w:spacing w:val="-2"/>
        </w:rPr>
        <w:t>Those</w:t>
      </w:r>
      <w:r w:rsidR="00912CB6" w:rsidRPr="002C27A9">
        <w:rPr>
          <w:spacing w:val="-2"/>
        </w:rPr>
        <w:t xml:space="preserve"> consumers who are initially worse off </w:t>
      </w:r>
      <w:r w:rsidRPr="002C27A9">
        <w:rPr>
          <w:spacing w:val="-2"/>
        </w:rPr>
        <w:t xml:space="preserve">due to being exposed to the real costs of their consumption patterns </w:t>
      </w:r>
      <w:r w:rsidR="00912CB6" w:rsidRPr="002C27A9">
        <w:rPr>
          <w:spacing w:val="-2"/>
        </w:rPr>
        <w:t xml:space="preserve">would have an option (and incentive) to shift the timing of their use and take advantage of much cheaper non-peak prices. Importantly, given the </w:t>
      </w:r>
      <w:r w:rsidR="00912CB6" w:rsidRPr="002C27A9">
        <w:rPr>
          <w:spacing w:val="-2"/>
        </w:rPr>
        <w:lastRenderedPageBreak/>
        <w:t>direction of cross-subsidisation across consumers, more cost reflective pricing would be likely to benefit many lower income consumers.</w:t>
      </w:r>
      <w:r w:rsidR="00912CB6" w:rsidRPr="002C27A9">
        <w:rPr>
          <w:rStyle w:val="FootnoteReference"/>
          <w:spacing w:val="-2"/>
        </w:rPr>
        <w:footnoteReference w:id="19"/>
      </w:r>
    </w:p>
    <w:p w:rsidR="002135E0" w:rsidRDefault="00616B28" w:rsidP="002135E0">
      <w:pPr>
        <w:pStyle w:val="BodyText"/>
      </w:pPr>
      <w:r w:rsidRPr="002C27A9">
        <w:t>Given the above principles, broader application of t</w:t>
      </w:r>
      <w:r w:rsidR="002135E0" w:rsidRPr="002C27A9">
        <w:t>ime-</w:t>
      </w:r>
      <w:r w:rsidR="002C27A9">
        <w:t>based</w:t>
      </w:r>
      <w:r w:rsidR="002C27A9" w:rsidRPr="002C27A9">
        <w:t xml:space="preserve"> </w:t>
      </w:r>
      <w:r w:rsidR="00326B15" w:rsidRPr="002C27A9">
        <w:t>cost-reflective</w:t>
      </w:r>
      <w:r w:rsidR="00326B15">
        <w:t xml:space="preserve"> </w:t>
      </w:r>
      <w:r w:rsidR="00121E1D">
        <w:t xml:space="preserve">network </w:t>
      </w:r>
      <w:r w:rsidR="002135E0">
        <w:t xml:space="preserve">pricing is central to informing consumers about the </w:t>
      </w:r>
      <w:r w:rsidR="007455E1">
        <w:t xml:space="preserve">actual costs arising from their consumption patterns, and the </w:t>
      </w:r>
      <w:r w:rsidR="002135E0">
        <w:t xml:space="preserve">benefits of changing </w:t>
      </w:r>
      <w:r w:rsidR="007455E1">
        <w:t>those</w:t>
      </w:r>
      <w:r w:rsidR="002135E0">
        <w:t xml:space="preserve"> </w:t>
      </w:r>
      <w:r w:rsidR="007455E1">
        <w:t>patterns</w:t>
      </w:r>
      <w:r w:rsidR="002135E0">
        <w:t xml:space="preserve">, including motivating their participation in load control options. In its absence, </w:t>
      </w:r>
      <w:r w:rsidR="00B949FC">
        <w:t>individual consumers have limited choice</w:t>
      </w:r>
      <w:r w:rsidR="002135E0">
        <w:t xml:space="preserve"> about ways to lower their electricity bills</w:t>
      </w:r>
      <w:r w:rsidR="00121E1D">
        <w:t>, apart from reducing overall demand</w:t>
      </w:r>
      <w:r w:rsidR="00316001">
        <w:t>,</w:t>
      </w:r>
      <w:r w:rsidR="00121E1D">
        <w:t xml:space="preserve"> which </w:t>
      </w:r>
      <w:r w:rsidR="00316001">
        <w:t>does not</w:t>
      </w:r>
      <w:r w:rsidR="00121E1D">
        <w:t xml:space="preserve"> help reduce peak demand</w:t>
      </w:r>
      <w:r w:rsidR="002135E0">
        <w:t xml:space="preserve">. </w:t>
      </w:r>
      <w:r w:rsidR="009C3DB5">
        <w:t xml:space="preserve">Although </w:t>
      </w:r>
      <w:r w:rsidR="00D45DDF">
        <w:t xml:space="preserve">not all consumers would </w:t>
      </w:r>
      <w:r w:rsidR="00326B15">
        <w:t xml:space="preserve">immediately </w:t>
      </w:r>
      <w:r w:rsidR="00D45DDF">
        <w:t xml:space="preserve">embrace time-based </w:t>
      </w:r>
      <w:r w:rsidR="00121E1D">
        <w:t xml:space="preserve">network </w:t>
      </w:r>
      <w:r w:rsidR="00D45DDF">
        <w:t>pricing, most parties, including the AER, accept these principles</w:t>
      </w:r>
      <w:r w:rsidR="002135E0">
        <w:t>:</w:t>
      </w:r>
    </w:p>
    <w:p w:rsidR="002135E0" w:rsidRDefault="002135E0" w:rsidP="002135E0">
      <w:pPr>
        <w:pStyle w:val="Quote"/>
      </w:pPr>
      <w:r>
        <w:t>The AER considers effective price signalling to be a necessary feature of any market that seeks to enable behavioural change by empowering participants to make efficient decisions. Further, by making visible the true value of the costs of energy, they provide a mechanism for participants to obtain benefits from facilitating peak demand reductions, and negotiate in an informe</w:t>
      </w:r>
      <w:r w:rsidR="00410E62">
        <w:t>d manner. (2012, p. 3 sub to</w:t>
      </w:r>
      <w:r>
        <w:t xml:space="preserve"> </w:t>
      </w:r>
      <w:proofErr w:type="spellStart"/>
      <w:r>
        <w:t>PoC</w:t>
      </w:r>
      <w:proofErr w:type="spellEnd"/>
      <w:r>
        <w:t xml:space="preserve"> Review)</w:t>
      </w:r>
    </w:p>
    <w:p w:rsidR="00D3271D" w:rsidRDefault="000E20B8" w:rsidP="00D3271D">
      <w:pPr>
        <w:pStyle w:val="Heading2"/>
      </w:pPr>
      <w:fldSimple w:instr=" COMMENTS  \* MERGEFORMAT ">
        <w:r w:rsidR="000852D8">
          <w:t>9.</w:t>
        </w:r>
      </w:fldSimple>
      <w:fldSimple w:instr=" SEQ Heading2 ">
        <w:r w:rsidR="000852D8">
          <w:rPr>
            <w:noProof/>
          </w:rPr>
          <w:t>5</w:t>
        </w:r>
      </w:fldSimple>
      <w:r w:rsidR="00D3271D">
        <w:tab/>
      </w:r>
      <w:r w:rsidR="00EA31A4">
        <w:t>Demand management is not widely implemented</w:t>
      </w:r>
    </w:p>
    <w:p w:rsidR="00EA31A4" w:rsidRDefault="00EA31A4" w:rsidP="00EA31A4">
      <w:pPr>
        <w:pStyle w:val="Heading3"/>
      </w:pPr>
      <w:r>
        <w:t xml:space="preserve">Current prices are inefficient </w:t>
      </w:r>
    </w:p>
    <w:p w:rsidR="00EA31A4" w:rsidRDefault="00B550E1" w:rsidP="00EA31A4">
      <w:pPr>
        <w:pStyle w:val="BodyText"/>
      </w:pPr>
      <w:r>
        <w:t xml:space="preserve">Although demand management </w:t>
      </w:r>
      <w:r w:rsidR="00695991">
        <w:t xml:space="preserve">offers </w:t>
      </w:r>
      <w:r>
        <w:t>significant scope</w:t>
      </w:r>
      <w:r w:rsidR="00695991">
        <w:t xml:space="preserve"> to address the peak load problem</w:t>
      </w:r>
      <w:r>
        <w:t>, at present it is not widely implemented. Rather, i</w:t>
      </w:r>
      <w:r w:rsidR="00EA31A4">
        <w:t xml:space="preserve">n contrast to most markets, in which consumers bear the costs of their consumption, in the electricity market, the substantial additional costs of meeting peak demand are not recovered from consumption at peak times. </w:t>
      </w:r>
    </w:p>
    <w:p w:rsidR="003A474C" w:rsidRDefault="003A474C" w:rsidP="003A474C">
      <w:pPr>
        <w:pStyle w:val="Heading4"/>
      </w:pPr>
      <w:r>
        <w:t>Most households face inefficient prices</w:t>
      </w:r>
    </w:p>
    <w:p w:rsidR="003A474C" w:rsidRPr="000852D8" w:rsidRDefault="003A474C" w:rsidP="003A474C">
      <w:pPr>
        <w:pStyle w:val="BodyText"/>
        <w:rPr>
          <w:spacing w:val="-6"/>
        </w:rPr>
      </w:pPr>
      <w:r w:rsidRPr="000852D8">
        <w:rPr>
          <w:spacing w:val="-6"/>
        </w:rPr>
        <w:t xml:space="preserve">For most residential users, the network tariff charged to their retailer by the distributor comprises a fixed component (an access charge) and a </w:t>
      </w:r>
      <w:r w:rsidR="00C06396" w:rsidRPr="000852D8">
        <w:rPr>
          <w:spacing w:val="-6"/>
        </w:rPr>
        <w:t xml:space="preserve">(usually flat) </w:t>
      </w:r>
      <w:r w:rsidRPr="000852D8">
        <w:rPr>
          <w:spacing w:val="-6"/>
        </w:rPr>
        <w:t>price per unit of consumption</w:t>
      </w:r>
      <w:r w:rsidR="00C06396" w:rsidRPr="000852D8">
        <w:rPr>
          <w:spacing w:val="-6"/>
        </w:rPr>
        <w:t xml:space="preserve"> (box 9.5)</w:t>
      </w:r>
      <w:r w:rsidRPr="000852D8">
        <w:rPr>
          <w:spacing w:val="-6"/>
        </w:rPr>
        <w:t xml:space="preserve">. Irrespective of the cost of supplying network capacity at different times, the consumption-based charges are either an average (flat) price or an increasing price for consumption blocks. Such smoothing (or complete flattening) of prices encourages over-consumption at peak times (and under-consumption at non-peak times), drives inefficient supply side investment to meet that consumption, and results in network prices being higher on average than they need </w:t>
      </w:r>
      <w:r w:rsidR="000B5522">
        <w:rPr>
          <w:spacing w:val="-6"/>
        </w:rPr>
        <w:t xml:space="preserve">to </w:t>
      </w:r>
      <w:r w:rsidRPr="000852D8">
        <w:rPr>
          <w:spacing w:val="-6"/>
        </w:rPr>
        <w:t xml:space="preserve">be over the longer term. </w:t>
      </w:r>
    </w:p>
    <w:p w:rsidR="00EA31A4" w:rsidRDefault="00EA31A4" w:rsidP="00EA31A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31A4" w:rsidTr="00EA31A4">
        <w:tc>
          <w:tcPr>
            <w:tcW w:w="8771" w:type="dxa"/>
            <w:tcBorders>
              <w:top w:val="single" w:sz="6" w:space="0" w:color="auto"/>
              <w:bottom w:val="nil"/>
            </w:tcBorders>
          </w:tcPr>
          <w:p w:rsidR="00EA31A4" w:rsidRDefault="00EA31A4" w:rsidP="00EA31A4">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Box \* ARABIC </w:instrText>
            </w:r>
            <w:r>
              <w:rPr>
                <w:b w:val="0"/>
              </w:rPr>
              <w:fldChar w:fldCharType="separate"/>
            </w:r>
            <w:r w:rsidR="000852D8">
              <w:rPr>
                <w:b w:val="0"/>
                <w:noProof/>
              </w:rPr>
              <w:t>5</w:t>
            </w:r>
            <w:r>
              <w:rPr>
                <w:b w:val="0"/>
              </w:rPr>
              <w:fldChar w:fldCharType="end"/>
            </w:r>
            <w:r>
              <w:tab/>
              <w:t>What costs are included in the price of electricity?</w:t>
            </w:r>
          </w:p>
        </w:tc>
      </w:tr>
      <w:tr w:rsidR="00EA31A4" w:rsidTr="00EA31A4">
        <w:trPr>
          <w:cantSplit/>
        </w:trPr>
        <w:tc>
          <w:tcPr>
            <w:tcW w:w="8771" w:type="dxa"/>
            <w:tcBorders>
              <w:top w:val="nil"/>
              <w:left w:val="single" w:sz="6" w:space="0" w:color="auto"/>
              <w:bottom w:val="nil"/>
              <w:right w:val="single" w:sz="6" w:space="0" w:color="auto"/>
            </w:tcBorders>
          </w:tcPr>
          <w:p w:rsidR="00EA31A4" w:rsidRDefault="00EA31A4" w:rsidP="00EA31A4">
            <w:pPr>
              <w:pStyle w:val="Box"/>
            </w:pPr>
            <w:r>
              <w:t>The price of electricity that is visible to an end-user incorporates charges for:</w:t>
            </w:r>
          </w:p>
          <w:p w:rsidR="00EA31A4" w:rsidRDefault="00EA31A4" w:rsidP="00EA31A4">
            <w:pPr>
              <w:pStyle w:val="BoxListBullet"/>
            </w:pPr>
            <w:r>
              <w:t xml:space="preserve">network services </w:t>
            </w:r>
            <w:r w:rsidR="00BC3068">
              <w:t>including metering</w:t>
            </w:r>
          </w:p>
          <w:p w:rsidR="00EA31A4" w:rsidRDefault="00EA31A4" w:rsidP="00EA31A4">
            <w:pPr>
              <w:pStyle w:val="BoxListBullet"/>
            </w:pPr>
            <w:r>
              <w:t xml:space="preserve">energy and risk management costs from the wholesale electricity (contracts) market </w:t>
            </w:r>
          </w:p>
          <w:p w:rsidR="00EA31A4" w:rsidRDefault="00EA31A4" w:rsidP="00EA31A4">
            <w:pPr>
              <w:pStyle w:val="BoxListBullet"/>
            </w:pPr>
            <w:r>
              <w:t xml:space="preserve">a retail margin, including for billing services. </w:t>
            </w:r>
          </w:p>
          <w:p w:rsidR="00EA31A4" w:rsidRDefault="00EA31A4" w:rsidP="00EA31A4">
            <w:pPr>
              <w:pStyle w:val="Box"/>
            </w:pPr>
            <w:r>
              <w:t>A</w:t>
            </w:r>
            <w:r w:rsidR="00BC3068">
              <w:t>n</w:t>
            </w:r>
            <w:r>
              <w:t xml:space="preserve"> electricity retailer recovers all of these charges from end-users and, depending on customer preferences and market (and regulatory) outcomes, they may smooth some (or all) of the variability in these charges on a customer’s behalf. </w:t>
            </w:r>
          </w:p>
          <w:p w:rsidR="00EA31A4" w:rsidRDefault="00EA31A4" w:rsidP="00BC3068">
            <w:pPr>
              <w:pStyle w:val="Box"/>
            </w:pPr>
            <w:r w:rsidRPr="00B512CC">
              <w:t>Network co</w:t>
            </w:r>
            <w:r>
              <w:t>sts are passed from a distributor</w:t>
            </w:r>
            <w:r w:rsidRPr="00B512CC">
              <w:t xml:space="preserve"> to </w:t>
            </w:r>
            <w:r>
              <w:t>an end-user’s retailer</w:t>
            </w:r>
            <w:r w:rsidRPr="00B512CC">
              <w:t xml:space="preserve">. </w:t>
            </w:r>
            <w:r w:rsidR="00BC3068">
              <w:t>Since most transmission and</w:t>
            </w:r>
            <w:r w:rsidR="00BC3068" w:rsidRPr="00B512CC">
              <w:t xml:space="preserve"> </w:t>
            </w:r>
            <w:r w:rsidRPr="00B512CC">
              <w:t>distribution businesses apply network charges that are flat</w:t>
            </w:r>
            <w:r>
              <w:t xml:space="preserve"> (do not vary with time)</w:t>
            </w:r>
            <w:r w:rsidRPr="00B512CC">
              <w:t xml:space="preserve">, retailers simply pass-through </w:t>
            </w:r>
            <w:r w:rsidR="00BC3068">
              <w:t>these</w:t>
            </w:r>
            <w:r w:rsidR="00BC3068" w:rsidRPr="00B512CC">
              <w:t xml:space="preserve"> </w:t>
            </w:r>
            <w:r w:rsidRPr="00B512CC">
              <w:t xml:space="preserve">costs </w:t>
            </w:r>
            <w:r w:rsidR="00BC3068">
              <w:t xml:space="preserve">in a time invariant manner </w:t>
            </w:r>
            <w:r w:rsidRPr="00B512CC">
              <w:t>to their customers</w:t>
            </w:r>
            <w:r>
              <w:t>.</w:t>
            </w:r>
          </w:p>
        </w:tc>
      </w:tr>
      <w:tr w:rsidR="00EA31A4" w:rsidTr="00EA31A4">
        <w:trPr>
          <w:cantSplit/>
        </w:trPr>
        <w:tc>
          <w:tcPr>
            <w:tcW w:w="8771" w:type="dxa"/>
            <w:tcBorders>
              <w:top w:val="nil"/>
              <w:left w:val="single" w:sz="6" w:space="0" w:color="auto"/>
              <w:bottom w:val="single" w:sz="6" w:space="0" w:color="auto"/>
              <w:right w:val="single" w:sz="6" w:space="0" w:color="auto"/>
            </w:tcBorders>
          </w:tcPr>
          <w:p w:rsidR="00EA31A4" w:rsidRDefault="00EA31A4" w:rsidP="00EA31A4">
            <w:pPr>
              <w:pStyle w:val="Box"/>
              <w:spacing w:before="0" w:line="120" w:lineRule="exact"/>
            </w:pPr>
          </w:p>
        </w:tc>
      </w:tr>
      <w:tr w:rsidR="00EA31A4" w:rsidRPr="000863A5" w:rsidTr="00EA31A4">
        <w:tc>
          <w:tcPr>
            <w:tcW w:w="8771" w:type="dxa"/>
            <w:tcBorders>
              <w:top w:val="nil"/>
              <w:left w:val="nil"/>
              <w:bottom w:val="nil"/>
              <w:right w:val="nil"/>
            </w:tcBorders>
          </w:tcPr>
          <w:p w:rsidR="00EA31A4" w:rsidRPr="000863A5" w:rsidRDefault="00EA31A4" w:rsidP="00EA31A4">
            <w:pPr>
              <w:pStyle w:val="Box"/>
              <w:keepNext w:val="0"/>
              <w:spacing w:before="60" w:after="60" w:line="80" w:lineRule="exact"/>
              <w:rPr>
                <w:b/>
                <w:sz w:val="14"/>
              </w:rPr>
            </w:pPr>
          </w:p>
        </w:tc>
      </w:tr>
    </w:tbl>
    <w:p w:rsidR="003A474C" w:rsidRDefault="003A474C" w:rsidP="003A474C">
      <w:pPr>
        <w:pStyle w:val="BodyText"/>
      </w:pPr>
      <w:r>
        <w:rPr>
          <w:spacing w:val="-2"/>
          <w:lang w:eastAsia="en-US"/>
        </w:rPr>
        <w:t>W</w:t>
      </w:r>
      <w:r w:rsidRPr="00813CE8">
        <w:rPr>
          <w:spacing w:val="-2"/>
          <w:lang w:eastAsia="en-US"/>
        </w:rPr>
        <w:t>elfare losses from flat pricing</w:t>
      </w:r>
      <w:r w:rsidRPr="00813CE8">
        <w:rPr>
          <w:spacing w:val="-2"/>
        </w:rPr>
        <w:t xml:space="preserve"> have long been identified, with e</w:t>
      </w:r>
      <w:r w:rsidRPr="00813CE8">
        <w:rPr>
          <w:spacing w:val="-2"/>
          <w:lang w:eastAsia="en-US"/>
        </w:rPr>
        <w:t xml:space="preserve">conomist Marcel </w:t>
      </w:r>
      <w:proofErr w:type="spellStart"/>
      <w:r w:rsidRPr="00813CE8">
        <w:rPr>
          <w:spacing w:val="-2"/>
          <w:lang w:eastAsia="en-US"/>
        </w:rPr>
        <w:t>Boiteux</w:t>
      </w:r>
      <w:proofErr w:type="spellEnd"/>
      <w:r w:rsidRPr="00813CE8">
        <w:rPr>
          <w:spacing w:val="-2"/>
          <w:lang w:eastAsia="en-US"/>
        </w:rPr>
        <w:t xml:space="preserve"> </w:t>
      </w:r>
      <w:r w:rsidRPr="00813CE8">
        <w:rPr>
          <w:spacing w:val="-2"/>
        </w:rPr>
        <w:t>referencing the peak load problem from inefficient flat tariffs in 1949</w:t>
      </w:r>
      <w:r w:rsidRPr="00813CE8">
        <w:rPr>
          <w:spacing w:val="-2"/>
          <w:lang w:eastAsia="en-US"/>
        </w:rPr>
        <w:t xml:space="preserve">. However, </w:t>
      </w:r>
      <w:r>
        <w:t>the legacy of traditional accumulation meters to measure electricity consumption for most households has meant that such inefficient pricing has largely been unavoidable. To avoid this, meters must measure consumption on a</w:t>
      </w:r>
      <w:r w:rsidR="00C06396">
        <w:t xml:space="preserve"> near</w:t>
      </w:r>
      <w:r>
        <w:t xml:space="preserve"> real time basis. And, as discussed in chapter 10, while the enabling technology — a smart meter</w:t>
      </w:r>
      <w:r>
        <w:rPr>
          <w:rStyle w:val="FootnoteReference"/>
        </w:rPr>
        <w:footnoteReference w:id="20"/>
      </w:r>
      <w:r>
        <w:t xml:space="preserve"> — is available in much of Victoria, policy decisions have so far prevented their use for efficient pricing.</w:t>
      </w:r>
    </w:p>
    <w:p w:rsidR="00EA31A4" w:rsidRDefault="00EA31A4" w:rsidP="00EA31A4">
      <w:pPr>
        <w:pStyle w:val="BodyText"/>
      </w:pPr>
      <w:r>
        <w:t>In other states, a relatively small number of households now have more sophisticated metering installed an</w:t>
      </w:r>
      <w:r w:rsidR="00AE695B">
        <w:t>d many of these customers face</w:t>
      </w:r>
      <w:r>
        <w:t xml:space="preserve"> </w:t>
      </w:r>
      <w:r w:rsidR="00204DE7">
        <w:t xml:space="preserve">(untargeted) </w:t>
      </w:r>
      <w:r w:rsidR="00AE695B">
        <w:t>‘time-of-use’</w:t>
      </w:r>
      <w:r>
        <w:t xml:space="preserve"> network tariff</w:t>
      </w:r>
      <w:r w:rsidR="00AE695B">
        <w:t>s</w:t>
      </w:r>
      <w:r>
        <w:t xml:space="preserve">. (For example, </w:t>
      </w:r>
      <w:proofErr w:type="spellStart"/>
      <w:r>
        <w:t>Ausgrid</w:t>
      </w:r>
      <w:proofErr w:type="spellEnd"/>
      <w:r>
        <w:t xml:space="preserve"> anticipates 400 000 residential users will face a Time-of-Use (</w:t>
      </w:r>
      <w:proofErr w:type="spellStart"/>
      <w:r>
        <w:t>TOU</w:t>
      </w:r>
      <w:proofErr w:type="spellEnd"/>
      <w:r>
        <w:t xml:space="preserve">) network tariff by mid-2013.) However, </w:t>
      </w:r>
      <w:r w:rsidR="00D45DDF">
        <w:t xml:space="preserve">the structure of the tariff </w:t>
      </w:r>
      <w:r w:rsidR="00480596">
        <w:t xml:space="preserve">is </w:t>
      </w:r>
      <w:r w:rsidR="00F22602">
        <w:t>likely to have only a</w:t>
      </w:r>
      <w:r w:rsidR="00D45DDF">
        <w:t xml:space="preserve"> minimal impact on peak consumption (figure 9.10), as</w:t>
      </w:r>
      <w:r>
        <w:t xml:space="preserve"> ‘peak’ periods are usually set as a routine six to seven hour window </w:t>
      </w:r>
      <w:r w:rsidR="009620F0">
        <w:t xml:space="preserve">mainly </w:t>
      </w:r>
      <w:r>
        <w:t>in the afternoon and evening of weekdays</w:t>
      </w:r>
      <w:r w:rsidR="00923783">
        <w:t>,</w:t>
      </w:r>
      <w:r>
        <w:rPr>
          <w:rStyle w:val="FootnoteReference"/>
        </w:rPr>
        <w:footnoteReference w:id="21"/>
      </w:r>
      <w:r>
        <w:t xml:space="preserve"> which does not reflect the relatively few hours (say 40 hours) each year when network capacity is most stretched. </w:t>
      </w:r>
    </w:p>
    <w:p w:rsidR="00EA31A4" w:rsidRPr="003A474C" w:rsidRDefault="00EA31A4" w:rsidP="00EA31A4">
      <w:pPr>
        <w:pStyle w:val="BodyText"/>
        <w:rPr>
          <w:spacing w:val="-4"/>
        </w:rPr>
      </w:pPr>
      <w:r w:rsidRPr="003A474C">
        <w:rPr>
          <w:spacing w:val="-4"/>
        </w:rPr>
        <w:t xml:space="preserve">Trials of more cost-reflective pricing structures </w:t>
      </w:r>
      <w:r w:rsidR="00480596" w:rsidRPr="003A474C">
        <w:rPr>
          <w:spacing w:val="-4"/>
        </w:rPr>
        <w:t xml:space="preserve">have been </w:t>
      </w:r>
      <w:r w:rsidRPr="003A474C">
        <w:rPr>
          <w:spacing w:val="-4"/>
        </w:rPr>
        <w:t>undertaken by most network businesses, includin</w:t>
      </w:r>
      <w:r w:rsidR="00D45DDF" w:rsidRPr="003A474C">
        <w:rPr>
          <w:spacing w:val="-4"/>
        </w:rPr>
        <w:t>g of critical peak prices</w:t>
      </w:r>
      <w:r w:rsidRPr="003A474C">
        <w:rPr>
          <w:spacing w:val="-4"/>
        </w:rPr>
        <w:t>.</w:t>
      </w:r>
      <w:r w:rsidR="0097422C" w:rsidRPr="003A474C">
        <w:rPr>
          <w:spacing w:val="-4"/>
        </w:rPr>
        <w:t xml:space="preserve"> Electricity reductions during these peak demand trials have typically</w:t>
      </w:r>
      <w:r w:rsidR="0035451A" w:rsidRPr="003A474C">
        <w:rPr>
          <w:spacing w:val="-4"/>
        </w:rPr>
        <w:t xml:space="preserve"> ranged from 15 to 40 per cent.</w:t>
      </w:r>
    </w:p>
    <w:p w:rsidR="00EA31A4" w:rsidRDefault="00EA31A4" w:rsidP="00EA31A4">
      <w:pPr>
        <w:pStyle w:val="Heading4"/>
      </w:pPr>
      <w:r>
        <w:lastRenderedPageBreak/>
        <w:t xml:space="preserve">Prices for businesses capture (some) wholesale </w:t>
      </w:r>
      <w:r w:rsidR="00480596">
        <w:t xml:space="preserve">energy </w:t>
      </w:r>
      <w:r>
        <w:t xml:space="preserve">price </w:t>
      </w:r>
      <w:r w:rsidR="003224D3">
        <w:t xml:space="preserve">variation, but rarely </w:t>
      </w:r>
      <w:r>
        <w:t>reflect peak network costs</w:t>
      </w:r>
    </w:p>
    <w:p w:rsidR="00F31C1E" w:rsidRPr="00B1755A" w:rsidRDefault="00D45DDF" w:rsidP="003224D3">
      <w:pPr>
        <w:pStyle w:val="BodyText"/>
        <w:rPr>
          <w:spacing w:val="-4"/>
        </w:rPr>
      </w:pPr>
      <w:r w:rsidRPr="00B1755A">
        <w:rPr>
          <w:spacing w:val="-4"/>
        </w:rPr>
        <w:t>N</w:t>
      </w:r>
      <w:r w:rsidR="00EA31A4" w:rsidRPr="00B1755A">
        <w:rPr>
          <w:spacing w:val="-4"/>
        </w:rPr>
        <w:t>early all large commercial premis</w:t>
      </w:r>
      <w:r w:rsidRPr="00B1755A">
        <w:rPr>
          <w:spacing w:val="-4"/>
        </w:rPr>
        <w:t>es have a smart meter installed to enable time-based pricing</w:t>
      </w:r>
      <w:r w:rsidR="008045AB" w:rsidRPr="00B1755A">
        <w:rPr>
          <w:spacing w:val="-4"/>
        </w:rPr>
        <w:t xml:space="preserve">. Despite this, network charges generally fall short of being cost-reflective, with only a small share of businesses facing much higher charges at peak times. </w:t>
      </w:r>
    </w:p>
    <w:p w:rsidR="00F31C1E" w:rsidRDefault="00F31C1E" w:rsidP="00F31C1E">
      <w:pPr>
        <w:pStyle w:val="BodyText"/>
      </w:pPr>
      <w:r>
        <w:t xml:space="preserve">While the cost-reflective (time-based) pricing of network use for business customers is weak overall, an exception is the critical peak pricing recently adopted by Victorian distributor, </w:t>
      </w:r>
      <w:proofErr w:type="spellStart"/>
      <w:r>
        <w:t>SP-Ausnet</w:t>
      </w:r>
      <w:proofErr w:type="spellEnd"/>
      <w:r>
        <w:t xml:space="preserve">. </w:t>
      </w:r>
      <w:proofErr w:type="spellStart"/>
      <w:r>
        <w:t>SP-Ausnet’s</w:t>
      </w:r>
      <w:proofErr w:type="spellEnd"/>
      <w:r>
        <w:t xml:space="preserve"> business customers have faced such tariffs since 2010-11, which appl</w:t>
      </w:r>
      <w:r w:rsidR="00714431">
        <w:t>y</w:t>
      </w:r>
      <w:r>
        <w:t xml:space="preserve"> to a 4 hour window on no more than five declared critical event days. During these short times, prices </w:t>
      </w:r>
      <w:r w:rsidR="00714431">
        <w:t xml:space="preserve">have been </w:t>
      </w:r>
      <w:r>
        <w:t>increase</w:t>
      </w:r>
      <w:r w:rsidR="00714431">
        <w:t>d by</w:t>
      </w:r>
      <w:r>
        <w:t xml:space="preserve"> up to 10 fold (compared to a general flat tariff), and it is estimated up to 25 per cent of the peak demand that would otherwise </w:t>
      </w:r>
      <w:r w:rsidR="00714431">
        <w:t xml:space="preserve">have </w:t>
      </w:r>
      <w:r>
        <w:t>be</w:t>
      </w:r>
      <w:r w:rsidR="00714431">
        <w:t>en</w:t>
      </w:r>
      <w:r>
        <w:t xml:space="preserve"> consumed by this group of customers </w:t>
      </w:r>
      <w:r w:rsidR="00714431">
        <w:t xml:space="preserve">has been </w:t>
      </w:r>
      <w:r>
        <w:t>curtailed (</w:t>
      </w:r>
      <w:proofErr w:type="spellStart"/>
      <w:r w:rsidR="0084627E">
        <w:t>Futura</w:t>
      </w:r>
      <w:proofErr w:type="spellEnd"/>
      <w:r w:rsidR="0084627E">
        <w:t xml:space="preserve"> 2011</w:t>
      </w:r>
      <w:r>
        <w:t xml:space="preserve">). However, the timing of the ‘critical peak’ is applied universally across the </w:t>
      </w:r>
      <w:proofErr w:type="spellStart"/>
      <w:r>
        <w:t>SP-Ausnet</w:t>
      </w:r>
      <w:proofErr w:type="spellEnd"/>
      <w:r>
        <w:t xml:space="preserve"> network and, hence, does not necessarily </w:t>
      </w:r>
      <w:r w:rsidR="00923783">
        <w:t>target the timing of more localised network constraints.</w:t>
      </w:r>
      <w:r>
        <w:t xml:space="preserve"> </w:t>
      </w:r>
    </w:p>
    <w:p w:rsidR="00F31C1E" w:rsidRPr="000C2751" w:rsidRDefault="00F31C1E" w:rsidP="00F31C1E">
      <w:pPr>
        <w:pStyle w:val="BodyText"/>
        <w:rPr>
          <w:spacing w:val="-2"/>
        </w:rPr>
      </w:pPr>
      <w:r w:rsidRPr="000C2751">
        <w:rPr>
          <w:spacing w:val="-2"/>
        </w:rPr>
        <w:t xml:space="preserve">Given the general lack of cost-reflective network charges, business users </w:t>
      </w:r>
      <w:r w:rsidR="00B6027E">
        <w:rPr>
          <w:spacing w:val="-2"/>
        </w:rPr>
        <w:t>have no (or little)</w:t>
      </w:r>
      <w:r w:rsidR="00B6027E" w:rsidRPr="000C2751">
        <w:rPr>
          <w:spacing w:val="-2"/>
        </w:rPr>
        <w:t xml:space="preserve"> </w:t>
      </w:r>
      <w:r w:rsidR="00B6027E">
        <w:rPr>
          <w:spacing w:val="-2"/>
        </w:rPr>
        <w:t xml:space="preserve">incentive </w:t>
      </w:r>
      <w:r w:rsidRPr="000C2751">
        <w:rPr>
          <w:spacing w:val="-2"/>
        </w:rPr>
        <w:t>to reduce their consumption during netwo</w:t>
      </w:r>
      <w:r w:rsidR="00B6027E">
        <w:rPr>
          <w:spacing w:val="-2"/>
        </w:rPr>
        <w:t>rk peaks</w:t>
      </w:r>
      <w:r w:rsidRPr="000C2751">
        <w:rPr>
          <w:spacing w:val="-2"/>
        </w:rPr>
        <w:t xml:space="preserve">. </w:t>
      </w:r>
      <w:r>
        <w:rPr>
          <w:spacing w:val="-2"/>
        </w:rPr>
        <w:t xml:space="preserve">This contrasts to </w:t>
      </w:r>
      <w:r w:rsidR="00204DE7">
        <w:rPr>
          <w:spacing w:val="-2"/>
        </w:rPr>
        <w:t xml:space="preserve">the </w:t>
      </w:r>
      <w:r w:rsidR="00204DE7">
        <w:t xml:space="preserve">variation in wholesale energy costs which </w:t>
      </w:r>
      <w:r>
        <w:t xml:space="preserve">large </w:t>
      </w:r>
      <w:r w:rsidRPr="00A750EA">
        <w:t>commer</w:t>
      </w:r>
      <w:r>
        <w:t xml:space="preserve">cial and industrial users </w:t>
      </w:r>
      <w:r w:rsidR="00204DE7">
        <w:t xml:space="preserve">are generally exposed to. </w:t>
      </w:r>
    </w:p>
    <w:p w:rsidR="0032018B" w:rsidRDefault="00F31C1E" w:rsidP="003224D3">
      <w:pPr>
        <w:pStyle w:val="BodyText"/>
      </w:pPr>
      <w:r>
        <w:t>T</w:t>
      </w:r>
      <w:r w:rsidRPr="00A750EA">
        <w:t xml:space="preserve">he </w:t>
      </w:r>
      <w:r>
        <w:t xml:space="preserve">retail </w:t>
      </w:r>
      <w:r w:rsidRPr="00A750EA">
        <w:t>market is highly competitive</w:t>
      </w:r>
      <w:r>
        <w:t xml:space="preserve"> f</w:t>
      </w:r>
      <w:r w:rsidRPr="00A750EA">
        <w:t>or business users willing to</w:t>
      </w:r>
      <w:r>
        <w:t xml:space="preserve"> accept retail offers that pass-</w:t>
      </w:r>
      <w:r w:rsidRPr="00A750EA">
        <w:t>through some variability in wholesale energy costs</w:t>
      </w:r>
      <w:r>
        <w:t>.</w:t>
      </w:r>
      <w:r w:rsidRPr="00A750EA">
        <w:t xml:space="preserve"> </w:t>
      </w:r>
      <w:r>
        <w:t>S</w:t>
      </w:r>
      <w:r w:rsidRPr="008045AB">
        <w:t>ome large industrial users accept nearly full pass-through of spot market prices</w:t>
      </w:r>
      <w:r>
        <w:t xml:space="preserve">, preferring to curtail their use or operate standby generation if prices exceed a nominated threshold. </w:t>
      </w:r>
      <w:r w:rsidRPr="00A750EA">
        <w:t xml:space="preserve">In exchange for </w:t>
      </w:r>
      <w:r w:rsidR="00204DE7">
        <w:t>agreeing to be</w:t>
      </w:r>
      <w:r w:rsidRPr="00A750EA">
        <w:t xml:space="preserve"> expos</w:t>
      </w:r>
      <w:r w:rsidR="00DD17B5">
        <w:t>ed to greater price volatility</w:t>
      </w:r>
      <w:r>
        <w:t>, such businesses</w:t>
      </w:r>
      <w:r w:rsidRPr="00A750EA">
        <w:t xml:space="preserve"> receive a cheaper price</w:t>
      </w:r>
      <w:r>
        <w:t xml:space="preserve"> for their load</w:t>
      </w:r>
      <w:r w:rsidR="00204DE7">
        <w:t xml:space="preserve"> under non-peak conditions</w:t>
      </w:r>
      <w:r>
        <w:t>. Some businesses will manage price risks using sophisticated energy management systems and internal expertise</w:t>
      </w:r>
      <w:r w:rsidR="00714431">
        <w:t>, or by contracting with generators</w:t>
      </w:r>
      <w:r>
        <w:t>; others prefer to allow an aggregator of demand management services to assist with the development of demand response solutions.</w:t>
      </w:r>
    </w:p>
    <w:p w:rsidR="00A750EA" w:rsidRDefault="00B550E1" w:rsidP="00D72B50">
      <w:pPr>
        <w:pStyle w:val="Heading3"/>
      </w:pPr>
      <w:r>
        <w:t xml:space="preserve">Uptake </w:t>
      </w:r>
      <w:r w:rsidR="00C100BA">
        <w:t>of</w:t>
      </w:r>
      <w:r>
        <w:t xml:space="preserve"> non-price demand management</w:t>
      </w:r>
    </w:p>
    <w:p w:rsidR="00835D87" w:rsidRPr="00316001" w:rsidRDefault="00835D87" w:rsidP="000F34F3">
      <w:pPr>
        <w:pStyle w:val="BodyText"/>
      </w:pPr>
      <w:r w:rsidRPr="00316001">
        <w:t>As required under the NER, it is common practice for network businesses to assess demand management solutions as a means to cost-effectively</w:t>
      </w:r>
      <w:r w:rsidR="00E56FAF" w:rsidRPr="00316001">
        <w:t xml:space="preserve"> </w:t>
      </w:r>
      <w:r w:rsidR="005F2484" w:rsidRPr="00316001">
        <w:t xml:space="preserve">defer </w:t>
      </w:r>
      <w:r w:rsidRPr="00316001">
        <w:t xml:space="preserve">planned </w:t>
      </w:r>
      <w:r w:rsidR="005F2484" w:rsidRPr="00316001">
        <w:t>network augmentation</w:t>
      </w:r>
      <w:r w:rsidRPr="00316001">
        <w:t xml:space="preserve"> projects</w:t>
      </w:r>
      <w:r w:rsidR="005F2484" w:rsidRPr="00316001">
        <w:t xml:space="preserve"> </w:t>
      </w:r>
      <w:r w:rsidR="00B550E1" w:rsidRPr="00316001">
        <w:t>(sometimes referred to as ‘non-network alternatives’)</w:t>
      </w:r>
      <w:r w:rsidR="005F2484" w:rsidRPr="00316001">
        <w:t xml:space="preserve">. </w:t>
      </w:r>
    </w:p>
    <w:p w:rsidR="00695991" w:rsidRDefault="00835D87" w:rsidP="000F34F3">
      <w:pPr>
        <w:pStyle w:val="BodyText"/>
      </w:pPr>
      <w:r w:rsidRPr="00316001">
        <w:t>Investigation of d</w:t>
      </w:r>
      <w:r w:rsidR="00A750EA" w:rsidRPr="00316001">
        <w:t>e</w:t>
      </w:r>
      <w:r w:rsidR="004961E3" w:rsidRPr="00316001">
        <w:t xml:space="preserve">mand management </w:t>
      </w:r>
      <w:r w:rsidRPr="00316001">
        <w:t xml:space="preserve">options by network businesses </w:t>
      </w:r>
      <w:r w:rsidR="009151F4" w:rsidRPr="00316001">
        <w:t>draw</w:t>
      </w:r>
      <w:r w:rsidRPr="00316001">
        <w:t>s</w:t>
      </w:r>
      <w:r w:rsidR="009151F4" w:rsidRPr="00316001">
        <w:t xml:space="preserve"> on</w:t>
      </w:r>
      <w:r w:rsidR="00A750EA">
        <w:t xml:space="preserve"> information about spatial peak demand at each zone and sub-transmission </w:t>
      </w:r>
      <w:r w:rsidR="00A750EA">
        <w:lastRenderedPageBreak/>
        <w:t>substation, the</w:t>
      </w:r>
      <w:r w:rsidR="000F34F3">
        <w:t xml:space="preserve"> characteristics of the load</w:t>
      </w:r>
      <w:r w:rsidR="0060289A">
        <w:t xml:space="preserve"> (including the timing of peaks)</w:t>
      </w:r>
      <w:r w:rsidR="000F34F3">
        <w:t xml:space="preserve">, the </w:t>
      </w:r>
      <w:r w:rsidR="00A750EA">
        <w:t xml:space="preserve">configuration of the network and </w:t>
      </w:r>
      <w:r w:rsidR="0060289A">
        <w:t xml:space="preserve">the </w:t>
      </w:r>
      <w:r w:rsidR="00A750EA">
        <w:t>customer mix</w:t>
      </w:r>
      <w:r w:rsidR="000F34F3">
        <w:t xml:space="preserve">. </w:t>
      </w:r>
      <w:r w:rsidR="004961E3">
        <w:t xml:space="preserve">Detailed load flow analysis </w:t>
      </w:r>
      <w:r w:rsidR="009151F4">
        <w:t>is then</w:t>
      </w:r>
      <w:r w:rsidR="004961E3">
        <w:t xml:space="preserve"> used to identify a target reduction in peak demand that could defer a network augmentation. </w:t>
      </w:r>
    </w:p>
    <w:p w:rsidR="006E1F88" w:rsidRDefault="006E1F88" w:rsidP="000F34F3">
      <w:pPr>
        <w:pStyle w:val="BodyText"/>
      </w:pPr>
      <w:r>
        <w:t xml:space="preserve">Demand management solutions investigated by </w:t>
      </w:r>
      <w:r w:rsidR="00835D87">
        <w:t xml:space="preserve">network </w:t>
      </w:r>
      <w:r>
        <w:t>business</w:t>
      </w:r>
      <w:r w:rsidR="00F35D38">
        <w:t>es,</w:t>
      </w:r>
      <w:r>
        <w:t xml:space="preserve"> </w:t>
      </w:r>
      <w:r w:rsidR="00F35D38">
        <w:t xml:space="preserve">that the Commission is aware of, </w:t>
      </w:r>
      <w:r>
        <w:t>are varied</w:t>
      </w:r>
      <w:r w:rsidR="00B1755A">
        <w:t xml:space="preserve"> (box 9.6</w:t>
      </w:r>
      <w:r w:rsidR="000C2751">
        <w:t>)</w:t>
      </w:r>
      <w:r>
        <w:t>. The most feasible solution often depends on the location of a</w:t>
      </w:r>
      <w:r w:rsidR="00722E79">
        <w:t xml:space="preserve"> constraint in the network. The Commission understands that</w:t>
      </w:r>
      <w:r>
        <w:t xml:space="preserve"> </w:t>
      </w:r>
      <w:r w:rsidR="00AC2524">
        <w:t xml:space="preserve">where demand management </w:t>
      </w:r>
      <w:r w:rsidR="00F35D38">
        <w:t xml:space="preserve">has been </w:t>
      </w:r>
      <w:r w:rsidR="000C2751">
        <w:t>evaluated</w:t>
      </w:r>
      <w:r w:rsidR="00AC2524">
        <w:t xml:space="preserve"> as a possibility to defer a capacity driven </w:t>
      </w:r>
      <w:r w:rsidR="002419B4">
        <w:t>augmentation</w:t>
      </w:r>
      <w:r w:rsidR="00AC2524">
        <w:t xml:space="preserve">, </w:t>
      </w:r>
      <w:r w:rsidR="000C2751">
        <w:t xml:space="preserve">75 per cent of the network expenditure </w:t>
      </w:r>
      <w:r w:rsidR="00F35D38">
        <w:t>that would have been required in the absence of demand management has been</w:t>
      </w:r>
      <w:r w:rsidR="000C2751">
        <w:t xml:space="preserve"> </w:t>
      </w:r>
      <w:r w:rsidR="002419B4">
        <w:t>for</w:t>
      </w:r>
      <w:r w:rsidR="000C2751">
        <w:t xml:space="preserve"> </w:t>
      </w:r>
      <w:r>
        <w:t xml:space="preserve">zone substations and </w:t>
      </w:r>
      <w:proofErr w:type="spellStart"/>
      <w:r>
        <w:t>11kV</w:t>
      </w:r>
      <w:proofErr w:type="spellEnd"/>
      <w:r>
        <w:t xml:space="preserve"> distribution</w:t>
      </w:r>
      <w:r w:rsidR="000C2751">
        <w:t xml:space="preserve"> feeders</w:t>
      </w:r>
      <w:r w:rsidR="00824D49">
        <w:t xml:space="preserve"> (</w:t>
      </w:r>
      <w:proofErr w:type="spellStart"/>
      <w:r w:rsidR="008E3134">
        <w:t>Ausgrid</w:t>
      </w:r>
      <w:proofErr w:type="spellEnd"/>
      <w:r w:rsidR="008E3134">
        <w:t xml:space="preserve">, </w:t>
      </w:r>
      <w:r w:rsidR="00824D49">
        <w:t>pers. comm.</w:t>
      </w:r>
      <w:r w:rsidR="00722E79">
        <w:t xml:space="preserve"> 2012). </w:t>
      </w:r>
    </w:p>
    <w:p w:rsidR="00C653AF" w:rsidRDefault="00835D87" w:rsidP="00C653AF">
      <w:pPr>
        <w:pStyle w:val="BodyText"/>
        <w:rPr>
          <w:spacing w:val="-4"/>
        </w:rPr>
      </w:pPr>
      <w:r>
        <w:rPr>
          <w:spacing w:val="-4"/>
        </w:rPr>
        <w:t xml:space="preserve">Despite the </w:t>
      </w:r>
      <w:r w:rsidR="0086396F">
        <w:rPr>
          <w:spacing w:val="-4"/>
        </w:rPr>
        <w:t>efforts</w:t>
      </w:r>
      <w:r w:rsidR="00B26B16">
        <w:rPr>
          <w:spacing w:val="-4"/>
        </w:rPr>
        <w:t xml:space="preserve"> </w:t>
      </w:r>
      <w:r>
        <w:rPr>
          <w:spacing w:val="-4"/>
        </w:rPr>
        <w:t xml:space="preserve">of network businesses </w:t>
      </w:r>
      <w:r w:rsidR="00B26B16">
        <w:rPr>
          <w:spacing w:val="-4"/>
        </w:rPr>
        <w:t xml:space="preserve">to </w:t>
      </w:r>
      <w:r w:rsidR="00695991">
        <w:rPr>
          <w:spacing w:val="-4"/>
        </w:rPr>
        <w:t>pursu</w:t>
      </w:r>
      <w:r w:rsidR="0086396F">
        <w:rPr>
          <w:spacing w:val="-4"/>
        </w:rPr>
        <w:t>e</w:t>
      </w:r>
      <w:r>
        <w:rPr>
          <w:spacing w:val="-4"/>
        </w:rPr>
        <w:t xml:space="preserve"> demand management to delay network investment</w:t>
      </w:r>
      <w:r w:rsidR="00C653AF" w:rsidRPr="00410E62">
        <w:rPr>
          <w:spacing w:val="-4"/>
        </w:rPr>
        <w:t xml:space="preserve">, </w:t>
      </w:r>
      <w:r>
        <w:rPr>
          <w:spacing w:val="-4"/>
        </w:rPr>
        <w:t xml:space="preserve">in practice </w:t>
      </w:r>
      <w:r w:rsidR="00C653AF" w:rsidRPr="00410E62">
        <w:rPr>
          <w:spacing w:val="-4"/>
        </w:rPr>
        <w:t xml:space="preserve">very few projects </w:t>
      </w:r>
      <w:r w:rsidR="00F35D38">
        <w:rPr>
          <w:spacing w:val="-4"/>
        </w:rPr>
        <w:t>have been</w:t>
      </w:r>
      <w:r w:rsidR="00F35D38" w:rsidRPr="00410E62">
        <w:rPr>
          <w:spacing w:val="-4"/>
        </w:rPr>
        <w:t xml:space="preserve"> </w:t>
      </w:r>
      <w:r w:rsidR="00C653AF" w:rsidRPr="00410E62">
        <w:rPr>
          <w:spacing w:val="-4"/>
        </w:rPr>
        <w:t xml:space="preserve">assessed as viable. For example, </w:t>
      </w:r>
      <w:proofErr w:type="spellStart"/>
      <w:r w:rsidR="00C653AF" w:rsidRPr="00410E62">
        <w:rPr>
          <w:spacing w:val="-4"/>
        </w:rPr>
        <w:t>Ausgrid</w:t>
      </w:r>
      <w:proofErr w:type="spellEnd"/>
      <w:r w:rsidR="00C653AF" w:rsidRPr="00410E62">
        <w:rPr>
          <w:spacing w:val="-4"/>
        </w:rPr>
        <w:t xml:space="preserve"> performed 86 demand management screening tests over a period of 3 years, but found </w:t>
      </w:r>
      <w:r w:rsidR="008E3134">
        <w:rPr>
          <w:spacing w:val="-4"/>
        </w:rPr>
        <w:t xml:space="preserve">that </w:t>
      </w:r>
      <w:r w:rsidR="00C653AF" w:rsidRPr="00410E62">
        <w:rPr>
          <w:spacing w:val="-4"/>
        </w:rPr>
        <w:t xml:space="preserve">only 10 projects were viable </w:t>
      </w:r>
      <w:r w:rsidR="00F35D38">
        <w:rPr>
          <w:spacing w:val="-4"/>
        </w:rPr>
        <w:t>(</w:t>
      </w:r>
      <w:r w:rsidR="00C653AF" w:rsidRPr="00410E62">
        <w:rPr>
          <w:spacing w:val="-4"/>
        </w:rPr>
        <w:t xml:space="preserve">counting </w:t>
      </w:r>
      <w:r w:rsidR="00CA5C54" w:rsidRPr="00410E62">
        <w:rPr>
          <w:spacing w:val="-4"/>
        </w:rPr>
        <w:t xml:space="preserve">only </w:t>
      </w:r>
      <w:r w:rsidR="00C653AF" w:rsidRPr="00410E62">
        <w:rPr>
          <w:spacing w:val="-4"/>
        </w:rPr>
        <w:t>the short term benef</w:t>
      </w:r>
      <w:r w:rsidR="00C653AF">
        <w:rPr>
          <w:spacing w:val="-4"/>
        </w:rPr>
        <w:t>its of network deferral</w:t>
      </w:r>
      <w:r w:rsidR="00F35D38">
        <w:rPr>
          <w:spacing w:val="-4"/>
        </w:rPr>
        <w:t>)</w:t>
      </w:r>
      <w:r w:rsidR="00C653AF">
        <w:rPr>
          <w:spacing w:val="-4"/>
        </w:rPr>
        <w:t xml:space="preserve"> (table </w:t>
      </w:r>
      <w:r w:rsidR="00C653AF" w:rsidRPr="00410E62">
        <w:rPr>
          <w:spacing w:val="-4"/>
        </w:rPr>
        <w:t xml:space="preserve">9.2). </w:t>
      </w:r>
    </w:p>
    <w:p w:rsidR="003936C8" w:rsidRDefault="003936C8" w:rsidP="003936C8">
      <w:pPr>
        <w:pStyle w:val="TableTitle"/>
      </w:pPr>
      <w:r>
        <w:rPr>
          <w:b w:val="0"/>
        </w:rPr>
        <w:t xml:space="preserve">Table </w:t>
      </w:r>
      <w:fldSimple w:instr=" COMMENTS  \* MERGEFORMAT ">
        <w:r w:rsidR="000852D8" w:rsidRPr="000852D8">
          <w:rPr>
            <w:b w:val="0"/>
          </w:rPr>
          <w:t>9.</w:t>
        </w:r>
      </w:fldSimple>
      <w:r>
        <w:rPr>
          <w:b w:val="0"/>
        </w:rPr>
        <w:fldChar w:fldCharType="begin"/>
      </w:r>
      <w:r>
        <w:rPr>
          <w:b w:val="0"/>
        </w:rPr>
        <w:instrText xml:space="preserve"> SEQ Table \* ARABIC </w:instrText>
      </w:r>
      <w:r>
        <w:rPr>
          <w:b w:val="0"/>
        </w:rPr>
        <w:fldChar w:fldCharType="separate"/>
      </w:r>
      <w:r w:rsidR="000852D8">
        <w:rPr>
          <w:b w:val="0"/>
          <w:noProof/>
        </w:rPr>
        <w:t>2</w:t>
      </w:r>
      <w:r>
        <w:rPr>
          <w:b w:val="0"/>
        </w:rPr>
        <w:fldChar w:fldCharType="end"/>
      </w:r>
      <w:r>
        <w:tab/>
        <w:t>Very few non-network solutions are authorised</w:t>
      </w:r>
    </w:p>
    <w:p w:rsidR="003936C8" w:rsidRDefault="003936C8" w:rsidP="003936C8">
      <w:pPr>
        <w:pStyle w:val="Subtitle"/>
      </w:pPr>
      <w:proofErr w:type="spellStart"/>
      <w:r>
        <w:t>Ausgrid</w:t>
      </w:r>
      <w:proofErr w:type="spellEnd"/>
    </w:p>
    <w:tbl>
      <w:tblPr>
        <w:tblW w:w="5000" w:type="pct"/>
        <w:tblCellMar>
          <w:left w:w="0" w:type="dxa"/>
          <w:right w:w="0" w:type="dxa"/>
        </w:tblCellMar>
        <w:tblLook w:val="0000" w:firstRow="0" w:lastRow="0" w:firstColumn="0" w:lastColumn="0" w:noHBand="0" w:noVBand="0"/>
      </w:tblPr>
      <w:tblGrid>
        <w:gridCol w:w="3119"/>
        <w:gridCol w:w="993"/>
        <w:gridCol w:w="1559"/>
        <w:gridCol w:w="1559"/>
        <w:gridCol w:w="1559"/>
      </w:tblGrid>
      <w:tr w:rsidR="003936C8" w:rsidTr="0042188D">
        <w:tc>
          <w:tcPr>
            <w:tcW w:w="1774" w:type="pct"/>
            <w:tcBorders>
              <w:top w:val="single" w:sz="6" w:space="0" w:color="auto"/>
              <w:bottom w:val="single" w:sz="6" w:space="0" w:color="auto"/>
            </w:tcBorders>
            <w:shd w:val="clear" w:color="auto" w:fill="auto"/>
          </w:tcPr>
          <w:p w:rsidR="003936C8" w:rsidRDefault="003936C8" w:rsidP="0042188D">
            <w:pPr>
              <w:pStyle w:val="TableColumnHeading"/>
              <w:jc w:val="left"/>
            </w:pPr>
          </w:p>
        </w:tc>
        <w:tc>
          <w:tcPr>
            <w:tcW w:w="565" w:type="pct"/>
            <w:tcBorders>
              <w:top w:val="single" w:sz="6" w:space="0" w:color="auto"/>
              <w:bottom w:val="single" w:sz="6" w:space="0" w:color="auto"/>
            </w:tcBorders>
          </w:tcPr>
          <w:p w:rsidR="003936C8" w:rsidRDefault="003936C8" w:rsidP="0042188D">
            <w:pPr>
              <w:pStyle w:val="TableColumnHeading"/>
              <w:jc w:val="left"/>
            </w:pPr>
          </w:p>
        </w:tc>
        <w:tc>
          <w:tcPr>
            <w:tcW w:w="887" w:type="pct"/>
            <w:tcBorders>
              <w:top w:val="single" w:sz="6" w:space="0" w:color="auto"/>
              <w:bottom w:val="single" w:sz="6" w:space="0" w:color="auto"/>
            </w:tcBorders>
            <w:shd w:val="clear" w:color="auto" w:fill="auto"/>
          </w:tcPr>
          <w:p w:rsidR="003936C8" w:rsidRDefault="003936C8" w:rsidP="0042188D">
            <w:pPr>
              <w:pStyle w:val="TableColumnHeading"/>
            </w:pPr>
            <w:r>
              <w:t>2008-09</w:t>
            </w:r>
          </w:p>
        </w:tc>
        <w:tc>
          <w:tcPr>
            <w:tcW w:w="887" w:type="pct"/>
            <w:tcBorders>
              <w:top w:val="single" w:sz="6" w:space="0" w:color="auto"/>
              <w:bottom w:val="single" w:sz="6" w:space="0" w:color="auto"/>
            </w:tcBorders>
            <w:shd w:val="clear" w:color="auto" w:fill="auto"/>
          </w:tcPr>
          <w:p w:rsidR="003936C8" w:rsidRDefault="003936C8" w:rsidP="0042188D">
            <w:pPr>
              <w:pStyle w:val="TableColumnHeading"/>
              <w:ind w:right="28"/>
            </w:pPr>
            <w:r>
              <w:t>2009-10</w:t>
            </w:r>
          </w:p>
        </w:tc>
        <w:tc>
          <w:tcPr>
            <w:tcW w:w="887" w:type="pct"/>
            <w:tcBorders>
              <w:top w:val="single" w:sz="6" w:space="0" w:color="auto"/>
              <w:bottom w:val="single" w:sz="6" w:space="0" w:color="auto"/>
            </w:tcBorders>
          </w:tcPr>
          <w:p w:rsidR="003936C8" w:rsidRDefault="003936C8" w:rsidP="0042188D">
            <w:pPr>
              <w:pStyle w:val="TableColumnHeading"/>
              <w:ind w:right="28"/>
            </w:pPr>
            <w:r>
              <w:t>2010-11</w:t>
            </w:r>
          </w:p>
        </w:tc>
      </w:tr>
      <w:tr w:rsidR="003936C8" w:rsidTr="0042188D">
        <w:tc>
          <w:tcPr>
            <w:tcW w:w="1774" w:type="pct"/>
            <w:tcBorders>
              <w:top w:val="single" w:sz="6" w:space="0" w:color="auto"/>
            </w:tcBorders>
          </w:tcPr>
          <w:p w:rsidR="003936C8" w:rsidRDefault="003936C8" w:rsidP="0042188D">
            <w:pPr>
              <w:pStyle w:val="TableUnitsRow"/>
              <w:ind w:left="284" w:hanging="284"/>
              <w:jc w:val="left"/>
            </w:pPr>
            <w:r>
              <w:t>Screening tests</w:t>
            </w:r>
          </w:p>
        </w:tc>
        <w:tc>
          <w:tcPr>
            <w:tcW w:w="565" w:type="pct"/>
            <w:tcBorders>
              <w:top w:val="single" w:sz="6" w:space="0" w:color="auto"/>
            </w:tcBorders>
          </w:tcPr>
          <w:p w:rsidR="003936C8" w:rsidRDefault="003936C8" w:rsidP="0042188D">
            <w:pPr>
              <w:pStyle w:val="TableUnitsRow"/>
              <w:jc w:val="left"/>
            </w:pPr>
            <w:r>
              <w:t xml:space="preserve">No. </w:t>
            </w:r>
          </w:p>
        </w:tc>
        <w:tc>
          <w:tcPr>
            <w:tcW w:w="887" w:type="pct"/>
            <w:tcBorders>
              <w:top w:val="single" w:sz="6" w:space="0" w:color="auto"/>
            </w:tcBorders>
          </w:tcPr>
          <w:p w:rsidR="003936C8" w:rsidRDefault="003936C8" w:rsidP="0042188D">
            <w:pPr>
              <w:pStyle w:val="TableUnitsRow"/>
            </w:pPr>
            <w:r>
              <w:t>42</w:t>
            </w:r>
          </w:p>
        </w:tc>
        <w:tc>
          <w:tcPr>
            <w:tcW w:w="887" w:type="pct"/>
            <w:tcBorders>
              <w:top w:val="single" w:sz="6" w:space="0" w:color="auto"/>
            </w:tcBorders>
          </w:tcPr>
          <w:p w:rsidR="003936C8" w:rsidRDefault="003936C8" w:rsidP="0042188D">
            <w:pPr>
              <w:pStyle w:val="TableUnitsRow"/>
              <w:ind w:right="28"/>
            </w:pPr>
            <w:r>
              <w:t>26</w:t>
            </w:r>
          </w:p>
        </w:tc>
        <w:tc>
          <w:tcPr>
            <w:tcW w:w="887" w:type="pct"/>
            <w:tcBorders>
              <w:top w:val="single" w:sz="6" w:space="0" w:color="auto"/>
            </w:tcBorders>
          </w:tcPr>
          <w:p w:rsidR="003936C8" w:rsidRDefault="003936C8" w:rsidP="0042188D">
            <w:pPr>
              <w:pStyle w:val="TableUnitsRow"/>
              <w:ind w:right="28"/>
            </w:pPr>
            <w:r>
              <w:t>18</w:t>
            </w:r>
          </w:p>
        </w:tc>
      </w:tr>
      <w:tr w:rsidR="003936C8" w:rsidTr="0042188D">
        <w:tc>
          <w:tcPr>
            <w:tcW w:w="1774" w:type="pct"/>
          </w:tcPr>
          <w:p w:rsidR="003936C8" w:rsidRDefault="003936C8" w:rsidP="0042188D">
            <w:pPr>
              <w:pStyle w:val="TableBodyText"/>
              <w:ind w:left="284" w:hanging="284"/>
              <w:jc w:val="left"/>
            </w:pPr>
            <w:r>
              <w:t xml:space="preserve">Investigations </w:t>
            </w:r>
          </w:p>
        </w:tc>
        <w:tc>
          <w:tcPr>
            <w:tcW w:w="565" w:type="pct"/>
          </w:tcPr>
          <w:p w:rsidR="003936C8" w:rsidRDefault="003936C8" w:rsidP="0042188D">
            <w:pPr>
              <w:pStyle w:val="TableBodyText"/>
              <w:jc w:val="left"/>
            </w:pPr>
            <w:r>
              <w:t xml:space="preserve">No. </w:t>
            </w:r>
          </w:p>
        </w:tc>
        <w:tc>
          <w:tcPr>
            <w:tcW w:w="887" w:type="pct"/>
          </w:tcPr>
          <w:p w:rsidR="003936C8" w:rsidRDefault="003936C8" w:rsidP="0042188D">
            <w:pPr>
              <w:pStyle w:val="TableBodyText"/>
            </w:pPr>
            <w:r>
              <w:t>9</w:t>
            </w:r>
          </w:p>
        </w:tc>
        <w:tc>
          <w:tcPr>
            <w:tcW w:w="887" w:type="pct"/>
          </w:tcPr>
          <w:p w:rsidR="003936C8" w:rsidRDefault="003936C8" w:rsidP="0042188D">
            <w:pPr>
              <w:pStyle w:val="TableBodyText"/>
              <w:ind w:right="28"/>
            </w:pPr>
            <w:r>
              <w:t>6</w:t>
            </w:r>
          </w:p>
        </w:tc>
        <w:tc>
          <w:tcPr>
            <w:tcW w:w="887" w:type="pct"/>
          </w:tcPr>
          <w:p w:rsidR="003936C8" w:rsidRDefault="003936C8" w:rsidP="0042188D">
            <w:pPr>
              <w:pStyle w:val="TableBodyText"/>
              <w:ind w:right="28"/>
            </w:pPr>
            <w:r>
              <w:t>3</w:t>
            </w:r>
          </w:p>
        </w:tc>
      </w:tr>
      <w:tr w:rsidR="003936C8" w:rsidTr="0042188D">
        <w:tc>
          <w:tcPr>
            <w:tcW w:w="1774" w:type="pct"/>
          </w:tcPr>
          <w:p w:rsidR="003936C8" w:rsidRDefault="003936C8" w:rsidP="0042188D">
            <w:pPr>
              <w:pStyle w:val="TableBodyText"/>
              <w:ind w:left="284" w:hanging="284"/>
              <w:jc w:val="left"/>
            </w:pPr>
            <w:r>
              <w:t>Projects authorised</w:t>
            </w:r>
          </w:p>
        </w:tc>
        <w:tc>
          <w:tcPr>
            <w:tcW w:w="565" w:type="pct"/>
          </w:tcPr>
          <w:p w:rsidR="003936C8" w:rsidRDefault="003936C8" w:rsidP="0042188D">
            <w:pPr>
              <w:pStyle w:val="TableBodyText"/>
              <w:jc w:val="left"/>
            </w:pPr>
            <w:r>
              <w:t>No.</w:t>
            </w:r>
          </w:p>
        </w:tc>
        <w:tc>
          <w:tcPr>
            <w:tcW w:w="887" w:type="pct"/>
          </w:tcPr>
          <w:p w:rsidR="003936C8" w:rsidRDefault="003936C8" w:rsidP="0042188D">
            <w:pPr>
              <w:pStyle w:val="TableBodyText"/>
            </w:pPr>
            <w:r>
              <w:t>5</w:t>
            </w:r>
          </w:p>
        </w:tc>
        <w:tc>
          <w:tcPr>
            <w:tcW w:w="887" w:type="pct"/>
          </w:tcPr>
          <w:p w:rsidR="003936C8" w:rsidRDefault="003936C8" w:rsidP="0042188D">
            <w:pPr>
              <w:pStyle w:val="TableBodyText"/>
              <w:ind w:right="28"/>
            </w:pPr>
            <w:r>
              <w:t>3</w:t>
            </w:r>
          </w:p>
        </w:tc>
        <w:tc>
          <w:tcPr>
            <w:tcW w:w="887" w:type="pct"/>
          </w:tcPr>
          <w:p w:rsidR="003936C8" w:rsidRDefault="003936C8" w:rsidP="0042188D">
            <w:pPr>
              <w:pStyle w:val="TableBodyText"/>
              <w:ind w:right="28"/>
            </w:pPr>
            <w:r>
              <w:t>2</w:t>
            </w:r>
          </w:p>
        </w:tc>
      </w:tr>
      <w:tr w:rsidR="003936C8" w:rsidTr="0042188D">
        <w:tc>
          <w:tcPr>
            <w:tcW w:w="1774" w:type="pct"/>
          </w:tcPr>
          <w:p w:rsidR="003936C8" w:rsidRDefault="003936C8" w:rsidP="0042188D">
            <w:pPr>
              <w:pStyle w:val="TableBodyText"/>
              <w:ind w:left="284" w:hanging="284"/>
              <w:jc w:val="left"/>
            </w:pPr>
            <w:r>
              <w:t>Project cost</w:t>
            </w:r>
          </w:p>
        </w:tc>
        <w:tc>
          <w:tcPr>
            <w:tcW w:w="565" w:type="pct"/>
          </w:tcPr>
          <w:p w:rsidR="003936C8" w:rsidRDefault="003936C8" w:rsidP="0042188D">
            <w:pPr>
              <w:pStyle w:val="TableBodyText"/>
              <w:jc w:val="left"/>
            </w:pPr>
            <w:r>
              <w:t>$ million</w:t>
            </w:r>
          </w:p>
        </w:tc>
        <w:tc>
          <w:tcPr>
            <w:tcW w:w="887" w:type="pct"/>
          </w:tcPr>
          <w:p w:rsidR="003936C8" w:rsidRDefault="003936C8" w:rsidP="0042188D">
            <w:pPr>
              <w:pStyle w:val="TableBodyText"/>
            </w:pPr>
            <w:r>
              <w:t>3.95</w:t>
            </w:r>
          </w:p>
        </w:tc>
        <w:tc>
          <w:tcPr>
            <w:tcW w:w="887" w:type="pct"/>
          </w:tcPr>
          <w:p w:rsidR="003936C8" w:rsidRDefault="003936C8" w:rsidP="0042188D">
            <w:pPr>
              <w:pStyle w:val="TableBodyText"/>
              <w:ind w:right="28"/>
            </w:pPr>
            <w:r>
              <w:t>2.75</w:t>
            </w:r>
          </w:p>
        </w:tc>
        <w:tc>
          <w:tcPr>
            <w:tcW w:w="887" w:type="pct"/>
          </w:tcPr>
          <w:p w:rsidR="003936C8" w:rsidRDefault="003936C8" w:rsidP="0042188D">
            <w:pPr>
              <w:pStyle w:val="TableBodyText"/>
              <w:ind w:right="28"/>
            </w:pPr>
            <w:r>
              <w:t>1.37</w:t>
            </w:r>
          </w:p>
        </w:tc>
      </w:tr>
      <w:tr w:rsidR="003936C8" w:rsidTr="0042188D">
        <w:tc>
          <w:tcPr>
            <w:tcW w:w="1774" w:type="pct"/>
          </w:tcPr>
          <w:p w:rsidR="003936C8" w:rsidRDefault="003936C8" w:rsidP="0042188D">
            <w:pPr>
              <w:pStyle w:val="TableBodyText"/>
              <w:ind w:left="142" w:hanging="142"/>
              <w:jc w:val="left"/>
            </w:pPr>
            <w:r>
              <w:t>Project savings (value of deferral)</w:t>
            </w:r>
          </w:p>
        </w:tc>
        <w:tc>
          <w:tcPr>
            <w:tcW w:w="565" w:type="pct"/>
          </w:tcPr>
          <w:p w:rsidR="003936C8" w:rsidRDefault="003936C8" w:rsidP="0042188D">
            <w:pPr>
              <w:pStyle w:val="TableBodyText"/>
              <w:jc w:val="left"/>
            </w:pPr>
            <w:r>
              <w:t>$ million</w:t>
            </w:r>
          </w:p>
        </w:tc>
        <w:tc>
          <w:tcPr>
            <w:tcW w:w="887" w:type="pct"/>
          </w:tcPr>
          <w:p w:rsidR="003936C8" w:rsidRDefault="003936C8" w:rsidP="0042188D">
            <w:pPr>
              <w:pStyle w:val="TableBodyText"/>
            </w:pPr>
            <w:r>
              <w:t>13.4</w:t>
            </w:r>
          </w:p>
        </w:tc>
        <w:tc>
          <w:tcPr>
            <w:tcW w:w="887" w:type="pct"/>
          </w:tcPr>
          <w:p w:rsidR="003936C8" w:rsidRDefault="003936C8" w:rsidP="0042188D">
            <w:pPr>
              <w:pStyle w:val="TableBodyText"/>
              <w:ind w:right="28"/>
            </w:pPr>
            <w:r>
              <w:t>6.46</w:t>
            </w:r>
          </w:p>
        </w:tc>
        <w:tc>
          <w:tcPr>
            <w:tcW w:w="887" w:type="pct"/>
          </w:tcPr>
          <w:p w:rsidR="003936C8" w:rsidRDefault="003936C8" w:rsidP="0042188D">
            <w:pPr>
              <w:pStyle w:val="TableBodyText"/>
              <w:ind w:right="28"/>
            </w:pPr>
            <w:r>
              <w:t>4.17</w:t>
            </w:r>
          </w:p>
        </w:tc>
      </w:tr>
      <w:tr w:rsidR="003936C8" w:rsidTr="0042188D">
        <w:tc>
          <w:tcPr>
            <w:tcW w:w="1774" w:type="pct"/>
            <w:tcBorders>
              <w:bottom w:val="single" w:sz="6" w:space="0" w:color="auto"/>
            </w:tcBorders>
            <w:shd w:val="clear" w:color="auto" w:fill="auto"/>
          </w:tcPr>
          <w:p w:rsidR="003936C8" w:rsidRDefault="003936C8" w:rsidP="0042188D">
            <w:pPr>
              <w:pStyle w:val="TableBodyText"/>
              <w:ind w:left="142" w:hanging="142"/>
              <w:jc w:val="left"/>
            </w:pPr>
            <w:r>
              <w:t>Proportion of Augmentation capital allowance</w:t>
            </w:r>
          </w:p>
        </w:tc>
        <w:tc>
          <w:tcPr>
            <w:tcW w:w="565" w:type="pct"/>
            <w:tcBorders>
              <w:bottom w:val="single" w:sz="6" w:space="0" w:color="auto"/>
            </w:tcBorders>
          </w:tcPr>
          <w:p w:rsidR="003936C8" w:rsidRDefault="003936C8" w:rsidP="0042188D">
            <w:pPr>
              <w:pStyle w:val="TableBodyText"/>
              <w:jc w:val="left"/>
            </w:pPr>
            <w:r>
              <w:t>Per cent</w:t>
            </w:r>
          </w:p>
        </w:tc>
        <w:tc>
          <w:tcPr>
            <w:tcW w:w="887" w:type="pct"/>
            <w:tcBorders>
              <w:bottom w:val="single" w:sz="6" w:space="0" w:color="auto"/>
            </w:tcBorders>
            <w:shd w:val="clear" w:color="auto" w:fill="auto"/>
          </w:tcPr>
          <w:p w:rsidR="003936C8" w:rsidRDefault="003936C8" w:rsidP="0042188D">
            <w:pPr>
              <w:pStyle w:val="TableBodyText"/>
            </w:pPr>
            <w:r>
              <w:t>3.6</w:t>
            </w:r>
          </w:p>
        </w:tc>
        <w:tc>
          <w:tcPr>
            <w:tcW w:w="887" w:type="pct"/>
            <w:tcBorders>
              <w:bottom w:val="single" w:sz="6" w:space="0" w:color="auto"/>
            </w:tcBorders>
            <w:shd w:val="clear" w:color="auto" w:fill="auto"/>
          </w:tcPr>
          <w:p w:rsidR="003936C8" w:rsidRDefault="003936C8" w:rsidP="0042188D">
            <w:pPr>
              <w:pStyle w:val="TableBodyText"/>
              <w:ind w:right="28"/>
            </w:pPr>
            <w:r>
              <w:t>1.3</w:t>
            </w:r>
          </w:p>
        </w:tc>
        <w:tc>
          <w:tcPr>
            <w:tcW w:w="887" w:type="pct"/>
            <w:tcBorders>
              <w:bottom w:val="single" w:sz="6" w:space="0" w:color="auto"/>
            </w:tcBorders>
          </w:tcPr>
          <w:p w:rsidR="003936C8" w:rsidRDefault="003936C8" w:rsidP="0042188D">
            <w:pPr>
              <w:pStyle w:val="TableBodyText"/>
              <w:ind w:right="28"/>
            </w:pPr>
            <w:r>
              <w:t>0.7</w:t>
            </w:r>
          </w:p>
        </w:tc>
      </w:tr>
    </w:tbl>
    <w:p w:rsidR="003936C8" w:rsidRDefault="003936C8" w:rsidP="003936C8">
      <w:pPr>
        <w:pStyle w:val="Source"/>
      </w:pPr>
      <w:r>
        <w:rPr>
          <w:i/>
        </w:rPr>
        <w:t>Source</w:t>
      </w:r>
      <w:r>
        <w:t xml:space="preserve">: </w:t>
      </w:r>
      <w:proofErr w:type="spellStart"/>
      <w:r>
        <w:t>Ausgrid</w:t>
      </w:r>
      <w:proofErr w:type="spellEnd"/>
      <w:r>
        <w:t xml:space="preserve"> submission to </w:t>
      </w:r>
      <w:proofErr w:type="spellStart"/>
      <w:r>
        <w:t>AEMC</w:t>
      </w:r>
      <w:proofErr w:type="spellEnd"/>
      <w:r>
        <w:t xml:space="preserve"> </w:t>
      </w:r>
      <w:proofErr w:type="spellStart"/>
      <w:r>
        <w:t>PoC</w:t>
      </w:r>
      <w:proofErr w:type="spellEnd"/>
      <w:r>
        <w:t xml:space="preserve"> Review Issues Paper, p. 12. </w:t>
      </w:r>
    </w:p>
    <w:p w:rsidR="00E56FAF" w:rsidRDefault="00E56FAF" w:rsidP="00C653AF">
      <w:pPr>
        <w:pStyle w:val="BodyText"/>
      </w:pPr>
      <w:r>
        <w:t xml:space="preserve">Demand aggregators </w:t>
      </w:r>
      <w:r w:rsidR="00F35D38">
        <w:t xml:space="preserve">can </w:t>
      </w:r>
      <w:r w:rsidR="00824D49">
        <w:t xml:space="preserve">step </w:t>
      </w:r>
      <w:r>
        <w:t xml:space="preserve">in to arrange contracts with end-users and assist with identifying and implementing cost-effective load reduction options on behalf of networks. A particular feature of </w:t>
      </w:r>
      <w:r w:rsidR="00F35D38">
        <w:t xml:space="preserve">such </w:t>
      </w:r>
      <w:r>
        <w:t>arrangement</w:t>
      </w:r>
      <w:r w:rsidR="00F35D38">
        <w:t>s</w:t>
      </w:r>
      <w:r>
        <w:t xml:space="preserve"> is that the aggregator takes on the entire risk of a demand management solution not meeting the agreed reduction in demand.</w:t>
      </w:r>
      <w:r>
        <w:rPr>
          <w:rStyle w:val="FootnoteReference"/>
        </w:rPr>
        <w:footnoteReference w:id="22"/>
      </w:r>
      <w:r>
        <w:t xml:space="preserve"> Demand aggregators tend to target load reduction</w:t>
      </w:r>
      <w:r w:rsidR="00CE5ADC">
        <w:t>s</w:t>
      </w:r>
      <w:r>
        <w:t xml:space="preserve"> from large business users, as the costs of negotiating and setting up an individual arrangement with end users (including ‘site enablement’ and real time monitoring capability) </w:t>
      </w:r>
      <w:r>
        <w:lastRenderedPageBreak/>
        <w:t xml:space="preserve">typically amounts to thousands of dollars per site. Consequently, 5-year contracts are normally established with end-users. </w:t>
      </w:r>
    </w:p>
    <w:p w:rsidR="00B1755A" w:rsidRDefault="00B1755A" w:rsidP="00B1755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755A" w:rsidTr="00975FFF">
        <w:tc>
          <w:tcPr>
            <w:tcW w:w="8771" w:type="dxa"/>
            <w:tcBorders>
              <w:top w:val="single" w:sz="6" w:space="0" w:color="auto"/>
              <w:bottom w:val="nil"/>
            </w:tcBorders>
          </w:tcPr>
          <w:p w:rsidR="00B1755A" w:rsidRDefault="00B1755A" w:rsidP="00975FFF">
            <w:pPr>
              <w:pStyle w:val="BoxTitle"/>
            </w:pPr>
            <w:r>
              <w:rPr>
                <w:b w:val="0"/>
              </w:rPr>
              <w:t xml:space="preserve">Box </w:t>
            </w:r>
            <w:fldSimple w:instr=" COMMENTS  \* MERGEFORMAT ">
              <w:r w:rsidR="000852D8" w:rsidRPr="000852D8">
                <w:rPr>
                  <w:b w:val="0"/>
                </w:rPr>
                <w:t>9.</w:t>
              </w:r>
            </w:fldSimple>
            <w:r>
              <w:rPr>
                <w:b w:val="0"/>
              </w:rPr>
              <w:fldChar w:fldCharType="begin"/>
            </w:r>
            <w:r>
              <w:rPr>
                <w:b w:val="0"/>
              </w:rPr>
              <w:instrText xml:space="preserve"> SEQ Box \* ARABIC </w:instrText>
            </w:r>
            <w:r>
              <w:rPr>
                <w:b w:val="0"/>
              </w:rPr>
              <w:fldChar w:fldCharType="separate"/>
            </w:r>
            <w:r w:rsidR="000852D8">
              <w:rPr>
                <w:b w:val="0"/>
                <w:noProof/>
              </w:rPr>
              <w:t>6</w:t>
            </w:r>
            <w:r>
              <w:rPr>
                <w:b w:val="0"/>
              </w:rPr>
              <w:fldChar w:fldCharType="end"/>
            </w:r>
            <w:r>
              <w:tab/>
              <w:t>Demand management options considered by network businesses</w:t>
            </w:r>
          </w:p>
        </w:tc>
      </w:tr>
      <w:tr w:rsidR="00B1755A" w:rsidTr="00975FFF">
        <w:trPr>
          <w:cantSplit/>
        </w:trPr>
        <w:tc>
          <w:tcPr>
            <w:tcW w:w="8771" w:type="dxa"/>
            <w:tcBorders>
              <w:top w:val="nil"/>
              <w:left w:val="single" w:sz="6" w:space="0" w:color="auto"/>
              <w:bottom w:val="nil"/>
              <w:right w:val="single" w:sz="6" w:space="0" w:color="auto"/>
            </w:tcBorders>
          </w:tcPr>
          <w:p w:rsidR="00B1755A" w:rsidRDefault="00B1755A" w:rsidP="00975FFF">
            <w:pPr>
              <w:pStyle w:val="Box"/>
            </w:pPr>
            <w:r>
              <w:t>Demand management options considered by network businesses often involve:</w:t>
            </w:r>
          </w:p>
          <w:p w:rsidR="00B1755A" w:rsidRPr="00E56FAF" w:rsidRDefault="00B1755A" w:rsidP="00975FFF">
            <w:pPr>
              <w:pStyle w:val="BoxListBullet"/>
              <w:rPr>
                <w:spacing w:val="-6"/>
              </w:rPr>
            </w:pPr>
            <w:r w:rsidRPr="00E56FAF">
              <w:rPr>
                <w:spacing w:val="-6"/>
              </w:rPr>
              <w:t>contracting with existing standby generation installations</w:t>
            </w:r>
          </w:p>
          <w:p w:rsidR="00B1755A" w:rsidRDefault="00B1755A" w:rsidP="00975FFF">
            <w:pPr>
              <w:pStyle w:val="BoxListBullet"/>
            </w:pPr>
            <w:r>
              <w:t>negotiating with commercial and industrial users to contract a quantity of peak demand reduction that can be called upon when required. For example, the electricity demand profile in Tasmania is dominated by four large industrial businesses (</w:t>
            </w:r>
            <w:proofErr w:type="spellStart"/>
            <w:r>
              <w:t>ESIEP</w:t>
            </w:r>
            <w:proofErr w:type="spellEnd"/>
            <w:r>
              <w:t xml:space="preserve"> 2012), with</w:t>
            </w:r>
            <w:r w:rsidR="00F22602">
              <w:t xml:space="preserve"> whom agreements can be reached</w:t>
            </w:r>
            <w:r>
              <w:t xml:space="preserve"> (usually at low cost compared to smaller users) to curtail their use </w:t>
            </w:r>
            <w:r w:rsidR="00824D49">
              <w:t>of system capacity upon request</w:t>
            </w:r>
            <w:r>
              <w:rPr>
                <w:rStyle w:val="FootnoteReference"/>
              </w:rPr>
              <w:footnoteReference w:id="23"/>
            </w:r>
            <w:r>
              <w:t xml:space="preserve"> </w:t>
            </w:r>
          </w:p>
          <w:p w:rsidR="00B1755A" w:rsidRDefault="00B1755A" w:rsidP="00975FFF">
            <w:pPr>
              <w:pStyle w:val="BoxListBullet"/>
            </w:pPr>
            <w:r>
              <w:t xml:space="preserve">deploying temporary (modular diesel-fuelled) generators at suitable sites in the network requiring reduced demand on </w:t>
            </w:r>
            <w:r w:rsidRPr="008E3134">
              <w:t>11</w:t>
            </w:r>
            <w:r w:rsidR="008E3134">
              <w:t> </w:t>
            </w:r>
            <w:r w:rsidRPr="008E3134">
              <w:t>kV</w:t>
            </w:r>
            <w:r>
              <w:t xml:space="preserve"> feeders and zone substations. Network businesses usually lease such generators under tender arrangement, with each 5</w:t>
            </w:r>
            <w:r w:rsidR="008E3134">
              <w:t> </w:t>
            </w:r>
            <w:proofErr w:type="spellStart"/>
            <w:r>
              <w:t>MVA</w:t>
            </w:r>
            <w:proofErr w:type="spellEnd"/>
            <w:r>
              <w:t xml:space="preserve"> module costing around $1.25 million per season plus hourly operatio</w:t>
            </w:r>
            <w:r w:rsidR="00824D49">
              <w:t>nal and maintenance costs of $2</w:t>
            </w:r>
            <w:r>
              <w:t>000</w:t>
            </w:r>
          </w:p>
          <w:p w:rsidR="00B1755A" w:rsidRPr="002419B4" w:rsidRDefault="00B1755A" w:rsidP="00975FFF">
            <w:pPr>
              <w:pStyle w:val="BoxListBullet"/>
              <w:rPr>
                <w:spacing w:val="-2"/>
              </w:rPr>
            </w:pPr>
            <w:r w:rsidRPr="002419B4">
              <w:rPr>
                <w:spacing w:val="-2"/>
              </w:rPr>
              <w:t>residential load control of air-conditioning and pool pumps. These solutions have only been evaluated as trial projects to assess their technical feasibility and, for air-conditioner load control, performance at maintaining customer comfort levels. Large scale implementation has not yet been costed, but early results suggest that a 30 to 50 per cent reduction in the normal peak operating load of air-conditioners may be achievable — equivalent to 20-30 per cent of total peak consumption (</w:t>
            </w:r>
            <w:proofErr w:type="spellStart"/>
            <w:r w:rsidRPr="002419B4">
              <w:rPr>
                <w:spacing w:val="-2"/>
              </w:rPr>
              <w:t>Futura</w:t>
            </w:r>
            <w:proofErr w:type="spellEnd"/>
            <w:r w:rsidRPr="002419B4">
              <w:rPr>
                <w:spacing w:val="-2"/>
              </w:rPr>
              <w:t xml:space="preserve"> 2011)</w:t>
            </w:r>
          </w:p>
          <w:p w:rsidR="00B1755A" w:rsidRDefault="00B1755A" w:rsidP="00975FFF">
            <w:pPr>
              <w:pStyle w:val="BoxListBullet"/>
            </w:pPr>
            <w:r>
              <w:t xml:space="preserve">commercial building energy efficiency programs. Cost-effective options usually target lighting upgrades. A previous project by Energy Australia offered businesses around $200/kVA for demand reductions, but when all expenses were included the cost of the project was $115 000, hence costing $450/kVA. </w:t>
            </w:r>
          </w:p>
        </w:tc>
      </w:tr>
      <w:tr w:rsidR="00B1755A" w:rsidTr="00975FFF">
        <w:trPr>
          <w:cantSplit/>
        </w:trPr>
        <w:tc>
          <w:tcPr>
            <w:tcW w:w="8771" w:type="dxa"/>
            <w:tcBorders>
              <w:top w:val="nil"/>
              <w:left w:val="single" w:sz="6" w:space="0" w:color="auto"/>
              <w:bottom w:val="nil"/>
              <w:right w:val="single" w:sz="6" w:space="0" w:color="auto"/>
            </w:tcBorders>
          </w:tcPr>
          <w:p w:rsidR="00B1755A" w:rsidRDefault="00B1755A" w:rsidP="00C945B7">
            <w:pPr>
              <w:pStyle w:val="BoxSource"/>
            </w:pPr>
            <w:r>
              <w:rPr>
                <w:i/>
              </w:rPr>
              <w:t>Source</w:t>
            </w:r>
            <w:r w:rsidRPr="00167F06">
              <w:t xml:space="preserve">: </w:t>
            </w:r>
            <w:r w:rsidR="00C945B7">
              <w:t xml:space="preserve">Energy Australia and </w:t>
            </w:r>
            <w:proofErr w:type="spellStart"/>
            <w:r>
              <w:t>Transgrid</w:t>
            </w:r>
            <w:proofErr w:type="spellEnd"/>
            <w:r>
              <w:t xml:space="preserve"> 2009.</w:t>
            </w:r>
          </w:p>
        </w:tc>
      </w:tr>
      <w:tr w:rsidR="00B1755A" w:rsidTr="00975FFF">
        <w:trPr>
          <w:cantSplit/>
        </w:trPr>
        <w:tc>
          <w:tcPr>
            <w:tcW w:w="8771" w:type="dxa"/>
            <w:tcBorders>
              <w:top w:val="nil"/>
              <w:left w:val="single" w:sz="6" w:space="0" w:color="auto"/>
              <w:bottom w:val="single" w:sz="6" w:space="0" w:color="auto"/>
              <w:right w:val="single" w:sz="6" w:space="0" w:color="auto"/>
            </w:tcBorders>
          </w:tcPr>
          <w:p w:rsidR="00B1755A" w:rsidRDefault="00B1755A" w:rsidP="00B1755A">
            <w:pPr>
              <w:pStyle w:val="Box"/>
              <w:keepNext w:val="0"/>
              <w:spacing w:before="0" w:line="120" w:lineRule="exact"/>
            </w:pPr>
          </w:p>
        </w:tc>
      </w:tr>
    </w:tbl>
    <w:p w:rsidR="00824D49" w:rsidRDefault="00824D49" w:rsidP="00824D49">
      <w:pPr>
        <w:pStyle w:val="BodyText"/>
      </w:pPr>
      <w:r>
        <w:t xml:space="preserve">A one off survey in 2010 of Electricity Network Demand Management in Australia found that, in 2010-11, demand management by network businesses was expected to displace 0.8 per cent of the total peak demand (equivalent to </w:t>
      </w:r>
      <w:proofErr w:type="spellStart"/>
      <w:r>
        <w:t>367MW</w:t>
      </w:r>
      <w:proofErr w:type="spellEnd"/>
      <w:r>
        <w:t xml:space="preserve">, and more than 4 times higher than in 2007-08) (Dunstan et al. </w:t>
      </w:r>
      <w:proofErr w:type="spellStart"/>
      <w:r>
        <w:t>2011</w:t>
      </w:r>
      <w:r w:rsidR="006B538C">
        <w:t>a</w:t>
      </w:r>
      <w:proofErr w:type="spellEnd"/>
      <w:r>
        <w:t>).</w:t>
      </w:r>
    </w:p>
    <w:p w:rsidR="00824D49" w:rsidRPr="00824D49" w:rsidRDefault="00824D49" w:rsidP="00824D49">
      <w:pPr>
        <w:pStyle w:val="BodyText"/>
        <w:rPr>
          <w:spacing w:val="-4"/>
        </w:rPr>
      </w:pPr>
      <w:proofErr w:type="spellStart"/>
      <w:r w:rsidRPr="00824D49">
        <w:rPr>
          <w:spacing w:val="-4"/>
        </w:rPr>
        <w:t>Futura</w:t>
      </w:r>
      <w:proofErr w:type="spellEnd"/>
      <w:r w:rsidRPr="00824D49">
        <w:rPr>
          <w:spacing w:val="-4"/>
        </w:rPr>
        <w:t xml:space="preserve"> Consulting recently sought to quantify the volume of peak demand management in the </w:t>
      </w:r>
      <w:proofErr w:type="spellStart"/>
      <w:r w:rsidRPr="00824D49">
        <w:rPr>
          <w:spacing w:val="-4"/>
        </w:rPr>
        <w:t>NEM</w:t>
      </w:r>
      <w:proofErr w:type="spellEnd"/>
      <w:r w:rsidRPr="00824D49">
        <w:rPr>
          <w:spacing w:val="-4"/>
        </w:rPr>
        <w:t xml:space="preserve"> (2011). They found approximately 430 MW of peak demand reduction </w:t>
      </w:r>
      <w:r w:rsidRPr="00824D49">
        <w:rPr>
          <w:spacing w:val="-4"/>
        </w:rPr>
        <w:lastRenderedPageBreak/>
        <w:t>was sourced from commercial and industrial customers</w:t>
      </w:r>
      <w:r w:rsidR="00F92DEE">
        <w:rPr>
          <w:spacing w:val="-4"/>
        </w:rPr>
        <w:t>,</w:t>
      </w:r>
      <w:r w:rsidRPr="00824D49">
        <w:rPr>
          <w:rStyle w:val="FootnoteReference"/>
          <w:spacing w:val="-4"/>
        </w:rPr>
        <w:footnoteReference w:id="24"/>
      </w:r>
      <w:r w:rsidRPr="00824D49">
        <w:rPr>
          <w:spacing w:val="-4"/>
        </w:rPr>
        <w:t xml:space="preserve"> which is equivalent to around 1 per cent of system peak demand in the </w:t>
      </w:r>
      <w:proofErr w:type="spellStart"/>
      <w:r w:rsidRPr="00824D49">
        <w:rPr>
          <w:spacing w:val="-4"/>
        </w:rPr>
        <w:t>NEM</w:t>
      </w:r>
      <w:proofErr w:type="spellEnd"/>
      <w:r w:rsidRPr="00824D49">
        <w:rPr>
          <w:spacing w:val="-4"/>
        </w:rPr>
        <w:t>. This is suggested to be low compared to international benchmarks. For example, the equivalent peak load reduction is 6 per cent in the Californian market (</w:t>
      </w:r>
      <w:proofErr w:type="spellStart"/>
      <w:r w:rsidRPr="00824D49">
        <w:rPr>
          <w:spacing w:val="-4"/>
        </w:rPr>
        <w:t>Faruqui</w:t>
      </w:r>
      <w:proofErr w:type="spellEnd"/>
      <w:r w:rsidRPr="00824D49">
        <w:rPr>
          <w:spacing w:val="-4"/>
        </w:rPr>
        <w:t> 2011).</w:t>
      </w:r>
    </w:p>
    <w:p w:rsidR="00B1755A" w:rsidRDefault="00777528" w:rsidP="00777528">
      <w:pPr>
        <w:pStyle w:val="BodyText"/>
      </w:pPr>
      <w:r>
        <w:t xml:space="preserve">An annual survey undertaken by </w:t>
      </w:r>
      <w:proofErr w:type="spellStart"/>
      <w:r>
        <w:t>AEMO</w:t>
      </w:r>
      <w:proofErr w:type="spellEnd"/>
      <w:r>
        <w:t xml:space="preserve"> of demand management by retailers, network businesses and demand response aggregators indicates that demand response amounts to less than one per cent of the </w:t>
      </w:r>
      <w:proofErr w:type="spellStart"/>
      <w:r>
        <w:t>NEM</w:t>
      </w:r>
      <w:proofErr w:type="spellEnd"/>
      <w:r>
        <w:t xml:space="preserve">-wide peak (table 9.3; </w:t>
      </w:r>
      <w:proofErr w:type="spellStart"/>
      <w:r>
        <w:t>AEMO</w:t>
      </w:r>
      <w:proofErr w:type="spellEnd"/>
      <w:r>
        <w:t xml:space="preserve"> </w:t>
      </w:r>
      <w:proofErr w:type="spellStart"/>
      <w:r>
        <w:t>2012</w:t>
      </w:r>
      <w:r w:rsidR="006B538C">
        <w:t>a</w:t>
      </w:r>
      <w:proofErr w:type="spellEnd"/>
      <w:r>
        <w:t xml:space="preserve">). </w:t>
      </w:r>
    </w:p>
    <w:p w:rsidR="00B1755A" w:rsidRPr="00434CAD" w:rsidRDefault="00B1755A" w:rsidP="00B1755A">
      <w:pPr>
        <w:pStyle w:val="BodyText"/>
        <w:keepNext/>
        <w:rPr>
          <w:rFonts w:ascii="Arial" w:hAnsi="Arial" w:cs="Arial"/>
          <w:b/>
        </w:rPr>
      </w:pPr>
      <w:r w:rsidRPr="00434CAD">
        <w:rPr>
          <w:rFonts w:ascii="Arial" w:hAnsi="Arial" w:cs="Arial"/>
        </w:rPr>
        <w:t xml:space="preserve">Table </w:t>
      </w:r>
      <w:fldSimple w:instr=" COMMENTS  \* MERGEFORMAT ">
        <w:r w:rsidR="000852D8" w:rsidRPr="000852D8">
          <w:rPr>
            <w:rFonts w:ascii="Arial" w:hAnsi="Arial" w:cs="Arial"/>
          </w:rPr>
          <w:t>9.</w:t>
        </w:r>
      </w:fldSimple>
      <w:r w:rsidRPr="00434CAD">
        <w:rPr>
          <w:rFonts w:ascii="Arial" w:hAnsi="Arial" w:cs="Arial"/>
        </w:rPr>
        <w:fldChar w:fldCharType="begin"/>
      </w:r>
      <w:r w:rsidRPr="00434CAD">
        <w:rPr>
          <w:rFonts w:ascii="Arial" w:hAnsi="Arial" w:cs="Arial"/>
        </w:rPr>
        <w:instrText xml:space="preserve"> SEQ Table \* ARABIC </w:instrText>
      </w:r>
      <w:r w:rsidRPr="00434CAD">
        <w:rPr>
          <w:rFonts w:ascii="Arial" w:hAnsi="Arial" w:cs="Arial"/>
        </w:rPr>
        <w:fldChar w:fldCharType="separate"/>
      </w:r>
      <w:r w:rsidR="000852D8">
        <w:rPr>
          <w:rFonts w:ascii="Arial" w:hAnsi="Arial" w:cs="Arial"/>
          <w:noProof/>
        </w:rPr>
        <w:t>3</w:t>
      </w:r>
      <w:r w:rsidRPr="00434CAD">
        <w:rPr>
          <w:rFonts w:ascii="Arial" w:hAnsi="Arial" w:cs="Arial"/>
        </w:rPr>
        <w:fldChar w:fldCharType="end"/>
      </w:r>
      <w:r w:rsidRPr="00434CAD">
        <w:rPr>
          <w:rFonts w:ascii="Arial" w:hAnsi="Arial" w:cs="Arial"/>
        </w:rPr>
        <w:tab/>
      </w:r>
      <w:r w:rsidRPr="00434CAD">
        <w:rPr>
          <w:rFonts w:ascii="Arial" w:hAnsi="Arial" w:cs="Arial"/>
          <w:b/>
        </w:rPr>
        <w:t xml:space="preserve">Levels of demand </w:t>
      </w:r>
      <w:r>
        <w:rPr>
          <w:rFonts w:ascii="Arial" w:hAnsi="Arial" w:cs="Arial"/>
          <w:b/>
        </w:rPr>
        <w:t>response from all reported sources</w:t>
      </w:r>
      <w:r w:rsidRPr="00434CAD">
        <w:rPr>
          <w:rFonts w:ascii="Arial" w:hAnsi="Arial" w:cs="Arial"/>
          <w:b/>
        </w:rPr>
        <w:t xml:space="preserve"> </w:t>
      </w:r>
    </w:p>
    <w:p w:rsidR="00B1755A" w:rsidRDefault="00B1755A" w:rsidP="00B1755A">
      <w:pPr>
        <w:pStyle w:val="Subtitle"/>
      </w:pPr>
      <w:r>
        <w:t>Aggregate energy co</w:t>
      </w:r>
      <w:r w:rsidR="00F22602">
        <w:t xml:space="preserve">nsumption (MW) by likelihood of businesses participating </w:t>
      </w:r>
      <w:r>
        <w:t>in demand management for the 2012-13 summer</w:t>
      </w:r>
    </w:p>
    <w:tbl>
      <w:tblPr>
        <w:tblW w:w="5000" w:type="pct"/>
        <w:tblCellMar>
          <w:left w:w="0" w:type="dxa"/>
          <w:right w:w="0" w:type="dxa"/>
        </w:tblCellMar>
        <w:tblLook w:val="0000" w:firstRow="0" w:lastRow="0" w:firstColumn="0" w:lastColumn="0" w:noHBand="0" w:noVBand="0"/>
      </w:tblPr>
      <w:tblGrid>
        <w:gridCol w:w="2203"/>
        <w:gridCol w:w="2197"/>
        <w:gridCol w:w="2195"/>
        <w:gridCol w:w="2194"/>
      </w:tblGrid>
      <w:tr w:rsidR="00B1755A" w:rsidTr="00F92DEE">
        <w:tc>
          <w:tcPr>
            <w:tcW w:w="1253" w:type="pct"/>
            <w:tcBorders>
              <w:top w:val="single" w:sz="6" w:space="0" w:color="auto"/>
              <w:bottom w:val="single" w:sz="6" w:space="0" w:color="auto"/>
            </w:tcBorders>
            <w:shd w:val="clear" w:color="auto" w:fill="auto"/>
          </w:tcPr>
          <w:p w:rsidR="00B1755A" w:rsidRDefault="00B1755A" w:rsidP="00975FFF">
            <w:pPr>
              <w:pStyle w:val="TableColumnHeading"/>
              <w:jc w:val="left"/>
            </w:pPr>
          </w:p>
        </w:tc>
        <w:tc>
          <w:tcPr>
            <w:tcW w:w="1250" w:type="pct"/>
            <w:tcBorders>
              <w:top w:val="single" w:sz="6" w:space="0" w:color="auto"/>
              <w:bottom w:val="single" w:sz="6" w:space="0" w:color="auto"/>
            </w:tcBorders>
            <w:shd w:val="clear" w:color="auto" w:fill="auto"/>
          </w:tcPr>
          <w:p w:rsidR="00B1755A" w:rsidRDefault="00B1755A" w:rsidP="00975FFF">
            <w:pPr>
              <w:pStyle w:val="TableColumnHeading"/>
            </w:pPr>
            <w:r>
              <w:t>Very likely</w:t>
            </w:r>
          </w:p>
        </w:tc>
        <w:tc>
          <w:tcPr>
            <w:tcW w:w="1249" w:type="pct"/>
            <w:tcBorders>
              <w:top w:val="single" w:sz="6" w:space="0" w:color="auto"/>
              <w:bottom w:val="single" w:sz="6" w:space="0" w:color="auto"/>
            </w:tcBorders>
          </w:tcPr>
          <w:p w:rsidR="00B1755A" w:rsidRDefault="00B1755A" w:rsidP="00975FFF">
            <w:pPr>
              <w:pStyle w:val="TableColumnHeading"/>
              <w:ind w:right="28"/>
            </w:pPr>
            <w:r>
              <w:t>Even chance</w:t>
            </w:r>
          </w:p>
        </w:tc>
        <w:tc>
          <w:tcPr>
            <w:tcW w:w="1249" w:type="pct"/>
            <w:tcBorders>
              <w:top w:val="single" w:sz="6" w:space="0" w:color="auto"/>
              <w:bottom w:val="single" w:sz="6" w:space="0" w:color="auto"/>
            </w:tcBorders>
            <w:shd w:val="clear" w:color="auto" w:fill="auto"/>
          </w:tcPr>
          <w:p w:rsidR="00B1755A" w:rsidRDefault="00B1755A" w:rsidP="00975FFF">
            <w:pPr>
              <w:pStyle w:val="TableColumnHeading"/>
              <w:ind w:right="28"/>
            </w:pPr>
            <w:r>
              <w:t>Very unlikely</w:t>
            </w:r>
          </w:p>
        </w:tc>
      </w:tr>
      <w:tr w:rsidR="00B1755A" w:rsidTr="00F92DEE">
        <w:tc>
          <w:tcPr>
            <w:tcW w:w="1253" w:type="pct"/>
            <w:tcBorders>
              <w:top w:val="single" w:sz="6" w:space="0" w:color="auto"/>
            </w:tcBorders>
          </w:tcPr>
          <w:p w:rsidR="00B1755A" w:rsidRDefault="00B1755A" w:rsidP="00975FFF">
            <w:pPr>
              <w:pStyle w:val="TableUnitsRow"/>
              <w:jc w:val="left"/>
            </w:pPr>
            <w:r>
              <w:t>Queensland</w:t>
            </w:r>
          </w:p>
        </w:tc>
        <w:tc>
          <w:tcPr>
            <w:tcW w:w="1250" w:type="pct"/>
            <w:tcBorders>
              <w:top w:val="single" w:sz="6" w:space="0" w:color="auto"/>
            </w:tcBorders>
          </w:tcPr>
          <w:p w:rsidR="00B1755A" w:rsidRDefault="00B1755A" w:rsidP="00975FFF">
            <w:pPr>
              <w:pStyle w:val="TableUnitsRow"/>
            </w:pPr>
            <w:r>
              <w:t>78</w:t>
            </w:r>
          </w:p>
        </w:tc>
        <w:tc>
          <w:tcPr>
            <w:tcW w:w="1249" w:type="pct"/>
            <w:tcBorders>
              <w:top w:val="single" w:sz="6" w:space="0" w:color="auto"/>
            </w:tcBorders>
          </w:tcPr>
          <w:p w:rsidR="00B1755A" w:rsidRDefault="00B1755A" w:rsidP="00975FFF">
            <w:pPr>
              <w:pStyle w:val="TableUnitsRow"/>
              <w:ind w:right="28"/>
            </w:pPr>
            <w:r>
              <w:t>111</w:t>
            </w:r>
          </w:p>
        </w:tc>
        <w:tc>
          <w:tcPr>
            <w:tcW w:w="1249" w:type="pct"/>
            <w:tcBorders>
              <w:top w:val="single" w:sz="6" w:space="0" w:color="auto"/>
            </w:tcBorders>
          </w:tcPr>
          <w:p w:rsidR="00B1755A" w:rsidRDefault="00B1755A" w:rsidP="00975FFF">
            <w:pPr>
              <w:pStyle w:val="TableUnitsRow"/>
              <w:ind w:right="28"/>
            </w:pPr>
            <w:r>
              <w:t>111</w:t>
            </w:r>
          </w:p>
        </w:tc>
      </w:tr>
      <w:tr w:rsidR="00B1755A" w:rsidTr="00F92DEE">
        <w:tc>
          <w:tcPr>
            <w:tcW w:w="1253" w:type="pct"/>
          </w:tcPr>
          <w:p w:rsidR="00B1755A" w:rsidRDefault="00B1755A" w:rsidP="00975FFF">
            <w:pPr>
              <w:pStyle w:val="TableBodyText"/>
              <w:jc w:val="left"/>
            </w:pPr>
            <w:r>
              <w:t>New South Wales</w:t>
            </w:r>
          </w:p>
        </w:tc>
        <w:tc>
          <w:tcPr>
            <w:tcW w:w="1250" w:type="pct"/>
          </w:tcPr>
          <w:p w:rsidR="00B1755A" w:rsidRDefault="00B1755A" w:rsidP="00975FFF">
            <w:pPr>
              <w:pStyle w:val="TableBodyText"/>
            </w:pPr>
            <w:r>
              <w:t>31</w:t>
            </w:r>
          </w:p>
        </w:tc>
        <w:tc>
          <w:tcPr>
            <w:tcW w:w="1249" w:type="pct"/>
          </w:tcPr>
          <w:p w:rsidR="00B1755A" w:rsidRDefault="00B1755A" w:rsidP="00975FFF">
            <w:pPr>
              <w:pStyle w:val="TableBodyText"/>
              <w:ind w:right="28"/>
            </w:pPr>
            <w:r>
              <w:t>71</w:t>
            </w:r>
          </w:p>
        </w:tc>
        <w:tc>
          <w:tcPr>
            <w:tcW w:w="1249" w:type="pct"/>
          </w:tcPr>
          <w:p w:rsidR="00B1755A" w:rsidRDefault="00B1755A" w:rsidP="00975FFF">
            <w:pPr>
              <w:pStyle w:val="TableBodyText"/>
              <w:ind w:right="28"/>
            </w:pPr>
            <w:r>
              <w:t>98</w:t>
            </w:r>
          </w:p>
        </w:tc>
      </w:tr>
      <w:tr w:rsidR="00B1755A" w:rsidTr="00F92DEE">
        <w:tc>
          <w:tcPr>
            <w:tcW w:w="1253" w:type="pct"/>
            <w:tcBorders>
              <w:bottom w:val="single" w:sz="4" w:space="0" w:color="auto"/>
            </w:tcBorders>
          </w:tcPr>
          <w:p w:rsidR="00B1755A" w:rsidRDefault="00B1755A" w:rsidP="00975FFF">
            <w:pPr>
              <w:pStyle w:val="TableBodyText"/>
              <w:jc w:val="left"/>
            </w:pPr>
            <w:r>
              <w:t>Victoria and SA</w:t>
            </w:r>
          </w:p>
        </w:tc>
        <w:tc>
          <w:tcPr>
            <w:tcW w:w="1250" w:type="pct"/>
            <w:tcBorders>
              <w:bottom w:val="single" w:sz="4" w:space="0" w:color="auto"/>
            </w:tcBorders>
          </w:tcPr>
          <w:p w:rsidR="00B1755A" w:rsidRDefault="00B1755A" w:rsidP="00975FFF">
            <w:pPr>
              <w:pStyle w:val="TableBodyText"/>
            </w:pPr>
            <w:r>
              <w:t>109</w:t>
            </w:r>
          </w:p>
        </w:tc>
        <w:tc>
          <w:tcPr>
            <w:tcW w:w="1249" w:type="pct"/>
            <w:tcBorders>
              <w:bottom w:val="single" w:sz="4" w:space="0" w:color="auto"/>
            </w:tcBorders>
          </w:tcPr>
          <w:p w:rsidR="00B1755A" w:rsidRDefault="00B1755A" w:rsidP="00975FFF">
            <w:pPr>
              <w:pStyle w:val="TableBodyText"/>
              <w:ind w:right="28"/>
            </w:pPr>
            <w:r>
              <w:t>121</w:t>
            </w:r>
          </w:p>
        </w:tc>
        <w:tc>
          <w:tcPr>
            <w:tcW w:w="1249" w:type="pct"/>
            <w:tcBorders>
              <w:bottom w:val="single" w:sz="4" w:space="0" w:color="auto"/>
            </w:tcBorders>
          </w:tcPr>
          <w:p w:rsidR="00B1755A" w:rsidRDefault="00B1755A" w:rsidP="00975FFF">
            <w:pPr>
              <w:pStyle w:val="TableBodyText"/>
              <w:ind w:right="28"/>
            </w:pPr>
            <w:r>
              <w:t>149</w:t>
            </w:r>
          </w:p>
        </w:tc>
      </w:tr>
    </w:tbl>
    <w:p w:rsidR="00B1755A" w:rsidRPr="00D144F5" w:rsidRDefault="000F0CB5" w:rsidP="00B1755A">
      <w:pPr>
        <w:pStyle w:val="Source"/>
        <w:rPr>
          <w:i/>
        </w:rPr>
      </w:pPr>
      <w:r>
        <w:rPr>
          <w:i/>
        </w:rPr>
        <w:t xml:space="preserve">Source: </w:t>
      </w:r>
      <w:proofErr w:type="spellStart"/>
      <w:r>
        <w:rPr>
          <w:i/>
        </w:rPr>
        <w:t>AEMO</w:t>
      </w:r>
      <w:proofErr w:type="spellEnd"/>
      <w:r w:rsidR="00B1755A">
        <w:rPr>
          <w:i/>
        </w:rPr>
        <w:t xml:space="preserve"> </w:t>
      </w:r>
      <w:proofErr w:type="spellStart"/>
      <w:r w:rsidR="00B1755A">
        <w:rPr>
          <w:i/>
        </w:rPr>
        <w:t>2011</w:t>
      </w:r>
      <w:r w:rsidR="006B538C">
        <w:rPr>
          <w:i/>
        </w:rPr>
        <w:t>b</w:t>
      </w:r>
      <w:proofErr w:type="spellEnd"/>
      <w:r w:rsidR="00B1755A">
        <w:rPr>
          <w:i/>
        </w:rPr>
        <w:t xml:space="preserve">, </w:t>
      </w:r>
      <w:proofErr w:type="spellStart"/>
      <w:r w:rsidR="00B1755A">
        <w:rPr>
          <w:i/>
        </w:rPr>
        <w:t>ESOO</w:t>
      </w:r>
      <w:proofErr w:type="spellEnd"/>
      <w:r w:rsidR="00B1755A">
        <w:rPr>
          <w:i/>
        </w:rPr>
        <w:t>, p. 3.50</w:t>
      </w:r>
    </w:p>
    <w:p w:rsidR="00777528" w:rsidRPr="00777528" w:rsidRDefault="00777528" w:rsidP="00777528">
      <w:pPr>
        <w:pStyle w:val="BodyText"/>
      </w:pPr>
      <w:r>
        <w:t xml:space="preserve">While the survey is intended to capture </w:t>
      </w:r>
      <w:r w:rsidR="00F92DEE">
        <w:t xml:space="preserve">the </w:t>
      </w:r>
      <w:r>
        <w:t xml:space="preserve">demand management activity of retailers, evidence of substantial load shedding following wholesale market </w:t>
      </w:r>
      <w:r w:rsidR="00CE5ADC">
        <w:t xml:space="preserve">price </w:t>
      </w:r>
      <w:r w:rsidR="00F92DEE">
        <w:t>spikes</w:t>
      </w:r>
      <w:r>
        <w:t xml:space="preserve"> suggests the survey underestimates actual demand</w:t>
      </w:r>
      <w:r w:rsidR="0086396F">
        <w:t xml:space="preserve"> management activity of their customers</w:t>
      </w:r>
      <w:r>
        <w:t xml:space="preserve">. </w:t>
      </w:r>
      <w:r>
        <w:rPr>
          <w:spacing w:val="-2"/>
        </w:rPr>
        <w:t>For example, i</w:t>
      </w:r>
      <w:r w:rsidRPr="00410E62">
        <w:rPr>
          <w:spacing w:val="-2"/>
        </w:rPr>
        <w:t>nvestigations by the AER reveal</w:t>
      </w:r>
      <w:r>
        <w:rPr>
          <w:spacing w:val="-2"/>
        </w:rPr>
        <w:t xml:space="preserve"> that following</w:t>
      </w:r>
      <w:r w:rsidRPr="00410E62">
        <w:rPr>
          <w:spacing w:val="-2"/>
        </w:rPr>
        <w:t xml:space="preserve"> </w:t>
      </w:r>
      <w:r>
        <w:rPr>
          <w:spacing w:val="-2"/>
        </w:rPr>
        <w:t>price spikes in the spot market in NSW:</w:t>
      </w:r>
    </w:p>
    <w:p w:rsidR="00777528" w:rsidRDefault="00777528" w:rsidP="00777528">
      <w:pPr>
        <w:pStyle w:val="ListBullet"/>
      </w:pPr>
      <w:r w:rsidRPr="00410E62">
        <w:t>during a period of high temperatures, around 500 MW was shed in November 2009, following a price</w:t>
      </w:r>
      <w:r w:rsidR="00506901">
        <w:t xml:space="preserve"> spike to $6200/</w:t>
      </w:r>
      <w:proofErr w:type="spellStart"/>
      <w:r w:rsidR="00506901">
        <w:t>MWh</w:t>
      </w:r>
      <w:proofErr w:type="spellEnd"/>
      <w:r w:rsidR="00506901">
        <w:t xml:space="preserve"> (</w:t>
      </w:r>
      <w:proofErr w:type="spellStart"/>
      <w:r w:rsidR="00506901">
        <w:t>Futura</w:t>
      </w:r>
      <w:proofErr w:type="spellEnd"/>
      <w:r w:rsidR="00506901">
        <w:t xml:space="preserve"> 2011</w:t>
      </w:r>
      <w:r w:rsidRPr="00410E62">
        <w:t>, p. 43)</w:t>
      </w:r>
      <w:r>
        <w:t xml:space="preserve"> </w:t>
      </w:r>
    </w:p>
    <w:p w:rsidR="00777528" w:rsidRDefault="005F7F13" w:rsidP="00777528">
      <w:pPr>
        <w:pStyle w:val="ListBullet"/>
      </w:pPr>
      <w:r>
        <w:t xml:space="preserve">an </w:t>
      </w:r>
      <w:r w:rsidR="00777528">
        <w:t>episode o</w:t>
      </w:r>
      <w:r w:rsidR="007B2BC3">
        <w:t>f disorderly bidding (chapter 18</w:t>
      </w:r>
      <w:r w:rsidR="00777528">
        <w:t>) by generators on 4 February 2010 resulted in prices varying from $10 000/</w:t>
      </w:r>
      <w:proofErr w:type="spellStart"/>
      <w:r w:rsidR="00777528">
        <w:t>MWh</w:t>
      </w:r>
      <w:proofErr w:type="spellEnd"/>
      <w:r w:rsidR="00777528">
        <w:t xml:space="preserve"> to the market floor price </w:t>
      </w:r>
      <w:r w:rsidR="00FC6372">
        <w:br/>
      </w:r>
      <w:r w:rsidR="00777528">
        <w:t>(-$1000/</w:t>
      </w:r>
      <w:proofErr w:type="spellStart"/>
      <w:r w:rsidR="00777528">
        <w:t>MWh</w:t>
      </w:r>
      <w:proofErr w:type="spellEnd"/>
      <w:r w:rsidR="00777528">
        <w:t xml:space="preserve">) </w:t>
      </w:r>
      <w:r w:rsidR="00FC6372">
        <w:t xml:space="preserve">and 538 MW of load being shed </w:t>
      </w:r>
      <w:r w:rsidR="00777528">
        <w:t>over the space of just one hour (</w:t>
      </w:r>
      <w:proofErr w:type="spellStart"/>
      <w:r w:rsidR="00777528">
        <w:t>AER</w:t>
      </w:r>
      <w:proofErr w:type="spellEnd"/>
      <w:r w:rsidR="00777528">
        <w:t xml:space="preserve"> </w:t>
      </w:r>
      <w:proofErr w:type="spellStart"/>
      <w:r w:rsidR="00777528">
        <w:t>2010</w:t>
      </w:r>
      <w:r w:rsidR="00FB461D">
        <w:t>d</w:t>
      </w:r>
      <w:proofErr w:type="spellEnd"/>
      <w:r w:rsidR="00777528">
        <w:t>).</w:t>
      </w:r>
    </w:p>
    <w:p w:rsidR="00777528" w:rsidRPr="00D144F5" w:rsidRDefault="00010161" w:rsidP="00777528">
      <w:pPr>
        <w:pStyle w:val="BodyText"/>
        <w:rPr>
          <w:spacing w:val="-4"/>
        </w:rPr>
      </w:pPr>
      <w:r w:rsidRPr="0086396F">
        <w:rPr>
          <w:spacing w:val="-4"/>
        </w:rPr>
        <w:t>S</w:t>
      </w:r>
      <w:r w:rsidR="00777528" w:rsidRPr="0086396F">
        <w:rPr>
          <w:spacing w:val="-4"/>
        </w:rPr>
        <w:t xml:space="preserve">uch </w:t>
      </w:r>
      <w:r w:rsidR="0086396F" w:rsidRPr="0086396F">
        <w:rPr>
          <w:spacing w:val="-4"/>
        </w:rPr>
        <w:t>examples</w:t>
      </w:r>
      <w:r w:rsidR="00756222">
        <w:rPr>
          <w:spacing w:val="-4"/>
        </w:rPr>
        <w:t xml:space="preserve"> demonstrate</w:t>
      </w:r>
      <w:r w:rsidR="00777528" w:rsidRPr="0086396F">
        <w:rPr>
          <w:spacing w:val="-4"/>
        </w:rPr>
        <w:t xml:space="preserve"> </w:t>
      </w:r>
      <w:r w:rsidR="00D144F5" w:rsidRPr="0086396F">
        <w:rPr>
          <w:spacing w:val="-4"/>
        </w:rPr>
        <w:t xml:space="preserve">the </w:t>
      </w:r>
      <w:r w:rsidR="00CE5ADC" w:rsidRPr="0086396F">
        <w:rPr>
          <w:spacing w:val="-4"/>
        </w:rPr>
        <w:t>willingness</w:t>
      </w:r>
      <w:r w:rsidR="00D144F5" w:rsidRPr="0086396F">
        <w:rPr>
          <w:spacing w:val="-4"/>
        </w:rPr>
        <w:t xml:space="preserve"> of </w:t>
      </w:r>
      <w:r w:rsidRPr="0086396F">
        <w:rPr>
          <w:spacing w:val="-4"/>
        </w:rPr>
        <w:t>some</w:t>
      </w:r>
      <w:r w:rsidR="00CE5ADC" w:rsidRPr="0086396F">
        <w:rPr>
          <w:spacing w:val="-4"/>
        </w:rPr>
        <w:t xml:space="preserve"> </w:t>
      </w:r>
      <w:r w:rsidR="00D144F5" w:rsidRPr="0086396F">
        <w:rPr>
          <w:spacing w:val="-4"/>
        </w:rPr>
        <w:t xml:space="preserve">industrial </w:t>
      </w:r>
      <w:r w:rsidR="00CE5ADC" w:rsidRPr="0086396F">
        <w:rPr>
          <w:spacing w:val="-4"/>
        </w:rPr>
        <w:t>businesses to respond to</w:t>
      </w:r>
      <w:r w:rsidR="00CE5ADC">
        <w:rPr>
          <w:spacing w:val="-4"/>
        </w:rPr>
        <w:t xml:space="preserve"> commercial incentives</w:t>
      </w:r>
      <w:r w:rsidR="00CE5ADC" w:rsidRPr="00E56FAF">
        <w:rPr>
          <w:spacing w:val="-4"/>
        </w:rPr>
        <w:t xml:space="preserve"> </w:t>
      </w:r>
      <w:r w:rsidR="00CE5ADC">
        <w:rPr>
          <w:spacing w:val="-4"/>
        </w:rPr>
        <w:t>for</w:t>
      </w:r>
      <w:r w:rsidR="00CE5ADC" w:rsidRPr="00E56FAF">
        <w:rPr>
          <w:spacing w:val="-4"/>
        </w:rPr>
        <w:t xml:space="preserve"> </w:t>
      </w:r>
      <w:r w:rsidR="00D144F5" w:rsidRPr="00E56FAF">
        <w:rPr>
          <w:spacing w:val="-4"/>
        </w:rPr>
        <w:t>load management</w:t>
      </w:r>
      <w:r w:rsidR="00777528" w:rsidRPr="00E56FAF">
        <w:rPr>
          <w:spacing w:val="-4"/>
        </w:rPr>
        <w:t>.</w:t>
      </w:r>
      <w:r w:rsidR="00D144F5">
        <w:rPr>
          <w:spacing w:val="-4"/>
        </w:rPr>
        <w:t xml:space="preserve"> Depending on the size of the payment</w:t>
      </w:r>
      <w:r w:rsidR="00777528">
        <w:rPr>
          <w:spacing w:val="-4"/>
        </w:rPr>
        <w:t xml:space="preserve"> such end-users </w:t>
      </w:r>
      <w:r w:rsidR="00D144F5">
        <w:rPr>
          <w:spacing w:val="-4"/>
        </w:rPr>
        <w:t xml:space="preserve">would require to curtail their load (or price they would be willing to avoid), such evidence may point to a greater source of demand response capacity for networks to tap into. </w:t>
      </w:r>
    </w:p>
    <w:p w:rsidR="00C008BD" w:rsidRDefault="000E20B8" w:rsidP="00D72B50">
      <w:pPr>
        <w:pStyle w:val="Heading2"/>
      </w:pPr>
      <w:fldSimple w:instr=" COMMENTS  \* MERGEFORMAT ">
        <w:r w:rsidR="000852D8">
          <w:t>9.</w:t>
        </w:r>
      </w:fldSimple>
      <w:fldSimple w:instr=" SEQ Heading2 ">
        <w:r w:rsidR="000852D8">
          <w:rPr>
            <w:noProof/>
          </w:rPr>
          <w:t>6</w:t>
        </w:r>
      </w:fldSimple>
      <w:r w:rsidR="00D72B50">
        <w:tab/>
      </w:r>
      <w:r w:rsidR="00C008BD">
        <w:t xml:space="preserve">Why is </w:t>
      </w:r>
      <w:r w:rsidR="00E44F1A">
        <w:t xml:space="preserve">the uptake of </w:t>
      </w:r>
      <w:r w:rsidR="00C008BD">
        <w:t>demand management so low?</w:t>
      </w:r>
    </w:p>
    <w:p w:rsidR="00E45010" w:rsidRPr="00EA368B" w:rsidRDefault="00150BF0" w:rsidP="00C008BD">
      <w:pPr>
        <w:pStyle w:val="BodyText"/>
        <w:rPr>
          <w:spacing w:val="-6"/>
        </w:rPr>
      </w:pPr>
      <w:r w:rsidRPr="00EA368B">
        <w:rPr>
          <w:spacing w:val="-6"/>
        </w:rPr>
        <w:t xml:space="preserve">Despite the conceptual appeal and stated potential for wider implementation of demand management, there has been a low level of uptake across the </w:t>
      </w:r>
      <w:proofErr w:type="spellStart"/>
      <w:r w:rsidRPr="00EA368B">
        <w:rPr>
          <w:spacing w:val="-6"/>
        </w:rPr>
        <w:t>NEM</w:t>
      </w:r>
      <w:proofErr w:type="spellEnd"/>
      <w:r w:rsidRPr="00EA368B">
        <w:rPr>
          <w:spacing w:val="-6"/>
        </w:rPr>
        <w:t xml:space="preserve"> </w:t>
      </w:r>
      <w:r w:rsidRPr="00EA368B">
        <w:rPr>
          <w:spacing w:val="-2"/>
        </w:rPr>
        <w:t xml:space="preserve">(particularly by network businesses). </w:t>
      </w:r>
      <w:r w:rsidR="00E45010" w:rsidRPr="00EA368B">
        <w:rPr>
          <w:spacing w:val="-2"/>
        </w:rPr>
        <w:t>T</w:t>
      </w:r>
      <w:r w:rsidRPr="00EA368B">
        <w:rPr>
          <w:spacing w:val="-2"/>
        </w:rPr>
        <w:t xml:space="preserve">his </w:t>
      </w:r>
      <w:r w:rsidR="00E45010" w:rsidRPr="00EA368B">
        <w:rPr>
          <w:spacing w:val="-2"/>
        </w:rPr>
        <w:t>is likely to reflect several factors, including:</w:t>
      </w:r>
    </w:p>
    <w:p w:rsidR="00E45010" w:rsidRDefault="00E45010" w:rsidP="00E45010">
      <w:pPr>
        <w:pStyle w:val="ListBullet"/>
      </w:pPr>
      <w:r>
        <w:t>the absence of smart meters for the majority of residential households</w:t>
      </w:r>
      <w:r w:rsidR="00150BF0">
        <w:t>. There is likely to be underinvestment in smart meters to the extent the benefits are ‘split’ al</w:t>
      </w:r>
      <w:r w:rsidR="000852D8">
        <w:t>ong the supply chain (chapter </w:t>
      </w:r>
      <w:r w:rsidR="00C653AF">
        <w:t>10</w:t>
      </w:r>
      <w:r w:rsidR="00150BF0">
        <w:t>)</w:t>
      </w:r>
    </w:p>
    <w:p w:rsidR="00E45010" w:rsidRDefault="00E45010" w:rsidP="00C008BD">
      <w:pPr>
        <w:pStyle w:val="ListBullet"/>
      </w:pPr>
      <w:r>
        <w:t xml:space="preserve">where smart meters are available for residential customers, their use for demand management may be restricted. For example, the cost of smart meters has been incurred in Victoria, but the Government has directed a moratorium on their effective use for </w:t>
      </w:r>
      <w:r w:rsidR="00350785">
        <w:t>time-based</w:t>
      </w:r>
      <w:r>
        <w:t xml:space="preserve"> pricing </w:t>
      </w:r>
      <w:r w:rsidR="000852D8">
        <w:t>until mid-2013 (chapters 10 and </w:t>
      </w:r>
      <w:r w:rsidR="00533249">
        <w:t>11)</w:t>
      </w:r>
    </w:p>
    <w:p w:rsidR="001B6385" w:rsidRPr="00FB461D" w:rsidRDefault="00E45010" w:rsidP="00E45010">
      <w:pPr>
        <w:pStyle w:val="ListBullet"/>
        <w:rPr>
          <w:spacing w:val="-6"/>
        </w:rPr>
      </w:pPr>
      <w:r w:rsidRPr="00FB461D">
        <w:rPr>
          <w:spacing w:val="-6"/>
        </w:rPr>
        <w:t xml:space="preserve">the National Electricity Rules (and their application by the AER) may limit the incentives of distribution businesses to implement demand management solutions, even where </w:t>
      </w:r>
      <w:r w:rsidR="00E77EF6" w:rsidRPr="00FB461D">
        <w:rPr>
          <w:spacing w:val="-6"/>
        </w:rPr>
        <w:t xml:space="preserve">they </w:t>
      </w:r>
      <w:r w:rsidRPr="00FB461D">
        <w:rPr>
          <w:spacing w:val="-6"/>
        </w:rPr>
        <w:t>offer th</w:t>
      </w:r>
      <w:r w:rsidR="000852D8" w:rsidRPr="00FB461D">
        <w:rPr>
          <w:spacing w:val="-6"/>
        </w:rPr>
        <w:t>e most efficient solution (</w:t>
      </w:r>
      <w:proofErr w:type="spellStart"/>
      <w:r w:rsidR="000852D8" w:rsidRPr="00FB461D">
        <w:rPr>
          <w:spacing w:val="-6"/>
        </w:rPr>
        <w:t>AEMC</w:t>
      </w:r>
      <w:proofErr w:type="spellEnd"/>
      <w:r w:rsidR="000852D8" w:rsidRPr="00FB461D">
        <w:rPr>
          <w:spacing w:val="-6"/>
        </w:rPr>
        <w:t> </w:t>
      </w:r>
      <w:proofErr w:type="spellStart"/>
      <w:r w:rsidRPr="00FB461D">
        <w:rPr>
          <w:spacing w:val="-6"/>
        </w:rPr>
        <w:t>2012</w:t>
      </w:r>
      <w:r w:rsidR="00FB461D" w:rsidRPr="00FB461D">
        <w:rPr>
          <w:spacing w:val="-6"/>
        </w:rPr>
        <w:t>e</w:t>
      </w:r>
      <w:proofErr w:type="spellEnd"/>
      <w:r w:rsidRPr="00FB461D">
        <w:rPr>
          <w:spacing w:val="-6"/>
        </w:rPr>
        <w:t>)</w:t>
      </w:r>
      <w:r w:rsidR="00533249" w:rsidRPr="00FB461D">
        <w:rPr>
          <w:spacing w:val="-6"/>
        </w:rPr>
        <w:t xml:space="preserve"> (chapter</w:t>
      </w:r>
      <w:r w:rsidR="000852D8" w:rsidRPr="00FB461D">
        <w:rPr>
          <w:spacing w:val="-6"/>
        </w:rPr>
        <w:t>s</w:t>
      </w:r>
      <w:r w:rsidR="00533249" w:rsidRPr="00FB461D">
        <w:rPr>
          <w:spacing w:val="-6"/>
        </w:rPr>
        <w:t> </w:t>
      </w:r>
      <w:r w:rsidR="000852D8" w:rsidRPr="00FB461D">
        <w:rPr>
          <w:spacing w:val="-6"/>
        </w:rPr>
        <w:t>5 and </w:t>
      </w:r>
      <w:r w:rsidR="00533249" w:rsidRPr="00FB461D">
        <w:rPr>
          <w:spacing w:val="-6"/>
        </w:rPr>
        <w:t>12)</w:t>
      </w:r>
      <w:r w:rsidR="00E360FE" w:rsidRPr="00FB461D">
        <w:rPr>
          <w:spacing w:val="-6"/>
        </w:rPr>
        <w:t xml:space="preserve"> </w:t>
      </w:r>
    </w:p>
    <w:p w:rsidR="00E45010" w:rsidRDefault="00E77EF6" w:rsidP="00E45010">
      <w:pPr>
        <w:pStyle w:val="ListBullet"/>
      </w:pPr>
      <w:r>
        <w:t>risk aversion</w:t>
      </w:r>
      <w:r w:rsidR="00E45010">
        <w:t xml:space="preserve"> among distribution businesses </w:t>
      </w:r>
      <w:r>
        <w:t xml:space="preserve">in regard </w:t>
      </w:r>
      <w:r w:rsidR="000852D8">
        <w:t>to</w:t>
      </w:r>
      <w:r>
        <w:t xml:space="preserve"> </w:t>
      </w:r>
      <w:r w:rsidR="00E45010">
        <w:t>implement</w:t>
      </w:r>
      <w:r w:rsidR="00B3357D">
        <w:t>ing</w:t>
      </w:r>
      <w:r w:rsidR="00E45010">
        <w:t xml:space="preserve"> demand management, given their </w:t>
      </w:r>
      <w:r w:rsidR="000852D8">
        <w:t>unfamiliarity</w:t>
      </w:r>
      <w:r w:rsidR="00E45010">
        <w:t xml:space="preserve"> with the techniques and the added complexity to their business model. For example, </w:t>
      </w:r>
      <w:proofErr w:type="spellStart"/>
      <w:r w:rsidR="00E45010">
        <w:t>Ausgrid</w:t>
      </w:r>
      <w:proofErr w:type="spellEnd"/>
      <w:r w:rsidR="00E45010">
        <w:t xml:space="preserve"> suggests that a decision to engage demand management:</w:t>
      </w:r>
    </w:p>
    <w:p w:rsidR="00E45010" w:rsidRPr="00A716B4" w:rsidRDefault="00E45010" w:rsidP="00E45010">
      <w:pPr>
        <w:pStyle w:val="Quote"/>
      </w:pPr>
      <w:r>
        <w:t>… leaves the network operator with at best a marginal benefit until the next regulatory reset in exchange for a higher risk profile and more complex business model. … In this environment there is little incentive for such businesses to be innovative, or assiduous in finding and securing [Demand Si</w:t>
      </w:r>
      <w:r w:rsidR="00E90AE0">
        <w:t>de Participation]. (</w:t>
      </w:r>
      <w:proofErr w:type="spellStart"/>
      <w:r w:rsidR="00E90AE0">
        <w:t>Ausgrid</w:t>
      </w:r>
      <w:proofErr w:type="spellEnd"/>
      <w:r w:rsidR="00E90AE0">
        <w:t xml:space="preserve"> </w:t>
      </w:r>
      <w:proofErr w:type="spellStart"/>
      <w:r w:rsidR="00E90AE0">
        <w:t>2011</w:t>
      </w:r>
      <w:r w:rsidR="00FB461D">
        <w:t>c</w:t>
      </w:r>
      <w:proofErr w:type="spellEnd"/>
      <w:r w:rsidR="00052655">
        <w:t xml:space="preserve">, </w:t>
      </w:r>
      <w:r w:rsidR="000852D8">
        <w:t>p. </w:t>
      </w:r>
      <w:r>
        <w:t>11-12)</w:t>
      </w:r>
    </w:p>
    <w:p w:rsidR="00D37448" w:rsidRDefault="00E45010" w:rsidP="00C008BD">
      <w:pPr>
        <w:pStyle w:val="ListBullet"/>
      </w:pPr>
      <w:r>
        <w:t>the p</w:t>
      </w:r>
      <w:r w:rsidR="00C008BD">
        <w:t xml:space="preserve">erception </w:t>
      </w:r>
      <w:r>
        <w:t xml:space="preserve">that </w:t>
      </w:r>
      <w:r w:rsidR="00C008BD">
        <w:t xml:space="preserve">customers </w:t>
      </w:r>
      <w:r w:rsidR="003A496C">
        <w:t>won’t</w:t>
      </w:r>
      <w:r w:rsidR="00C008BD">
        <w:t xml:space="preserve"> respond</w:t>
      </w:r>
      <w:r>
        <w:t xml:space="preserve"> to prices or other market based i</w:t>
      </w:r>
      <w:r w:rsidR="00257D5D">
        <w:t>n</w:t>
      </w:r>
      <w:r w:rsidR="00C653AF">
        <w:t>c</w:t>
      </w:r>
      <w:r w:rsidR="00A8606F">
        <w:t>entives to shift loads</w:t>
      </w:r>
      <w:r w:rsidR="00410E62">
        <w:t xml:space="preserve">. </w:t>
      </w:r>
      <w:r w:rsidR="00837F2D">
        <w:t>(</w:t>
      </w:r>
      <w:r w:rsidR="00D37448">
        <w:t>This</w:t>
      </w:r>
      <w:r w:rsidR="00410E62">
        <w:t xml:space="preserve"> </w:t>
      </w:r>
      <w:r w:rsidR="00E56FAF">
        <w:t>assumption</w:t>
      </w:r>
      <w:r w:rsidR="00410E62">
        <w:t xml:space="preserve"> </w:t>
      </w:r>
      <w:r w:rsidR="00636264">
        <w:t xml:space="preserve">is not supported by trial evidence that </w:t>
      </w:r>
      <w:r w:rsidR="002263BA">
        <w:t>show</w:t>
      </w:r>
      <w:r w:rsidR="00636264">
        <w:t>s</w:t>
      </w:r>
      <w:r w:rsidR="002263BA">
        <w:t xml:space="preserve"> consumers can </w:t>
      </w:r>
      <w:r w:rsidR="00E77EF6">
        <w:t xml:space="preserve">and do </w:t>
      </w:r>
      <w:r w:rsidR="00410E62">
        <w:t xml:space="preserve">shift or curtail their peak </w:t>
      </w:r>
      <w:r w:rsidR="00636264">
        <w:t>consumption in response to price incentives</w:t>
      </w:r>
      <w:r w:rsidR="00E56FAF">
        <w:t>)</w:t>
      </w:r>
      <w:r w:rsidR="00D37448">
        <w:t xml:space="preserve"> (box 9.3)</w:t>
      </w:r>
      <w:r w:rsidR="00AC00FC">
        <w:t>.</w:t>
      </w:r>
      <w:r w:rsidR="00DA72D8">
        <w:t xml:space="preserve"> The current lack of price signals limits consumers’ understanding about the costs of their consumption and the potential to benefit from economising,</w:t>
      </w:r>
      <w:r w:rsidR="00F92DEE">
        <w:t xml:space="preserve"> where feasible, at peak times</w:t>
      </w:r>
    </w:p>
    <w:p w:rsidR="00C008BD" w:rsidRDefault="00E45010" w:rsidP="00C008BD">
      <w:pPr>
        <w:pStyle w:val="ListBullet"/>
      </w:pPr>
      <w:r>
        <w:t>r</w:t>
      </w:r>
      <w:r w:rsidR="00C008BD">
        <w:t xml:space="preserve">etailers lack </w:t>
      </w:r>
      <w:r w:rsidR="00E77EF6">
        <w:t xml:space="preserve">financial </w:t>
      </w:r>
      <w:r w:rsidR="00C008BD">
        <w:t xml:space="preserve">incentives </w:t>
      </w:r>
      <w:r>
        <w:t>to implement demand management</w:t>
      </w:r>
      <w:r w:rsidR="003A5FB1">
        <w:t>. Indeed they currently have (particularly the ‘</w:t>
      </w:r>
      <w:proofErr w:type="spellStart"/>
      <w:r w:rsidR="003A5FB1">
        <w:t>gentailers</w:t>
      </w:r>
      <w:proofErr w:type="spellEnd"/>
      <w:r w:rsidR="003A5FB1">
        <w:t>’) a financial disincentive to do so.</w:t>
      </w:r>
      <w:r w:rsidR="00D85E70">
        <w:t xml:space="preserve"> Moreover, m</w:t>
      </w:r>
      <w:r w:rsidR="00C008BD">
        <w:t>arket imperfections</w:t>
      </w:r>
      <w:r w:rsidR="00AC00FC">
        <w:t>,</w:t>
      </w:r>
      <w:r w:rsidR="00C008BD">
        <w:t xml:space="preserve"> </w:t>
      </w:r>
      <w:r w:rsidR="00150BF0">
        <w:t xml:space="preserve">created by retail price </w:t>
      </w:r>
      <w:r w:rsidR="00E360FE">
        <w:t xml:space="preserve">regulation </w:t>
      </w:r>
      <w:r w:rsidR="00E77EF6">
        <w:t xml:space="preserve">in most of the </w:t>
      </w:r>
      <w:proofErr w:type="spellStart"/>
      <w:r w:rsidR="00E77EF6">
        <w:t>NEM</w:t>
      </w:r>
      <w:proofErr w:type="spellEnd"/>
      <w:r w:rsidR="00AC00FC">
        <w:t>,</w:t>
      </w:r>
      <w:r w:rsidR="00E77EF6">
        <w:t xml:space="preserve"> </w:t>
      </w:r>
      <w:r w:rsidR="00C008BD">
        <w:t xml:space="preserve">stymie more innovative business </w:t>
      </w:r>
      <w:r w:rsidR="003A5FB1">
        <w:t xml:space="preserve">pricing </w:t>
      </w:r>
      <w:r w:rsidR="00C008BD">
        <w:t>models</w:t>
      </w:r>
      <w:r w:rsidR="00533249">
        <w:t xml:space="preserve"> (chapter 12)</w:t>
      </w:r>
    </w:p>
    <w:p w:rsidR="007051FC" w:rsidRPr="007051FC" w:rsidRDefault="00C008BD" w:rsidP="00C008BD">
      <w:pPr>
        <w:pStyle w:val="ListBullet"/>
      </w:pPr>
      <w:r w:rsidRPr="007051FC">
        <w:rPr>
          <w:spacing w:val="-4"/>
        </w:rPr>
        <w:t xml:space="preserve">a lack of coherent evidence to inform what constitutes a socially efficient level of demand management. Specifically, </w:t>
      </w:r>
      <w:r w:rsidR="00150BF0" w:rsidRPr="007051FC">
        <w:rPr>
          <w:spacing w:val="-4"/>
        </w:rPr>
        <w:t>evidence from pricing trials</w:t>
      </w:r>
      <w:r w:rsidR="007051FC" w:rsidRPr="007051FC">
        <w:rPr>
          <w:spacing w:val="-4"/>
        </w:rPr>
        <w:t xml:space="preserve"> (including </w:t>
      </w:r>
      <w:proofErr w:type="spellStart"/>
      <w:r w:rsidR="007051FC" w:rsidRPr="007051FC">
        <w:rPr>
          <w:spacing w:val="-4"/>
        </w:rPr>
        <w:t>elasticities</w:t>
      </w:r>
      <w:proofErr w:type="spellEnd"/>
      <w:r w:rsidR="007051FC" w:rsidRPr="007051FC">
        <w:rPr>
          <w:spacing w:val="-4"/>
        </w:rPr>
        <w:t>)</w:t>
      </w:r>
      <w:r w:rsidR="00150BF0" w:rsidRPr="007051FC">
        <w:rPr>
          <w:spacing w:val="-4"/>
        </w:rPr>
        <w:t xml:space="preserve"> </w:t>
      </w:r>
      <w:r w:rsidR="00E77EF6" w:rsidRPr="007051FC">
        <w:rPr>
          <w:spacing w:val="-4"/>
        </w:rPr>
        <w:t>ha</w:t>
      </w:r>
      <w:r w:rsidR="002324DF" w:rsidRPr="007051FC">
        <w:rPr>
          <w:spacing w:val="-4"/>
        </w:rPr>
        <w:t>s</w:t>
      </w:r>
      <w:r w:rsidR="00E77EF6" w:rsidRPr="007051FC">
        <w:rPr>
          <w:spacing w:val="-4"/>
        </w:rPr>
        <w:t xml:space="preserve"> </w:t>
      </w:r>
      <w:r w:rsidRPr="007051FC">
        <w:rPr>
          <w:spacing w:val="-4"/>
        </w:rPr>
        <w:t>not</w:t>
      </w:r>
      <w:r w:rsidR="00150BF0" w:rsidRPr="007051FC">
        <w:rPr>
          <w:spacing w:val="-4"/>
        </w:rPr>
        <w:t xml:space="preserve"> </w:t>
      </w:r>
      <w:r w:rsidR="00E77EF6" w:rsidRPr="007051FC">
        <w:rPr>
          <w:spacing w:val="-4"/>
        </w:rPr>
        <w:t xml:space="preserve">been </w:t>
      </w:r>
      <w:r w:rsidR="00150BF0" w:rsidRPr="007051FC">
        <w:rPr>
          <w:spacing w:val="-4"/>
        </w:rPr>
        <w:t>made publicly available, despite the clear benefits from a broader base of knowledge to construct more cost-reflective tariffs</w:t>
      </w:r>
      <w:r w:rsidRPr="007051FC">
        <w:rPr>
          <w:spacing w:val="-4"/>
        </w:rPr>
        <w:t xml:space="preserve">. </w:t>
      </w:r>
    </w:p>
    <w:p w:rsidR="00D85E70" w:rsidRDefault="00C008BD" w:rsidP="00C008BD">
      <w:pPr>
        <w:pStyle w:val="ListBullet"/>
      </w:pPr>
      <w:r>
        <w:lastRenderedPageBreak/>
        <w:t xml:space="preserve">the impact of </w:t>
      </w:r>
      <w:r w:rsidR="00E56FAF">
        <w:t>deterministic</w:t>
      </w:r>
      <w:r>
        <w:t xml:space="preserve"> reliability regulations</w:t>
      </w:r>
      <w:r w:rsidR="00E77EF6">
        <w:t xml:space="preserve"> for networks</w:t>
      </w:r>
      <w:r>
        <w:t xml:space="preserve"> may dampen any appetite for demand management </w:t>
      </w:r>
      <w:r w:rsidR="00D144F5">
        <w:t>(chapter 15)</w:t>
      </w:r>
    </w:p>
    <w:p w:rsidR="00C008BD" w:rsidRPr="008876A2" w:rsidRDefault="00D85E70" w:rsidP="00C008BD">
      <w:pPr>
        <w:pStyle w:val="ListBullet"/>
        <w:rPr>
          <w:spacing w:val="-4"/>
        </w:rPr>
      </w:pPr>
      <w:r w:rsidRPr="008876A2">
        <w:rPr>
          <w:spacing w:val="-4"/>
        </w:rPr>
        <w:t xml:space="preserve">some </w:t>
      </w:r>
      <w:r w:rsidR="008876A2" w:rsidRPr="008876A2">
        <w:rPr>
          <w:spacing w:val="-4"/>
        </w:rPr>
        <w:t xml:space="preserve">technologies to </w:t>
      </w:r>
      <w:r w:rsidR="008876A2">
        <w:rPr>
          <w:spacing w:val="-4"/>
        </w:rPr>
        <w:t>implement</w:t>
      </w:r>
      <w:r w:rsidRPr="008876A2">
        <w:rPr>
          <w:spacing w:val="-4"/>
        </w:rPr>
        <w:t xml:space="preserve"> demand management, including battery storage</w:t>
      </w:r>
      <w:r w:rsidR="00D144F5" w:rsidRPr="008876A2">
        <w:rPr>
          <w:spacing w:val="-4"/>
        </w:rPr>
        <w:t xml:space="preserve"> and distributed generation</w:t>
      </w:r>
      <w:r w:rsidRPr="008876A2">
        <w:rPr>
          <w:spacing w:val="-4"/>
        </w:rPr>
        <w:t>, are not yet commercial</w:t>
      </w:r>
      <w:r w:rsidR="00A32334" w:rsidRPr="008876A2">
        <w:rPr>
          <w:spacing w:val="-4"/>
        </w:rPr>
        <w:t>ly viable</w:t>
      </w:r>
      <w:r w:rsidR="00D144F5" w:rsidRPr="008876A2">
        <w:rPr>
          <w:spacing w:val="-4"/>
        </w:rPr>
        <w:t xml:space="preserve"> (chapter 13)</w:t>
      </w:r>
      <w:r w:rsidR="00C008BD" w:rsidRPr="008876A2">
        <w:rPr>
          <w:spacing w:val="-4"/>
        </w:rPr>
        <w:t>.</w:t>
      </w:r>
    </w:p>
    <w:p w:rsidR="00695991" w:rsidRDefault="00695991" w:rsidP="00695991">
      <w:pPr>
        <w:pStyle w:val="BodyText"/>
      </w:pPr>
      <w:r>
        <w:t xml:space="preserve">These issues are evaluated more specifically in later chapters and, while some have important implications for the way </w:t>
      </w:r>
      <w:r w:rsidR="00CA5A7C">
        <w:t>a demand management approach</w:t>
      </w:r>
      <w:r>
        <w:t xml:space="preserve"> </w:t>
      </w:r>
      <w:r w:rsidR="00CA5A7C">
        <w:t>such as cost</w:t>
      </w:r>
      <w:r w:rsidR="002324DF">
        <w:t>-</w:t>
      </w:r>
      <w:r w:rsidR="00CA5A7C">
        <w:t xml:space="preserve">reflective pricing </w:t>
      </w:r>
      <w:r>
        <w:t xml:space="preserve">might be implemented, in the Commission’s assessment they </w:t>
      </w:r>
      <w:r w:rsidR="00E360FE">
        <w:t>sh</w:t>
      </w:r>
      <w:r>
        <w:t>ould not necessarily preclude the use of such an approach.</w:t>
      </w:r>
    </w:p>
    <w:p w:rsidR="00695991" w:rsidRDefault="00695991" w:rsidP="00695991">
      <w:pPr>
        <w:pStyle w:val="BodyText"/>
      </w:pPr>
      <w:r>
        <w:t>Before embarking on an assessment of specific solutions to address the potential barriers to the wider uptake of demand management, it is important to know that the potential net benefits are material. To this end, the following section evaluates, more systematically, past reviews and recent evidence from trials and experiments on the costs and benefits of demand management.</w:t>
      </w:r>
    </w:p>
    <w:p w:rsidR="00695991" w:rsidRDefault="000E20B8" w:rsidP="00695991">
      <w:pPr>
        <w:pStyle w:val="Heading2"/>
      </w:pPr>
      <w:fldSimple w:instr=" COMMENTS  \* MERGEFORMAT ">
        <w:r w:rsidR="000852D8">
          <w:t>9.</w:t>
        </w:r>
      </w:fldSimple>
      <w:fldSimple w:instr=" SEQ Heading2 ">
        <w:r w:rsidR="000852D8">
          <w:rPr>
            <w:noProof/>
          </w:rPr>
          <w:t>7</w:t>
        </w:r>
      </w:fldSimple>
      <w:r w:rsidR="00695991">
        <w:tab/>
        <w:t xml:space="preserve">Gauging the prospective benefits and costs of demand management </w:t>
      </w:r>
    </w:p>
    <w:p w:rsidR="00695991" w:rsidRPr="00EA368B" w:rsidRDefault="00695991" w:rsidP="00695991">
      <w:pPr>
        <w:pStyle w:val="BodyText"/>
        <w:rPr>
          <w:spacing w:val="-4"/>
        </w:rPr>
      </w:pPr>
      <w:r w:rsidRPr="00EA368B">
        <w:rPr>
          <w:spacing w:val="-4"/>
        </w:rPr>
        <w:t>As noted in section 9.1, growth in peak demand is lik</w:t>
      </w:r>
      <w:r w:rsidR="00885AE5" w:rsidRPr="00EA368B">
        <w:rPr>
          <w:spacing w:val="-4"/>
        </w:rPr>
        <w:t>ely to</w:t>
      </w:r>
      <w:r w:rsidRPr="00EA368B">
        <w:rPr>
          <w:spacing w:val="-4"/>
        </w:rPr>
        <w:t xml:space="preserve"> necessitat</w:t>
      </w:r>
      <w:r w:rsidR="008E2DBE" w:rsidRPr="00EA368B">
        <w:rPr>
          <w:spacing w:val="-4"/>
        </w:rPr>
        <w:t>e</w:t>
      </w:r>
      <w:r w:rsidRPr="00EA368B">
        <w:rPr>
          <w:spacing w:val="-4"/>
        </w:rPr>
        <w:t xml:space="preserve"> </w:t>
      </w:r>
      <w:r w:rsidR="00E360FE" w:rsidRPr="00EA368B">
        <w:rPr>
          <w:spacing w:val="-4"/>
        </w:rPr>
        <w:t xml:space="preserve">or bring forward </w:t>
      </w:r>
      <w:r w:rsidR="00536CF0" w:rsidRPr="00EA368B">
        <w:rPr>
          <w:spacing w:val="-4"/>
        </w:rPr>
        <w:t xml:space="preserve">potentially </w:t>
      </w:r>
      <w:r w:rsidRPr="00EA368B">
        <w:rPr>
          <w:spacing w:val="-4"/>
        </w:rPr>
        <w:t>billions of dollars</w:t>
      </w:r>
      <w:r w:rsidR="00885AE5" w:rsidRPr="00EA368B">
        <w:rPr>
          <w:spacing w:val="-4"/>
        </w:rPr>
        <w:t xml:space="preserve"> </w:t>
      </w:r>
      <w:r w:rsidRPr="00EA368B">
        <w:rPr>
          <w:spacing w:val="-4"/>
        </w:rPr>
        <w:t xml:space="preserve">of otherwise unnecessary network investment, for which consumers ultimately pay. Reflecting this, estimates suggest that </w:t>
      </w:r>
      <w:r w:rsidR="006335ED" w:rsidRPr="00EA368B">
        <w:rPr>
          <w:spacing w:val="-4"/>
        </w:rPr>
        <w:t>$11 </w:t>
      </w:r>
      <w:r w:rsidR="00D37448" w:rsidRPr="00EA368B">
        <w:rPr>
          <w:spacing w:val="-4"/>
        </w:rPr>
        <w:t>billion</w:t>
      </w:r>
      <w:r w:rsidR="00E360FE" w:rsidRPr="00EA368B">
        <w:rPr>
          <w:spacing w:val="-4"/>
        </w:rPr>
        <w:t xml:space="preserve"> of </w:t>
      </w:r>
      <w:r w:rsidR="00D37448" w:rsidRPr="00EA368B">
        <w:rPr>
          <w:spacing w:val="-4"/>
        </w:rPr>
        <w:t xml:space="preserve">capital investment in </w:t>
      </w:r>
      <w:r w:rsidRPr="00EA368B">
        <w:rPr>
          <w:spacing w:val="-4"/>
        </w:rPr>
        <w:t>system capacity is used for only 100 hours per year.</w:t>
      </w:r>
    </w:p>
    <w:p w:rsidR="00695991" w:rsidRDefault="00695991" w:rsidP="00695991">
      <w:pPr>
        <w:pStyle w:val="BodyText"/>
      </w:pPr>
      <w:r>
        <w:t xml:space="preserve">Demand management thus offers </w:t>
      </w:r>
      <w:r w:rsidR="00885AE5">
        <w:t xml:space="preserve">the potential for </w:t>
      </w:r>
      <w:r>
        <w:t xml:space="preserve">significant benefits, </w:t>
      </w:r>
      <w:r w:rsidR="008876A2">
        <w:t>including</w:t>
      </w:r>
      <w:r>
        <w:t>:</w:t>
      </w:r>
    </w:p>
    <w:p w:rsidR="00695991" w:rsidRDefault="00695991" w:rsidP="00695991">
      <w:pPr>
        <w:pStyle w:val="ListBullet"/>
      </w:pPr>
      <w:r>
        <w:t>in the short to medium run, investment savings from delaying or removing the need to augment network capacity</w:t>
      </w:r>
    </w:p>
    <w:p w:rsidR="00695991" w:rsidRDefault="00695991" w:rsidP="00695991">
      <w:pPr>
        <w:pStyle w:val="ListBullet"/>
      </w:pPr>
      <w:r>
        <w:t>in the long run, a more efficient electricity distribution system — where expansion of peak capacity only occurs if consumers are willing to pay for it</w:t>
      </w:r>
      <w:r w:rsidR="00F92DEE">
        <w:t>.</w:t>
      </w:r>
    </w:p>
    <w:p w:rsidR="00695991" w:rsidRPr="00EA368B" w:rsidRDefault="00695991" w:rsidP="00695991">
      <w:pPr>
        <w:pStyle w:val="BodyText"/>
        <w:rPr>
          <w:spacing w:val="-4"/>
        </w:rPr>
      </w:pPr>
      <w:r w:rsidRPr="00EA368B">
        <w:rPr>
          <w:spacing w:val="-4"/>
        </w:rPr>
        <w:t xml:space="preserve">However, implementing demand management solutions </w:t>
      </w:r>
      <w:r w:rsidR="003A5FB1" w:rsidRPr="00EA368B">
        <w:rPr>
          <w:spacing w:val="-4"/>
        </w:rPr>
        <w:t xml:space="preserve">(especially at a household level) </w:t>
      </w:r>
      <w:r w:rsidRPr="00EA368B">
        <w:rPr>
          <w:spacing w:val="-4"/>
        </w:rPr>
        <w:t xml:space="preserve">brings </w:t>
      </w:r>
      <w:r w:rsidR="00E360FE" w:rsidRPr="00EA368B">
        <w:rPr>
          <w:spacing w:val="-4"/>
        </w:rPr>
        <w:t xml:space="preserve">its </w:t>
      </w:r>
      <w:r w:rsidRPr="00EA368B">
        <w:rPr>
          <w:spacing w:val="-4"/>
        </w:rPr>
        <w:t>own costs and difficulties. The main costs of demand management are:</w:t>
      </w:r>
    </w:p>
    <w:p w:rsidR="00695991" w:rsidRDefault="00695991" w:rsidP="00695991">
      <w:pPr>
        <w:pStyle w:val="ListBullet"/>
      </w:pPr>
      <w:r>
        <w:t xml:space="preserve">the costs of implementing any scheme — </w:t>
      </w:r>
      <w:r w:rsidR="00E360FE">
        <w:t>including</w:t>
      </w:r>
      <w:r>
        <w:t xml:space="preserve"> the cost</w:t>
      </w:r>
      <w:r w:rsidR="008B061A">
        <w:t>s</w:t>
      </w:r>
      <w:r>
        <w:t xml:space="preserve"> of smart meters</w:t>
      </w:r>
      <w:r w:rsidR="00E360FE">
        <w:t xml:space="preserve">, customer </w:t>
      </w:r>
      <w:r w:rsidR="007560BF">
        <w:t xml:space="preserve">education </w:t>
      </w:r>
      <w:r w:rsidR="00E360FE">
        <w:t xml:space="preserve">and business </w:t>
      </w:r>
      <w:r w:rsidR="008B061A">
        <w:t>trans</w:t>
      </w:r>
      <w:r w:rsidR="008A7564">
        <w:t>i</w:t>
      </w:r>
      <w:r w:rsidR="008B061A">
        <w:t>tion</w:t>
      </w:r>
      <w:r w:rsidR="00D37448">
        <w:t xml:space="preserve"> cost</w:t>
      </w:r>
      <w:r w:rsidR="007560BF">
        <w:t>s</w:t>
      </w:r>
      <w:r w:rsidR="00E360FE">
        <w:t xml:space="preserve">, </w:t>
      </w:r>
      <w:r w:rsidR="00885AE5">
        <w:t>such as</w:t>
      </w:r>
      <w:r w:rsidR="007560BF">
        <w:t xml:space="preserve"> costs </w:t>
      </w:r>
      <w:r w:rsidR="00E360FE">
        <w:t>to retailers and network businesses</w:t>
      </w:r>
      <w:r w:rsidR="007560BF">
        <w:t xml:space="preserve"> associated with IT and other</w:t>
      </w:r>
      <w:r>
        <w:t xml:space="preserve"> technology</w:t>
      </w:r>
      <w:r w:rsidR="008B061A">
        <w:t xml:space="preserve"> investment</w:t>
      </w:r>
      <w:r w:rsidR="007560BF">
        <w:t>s</w:t>
      </w:r>
    </w:p>
    <w:p w:rsidR="00695991" w:rsidRPr="008876A2" w:rsidRDefault="00695991" w:rsidP="00695991">
      <w:pPr>
        <w:pStyle w:val="ListBullet"/>
        <w:rPr>
          <w:spacing w:val="-4"/>
        </w:rPr>
      </w:pPr>
      <w:r w:rsidRPr="008876A2">
        <w:rPr>
          <w:spacing w:val="-4"/>
        </w:rPr>
        <w:t xml:space="preserve">any </w:t>
      </w:r>
      <w:r w:rsidR="008B061A" w:rsidRPr="008876A2">
        <w:rPr>
          <w:spacing w:val="-4"/>
        </w:rPr>
        <w:t xml:space="preserve">perceived </w:t>
      </w:r>
      <w:r w:rsidRPr="008876A2">
        <w:rPr>
          <w:spacing w:val="-4"/>
        </w:rPr>
        <w:t xml:space="preserve">loss in </w:t>
      </w:r>
      <w:r w:rsidR="007051FC" w:rsidRPr="008876A2">
        <w:rPr>
          <w:spacing w:val="-4"/>
        </w:rPr>
        <w:t xml:space="preserve">consumers’ </w:t>
      </w:r>
      <w:r w:rsidR="008876A2" w:rsidRPr="008876A2">
        <w:rPr>
          <w:spacing w:val="-4"/>
        </w:rPr>
        <w:t>wellbeing from</w:t>
      </w:r>
      <w:r w:rsidR="008B061A" w:rsidRPr="008876A2">
        <w:rPr>
          <w:spacing w:val="-4"/>
        </w:rPr>
        <w:t xml:space="preserve"> ex</w:t>
      </w:r>
      <w:r w:rsidR="008876A2" w:rsidRPr="008876A2">
        <w:rPr>
          <w:spacing w:val="-4"/>
        </w:rPr>
        <w:t>posure</w:t>
      </w:r>
      <w:r w:rsidR="00885AE5" w:rsidRPr="008876A2">
        <w:rPr>
          <w:spacing w:val="-4"/>
        </w:rPr>
        <w:t xml:space="preserve"> to cost reflective prices.</w:t>
      </w:r>
    </w:p>
    <w:p w:rsidR="00695991" w:rsidRPr="0044211F" w:rsidRDefault="00695991" w:rsidP="00695991">
      <w:pPr>
        <w:pStyle w:val="BodyText"/>
      </w:pPr>
      <w:r>
        <w:t xml:space="preserve">Demand management initiatives should be pursued only if it can be concluded with reasonable confidence that their implementation will yield benefits in excess of their </w:t>
      </w:r>
      <w:r>
        <w:lastRenderedPageBreak/>
        <w:t xml:space="preserve">costs. Such assessments ultimately need to be made on an initiative-by-initiative basis, taking into account localised considerations and different implementation strategies that may affect the present value of the stream of benefits and costs entailed. </w:t>
      </w:r>
      <w:r w:rsidR="008E2DBE" w:rsidRPr="0044211F">
        <w:t>C</w:t>
      </w:r>
      <w:r w:rsidRPr="0044211F">
        <w:t>omplementarities</w:t>
      </w:r>
      <w:r w:rsidR="002A0F27">
        <w:t xml:space="preserve"> that may </w:t>
      </w:r>
      <w:r w:rsidR="008E2DBE" w:rsidRPr="0044211F">
        <w:t xml:space="preserve">occur </w:t>
      </w:r>
      <w:r w:rsidRPr="0044211F">
        <w:t>bet</w:t>
      </w:r>
      <w:r w:rsidR="002A0F27">
        <w:t>ween different initiatives would</w:t>
      </w:r>
      <w:r w:rsidRPr="0044211F">
        <w:t xml:space="preserve"> also need to be considered.</w:t>
      </w:r>
      <w:r w:rsidRPr="0044211F" w:rsidDel="008F3B1F">
        <w:t xml:space="preserve"> </w:t>
      </w:r>
      <w:r w:rsidR="00885AE5" w:rsidRPr="0044211F">
        <w:t>For example, smart meters and time-based pricing can be adopted in tandem with the option of direct load control</w:t>
      </w:r>
      <w:r w:rsidR="00B22279" w:rsidRPr="0044211F">
        <w:t xml:space="preserve"> of air-conditioners</w:t>
      </w:r>
      <w:r w:rsidR="00885AE5" w:rsidRPr="0044211F">
        <w:t xml:space="preserve">, which can support consumers’ acceptance of new pricing approaches and </w:t>
      </w:r>
      <w:r w:rsidR="00B22279" w:rsidRPr="0044211F">
        <w:t>achieve</w:t>
      </w:r>
      <w:r w:rsidR="00885AE5" w:rsidRPr="0044211F">
        <w:t xml:space="preserve"> a more reliable demand response.</w:t>
      </w:r>
    </w:p>
    <w:p w:rsidR="00695991" w:rsidRDefault="00EC24F3" w:rsidP="00695991">
      <w:pPr>
        <w:pStyle w:val="BodyText"/>
      </w:pPr>
      <w:r>
        <w:t>A</w:t>
      </w:r>
      <w:r w:rsidR="00695991" w:rsidRPr="0044211F">
        <w:t xml:space="preserve"> number of</w:t>
      </w:r>
      <w:r w:rsidR="00695991">
        <w:t xml:space="preserve"> studies have examined the benefits and costs of demand management</w:t>
      </w:r>
      <w:r>
        <w:t xml:space="preserve"> (ESC 2002, 2004; </w:t>
      </w:r>
      <w:proofErr w:type="spellStart"/>
      <w:r>
        <w:t>CRA</w:t>
      </w:r>
      <w:proofErr w:type="spellEnd"/>
      <w:r>
        <w:t xml:space="preserve"> 2006; </w:t>
      </w:r>
      <w:proofErr w:type="spellStart"/>
      <w:r>
        <w:t>NERA</w:t>
      </w:r>
      <w:proofErr w:type="spellEnd"/>
      <w:r>
        <w:t xml:space="preserve"> </w:t>
      </w:r>
      <w:proofErr w:type="spellStart"/>
      <w:r>
        <w:t>2008a</w:t>
      </w:r>
      <w:proofErr w:type="spellEnd"/>
      <w:r>
        <w:t xml:space="preserve">, </w:t>
      </w:r>
      <w:proofErr w:type="spellStart"/>
      <w:r>
        <w:t>2008b</w:t>
      </w:r>
      <w:proofErr w:type="spellEnd"/>
      <w:r>
        <w:t xml:space="preserve">; </w:t>
      </w:r>
      <w:proofErr w:type="spellStart"/>
      <w:r>
        <w:t>EM</w:t>
      </w:r>
      <w:r w:rsidRPr="00EC24F3">
        <w:rPr>
          <w:color w:val="000000" w:themeColor="text1"/>
        </w:rPr>
        <w:t>Ca</w:t>
      </w:r>
      <w:proofErr w:type="spellEnd"/>
      <w:r>
        <w:t xml:space="preserve"> 2008; </w:t>
      </w:r>
      <w:proofErr w:type="spellStart"/>
      <w:r>
        <w:t>CRA</w:t>
      </w:r>
      <w:proofErr w:type="spellEnd"/>
      <w:r>
        <w:t xml:space="preserve"> </w:t>
      </w:r>
      <w:proofErr w:type="spellStart"/>
      <w:r>
        <w:t>2008a</w:t>
      </w:r>
      <w:proofErr w:type="spellEnd"/>
      <w:r>
        <w:t xml:space="preserve">, </w:t>
      </w:r>
      <w:proofErr w:type="spellStart"/>
      <w:r>
        <w:t>2008b</w:t>
      </w:r>
      <w:proofErr w:type="spellEnd"/>
      <w:r>
        <w:t>; KPMG 2008; Deloitte 2011)</w:t>
      </w:r>
      <w:r w:rsidR="00695991">
        <w:t xml:space="preserve">. By revisiting these studies and drawing on new information, particularly from the rollout of smart meters in Victoria, the Commission has sought to gauge the prospective gains from the further adoption of demand management in Australia. As an input into the assessments of specific initiatives in later chapters, it also aims to: </w:t>
      </w:r>
    </w:p>
    <w:p w:rsidR="00695991" w:rsidRDefault="007051FC" w:rsidP="00695991">
      <w:pPr>
        <w:pStyle w:val="ListBullet"/>
      </w:pPr>
      <w:r>
        <w:t>identify</w:t>
      </w:r>
      <w:r w:rsidR="00695991">
        <w:t xml:space="preserve"> information </w:t>
      </w:r>
      <w:r>
        <w:t xml:space="preserve">that </w:t>
      </w:r>
      <w:r w:rsidR="00695991">
        <w:t xml:space="preserve">could be pivotal in approving specific demand management projects </w:t>
      </w:r>
    </w:p>
    <w:p w:rsidR="00695991" w:rsidRDefault="00695991" w:rsidP="00695991">
      <w:pPr>
        <w:pStyle w:val="ListBullet"/>
      </w:pPr>
      <w:r>
        <w:t>highlight gaps in current knowledge of relevant costs and benefits</w:t>
      </w:r>
    </w:p>
    <w:p w:rsidR="00695991" w:rsidRDefault="00695991" w:rsidP="00695991">
      <w:pPr>
        <w:pStyle w:val="ListBullet"/>
      </w:pPr>
      <w:r>
        <w:t xml:space="preserve">draw out implications for the implementation path </w:t>
      </w:r>
      <w:r w:rsidRPr="00860911">
        <w:t>of the draft recommendations</w:t>
      </w:r>
      <w:r>
        <w:t>.</w:t>
      </w:r>
    </w:p>
    <w:p w:rsidR="00695991" w:rsidRDefault="00695991" w:rsidP="00695991">
      <w:pPr>
        <w:pStyle w:val="BodyText"/>
      </w:pPr>
      <w:r>
        <w:t>To those ends, the Commission has compiled indicative estimates for a number of demand management initiatives</w:t>
      </w:r>
      <w:r w:rsidR="00F92DEE">
        <w:t xml:space="preserve"> (which are available on request)</w:t>
      </w:r>
      <w:r>
        <w:t xml:space="preserve">. The analysis incorporates estimates of </w:t>
      </w:r>
      <w:r w:rsidR="00B22279">
        <w:t>untargeted ‘time-of-use’ pricing, direct load controls</w:t>
      </w:r>
      <w:r>
        <w:t xml:space="preserve">, critical peak pricing and critical peak rebates. Sensitivity analysis is included to reflect uncertainties around key components of the estimates. </w:t>
      </w:r>
    </w:p>
    <w:p w:rsidR="00695991" w:rsidRDefault="00695991" w:rsidP="00695991">
      <w:pPr>
        <w:pStyle w:val="BodyText"/>
      </w:pPr>
      <w:r>
        <w:t xml:space="preserve">The following subsections summarise the </w:t>
      </w:r>
      <w:r w:rsidR="006335ED">
        <w:t>key findings from the analysis.</w:t>
      </w:r>
    </w:p>
    <w:p w:rsidR="00695991" w:rsidRDefault="00695991" w:rsidP="00695991">
      <w:pPr>
        <w:pStyle w:val="Heading3"/>
      </w:pPr>
      <w:r>
        <w:t>Some demand management options offer substantial benefits</w:t>
      </w:r>
    </w:p>
    <w:p w:rsidR="00695991" w:rsidRPr="007051FC" w:rsidRDefault="00695991" w:rsidP="00695991">
      <w:pPr>
        <w:pStyle w:val="BodyText"/>
        <w:rPr>
          <w:spacing w:val="-4"/>
        </w:rPr>
      </w:pPr>
      <w:r w:rsidRPr="007051FC">
        <w:rPr>
          <w:spacing w:val="-4"/>
        </w:rPr>
        <w:t>The Commission’s calculations suggest that the further adoption of demand management, if implemented efficiently, could</w:t>
      </w:r>
      <w:r w:rsidR="0035451A" w:rsidRPr="007051FC">
        <w:rPr>
          <w:spacing w:val="-4"/>
        </w:rPr>
        <w:t xml:space="preserve"> yield </w:t>
      </w:r>
      <w:r w:rsidRPr="007051FC">
        <w:rPr>
          <w:spacing w:val="-4"/>
        </w:rPr>
        <w:t>net benefits</w:t>
      </w:r>
      <w:r w:rsidR="0035451A" w:rsidRPr="007051FC">
        <w:rPr>
          <w:spacing w:val="-4"/>
        </w:rPr>
        <w:t xml:space="preserve"> </w:t>
      </w:r>
      <w:r w:rsidR="00C8214E" w:rsidRPr="007051FC">
        <w:rPr>
          <w:spacing w:val="-4"/>
        </w:rPr>
        <w:t>of</w:t>
      </w:r>
      <w:r w:rsidR="005335DF" w:rsidRPr="007051FC">
        <w:rPr>
          <w:spacing w:val="-4"/>
        </w:rPr>
        <w:t xml:space="preserve"> </w:t>
      </w:r>
      <w:r w:rsidR="00AA2C8B" w:rsidRPr="007051FC">
        <w:rPr>
          <w:spacing w:val="-4"/>
        </w:rPr>
        <w:t xml:space="preserve">between </w:t>
      </w:r>
      <w:r w:rsidR="005335DF" w:rsidRPr="007051FC">
        <w:rPr>
          <w:spacing w:val="-4"/>
        </w:rPr>
        <w:t>$</w:t>
      </w:r>
      <w:r w:rsidR="006335ED" w:rsidRPr="007051FC">
        <w:rPr>
          <w:spacing w:val="-4"/>
        </w:rPr>
        <w:t>1500</w:t>
      </w:r>
      <w:r w:rsidR="006335ED" w:rsidRPr="007051FC">
        <w:rPr>
          <w:spacing w:val="-4"/>
        </w:rPr>
        <w:noBreakHyphen/>
      </w:r>
      <w:r w:rsidR="005335DF" w:rsidRPr="007051FC">
        <w:rPr>
          <w:spacing w:val="-4"/>
        </w:rPr>
        <w:t>34</w:t>
      </w:r>
      <w:r w:rsidR="0035451A" w:rsidRPr="007051FC">
        <w:rPr>
          <w:spacing w:val="-4"/>
        </w:rPr>
        <w:t xml:space="preserve">00 per household in net present value </w:t>
      </w:r>
      <w:r w:rsidR="005335DF" w:rsidRPr="007051FC">
        <w:rPr>
          <w:spacing w:val="-4"/>
        </w:rPr>
        <w:t>terms</w:t>
      </w:r>
      <w:r w:rsidRPr="007051FC">
        <w:rPr>
          <w:spacing w:val="-4"/>
        </w:rPr>
        <w:t xml:space="preserve">. </w:t>
      </w:r>
      <w:r w:rsidR="00C8214E" w:rsidRPr="007051FC">
        <w:rPr>
          <w:spacing w:val="-4"/>
        </w:rPr>
        <w:t>The largest (and most certain) benefits are likely to accrue when demand management defer</w:t>
      </w:r>
      <w:r w:rsidR="0035451A" w:rsidRPr="007051FC">
        <w:rPr>
          <w:spacing w:val="-4"/>
        </w:rPr>
        <w:t>s</w:t>
      </w:r>
      <w:r w:rsidR="00C8214E" w:rsidRPr="007051FC">
        <w:rPr>
          <w:spacing w:val="-4"/>
        </w:rPr>
        <w:t xml:space="preserve"> or avoid</w:t>
      </w:r>
      <w:r w:rsidR="00B22279" w:rsidRPr="007051FC">
        <w:rPr>
          <w:spacing w:val="-4"/>
        </w:rPr>
        <w:t>s</w:t>
      </w:r>
      <w:r w:rsidR="00C8214E" w:rsidRPr="007051FC">
        <w:rPr>
          <w:spacing w:val="-4"/>
        </w:rPr>
        <w:t xml:space="preserve"> the need for network augmentations</w:t>
      </w:r>
      <w:r w:rsidR="00C72957" w:rsidRPr="007051FC">
        <w:rPr>
          <w:spacing w:val="-4"/>
        </w:rPr>
        <w:t>.</w:t>
      </w:r>
      <w:r w:rsidR="00B22279" w:rsidRPr="007051FC">
        <w:rPr>
          <w:spacing w:val="-4"/>
        </w:rPr>
        <w:t xml:space="preserve"> This does not include the scope for gains from the nearer-term adoption of more efficient time-based network pricing for commercial and industrial end-users. </w:t>
      </w:r>
      <w:r w:rsidR="00F67005" w:rsidRPr="007051FC">
        <w:rPr>
          <w:spacing w:val="-4"/>
        </w:rPr>
        <w:t>(</w:t>
      </w:r>
      <w:r w:rsidR="00B22279" w:rsidRPr="007051FC">
        <w:rPr>
          <w:spacing w:val="-4"/>
        </w:rPr>
        <w:t>Critical p</w:t>
      </w:r>
      <w:r w:rsidR="00C017C3" w:rsidRPr="007051FC">
        <w:rPr>
          <w:spacing w:val="-4"/>
        </w:rPr>
        <w:t>eak</w:t>
      </w:r>
      <w:r w:rsidR="00B22279" w:rsidRPr="007051FC">
        <w:rPr>
          <w:spacing w:val="-4"/>
        </w:rPr>
        <w:t xml:space="preserve"> </w:t>
      </w:r>
      <w:r w:rsidR="00C017C3" w:rsidRPr="007051FC">
        <w:rPr>
          <w:spacing w:val="-4"/>
        </w:rPr>
        <w:t xml:space="preserve">network </w:t>
      </w:r>
      <w:r w:rsidR="00B22279" w:rsidRPr="007051FC">
        <w:rPr>
          <w:spacing w:val="-4"/>
        </w:rPr>
        <w:t xml:space="preserve">charges are not generally applied </w:t>
      </w:r>
      <w:r w:rsidR="00F67005" w:rsidRPr="007051FC">
        <w:rPr>
          <w:spacing w:val="-4"/>
        </w:rPr>
        <w:t xml:space="preserve">to such users, </w:t>
      </w:r>
      <w:r w:rsidR="00B22279" w:rsidRPr="007051FC">
        <w:rPr>
          <w:spacing w:val="-4"/>
        </w:rPr>
        <w:t xml:space="preserve">and </w:t>
      </w:r>
      <w:r w:rsidR="00F67005" w:rsidRPr="007051FC">
        <w:rPr>
          <w:spacing w:val="-4"/>
        </w:rPr>
        <w:t xml:space="preserve">even where they are, they are not </w:t>
      </w:r>
      <w:r w:rsidR="00B22279" w:rsidRPr="007051FC">
        <w:rPr>
          <w:spacing w:val="-4"/>
        </w:rPr>
        <w:t xml:space="preserve">appropriately </w:t>
      </w:r>
      <w:r w:rsidR="00F67005" w:rsidRPr="007051FC">
        <w:rPr>
          <w:spacing w:val="-4"/>
        </w:rPr>
        <w:t>targeted to</w:t>
      </w:r>
      <w:r w:rsidR="00B22279" w:rsidRPr="007051FC">
        <w:rPr>
          <w:spacing w:val="-4"/>
        </w:rPr>
        <w:t xml:space="preserve"> local network conditions</w:t>
      </w:r>
      <w:r w:rsidR="006335ED" w:rsidRPr="007051FC">
        <w:rPr>
          <w:spacing w:val="-4"/>
        </w:rPr>
        <w:t>.</w:t>
      </w:r>
      <w:r w:rsidR="00B22279" w:rsidRPr="007051FC">
        <w:rPr>
          <w:spacing w:val="-4"/>
        </w:rPr>
        <w:t>)</w:t>
      </w:r>
    </w:p>
    <w:p w:rsidR="00C90F38" w:rsidRPr="0044211F" w:rsidRDefault="00695991" w:rsidP="00695991">
      <w:pPr>
        <w:pStyle w:val="BodyText"/>
      </w:pPr>
      <w:r w:rsidRPr="0044211F">
        <w:lastRenderedPageBreak/>
        <w:t xml:space="preserve">However, as discussed further below, the actual extent of the estimated benefits depends crucially on the manner in which demand management is implemented — for example, under some implementation scenarios, some initiatives are forecast to </w:t>
      </w:r>
      <w:r w:rsidRPr="0044211F">
        <w:rPr>
          <w:spacing w:val="-2"/>
        </w:rPr>
        <w:t>deliver net costs</w:t>
      </w:r>
      <w:r w:rsidR="006429A3" w:rsidRPr="0044211F">
        <w:rPr>
          <w:spacing w:val="-2"/>
        </w:rPr>
        <w:t xml:space="preserve"> (table 9.4)</w:t>
      </w:r>
      <w:r w:rsidRPr="0044211F">
        <w:rPr>
          <w:spacing w:val="-2"/>
        </w:rPr>
        <w:t xml:space="preserve">. </w:t>
      </w:r>
      <w:r w:rsidR="00C90F38" w:rsidRPr="0044211F">
        <w:rPr>
          <w:spacing w:val="-2"/>
        </w:rPr>
        <w:t>Accordingly, some of the scenarios presented in table 9.4 do not represent demand management approaches that</w:t>
      </w:r>
      <w:r w:rsidR="007F06DB" w:rsidRPr="0044211F">
        <w:rPr>
          <w:spacing w:val="-2"/>
        </w:rPr>
        <w:t>, given current smart meter</w:t>
      </w:r>
      <w:r w:rsidR="00680EF4" w:rsidRPr="0044211F">
        <w:rPr>
          <w:spacing w:val="-2"/>
        </w:rPr>
        <w:t xml:space="preserve"> and technology</w:t>
      </w:r>
      <w:r w:rsidR="007F06DB" w:rsidRPr="0044211F">
        <w:rPr>
          <w:spacing w:val="-2"/>
        </w:rPr>
        <w:t xml:space="preserve"> costs,</w:t>
      </w:r>
      <w:r w:rsidR="00C90F38" w:rsidRPr="0044211F">
        <w:rPr>
          <w:spacing w:val="-2"/>
        </w:rPr>
        <w:t xml:space="preserve"> would realistically be of interest or considered sensible options. For example, the demand management approaches involving an immediate national smart meter rollout </w:t>
      </w:r>
      <w:r w:rsidR="000B769C" w:rsidRPr="0044211F">
        <w:rPr>
          <w:spacing w:val="-2"/>
        </w:rPr>
        <w:t xml:space="preserve">illustrate that this would not be advisable. They are provided </w:t>
      </w:r>
      <w:r w:rsidR="00C90F38" w:rsidRPr="0044211F">
        <w:rPr>
          <w:spacing w:val="-2"/>
        </w:rPr>
        <w:t xml:space="preserve">to </w:t>
      </w:r>
      <w:r w:rsidR="000B769C" w:rsidRPr="0044211F">
        <w:rPr>
          <w:spacing w:val="-2"/>
        </w:rPr>
        <w:t>highlight</w:t>
      </w:r>
      <w:r w:rsidR="00C90F38" w:rsidRPr="0044211F">
        <w:rPr>
          <w:spacing w:val="-2"/>
        </w:rPr>
        <w:t xml:space="preserve"> the importance of a more targeted approach to </w:t>
      </w:r>
      <w:r w:rsidR="00680EF4" w:rsidRPr="0044211F">
        <w:rPr>
          <w:spacing w:val="-2"/>
        </w:rPr>
        <w:t>where and when</w:t>
      </w:r>
      <w:r w:rsidR="00C90F38" w:rsidRPr="0044211F">
        <w:rPr>
          <w:spacing w:val="-2"/>
        </w:rPr>
        <w:t xml:space="preserve"> </w:t>
      </w:r>
      <w:r w:rsidR="00680EF4" w:rsidRPr="0044211F">
        <w:rPr>
          <w:spacing w:val="-2"/>
        </w:rPr>
        <w:t xml:space="preserve">investments in </w:t>
      </w:r>
      <w:r w:rsidR="00C90F38" w:rsidRPr="0044211F">
        <w:rPr>
          <w:spacing w:val="-2"/>
        </w:rPr>
        <w:t>such meters</w:t>
      </w:r>
      <w:r w:rsidR="00680EF4" w:rsidRPr="0044211F">
        <w:rPr>
          <w:spacing w:val="-2"/>
        </w:rPr>
        <w:t xml:space="preserve"> occur. The </w:t>
      </w:r>
      <w:r w:rsidR="001B7A47" w:rsidRPr="0044211F">
        <w:rPr>
          <w:spacing w:val="-2"/>
        </w:rPr>
        <w:t xml:space="preserve">estimates attached to </w:t>
      </w:r>
      <w:r w:rsidR="00680EF4" w:rsidRPr="0044211F">
        <w:rPr>
          <w:spacing w:val="-2"/>
        </w:rPr>
        <w:t>those scenarios</w:t>
      </w:r>
      <w:r w:rsidR="007F06DB" w:rsidRPr="0044211F">
        <w:rPr>
          <w:spacing w:val="-2"/>
        </w:rPr>
        <w:t xml:space="preserve"> also support the </w:t>
      </w:r>
      <w:r w:rsidR="00680EF4" w:rsidRPr="0044211F">
        <w:rPr>
          <w:spacing w:val="-2"/>
        </w:rPr>
        <w:t>need</w:t>
      </w:r>
      <w:r w:rsidR="007F06DB" w:rsidRPr="0044211F">
        <w:rPr>
          <w:spacing w:val="-2"/>
        </w:rPr>
        <w:t xml:space="preserve"> for</w:t>
      </w:r>
      <w:r w:rsidR="0045008F" w:rsidRPr="0044211F">
        <w:rPr>
          <w:spacing w:val="-2"/>
        </w:rPr>
        <w:t xml:space="preserve"> rigorous cost benefit analysis </w:t>
      </w:r>
      <w:r w:rsidR="000B769C" w:rsidRPr="0044211F">
        <w:rPr>
          <w:spacing w:val="-2"/>
        </w:rPr>
        <w:t>to accompany the planning of</w:t>
      </w:r>
      <w:r w:rsidR="00680EF4" w:rsidRPr="0044211F">
        <w:rPr>
          <w:spacing w:val="-2"/>
        </w:rPr>
        <w:t xml:space="preserve"> smart meter </w:t>
      </w:r>
      <w:r w:rsidR="001B7A47" w:rsidRPr="0044211F">
        <w:rPr>
          <w:spacing w:val="-2"/>
        </w:rPr>
        <w:t>rollout</w:t>
      </w:r>
      <w:r w:rsidR="000B769C" w:rsidRPr="0044211F">
        <w:rPr>
          <w:spacing w:val="-2"/>
        </w:rPr>
        <w:t>s</w:t>
      </w:r>
      <w:r w:rsidR="001B7A47" w:rsidRPr="0044211F">
        <w:rPr>
          <w:spacing w:val="-2"/>
        </w:rPr>
        <w:t xml:space="preserve"> </w:t>
      </w:r>
      <w:r w:rsidR="00680EF4" w:rsidRPr="0044211F">
        <w:rPr>
          <w:spacing w:val="-2"/>
        </w:rPr>
        <w:t xml:space="preserve">or other feasible technology investments </w:t>
      </w:r>
      <w:r w:rsidR="00680EF4" w:rsidRPr="0044211F">
        <w:t xml:space="preserve">— </w:t>
      </w:r>
      <w:r w:rsidR="0045008F" w:rsidRPr="0044211F">
        <w:rPr>
          <w:spacing w:val="-2"/>
        </w:rPr>
        <w:t xml:space="preserve">an issue taken up in </w:t>
      </w:r>
      <w:r w:rsidR="00680EF4" w:rsidRPr="0044211F">
        <w:rPr>
          <w:spacing w:val="-2"/>
        </w:rPr>
        <w:t>chapter 10</w:t>
      </w:r>
      <w:r w:rsidR="00C90F38" w:rsidRPr="0044211F">
        <w:rPr>
          <w:spacing w:val="-2"/>
        </w:rPr>
        <w:t>.</w:t>
      </w:r>
      <w:r w:rsidR="00C90F38" w:rsidRPr="0044211F">
        <w:t xml:space="preserve"> </w:t>
      </w:r>
    </w:p>
    <w:p w:rsidR="00695991" w:rsidRDefault="006335ED" w:rsidP="00695991">
      <w:pPr>
        <w:pStyle w:val="BodyText"/>
      </w:pPr>
      <w:r>
        <w:t>T</w:t>
      </w:r>
      <w:r w:rsidR="00695991" w:rsidRPr="0044211F">
        <w:t xml:space="preserve">here are uncertainties about </w:t>
      </w:r>
      <w:r w:rsidR="00C90F38" w:rsidRPr="0044211F">
        <w:t>the exact magnitude of the costs or benefits</w:t>
      </w:r>
      <w:r w:rsidR="00C11E11">
        <w:t xml:space="preserve"> attached</w:t>
      </w:r>
      <w:r w:rsidR="00695991" w:rsidRPr="0044211F">
        <w:t xml:space="preserve"> to some of the</w:t>
      </w:r>
      <w:r>
        <w:t xml:space="preserve"> key components of the estimates</w:t>
      </w:r>
      <w:r w:rsidR="00695991" w:rsidRPr="0044211F">
        <w:t xml:space="preserve">. </w:t>
      </w:r>
      <w:r w:rsidR="007F06DB" w:rsidRPr="0044211F">
        <w:t>Over time, and with iterative experiences in implementing demand management approaches, it should be possible to identify a narrower range of estimates.</w:t>
      </w:r>
      <w:r w:rsidR="007F06DB">
        <w:t xml:space="preserve"> </w:t>
      </w:r>
    </w:p>
    <w:p w:rsidR="006429A3" w:rsidRDefault="00D06FE1" w:rsidP="006429A3">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Table \* ARABIC </w:instrText>
      </w:r>
      <w:r>
        <w:rPr>
          <w:b w:val="0"/>
        </w:rPr>
        <w:fldChar w:fldCharType="separate"/>
      </w:r>
      <w:r w:rsidR="000852D8">
        <w:rPr>
          <w:b w:val="0"/>
          <w:noProof/>
        </w:rPr>
        <w:t>4</w:t>
      </w:r>
      <w:r>
        <w:rPr>
          <w:b w:val="0"/>
        </w:rPr>
        <w:fldChar w:fldCharType="end"/>
      </w:r>
      <w:r>
        <w:tab/>
      </w:r>
      <w:r w:rsidR="006429A3">
        <w:t>Relative merits of stylised demand management approaches</w:t>
      </w:r>
    </w:p>
    <w:p w:rsidR="006429A3" w:rsidRDefault="006429A3" w:rsidP="006429A3">
      <w:pPr>
        <w:pStyle w:val="Subtitle"/>
      </w:pPr>
      <w:r>
        <w:t>Benefit-cost ratios, indicative estimates</w:t>
      </w:r>
      <w:r w:rsidR="0024666C" w:rsidRPr="0024666C">
        <w:rPr>
          <w:rStyle w:val="NoteLabel"/>
        </w:rPr>
        <w:t>a</w:t>
      </w:r>
      <w:r>
        <w:t xml:space="preserve"> </w:t>
      </w:r>
    </w:p>
    <w:tbl>
      <w:tblPr>
        <w:tblW w:w="5097" w:type="pct"/>
        <w:tblCellMar>
          <w:left w:w="0" w:type="dxa"/>
          <w:right w:w="0" w:type="dxa"/>
        </w:tblCellMar>
        <w:tblLook w:val="0000" w:firstRow="0" w:lastRow="0" w:firstColumn="0" w:lastColumn="0" w:noHBand="0" w:noVBand="0"/>
      </w:tblPr>
      <w:tblGrid>
        <w:gridCol w:w="4283"/>
        <w:gridCol w:w="1559"/>
        <w:gridCol w:w="1559"/>
        <w:gridCol w:w="1559"/>
      </w:tblGrid>
      <w:tr w:rsidR="006429A3" w:rsidTr="00B1755A">
        <w:trPr>
          <w:trHeight w:val="398"/>
        </w:trPr>
        <w:tc>
          <w:tcPr>
            <w:tcW w:w="2390" w:type="pct"/>
            <w:tcBorders>
              <w:top w:val="single" w:sz="6" w:space="0" w:color="auto"/>
              <w:bottom w:val="single" w:sz="6" w:space="0" w:color="auto"/>
            </w:tcBorders>
            <w:shd w:val="clear" w:color="auto" w:fill="auto"/>
          </w:tcPr>
          <w:p w:rsidR="006429A3" w:rsidRDefault="006429A3" w:rsidP="00196B3A">
            <w:pPr>
              <w:pStyle w:val="TableColumnHeading"/>
              <w:jc w:val="left"/>
            </w:pPr>
            <w:r>
              <w:t>Scenario</w:t>
            </w:r>
          </w:p>
        </w:tc>
        <w:tc>
          <w:tcPr>
            <w:tcW w:w="870" w:type="pct"/>
            <w:tcBorders>
              <w:top w:val="single" w:sz="6" w:space="0" w:color="auto"/>
              <w:bottom w:val="single" w:sz="6" w:space="0" w:color="auto"/>
            </w:tcBorders>
            <w:shd w:val="clear" w:color="auto" w:fill="auto"/>
          </w:tcPr>
          <w:p w:rsidR="006429A3" w:rsidRDefault="006429A3" w:rsidP="00196B3A">
            <w:pPr>
              <w:pStyle w:val="TableColumnHeading"/>
            </w:pPr>
            <w:r>
              <w:t>Low</w:t>
            </w:r>
          </w:p>
        </w:tc>
        <w:tc>
          <w:tcPr>
            <w:tcW w:w="870" w:type="pct"/>
            <w:tcBorders>
              <w:top w:val="single" w:sz="6" w:space="0" w:color="auto"/>
              <w:bottom w:val="single" w:sz="6" w:space="0" w:color="auto"/>
            </w:tcBorders>
          </w:tcPr>
          <w:p w:rsidR="006429A3" w:rsidRDefault="006429A3" w:rsidP="00196B3A">
            <w:pPr>
              <w:pStyle w:val="TableColumnHeading"/>
              <w:ind w:right="28"/>
            </w:pPr>
            <w:r>
              <w:t>Mid-point</w:t>
            </w:r>
          </w:p>
        </w:tc>
        <w:tc>
          <w:tcPr>
            <w:tcW w:w="870" w:type="pct"/>
            <w:tcBorders>
              <w:top w:val="single" w:sz="6" w:space="0" w:color="auto"/>
              <w:bottom w:val="single" w:sz="6" w:space="0" w:color="auto"/>
            </w:tcBorders>
            <w:shd w:val="clear" w:color="auto" w:fill="auto"/>
          </w:tcPr>
          <w:p w:rsidR="006429A3" w:rsidRDefault="006429A3" w:rsidP="007560BF">
            <w:pPr>
              <w:pStyle w:val="TableColumnHeading"/>
              <w:ind w:right="171"/>
            </w:pPr>
            <w:r>
              <w:t>High</w:t>
            </w:r>
          </w:p>
        </w:tc>
      </w:tr>
      <w:tr w:rsidR="009C47F3" w:rsidTr="00B1755A">
        <w:trPr>
          <w:trHeight w:val="489"/>
        </w:trPr>
        <w:tc>
          <w:tcPr>
            <w:tcW w:w="2390" w:type="pct"/>
          </w:tcPr>
          <w:p w:rsidR="009C47F3" w:rsidRDefault="009C47F3" w:rsidP="00196B3A">
            <w:pPr>
              <w:pStyle w:val="TableBodyText"/>
              <w:jc w:val="left"/>
            </w:pPr>
            <w:r>
              <w:t>National smart meter rollout with critical peak demand management</w:t>
            </w:r>
          </w:p>
        </w:tc>
        <w:tc>
          <w:tcPr>
            <w:tcW w:w="870" w:type="pct"/>
          </w:tcPr>
          <w:p w:rsidR="009C47F3" w:rsidRDefault="009C47F3" w:rsidP="009C47F3">
            <w:pPr>
              <w:pStyle w:val="TableBodyText"/>
            </w:pPr>
            <w:r>
              <w:t>0.5</w:t>
            </w:r>
          </w:p>
        </w:tc>
        <w:tc>
          <w:tcPr>
            <w:tcW w:w="870" w:type="pct"/>
          </w:tcPr>
          <w:p w:rsidR="009C47F3" w:rsidRDefault="009C47F3" w:rsidP="009C47F3">
            <w:pPr>
              <w:pStyle w:val="TableBodyText"/>
              <w:ind w:right="28"/>
            </w:pPr>
            <w:r>
              <w:t>1.0</w:t>
            </w:r>
          </w:p>
        </w:tc>
        <w:tc>
          <w:tcPr>
            <w:tcW w:w="870" w:type="pct"/>
          </w:tcPr>
          <w:p w:rsidR="009C47F3" w:rsidRDefault="009C47F3" w:rsidP="007560BF">
            <w:pPr>
              <w:pStyle w:val="TableBodyText"/>
              <w:ind w:right="171"/>
            </w:pPr>
            <w:r>
              <w:t>2.6</w:t>
            </w:r>
          </w:p>
        </w:tc>
      </w:tr>
      <w:tr w:rsidR="009C47F3" w:rsidTr="00B1755A">
        <w:trPr>
          <w:trHeight w:val="507"/>
        </w:trPr>
        <w:tc>
          <w:tcPr>
            <w:tcW w:w="2390" w:type="pct"/>
            <w:shd w:val="clear" w:color="auto" w:fill="auto"/>
          </w:tcPr>
          <w:p w:rsidR="009C47F3" w:rsidRDefault="009C47F3" w:rsidP="00196B3A">
            <w:pPr>
              <w:pStyle w:val="TableBodyText"/>
              <w:jc w:val="left"/>
            </w:pPr>
            <w:r>
              <w:t>National smart meter rollout with time of use pricing</w:t>
            </w:r>
          </w:p>
        </w:tc>
        <w:tc>
          <w:tcPr>
            <w:tcW w:w="870" w:type="pct"/>
            <w:shd w:val="clear" w:color="auto" w:fill="auto"/>
          </w:tcPr>
          <w:p w:rsidR="009C47F3" w:rsidRDefault="009C47F3" w:rsidP="0028001A">
            <w:pPr>
              <w:pStyle w:val="TableBodyText"/>
            </w:pPr>
            <w:r>
              <w:t>0.</w:t>
            </w:r>
            <w:r w:rsidR="0028001A">
              <w:t>3</w:t>
            </w:r>
          </w:p>
        </w:tc>
        <w:tc>
          <w:tcPr>
            <w:tcW w:w="870" w:type="pct"/>
          </w:tcPr>
          <w:p w:rsidR="009C47F3" w:rsidRDefault="009C47F3" w:rsidP="0028001A">
            <w:pPr>
              <w:pStyle w:val="TableBodyText"/>
              <w:ind w:right="28"/>
            </w:pPr>
            <w:r>
              <w:t>0.</w:t>
            </w:r>
            <w:r w:rsidR="0028001A">
              <w:t>6</w:t>
            </w:r>
          </w:p>
        </w:tc>
        <w:tc>
          <w:tcPr>
            <w:tcW w:w="870" w:type="pct"/>
            <w:shd w:val="clear" w:color="auto" w:fill="auto"/>
          </w:tcPr>
          <w:p w:rsidR="009C47F3" w:rsidRDefault="009C47F3" w:rsidP="007560BF">
            <w:pPr>
              <w:pStyle w:val="TableBodyText"/>
              <w:ind w:right="171"/>
            </w:pPr>
            <w:r>
              <w:t>1.1</w:t>
            </w:r>
          </w:p>
        </w:tc>
      </w:tr>
      <w:tr w:rsidR="009C47F3" w:rsidTr="00B1755A">
        <w:trPr>
          <w:trHeight w:val="507"/>
        </w:trPr>
        <w:tc>
          <w:tcPr>
            <w:tcW w:w="2390" w:type="pct"/>
            <w:shd w:val="clear" w:color="auto" w:fill="auto"/>
          </w:tcPr>
          <w:p w:rsidR="009C47F3" w:rsidRDefault="009C47F3" w:rsidP="00196B3A">
            <w:pPr>
              <w:pStyle w:val="TableBodyText"/>
              <w:jc w:val="left"/>
            </w:pPr>
            <w:r>
              <w:t>Direct load control in the absence of smart meters</w:t>
            </w:r>
          </w:p>
        </w:tc>
        <w:tc>
          <w:tcPr>
            <w:tcW w:w="870" w:type="pct"/>
            <w:shd w:val="clear" w:color="auto" w:fill="auto"/>
          </w:tcPr>
          <w:p w:rsidR="009C47F3" w:rsidRDefault="009C47F3" w:rsidP="009C47F3">
            <w:pPr>
              <w:pStyle w:val="TableBodyText"/>
            </w:pPr>
            <w:r>
              <w:t>0.1</w:t>
            </w:r>
          </w:p>
        </w:tc>
        <w:tc>
          <w:tcPr>
            <w:tcW w:w="870" w:type="pct"/>
          </w:tcPr>
          <w:p w:rsidR="009C47F3" w:rsidRDefault="009C47F3" w:rsidP="009C47F3">
            <w:pPr>
              <w:pStyle w:val="TableBodyText"/>
              <w:ind w:right="28"/>
            </w:pPr>
            <w:r>
              <w:t>0.8</w:t>
            </w:r>
          </w:p>
        </w:tc>
        <w:tc>
          <w:tcPr>
            <w:tcW w:w="870" w:type="pct"/>
            <w:shd w:val="clear" w:color="auto" w:fill="auto"/>
          </w:tcPr>
          <w:p w:rsidR="009C47F3" w:rsidRDefault="009C47F3" w:rsidP="007560BF">
            <w:pPr>
              <w:pStyle w:val="TableBodyText"/>
              <w:ind w:right="171"/>
            </w:pPr>
            <w:r>
              <w:t>6.3</w:t>
            </w:r>
          </w:p>
        </w:tc>
      </w:tr>
      <w:tr w:rsidR="009C47F3" w:rsidTr="00B1755A">
        <w:trPr>
          <w:trHeight w:val="507"/>
        </w:trPr>
        <w:tc>
          <w:tcPr>
            <w:tcW w:w="2390" w:type="pct"/>
            <w:shd w:val="clear" w:color="auto" w:fill="auto"/>
          </w:tcPr>
          <w:p w:rsidR="009C47F3" w:rsidRDefault="009C47F3" w:rsidP="00196B3A">
            <w:pPr>
              <w:pStyle w:val="TableBodyText"/>
              <w:jc w:val="left"/>
            </w:pPr>
            <w:r>
              <w:t>Limited smart meter rollout with critical peak demand management</w:t>
            </w:r>
          </w:p>
        </w:tc>
        <w:tc>
          <w:tcPr>
            <w:tcW w:w="870" w:type="pct"/>
            <w:shd w:val="clear" w:color="auto" w:fill="auto"/>
          </w:tcPr>
          <w:p w:rsidR="009C47F3" w:rsidRDefault="009C47F3" w:rsidP="009C47F3">
            <w:pPr>
              <w:pStyle w:val="TableBodyText"/>
            </w:pPr>
            <w:r>
              <w:t>0.8</w:t>
            </w:r>
          </w:p>
        </w:tc>
        <w:tc>
          <w:tcPr>
            <w:tcW w:w="870" w:type="pct"/>
          </w:tcPr>
          <w:p w:rsidR="009C47F3" w:rsidRDefault="009C47F3" w:rsidP="009C47F3">
            <w:pPr>
              <w:pStyle w:val="TableBodyText"/>
              <w:ind w:right="28"/>
            </w:pPr>
            <w:r>
              <w:t>2.1</w:t>
            </w:r>
          </w:p>
        </w:tc>
        <w:tc>
          <w:tcPr>
            <w:tcW w:w="870" w:type="pct"/>
            <w:shd w:val="clear" w:color="auto" w:fill="auto"/>
          </w:tcPr>
          <w:p w:rsidR="009C47F3" w:rsidRDefault="009C47F3" w:rsidP="007560BF">
            <w:pPr>
              <w:pStyle w:val="TableBodyText"/>
              <w:ind w:right="171"/>
            </w:pPr>
            <w:r>
              <w:t>5.8</w:t>
            </w:r>
          </w:p>
        </w:tc>
      </w:tr>
      <w:tr w:rsidR="009C47F3" w:rsidTr="00B1755A">
        <w:trPr>
          <w:trHeight w:val="783"/>
        </w:trPr>
        <w:tc>
          <w:tcPr>
            <w:tcW w:w="2390" w:type="pct"/>
            <w:tcBorders>
              <w:bottom w:val="single" w:sz="6" w:space="0" w:color="auto"/>
            </w:tcBorders>
            <w:shd w:val="clear" w:color="auto" w:fill="auto"/>
          </w:tcPr>
          <w:p w:rsidR="009C47F3" w:rsidRDefault="009C47F3" w:rsidP="00196B3A">
            <w:pPr>
              <w:pStyle w:val="TableBodyText"/>
              <w:jc w:val="left"/>
            </w:pPr>
            <w:r>
              <w:t>Limited smart meter rollout with critical peak demand management and one year deferral of distribution network infrastructure</w:t>
            </w:r>
          </w:p>
        </w:tc>
        <w:tc>
          <w:tcPr>
            <w:tcW w:w="870" w:type="pct"/>
            <w:tcBorders>
              <w:bottom w:val="single" w:sz="6" w:space="0" w:color="auto"/>
            </w:tcBorders>
            <w:shd w:val="clear" w:color="auto" w:fill="auto"/>
          </w:tcPr>
          <w:p w:rsidR="009C47F3" w:rsidRDefault="009C47F3" w:rsidP="009C47F3">
            <w:pPr>
              <w:pStyle w:val="TableBodyText"/>
            </w:pPr>
            <w:r>
              <w:t>1.0</w:t>
            </w:r>
          </w:p>
        </w:tc>
        <w:tc>
          <w:tcPr>
            <w:tcW w:w="870" w:type="pct"/>
            <w:tcBorders>
              <w:bottom w:val="single" w:sz="6" w:space="0" w:color="auto"/>
            </w:tcBorders>
          </w:tcPr>
          <w:p w:rsidR="009C47F3" w:rsidRDefault="009C47F3" w:rsidP="009C47F3">
            <w:pPr>
              <w:pStyle w:val="TableBodyText"/>
              <w:ind w:right="28"/>
            </w:pPr>
            <w:r>
              <w:t>2.8</w:t>
            </w:r>
          </w:p>
        </w:tc>
        <w:tc>
          <w:tcPr>
            <w:tcW w:w="870" w:type="pct"/>
            <w:tcBorders>
              <w:bottom w:val="single" w:sz="6" w:space="0" w:color="auto"/>
            </w:tcBorders>
            <w:shd w:val="clear" w:color="auto" w:fill="auto"/>
          </w:tcPr>
          <w:p w:rsidR="009C47F3" w:rsidRDefault="009C47F3" w:rsidP="007560BF">
            <w:pPr>
              <w:pStyle w:val="TableBodyText"/>
              <w:ind w:right="171"/>
            </w:pPr>
            <w:r>
              <w:t>7.6</w:t>
            </w:r>
          </w:p>
        </w:tc>
      </w:tr>
    </w:tbl>
    <w:p w:rsidR="0024666C" w:rsidRPr="0024666C" w:rsidRDefault="0024666C" w:rsidP="0024666C">
      <w:pPr>
        <w:pStyle w:val="Note"/>
        <w:rPr>
          <w:rStyle w:val="NoteLabel"/>
          <w:b w:val="0"/>
          <w:position w:val="0"/>
        </w:rPr>
      </w:pPr>
      <w:proofErr w:type="spellStart"/>
      <w:r>
        <w:rPr>
          <w:rStyle w:val="NoteLabel"/>
        </w:rPr>
        <w:t>a</w:t>
      </w:r>
      <w:proofErr w:type="spellEnd"/>
      <w:r>
        <w:rPr>
          <w:rStyle w:val="NoteLabel"/>
        </w:rPr>
        <w:t xml:space="preserve">  </w:t>
      </w:r>
      <w:proofErr w:type="spellStart"/>
      <w:r>
        <w:rPr>
          <w:lang w:eastAsia="en-US"/>
        </w:rPr>
        <w:t>A</w:t>
      </w:r>
      <w:proofErr w:type="spellEnd"/>
      <w:r>
        <w:rPr>
          <w:lang w:eastAsia="en-US"/>
        </w:rPr>
        <w:t xml:space="preserve"> </w:t>
      </w:r>
      <w:r w:rsidRPr="008876A2">
        <w:rPr>
          <w:spacing w:val="-2"/>
          <w:lang w:eastAsia="en-US"/>
        </w:rPr>
        <w:t>benefit–cost ratio less than one implies that the stream of discounted costs was more than the stream of discounted benefits. The low case for most scenarios is below one, indicating a risk of a net cost. If a scenario has higher benefit–cost ratios in all cases, it is more likely that the scenario would be of net benefit. However, a more risky project may be warranted if benefits can be obtained across a larger proportion of peak consumption — such a scenario is more likely to warrant additional efforts to mitigate the potential for downside risks</w:t>
      </w:r>
    </w:p>
    <w:p w:rsidR="006429A3" w:rsidRPr="008E77FE" w:rsidRDefault="006429A3" w:rsidP="006429A3">
      <w:pPr>
        <w:pStyle w:val="Source"/>
      </w:pPr>
      <w:r>
        <w:rPr>
          <w:i/>
        </w:rPr>
        <w:t>Source</w:t>
      </w:r>
      <w:r>
        <w:t>: Commission estimates.</w:t>
      </w:r>
    </w:p>
    <w:p w:rsidR="00695991" w:rsidRDefault="00695991" w:rsidP="00695991">
      <w:pPr>
        <w:pStyle w:val="Heading3"/>
      </w:pPr>
      <w:r>
        <w:t>Avoiding or defer</w:t>
      </w:r>
      <w:r w:rsidR="000B769C">
        <w:t>ring network augmentation yields significant</w:t>
      </w:r>
      <w:r>
        <w:t xml:space="preserve"> benefits</w:t>
      </w:r>
    </w:p>
    <w:p w:rsidR="00695991" w:rsidRDefault="00695991" w:rsidP="00695991">
      <w:pPr>
        <w:pStyle w:val="BodyText"/>
        <w:rPr>
          <w:rFonts w:eastAsiaTheme="minorHAnsi"/>
        </w:rPr>
      </w:pPr>
      <w:r>
        <w:t xml:space="preserve">Reducing the growth in peak demand can ameliorate the need for additional investment. There are significant costs involved in providing capacity to supply peak demand; as such, any (reliable) reduction in peak demand growth may give </w:t>
      </w:r>
      <w:r>
        <w:lastRenderedPageBreak/>
        <w:t xml:space="preserve">rise to significant investment savings. </w:t>
      </w:r>
      <w:r w:rsidR="006429A3">
        <w:t xml:space="preserve">The Commission reviewed existing estimates of the long-run marginal cost of delivering an additional kW to an end user </w:t>
      </w:r>
      <w:r w:rsidR="00056C92">
        <w:t>during peak periods (</w:t>
      </w:r>
      <w:proofErr w:type="spellStart"/>
      <w:r w:rsidR="00056C92">
        <w:t>Futura</w:t>
      </w:r>
      <w:proofErr w:type="spellEnd"/>
      <w:r w:rsidR="00056C92">
        <w:t xml:space="preserve"> 2009</w:t>
      </w:r>
      <w:r w:rsidR="006429A3">
        <w:t>; Oakl</w:t>
      </w:r>
      <w:r w:rsidR="00350785">
        <w:t xml:space="preserve">ey Greenwood </w:t>
      </w:r>
      <w:proofErr w:type="spellStart"/>
      <w:r w:rsidR="00350785">
        <w:t>20</w:t>
      </w:r>
      <w:r w:rsidR="00993BE5">
        <w:t>10</w:t>
      </w:r>
      <w:r w:rsidR="00350785">
        <w:t>b</w:t>
      </w:r>
      <w:proofErr w:type="spellEnd"/>
      <w:r w:rsidR="00546FEC">
        <w:t xml:space="preserve">; </w:t>
      </w:r>
      <w:proofErr w:type="spellStart"/>
      <w:r w:rsidR="00546FEC">
        <w:t>ESAA</w:t>
      </w:r>
      <w:proofErr w:type="spellEnd"/>
      <w:r w:rsidR="00546FEC">
        <w:t xml:space="preserve"> sub. 23</w:t>
      </w:r>
      <w:r w:rsidR="006429A3">
        <w:t>), and found</w:t>
      </w:r>
      <w:r w:rsidR="007560BF">
        <w:t xml:space="preserve"> the following ranges plausible</w:t>
      </w:r>
      <w:r>
        <w:t>:</w:t>
      </w:r>
    </w:p>
    <w:p w:rsidR="00695991" w:rsidRDefault="00695991" w:rsidP="00695991">
      <w:pPr>
        <w:pStyle w:val="ListBullet"/>
        <w:rPr>
          <w:rFonts w:eastAsiaTheme="minorHAnsi"/>
        </w:rPr>
      </w:pPr>
      <w:r>
        <w:t xml:space="preserve">$90-180 for expanding distribution capacity </w:t>
      </w:r>
    </w:p>
    <w:p w:rsidR="00695991" w:rsidRDefault="00695991" w:rsidP="00695991">
      <w:pPr>
        <w:pStyle w:val="ListBullet"/>
      </w:pPr>
      <w:r>
        <w:t>$90-110 for additional peak generation (open cycle gas turbine) capacity</w:t>
      </w:r>
    </w:p>
    <w:p w:rsidR="00695991" w:rsidRDefault="00695991" w:rsidP="00695991">
      <w:pPr>
        <w:pStyle w:val="ListBullet"/>
      </w:pPr>
      <w:r>
        <w:t>$36-90 for expanding transmission capacity.</w:t>
      </w:r>
    </w:p>
    <w:p w:rsidR="00695991" w:rsidRDefault="00695991" w:rsidP="00695991">
      <w:pPr>
        <w:pStyle w:val="BodyText"/>
      </w:pPr>
      <w:r>
        <w:t xml:space="preserve">While growth in peak electricity consumption is a critical driver of network augmentation, parts of the network will have differing levels of spare capacity. The potential for benefits from introducing demand management are likely to be highest in parts of the distribution </w:t>
      </w:r>
      <w:r w:rsidR="002A0096">
        <w:t xml:space="preserve">and transmission </w:t>
      </w:r>
      <w:r>
        <w:t>network where electricity consumption during cri</w:t>
      </w:r>
      <w:r w:rsidR="007B1082">
        <w:t>tical peak periods is reaching</w:t>
      </w:r>
      <w:r>
        <w:t xml:space="preserve"> capacity. However, such benefits can only be realised if demand management can sufficiently temper the growth in critical peak consumption to defer or negate the need to augment the </w:t>
      </w:r>
      <w:r w:rsidR="002A0096">
        <w:t>network.</w:t>
      </w:r>
    </w:p>
    <w:p w:rsidR="00695991" w:rsidRDefault="00695991" w:rsidP="00695991">
      <w:pPr>
        <w:pStyle w:val="Heading3"/>
      </w:pPr>
      <w:r>
        <w:t>Not all forms of demand management are effective</w:t>
      </w:r>
      <w:r w:rsidR="007B1082">
        <w:t xml:space="preserve"> at reducing peaks</w:t>
      </w:r>
    </w:p>
    <w:p w:rsidR="00695991" w:rsidRPr="00CF781B" w:rsidRDefault="00695991" w:rsidP="00695991">
      <w:pPr>
        <w:pStyle w:val="BodyText"/>
        <w:rPr>
          <w:spacing w:val="-6"/>
        </w:rPr>
      </w:pPr>
      <w:r w:rsidRPr="00CF781B">
        <w:rPr>
          <w:spacing w:val="-6"/>
        </w:rPr>
        <w:t xml:space="preserve">In Australia, a number of demand management schemes have been trialled or introduced. They have included </w:t>
      </w:r>
      <w:r w:rsidR="00B1191B">
        <w:rPr>
          <w:spacing w:val="-6"/>
        </w:rPr>
        <w:t xml:space="preserve">untargeted </w:t>
      </w:r>
      <w:proofErr w:type="spellStart"/>
      <w:r w:rsidR="007560BF" w:rsidRPr="00CF781B">
        <w:rPr>
          <w:spacing w:val="-6"/>
        </w:rPr>
        <w:t>TOU</w:t>
      </w:r>
      <w:proofErr w:type="spellEnd"/>
      <w:r w:rsidRPr="00CF781B">
        <w:rPr>
          <w:spacing w:val="-6"/>
        </w:rPr>
        <w:t xml:space="preserve"> pricing</w:t>
      </w:r>
      <w:r w:rsidR="002A0096" w:rsidRPr="00CF781B">
        <w:rPr>
          <w:spacing w:val="-6"/>
        </w:rPr>
        <w:t xml:space="preserve"> (unrelated to peak events)</w:t>
      </w:r>
      <w:r w:rsidRPr="00CF781B">
        <w:rPr>
          <w:spacing w:val="-6"/>
        </w:rPr>
        <w:t>, critical peak pricing (or rebates for curtailing electricity consumption during critical peak events) and the use of direct load control technology (also targeting critical peak events).</w:t>
      </w:r>
    </w:p>
    <w:p w:rsidR="00695991" w:rsidRDefault="00695991" w:rsidP="00695991">
      <w:pPr>
        <w:pStyle w:val="BodyText"/>
      </w:pPr>
      <w:r>
        <w:t xml:space="preserve">The reduction in energy use during critical peak events has been substantially lower under </w:t>
      </w:r>
      <w:r w:rsidR="002A0096">
        <w:t xml:space="preserve">untargeted </w:t>
      </w:r>
      <w:proofErr w:type="spellStart"/>
      <w:r w:rsidR="007560BF">
        <w:t>TOU</w:t>
      </w:r>
      <w:proofErr w:type="spellEnd"/>
      <w:r>
        <w:t xml:space="preserve"> schemes than under other demand</w:t>
      </w:r>
      <w:r w:rsidR="00B1755A">
        <w:t xml:space="preserve"> management schemes (figure 9.</w:t>
      </w:r>
      <w:r w:rsidR="00655841">
        <w:t>8</w:t>
      </w:r>
      <w:r>
        <w:t xml:space="preserve">). </w:t>
      </w:r>
      <w:r w:rsidR="002A0096">
        <w:t xml:space="preserve">Untargeted </w:t>
      </w:r>
      <w:proofErr w:type="spellStart"/>
      <w:r w:rsidR="007560BF">
        <w:t>TOU</w:t>
      </w:r>
      <w:proofErr w:type="spellEnd"/>
      <w:r>
        <w:t xml:space="preserve"> charging is less effective than other demand management approaches because it </w:t>
      </w:r>
      <w:r w:rsidR="002A0096">
        <w:t xml:space="preserve">conveys </w:t>
      </w:r>
      <w:r w:rsidR="007B1082">
        <w:t xml:space="preserve">peak </w:t>
      </w:r>
      <w:r w:rsidR="002A0096">
        <w:t>price signals</w:t>
      </w:r>
      <w:r w:rsidR="007560BF">
        <w:t xml:space="preserve"> that</w:t>
      </w:r>
      <w:r w:rsidR="007B1082">
        <w:t xml:space="preserve"> apply routinely</w:t>
      </w:r>
      <w:r>
        <w:t xml:space="preserve"> throughout the year</w:t>
      </w:r>
      <w:r w:rsidR="007B1082">
        <w:t xml:space="preserve">, </w:t>
      </w:r>
      <w:r>
        <w:t xml:space="preserve">rather than providing </w:t>
      </w:r>
      <w:r w:rsidR="007B1082">
        <w:t xml:space="preserve">targeted </w:t>
      </w:r>
      <w:r>
        <w:t xml:space="preserve">incentives for consumers to reduce consumption during </w:t>
      </w:r>
      <w:r w:rsidR="007B1082">
        <w:t xml:space="preserve">a far fewer number of </w:t>
      </w:r>
      <w:r>
        <w:t>critical peak events.</w:t>
      </w:r>
    </w:p>
    <w:p w:rsidR="00695991" w:rsidRDefault="00695991" w:rsidP="00695991">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Figure \* ARABIC </w:instrText>
      </w:r>
      <w:r>
        <w:rPr>
          <w:b w:val="0"/>
        </w:rPr>
        <w:fldChar w:fldCharType="separate"/>
      </w:r>
      <w:r w:rsidR="000852D8">
        <w:rPr>
          <w:b w:val="0"/>
          <w:noProof/>
        </w:rPr>
        <w:t>8</w:t>
      </w:r>
      <w:r>
        <w:rPr>
          <w:b w:val="0"/>
        </w:rPr>
        <w:fldChar w:fldCharType="end"/>
      </w:r>
      <w:r>
        <w:tab/>
        <w:t>Reduction in peak electricity use for Australian trials</w:t>
      </w:r>
    </w:p>
    <w:p w:rsidR="00695991" w:rsidRDefault="0035451A" w:rsidP="00695991">
      <w:pPr>
        <w:pStyle w:val="Subtitle"/>
      </w:pPr>
      <w:r>
        <w:t>Per cent reduction in peak electricity use, by type</w:t>
      </w:r>
      <w:r w:rsidR="00695991">
        <w:t xml:space="preserve"> of demand management</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95991" w:rsidTr="00EA368B">
        <w:trPr>
          <w:trHeight w:val="2080"/>
        </w:trPr>
        <w:tc>
          <w:tcPr>
            <w:tcW w:w="8777" w:type="dxa"/>
          </w:tcPr>
          <w:p w:rsidR="00695991" w:rsidRDefault="006429A3" w:rsidP="00695991">
            <w:pPr>
              <w:pStyle w:val="Figure"/>
            </w:pPr>
            <w:r>
              <w:rPr>
                <w:noProof/>
              </w:rPr>
              <w:t xml:space="preserve"> </w:t>
            </w:r>
            <w:r w:rsidR="00171772">
              <w:rPr>
                <w:noProof/>
              </w:rPr>
              <w:drawing>
                <wp:inline distT="0" distB="0" distL="0" distR="0" wp14:anchorId="11581BCA">
                  <wp:extent cx="4615180" cy="1237615"/>
                  <wp:effectExtent l="0" t="0" r="0" b="635"/>
                  <wp:docPr id="23" name="Picture 23" descr="Reduction in peak electricity use for Australian trials. This figure shows the percentage reduction in peak electricity use by critical peak programs and untargeted time of use pric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15180" cy="1237615"/>
                          </a:xfrm>
                          <a:prstGeom prst="rect">
                            <a:avLst/>
                          </a:prstGeom>
                          <a:noFill/>
                        </pic:spPr>
                      </pic:pic>
                    </a:graphicData>
                  </a:graphic>
                </wp:inline>
              </w:drawing>
            </w:r>
          </w:p>
        </w:tc>
      </w:tr>
    </w:tbl>
    <w:p w:rsidR="00695991" w:rsidRDefault="00695991" w:rsidP="00695991">
      <w:pPr>
        <w:pStyle w:val="Source"/>
      </w:pPr>
      <w:r>
        <w:rPr>
          <w:i/>
        </w:rPr>
        <w:t>Data source</w:t>
      </w:r>
      <w:r w:rsidRPr="00167F06">
        <w:t xml:space="preserve">: </w:t>
      </w:r>
      <w:proofErr w:type="spellStart"/>
      <w:r>
        <w:t>Futura</w:t>
      </w:r>
      <w:proofErr w:type="spellEnd"/>
      <w:r>
        <w:t xml:space="preserve"> 2011</w:t>
      </w:r>
    </w:p>
    <w:p w:rsidR="00695991" w:rsidRDefault="00695991" w:rsidP="00695991">
      <w:pPr>
        <w:pStyle w:val="BodyText"/>
      </w:pPr>
      <w:r>
        <w:lastRenderedPageBreak/>
        <w:t>The likely scale of reduced peak ene</w:t>
      </w:r>
      <w:r w:rsidR="007118B4">
        <w:t>rgy use from a wider roll-</w:t>
      </w:r>
      <w:r>
        <w:t>out of demand management in Australia</w:t>
      </w:r>
      <w:r w:rsidR="00B1191B">
        <w:t xml:space="preserve"> may</w:t>
      </w:r>
      <w:r>
        <w:t xml:space="preserve"> be smaller than </w:t>
      </w:r>
      <w:r w:rsidR="002A0096">
        <w:t xml:space="preserve">that </w:t>
      </w:r>
      <w:r>
        <w:t xml:space="preserve">achieved through trials. For example, </w:t>
      </w:r>
      <w:r w:rsidR="007118B4">
        <w:t>some trials have restricted eligibility to consumers that have greater scope to reduce peak energy use (for example, households with air conditioners) (</w:t>
      </w:r>
      <w:proofErr w:type="spellStart"/>
      <w:r w:rsidR="007118B4">
        <w:t>Futura</w:t>
      </w:r>
      <w:proofErr w:type="spellEnd"/>
      <w:r w:rsidR="007118B4">
        <w:t> 2011). In addition, trials inten</w:t>
      </w:r>
      <w:r w:rsidR="0044211F">
        <w:t>sively educated participants,</w:t>
      </w:r>
      <w:r w:rsidR="007118B4">
        <w:t xml:space="preserve"> provided technologies to assist participants monitor thei</w:t>
      </w:r>
      <w:r w:rsidR="0044211F">
        <w:t>r power use, and some even</w:t>
      </w:r>
      <w:r w:rsidR="007118B4">
        <w:t xml:space="preserve"> funded </w:t>
      </w:r>
      <w:r w:rsidR="0044211F">
        <w:t xml:space="preserve">or subsidised </w:t>
      </w:r>
      <w:r w:rsidR="007118B4">
        <w:t>the purchase of more energy efficient appliances. Combined with the fact that most pricing trials were not undertaken over an extended period, and those that were showed some erosion</w:t>
      </w:r>
      <w:r w:rsidR="0044211F">
        <w:t xml:space="preserve"> in demand response over time, it is likely that lower reductions in peak energy use may be achieved outside of trial settings. </w:t>
      </w:r>
    </w:p>
    <w:p w:rsidR="00695991" w:rsidRDefault="00695991" w:rsidP="00695991">
      <w:pPr>
        <w:pStyle w:val="Heading3"/>
      </w:pPr>
      <w:r>
        <w:t>Smart meters are a crucial cost item</w:t>
      </w:r>
    </w:p>
    <w:p w:rsidR="00695991" w:rsidRDefault="00695991" w:rsidP="00695991">
      <w:pPr>
        <w:pStyle w:val="BodyText"/>
      </w:pPr>
      <w:r>
        <w:t>Implementing demand management requires new infrastructure of its own</w:t>
      </w:r>
      <w:r w:rsidR="00BE3DED">
        <w:t xml:space="preserve"> (chapter 10)</w:t>
      </w:r>
      <w:r>
        <w:t xml:space="preserve">. Smart meter infrastructure is already in place for large commercial and industrial users, and therefore there is no physical barrier to the utilisation of greater demand management techniques for these users. By contrast, the transition costs for the residential and small business customers in the </w:t>
      </w:r>
      <w:proofErr w:type="spellStart"/>
      <w:r>
        <w:t>NEM</w:t>
      </w:r>
      <w:proofErr w:type="spellEnd"/>
      <w:r>
        <w:t xml:space="preserve"> currently using traditional ‘accumulation’ meters can be significant.</w:t>
      </w:r>
      <w:r>
        <w:rPr>
          <w:rStyle w:val="FootnoteReference"/>
        </w:rPr>
        <w:footnoteReference w:id="25"/>
      </w:r>
      <w:r>
        <w:t xml:space="preserve"> </w:t>
      </w:r>
    </w:p>
    <w:p w:rsidR="00695991" w:rsidRPr="00D11033" w:rsidRDefault="00695991" w:rsidP="00695991">
      <w:pPr>
        <w:pStyle w:val="BodyText"/>
        <w:rPr>
          <w:spacing w:val="-2"/>
        </w:rPr>
      </w:pPr>
      <w:r w:rsidRPr="00D11033">
        <w:rPr>
          <w:spacing w:val="-2"/>
        </w:rPr>
        <w:t xml:space="preserve">In Victoria, the rollout cost more than $700 per meter, with further ongoing operating costs of $20-30 per year. This is greater than the ‘building block’ forecasts produced by </w:t>
      </w:r>
      <w:r w:rsidR="000B322A" w:rsidRPr="00D11033">
        <w:rPr>
          <w:spacing w:val="-2"/>
        </w:rPr>
        <w:t xml:space="preserve">Energy Marketing Consulting associates </w:t>
      </w:r>
      <w:r w:rsidRPr="00D11033">
        <w:rPr>
          <w:spacing w:val="-2"/>
        </w:rPr>
        <w:t>(</w:t>
      </w:r>
      <w:proofErr w:type="spellStart"/>
      <w:r w:rsidR="000B322A" w:rsidRPr="00D11033">
        <w:rPr>
          <w:spacing w:val="-2"/>
        </w:rPr>
        <w:t>EMCa</w:t>
      </w:r>
      <w:proofErr w:type="spellEnd"/>
      <w:r w:rsidR="000B322A" w:rsidRPr="00D11033">
        <w:rPr>
          <w:spacing w:val="-2"/>
        </w:rPr>
        <w:t xml:space="preserve"> </w:t>
      </w:r>
      <w:r w:rsidRPr="00D11033">
        <w:rPr>
          <w:spacing w:val="-2"/>
        </w:rPr>
        <w:t xml:space="preserve">2008), which suggested transition costs of well under $500 per meter. While the </w:t>
      </w:r>
      <w:proofErr w:type="spellStart"/>
      <w:r w:rsidRPr="00D11033">
        <w:rPr>
          <w:spacing w:val="-2"/>
        </w:rPr>
        <w:t>EMCa</w:t>
      </w:r>
      <w:proofErr w:type="spellEnd"/>
      <w:r w:rsidRPr="00D11033">
        <w:rPr>
          <w:spacing w:val="-2"/>
        </w:rPr>
        <w:t xml:space="preserve"> report appears to have underestimated the complexities of a rollout, in particular in project management and IT, the market for smart meters is maturing and prices are declining. The cost of rolling out smart meters in future should be lower than the Victorian experience, but it is unclear how much lower. This is a major source of uncertainty. If smart meters were rolled out across the </w:t>
      </w:r>
      <w:proofErr w:type="spellStart"/>
      <w:r w:rsidRPr="00D11033">
        <w:rPr>
          <w:spacing w:val="-2"/>
        </w:rPr>
        <w:t>NEM</w:t>
      </w:r>
      <w:proofErr w:type="spellEnd"/>
      <w:r w:rsidRPr="00D11033">
        <w:rPr>
          <w:spacing w:val="-2"/>
        </w:rPr>
        <w:t xml:space="preserve">, the cost </w:t>
      </w:r>
      <w:r w:rsidR="00EA368B" w:rsidRPr="00D11033">
        <w:rPr>
          <w:spacing w:val="-2"/>
        </w:rPr>
        <w:t>difference between</w:t>
      </w:r>
      <w:r w:rsidRPr="00D11033">
        <w:rPr>
          <w:spacing w:val="-2"/>
        </w:rPr>
        <w:t xml:space="preserve"> </w:t>
      </w:r>
      <w:r w:rsidR="00EA368B" w:rsidRPr="00D11033">
        <w:rPr>
          <w:spacing w:val="-2"/>
        </w:rPr>
        <w:t>the Victorian and any future experiences could be</w:t>
      </w:r>
      <w:r w:rsidRPr="00D11033">
        <w:rPr>
          <w:spacing w:val="-2"/>
        </w:rPr>
        <w:t xml:space="preserve"> ov</w:t>
      </w:r>
      <w:r w:rsidR="00B1755A" w:rsidRPr="00D11033">
        <w:rPr>
          <w:spacing w:val="-2"/>
        </w:rPr>
        <w:t>er a billion dollars (figure 9.</w:t>
      </w:r>
      <w:r w:rsidR="00655841" w:rsidRPr="00D11033">
        <w:rPr>
          <w:spacing w:val="-2"/>
        </w:rPr>
        <w:t>9</w:t>
      </w:r>
      <w:r w:rsidRPr="00D11033">
        <w:rPr>
          <w:spacing w:val="-2"/>
        </w:rPr>
        <w:t>).</w:t>
      </w:r>
    </w:p>
    <w:p w:rsidR="00D11033" w:rsidRDefault="00D11033" w:rsidP="00695991">
      <w:pPr>
        <w:pStyle w:val="BodyText"/>
      </w:pPr>
      <w:r>
        <w:t xml:space="preserve">If the Victorian experience were replicated across the rest of the </w:t>
      </w:r>
      <w:proofErr w:type="spellStart"/>
      <w:r>
        <w:t>NEM</w:t>
      </w:r>
      <w:proofErr w:type="spellEnd"/>
      <w:r>
        <w:t>, a transition to advanced metering would result in an increase in the average metering charges of $80-100 per yea</w:t>
      </w:r>
      <w:r w:rsidR="00CA4F22">
        <w:t>r (Deloitte 2011, Pers. Comm.</w:t>
      </w:r>
      <w:r>
        <w:t>).</w:t>
      </w:r>
      <w:r>
        <w:rPr>
          <w:rStyle w:val="FootnoteReference"/>
        </w:rPr>
        <w:footnoteReference w:id="26"/>
      </w:r>
      <w:r>
        <w:t xml:space="preserve"> If technological and policy improvements lowered the cost to $500 per meter (as forecast by </w:t>
      </w:r>
      <w:proofErr w:type="spellStart"/>
      <w:r>
        <w:t>EMCa</w:t>
      </w:r>
      <w:proofErr w:type="spellEnd"/>
      <w:r>
        <w:t xml:space="preserve"> 2008), the average increment for smart metering charges falls to $50-60 per year. </w:t>
      </w:r>
    </w:p>
    <w:p w:rsidR="00695991" w:rsidRDefault="00695991" w:rsidP="00CE01B7">
      <w:pPr>
        <w:pStyle w:val="FigureTitle"/>
        <w:spacing w:after="120"/>
        <w:ind w:left="1469" w:hanging="1469"/>
      </w:pPr>
      <w:r>
        <w:rPr>
          <w:b w:val="0"/>
        </w:rPr>
        <w:lastRenderedPageBreak/>
        <w:t xml:space="preserve">Figure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Figure \* ARABIC </w:instrText>
      </w:r>
      <w:r>
        <w:rPr>
          <w:b w:val="0"/>
        </w:rPr>
        <w:fldChar w:fldCharType="separate"/>
      </w:r>
      <w:r w:rsidR="000852D8">
        <w:rPr>
          <w:b w:val="0"/>
          <w:noProof/>
        </w:rPr>
        <w:t>9</w:t>
      </w:r>
      <w:r>
        <w:rPr>
          <w:b w:val="0"/>
        </w:rPr>
        <w:fldChar w:fldCharType="end"/>
      </w:r>
      <w:r>
        <w:tab/>
        <w:t xml:space="preserve">Indicative cost of smart meter roll out across the </w:t>
      </w:r>
      <w:proofErr w:type="spellStart"/>
      <w:r>
        <w:t>NEM</w:t>
      </w:r>
      <w:proofErr w:type="spellEnd"/>
    </w:p>
    <w:p w:rsidR="004458E6" w:rsidRPr="007560BF" w:rsidRDefault="006335ED" w:rsidP="00CE01B7">
      <w:pPr>
        <w:pStyle w:val="Subtitle"/>
        <w:spacing w:before="80" w:line="220" w:lineRule="exact"/>
        <w:ind w:left="1469"/>
        <w:rPr>
          <w:vertAlign w:val="superscript"/>
        </w:rPr>
      </w:pPr>
      <w:r>
        <w:t>Cumulative gross</w:t>
      </w:r>
      <w:r w:rsidR="004458E6" w:rsidRPr="000B769C">
        <w:t xml:space="preserve"> costs (discounted) based on highest and lowest cost </w:t>
      </w:r>
      <w:proofErr w:type="spellStart"/>
      <w:r w:rsidR="004458E6" w:rsidRPr="000B769C">
        <w:t>estimates</w:t>
      </w:r>
      <w:r w:rsidR="004458E6">
        <w:rPr>
          <w:sz w:val="24"/>
          <w:vertAlign w:val="superscript"/>
        </w:rPr>
        <w:t>a</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95991" w:rsidTr="009C47F3">
        <w:tc>
          <w:tcPr>
            <w:tcW w:w="8777" w:type="dxa"/>
          </w:tcPr>
          <w:p w:rsidR="00695991" w:rsidRDefault="00857A35" w:rsidP="00695991">
            <w:pPr>
              <w:pStyle w:val="Figure"/>
            </w:pPr>
            <w:r>
              <w:rPr>
                <w:noProof/>
              </w:rPr>
              <w:drawing>
                <wp:inline distT="0" distB="0" distL="0" distR="0" wp14:anchorId="674038A2">
                  <wp:extent cx="5395595" cy="2310765"/>
                  <wp:effectExtent l="0" t="0" r="0" b="0"/>
                  <wp:docPr id="24" name="Picture 24" descr="Indicative cost of smart meter roll out across the NEM. This figure shows the cumulative gross costs using the lowest and highest cost estimates over the 20 years since the start date of the roll out across the N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5595" cy="2310765"/>
                          </a:xfrm>
                          <a:prstGeom prst="rect">
                            <a:avLst/>
                          </a:prstGeom>
                          <a:noFill/>
                        </pic:spPr>
                      </pic:pic>
                    </a:graphicData>
                  </a:graphic>
                </wp:inline>
              </w:drawing>
            </w:r>
          </w:p>
        </w:tc>
      </w:tr>
    </w:tbl>
    <w:p w:rsidR="004458E6" w:rsidRDefault="004458E6" w:rsidP="004458E6">
      <w:pPr>
        <w:pStyle w:val="Note"/>
      </w:pPr>
      <w:proofErr w:type="spellStart"/>
      <w:r>
        <w:rPr>
          <w:rStyle w:val="NoteLabel"/>
        </w:rPr>
        <w:t>a</w:t>
      </w:r>
      <w:proofErr w:type="spellEnd"/>
      <w:r>
        <w:sym w:font="Symbol" w:char="F020"/>
      </w:r>
      <w:r>
        <w:t>The highest cost estimates are based on the Victorian roll out which includes the purchase and installation of smart meters, communication and billing systems and providing consumer access to their consumption data. It is unclear if it would include costs of communicating critical peak events to consumers.</w:t>
      </w:r>
    </w:p>
    <w:p w:rsidR="00695991" w:rsidRDefault="00695991" w:rsidP="00695991">
      <w:pPr>
        <w:pStyle w:val="Source"/>
      </w:pPr>
      <w:r>
        <w:rPr>
          <w:i/>
        </w:rPr>
        <w:t>Data source</w:t>
      </w:r>
      <w:r w:rsidRPr="00167F06">
        <w:t xml:space="preserve">: </w:t>
      </w:r>
      <w:r>
        <w:t>Indicative Commission estimates</w:t>
      </w:r>
    </w:p>
    <w:p w:rsidR="00695991" w:rsidRPr="004F77FB" w:rsidRDefault="00695991" w:rsidP="004F77FB">
      <w:pPr>
        <w:pStyle w:val="Heading3"/>
        <w:spacing w:before="360"/>
        <w:rPr>
          <w:b w:val="0"/>
          <w:i/>
        </w:rPr>
      </w:pPr>
      <w:r w:rsidRPr="004F77FB">
        <w:rPr>
          <w:b w:val="0"/>
          <w:i/>
        </w:rPr>
        <w:t>Smart meters would provide other benefits</w:t>
      </w:r>
    </w:p>
    <w:p w:rsidR="00695991" w:rsidRDefault="00695991" w:rsidP="00695991">
      <w:pPr>
        <w:pStyle w:val="BodyText"/>
      </w:pPr>
      <w:r>
        <w:t>A number of potential benefits from a smart meter roll out have been identified that are largely unrelated to demand management but can help to offset the cost. While the list of possible benefits is long, the clearest of these are</w:t>
      </w:r>
      <w:r w:rsidR="00DB51A8">
        <w:t>:</w:t>
      </w:r>
    </w:p>
    <w:p w:rsidR="00695991" w:rsidRDefault="00695991" w:rsidP="00695991">
      <w:pPr>
        <w:pStyle w:val="ListBullet"/>
      </w:pPr>
      <w:r>
        <w:t>accumulation meters and manual meter read</w:t>
      </w:r>
      <w:r w:rsidR="005A2781">
        <w:t>ing</w:t>
      </w:r>
      <w:r>
        <w:t xml:space="preserve"> should not be required</w:t>
      </w:r>
    </w:p>
    <w:p w:rsidR="00695991" w:rsidRDefault="00695991" w:rsidP="00695991">
      <w:pPr>
        <w:pStyle w:val="ListBullet"/>
      </w:pPr>
      <w:r>
        <w:t xml:space="preserve">connections, disconnections and special </w:t>
      </w:r>
      <w:r w:rsidR="005A2781">
        <w:t xml:space="preserve">meter </w:t>
      </w:r>
      <w:r>
        <w:t>read</w:t>
      </w:r>
      <w:r w:rsidR="005A2781">
        <w:t>ing</w:t>
      </w:r>
      <w:r>
        <w:t xml:space="preserve"> (such as when consumers dispute their bills) can be conducted remotely</w:t>
      </w:r>
    </w:p>
    <w:p w:rsidR="00695991" w:rsidRDefault="00695991" w:rsidP="00695991">
      <w:pPr>
        <w:pStyle w:val="ListBullet"/>
      </w:pPr>
      <w:r>
        <w:t>networks can be notified about outages almost immediately, allowing them to respond more rapidly.</w:t>
      </w:r>
    </w:p>
    <w:p w:rsidR="00695991" w:rsidRDefault="00695991" w:rsidP="00695991">
      <w:pPr>
        <w:pStyle w:val="BodyText"/>
      </w:pPr>
      <w:r>
        <w:t>Recent Australian studies provide varying estimates of such b</w:t>
      </w:r>
      <w:r w:rsidR="00350785">
        <w:t>enefits from smart meters (</w:t>
      </w:r>
      <w:proofErr w:type="spellStart"/>
      <w:r w:rsidR="00350785">
        <w:t>NERA</w:t>
      </w:r>
      <w:proofErr w:type="spellEnd"/>
      <w:r>
        <w:t xml:space="preserve"> </w:t>
      </w:r>
      <w:proofErr w:type="spellStart"/>
      <w:r>
        <w:t>2008</w:t>
      </w:r>
      <w:r w:rsidR="00350785">
        <w:t>b</w:t>
      </w:r>
      <w:proofErr w:type="spellEnd"/>
      <w:r w:rsidR="00350785">
        <w:t>; Oakley Greenwood</w:t>
      </w:r>
      <w:r>
        <w:t xml:space="preserve"> </w:t>
      </w:r>
      <w:proofErr w:type="spellStart"/>
      <w:r>
        <w:t>2010</w:t>
      </w:r>
      <w:r w:rsidR="00350785">
        <w:t>b</w:t>
      </w:r>
      <w:proofErr w:type="spellEnd"/>
      <w:r w:rsidR="00350785">
        <w:t xml:space="preserve">; </w:t>
      </w:r>
      <w:proofErr w:type="spellStart"/>
      <w:r w:rsidR="00350785">
        <w:t>Futura</w:t>
      </w:r>
      <w:proofErr w:type="spellEnd"/>
      <w:r w:rsidR="00350785">
        <w:t xml:space="preserve"> 2009; Deloitte</w:t>
      </w:r>
      <w:r>
        <w:t xml:space="preserve"> 2011). Using information from the most recent analysis of Victoria, the average benefit from each meter would be in the rang</w:t>
      </w:r>
      <w:r w:rsidR="007427BC">
        <w:t>e of $60-65 each year (Deloitte</w:t>
      </w:r>
      <w:r>
        <w:t xml:space="preserve"> 2011). This is a little higher than the comparable Australia-wide figure of $55 from </w:t>
      </w:r>
      <w:proofErr w:type="spellStart"/>
      <w:r>
        <w:t>CRA</w:t>
      </w:r>
      <w:proofErr w:type="spellEnd"/>
      <w:r>
        <w:t xml:space="preserve"> (</w:t>
      </w:r>
      <w:proofErr w:type="spellStart"/>
      <w:r>
        <w:t>2008</w:t>
      </w:r>
      <w:r w:rsidR="00350785">
        <w:t>a</w:t>
      </w:r>
      <w:proofErr w:type="spellEnd"/>
      <w:r>
        <w:t xml:space="preserve">). </w:t>
      </w:r>
    </w:p>
    <w:p w:rsidR="00695991" w:rsidRDefault="006E09A7" w:rsidP="00695991">
      <w:pPr>
        <w:pStyle w:val="BodyText"/>
      </w:pPr>
      <w:r>
        <w:t xml:space="preserve">These other benefits associated with </w:t>
      </w:r>
      <w:r w:rsidR="00695991">
        <w:t xml:space="preserve">the introduction of smart meters would increase the likelihood that demand management would pass a net benefit test. </w:t>
      </w:r>
    </w:p>
    <w:p w:rsidR="00695991" w:rsidRDefault="00695991" w:rsidP="00695991">
      <w:pPr>
        <w:pStyle w:val="Heading3"/>
      </w:pPr>
      <w:r>
        <w:lastRenderedPageBreak/>
        <w:t>The time path of demand management affects the outcome</w:t>
      </w:r>
    </w:p>
    <w:p w:rsidR="003C669A" w:rsidRDefault="00695991" w:rsidP="00695991">
      <w:pPr>
        <w:pStyle w:val="BodyText"/>
      </w:pPr>
      <w:r>
        <w:t xml:space="preserve">At present, most households face an electricity </w:t>
      </w:r>
      <w:r w:rsidR="00D62519">
        <w:t xml:space="preserve">network </w:t>
      </w:r>
      <w:r>
        <w:t>pricing structure that does not vary by time of day or season. As such, consumer acceptance of demand management approaches is likely to be greater if there is a gradual transi</w:t>
      </w:r>
      <w:r w:rsidR="003C669A">
        <w:t xml:space="preserve">tion to more targeted schemes, </w:t>
      </w:r>
      <w:r>
        <w:t>such as</w:t>
      </w:r>
      <w:r w:rsidR="003C669A">
        <w:t>:</w:t>
      </w:r>
      <w:r>
        <w:t xml:space="preserve"> </w:t>
      </w:r>
    </w:p>
    <w:p w:rsidR="003C669A" w:rsidRDefault="00913029" w:rsidP="003C669A">
      <w:pPr>
        <w:pStyle w:val="ListBullet"/>
      </w:pPr>
      <w:r>
        <w:t xml:space="preserve">starting with a </w:t>
      </w:r>
      <w:r w:rsidR="00695991">
        <w:t>tariff scheme</w:t>
      </w:r>
      <w:r w:rsidR="003C669A">
        <w:t xml:space="preserve"> that is not </w:t>
      </w:r>
      <w:r w:rsidR="00350785">
        <w:t>time-based</w:t>
      </w:r>
    </w:p>
    <w:p w:rsidR="003C669A" w:rsidRDefault="000B322A" w:rsidP="003C669A">
      <w:pPr>
        <w:pStyle w:val="ListBullet"/>
      </w:pPr>
      <w:r>
        <w:t>moving to</w:t>
      </w:r>
      <w:r w:rsidR="00695991">
        <w:t xml:space="preserve"> prices </w:t>
      </w:r>
      <w:r>
        <w:t>that vary by time of day</w:t>
      </w:r>
      <w:r w:rsidR="00913029">
        <w:t xml:space="preserve"> but which do not vary</w:t>
      </w:r>
      <w:r w:rsidR="003C669A">
        <w:t xml:space="preserve"> according to peak demand events</w:t>
      </w:r>
      <w:r w:rsidR="0065393D">
        <w:t xml:space="preserve"> (untargeted time of use </w:t>
      </w:r>
      <w:r w:rsidR="005335DF">
        <w:t>tariffs</w:t>
      </w:r>
      <w:r w:rsidR="0065393D">
        <w:t>)</w:t>
      </w:r>
    </w:p>
    <w:p w:rsidR="003C669A" w:rsidRDefault="003C669A" w:rsidP="003C669A">
      <w:pPr>
        <w:pStyle w:val="ListBullet"/>
      </w:pPr>
      <w:r>
        <w:t xml:space="preserve">finally, </w:t>
      </w:r>
      <w:r w:rsidR="00913029">
        <w:t>moving to full cost reflective pricing that includes pricing for peak demand times</w:t>
      </w:r>
      <w:r>
        <w:t>.</w:t>
      </w:r>
    </w:p>
    <w:p w:rsidR="00695991" w:rsidRPr="00913727" w:rsidRDefault="00695991" w:rsidP="00695991">
      <w:pPr>
        <w:pStyle w:val="BodyText"/>
        <w:rPr>
          <w:spacing w:val="-4"/>
        </w:rPr>
      </w:pPr>
      <w:r w:rsidRPr="00913727">
        <w:rPr>
          <w:spacing w:val="-4"/>
        </w:rPr>
        <w:t xml:space="preserve">The reduction in energy consumption at critical peak periods is likely to be very low under retail pricing schemes such as flat tariffs (with higher than current prices) or </w:t>
      </w:r>
      <w:r w:rsidR="00913029" w:rsidRPr="00913727">
        <w:rPr>
          <w:spacing w:val="-4"/>
        </w:rPr>
        <w:t xml:space="preserve">untargeted </w:t>
      </w:r>
      <w:proofErr w:type="spellStart"/>
      <w:r w:rsidR="007560BF" w:rsidRPr="00913727">
        <w:rPr>
          <w:spacing w:val="-4"/>
        </w:rPr>
        <w:t>TOU</w:t>
      </w:r>
      <w:proofErr w:type="spellEnd"/>
      <w:r w:rsidRPr="00913727">
        <w:rPr>
          <w:spacing w:val="-4"/>
        </w:rPr>
        <w:t xml:space="preserve"> charging. A </w:t>
      </w:r>
      <w:r w:rsidR="00913727">
        <w:rPr>
          <w:spacing w:val="-4"/>
        </w:rPr>
        <w:t>particularly slow</w:t>
      </w:r>
      <w:r w:rsidRPr="00913727">
        <w:rPr>
          <w:spacing w:val="-4"/>
        </w:rPr>
        <w:t xml:space="preserve"> transition to more targeted demand management tools is likely to </w:t>
      </w:r>
      <w:r w:rsidR="00913727">
        <w:rPr>
          <w:spacing w:val="-4"/>
        </w:rPr>
        <w:t>forego an otherwise larger</w:t>
      </w:r>
      <w:r w:rsidRPr="00913727">
        <w:rPr>
          <w:spacing w:val="-4"/>
        </w:rPr>
        <w:t xml:space="preserve"> reduction in energy consumption during critical peak periods</w:t>
      </w:r>
      <w:r w:rsidR="00913727">
        <w:rPr>
          <w:spacing w:val="-4"/>
        </w:rPr>
        <w:t>. O</w:t>
      </w:r>
      <w:r w:rsidRPr="00913727">
        <w:rPr>
          <w:spacing w:val="-4"/>
        </w:rPr>
        <w:t>ver t</w:t>
      </w:r>
      <w:r w:rsidR="00913727">
        <w:rPr>
          <w:spacing w:val="-4"/>
        </w:rPr>
        <w:t>he lifespan of the smart meter, this leads</w:t>
      </w:r>
      <w:r w:rsidRPr="00913727">
        <w:rPr>
          <w:spacing w:val="-4"/>
        </w:rPr>
        <w:t xml:space="preserve"> to a lower value of benefits </w:t>
      </w:r>
      <w:r w:rsidR="00913727">
        <w:rPr>
          <w:spacing w:val="-4"/>
        </w:rPr>
        <w:t xml:space="preserve">for consumers </w:t>
      </w:r>
      <w:r w:rsidRPr="00913727">
        <w:rPr>
          <w:spacing w:val="-4"/>
        </w:rPr>
        <w:t>(figure 9.</w:t>
      </w:r>
      <w:r w:rsidR="002A4BD9" w:rsidRPr="00913727">
        <w:rPr>
          <w:spacing w:val="-4"/>
        </w:rPr>
        <w:t>10</w:t>
      </w:r>
      <w:r w:rsidRPr="00913727">
        <w:rPr>
          <w:spacing w:val="-4"/>
        </w:rPr>
        <w:t>).</w:t>
      </w:r>
      <w:r w:rsidR="002A4BD9" w:rsidRPr="00913727">
        <w:rPr>
          <w:spacing w:val="-4"/>
        </w:rPr>
        <w:t xml:space="preserve"> </w:t>
      </w:r>
      <w:r w:rsidR="002A4BD9" w:rsidRPr="00913727">
        <w:t xml:space="preserve">Indeed, the Commission’s analysis suggests that if the transition to more robust forms of </w:t>
      </w:r>
      <w:r w:rsidR="00350785">
        <w:t>time-based</w:t>
      </w:r>
      <w:r w:rsidR="002A4BD9" w:rsidRPr="00913727">
        <w:t xml:space="preserve"> pricing is too slow, the case for rolling out smart meters in the medium term becomes commensurately </w:t>
      </w:r>
      <w:r w:rsidR="00F83936">
        <w:t>less advisable</w:t>
      </w:r>
      <w:r w:rsidR="002A4BD9" w:rsidRPr="00913727">
        <w:t>.</w:t>
      </w:r>
    </w:p>
    <w:p w:rsidR="00695991" w:rsidRDefault="00695991" w:rsidP="00695991">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r w:rsidR="000852D8">
        <w:rPr>
          <w:b w:val="0"/>
        </w:rPr>
        <w:t>9.</w:t>
      </w:r>
      <w:r>
        <w:rPr>
          <w:b w:val="0"/>
        </w:rPr>
        <w:fldChar w:fldCharType="end"/>
      </w:r>
      <w:r>
        <w:rPr>
          <w:b w:val="0"/>
        </w:rPr>
        <w:fldChar w:fldCharType="begin"/>
      </w:r>
      <w:r>
        <w:rPr>
          <w:b w:val="0"/>
        </w:rPr>
        <w:instrText xml:space="preserve"> SEQ Figure \* ARABIC </w:instrText>
      </w:r>
      <w:r>
        <w:rPr>
          <w:b w:val="0"/>
        </w:rPr>
        <w:fldChar w:fldCharType="separate"/>
      </w:r>
      <w:r w:rsidR="000852D8">
        <w:rPr>
          <w:b w:val="0"/>
          <w:noProof/>
        </w:rPr>
        <w:t>10</w:t>
      </w:r>
      <w:r>
        <w:rPr>
          <w:b w:val="0"/>
        </w:rPr>
        <w:fldChar w:fldCharType="end"/>
      </w:r>
      <w:r>
        <w:tab/>
        <w:t>Indicative benefits of demand management savings</w:t>
      </w:r>
    </w:p>
    <w:p w:rsidR="00695991" w:rsidRPr="000B769C" w:rsidRDefault="00695991" w:rsidP="000B769C">
      <w:pPr>
        <w:pStyle w:val="Subtitle"/>
      </w:pPr>
      <w:r w:rsidRPr="000B769C">
        <w:t xml:space="preserve">Cumulative value of deferral of network augmentation assuming </w:t>
      </w:r>
      <w:r w:rsidR="004458E6" w:rsidRPr="000B769C">
        <w:t xml:space="preserve">critical peak arrangements are introduced immediately, or if </w:t>
      </w:r>
      <w:r w:rsidR="0065393D" w:rsidRPr="000B769C">
        <w:t xml:space="preserve">untargeted </w:t>
      </w:r>
      <w:proofErr w:type="spellStart"/>
      <w:r w:rsidR="00CF781B" w:rsidRPr="000B769C">
        <w:t>TOU</w:t>
      </w:r>
      <w:proofErr w:type="spellEnd"/>
      <w:r w:rsidR="004458E6" w:rsidRPr="000B769C">
        <w:t xml:space="preserve"> is used for the first five years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95991" w:rsidTr="00913727">
        <w:trPr>
          <w:trHeight w:val="4255"/>
        </w:trPr>
        <w:tc>
          <w:tcPr>
            <w:tcW w:w="8777" w:type="dxa"/>
          </w:tcPr>
          <w:p w:rsidR="00695991" w:rsidRDefault="00857A35" w:rsidP="00695991">
            <w:pPr>
              <w:pStyle w:val="Figure"/>
            </w:pPr>
            <w:r>
              <w:rPr>
                <w:noProof/>
              </w:rPr>
              <w:drawing>
                <wp:inline distT="0" distB="0" distL="0" distR="0" wp14:anchorId="67695A82">
                  <wp:extent cx="5401310" cy="2658110"/>
                  <wp:effectExtent l="0" t="0" r="8890" b="8890"/>
                  <wp:docPr id="25" name="Picture 25" descr="Indicative benefits of demand management savings. This figure shows the value of deferral of network augmentation using critical peak and time of use then critical peak in the 20 years since the start date of the roll out across the N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1310" cy="2658110"/>
                          </a:xfrm>
                          <a:prstGeom prst="rect">
                            <a:avLst/>
                          </a:prstGeom>
                          <a:noFill/>
                        </pic:spPr>
                      </pic:pic>
                    </a:graphicData>
                  </a:graphic>
                </wp:inline>
              </w:drawing>
            </w:r>
          </w:p>
        </w:tc>
      </w:tr>
    </w:tbl>
    <w:p w:rsidR="00695991" w:rsidRDefault="00695991" w:rsidP="00695991">
      <w:pPr>
        <w:pStyle w:val="Source"/>
      </w:pPr>
      <w:r>
        <w:rPr>
          <w:i/>
        </w:rPr>
        <w:t>Data source</w:t>
      </w:r>
      <w:r w:rsidRPr="00167F06">
        <w:t xml:space="preserve">: </w:t>
      </w:r>
      <w:r>
        <w:t>Indicative Commission estimates</w:t>
      </w:r>
    </w:p>
    <w:p w:rsidR="00695991" w:rsidRDefault="00695991" w:rsidP="00695991">
      <w:pPr>
        <w:pStyle w:val="Heading3"/>
      </w:pPr>
      <w:r>
        <w:lastRenderedPageBreak/>
        <w:t>Summing up</w:t>
      </w:r>
    </w:p>
    <w:p w:rsidR="00695991" w:rsidRDefault="00695991" w:rsidP="00695991">
      <w:pPr>
        <w:pStyle w:val="BodyText"/>
      </w:pPr>
      <w:r>
        <w:t xml:space="preserve">The Commission’s analysis suggests that demand management </w:t>
      </w:r>
      <w:r w:rsidR="004207B5">
        <w:t xml:space="preserve">has the potential of delivering </w:t>
      </w:r>
      <w:r>
        <w:t xml:space="preserve">significant benefits, but that the magnitude of the </w:t>
      </w:r>
      <w:r w:rsidR="004207B5">
        <w:t xml:space="preserve">net </w:t>
      </w:r>
      <w:r>
        <w:t>benefits attainable in practice depends on the particular initiative</w:t>
      </w:r>
      <w:r w:rsidR="00CF002E">
        <w:t>s</w:t>
      </w:r>
      <w:r>
        <w:t xml:space="preserve"> adopted and the way in which implementation occurs.</w:t>
      </w:r>
    </w:p>
    <w:p w:rsidR="00695991" w:rsidRDefault="00695991" w:rsidP="00695991">
      <w:pPr>
        <w:pStyle w:val="BodyText"/>
      </w:pPr>
      <w:r>
        <w:t xml:space="preserve">Inevitably, there remains uncertainty about the precise magnitude of some of the costs </w:t>
      </w:r>
      <w:r w:rsidR="004207B5">
        <w:t xml:space="preserve">and </w:t>
      </w:r>
      <w:r>
        <w:t>benefits, for example in relation to smart meters</w:t>
      </w:r>
      <w:r w:rsidR="004207B5">
        <w:t xml:space="preserve"> (and all the associated costs of their full implementation)</w:t>
      </w:r>
      <w:r>
        <w:t>, which are critical for effective demand management. Most of the available evidence suggests that the costs in the Victorian rollout were higher than anticipated</w:t>
      </w:r>
      <w:r w:rsidR="004207B5">
        <w:t>, and their effective use has not yet really begun</w:t>
      </w:r>
      <w:r>
        <w:t xml:space="preserve">. </w:t>
      </w:r>
      <w:r w:rsidR="000B769C">
        <w:t xml:space="preserve">Nevertheless, the capital costs of smart meters will fall over time, making demand management schemes progressively more viable. </w:t>
      </w:r>
      <w:r w:rsidR="004207B5">
        <w:t xml:space="preserve">The </w:t>
      </w:r>
      <w:r>
        <w:t xml:space="preserve">benefits from deferring network expansion </w:t>
      </w:r>
      <w:r w:rsidR="004207B5">
        <w:t xml:space="preserve">will be </w:t>
      </w:r>
      <w:r>
        <w:t xml:space="preserve">pivotal in determining the viability of rolling out </w:t>
      </w:r>
      <w:r w:rsidR="000B769C">
        <w:t xml:space="preserve">many </w:t>
      </w:r>
      <w:r>
        <w:t xml:space="preserve">demand management schemes. </w:t>
      </w:r>
    </w:p>
    <w:p w:rsidR="00695991" w:rsidRDefault="003C669A" w:rsidP="00695991">
      <w:pPr>
        <w:pStyle w:val="BodyText"/>
      </w:pPr>
      <w:r>
        <w:t xml:space="preserve">Ultimately, realising the potential benefits of demand management relies on a </w:t>
      </w:r>
      <w:r w:rsidR="00CF781B">
        <w:t xml:space="preserve">sufficient number </w:t>
      </w:r>
      <w:r>
        <w:t xml:space="preserve">of electricity users </w:t>
      </w:r>
      <w:r w:rsidR="00CF781B">
        <w:t>choosing to respond to price signals and adapt their consumption habits</w:t>
      </w:r>
      <w:r>
        <w:t xml:space="preserve">. Accordingly, it is </w:t>
      </w:r>
      <w:r w:rsidR="00CF781B">
        <w:t>essential</w:t>
      </w:r>
      <w:r>
        <w:t xml:space="preserve"> that </w:t>
      </w:r>
      <w:r w:rsidR="00CF781B">
        <w:t xml:space="preserve">consumers are appropriately supported in adjusting to new pricing approaches, especially to avoid </w:t>
      </w:r>
      <w:r w:rsidR="00BE2839">
        <w:t>a prolonged transition that would</w:t>
      </w:r>
      <w:r w:rsidR="00CF781B">
        <w:t xml:space="preserve"> forego the potential for much larger efficiency benefits over the longer term. </w:t>
      </w:r>
    </w:p>
    <w:p w:rsidR="002C2041" w:rsidRDefault="002C2041">
      <w:pPr>
        <w:rPr>
          <w:rFonts w:ascii="Times New Roman" w:hAnsi="Times New Roman"/>
          <w:sz w:val="26"/>
          <w:szCs w:val="20"/>
          <w:lang w:eastAsia="en-AU"/>
        </w:rPr>
      </w:pPr>
      <w:r>
        <w:br w:type="page"/>
      </w:r>
    </w:p>
    <w:p w:rsidR="002C2041" w:rsidRPr="00695991" w:rsidRDefault="002C2041" w:rsidP="00695991">
      <w:pPr>
        <w:pStyle w:val="BodyText"/>
      </w:pPr>
      <w:bookmarkStart w:id="4" w:name="_GoBack"/>
      <w:bookmarkEnd w:id="4"/>
    </w:p>
    <w:sectPr w:rsidR="002C2041" w:rsidRPr="00695991" w:rsidSect="002C2041">
      <w:headerReference w:type="even" r:id="rId22"/>
      <w:headerReference w:type="default" r:id="rId23"/>
      <w:footerReference w:type="even" r:id="rId24"/>
      <w:footerReference w:type="default" r:id="rId25"/>
      <w:pgSz w:w="11907" w:h="16840" w:code="9"/>
      <w:pgMar w:top="1985" w:right="1304" w:bottom="1418" w:left="1814" w:header="1701" w:footer="567" w:gutter="0"/>
      <w:pgNumType w:start="30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1B7" w:rsidRDefault="003851B7">
      <w:r>
        <w:separator/>
      </w:r>
    </w:p>
  </w:endnote>
  <w:endnote w:type="continuationSeparator" w:id="0">
    <w:p w:rsidR="003851B7" w:rsidRDefault="00385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elvetica 45 Light">
    <w:altName w:val="Cambria"/>
    <w:panose1 w:val="00000000000000000000"/>
    <w:charset w:val="4D"/>
    <w:family w:val="roman"/>
    <w:notTrueType/>
    <w:pitch w:val="default"/>
    <w:sig w:usb0="00000003" w:usb1="00000000" w:usb2="00000000" w:usb3="00000000" w:csb0="00000001" w:csb1="00000000"/>
  </w:font>
  <w:font w:name="CorpidC1-Light">
    <w:altName w:val="Arial Unicode MS"/>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520"/>
    </w:tblGrid>
    <w:tr w:rsidR="003851B7" w:rsidTr="00B40F20">
      <w:trPr>
        <w:trHeight w:hRule="exact" w:val="740"/>
      </w:trPr>
      <w:tc>
        <w:tcPr>
          <w:tcW w:w="510" w:type="dxa"/>
          <w:tcBorders>
            <w:top w:val="single" w:sz="6" w:space="0" w:color="auto"/>
          </w:tcBorders>
        </w:tcPr>
        <w:p w:rsidR="003851B7" w:rsidRDefault="003851B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57A35">
            <w:rPr>
              <w:rStyle w:val="PageNumber"/>
              <w:noProof/>
            </w:rPr>
            <w:t>340</w:t>
          </w:r>
          <w:r>
            <w:rPr>
              <w:rStyle w:val="PageNumber"/>
            </w:rPr>
            <w:fldChar w:fldCharType="end"/>
          </w:r>
        </w:p>
      </w:tc>
      <w:tc>
        <w:tcPr>
          <w:tcW w:w="1758" w:type="dxa"/>
          <w:tcBorders>
            <w:top w:val="single" w:sz="6" w:space="0" w:color="auto"/>
          </w:tcBorders>
        </w:tcPr>
        <w:p w:rsidR="003851B7" w:rsidRDefault="000E20B8" w:rsidP="00FC338C">
          <w:pPr>
            <w:pStyle w:val="Footer"/>
          </w:pPr>
          <w:fldSimple w:instr=" SUBJECT  \* MERGEFORMAT ">
            <w:r w:rsidR="003851B7">
              <w:t>Electricity Network Regulation</w:t>
            </w:r>
          </w:fldSimple>
        </w:p>
      </w:tc>
      <w:tc>
        <w:tcPr>
          <w:tcW w:w="6520" w:type="dxa"/>
        </w:tcPr>
        <w:p w:rsidR="003851B7" w:rsidRPr="00F106CC" w:rsidRDefault="003851B7" w:rsidP="006C300D">
          <w:pPr>
            <w:pStyle w:val="Footer"/>
            <w:jc w:val="right"/>
            <w:rPr>
              <w:sz w:val="20"/>
            </w:rPr>
          </w:pPr>
          <w:r>
            <w:rPr>
              <w:color w:val="FF00FF"/>
            </w:rPr>
            <w:br/>
          </w:r>
          <w:r>
            <w:rPr>
              <w:color w:val="FF00FF"/>
            </w:rPr>
            <w:br/>
          </w:r>
        </w:p>
      </w:tc>
    </w:tr>
  </w:tbl>
  <w:p w:rsidR="003851B7" w:rsidRDefault="003851B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851B7">
      <w:trPr>
        <w:trHeight w:hRule="exact" w:val="740"/>
      </w:trPr>
      <w:tc>
        <w:tcPr>
          <w:tcW w:w="6634" w:type="dxa"/>
        </w:tcPr>
        <w:p w:rsidR="003851B7" w:rsidRPr="00F106CC" w:rsidRDefault="003851B7" w:rsidP="006C300D">
          <w:pPr>
            <w:pStyle w:val="Footer"/>
            <w:ind w:right="360" w:firstLine="360"/>
            <w:rPr>
              <w:sz w:val="20"/>
            </w:rPr>
          </w:pPr>
          <w:r>
            <w:rPr>
              <w:color w:val="FF00FF"/>
            </w:rPr>
            <w:br/>
          </w:r>
          <w:r>
            <w:rPr>
              <w:color w:val="FF00FF"/>
            </w:rPr>
            <w:br/>
          </w:r>
        </w:p>
      </w:tc>
      <w:tc>
        <w:tcPr>
          <w:tcW w:w="1644" w:type="dxa"/>
          <w:tcBorders>
            <w:top w:val="single" w:sz="6" w:space="0" w:color="auto"/>
          </w:tcBorders>
        </w:tcPr>
        <w:p w:rsidR="003851B7" w:rsidRDefault="000E20B8">
          <w:pPr>
            <w:pStyle w:val="Footer"/>
          </w:pPr>
          <w:fldSimple w:instr=" TITLE  \* MERGEFORMAT ">
            <w:r w:rsidR="003851B7">
              <w:t>Peak demand &amp; Demand management</w:t>
            </w:r>
          </w:fldSimple>
        </w:p>
      </w:tc>
      <w:tc>
        <w:tcPr>
          <w:tcW w:w="510" w:type="dxa"/>
          <w:tcBorders>
            <w:top w:val="single" w:sz="6" w:space="0" w:color="auto"/>
          </w:tcBorders>
        </w:tcPr>
        <w:p w:rsidR="003851B7" w:rsidRDefault="003851B7">
          <w:pPr>
            <w:pStyle w:val="Footer"/>
            <w:jc w:val="right"/>
          </w:pPr>
          <w:r>
            <w:rPr>
              <w:rStyle w:val="PageNumber"/>
            </w:rPr>
            <w:fldChar w:fldCharType="begin"/>
          </w:r>
          <w:r>
            <w:rPr>
              <w:rStyle w:val="PageNumber"/>
            </w:rPr>
            <w:instrText xml:space="preserve">PAGE  </w:instrText>
          </w:r>
          <w:r>
            <w:rPr>
              <w:rStyle w:val="PageNumber"/>
            </w:rPr>
            <w:fldChar w:fldCharType="separate"/>
          </w:r>
          <w:r w:rsidR="00857A35">
            <w:rPr>
              <w:rStyle w:val="PageNumber"/>
              <w:noProof/>
            </w:rPr>
            <w:t>339</w:t>
          </w:r>
          <w:r>
            <w:rPr>
              <w:rStyle w:val="PageNumber"/>
            </w:rPr>
            <w:fldChar w:fldCharType="end"/>
          </w:r>
        </w:p>
      </w:tc>
    </w:tr>
  </w:tbl>
  <w:p w:rsidR="003851B7" w:rsidRDefault="003851B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1B7" w:rsidRDefault="003851B7">
      <w:r>
        <w:separator/>
      </w:r>
    </w:p>
  </w:footnote>
  <w:footnote w:type="continuationSeparator" w:id="0">
    <w:p w:rsidR="003851B7" w:rsidRDefault="003851B7">
      <w:r>
        <w:continuationSeparator/>
      </w:r>
    </w:p>
  </w:footnote>
  <w:footnote w:id="1">
    <w:p w:rsidR="003851B7" w:rsidRDefault="003851B7" w:rsidP="00A031EB">
      <w:pPr>
        <w:pStyle w:val="FootnoteText"/>
      </w:pPr>
      <w:r>
        <w:rPr>
          <w:rStyle w:val="FootnoteReference"/>
        </w:rPr>
        <w:footnoteRef/>
      </w:r>
      <w:r>
        <w:t xml:space="preserve"> </w:t>
      </w:r>
      <w:r>
        <w:tab/>
        <w:t xml:space="preserve">The most common way of quantifying the magnitude of peak demand is to compare the </w:t>
      </w:r>
      <w:r w:rsidRPr="00862287">
        <w:rPr>
          <w:spacing w:val="-2"/>
        </w:rPr>
        <w:t>maximum quantity of electricity consumed to the average quantity consumed. This measure allows the comparison of peak consumption in different regions and over time. However, to implement effective measures to address peak demand, it is also necessary to have a time dimension. From a consumer’s point of view, they need to know that reducing electricity consumption in a given number of hours per year should slow the growth in future network prices. (In practice, network operators have started to put in place a number of demand management schemes — at this stage, mainly confined to business users — based around ‘critical peak events’.) These critical peak events typically occur for around 40 to 80 hours per year.</w:t>
      </w:r>
    </w:p>
  </w:footnote>
  <w:footnote w:id="2">
    <w:p w:rsidR="003851B7" w:rsidRDefault="003851B7">
      <w:pPr>
        <w:pStyle w:val="FootnoteText"/>
      </w:pPr>
      <w:r>
        <w:rPr>
          <w:rStyle w:val="FootnoteReference"/>
        </w:rPr>
        <w:footnoteRef/>
      </w:r>
      <w:r>
        <w:tab/>
      </w:r>
      <w:r w:rsidRPr="00452A07">
        <w:rPr>
          <w:spacing w:val="-4"/>
        </w:rPr>
        <w:t>With hedging arrangements or contracts with generators, even these pricing signals may be muted</w:t>
      </w:r>
      <w:r>
        <w:t>.</w:t>
      </w:r>
    </w:p>
  </w:footnote>
  <w:footnote w:id="3">
    <w:p w:rsidR="003851B7" w:rsidRDefault="003851B7" w:rsidP="00DB7A61">
      <w:pPr>
        <w:pStyle w:val="FootnoteText"/>
      </w:pPr>
      <w:r>
        <w:rPr>
          <w:rStyle w:val="FootnoteReference"/>
        </w:rPr>
        <w:footnoteRef/>
      </w:r>
      <w:r>
        <w:t xml:space="preserve"> </w:t>
      </w:r>
      <w:r>
        <w:tab/>
        <w:t>For example, with some network configurations, it may be possible to shift loads between adjacent substation areas, so that congestion at one substation can be relieved by transferring load to an unconstrained substation.</w:t>
      </w:r>
    </w:p>
  </w:footnote>
  <w:footnote w:id="4">
    <w:p w:rsidR="003851B7" w:rsidRDefault="003851B7">
      <w:pPr>
        <w:pStyle w:val="FootnoteText"/>
      </w:pPr>
      <w:r>
        <w:rPr>
          <w:rStyle w:val="FootnoteReference"/>
        </w:rPr>
        <w:footnoteRef/>
      </w:r>
      <w:r>
        <w:tab/>
      </w:r>
      <w:r w:rsidRPr="00EC5AFD">
        <w:rPr>
          <w:spacing w:val="-2"/>
        </w:rPr>
        <w:t>Smart meters can allow both distribution businesses and retailers to implement demand management, addressing network and wholesale peaks respectively.</w:t>
      </w:r>
    </w:p>
  </w:footnote>
  <w:footnote w:id="5">
    <w:p w:rsidR="003851B7" w:rsidRDefault="003851B7" w:rsidP="00D523E9">
      <w:pPr>
        <w:pStyle w:val="FootnoteText"/>
      </w:pPr>
      <w:r>
        <w:rPr>
          <w:rStyle w:val="FootnoteReference"/>
        </w:rPr>
        <w:footnoteRef/>
      </w:r>
      <w:r>
        <w:t xml:space="preserve"> </w:t>
      </w:r>
      <w:r>
        <w:tab/>
        <w:t xml:space="preserve">A large investment (reflecting economies of scale) will have a high annual deferral value. </w:t>
      </w:r>
    </w:p>
  </w:footnote>
  <w:footnote w:id="6">
    <w:p w:rsidR="003851B7" w:rsidRPr="001943B4" w:rsidRDefault="003851B7">
      <w:pPr>
        <w:pStyle w:val="FootnoteText"/>
      </w:pPr>
      <w:r>
        <w:rPr>
          <w:rStyle w:val="FootnoteReference"/>
        </w:rPr>
        <w:footnoteRef/>
      </w:r>
      <w:r>
        <w:t xml:space="preserve"> </w:t>
      </w:r>
      <w:r>
        <w:tab/>
      </w:r>
      <w:r w:rsidRPr="001943B4">
        <w:t xml:space="preserve">An exception is when the security of the </w:t>
      </w:r>
      <w:proofErr w:type="spellStart"/>
      <w:r w:rsidRPr="001943B4">
        <w:t>NEM</w:t>
      </w:r>
      <w:proofErr w:type="spellEnd"/>
      <w:r w:rsidRPr="001943B4">
        <w:t xml:space="preserve"> is under threat due to an imbalance between available supply capacity and demand at any instant, which can call for shedding of a threshold volume of load to prevent system failure.</w:t>
      </w:r>
    </w:p>
  </w:footnote>
  <w:footnote w:id="7">
    <w:p w:rsidR="003851B7" w:rsidRDefault="003851B7" w:rsidP="00DC1893">
      <w:pPr>
        <w:pStyle w:val="FootnoteText"/>
      </w:pPr>
      <w:r>
        <w:rPr>
          <w:rStyle w:val="FootnoteReference"/>
        </w:rPr>
        <w:footnoteRef/>
      </w:r>
      <w:r>
        <w:t xml:space="preserve"> </w:t>
      </w:r>
      <w:r>
        <w:tab/>
      </w:r>
      <w:r w:rsidRPr="009B28AC">
        <w:rPr>
          <w:spacing w:val="-6"/>
        </w:rPr>
        <w:t xml:space="preserve">The ratio of average to peak electricity consumption, or </w:t>
      </w:r>
      <w:r>
        <w:rPr>
          <w:spacing w:val="-6"/>
        </w:rPr>
        <w:t xml:space="preserve">the </w:t>
      </w:r>
      <w:r w:rsidRPr="009B28AC">
        <w:rPr>
          <w:spacing w:val="-6"/>
        </w:rPr>
        <w:t>‘peakiness’ of consumption</w:t>
      </w:r>
    </w:p>
  </w:footnote>
  <w:footnote w:id="8">
    <w:p w:rsidR="003851B7" w:rsidRPr="005B0880" w:rsidRDefault="003851B7" w:rsidP="00DD1B93">
      <w:pPr>
        <w:pStyle w:val="FootnoteText"/>
        <w:rPr>
          <w:lang w:val="en-US"/>
        </w:rPr>
      </w:pPr>
      <w:r>
        <w:rPr>
          <w:rStyle w:val="FootnoteReference"/>
        </w:rPr>
        <w:footnoteRef/>
      </w:r>
      <w:r>
        <w:t xml:space="preserve"> </w:t>
      </w:r>
      <w:r>
        <w:tab/>
        <w:t>The particular effect of rising income on the rate of peak demand growth is described as a paradox, since the associated increases in electricity costs may actually cause ‘fuel poverty’ (</w:t>
      </w:r>
      <w:proofErr w:type="spellStart"/>
      <w:r>
        <w:t>Simshauser</w:t>
      </w:r>
      <w:proofErr w:type="spellEnd"/>
      <w:r>
        <w:t xml:space="preserve"> and Nelson 2012).</w:t>
      </w:r>
    </w:p>
  </w:footnote>
  <w:footnote w:id="9">
    <w:p w:rsidR="003851B7" w:rsidRDefault="003851B7" w:rsidP="00003BE4">
      <w:pPr>
        <w:pStyle w:val="FootnoteText"/>
      </w:pPr>
      <w:r>
        <w:rPr>
          <w:rStyle w:val="FootnoteReference"/>
        </w:rPr>
        <w:footnoteRef/>
      </w:r>
      <w:r>
        <w:t xml:space="preserve"> </w:t>
      </w:r>
      <w:r w:rsidRPr="00AE695B">
        <w:rPr>
          <w:spacing w:val="-4"/>
        </w:rPr>
        <w:t>In this chapter, ‘time of use’ charging schemes, refer to where consumers are charged a higher price for electricity consumed for fixed periods every week day — not just during peak demand periods.</w:t>
      </w:r>
      <w:r>
        <w:t xml:space="preserve"> </w:t>
      </w:r>
    </w:p>
  </w:footnote>
  <w:footnote w:id="10">
    <w:p w:rsidR="003851B7" w:rsidRPr="0024485C" w:rsidRDefault="003851B7" w:rsidP="005356DF">
      <w:pPr>
        <w:pStyle w:val="FootnoteText"/>
      </w:pPr>
      <w:r>
        <w:rPr>
          <w:rStyle w:val="FootnoteReference"/>
        </w:rPr>
        <w:footnoteRef/>
      </w:r>
      <w:r>
        <w:t xml:space="preserve"> </w:t>
      </w:r>
      <w:r>
        <w:tab/>
      </w:r>
      <w:r>
        <w:rPr>
          <w:spacing w:val="-4"/>
        </w:rPr>
        <w:t>The new houses</w:t>
      </w:r>
      <w:r w:rsidRPr="002F347F">
        <w:rPr>
          <w:spacing w:val="-4"/>
        </w:rPr>
        <w:t xml:space="preserve"> in 2005 had double the floor space of an average home in 1986 (</w:t>
      </w:r>
      <w:proofErr w:type="spellStart"/>
      <w:r w:rsidRPr="002F347F">
        <w:rPr>
          <w:spacing w:val="-4"/>
        </w:rPr>
        <w:t>DEWHA</w:t>
      </w:r>
      <w:proofErr w:type="spellEnd"/>
      <w:r w:rsidRPr="002F347F">
        <w:rPr>
          <w:spacing w:val="-4"/>
        </w:rPr>
        <w:t> 2008).</w:t>
      </w:r>
    </w:p>
  </w:footnote>
  <w:footnote w:id="11">
    <w:p w:rsidR="003851B7" w:rsidRPr="00C8757E" w:rsidRDefault="003851B7" w:rsidP="001316B2">
      <w:pPr>
        <w:pStyle w:val="FootnoteText"/>
      </w:pPr>
      <w:r>
        <w:rPr>
          <w:rStyle w:val="FootnoteReference"/>
        </w:rPr>
        <w:footnoteRef/>
      </w:r>
      <w:r>
        <w:t xml:space="preserve"> </w:t>
      </w:r>
      <w:r>
        <w:tab/>
      </w:r>
      <w:r w:rsidRPr="002F347F">
        <w:rPr>
          <w:spacing w:val="-6"/>
        </w:rPr>
        <w:t>There is no comprehensive data on the vintage of the current stock of air-conditioners but, based on survey samples, the average age may be around 6 years (Galaxy research 2012). The type of appliance is also relevant. Most households operate split-system (non-ducted) reverse cycle types,</w:t>
      </w:r>
      <w:r w:rsidRPr="002F347F">
        <w:rPr>
          <w:spacing w:val="-4"/>
        </w:rPr>
        <w:t xml:space="preserve"> with</w:t>
      </w:r>
      <w:r w:rsidRPr="002F347F">
        <w:rPr>
          <w:rStyle w:val="FootnoteTextChar"/>
          <w:spacing w:val="-4"/>
        </w:rPr>
        <w:t xml:space="preserve"> a low energy efficiency (Sustainability Victoria 2010). Only 20 per cent of new air-conditioning sales are more energy efficient evaporative systems, although these are not suited to all climates.</w:t>
      </w:r>
      <w:r w:rsidRPr="00B4203A">
        <w:t xml:space="preserve"> </w:t>
      </w:r>
    </w:p>
  </w:footnote>
  <w:footnote w:id="12">
    <w:p w:rsidR="003851B7" w:rsidRDefault="003851B7" w:rsidP="00B37FEB">
      <w:pPr>
        <w:pStyle w:val="FootnoteText"/>
      </w:pPr>
      <w:r>
        <w:rPr>
          <w:rStyle w:val="FootnoteReference"/>
        </w:rPr>
        <w:footnoteRef/>
      </w:r>
      <w:r>
        <w:tab/>
      </w:r>
      <w:r w:rsidRPr="002F347F">
        <w:rPr>
          <w:spacing w:val="-6"/>
        </w:rPr>
        <w:t xml:space="preserve">The $7000 cost is derived from </w:t>
      </w:r>
      <w:proofErr w:type="spellStart"/>
      <w:r w:rsidRPr="002F347F">
        <w:rPr>
          <w:spacing w:val="-6"/>
        </w:rPr>
        <w:t>Energex</w:t>
      </w:r>
      <w:proofErr w:type="spellEnd"/>
      <w:r w:rsidRPr="002F347F">
        <w:rPr>
          <w:spacing w:val="-6"/>
        </w:rPr>
        <w:t xml:space="preserve"> estimates in the Queensland Energy Management Plan (2011, p. 4) and includes $4000 in distribution, $1400 in transmission, and $1600 in generation costs.</w:t>
      </w:r>
    </w:p>
  </w:footnote>
  <w:footnote w:id="13">
    <w:p w:rsidR="003851B7" w:rsidRDefault="003851B7" w:rsidP="004673AE">
      <w:pPr>
        <w:pStyle w:val="FootnoteText"/>
      </w:pPr>
      <w:r>
        <w:rPr>
          <w:rStyle w:val="FootnoteReference"/>
        </w:rPr>
        <w:footnoteRef/>
      </w:r>
      <w:r>
        <w:tab/>
      </w:r>
      <w:r w:rsidRPr="002F347F">
        <w:rPr>
          <w:spacing w:val="-4"/>
        </w:rPr>
        <w:t>The literature does not adopt a consistent nomenclature. For the purposes of this chapter, demand side management is used interchangeably with demand response, but generally excludes energy efficiency and energy conservation programs (that tend not to be ‘peak’ focused).</w:t>
      </w:r>
      <w:r>
        <w:t xml:space="preserve"> </w:t>
      </w:r>
    </w:p>
  </w:footnote>
  <w:footnote w:id="14">
    <w:p w:rsidR="003851B7" w:rsidRPr="00990672" w:rsidRDefault="003851B7" w:rsidP="00257D5D">
      <w:pPr>
        <w:pStyle w:val="FootnoteText"/>
        <w:rPr>
          <w:lang w:val="en-US"/>
        </w:rPr>
      </w:pPr>
      <w:r>
        <w:rPr>
          <w:rStyle w:val="FootnoteReference"/>
        </w:rPr>
        <w:footnoteRef/>
      </w:r>
      <w:r>
        <w:tab/>
      </w:r>
      <w:r w:rsidRPr="00990672">
        <w:rPr>
          <w:rStyle w:val="FootnoteTextChar"/>
        </w:rPr>
        <w:t>Stemming the rate of peak demand growth can delay the timing of a network augmentation (increase in capacity). Further, for some less ‘lumpy’ assets (where scale economies are a less significant driver of costs), a lower rate of peak demand growth can also red</w:t>
      </w:r>
      <w:r>
        <w:rPr>
          <w:rStyle w:val="FootnoteTextChar"/>
        </w:rPr>
        <w:t xml:space="preserve">uce the size of the investment, particularly in </w:t>
      </w:r>
      <w:r w:rsidRPr="00990672">
        <w:rPr>
          <w:rStyle w:val="FootnoteTextChar"/>
        </w:rPr>
        <w:t>less dense</w:t>
      </w:r>
      <w:r>
        <w:rPr>
          <w:rStyle w:val="FootnoteTextChar"/>
        </w:rPr>
        <w:t>ly populated</w:t>
      </w:r>
      <w:r w:rsidRPr="00990672">
        <w:rPr>
          <w:rStyle w:val="FootnoteTextChar"/>
        </w:rPr>
        <w:t xml:space="preserve"> rural and remote areas.</w:t>
      </w:r>
    </w:p>
  </w:footnote>
  <w:footnote w:id="15">
    <w:p w:rsidR="003851B7" w:rsidRDefault="003851B7">
      <w:pPr>
        <w:pStyle w:val="FootnoteText"/>
      </w:pPr>
      <w:r>
        <w:rPr>
          <w:rStyle w:val="FootnoteReference"/>
        </w:rPr>
        <w:footnoteRef/>
      </w:r>
      <w:r>
        <w:tab/>
      </w:r>
      <w:r w:rsidRPr="003A474C">
        <w:rPr>
          <w:spacing w:val="-4"/>
        </w:rPr>
        <w:t>The extent of many of the other benefits listed is uncertain and would be difficult to quantify with precision. Further, some would be secondary to the thrust of policy and regulatory changes covered in this report. For example, demand management measures targeting network peaks could incidentally impr</w:t>
      </w:r>
      <w:r>
        <w:rPr>
          <w:spacing w:val="-4"/>
        </w:rPr>
        <w:t>ove generation market outcomes.</w:t>
      </w:r>
    </w:p>
  </w:footnote>
  <w:footnote w:id="16">
    <w:p w:rsidR="003851B7" w:rsidRDefault="003851B7">
      <w:pPr>
        <w:pStyle w:val="FootnoteText"/>
      </w:pPr>
      <w:r>
        <w:rPr>
          <w:rStyle w:val="FootnoteReference"/>
        </w:rPr>
        <w:footnoteRef/>
      </w:r>
      <w:r>
        <w:t xml:space="preserve"> </w:t>
      </w:r>
      <w:r>
        <w:rPr>
          <w:spacing w:val="-2"/>
        </w:rPr>
        <w:t>For the purpose of reducing peak consumption, the cost of implementing energy efficiency options will typically outweigh the network savings.</w:t>
      </w:r>
      <w:r w:rsidRPr="009C3DB5">
        <w:rPr>
          <w:spacing w:val="-2"/>
        </w:rPr>
        <w:t xml:space="preserve"> </w:t>
      </w:r>
      <w:r>
        <w:rPr>
          <w:spacing w:val="-2"/>
        </w:rPr>
        <w:t>Nevertheless, some energy efficiency measures can assist consumers to shift the timing of their electricity use — for example, the insulation of dwellings can allow cool air to be ‘stored’ prior to a peak period of consumption.</w:t>
      </w:r>
    </w:p>
  </w:footnote>
  <w:footnote w:id="17">
    <w:p w:rsidR="003851B7" w:rsidRDefault="003851B7">
      <w:pPr>
        <w:pStyle w:val="FootnoteText"/>
      </w:pPr>
      <w:r>
        <w:rPr>
          <w:rStyle w:val="FootnoteReference"/>
        </w:rPr>
        <w:footnoteRef/>
      </w:r>
      <w:r>
        <w:t xml:space="preserve"> The price responsiveness of commercial and industrial use varies widely, largely driven by production characteristics of the business and the contribution of electricity to business costs. </w:t>
      </w:r>
    </w:p>
  </w:footnote>
  <w:footnote w:id="18">
    <w:p w:rsidR="003851B7" w:rsidRDefault="003851B7" w:rsidP="00993EE9">
      <w:pPr>
        <w:pStyle w:val="FootnoteText"/>
      </w:pPr>
      <w:r>
        <w:rPr>
          <w:rStyle w:val="FootnoteReference"/>
        </w:rPr>
        <w:footnoteRef/>
      </w:r>
      <w:r>
        <w:t xml:space="preserve"> </w:t>
      </w:r>
      <w:r>
        <w:tab/>
        <w:t>N</w:t>
      </w:r>
      <w:r w:rsidRPr="002631F1">
        <w:t xml:space="preserve">ot all </w:t>
      </w:r>
      <w:r>
        <w:t>trials find a declining marginal response as prices increase</w:t>
      </w:r>
      <w:r w:rsidRPr="002631F1">
        <w:t>. For example</w:t>
      </w:r>
      <w:r>
        <w:t>,</w:t>
      </w:r>
      <w:r w:rsidRPr="002631F1">
        <w:t xml:space="preserve"> the Illinois Energy-Smart Pricing Plan found a price elasticity of −0.047 when the price was below $0.13/kWh, but −0.082 when it was above (Summit Blue Consulting 2006).</w:t>
      </w:r>
    </w:p>
  </w:footnote>
  <w:footnote w:id="19">
    <w:p w:rsidR="003851B7" w:rsidRDefault="003851B7" w:rsidP="00912CB6">
      <w:pPr>
        <w:pStyle w:val="FootnoteText"/>
      </w:pPr>
      <w:r>
        <w:rPr>
          <w:rStyle w:val="FootnoteReference"/>
        </w:rPr>
        <w:footnoteRef/>
      </w:r>
      <w:r>
        <w:t xml:space="preserve"> </w:t>
      </w:r>
      <w:r>
        <w:tab/>
        <w:t>Studies of time dependent pricing generally find that low income groups are no worse off, and usually tend to be better off (</w:t>
      </w:r>
      <w:proofErr w:type="spellStart"/>
      <w:r>
        <w:t>AEMC</w:t>
      </w:r>
      <w:proofErr w:type="spellEnd"/>
      <w:r>
        <w:t xml:space="preserve"> </w:t>
      </w:r>
      <w:proofErr w:type="spellStart"/>
      <w:r>
        <w:t>2012</w:t>
      </w:r>
      <w:r w:rsidR="009D73FE">
        <w:t>d</w:t>
      </w:r>
      <w:proofErr w:type="spellEnd"/>
      <w:r>
        <w:t xml:space="preserve">, Deloitte </w:t>
      </w:r>
      <w:proofErr w:type="spellStart"/>
      <w:r>
        <w:t>2012</w:t>
      </w:r>
      <w:r w:rsidR="009D73FE">
        <w:t>a</w:t>
      </w:r>
      <w:proofErr w:type="spellEnd"/>
      <w:r>
        <w:t>).</w:t>
      </w:r>
    </w:p>
  </w:footnote>
  <w:footnote w:id="20">
    <w:p w:rsidR="003851B7" w:rsidRPr="004A113B" w:rsidRDefault="003851B7" w:rsidP="003A474C">
      <w:pPr>
        <w:pStyle w:val="FootnoteText"/>
        <w:rPr>
          <w:lang w:val="en-US"/>
        </w:rPr>
      </w:pPr>
      <w:r>
        <w:rPr>
          <w:rStyle w:val="FootnoteReference"/>
        </w:rPr>
        <w:footnoteRef/>
      </w:r>
      <w:r>
        <w:t xml:space="preserve"> </w:t>
      </w:r>
      <w:r>
        <w:tab/>
        <w:t>Such meters can usually communicate prices in half hourly consumption intervals, although in practice consumers could probably not efficiently respond to that frequency of price movements.</w:t>
      </w:r>
    </w:p>
  </w:footnote>
  <w:footnote w:id="21">
    <w:p w:rsidR="003851B7" w:rsidRDefault="003851B7" w:rsidP="00EA31A4">
      <w:pPr>
        <w:pStyle w:val="FootnoteText"/>
      </w:pPr>
      <w:r>
        <w:rPr>
          <w:rStyle w:val="FootnoteReference"/>
        </w:rPr>
        <w:footnoteRef/>
      </w:r>
      <w:r>
        <w:t xml:space="preserve"> </w:t>
      </w:r>
      <w:r>
        <w:tab/>
        <w:t>Sometimes defined over a 15 hour period of each weekday.</w:t>
      </w:r>
    </w:p>
  </w:footnote>
  <w:footnote w:id="22">
    <w:p w:rsidR="003851B7" w:rsidRDefault="003851B7" w:rsidP="00E56FAF">
      <w:pPr>
        <w:pStyle w:val="FootnoteText"/>
      </w:pPr>
      <w:r>
        <w:rPr>
          <w:rStyle w:val="FootnoteReference"/>
        </w:rPr>
        <w:footnoteRef/>
      </w:r>
      <w:r>
        <w:t xml:space="preserve"> To manage this risk, aggregators (such as </w:t>
      </w:r>
      <w:proofErr w:type="spellStart"/>
      <w:r>
        <w:t>EnerNOC</w:t>
      </w:r>
      <w:proofErr w:type="spellEnd"/>
      <w:r>
        <w:t xml:space="preserve">) usually over contract the required demand reduction with end-users and closely monitor or remotely control their load. To the extent that an end user retains ultimate control over their load, an aggregator ‘coaches’ them to ensure they perform as expected when a reduction in load is to be dispatched. </w:t>
      </w:r>
    </w:p>
  </w:footnote>
  <w:footnote w:id="23">
    <w:p w:rsidR="003851B7" w:rsidRPr="00C62182" w:rsidRDefault="003851B7" w:rsidP="00B1755A">
      <w:pPr>
        <w:pStyle w:val="FootnoteText"/>
        <w:rPr>
          <w:rStyle w:val="FootnoteTextChar"/>
        </w:rPr>
      </w:pPr>
      <w:r w:rsidRPr="00C62182">
        <w:rPr>
          <w:rStyle w:val="FootnoteReference"/>
          <w:position w:val="0"/>
        </w:rPr>
        <w:footnoteRef/>
      </w:r>
      <w:r w:rsidRPr="00C62182">
        <w:t xml:space="preserve"> </w:t>
      </w:r>
      <w:r w:rsidRPr="00410E62">
        <w:rPr>
          <w:rStyle w:val="FootnoteTextChar"/>
          <w:spacing w:val="-2"/>
        </w:rPr>
        <w:t xml:space="preserve">Industrial customers account for around 60 per cent of Tasmania’s total electricity consumption, with four major industrial customers using around half of the energy supplied by the Tasmanian power system. </w:t>
      </w:r>
      <w:r w:rsidRPr="00410E62">
        <w:rPr>
          <w:spacing w:val="-2"/>
        </w:rPr>
        <w:t xml:space="preserve">Under the System Protection Scheme, load shedding by industrial customers occurs instantly in the event of an unplanned outage of </w:t>
      </w:r>
      <w:proofErr w:type="spellStart"/>
      <w:r w:rsidRPr="00410E62">
        <w:rPr>
          <w:spacing w:val="-2"/>
        </w:rPr>
        <w:t>Basslink</w:t>
      </w:r>
      <w:proofErr w:type="spellEnd"/>
      <w:r w:rsidRPr="00410E62">
        <w:rPr>
          <w:spacing w:val="-2"/>
        </w:rPr>
        <w:t xml:space="preserve"> while energy is flowing into Tasmania.</w:t>
      </w:r>
    </w:p>
  </w:footnote>
  <w:footnote w:id="24">
    <w:p w:rsidR="003851B7" w:rsidRDefault="003851B7" w:rsidP="00824D49">
      <w:pPr>
        <w:pStyle w:val="FootnoteText"/>
      </w:pPr>
      <w:r>
        <w:rPr>
          <w:rStyle w:val="FootnoteReference"/>
        </w:rPr>
        <w:footnoteRef/>
      </w:r>
      <w:r>
        <w:tab/>
        <w:t xml:space="preserve">Including </w:t>
      </w:r>
      <w:proofErr w:type="spellStart"/>
      <w:r>
        <w:t>curtailable</w:t>
      </w:r>
      <w:proofErr w:type="spellEnd"/>
      <w:r>
        <w:t xml:space="preserve"> load arrangements, dynamic peak pricing and the use of standby generation.</w:t>
      </w:r>
    </w:p>
  </w:footnote>
  <w:footnote w:id="25">
    <w:p w:rsidR="003851B7" w:rsidRDefault="003851B7" w:rsidP="00695991">
      <w:pPr>
        <w:pStyle w:val="FootnoteText"/>
      </w:pPr>
      <w:r>
        <w:rPr>
          <w:rStyle w:val="FootnoteReference"/>
        </w:rPr>
        <w:footnoteRef/>
      </w:r>
      <w:r>
        <w:t xml:space="preserve"> While consumption could be metered in half-hour increments by a simple ‘interval meter’, an approach taken by </w:t>
      </w:r>
      <w:proofErr w:type="spellStart"/>
      <w:r>
        <w:t>Ausgrid</w:t>
      </w:r>
      <w:proofErr w:type="spellEnd"/>
      <w:r>
        <w:t>, this would not provide timely feedback to customers about their power use, or any of the other benefits provided by smart meters.</w:t>
      </w:r>
    </w:p>
  </w:footnote>
  <w:footnote w:id="26">
    <w:p w:rsidR="003851B7" w:rsidRDefault="003851B7" w:rsidP="00D11033">
      <w:pPr>
        <w:pStyle w:val="FootnoteText"/>
      </w:pPr>
      <w:r>
        <w:rPr>
          <w:rStyle w:val="FootnoteReference"/>
        </w:rPr>
        <w:footnoteRef/>
      </w:r>
      <w:r>
        <w:tab/>
        <w:t>This includes a reduction to cover the cost of replacing accumulation meters that would otherwise have come to the end of their work life.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851B7">
      <w:tc>
        <w:tcPr>
          <w:tcW w:w="2155" w:type="dxa"/>
          <w:tcBorders>
            <w:top w:val="single" w:sz="24" w:space="0" w:color="auto"/>
          </w:tcBorders>
        </w:tcPr>
        <w:p w:rsidR="003851B7" w:rsidRDefault="003851B7" w:rsidP="0019293B">
          <w:pPr>
            <w:pStyle w:val="HeaderEven"/>
          </w:pPr>
        </w:p>
      </w:tc>
      <w:tc>
        <w:tcPr>
          <w:tcW w:w="6634" w:type="dxa"/>
          <w:tcBorders>
            <w:top w:val="single" w:sz="6" w:space="0" w:color="auto"/>
          </w:tcBorders>
        </w:tcPr>
        <w:p w:rsidR="003851B7" w:rsidRDefault="003851B7" w:rsidP="0019293B">
          <w:pPr>
            <w:pStyle w:val="HeaderEven"/>
          </w:pPr>
        </w:p>
      </w:tc>
    </w:tr>
  </w:tbl>
  <w:p w:rsidR="003851B7" w:rsidRDefault="003851B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851B7">
      <w:tc>
        <w:tcPr>
          <w:tcW w:w="6634" w:type="dxa"/>
          <w:tcBorders>
            <w:top w:val="single" w:sz="6" w:space="0" w:color="auto"/>
          </w:tcBorders>
        </w:tcPr>
        <w:p w:rsidR="003851B7" w:rsidRDefault="003851B7" w:rsidP="00E669E2">
          <w:pPr>
            <w:pStyle w:val="HeaderOdd"/>
          </w:pPr>
        </w:p>
      </w:tc>
      <w:tc>
        <w:tcPr>
          <w:tcW w:w="2155" w:type="dxa"/>
          <w:tcBorders>
            <w:top w:val="single" w:sz="24" w:space="0" w:color="auto"/>
          </w:tcBorders>
        </w:tcPr>
        <w:p w:rsidR="003851B7" w:rsidRDefault="003851B7" w:rsidP="00E669E2">
          <w:pPr>
            <w:pStyle w:val="HeaderOdd"/>
          </w:pPr>
        </w:p>
      </w:tc>
    </w:tr>
  </w:tbl>
  <w:p w:rsidR="003851B7" w:rsidRDefault="003851B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19">
    <w:nsid w:val="7E7A5D53"/>
    <w:multiLevelType w:val="hybridMultilevel"/>
    <w:tmpl w:val="0EE6DC3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num w:numId="1">
    <w:abstractNumId w:val="11"/>
  </w:num>
  <w:num w:numId="2">
    <w:abstractNumId w:val="5"/>
  </w:num>
  <w:num w:numId="3">
    <w:abstractNumId w:val="17"/>
  </w:num>
  <w:num w:numId="4">
    <w:abstractNumId w:val="3"/>
  </w:num>
  <w:num w:numId="5">
    <w:abstractNumId w:val="13"/>
  </w:num>
  <w:num w:numId="6">
    <w:abstractNumId w:val="4"/>
  </w:num>
  <w:num w:numId="7">
    <w:abstractNumId w:val="16"/>
  </w:num>
  <w:num w:numId="8">
    <w:abstractNumId w:val="15"/>
  </w:num>
  <w:num w:numId="9">
    <w:abstractNumId w:val="18"/>
  </w:num>
  <w:num w:numId="10">
    <w:abstractNumId w:val="8"/>
  </w:num>
  <w:num w:numId="11">
    <w:abstractNumId w:val="14"/>
  </w:num>
  <w:num w:numId="12">
    <w:abstractNumId w:val="7"/>
  </w:num>
  <w:num w:numId="13">
    <w:abstractNumId w:val="6"/>
  </w:num>
  <w:num w:numId="14">
    <w:abstractNumId w:val="9"/>
  </w:num>
  <w:num w:numId="15">
    <w:abstractNumId w:val="10"/>
  </w:num>
  <w:num w:numId="16">
    <w:abstractNumId w:val="12"/>
  </w:num>
  <w:num w:numId="17">
    <w:abstractNumId w:val="13"/>
  </w:num>
  <w:num w:numId="18">
    <w:abstractNumId w:val="13"/>
  </w:num>
  <w:num w:numId="19">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0">
    <w:abstractNumId w:val="0"/>
  </w:num>
  <w:num w:numId="21">
    <w:abstractNumId w:val="1"/>
  </w:num>
  <w:num w:numId="22">
    <w:abstractNumId w:val="19"/>
  </w:num>
  <w:num w:numId="23">
    <w:abstractNumId w:val="11"/>
  </w:num>
  <w:num w:numId="24">
    <w:abstractNumId w:val="5"/>
  </w:num>
  <w:num w:numId="25">
    <w:abstractNumId w:val="5"/>
  </w:num>
  <w:num w:numId="26">
    <w:abstractNumId w:val="5"/>
  </w:num>
  <w:num w:numId="27">
    <w:abstractNumId w:val="5"/>
  </w:num>
  <w:num w:numId="28">
    <w:abstractNumId w:val="13"/>
  </w:num>
  <w:num w:numId="29">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Peak demand &amp; Demand management"/>
    <w:docVar w:name="ShortReportTitle" w:val="Electricity Network Regulation"/>
  </w:docVars>
  <w:rsids>
    <w:rsidRoot w:val="00D3271D"/>
    <w:rsid w:val="00000ABE"/>
    <w:rsid w:val="00000FC0"/>
    <w:rsid w:val="00001779"/>
    <w:rsid w:val="00003510"/>
    <w:rsid w:val="00003BE4"/>
    <w:rsid w:val="000050F5"/>
    <w:rsid w:val="000058AA"/>
    <w:rsid w:val="00010161"/>
    <w:rsid w:val="00010878"/>
    <w:rsid w:val="00010E29"/>
    <w:rsid w:val="00012178"/>
    <w:rsid w:val="000126CE"/>
    <w:rsid w:val="00012B2C"/>
    <w:rsid w:val="00015CC0"/>
    <w:rsid w:val="000163DC"/>
    <w:rsid w:val="000172BB"/>
    <w:rsid w:val="0002055D"/>
    <w:rsid w:val="0002097B"/>
    <w:rsid w:val="0002262A"/>
    <w:rsid w:val="000245AA"/>
    <w:rsid w:val="00025218"/>
    <w:rsid w:val="000317D0"/>
    <w:rsid w:val="000325AD"/>
    <w:rsid w:val="00033483"/>
    <w:rsid w:val="00033849"/>
    <w:rsid w:val="00034BE0"/>
    <w:rsid w:val="0003664B"/>
    <w:rsid w:val="0004111F"/>
    <w:rsid w:val="00041A8F"/>
    <w:rsid w:val="00041BDB"/>
    <w:rsid w:val="000435FC"/>
    <w:rsid w:val="00043848"/>
    <w:rsid w:val="00044672"/>
    <w:rsid w:val="00045433"/>
    <w:rsid w:val="0004713C"/>
    <w:rsid w:val="000477D9"/>
    <w:rsid w:val="00052655"/>
    <w:rsid w:val="00052FFF"/>
    <w:rsid w:val="0005449C"/>
    <w:rsid w:val="00055051"/>
    <w:rsid w:val="000565B3"/>
    <w:rsid w:val="00056C92"/>
    <w:rsid w:val="0006282F"/>
    <w:rsid w:val="00065FA8"/>
    <w:rsid w:val="00070E87"/>
    <w:rsid w:val="0007150B"/>
    <w:rsid w:val="00072993"/>
    <w:rsid w:val="000750A1"/>
    <w:rsid w:val="00075B21"/>
    <w:rsid w:val="000800F8"/>
    <w:rsid w:val="00080D26"/>
    <w:rsid w:val="00081C64"/>
    <w:rsid w:val="00083B1C"/>
    <w:rsid w:val="00083DA2"/>
    <w:rsid w:val="00084B5A"/>
    <w:rsid w:val="000852D8"/>
    <w:rsid w:val="0008706E"/>
    <w:rsid w:val="00087759"/>
    <w:rsid w:val="00090073"/>
    <w:rsid w:val="00090912"/>
    <w:rsid w:val="000938F5"/>
    <w:rsid w:val="000952E1"/>
    <w:rsid w:val="000960E6"/>
    <w:rsid w:val="00096F6E"/>
    <w:rsid w:val="000A0CAC"/>
    <w:rsid w:val="000A1271"/>
    <w:rsid w:val="000A3BB4"/>
    <w:rsid w:val="000B249F"/>
    <w:rsid w:val="000B322A"/>
    <w:rsid w:val="000B5522"/>
    <w:rsid w:val="000B5688"/>
    <w:rsid w:val="000B601B"/>
    <w:rsid w:val="000B6FAE"/>
    <w:rsid w:val="000B769C"/>
    <w:rsid w:val="000C1492"/>
    <w:rsid w:val="000C207E"/>
    <w:rsid w:val="000C272E"/>
    <w:rsid w:val="000C2751"/>
    <w:rsid w:val="000C6E5C"/>
    <w:rsid w:val="000D3D56"/>
    <w:rsid w:val="000E10D5"/>
    <w:rsid w:val="000E1F91"/>
    <w:rsid w:val="000E20B8"/>
    <w:rsid w:val="000E7409"/>
    <w:rsid w:val="000F0CB5"/>
    <w:rsid w:val="000F3412"/>
    <w:rsid w:val="000F34F3"/>
    <w:rsid w:val="000F420B"/>
    <w:rsid w:val="000F5A58"/>
    <w:rsid w:val="000F65F7"/>
    <w:rsid w:val="000F6911"/>
    <w:rsid w:val="000F7758"/>
    <w:rsid w:val="00106254"/>
    <w:rsid w:val="001069D9"/>
    <w:rsid w:val="00106C96"/>
    <w:rsid w:val="001072B7"/>
    <w:rsid w:val="00110116"/>
    <w:rsid w:val="00120072"/>
    <w:rsid w:val="0012181C"/>
    <w:rsid w:val="00121E1D"/>
    <w:rsid w:val="00124E3C"/>
    <w:rsid w:val="00126EB8"/>
    <w:rsid w:val="001274D4"/>
    <w:rsid w:val="001311AA"/>
    <w:rsid w:val="001316B2"/>
    <w:rsid w:val="001327DB"/>
    <w:rsid w:val="00133805"/>
    <w:rsid w:val="00134609"/>
    <w:rsid w:val="00134688"/>
    <w:rsid w:val="00135B27"/>
    <w:rsid w:val="00135E36"/>
    <w:rsid w:val="001362DB"/>
    <w:rsid w:val="001363AA"/>
    <w:rsid w:val="0013685E"/>
    <w:rsid w:val="001405DA"/>
    <w:rsid w:val="00140691"/>
    <w:rsid w:val="00142389"/>
    <w:rsid w:val="001429DA"/>
    <w:rsid w:val="00143396"/>
    <w:rsid w:val="0014545B"/>
    <w:rsid w:val="0014676C"/>
    <w:rsid w:val="00146CBB"/>
    <w:rsid w:val="00150BF0"/>
    <w:rsid w:val="00151303"/>
    <w:rsid w:val="00154EF4"/>
    <w:rsid w:val="00155B61"/>
    <w:rsid w:val="0015722A"/>
    <w:rsid w:val="00160477"/>
    <w:rsid w:val="00160EDF"/>
    <w:rsid w:val="00160F10"/>
    <w:rsid w:val="00161393"/>
    <w:rsid w:val="00161A6E"/>
    <w:rsid w:val="00162441"/>
    <w:rsid w:val="001634C4"/>
    <w:rsid w:val="00163750"/>
    <w:rsid w:val="00163E5C"/>
    <w:rsid w:val="0016795D"/>
    <w:rsid w:val="00171772"/>
    <w:rsid w:val="0017653E"/>
    <w:rsid w:val="00180D12"/>
    <w:rsid w:val="00180D7B"/>
    <w:rsid w:val="00181C50"/>
    <w:rsid w:val="00182415"/>
    <w:rsid w:val="0018399D"/>
    <w:rsid w:val="00183E82"/>
    <w:rsid w:val="00186494"/>
    <w:rsid w:val="00186980"/>
    <w:rsid w:val="001878BB"/>
    <w:rsid w:val="00190698"/>
    <w:rsid w:val="00191AE0"/>
    <w:rsid w:val="0019293B"/>
    <w:rsid w:val="001943B4"/>
    <w:rsid w:val="0019449B"/>
    <w:rsid w:val="00196B3A"/>
    <w:rsid w:val="001A058C"/>
    <w:rsid w:val="001A05A3"/>
    <w:rsid w:val="001A06B4"/>
    <w:rsid w:val="001A2128"/>
    <w:rsid w:val="001A4E0A"/>
    <w:rsid w:val="001A4FB6"/>
    <w:rsid w:val="001B09EB"/>
    <w:rsid w:val="001B3D5C"/>
    <w:rsid w:val="001B3FA4"/>
    <w:rsid w:val="001B4994"/>
    <w:rsid w:val="001B4F8B"/>
    <w:rsid w:val="001B5A4F"/>
    <w:rsid w:val="001B5DB9"/>
    <w:rsid w:val="001B6385"/>
    <w:rsid w:val="001B7A47"/>
    <w:rsid w:val="001B7D5A"/>
    <w:rsid w:val="001C0865"/>
    <w:rsid w:val="001C285A"/>
    <w:rsid w:val="001C3ABA"/>
    <w:rsid w:val="001D1057"/>
    <w:rsid w:val="001D3FB6"/>
    <w:rsid w:val="001D422B"/>
    <w:rsid w:val="001E21B1"/>
    <w:rsid w:val="001E7040"/>
    <w:rsid w:val="001E7BE8"/>
    <w:rsid w:val="001F0248"/>
    <w:rsid w:val="001F3EB3"/>
    <w:rsid w:val="001F6661"/>
    <w:rsid w:val="001F6F00"/>
    <w:rsid w:val="001F788E"/>
    <w:rsid w:val="00200E47"/>
    <w:rsid w:val="00201503"/>
    <w:rsid w:val="00201BBF"/>
    <w:rsid w:val="00202C2C"/>
    <w:rsid w:val="00204DE7"/>
    <w:rsid w:val="00204E58"/>
    <w:rsid w:val="00207347"/>
    <w:rsid w:val="00210651"/>
    <w:rsid w:val="002110B0"/>
    <w:rsid w:val="00211228"/>
    <w:rsid w:val="002117AA"/>
    <w:rsid w:val="00212542"/>
    <w:rsid w:val="002135E0"/>
    <w:rsid w:val="002201B0"/>
    <w:rsid w:val="0022349D"/>
    <w:rsid w:val="00225303"/>
    <w:rsid w:val="00225A65"/>
    <w:rsid w:val="002263BA"/>
    <w:rsid w:val="0022724D"/>
    <w:rsid w:val="002315E7"/>
    <w:rsid w:val="002324DF"/>
    <w:rsid w:val="00232E17"/>
    <w:rsid w:val="00233999"/>
    <w:rsid w:val="0023430D"/>
    <w:rsid w:val="00236585"/>
    <w:rsid w:val="0023773C"/>
    <w:rsid w:val="002419B4"/>
    <w:rsid w:val="00242279"/>
    <w:rsid w:val="0024485C"/>
    <w:rsid w:val="00244B6C"/>
    <w:rsid w:val="00245C82"/>
    <w:rsid w:val="00245CF6"/>
    <w:rsid w:val="0024666C"/>
    <w:rsid w:val="00252443"/>
    <w:rsid w:val="00252794"/>
    <w:rsid w:val="00253C77"/>
    <w:rsid w:val="00253FF1"/>
    <w:rsid w:val="00254124"/>
    <w:rsid w:val="00255B05"/>
    <w:rsid w:val="00256991"/>
    <w:rsid w:val="00257D5D"/>
    <w:rsid w:val="00260FF6"/>
    <w:rsid w:val="00265224"/>
    <w:rsid w:val="00271255"/>
    <w:rsid w:val="00271762"/>
    <w:rsid w:val="00271C80"/>
    <w:rsid w:val="002744F4"/>
    <w:rsid w:val="0027552E"/>
    <w:rsid w:val="0028001A"/>
    <w:rsid w:val="002803BD"/>
    <w:rsid w:val="00280FF0"/>
    <w:rsid w:val="00281D50"/>
    <w:rsid w:val="002827E6"/>
    <w:rsid w:val="00286D05"/>
    <w:rsid w:val="00287BF5"/>
    <w:rsid w:val="00291552"/>
    <w:rsid w:val="00291B40"/>
    <w:rsid w:val="002934F2"/>
    <w:rsid w:val="00296DBF"/>
    <w:rsid w:val="00296F40"/>
    <w:rsid w:val="00296FBA"/>
    <w:rsid w:val="002A0096"/>
    <w:rsid w:val="002A0F27"/>
    <w:rsid w:val="002A1C96"/>
    <w:rsid w:val="002A39A0"/>
    <w:rsid w:val="002A4BD9"/>
    <w:rsid w:val="002A7094"/>
    <w:rsid w:val="002A72B5"/>
    <w:rsid w:val="002A7626"/>
    <w:rsid w:val="002A7BC0"/>
    <w:rsid w:val="002B31DD"/>
    <w:rsid w:val="002B4008"/>
    <w:rsid w:val="002B5A78"/>
    <w:rsid w:val="002B66D4"/>
    <w:rsid w:val="002B77CC"/>
    <w:rsid w:val="002C0F8D"/>
    <w:rsid w:val="002C1715"/>
    <w:rsid w:val="002C2041"/>
    <w:rsid w:val="002C27A9"/>
    <w:rsid w:val="002C54F8"/>
    <w:rsid w:val="002C6152"/>
    <w:rsid w:val="002D0E8E"/>
    <w:rsid w:val="002D3088"/>
    <w:rsid w:val="002E389B"/>
    <w:rsid w:val="002E6E41"/>
    <w:rsid w:val="002F17ED"/>
    <w:rsid w:val="002F22DE"/>
    <w:rsid w:val="002F347F"/>
    <w:rsid w:val="002F6D9A"/>
    <w:rsid w:val="002F76C4"/>
    <w:rsid w:val="00300A1A"/>
    <w:rsid w:val="00301189"/>
    <w:rsid w:val="00302667"/>
    <w:rsid w:val="00306593"/>
    <w:rsid w:val="003079E7"/>
    <w:rsid w:val="003124E2"/>
    <w:rsid w:val="00313199"/>
    <w:rsid w:val="003131D9"/>
    <w:rsid w:val="00313925"/>
    <w:rsid w:val="00314941"/>
    <w:rsid w:val="00316001"/>
    <w:rsid w:val="0032018B"/>
    <w:rsid w:val="00321A0B"/>
    <w:rsid w:val="00321F32"/>
    <w:rsid w:val="003224D3"/>
    <w:rsid w:val="00323B41"/>
    <w:rsid w:val="00323E09"/>
    <w:rsid w:val="003243AF"/>
    <w:rsid w:val="00325353"/>
    <w:rsid w:val="00325841"/>
    <w:rsid w:val="0032695A"/>
    <w:rsid w:val="00326B15"/>
    <w:rsid w:val="00330F74"/>
    <w:rsid w:val="003317D7"/>
    <w:rsid w:val="00333932"/>
    <w:rsid w:val="00333ADE"/>
    <w:rsid w:val="003340F7"/>
    <w:rsid w:val="0034060B"/>
    <w:rsid w:val="00344347"/>
    <w:rsid w:val="003452FF"/>
    <w:rsid w:val="0034719F"/>
    <w:rsid w:val="00350785"/>
    <w:rsid w:val="00351541"/>
    <w:rsid w:val="00351591"/>
    <w:rsid w:val="003518AA"/>
    <w:rsid w:val="00352165"/>
    <w:rsid w:val="00353182"/>
    <w:rsid w:val="003535C3"/>
    <w:rsid w:val="0035451A"/>
    <w:rsid w:val="0035522D"/>
    <w:rsid w:val="0035527E"/>
    <w:rsid w:val="003565A2"/>
    <w:rsid w:val="003565D9"/>
    <w:rsid w:val="003601B9"/>
    <w:rsid w:val="003602E1"/>
    <w:rsid w:val="00361635"/>
    <w:rsid w:val="003616EB"/>
    <w:rsid w:val="00362680"/>
    <w:rsid w:val="003671CB"/>
    <w:rsid w:val="0037026F"/>
    <w:rsid w:val="0037032B"/>
    <w:rsid w:val="00370F04"/>
    <w:rsid w:val="00371240"/>
    <w:rsid w:val="00374731"/>
    <w:rsid w:val="00375A4A"/>
    <w:rsid w:val="00384B7E"/>
    <w:rsid w:val="003851B7"/>
    <w:rsid w:val="0039037D"/>
    <w:rsid w:val="003919F9"/>
    <w:rsid w:val="003936C8"/>
    <w:rsid w:val="00396640"/>
    <w:rsid w:val="00397517"/>
    <w:rsid w:val="00397CA3"/>
    <w:rsid w:val="003A474C"/>
    <w:rsid w:val="003A496C"/>
    <w:rsid w:val="003A5FB1"/>
    <w:rsid w:val="003A781A"/>
    <w:rsid w:val="003B46FE"/>
    <w:rsid w:val="003B5669"/>
    <w:rsid w:val="003B5AAC"/>
    <w:rsid w:val="003B60FE"/>
    <w:rsid w:val="003B614F"/>
    <w:rsid w:val="003C38B5"/>
    <w:rsid w:val="003C5D99"/>
    <w:rsid w:val="003C65EA"/>
    <w:rsid w:val="003C669A"/>
    <w:rsid w:val="003D0AEC"/>
    <w:rsid w:val="003D0D76"/>
    <w:rsid w:val="003E24E2"/>
    <w:rsid w:val="003E2F59"/>
    <w:rsid w:val="003E36F3"/>
    <w:rsid w:val="003E429D"/>
    <w:rsid w:val="003F0789"/>
    <w:rsid w:val="003F0CD0"/>
    <w:rsid w:val="003F18B5"/>
    <w:rsid w:val="003F1C01"/>
    <w:rsid w:val="003F2225"/>
    <w:rsid w:val="003F23F8"/>
    <w:rsid w:val="003F2D0C"/>
    <w:rsid w:val="003F6293"/>
    <w:rsid w:val="003F6346"/>
    <w:rsid w:val="003F7C9E"/>
    <w:rsid w:val="00400533"/>
    <w:rsid w:val="00400893"/>
    <w:rsid w:val="00401882"/>
    <w:rsid w:val="004026AF"/>
    <w:rsid w:val="004034AA"/>
    <w:rsid w:val="00404BE9"/>
    <w:rsid w:val="00406149"/>
    <w:rsid w:val="00407715"/>
    <w:rsid w:val="004100C8"/>
    <w:rsid w:val="004109E9"/>
    <w:rsid w:val="00410E62"/>
    <w:rsid w:val="00411DBD"/>
    <w:rsid w:val="00411EB1"/>
    <w:rsid w:val="00412ACE"/>
    <w:rsid w:val="004132C5"/>
    <w:rsid w:val="00414087"/>
    <w:rsid w:val="004149A5"/>
    <w:rsid w:val="004207B5"/>
    <w:rsid w:val="0042188D"/>
    <w:rsid w:val="0042371C"/>
    <w:rsid w:val="004243FA"/>
    <w:rsid w:val="0042567F"/>
    <w:rsid w:val="00426679"/>
    <w:rsid w:val="00427737"/>
    <w:rsid w:val="004309E8"/>
    <w:rsid w:val="00430AB5"/>
    <w:rsid w:val="00431249"/>
    <w:rsid w:val="00431515"/>
    <w:rsid w:val="00433B0C"/>
    <w:rsid w:val="00434C19"/>
    <w:rsid w:val="00434D3E"/>
    <w:rsid w:val="00436346"/>
    <w:rsid w:val="0044211F"/>
    <w:rsid w:val="00443A49"/>
    <w:rsid w:val="00444182"/>
    <w:rsid w:val="004458E6"/>
    <w:rsid w:val="0045008F"/>
    <w:rsid w:val="00450810"/>
    <w:rsid w:val="00450A69"/>
    <w:rsid w:val="00450C71"/>
    <w:rsid w:val="00452A07"/>
    <w:rsid w:val="00452D2D"/>
    <w:rsid w:val="0045473D"/>
    <w:rsid w:val="0045753E"/>
    <w:rsid w:val="00460FE5"/>
    <w:rsid w:val="0046144B"/>
    <w:rsid w:val="00461BBF"/>
    <w:rsid w:val="004673AE"/>
    <w:rsid w:val="00467753"/>
    <w:rsid w:val="00470ADA"/>
    <w:rsid w:val="00473E16"/>
    <w:rsid w:val="0047429B"/>
    <w:rsid w:val="0047567E"/>
    <w:rsid w:val="00476BC7"/>
    <w:rsid w:val="00477144"/>
    <w:rsid w:val="00480596"/>
    <w:rsid w:val="00480F70"/>
    <w:rsid w:val="004817B4"/>
    <w:rsid w:val="00482EEE"/>
    <w:rsid w:val="00487ADF"/>
    <w:rsid w:val="00492FE4"/>
    <w:rsid w:val="0049432E"/>
    <w:rsid w:val="0049459F"/>
    <w:rsid w:val="004961E3"/>
    <w:rsid w:val="0049763D"/>
    <w:rsid w:val="004A043D"/>
    <w:rsid w:val="004A38DD"/>
    <w:rsid w:val="004A51A7"/>
    <w:rsid w:val="004B1270"/>
    <w:rsid w:val="004B4106"/>
    <w:rsid w:val="004B43AE"/>
    <w:rsid w:val="004C30ED"/>
    <w:rsid w:val="004C3D7B"/>
    <w:rsid w:val="004C4A05"/>
    <w:rsid w:val="004C4F08"/>
    <w:rsid w:val="004C7F55"/>
    <w:rsid w:val="004D1938"/>
    <w:rsid w:val="004D5675"/>
    <w:rsid w:val="004D6BEA"/>
    <w:rsid w:val="004E2C6E"/>
    <w:rsid w:val="004E3A90"/>
    <w:rsid w:val="004E4B42"/>
    <w:rsid w:val="004E7067"/>
    <w:rsid w:val="004E74D3"/>
    <w:rsid w:val="004E78EA"/>
    <w:rsid w:val="004F0ED8"/>
    <w:rsid w:val="004F4749"/>
    <w:rsid w:val="004F6030"/>
    <w:rsid w:val="004F6BAA"/>
    <w:rsid w:val="004F6C8A"/>
    <w:rsid w:val="004F70BF"/>
    <w:rsid w:val="004F77FB"/>
    <w:rsid w:val="005006AD"/>
    <w:rsid w:val="0050555E"/>
    <w:rsid w:val="005056C7"/>
    <w:rsid w:val="00505DD7"/>
    <w:rsid w:val="00506901"/>
    <w:rsid w:val="00510E50"/>
    <w:rsid w:val="0051182B"/>
    <w:rsid w:val="005123AF"/>
    <w:rsid w:val="00512B10"/>
    <w:rsid w:val="005145BA"/>
    <w:rsid w:val="00515C68"/>
    <w:rsid w:val="00516400"/>
    <w:rsid w:val="00517ACA"/>
    <w:rsid w:val="005214BB"/>
    <w:rsid w:val="00523639"/>
    <w:rsid w:val="005239B0"/>
    <w:rsid w:val="00526324"/>
    <w:rsid w:val="00527D46"/>
    <w:rsid w:val="00527E54"/>
    <w:rsid w:val="00531FE5"/>
    <w:rsid w:val="00532815"/>
    <w:rsid w:val="00532E79"/>
    <w:rsid w:val="00532EFB"/>
    <w:rsid w:val="005330EF"/>
    <w:rsid w:val="00533249"/>
    <w:rsid w:val="005335DF"/>
    <w:rsid w:val="005356DF"/>
    <w:rsid w:val="00535DCD"/>
    <w:rsid w:val="00536619"/>
    <w:rsid w:val="00536CE8"/>
    <w:rsid w:val="00536CF0"/>
    <w:rsid w:val="00546FEC"/>
    <w:rsid w:val="00550FA5"/>
    <w:rsid w:val="00550FE8"/>
    <w:rsid w:val="00560500"/>
    <w:rsid w:val="00560656"/>
    <w:rsid w:val="00561C55"/>
    <w:rsid w:val="00565A73"/>
    <w:rsid w:val="005675A8"/>
    <w:rsid w:val="005678C1"/>
    <w:rsid w:val="005679C2"/>
    <w:rsid w:val="00573D97"/>
    <w:rsid w:val="00575B84"/>
    <w:rsid w:val="0057649B"/>
    <w:rsid w:val="00576DDE"/>
    <w:rsid w:val="0058104C"/>
    <w:rsid w:val="00582C66"/>
    <w:rsid w:val="0058333A"/>
    <w:rsid w:val="0058340E"/>
    <w:rsid w:val="0058397B"/>
    <w:rsid w:val="00583C39"/>
    <w:rsid w:val="005906B9"/>
    <w:rsid w:val="005909CF"/>
    <w:rsid w:val="00591E71"/>
    <w:rsid w:val="00597E9C"/>
    <w:rsid w:val="005A045A"/>
    <w:rsid w:val="005A0D41"/>
    <w:rsid w:val="005A129F"/>
    <w:rsid w:val="005A2781"/>
    <w:rsid w:val="005A2B28"/>
    <w:rsid w:val="005A5075"/>
    <w:rsid w:val="005A7415"/>
    <w:rsid w:val="005B0880"/>
    <w:rsid w:val="005B1661"/>
    <w:rsid w:val="005B27FC"/>
    <w:rsid w:val="005B5412"/>
    <w:rsid w:val="005B7756"/>
    <w:rsid w:val="005C07D1"/>
    <w:rsid w:val="005D165F"/>
    <w:rsid w:val="005D2750"/>
    <w:rsid w:val="005D3705"/>
    <w:rsid w:val="005D373A"/>
    <w:rsid w:val="005E0968"/>
    <w:rsid w:val="005E26C1"/>
    <w:rsid w:val="005E48E6"/>
    <w:rsid w:val="005F1CD3"/>
    <w:rsid w:val="005F2131"/>
    <w:rsid w:val="005F2484"/>
    <w:rsid w:val="005F3BC2"/>
    <w:rsid w:val="005F4F27"/>
    <w:rsid w:val="005F7F13"/>
    <w:rsid w:val="00600B0A"/>
    <w:rsid w:val="006020D0"/>
    <w:rsid w:val="006021DA"/>
    <w:rsid w:val="0060289A"/>
    <w:rsid w:val="006052DF"/>
    <w:rsid w:val="0060730A"/>
    <w:rsid w:val="00607BF1"/>
    <w:rsid w:val="00610A84"/>
    <w:rsid w:val="00610CA1"/>
    <w:rsid w:val="0061234C"/>
    <w:rsid w:val="00612C2B"/>
    <w:rsid w:val="006150EC"/>
    <w:rsid w:val="00616B28"/>
    <w:rsid w:val="00616E51"/>
    <w:rsid w:val="00620482"/>
    <w:rsid w:val="0062195C"/>
    <w:rsid w:val="0062436A"/>
    <w:rsid w:val="006251EE"/>
    <w:rsid w:val="00626438"/>
    <w:rsid w:val="00630D4D"/>
    <w:rsid w:val="00632A74"/>
    <w:rsid w:val="00632EFB"/>
    <w:rsid w:val="006335ED"/>
    <w:rsid w:val="00636264"/>
    <w:rsid w:val="00636ACB"/>
    <w:rsid w:val="0064062D"/>
    <w:rsid w:val="0064067E"/>
    <w:rsid w:val="00642521"/>
    <w:rsid w:val="0064289D"/>
    <w:rsid w:val="00642909"/>
    <w:rsid w:val="006429A3"/>
    <w:rsid w:val="00642C08"/>
    <w:rsid w:val="0064706E"/>
    <w:rsid w:val="00647B8D"/>
    <w:rsid w:val="006501C8"/>
    <w:rsid w:val="00652D10"/>
    <w:rsid w:val="0065393D"/>
    <w:rsid w:val="006548B2"/>
    <w:rsid w:val="00654B27"/>
    <w:rsid w:val="00655841"/>
    <w:rsid w:val="0065782C"/>
    <w:rsid w:val="006630BA"/>
    <w:rsid w:val="006634C7"/>
    <w:rsid w:val="0067186F"/>
    <w:rsid w:val="0067324D"/>
    <w:rsid w:val="006733CC"/>
    <w:rsid w:val="00675BBC"/>
    <w:rsid w:val="00680EF4"/>
    <w:rsid w:val="006844E4"/>
    <w:rsid w:val="00686879"/>
    <w:rsid w:val="0069509B"/>
    <w:rsid w:val="0069547D"/>
    <w:rsid w:val="00695991"/>
    <w:rsid w:val="00696047"/>
    <w:rsid w:val="006962F1"/>
    <w:rsid w:val="00697E97"/>
    <w:rsid w:val="006A0A7D"/>
    <w:rsid w:val="006A2CDA"/>
    <w:rsid w:val="006A307E"/>
    <w:rsid w:val="006A317E"/>
    <w:rsid w:val="006A4655"/>
    <w:rsid w:val="006A67E5"/>
    <w:rsid w:val="006A7095"/>
    <w:rsid w:val="006B120F"/>
    <w:rsid w:val="006B1EEF"/>
    <w:rsid w:val="006B26E1"/>
    <w:rsid w:val="006B2B3C"/>
    <w:rsid w:val="006B459D"/>
    <w:rsid w:val="006B538C"/>
    <w:rsid w:val="006C1D81"/>
    <w:rsid w:val="006C2529"/>
    <w:rsid w:val="006C300D"/>
    <w:rsid w:val="006C32EE"/>
    <w:rsid w:val="006C4746"/>
    <w:rsid w:val="006C54B7"/>
    <w:rsid w:val="006C7038"/>
    <w:rsid w:val="006D14A2"/>
    <w:rsid w:val="006D21CC"/>
    <w:rsid w:val="006D4F59"/>
    <w:rsid w:val="006E09A7"/>
    <w:rsid w:val="006E19D1"/>
    <w:rsid w:val="006E1F88"/>
    <w:rsid w:val="006E73EF"/>
    <w:rsid w:val="006E7ADC"/>
    <w:rsid w:val="006E7DEB"/>
    <w:rsid w:val="006E7E0D"/>
    <w:rsid w:val="006F1C4A"/>
    <w:rsid w:val="006F2398"/>
    <w:rsid w:val="006F2D73"/>
    <w:rsid w:val="006F55A6"/>
    <w:rsid w:val="006F74F7"/>
    <w:rsid w:val="007013B6"/>
    <w:rsid w:val="007051FC"/>
    <w:rsid w:val="007065DA"/>
    <w:rsid w:val="007118B4"/>
    <w:rsid w:val="00714431"/>
    <w:rsid w:val="00714D4D"/>
    <w:rsid w:val="00721CDA"/>
    <w:rsid w:val="00722E79"/>
    <w:rsid w:val="00723D99"/>
    <w:rsid w:val="007241DF"/>
    <w:rsid w:val="00726305"/>
    <w:rsid w:val="00731A95"/>
    <w:rsid w:val="00735C8D"/>
    <w:rsid w:val="007370AE"/>
    <w:rsid w:val="00742255"/>
    <w:rsid w:val="0074249F"/>
    <w:rsid w:val="007427BC"/>
    <w:rsid w:val="007455E1"/>
    <w:rsid w:val="00750B1D"/>
    <w:rsid w:val="007558AD"/>
    <w:rsid w:val="007560BF"/>
    <w:rsid w:val="00756222"/>
    <w:rsid w:val="007604BB"/>
    <w:rsid w:val="0076148B"/>
    <w:rsid w:val="00762F27"/>
    <w:rsid w:val="00763442"/>
    <w:rsid w:val="00763ADA"/>
    <w:rsid w:val="0077240D"/>
    <w:rsid w:val="007735A2"/>
    <w:rsid w:val="00773C1D"/>
    <w:rsid w:val="007740AA"/>
    <w:rsid w:val="00777528"/>
    <w:rsid w:val="00777B19"/>
    <w:rsid w:val="00781B7B"/>
    <w:rsid w:val="00781D7B"/>
    <w:rsid w:val="00781DA5"/>
    <w:rsid w:val="0078216B"/>
    <w:rsid w:val="00782563"/>
    <w:rsid w:val="00782D6A"/>
    <w:rsid w:val="00785232"/>
    <w:rsid w:val="00787210"/>
    <w:rsid w:val="0079424E"/>
    <w:rsid w:val="007953C7"/>
    <w:rsid w:val="00795DD8"/>
    <w:rsid w:val="00797100"/>
    <w:rsid w:val="00797EC0"/>
    <w:rsid w:val="007A09B2"/>
    <w:rsid w:val="007A0DBB"/>
    <w:rsid w:val="007A21EB"/>
    <w:rsid w:val="007A245D"/>
    <w:rsid w:val="007A54B9"/>
    <w:rsid w:val="007A575C"/>
    <w:rsid w:val="007A7310"/>
    <w:rsid w:val="007B0605"/>
    <w:rsid w:val="007B1082"/>
    <w:rsid w:val="007B1777"/>
    <w:rsid w:val="007B1A93"/>
    <w:rsid w:val="007B2BC3"/>
    <w:rsid w:val="007B2F52"/>
    <w:rsid w:val="007B3328"/>
    <w:rsid w:val="007B5E33"/>
    <w:rsid w:val="007B6532"/>
    <w:rsid w:val="007C18A1"/>
    <w:rsid w:val="007C36C9"/>
    <w:rsid w:val="007C387D"/>
    <w:rsid w:val="007C4133"/>
    <w:rsid w:val="007C55E8"/>
    <w:rsid w:val="007D015C"/>
    <w:rsid w:val="007D0EC0"/>
    <w:rsid w:val="007D3953"/>
    <w:rsid w:val="007D4B43"/>
    <w:rsid w:val="007D6401"/>
    <w:rsid w:val="007D74E6"/>
    <w:rsid w:val="007D75D4"/>
    <w:rsid w:val="007E01E4"/>
    <w:rsid w:val="007E148C"/>
    <w:rsid w:val="007E36A4"/>
    <w:rsid w:val="007E53D6"/>
    <w:rsid w:val="007E7200"/>
    <w:rsid w:val="007F0123"/>
    <w:rsid w:val="007F06DB"/>
    <w:rsid w:val="007F071F"/>
    <w:rsid w:val="007F0922"/>
    <w:rsid w:val="007F68FC"/>
    <w:rsid w:val="007F7107"/>
    <w:rsid w:val="007F7989"/>
    <w:rsid w:val="00802B02"/>
    <w:rsid w:val="008045AB"/>
    <w:rsid w:val="008053A2"/>
    <w:rsid w:val="0081030F"/>
    <w:rsid w:val="0081324E"/>
    <w:rsid w:val="00813CE8"/>
    <w:rsid w:val="0081453A"/>
    <w:rsid w:val="008163D5"/>
    <w:rsid w:val="00820226"/>
    <w:rsid w:val="0082087D"/>
    <w:rsid w:val="00821601"/>
    <w:rsid w:val="00822550"/>
    <w:rsid w:val="008233FE"/>
    <w:rsid w:val="00824D49"/>
    <w:rsid w:val="0082559C"/>
    <w:rsid w:val="00826002"/>
    <w:rsid w:val="00830B81"/>
    <w:rsid w:val="008311A8"/>
    <w:rsid w:val="00831996"/>
    <w:rsid w:val="00831A67"/>
    <w:rsid w:val="00835D87"/>
    <w:rsid w:val="008362C6"/>
    <w:rsid w:val="00836BA6"/>
    <w:rsid w:val="00837F2D"/>
    <w:rsid w:val="00842933"/>
    <w:rsid w:val="00843AD2"/>
    <w:rsid w:val="0084627E"/>
    <w:rsid w:val="008475C7"/>
    <w:rsid w:val="008513D8"/>
    <w:rsid w:val="00853453"/>
    <w:rsid w:val="0085384A"/>
    <w:rsid w:val="00855B52"/>
    <w:rsid w:val="00857A35"/>
    <w:rsid w:val="0086082C"/>
    <w:rsid w:val="00860C48"/>
    <w:rsid w:val="00860C7E"/>
    <w:rsid w:val="008618E3"/>
    <w:rsid w:val="00862287"/>
    <w:rsid w:val="00862EB7"/>
    <w:rsid w:val="0086396F"/>
    <w:rsid w:val="00863A06"/>
    <w:rsid w:val="00864ADC"/>
    <w:rsid w:val="00865E55"/>
    <w:rsid w:val="008665B4"/>
    <w:rsid w:val="00870622"/>
    <w:rsid w:val="00874419"/>
    <w:rsid w:val="00880153"/>
    <w:rsid w:val="00880168"/>
    <w:rsid w:val="00880F97"/>
    <w:rsid w:val="0088133A"/>
    <w:rsid w:val="00882C3C"/>
    <w:rsid w:val="00885AE5"/>
    <w:rsid w:val="008876A2"/>
    <w:rsid w:val="008919B0"/>
    <w:rsid w:val="0089285E"/>
    <w:rsid w:val="00893F9D"/>
    <w:rsid w:val="0089436C"/>
    <w:rsid w:val="00894D31"/>
    <w:rsid w:val="00895E0B"/>
    <w:rsid w:val="00896723"/>
    <w:rsid w:val="008A2973"/>
    <w:rsid w:val="008A3B8D"/>
    <w:rsid w:val="008A64B5"/>
    <w:rsid w:val="008A7564"/>
    <w:rsid w:val="008B061A"/>
    <w:rsid w:val="008B1ECE"/>
    <w:rsid w:val="008B3BFD"/>
    <w:rsid w:val="008B3D27"/>
    <w:rsid w:val="008B46BC"/>
    <w:rsid w:val="008B4EA3"/>
    <w:rsid w:val="008C33A1"/>
    <w:rsid w:val="008C350C"/>
    <w:rsid w:val="008C48F2"/>
    <w:rsid w:val="008C6000"/>
    <w:rsid w:val="008C6500"/>
    <w:rsid w:val="008C6685"/>
    <w:rsid w:val="008D0307"/>
    <w:rsid w:val="008D1656"/>
    <w:rsid w:val="008D1AA6"/>
    <w:rsid w:val="008D2F40"/>
    <w:rsid w:val="008D365C"/>
    <w:rsid w:val="008D3FCB"/>
    <w:rsid w:val="008D6397"/>
    <w:rsid w:val="008E1CE7"/>
    <w:rsid w:val="008E2DBE"/>
    <w:rsid w:val="008E3134"/>
    <w:rsid w:val="008E556E"/>
    <w:rsid w:val="008E7903"/>
    <w:rsid w:val="008E7BB0"/>
    <w:rsid w:val="008F01F2"/>
    <w:rsid w:val="008F1007"/>
    <w:rsid w:val="008F1AAD"/>
    <w:rsid w:val="008F4692"/>
    <w:rsid w:val="008F4862"/>
    <w:rsid w:val="008F4A0A"/>
    <w:rsid w:val="008F7575"/>
    <w:rsid w:val="00900E61"/>
    <w:rsid w:val="0090136C"/>
    <w:rsid w:val="009030BF"/>
    <w:rsid w:val="009041E3"/>
    <w:rsid w:val="00907AD3"/>
    <w:rsid w:val="0091032F"/>
    <w:rsid w:val="00910BC6"/>
    <w:rsid w:val="00911431"/>
    <w:rsid w:val="00912CB6"/>
    <w:rsid w:val="00913029"/>
    <w:rsid w:val="00913727"/>
    <w:rsid w:val="00914368"/>
    <w:rsid w:val="009151F4"/>
    <w:rsid w:val="00915503"/>
    <w:rsid w:val="00917E7D"/>
    <w:rsid w:val="0092033C"/>
    <w:rsid w:val="0092248C"/>
    <w:rsid w:val="00923783"/>
    <w:rsid w:val="00930BFD"/>
    <w:rsid w:val="00931076"/>
    <w:rsid w:val="009345D9"/>
    <w:rsid w:val="00934B15"/>
    <w:rsid w:val="0093502B"/>
    <w:rsid w:val="009351DB"/>
    <w:rsid w:val="00935BB7"/>
    <w:rsid w:val="00935E46"/>
    <w:rsid w:val="00936846"/>
    <w:rsid w:val="0094210B"/>
    <w:rsid w:val="009422EF"/>
    <w:rsid w:val="00942B62"/>
    <w:rsid w:val="00943D9D"/>
    <w:rsid w:val="009474A4"/>
    <w:rsid w:val="0095152F"/>
    <w:rsid w:val="009555B2"/>
    <w:rsid w:val="0095693D"/>
    <w:rsid w:val="00956A0C"/>
    <w:rsid w:val="00956A62"/>
    <w:rsid w:val="00956BD9"/>
    <w:rsid w:val="009620F0"/>
    <w:rsid w:val="00962489"/>
    <w:rsid w:val="0096337F"/>
    <w:rsid w:val="00963B0F"/>
    <w:rsid w:val="00966B1C"/>
    <w:rsid w:val="00967128"/>
    <w:rsid w:val="00967AEB"/>
    <w:rsid w:val="0097422C"/>
    <w:rsid w:val="00975FFF"/>
    <w:rsid w:val="00976834"/>
    <w:rsid w:val="0098029B"/>
    <w:rsid w:val="00982451"/>
    <w:rsid w:val="009825EF"/>
    <w:rsid w:val="00990672"/>
    <w:rsid w:val="00990C2C"/>
    <w:rsid w:val="00991145"/>
    <w:rsid w:val="009926AE"/>
    <w:rsid w:val="00992D0D"/>
    <w:rsid w:val="00993BE5"/>
    <w:rsid w:val="00993EE9"/>
    <w:rsid w:val="00995490"/>
    <w:rsid w:val="009A0A7C"/>
    <w:rsid w:val="009A11D1"/>
    <w:rsid w:val="009A4230"/>
    <w:rsid w:val="009A5B6D"/>
    <w:rsid w:val="009B28AC"/>
    <w:rsid w:val="009C12D5"/>
    <w:rsid w:val="009C177A"/>
    <w:rsid w:val="009C177B"/>
    <w:rsid w:val="009C2F68"/>
    <w:rsid w:val="009C3DB5"/>
    <w:rsid w:val="009C47F3"/>
    <w:rsid w:val="009C55EA"/>
    <w:rsid w:val="009D1017"/>
    <w:rsid w:val="009D17A5"/>
    <w:rsid w:val="009D2E28"/>
    <w:rsid w:val="009D4657"/>
    <w:rsid w:val="009D5C9D"/>
    <w:rsid w:val="009D6D8E"/>
    <w:rsid w:val="009D73FE"/>
    <w:rsid w:val="009E0DB5"/>
    <w:rsid w:val="009E1BDF"/>
    <w:rsid w:val="009E3E8A"/>
    <w:rsid w:val="009E3F35"/>
    <w:rsid w:val="009E3FB0"/>
    <w:rsid w:val="009E41D8"/>
    <w:rsid w:val="009E5BED"/>
    <w:rsid w:val="009F4170"/>
    <w:rsid w:val="009F4FC7"/>
    <w:rsid w:val="009F5865"/>
    <w:rsid w:val="009F696D"/>
    <w:rsid w:val="009F6BC6"/>
    <w:rsid w:val="00A0046C"/>
    <w:rsid w:val="00A00741"/>
    <w:rsid w:val="00A012D4"/>
    <w:rsid w:val="00A02019"/>
    <w:rsid w:val="00A029C3"/>
    <w:rsid w:val="00A031EB"/>
    <w:rsid w:val="00A07AE3"/>
    <w:rsid w:val="00A10ABA"/>
    <w:rsid w:val="00A1115C"/>
    <w:rsid w:val="00A12135"/>
    <w:rsid w:val="00A12457"/>
    <w:rsid w:val="00A131F1"/>
    <w:rsid w:val="00A14C1C"/>
    <w:rsid w:val="00A15F9D"/>
    <w:rsid w:val="00A17216"/>
    <w:rsid w:val="00A17328"/>
    <w:rsid w:val="00A17718"/>
    <w:rsid w:val="00A17956"/>
    <w:rsid w:val="00A219C1"/>
    <w:rsid w:val="00A22783"/>
    <w:rsid w:val="00A23A20"/>
    <w:rsid w:val="00A24195"/>
    <w:rsid w:val="00A268B9"/>
    <w:rsid w:val="00A2703A"/>
    <w:rsid w:val="00A32334"/>
    <w:rsid w:val="00A339E4"/>
    <w:rsid w:val="00A33DFF"/>
    <w:rsid w:val="00A33E2E"/>
    <w:rsid w:val="00A35115"/>
    <w:rsid w:val="00A36122"/>
    <w:rsid w:val="00A3636F"/>
    <w:rsid w:val="00A36D9A"/>
    <w:rsid w:val="00A37F47"/>
    <w:rsid w:val="00A37FC3"/>
    <w:rsid w:val="00A408B0"/>
    <w:rsid w:val="00A41DA7"/>
    <w:rsid w:val="00A42389"/>
    <w:rsid w:val="00A462EC"/>
    <w:rsid w:val="00A46D1F"/>
    <w:rsid w:val="00A47689"/>
    <w:rsid w:val="00A53979"/>
    <w:rsid w:val="00A554AB"/>
    <w:rsid w:val="00A57C64"/>
    <w:rsid w:val="00A70CCA"/>
    <w:rsid w:val="00A720A4"/>
    <w:rsid w:val="00A750AA"/>
    <w:rsid w:val="00A750EA"/>
    <w:rsid w:val="00A773E3"/>
    <w:rsid w:val="00A7741C"/>
    <w:rsid w:val="00A77589"/>
    <w:rsid w:val="00A8402E"/>
    <w:rsid w:val="00A8606F"/>
    <w:rsid w:val="00A87AF3"/>
    <w:rsid w:val="00A910B2"/>
    <w:rsid w:val="00A91D6F"/>
    <w:rsid w:val="00A91F7F"/>
    <w:rsid w:val="00A92B53"/>
    <w:rsid w:val="00A92E5C"/>
    <w:rsid w:val="00A93FCE"/>
    <w:rsid w:val="00A9498C"/>
    <w:rsid w:val="00A94FA6"/>
    <w:rsid w:val="00A95E8F"/>
    <w:rsid w:val="00A95F91"/>
    <w:rsid w:val="00AA1BEE"/>
    <w:rsid w:val="00AA2C8B"/>
    <w:rsid w:val="00AA3862"/>
    <w:rsid w:val="00AA49A0"/>
    <w:rsid w:val="00AA4A32"/>
    <w:rsid w:val="00AA6710"/>
    <w:rsid w:val="00AA7264"/>
    <w:rsid w:val="00AB004B"/>
    <w:rsid w:val="00AB0681"/>
    <w:rsid w:val="00AB1A33"/>
    <w:rsid w:val="00AB1B19"/>
    <w:rsid w:val="00AB3B0D"/>
    <w:rsid w:val="00AB3E22"/>
    <w:rsid w:val="00AB503F"/>
    <w:rsid w:val="00AB6DD3"/>
    <w:rsid w:val="00AB7786"/>
    <w:rsid w:val="00AC00FC"/>
    <w:rsid w:val="00AC2473"/>
    <w:rsid w:val="00AC2524"/>
    <w:rsid w:val="00AD399B"/>
    <w:rsid w:val="00AD5184"/>
    <w:rsid w:val="00AD520B"/>
    <w:rsid w:val="00AD66FC"/>
    <w:rsid w:val="00AE61D5"/>
    <w:rsid w:val="00AE695B"/>
    <w:rsid w:val="00AF231B"/>
    <w:rsid w:val="00AF49AD"/>
    <w:rsid w:val="00AF4A6F"/>
    <w:rsid w:val="00AF5350"/>
    <w:rsid w:val="00B012A5"/>
    <w:rsid w:val="00B0321D"/>
    <w:rsid w:val="00B044B9"/>
    <w:rsid w:val="00B045D0"/>
    <w:rsid w:val="00B07EAD"/>
    <w:rsid w:val="00B10BDB"/>
    <w:rsid w:val="00B1191B"/>
    <w:rsid w:val="00B1755A"/>
    <w:rsid w:val="00B201F0"/>
    <w:rsid w:val="00B22279"/>
    <w:rsid w:val="00B226B0"/>
    <w:rsid w:val="00B22AE3"/>
    <w:rsid w:val="00B23FAD"/>
    <w:rsid w:val="00B26B16"/>
    <w:rsid w:val="00B30370"/>
    <w:rsid w:val="00B32815"/>
    <w:rsid w:val="00B32D21"/>
    <w:rsid w:val="00B3357D"/>
    <w:rsid w:val="00B371B4"/>
    <w:rsid w:val="00B37FEB"/>
    <w:rsid w:val="00B40F20"/>
    <w:rsid w:val="00B4203A"/>
    <w:rsid w:val="00B440AD"/>
    <w:rsid w:val="00B44CC4"/>
    <w:rsid w:val="00B469E7"/>
    <w:rsid w:val="00B479E5"/>
    <w:rsid w:val="00B50150"/>
    <w:rsid w:val="00B512CC"/>
    <w:rsid w:val="00B51B77"/>
    <w:rsid w:val="00B52858"/>
    <w:rsid w:val="00B53165"/>
    <w:rsid w:val="00B53E7E"/>
    <w:rsid w:val="00B548B7"/>
    <w:rsid w:val="00B54B90"/>
    <w:rsid w:val="00B550E1"/>
    <w:rsid w:val="00B552B3"/>
    <w:rsid w:val="00B6027E"/>
    <w:rsid w:val="00B627EC"/>
    <w:rsid w:val="00B62908"/>
    <w:rsid w:val="00B6342E"/>
    <w:rsid w:val="00B64D99"/>
    <w:rsid w:val="00B67EDA"/>
    <w:rsid w:val="00B7113F"/>
    <w:rsid w:val="00B72125"/>
    <w:rsid w:val="00B7371D"/>
    <w:rsid w:val="00B74D6A"/>
    <w:rsid w:val="00B75476"/>
    <w:rsid w:val="00B75EBC"/>
    <w:rsid w:val="00B80310"/>
    <w:rsid w:val="00B803F9"/>
    <w:rsid w:val="00B80A06"/>
    <w:rsid w:val="00B80A73"/>
    <w:rsid w:val="00B81E0D"/>
    <w:rsid w:val="00B82341"/>
    <w:rsid w:val="00B84523"/>
    <w:rsid w:val="00B87F0E"/>
    <w:rsid w:val="00B922F6"/>
    <w:rsid w:val="00B943E1"/>
    <w:rsid w:val="00B949FC"/>
    <w:rsid w:val="00B96D22"/>
    <w:rsid w:val="00BA54C7"/>
    <w:rsid w:val="00BA6804"/>
    <w:rsid w:val="00BA73B6"/>
    <w:rsid w:val="00BA7D5D"/>
    <w:rsid w:val="00BA7E27"/>
    <w:rsid w:val="00BB11AA"/>
    <w:rsid w:val="00BB1F11"/>
    <w:rsid w:val="00BB2603"/>
    <w:rsid w:val="00BB31CA"/>
    <w:rsid w:val="00BB3689"/>
    <w:rsid w:val="00BB3DBD"/>
    <w:rsid w:val="00BB4FCD"/>
    <w:rsid w:val="00BB58C8"/>
    <w:rsid w:val="00BB5B4F"/>
    <w:rsid w:val="00BC0BAC"/>
    <w:rsid w:val="00BC3068"/>
    <w:rsid w:val="00BC3376"/>
    <w:rsid w:val="00BC5799"/>
    <w:rsid w:val="00BC5DF3"/>
    <w:rsid w:val="00BC5E70"/>
    <w:rsid w:val="00BC6FA4"/>
    <w:rsid w:val="00BD00C0"/>
    <w:rsid w:val="00BD127F"/>
    <w:rsid w:val="00BD13EA"/>
    <w:rsid w:val="00BD3296"/>
    <w:rsid w:val="00BD3E45"/>
    <w:rsid w:val="00BD5846"/>
    <w:rsid w:val="00BD72B6"/>
    <w:rsid w:val="00BE0EC2"/>
    <w:rsid w:val="00BE2839"/>
    <w:rsid w:val="00BE2B4D"/>
    <w:rsid w:val="00BE2B66"/>
    <w:rsid w:val="00BE3156"/>
    <w:rsid w:val="00BE3808"/>
    <w:rsid w:val="00BE3DED"/>
    <w:rsid w:val="00BE5070"/>
    <w:rsid w:val="00BE55B4"/>
    <w:rsid w:val="00BE7356"/>
    <w:rsid w:val="00BF0782"/>
    <w:rsid w:val="00BF48BD"/>
    <w:rsid w:val="00BF63A4"/>
    <w:rsid w:val="00C007EA"/>
    <w:rsid w:val="00C008BD"/>
    <w:rsid w:val="00C017C3"/>
    <w:rsid w:val="00C03F17"/>
    <w:rsid w:val="00C05C42"/>
    <w:rsid w:val="00C062E9"/>
    <w:rsid w:val="00C06396"/>
    <w:rsid w:val="00C07B64"/>
    <w:rsid w:val="00C07FE8"/>
    <w:rsid w:val="00C100BA"/>
    <w:rsid w:val="00C106B0"/>
    <w:rsid w:val="00C11E11"/>
    <w:rsid w:val="00C13721"/>
    <w:rsid w:val="00C15B1B"/>
    <w:rsid w:val="00C22E07"/>
    <w:rsid w:val="00C3051C"/>
    <w:rsid w:val="00C3066D"/>
    <w:rsid w:val="00C32956"/>
    <w:rsid w:val="00C35ADE"/>
    <w:rsid w:val="00C365F6"/>
    <w:rsid w:val="00C36F5F"/>
    <w:rsid w:val="00C3771C"/>
    <w:rsid w:val="00C45224"/>
    <w:rsid w:val="00C46B57"/>
    <w:rsid w:val="00C47191"/>
    <w:rsid w:val="00C47CF6"/>
    <w:rsid w:val="00C51E26"/>
    <w:rsid w:val="00C52D80"/>
    <w:rsid w:val="00C543F4"/>
    <w:rsid w:val="00C56B81"/>
    <w:rsid w:val="00C57B32"/>
    <w:rsid w:val="00C60EF2"/>
    <w:rsid w:val="00C61697"/>
    <w:rsid w:val="00C62182"/>
    <w:rsid w:val="00C6291C"/>
    <w:rsid w:val="00C633CB"/>
    <w:rsid w:val="00C653AF"/>
    <w:rsid w:val="00C66F6D"/>
    <w:rsid w:val="00C71532"/>
    <w:rsid w:val="00C71CB2"/>
    <w:rsid w:val="00C71E95"/>
    <w:rsid w:val="00C7208C"/>
    <w:rsid w:val="00C72957"/>
    <w:rsid w:val="00C72D8D"/>
    <w:rsid w:val="00C74EE1"/>
    <w:rsid w:val="00C76570"/>
    <w:rsid w:val="00C77196"/>
    <w:rsid w:val="00C776A6"/>
    <w:rsid w:val="00C777A0"/>
    <w:rsid w:val="00C77A1A"/>
    <w:rsid w:val="00C81D4A"/>
    <w:rsid w:val="00C8214E"/>
    <w:rsid w:val="00C830F5"/>
    <w:rsid w:val="00C84D9A"/>
    <w:rsid w:val="00C8757E"/>
    <w:rsid w:val="00C8762C"/>
    <w:rsid w:val="00C87EDE"/>
    <w:rsid w:val="00C90E75"/>
    <w:rsid w:val="00C90F38"/>
    <w:rsid w:val="00C93085"/>
    <w:rsid w:val="00C93443"/>
    <w:rsid w:val="00C945B7"/>
    <w:rsid w:val="00C95A80"/>
    <w:rsid w:val="00C96D24"/>
    <w:rsid w:val="00CA00F9"/>
    <w:rsid w:val="00CA2961"/>
    <w:rsid w:val="00CA4F22"/>
    <w:rsid w:val="00CA53AE"/>
    <w:rsid w:val="00CA5A7C"/>
    <w:rsid w:val="00CA5C54"/>
    <w:rsid w:val="00CB07DF"/>
    <w:rsid w:val="00CB0B25"/>
    <w:rsid w:val="00CB24A7"/>
    <w:rsid w:val="00CB32D3"/>
    <w:rsid w:val="00CB4754"/>
    <w:rsid w:val="00CB50D7"/>
    <w:rsid w:val="00CB532D"/>
    <w:rsid w:val="00CB7177"/>
    <w:rsid w:val="00CB7B7D"/>
    <w:rsid w:val="00CC115E"/>
    <w:rsid w:val="00CC15E7"/>
    <w:rsid w:val="00CC1998"/>
    <w:rsid w:val="00CC4946"/>
    <w:rsid w:val="00CC52BC"/>
    <w:rsid w:val="00CC5C61"/>
    <w:rsid w:val="00CC6E7A"/>
    <w:rsid w:val="00CC7ECD"/>
    <w:rsid w:val="00CD2020"/>
    <w:rsid w:val="00CD208E"/>
    <w:rsid w:val="00CD21BF"/>
    <w:rsid w:val="00CD3B32"/>
    <w:rsid w:val="00CD5844"/>
    <w:rsid w:val="00CD5F39"/>
    <w:rsid w:val="00CD6657"/>
    <w:rsid w:val="00CE01B7"/>
    <w:rsid w:val="00CE296E"/>
    <w:rsid w:val="00CE31B7"/>
    <w:rsid w:val="00CE3255"/>
    <w:rsid w:val="00CE5ADC"/>
    <w:rsid w:val="00CE6D20"/>
    <w:rsid w:val="00CE6F05"/>
    <w:rsid w:val="00CF002E"/>
    <w:rsid w:val="00CF0177"/>
    <w:rsid w:val="00CF1C83"/>
    <w:rsid w:val="00CF3D68"/>
    <w:rsid w:val="00CF5019"/>
    <w:rsid w:val="00CF7484"/>
    <w:rsid w:val="00CF781B"/>
    <w:rsid w:val="00D021DA"/>
    <w:rsid w:val="00D06FE1"/>
    <w:rsid w:val="00D07642"/>
    <w:rsid w:val="00D11033"/>
    <w:rsid w:val="00D11A7B"/>
    <w:rsid w:val="00D12A2A"/>
    <w:rsid w:val="00D12B23"/>
    <w:rsid w:val="00D134C8"/>
    <w:rsid w:val="00D142C4"/>
    <w:rsid w:val="00D144F5"/>
    <w:rsid w:val="00D17382"/>
    <w:rsid w:val="00D20C2E"/>
    <w:rsid w:val="00D21106"/>
    <w:rsid w:val="00D236B4"/>
    <w:rsid w:val="00D23CE3"/>
    <w:rsid w:val="00D2523F"/>
    <w:rsid w:val="00D270A4"/>
    <w:rsid w:val="00D30D3E"/>
    <w:rsid w:val="00D31FE9"/>
    <w:rsid w:val="00D3271D"/>
    <w:rsid w:val="00D33DFC"/>
    <w:rsid w:val="00D348C8"/>
    <w:rsid w:val="00D34E1B"/>
    <w:rsid w:val="00D37448"/>
    <w:rsid w:val="00D376BA"/>
    <w:rsid w:val="00D4116E"/>
    <w:rsid w:val="00D41A5B"/>
    <w:rsid w:val="00D438D8"/>
    <w:rsid w:val="00D44937"/>
    <w:rsid w:val="00D45DDF"/>
    <w:rsid w:val="00D47392"/>
    <w:rsid w:val="00D47C1D"/>
    <w:rsid w:val="00D523E9"/>
    <w:rsid w:val="00D52F43"/>
    <w:rsid w:val="00D53392"/>
    <w:rsid w:val="00D54F66"/>
    <w:rsid w:val="00D5568A"/>
    <w:rsid w:val="00D55C7C"/>
    <w:rsid w:val="00D5683C"/>
    <w:rsid w:val="00D571F5"/>
    <w:rsid w:val="00D6240A"/>
    <w:rsid w:val="00D62519"/>
    <w:rsid w:val="00D62D8B"/>
    <w:rsid w:val="00D638A6"/>
    <w:rsid w:val="00D63D73"/>
    <w:rsid w:val="00D64215"/>
    <w:rsid w:val="00D64452"/>
    <w:rsid w:val="00D66E1E"/>
    <w:rsid w:val="00D70BB4"/>
    <w:rsid w:val="00D711B6"/>
    <w:rsid w:val="00D719E0"/>
    <w:rsid w:val="00D72725"/>
    <w:rsid w:val="00D72B50"/>
    <w:rsid w:val="00D74383"/>
    <w:rsid w:val="00D744C8"/>
    <w:rsid w:val="00D75722"/>
    <w:rsid w:val="00D80CF5"/>
    <w:rsid w:val="00D8145A"/>
    <w:rsid w:val="00D819CE"/>
    <w:rsid w:val="00D823E1"/>
    <w:rsid w:val="00D834C6"/>
    <w:rsid w:val="00D848D9"/>
    <w:rsid w:val="00D85E70"/>
    <w:rsid w:val="00D914DA"/>
    <w:rsid w:val="00D93207"/>
    <w:rsid w:val="00D97FE2"/>
    <w:rsid w:val="00DA138B"/>
    <w:rsid w:val="00DA2917"/>
    <w:rsid w:val="00DA4DCC"/>
    <w:rsid w:val="00DA578B"/>
    <w:rsid w:val="00DA5BBA"/>
    <w:rsid w:val="00DA72D8"/>
    <w:rsid w:val="00DB1FE5"/>
    <w:rsid w:val="00DB2CF0"/>
    <w:rsid w:val="00DB51A8"/>
    <w:rsid w:val="00DB67C9"/>
    <w:rsid w:val="00DB6C74"/>
    <w:rsid w:val="00DB741A"/>
    <w:rsid w:val="00DB7A61"/>
    <w:rsid w:val="00DC0C95"/>
    <w:rsid w:val="00DC1893"/>
    <w:rsid w:val="00DC5A92"/>
    <w:rsid w:val="00DD0386"/>
    <w:rsid w:val="00DD0A0B"/>
    <w:rsid w:val="00DD103B"/>
    <w:rsid w:val="00DD17B5"/>
    <w:rsid w:val="00DD1B93"/>
    <w:rsid w:val="00DD1BFC"/>
    <w:rsid w:val="00DD2180"/>
    <w:rsid w:val="00DD6580"/>
    <w:rsid w:val="00DD693C"/>
    <w:rsid w:val="00DD706F"/>
    <w:rsid w:val="00DD78FB"/>
    <w:rsid w:val="00DE2986"/>
    <w:rsid w:val="00DE318D"/>
    <w:rsid w:val="00DE3277"/>
    <w:rsid w:val="00DE4073"/>
    <w:rsid w:val="00DF0EEB"/>
    <w:rsid w:val="00DF42D4"/>
    <w:rsid w:val="00E06804"/>
    <w:rsid w:val="00E06EC4"/>
    <w:rsid w:val="00E10F62"/>
    <w:rsid w:val="00E125E3"/>
    <w:rsid w:val="00E12649"/>
    <w:rsid w:val="00E1523A"/>
    <w:rsid w:val="00E161D6"/>
    <w:rsid w:val="00E17C72"/>
    <w:rsid w:val="00E21BBD"/>
    <w:rsid w:val="00E21FC6"/>
    <w:rsid w:val="00E30834"/>
    <w:rsid w:val="00E342D8"/>
    <w:rsid w:val="00E34E39"/>
    <w:rsid w:val="00E35008"/>
    <w:rsid w:val="00E360FE"/>
    <w:rsid w:val="00E36760"/>
    <w:rsid w:val="00E37F17"/>
    <w:rsid w:val="00E42783"/>
    <w:rsid w:val="00E431A9"/>
    <w:rsid w:val="00E44F1A"/>
    <w:rsid w:val="00E45010"/>
    <w:rsid w:val="00E4603F"/>
    <w:rsid w:val="00E472FB"/>
    <w:rsid w:val="00E53A00"/>
    <w:rsid w:val="00E53BF0"/>
    <w:rsid w:val="00E551E2"/>
    <w:rsid w:val="00E56FAF"/>
    <w:rsid w:val="00E57EE0"/>
    <w:rsid w:val="00E635E6"/>
    <w:rsid w:val="00E64186"/>
    <w:rsid w:val="00E6629F"/>
    <w:rsid w:val="00E669E2"/>
    <w:rsid w:val="00E7031C"/>
    <w:rsid w:val="00E706F4"/>
    <w:rsid w:val="00E76135"/>
    <w:rsid w:val="00E764F6"/>
    <w:rsid w:val="00E77EF6"/>
    <w:rsid w:val="00E82566"/>
    <w:rsid w:val="00E82F4F"/>
    <w:rsid w:val="00E84276"/>
    <w:rsid w:val="00E851D0"/>
    <w:rsid w:val="00E85FFC"/>
    <w:rsid w:val="00E90AE0"/>
    <w:rsid w:val="00E93648"/>
    <w:rsid w:val="00E93CCB"/>
    <w:rsid w:val="00E94650"/>
    <w:rsid w:val="00E97D01"/>
    <w:rsid w:val="00EA0B8A"/>
    <w:rsid w:val="00EA31A4"/>
    <w:rsid w:val="00EA368B"/>
    <w:rsid w:val="00EA3DB6"/>
    <w:rsid w:val="00EA450D"/>
    <w:rsid w:val="00EA6624"/>
    <w:rsid w:val="00EB19F5"/>
    <w:rsid w:val="00EB45B0"/>
    <w:rsid w:val="00EB4A78"/>
    <w:rsid w:val="00EB527C"/>
    <w:rsid w:val="00EC094A"/>
    <w:rsid w:val="00EC24F3"/>
    <w:rsid w:val="00EC2844"/>
    <w:rsid w:val="00EC29C4"/>
    <w:rsid w:val="00EC3848"/>
    <w:rsid w:val="00EC5AFD"/>
    <w:rsid w:val="00ED229D"/>
    <w:rsid w:val="00ED3E0D"/>
    <w:rsid w:val="00ED45E9"/>
    <w:rsid w:val="00EE39DB"/>
    <w:rsid w:val="00EE5BD1"/>
    <w:rsid w:val="00EE7542"/>
    <w:rsid w:val="00EF090A"/>
    <w:rsid w:val="00EF12E4"/>
    <w:rsid w:val="00EF19E2"/>
    <w:rsid w:val="00EF2A62"/>
    <w:rsid w:val="00EF2AB1"/>
    <w:rsid w:val="00EF613D"/>
    <w:rsid w:val="00EF6B0A"/>
    <w:rsid w:val="00EF6C6C"/>
    <w:rsid w:val="00EF7507"/>
    <w:rsid w:val="00F002D6"/>
    <w:rsid w:val="00F0096C"/>
    <w:rsid w:val="00F00BE8"/>
    <w:rsid w:val="00F056FC"/>
    <w:rsid w:val="00F10476"/>
    <w:rsid w:val="00F106CC"/>
    <w:rsid w:val="00F135D8"/>
    <w:rsid w:val="00F15C01"/>
    <w:rsid w:val="00F21127"/>
    <w:rsid w:val="00F22602"/>
    <w:rsid w:val="00F235E2"/>
    <w:rsid w:val="00F24F54"/>
    <w:rsid w:val="00F26F6D"/>
    <w:rsid w:val="00F27641"/>
    <w:rsid w:val="00F27B7A"/>
    <w:rsid w:val="00F31299"/>
    <w:rsid w:val="00F3169D"/>
    <w:rsid w:val="00F318BD"/>
    <w:rsid w:val="00F31C1E"/>
    <w:rsid w:val="00F3534A"/>
    <w:rsid w:val="00F35D38"/>
    <w:rsid w:val="00F36C1A"/>
    <w:rsid w:val="00F36F31"/>
    <w:rsid w:val="00F37F62"/>
    <w:rsid w:val="00F41DC1"/>
    <w:rsid w:val="00F4205E"/>
    <w:rsid w:val="00F4245A"/>
    <w:rsid w:val="00F46258"/>
    <w:rsid w:val="00F47AB7"/>
    <w:rsid w:val="00F47D04"/>
    <w:rsid w:val="00F50F58"/>
    <w:rsid w:val="00F55EE4"/>
    <w:rsid w:val="00F56262"/>
    <w:rsid w:val="00F61B68"/>
    <w:rsid w:val="00F635F9"/>
    <w:rsid w:val="00F67005"/>
    <w:rsid w:val="00F6747C"/>
    <w:rsid w:val="00F7166C"/>
    <w:rsid w:val="00F72E27"/>
    <w:rsid w:val="00F757A7"/>
    <w:rsid w:val="00F761E1"/>
    <w:rsid w:val="00F8001F"/>
    <w:rsid w:val="00F808D2"/>
    <w:rsid w:val="00F817AE"/>
    <w:rsid w:val="00F82D8F"/>
    <w:rsid w:val="00F83936"/>
    <w:rsid w:val="00F84088"/>
    <w:rsid w:val="00F85325"/>
    <w:rsid w:val="00F87FD4"/>
    <w:rsid w:val="00F90DD4"/>
    <w:rsid w:val="00F92AAF"/>
    <w:rsid w:val="00F92DEE"/>
    <w:rsid w:val="00F93466"/>
    <w:rsid w:val="00F97F09"/>
    <w:rsid w:val="00FA293B"/>
    <w:rsid w:val="00FA5134"/>
    <w:rsid w:val="00FB3132"/>
    <w:rsid w:val="00FB3929"/>
    <w:rsid w:val="00FB461D"/>
    <w:rsid w:val="00FB4BBF"/>
    <w:rsid w:val="00FB7F4C"/>
    <w:rsid w:val="00FC0B59"/>
    <w:rsid w:val="00FC11BF"/>
    <w:rsid w:val="00FC1503"/>
    <w:rsid w:val="00FC29DF"/>
    <w:rsid w:val="00FC2F33"/>
    <w:rsid w:val="00FC338C"/>
    <w:rsid w:val="00FC33C8"/>
    <w:rsid w:val="00FC4AD9"/>
    <w:rsid w:val="00FC5D44"/>
    <w:rsid w:val="00FC6372"/>
    <w:rsid w:val="00FD0D4E"/>
    <w:rsid w:val="00FD22B1"/>
    <w:rsid w:val="00FD6599"/>
    <w:rsid w:val="00FD7B33"/>
    <w:rsid w:val="00FE0682"/>
    <w:rsid w:val="00FE26AF"/>
    <w:rsid w:val="00FE3B4D"/>
    <w:rsid w:val="00FE4F52"/>
    <w:rsid w:val="00FE763A"/>
    <w:rsid w:val="00FE7BC4"/>
    <w:rsid w:val="00FF11F6"/>
    <w:rsid w:val="00FF6209"/>
    <w:rsid w:val="00FF657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97E97"/>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1Char">
    <w:name w:val="Heading 1 Char"/>
    <w:basedOn w:val="DefaultParagraphFont"/>
    <w:link w:val="Heading1"/>
    <w:rsid w:val="00D3271D"/>
    <w:rPr>
      <w:sz w:val="52"/>
    </w:rPr>
  </w:style>
  <w:style w:type="character" w:customStyle="1" w:styleId="Heading2Char">
    <w:name w:val="Heading 2 Char"/>
    <w:basedOn w:val="DefaultParagraphFont"/>
    <w:link w:val="Heading2"/>
    <w:rsid w:val="00D3271D"/>
    <w:rPr>
      <w:rFonts w:ascii="Arial" w:hAnsi="Arial"/>
      <w:b/>
      <w:sz w:val="32"/>
    </w:rPr>
  </w:style>
  <w:style w:type="character" w:customStyle="1" w:styleId="Heading3Char">
    <w:name w:val="Heading 3 Char"/>
    <w:basedOn w:val="DefaultParagraphFont"/>
    <w:link w:val="Heading3"/>
    <w:rsid w:val="00D3271D"/>
    <w:rPr>
      <w:rFonts w:ascii="Arial" w:hAnsi="Arial"/>
      <w:b/>
      <w:sz w:val="26"/>
    </w:rPr>
  </w:style>
  <w:style w:type="character" w:customStyle="1" w:styleId="Heading4Char">
    <w:name w:val="Heading 4 Char"/>
    <w:basedOn w:val="DefaultParagraphFont"/>
    <w:link w:val="Heading4"/>
    <w:rsid w:val="00D3271D"/>
    <w:rPr>
      <w:rFonts w:ascii="Arial" w:hAnsi="Arial"/>
      <w:i/>
      <w:sz w:val="24"/>
    </w:rPr>
  </w:style>
  <w:style w:type="character" w:customStyle="1" w:styleId="Heading5Char">
    <w:name w:val="Heading 5 Char"/>
    <w:basedOn w:val="DefaultParagraphFont"/>
    <w:link w:val="Heading5"/>
    <w:rsid w:val="00D3271D"/>
    <w:rPr>
      <w:i/>
      <w:sz w:val="26"/>
    </w:rPr>
  </w:style>
  <w:style w:type="character" w:customStyle="1" w:styleId="Heading6Char">
    <w:name w:val="Heading 6 Char"/>
    <w:basedOn w:val="DefaultParagraphFont"/>
    <w:link w:val="Heading6"/>
    <w:rsid w:val="00D3271D"/>
    <w:rPr>
      <w:i/>
      <w:sz w:val="22"/>
    </w:rPr>
  </w:style>
  <w:style w:type="character" w:customStyle="1" w:styleId="Heading7Char">
    <w:name w:val="Heading 7 Char"/>
    <w:basedOn w:val="DefaultParagraphFont"/>
    <w:link w:val="Heading7"/>
    <w:rsid w:val="00D3271D"/>
    <w:rPr>
      <w:rFonts w:ascii="Arial" w:hAnsi="Arial"/>
    </w:rPr>
  </w:style>
  <w:style w:type="character" w:customStyle="1" w:styleId="Heading8Char">
    <w:name w:val="Heading 8 Char"/>
    <w:basedOn w:val="DefaultParagraphFont"/>
    <w:link w:val="Heading8"/>
    <w:rsid w:val="00D3271D"/>
    <w:rPr>
      <w:rFonts w:ascii="Arial" w:hAnsi="Arial"/>
      <w:i/>
    </w:rPr>
  </w:style>
  <w:style w:type="character" w:customStyle="1" w:styleId="Heading9Char">
    <w:name w:val="Heading 9 Char"/>
    <w:basedOn w:val="DefaultParagraphFont"/>
    <w:link w:val="Heading9"/>
    <w:rsid w:val="00D3271D"/>
    <w:rPr>
      <w:rFonts w:ascii="Arial" w:hAnsi="Arial"/>
      <w:b/>
      <w:i/>
      <w:sz w:val="18"/>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D3271D"/>
    <w:rPr>
      <w:sz w:val="26"/>
    </w:rPr>
  </w:style>
  <w:style w:type="character" w:customStyle="1" w:styleId="FooterChar">
    <w:name w:val="Footer Char"/>
    <w:basedOn w:val="DefaultParagraphFont"/>
    <w:link w:val="Footer"/>
    <w:semiHidden/>
    <w:rsid w:val="00D3271D"/>
    <w:rPr>
      <w:caps/>
      <w:spacing w:val="-4"/>
      <w:sz w:val="16"/>
    </w:rPr>
  </w:style>
  <w:style w:type="character" w:customStyle="1" w:styleId="HeaderChar">
    <w:name w:val="Header Char"/>
    <w:basedOn w:val="DefaultParagraphFont"/>
    <w:link w:val="Header"/>
    <w:rsid w:val="00D3271D"/>
    <w:rPr>
      <w:rFonts w:ascii="Arial" w:hAnsi="Arial"/>
      <w:caps/>
      <w:sz w:val="26"/>
    </w:rPr>
  </w:style>
  <w:style w:type="character" w:customStyle="1" w:styleId="CommentTextChar">
    <w:name w:val="Comment Text Char"/>
    <w:basedOn w:val="DefaultParagraphFont"/>
    <w:link w:val="CommentText"/>
    <w:uiPriority w:val="99"/>
    <w:semiHidden/>
    <w:rsid w:val="00D3271D"/>
    <w:rPr>
      <w:szCs w:val="24"/>
    </w:rPr>
  </w:style>
  <w:style w:type="character" w:customStyle="1" w:styleId="FootnoteTextChar">
    <w:name w:val="Footnote Text Char"/>
    <w:basedOn w:val="DefaultParagraphFont"/>
    <w:link w:val="FootnoteText"/>
    <w:rsid w:val="00D3271D"/>
    <w:rPr>
      <w:sz w:val="22"/>
    </w:rPr>
  </w:style>
  <w:style w:type="character" w:customStyle="1" w:styleId="QuoteChar">
    <w:name w:val="Quote Char"/>
    <w:basedOn w:val="DefaultParagraphFont"/>
    <w:link w:val="Quote"/>
    <w:rsid w:val="00D3271D"/>
    <w:rPr>
      <w:sz w:val="24"/>
    </w:rPr>
  </w:style>
  <w:style w:type="character" w:customStyle="1" w:styleId="SourceChar">
    <w:name w:val="Source Char"/>
    <w:basedOn w:val="DefaultParagraphFont"/>
    <w:link w:val="Source"/>
    <w:rsid w:val="00D3271D"/>
    <w:rPr>
      <w:rFonts w:ascii="Arial" w:hAnsi="Arial"/>
      <w:sz w:val="18"/>
    </w:rPr>
  </w:style>
  <w:style w:type="character" w:styleId="Hyperlink">
    <w:name w:val="Hyperlink"/>
    <w:basedOn w:val="DefaultParagraphFont"/>
    <w:rsid w:val="00D3271D"/>
    <w:rPr>
      <w:color w:val="0000FF" w:themeColor="hyperlink"/>
      <w:u w:val="single"/>
    </w:rPr>
  </w:style>
  <w:style w:type="paragraph" w:customStyle="1" w:styleId="Default">
    <w:name w:val="Default"/>
    <w:rsid w:val="00D3271D"/>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D3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D3271D"/>
    <w:pPr>
      <w:spacing w:line="260" w:lineRule="exact"/>
    </w:pPr>
    <w:rPr>
      <w:rFonts w:ascii="Helvetica 45 Light" w:hAnsi="Helvetica 45 Light"/>
      <w:sz w:val="18"/>
      <w:lang w:eastAsia="en-US"/>
    </w:rPr>
  </w:style>
  <w:style w:type="paragraph" w:styleId="EndnoteText">
    <w:name w:val="endnote text"/>
    <w:basedOn w:val="Normal"/>
    <w:link w:val="EndnoteTextChar"/>
    <w:rsid w:val="00D3271D"/>
    <w:rPr>
      <w:sz w:val="20"/>
      <w:szCs w:val="20"/>
    </w:rPr>
  </w:style>
  <w:style w:type="character" w:customStyle="1" w:styleId="EndnoteTextChar">
    <w:name w:val="Endnote Text Char"/>
    <w:basedOn w:val="DefaultParagraphFont"/>
    <w:link w:val="EndnoteText"/>
    <w:rsid w:val="00D3271D"/>
  </w:style>
  <w:style w:type="character" w:styleId="EndnoteReference">
    <w:name w:val="endnote reference"/>
    <w:basedOn w:val="DefaultParagraphFont"/>
    <w:rsid w:val="00D3271D"/>
    <w:rPr>
      <w:vertAlign w:val="superscript"/>
    </w:rPr>
  </w:style>
  <w:style w:type="paragraph" w:styleId="NormalWeb">
    <w:name w:val="Normal (Web)"/>
    <w:basedOn w:val="Normal"/>
    <w:uiPriority w:val="99"/>
    <w:unhideWhenUsed/>
    <w:rsid w:val="00D3271D"/>
    <w:pPr>
      <w:spacing w:before="100" w:beforeAutospacing="1" w:after="100" w:afterAutospacing="1"/>
    </w:pPr>
    <w:rPr>
      <w:color w:val="000000"/>
      <w:sz w:val="24"/>
    </w:rPr>
  </w:style>
  <w:style w:type="paragraph" w:customStyle="1" w:styleId="noindent1">
    <w:name w:val="noindent1"/>
    <w:basedOn w:val="Normal"/>
    <w:rsid w:val="00D3271D"/>
    <w:pPr>
      <w:spacing w:after="270"/>
    </w:pPr>
    <w:rPr>
      <w:sz w:val="24"/>
    </w:rPr>
  </w:style>
  <w:style w:type="paragraph" w:styleId="ListParagraph">
    <w:name w:val="List Paragraph"/>
    <w:basedOn w:val="Normal"/>
    <w:uiPriority w:val="34"/>
    <w:qFormat/>
    <w:rsid w:val="00D3271D"/>
    <w:pPr>
      <w:ind w:left="720"/>
    </w:pPr>
    <w:rPr>
      <w:rFonts w:eastAsiaTheme="minorHAnsi" w:cs="Calibri"/>
    </w:rPr>
  </w:style>
  <w:style w:type="paragraph" w:styleId="CommentSubject">
    <w:name w:val="annotation subject"/>
    <w:basedOn w:val="CommentText"/>
    <w:next w:val="CommentText"/>
    <w:link w:val="CommentSubjectChar"/>
    <w:rsid w:val="00375A4A"/>
    <w:pPr>
      <w:spacing w:before="0" w:line="240" w:lineRule="auto"/>
      <w:ind w:left="0" w:firstLine="0"/>
    </w:pPr>
    <w:rPr>
      <w:b/>
      <w:bCs/>
      <w:szCs w:val="20"/>
    </w:rPr>
  </w:style>
  <w:style w:type="character" w:customStyle="1" w:styleId="CommentSubjectChar">
    <w:name w:val="Comment Subject Char"/>
    <w:basedOn w:val="CommentTextChar"/>
    <w:link w:val="CommentSubject"/>
    <w:rsid w:val="00375A4A"/>
    <w:rPr>
      <w:b/>
      <w:bCs/>
      <w:szCs w:val="24"/>
    </w:rPr>
  </w:style>
  <w:style w:type="paragraph" w:styleId="Revision">
    <w:name w:val="Revision"/>
    <w:hidden/>
    <w:uiPriority w:val="99"/>
    <w:semiHidden/>
    <w:rsid w:val="006A2CD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97E97"/>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1Char">
    <w:name w:val="Heading 1 Char"/>
    <w:basedOn w:val="DefaultParagraphFont"/>
    <w:link w:val="Heading1"/>
    <w:rsid w:val="00D3271D"/>
    <w:rPr>
      <w:sz w:val="52"/>
    </w:rPr>
  </w:style>
  <w:style w:type="character" w:customStyle="1" w:styleId="Heading2Char">
    <w:name w:val="Heading 2 Char"/>
    <w:basedOn w:val="DefaultParagraphFont"/>
    <w:link w:val="Heading2"/>
    <w:rsid w:val="00D3271D"/>
    <w:rPr>
      <w:rFonts w:ascii="Arial" w:hAnsi="Arial"/>
      <w:b/>
      <w:sz w:val="32"/>
    </w:rPr>
  </w:style>
  <w:style w:type="character" w:customStyle="1" w:styleId="Heading3Char">
    <w:name w:val="Heading 3 Char"/>
    <w:basedOn w:val="DefaultParagraphFont"/>
    <w:link w:val="Heading3"/>
    <w:rsid w:val="00D3271D"/>
    <w:rPr>
      <w:rFonts w:ascii="Arial" w:hAnsi="Arial"/>
      <w:b/>
      <w:sz w:val="26"/>
    </w:rPr>
  </w:style>
  <w:style w:type="character" w:customStyle="1" w:styleId="Heading4Char">
    <w:name w:val="Heading 4 Char"/>
    <w:basedOn w:val="DefaultParagraphFont"/>
    <w:link w:val="Heading4"/>
    <w:rsid w:val="00D3271D"/>
    <w:rPr>
      <w:rFonts w:ascii="Arial" w:hAnsi="Arial"/>
      <w:i/>
      <w:sz w:val="24"/>
    </w:rPr>
  </w:style>
  <w:style w:type="character" w:customStyle="1" w:styleId="Heading5Char">
    <w:name w:val="Heading 5 Char"/>
    <w:basedOn w:val="DefaultParagraphFont"/>
    <w:link w:val="Heading5"/>
    <w:rsid w:val="00D3271D"/>
    <w:rPr>
      <w:i/>
      <w:sz w:val="26"/>
    </w:rPr>
  </w:style>
  <w:style w:type="character" w:customStyle="1" w:styleId="Heading6Char">
    <w:name w:val="Heading 6 Char"/>
    <w:basedOn w:val="DefaultParagraphFont"/>
    <w:link w:val="Heading6"/>
    <w:rsid w:val="00D3271D"/>
    <w:rPr>
      <w:i/>
      <w:sz w:val="22"/>
    </w:rPr>
  </w:style>
  <w:style w:type="character" w:customStyle="1" w:styleId="Heading7Char">
    <w:name w:val="Heading 7 Char"/>
    <w:basedOn w:val="DefaultParagraphFont"/>
    <w:link w:val="Heading7"/>
    <w:rsid w:val="00D3271D"/>
    <w:rPr>
      <w:rFonts w:ascii="Arial" w:hAnsi="Arial"/>
    </w:rPr>
  </w:style>
  <w:style w:type="character" w:customStyle="1" w:styleId="Heading8Char">
    <w:name w:val="Heading 8 Char"/>
    <w:basedOn w:val="DefaultParagraphFont"/>
    <w:link w:val="Heading8"/>
    <w:rsid w:val="00D3271D"/>
    <w:rPr>
      <w:rFonts w:ascii="Arial" w:hAnsi="Arial"/>
      <w:i/>
    </w:rPr>
  </w:style>
  <w:style w:type="character" w:customStyle="1" w:styleId="Heading9Char">
    <w:name w:val="Heading 9 Char"/>
    <w:basedOn w:val="DefaultParagraphFont"/>
    <w:link w:val="Heading9"/>
    <w:rsid w:val="00D3271D"/>
    <w:rPr>
      <w:rFonts w:ascii="Arial" w:hAnsi="Arial"/>
      <w:b/>
      <w:i/>
      <w:sz w:val="18"/>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D3271D"/>
    <w:rPr>
      <w:sz w:val="26"/>
    </w:rPr>
  </w:style>
  <w:style w:type="character" w:customStyle="1" w:styleId="FooterChar">
    <w:name w:val="Footer Char"/>
    <w:basedOn w:val="DefaultParagraphFont"/>
    <w:link w:val="Footer"/>
    <w:semiHidden/>
    <w:rsid w:val="00D3271D"/>
    <w:rPr>
      <w:caps/>
      <w:spacing w:val="-4"/>
      <w:sz w:val="16"/>
    </w:rPr>
  </w:style>
  <w:style w:type="character" w:customStyle="1" w:styleId="HeaderChar">
    <w:name w:val="Header Char"/>
    <w:basedOn w:val="DefaultParagraphFont"/>
    <w:link w:val="Header"/>
    <w:rsid w:val="00D3271D"/>
    <w:rPr>
      <w:rFonts w:ascii="Arial" w:hAnsi="Arial"/>
      <w:caps/>
      <w:sz w:val="26"/>
    </w:rPr>
  </w:style>
  <w:style w:type="character" w:customStyle="1" w:styleId="CommentTextChar">
    <w:name w:val="Comment Text Char"/>
    <w:basedOn w:val="DefaultParagraphFont"/>
    <w:link w:val="CommentText"/>
    <w:uiPriority w:val="99"/>
    <w:semiHidden/>
    <w:rsid w:val="00D3271D"/>
    <w:rPr>
      <w:szCs w:val="24"/>
    </w:rPr>
  </w:style>
  <w:style w:type="character" w:customStyle="1" w:styleId="FootnoteTextChar">
    <w:name w:val="Footnote Text Char"/>
    <w:basedOn w:val="DefaultParagraphFont"/>
    <w:link w:val="FootnoteText"/>
    <w:rsid w:val="00D3271D"/>
    <w:rPr>
      <w:sz w:val="22"/>
    </w:rPr>
  </w:style>
  <w:style w:type="character" w:customStyle="1" w:styleId="QuoteChar">
    <w:name w:val="Quote Char"/>
    <w:basedOn w:val="DefaultParagraphFont"/>
    <w:link w:val="Quote"/>
    <w:rsid w:val="00D3271D"/>
    <w:rPr>
      <w:sz w:val="24"/>
    </w:rPr>
  </w:style>
  <w:style w:type="character" w:customStyle="1" w:styleId="SourceChar">
    <w:name w:val="Source Char"/>
    <w:basedOn w:val="DefaultParagraphFont"/>
    <w:link w:val="Source"/>
    <w:rsid w:val="00D3271D"/>
    <w:rPr>
      <w:rFonts w:ascii="Arial" w:hAnsi="Arial"/>
      <w:sz w:val="18"/>
    </w:rPr>
  </w:style>
  <w:style w:type="character" w:styleId="Hyperlink">
    <w:name w:val="Hyperlink"/>
    <w:basedOn w:val="DefaultParagraphFont"/>
    <w:rsid w:val="00D3271D"/>
    <w:rPr>
      <w:color w:val="0000FF" w:themeColor="hyperlink"/>
      <w:u w:val="single"/>
    </w:rPr>
  </w:style>
  <w:style w:type="paragraph" w:customStyle="1" w:styleId="Default">
    <w:name w:val="Default"/>
    <w:rsid w:val="00D3271D"/>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D3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D3271D"/>
    <w:pPr>
      <w:spacing w:line="260" w:lineRule="exact"/>
    </w:pPr>
    <w:rPr>
      <w:rFonts w:ascii="Helvetica 45 Light" w:hAnsi="Helvetica 45 Light"/>
      <w:sz w:val="18"/>
      <w:lang w:eastAsia="en-US"/>
    </w:rPr>
  </w:style>
  <w:style w:type="paragraph" w:styleId="EndnoteText">
    <w:name w:val="endnote text"/>
    <w:basedOn w:val="Normal"/>
    <w:link w:val="EndnoteTextChar"/>
    <w:rsid w:val="00D3271D"/>
    <w:rPr>
      <w:sz w:val="20"/>
      <w:szCs w:val="20"/>
    </w:rPr>
  </w:style>
  <w:style w:type="character" w:customStyle="1" w:styleId="EndnoteTextChar">
    <w:name w:val="Endnote Text Char"/>
    <w:basedOn w:val="DefaultParagraphFont"/>
    <w:link w:val="EndnoteText"/>
    <w:rsid w:val="00D3271D"/>
  </w:style>
  <w:style w:type="character" w:styleId="EndnoteReference">
    <w:name w:val="endnote reference"/>
    <w:basedOn w:val="DefaultParagraphFont"/>
    <w:rsid w:val="00D3271D"/>
    <w:rPr>
      <w:vertAlign w:val="superscript"/>
    </w:rPr>
  </w:style>
  <w:style w:type="paragraph" w:styleId="NormalWeb">
    <w:name w:val="Normal (Web)"/>
    <w:basedOn w:val="Normal"/>
    <w:uiPriority w:val="99"/>
    <w:unhideWhenUsed/>
    <w:rsid w:val="00D3271D"/>
    <w:pPr>
      <w:spacing w:before="100" w:beforeAutospacing="1" w:after="100" w:afterAutospacing="1"/>
    </w:pPr>
    <w:rPr>
      <w:color w:val="000000"/>
      <w:sz w:val="24"/>
    </w:rPr>
  </w:style>
  <w:style w:type="paragraph" w:customStyle="1" w:styleId="noindent1">
    <w:name w:val="noindent1"/>
    <w:basedOn w:val="Normal"/>
    <w:rsid w:val="00D3271D"/>
    <w:pPr>
      <w:spacing w:after="270"/>
    </w:pPr>
    <w:rPr>
      <w:sz w:val="24"/>
    </w:rPr>
  </w:style>
  <w:style w:type="paragraph" w:styleId="ListParagraph">
    <w:name w:val="List Paragraph"/>
    <w:basedOn w:val="Normal"/>
    <w:uiPriority w:val="34"/>
    <w:qFormat/>
    <w:rsid w:val="00D3271D"/>
    <w:pPr>
      <w:ind w:left="720"/>
    </w:pPr>
    <w:rPr>
      <w:rFonts w:eastAsiaTheme="minorHAnsi" w:cs="Calibri"/>
    </w:rPr>
  </w:style>
  <w:style w:type="paragraph" w:styleId="CommentSubject">
    <w:name w:val="annotation subject"/>
    <w:basedOn w:val="CommentText"/>
    <w:next w:val="CommentText"/>
    <w:link w:val="CommentSubjectChar"/>
    <w:rsid w:val="00375A4A"/>
    <w:pPr>
      <w:spacing w:before="0" w:line="240" w:lineRule="auto"/>
      <w:ind w:left="0" w:firstLine="0"/>
    </w:pPr>
    <w:rPr>
      <w:b/>
      <w:bCs/>
      <w:szCs w:val="20"/>
    </w:rPr>
  </w:style>
  <w:style w:type="character" w:customStyle="1" w:styleId="CommentSubjectChar">
    <w:name w:val="Comment Subject Char"/>
    <w:basedOn w:val="CommentTextChar"/>
    <w:link w:val="CommentSubject"/>
    <w:rsid w:val="00375A4A"/>
    <w:rPr>
      <w:b/>
      <w:bCs/>
      <w:szCs w:val="24"/>
    </w:rPr>
  </w:style>
  <w:style w:type="paragraph" w:styleId="Revision">
    <w:name w:val="Revision"/>
    <w:hidden/>
    <w:uiPriority w:val="99"/>
    <w:semiHidden/>
    <w:rsid w:val="006A2CD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1261">
      <w:bodyDiv w:val="1"/>
      <w:marLeft w:val="0"/>
      <w:marRight w:val="0"/>
      <w:marTop w:val="0"/>
      <w:marBottom w:val="0"/>
      <w:divBdr>
        <w:top w:val="none" w:sz="0" w:space="0" w:color="auto"/>
        <w:left w:val="none" w:sz="0" w:space="0" w:color="auto"/>
        <w:bottom w:val="none" w:sz="0" w:space="0" w:color="auto"/>
        <w:right w:val="none" w:sz="0" w:space="0" w:color="auto"/>
      </w:divBdr>
    </w:div>
    <w:div w:id="1040940318">
      <w:bodyDiv w:val="1"/>
      <w:marLeft w:val="0"/>
      <w:marRight w:val="0"/>
      <w:marTop w:val="0"/>
      <w:marBottom w:val="0"/>
      <w:divBdr>
        <w:top w:val="none" w:sz="0" w:space="0" w:color="auto"/>
        <w:left w:val="none" w:sz="0" w:space="0" w:color="auto"/>
        <w:bottom w:val="none" w:sz="0" w:space="0" w:color="auto"/>
        <w:right w:val="none" w:sz="0" w:space="0" w:color="auto"/>
      </w:divBdr>
    </w:div>
    <w:div w:id="169942737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C01A0-9588-495E-9E38-62B521A1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1084</TotalTime>
  <Pages>40</Pages>
  <Words>12662</Words>
  <Characters>71972</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Peak demand &amp; Demand management</vt:lpstr>
    </vt:vector>
  </TitlesOfParts>
  <Company>Productivity Commission</Company>
  <LinksUpToDate>false</LinksUpToDate>
  <CharactersWithSpaces>84466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Peak demand &amp; Demand management</dc:title>
  <dc:subject>Electricity Network Regulation</dc:subject>
  <dc:creator>Productivity Commission</dc:creator>
  <dc:description>9.</dc:description>
  <cp:lastModifiedBy>Melissa Edwards</cp:lastModifiedBy>
  <cp:revision>159</cp:revision>
  <cp:lastPrinted>2012-10-07T23:56:00Z</cp:lastPrinted>
  <dcterms:created xsi:type="dcterms:W3CDTF">2012-10-04T06:52:00Z</dcterms:created>
  <dcterms:modified xsi:type="dcterms:W3CDTF">2012-10-18T04:43:00Z</dcterms:modified>
</cp:coreProperties>
</file>