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71" w:rsidRDefault="007C0071" w:rsidP="007C0071">
      <w:pPr>
        <w:rPr>
          <w:b/>
        </w:rPr>
      </w:pPr>
      <w:bookmarkStart w:id="0" w:name="_GoBack"/>
      <w:bookmarkEnd w:id="0"/>
      <w:r>
        <w:rPr>
          <w:b/>
          <w:noProof/>
          <w:lang w:eastAsia="en-AU"/>
        </w:rPr>
        <w:drawing>
          <wp:anchor distT="0" distB="0" distL="114300" distR="114300" simplePos="0" relativeHeight="251658240" behindDoc="1" locked="0" layoutInCell="1" allowOverlap="1" wp14:anchorId="4679E64B" wp14:editId="4D849E91">
            <wp:simplePos x="0" y="0"/>
            <wp:positionH relativeFrom="margin">
              <wp:posOffset>-1170940</wp:posOffset>
            </wp:positionH>
            <wp:positionV relativeFrom="margin">
              <wp:posOffset>-1241425</wp:posOffset>
            </wp:positionV>
            <wp:extent cx="7572375" cy="10708640"/>
            <wp:effectExtent l="0" t="0" r="9525" b="0"/>
            <wp:wrapThrough wrapText="bothSides">
              <wp:wrapPolygon edited="0">
                <wp:start x="0" y="0"/>
                <wp:lineTo x="0" y="21556"/>
                <wp:lineTo x="21573" y="21556"/>
                <wp:lineTo x="2157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ctricity-draft-volume2-cov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72375" cy="10708640"/>
                    </a:xfrm>
                    <a:prstGeom prst="rect">
                      <a:avLst/>
                    </a:prstGeom>
                  </pic:spPr>
                </pic:pic>
              </a:graphicData>
            </a:graphic>
            <wp14:sizeRelH relativeFrom="margin">
              <wp14:pctWidth>0</wp14:pctWidth>
            </wp14:sizeRelH>
            <wp14:sizeRelV relativeFrom="margin">
              <wp14:pctHeight>0</wp14:pctHeight>
            </wp14:sizeRelV>
          </wp:anchor>
        </w:drawing>
      </w:r>
    </w:p>
    <w:p w:rsidR="007C0071" w:rsidRDefault="007C0071" w:rsidP="007C0071">
      <w:pPr>
        <w:rPr>
          <w:b/>
        </w:rPr>
      </w:pPr>
    </w:p>
    <w:p w:rsidR="007C0071" w:rsidRDefault="007C0071" w:rsidP="007C0071">
      <w:pPr>
        <w:rPr>
          <w:b/>
        </w:rPr>
      </w:pPr>
    </w:p>
    <w:p w:rsidR="003E7802" w:rsidRPr="007C0071" w:rsidRDefault="003E7802" w:rsidP="007C0071">
      <w:pPr>
        <w:rPr>
          <w:b/>
        </w:rPr>
      </w:pPr>
      <w:r w:rsidRPr="007C0071">
        <w:rPr>
          <w:b/>
        </w:rPr>
        <w:fldChar w:fldCharType="begin"/>
      </w:r>
      <w:r w:rsidRPr="007C0071">
        <w:rPr>
          <w:b/>
        </w:rPr>
        <w:instrText>SYMBOL 227 \f "Symbol"</w:instrText>
      </w:r>
      <w:r w:rsidRPr="007C0071">
        <w:rPr>
          <w:b/>
        </w:rPr>
        <w:fldChar w:fldCharType="end"/>
      </w:r>
      <w:r w:rsidRPr="007C0071">
        <w:rPr>
          <w:b/>
        </w:rPr>
        <w:t xml:space="preserve"> Commonwealth of Australia </w:t>
      </w:r>
      <w:r w:rsidR="00602523" w:rsidRPr="007C0071">
        <w:rPr>
          <w:b/>
        </w:rPr>
        <w:t>2012</w:t>
      </w:r>
    </w:p>
    <w:p w:rsidR="003E7802" w:rsidRPr="00691AB5" w:rsidRDefault="003E7802" w:rsidP="003E7802">
      <w:pPr>
        <w:pStyle w:val="BodyText"/>
        <w:spacing w:before="160" w:line="240" w:lineRule="auto"/>
        <w:rPr>
          <w:snapToGrid w:val="0"/>
          <w:sz w:val="24"/>
        </w:rPr>
      </w:pPr>
      <w:bookmarkStart w:id="1" w:name="ISSN"/>
      <w:bookmarkEnd w:id="1"/>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sidR="009B12EF">
        <w:rPr>
          <w:snapToGrid w:val="0"/>
          <w:sz w:val="24"/>
        </w:rPr>
        <w:t>Productivity Commission</w:t>
      </w:r>
      <w:r w:rsidRPr="00691AB5">
        <w:rPr>
          <w:snapToGrid w:val="0"/>
          <w:sz w:val="24"/>
        </w:rPr>
        <w:t xml:space="preserve">. Requests and inquiries concerning reproduction and rights should be addressed to </w:t>
      </w:r>
      <w:r w:rsidR="009B12EF">
        <w:rPr>
          <w:snapToGrid w:val="0"/>
          <w:sz w:val="24"/>
        </w:rPr>
        <w:t>Media and Publications (see below)</w:t>
      </w:r>
      <w:r w:rsidR="00734127">
        <w:rPr>
          <w:snapToGrid w:val="0"/>
          <w:sz w:val="24"/>
        </w:rPr>
        <w:t>.</w:t>
      </w:r>
    </w:p>
    <w:p w:rsidR="003E7802" w:rsidRDefault="003E7802" w:rsidP="003E7802">
      <w:pPr>
        <w:pStyle w:val="BodyText"/>
        <w:spacing w:before="160" w:line="240" w:lineRule="auto"/>
        <w:rPr>
          <w:i/>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Me</w:t>
      </w:r>
      <w:r w:rsidR="00734127">
        <w:rPr>
          <w:i/>
          <w:snapToGrid w:val="0"/>
          <w:sz w:val="24"/>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F40069" w:rsidP="003E7802">
      <w:pPr>
        <w:pStyle w:val="BodyText"/>
        <w:spacing w:before="160" w:after="120" w:line="240" w:lineRule="auto"/>
        <w:rPr>
          <w:sz w:val="24"/>
          <w:szCs w:val="24"/>
        </w:rPr>
      </w:pPr>
      <w:r>
        <w:rPr>
          <w:sz w:val="24"/>
          <w:szCs w:val="24"/>
        </w:rPr>
        <w:t xml:space="preserve">Productivity Commission 2012, </w:t>
      </w:r>
      <w:r w:rsidRPr="00F40069">
        <w:rPr>
          <w:i/>
          <w:sz w:val="24"/>
          <w:szCs w:val="24"/>
        </w:rPr>
        <w:t>Electricity Network Regulatory Framework</w:t>
      </w:r>
      <w:r w:rsidR="00FE15A7">
        <w:rPr>
          <w:i/>
          <w:sz w:val="24"/>
          <w:szCs w:val="24"/>
        </w:rPr>
        <w:t>s</w:t>
      </w:r>
      <w:r>
        <w:rPr>
          <w:sz w:val="24"/>
          <w:szCs w:val="24"/>
        </w:rPr>
        <w:t>, Draft Report, Canberra.</w:t>
      </w:r>
    </w:p>
    <w:p w:rsidR="003E7802" w:rsidRPr="00DC75C7" w:rsidRDefault="003E7802" w:rsidP="003E7802">
      <w:pPr>
        <w:pStyle w:val="BodyText"/>
        <w:pBdr>
          <w:top w:val="single" w:sz="4" w:space="5" w:color="auto"/>
          <w:left w:val="single" w:sz="4" w:space="8" w:color="auto"/>
          <w:bottom w:val="single" w:sz="4" w:space="14" w:color="auto"/>
          <w:right w:val="single" w:sz="4" w:space="8" w:color="auto"/>
        </w:pBdr>
        <w:spacing w:before="120" w:line="240" w:lineRule="auto"/>
        <w:ind w:left="284" w:right="284"/>
        <w:rPr>
          <w:b/>
          <w:i/>
          <w:sz w:val="24"/>
          <w:szCs w:val="24"/>
        </w:rPr>
      </w:pPr>
      <w:bookmarkStart w:id="2" w:name="JEL"/>
      <w:bookmarkEnd w:id="2"/>
      <w:r w:rsidRPr="00DC75C7">
        <w:rPr>
          <w:b/>
          <w:i/>
          <w:sz w:val="24"/>
          <w:szCs w:val="24"/>
        </w:rPr>
        <w:t>The Productivity Commission</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2B55DD" w:rsidRDefault="002B55DD">
      <w:bookmarkStart w:id="3" w:name="cov"/>
      <w:bookmarkEnd w:id="3"/>
      <w:r>
        <w:br w:type="page"/>
      </w:r>
    </w:p>
    <w:p w:rsidR="002B55DD" w:rsidRDefault="002B55DD">
      <w:pPr>
        <w:pStyle w:val="BodyText"/>
        <w:sectPr w:rsidR="002B55DD" w:rsidSect="0087386B">
          <w:headerReference w:type="default" r:id="rId10"/>
          <w:pgSz w:w="11906" w:h="16838" w:code="9"/>
          <w:pgMar w:top="1985" w:right="1304" w:bottom="1418" w:left="1814" w:header="1701" w:footer="567" w:gutter="0"/>
          <w:pgNumType w:fmt="lowerRoman"/>
          <w:cols w:space="708"/>
          <w:docGrid w:linePitch="360"/>
        </w:sectPr>
      </w:pPr>
    </w:p>
    <w:p w:rsidR="00A633F0" w:rsidRDefault="00735FEA" w:rsidP="00560455">
      <w:pPr>
        <w:pStyle w:val="Heading1NotTOC"/>
      </w:pPr>
      <w:bookmarkStart w:id="4" w:name="Contents"/>
      <w:bookmarkEnd w:id="4"/>
      <w:r w:rsidRPr="00B153C3">
        <w:lastRenderedPageBreak/>
        <w:t>Contents</w:t>
      </w:r>
      <w:bookmarkStart w:id="5" w:name="InsertContents"/>
      <w:bookmarkEnd w:id="5"/>
    </w:p>
    <w:p w:rsidR="00A633F0" w:rsidRPr="00A633F0" w:rsidRDefault="00A633F0" w:rsidP="00A633F0">
      <w:pPr>
        <w:pStyle w:val="BodyText"/>
      </w:pPr>
      <w:r>
        <w:t xml:space="preserve">The Commission’s report is in two volumes. </w:t>
      </w:r>
      <w:r w:rsidR="001C60E6">
        <w:rPr>
          <w:b/>
        </w:rPr>
        <w:t>This volume 2</w:t>
      </w:r>
      <w:r>
        <w:rPr>
          <w:b/>
        </w:rPr>
        <w:t xml:space="preserve"> </w:t>
      </w:r>
      <w:r w:rsidR="001C60E6" w:rsidRPr="001C60E6">
        <w:rPr>
          <w:b/>
        </w:rPr>
        <w:t>contains chapters 9 to 21 and the appendices</w:t>
      </w:r>
      <w:r w:rsidR="001C60E6">
        <w:t xml:space="preserve">. Volume 1 </w:t>
      </w:r>
      <w:r w:rsidRPr="001C60E6">
        <w:t xml:space="preserve">contains the Overview, Draft Recommendations and findings and chapters 1 to 8. </w:t>
      </w:r>
      <w:r>
        <w:t xml:space="preserve">Below is the table of contents for both volumes. </w:t>
      </w:r>
    </w:p>
    <w:p w:rsidR="00560455" w:rsidRPr="00A633F0" w:rsidRDefault="00A633F0" w:rsidP="00A633F0">
      <w:pPr>
        <w:pStyle w:val="TOC1"/>
        <w:pBdr>
          <w:top w:val="single" w:sz="4" w:space="1" w:color="auto"/>
          <w:left w:val="single" w:sz="4" w:space="4" w:color="auto"/>
          <w:bottom w:val="single" w:sz="4" w:space="1" w:color="auto"/>
          <w:right w:val="single" w:sz="4" w:space="31" w:color="auto"/>
        </w:pBdr>
        <w:shd w:val="clear" w:color="auto" w:fill="000000"/>
        <w:jc w:val="center"/>
        <w:rPr>
          <w:color w:val="FFFFFF"/>
        </w:rPr>
      </w:pPr>
      <w:r w:rsidRPr="0070462F">
        <w:rPr>
          <w:color w:val="FFFFFF"/>
        </w:rPr>
        <w:t>Volume 1</w:t>
      </w:r>
    </w:p>
    <w:p w:rsidR="00560455" w:rsidRDefault="00560455">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rsidR="00560455" w:rsidRDefault="00560455">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560455" w:rsidRDefault="00560455">
      <w:pPr>
        <w:pStyle w:val="TOC1"/>
        <w:rPr>
          <w:rFonts w:asciiTheme="minorHAnsi" w:eastAsiaTheme="minorEastAsia" w:hAnsiTheme="minorHAnsi" w:cstheme="minorBidi"/>
          <w:b w:val="0"/>
          <w:noProof/>
          <w:sz w:val="22"/>
          <w:szCs w:val="22"/>
          <w:lang w:eastAsia="en-AU"/>
        </w:rPr>
      </w:pPr>
      <w:r>
        <w:rPr>
          <w:noProof/>
        </w:rPr>
        <w:t>Acknowledgement of referee</w:t>
      </w:r>
      <w:r>
        <w:rPr>
          <w:noProof/>
        </w:rPr>
        <w:tab/>
        <w:t>vi</w:t>
      </w:r>
    </w:p>
    <w:p w:rsidR="00560455" w:rsidRDefault="00560455">
      <w:pPr>
        <w:pStyle w:val="TOC1"/>
        <w:rPr>
          <w:rFonts w:asciiTheme="minorHAnsi" w:eastAsiaTheme="minorEastAsia" w:hAnsiTheme="minorHAnsi" w:cstheme="minorBidi"/>
          <w:b w:val="0"/>
          <w:noProof/>
          <w:sz w:val="22"/>
          <w:szCs w:val="22"/>
          <w:lang w:eastAsia="en-AU"/>
        </w:rPr>
      </w:pPr>
      <w:r>
        <w:rPr>
          <w:noProof/>
        </w:rPr>
        <w:t>Disclosure of interests</w:t>
      </w:r>
      <w:r>
        <w:rPr>
          <w:noProof/>
        </w:rPr>
        <w:tab/>
        <w:t>vi</w:t>
      </w:r>
    </w:p>
    <w:p w:rsidR="00560455" w:rsidRDefault="00560455">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xiii</w:t>
      </w:r>
    </w:p>
    <w:p w:rsidR="00560455" w:rsidRDefault="00560455">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560455" w:rsidRDefault="00560455">
      <w:pPr>
        <w:pStyle w:val="TOC1"/>
        <w:rPr>
          <w:rFonts w:asciiTheme="minorHAnsi" w:eastAsiaTheme="minorEastAsia" w:hAnsiTheme="minorHAnsi" w:cstheme="minorBidi"/>
          <w:b w:val="0"/>
          <w:noProof/>
          <w:sz w:val="22"/>
          <w:szCs w:val="22"/>
          <w:lang w:eastAsia="en-AU"/>
        </w:rPr>
      </w:pPr>
      <w:r>
        <w:rPr>
          <w:noProof/>
        </w:rPr>
        <w:t>Draft Recommendations and findings</w:t>
      </w:r>
      <w:r>
        <w:rPr>
          <w:noProof/>
        </w:rPr>
        <w:tab/>
        <w:t>39</w:t>
      </w:r>
    </w:p>
    <w:p w:rsidR="00560455" w:rsidRDefault="00560455">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63</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are the perceived problems?</w:t>
      </w:r>
      <w:r>
        <w:rPr>
          <w:noProof/>
        </w:rPr>
        <w:tab/>
        <w:t>63</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Overview of the regulatory framework and its institutions</w:t>
      </w:r>
      <w:r>
        <w:rPr>
          <w:noProof/>
        </w:rPr>
        <w:tab/>
        <w:t>66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 to its terms of reference</w:t>
      </w:r>
      <w:r>
        <w:rPr>
          <w:noProof/>
        </w:rPr>
        <w:tab/>
        <w:t>69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A guide to the report</w:t>
      </w:r>
      <w:r>
        <w:rPr>
          <w:noProof/>
        </w:rPr>
        <w:tab/>
        <w:t>74</w:t>
      </w:r>
    </w:p>
    <w:p w:rsidR="00560455" w:rsidRDefault="00560455">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structure and performance of the National Electricity Market</w:t>
      </w:r>
      <w:r>
        <w:rPr>
          <w:noProof/>
        </w:rPr>
        <w:tab/>
        <w:t>79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structure of the National Electricity Market</w:t>
      </w:r>
      <w:r>
        <w:rPr>
          <w:noProof/>
        </w:rPr>
        <w:tab/>
        <w:t>80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scale of the network and its costs</w:t>
      </w:r>
      <w:r>
        <w:rPr>
          <w:noProof/>
        </w:rPr>
        <w:tab/>
        <w:t>91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nature of demand</w:t>
      </w:r>
      <w:r>
        <w:rPr>
          <w:noProof/>
        </w:rPr>
        <w:tab/>
        <w:t>94</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Prices have been rising</w:t>
      </w:r>
      <w:r>
        <w:rPr>
          <w:noProof/>
        </w:rPr>
        <w:tab/>
        <w:t>100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proximate reasons for higher network charges</w:t>
      </w:r>
      <w:r>
        <w:rPr>
          <w:noProof/>
        </w:rPr>
        <w:tab/>
        <w:t>105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Reliability</w:t>
      </w:r>
      <w:r>
        <w:rPr>
          <w:noProof/>
        </w:rPr>
        <w:tab/>
        <w:t>109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2.7</w:t>
      </w:r>
      <w:r>
        <w:rPr>
          <w:rFonts w:asciiTheme="minorHAnsi" w:eastAsiaTheme="minorEastAsia" w:hAnsiTheme="minorHAnsi" w:cstheme="minorBidi"/>
          <w:noProof/>
          <w:sz w:val="22"/>
          <w:szCs w:val="22"/>
          <w:lang w:eastAsia="en-AU"/>
        </w:rPr>
        <w:tab/>
      </w:r>
      <w:r>
        <w:rPr>
          <w:noProof/>
        </w:rPr>
        <w:t>What is at stake?</w:t>
      </w:r>
      <w:r>
        <w:rPr>
          <w:noProof/>
        </w:rPr>
        <w:tab/>
        <w:t>111</w:t>
      </w:r>
    </w:p>
    <w:p w:rsidR="00560455" w:rsidRDefault="00560455">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rationale for regulation of electricity networks</w:t>
      </w:r>
      <w:r>
        <w:rPr>
          <w:noProof/>
        </w:rPr>
        <w:tab/>
        <w:t>115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characteristics of electricity networks</w:t>
      </w:r>
      <w:r>
        <w:rPr>
          <w:noProof/>
        </w:rPr>
        <w:tab/>
        <w:t>116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lastRenderedPageBreak/>
        <w:t>3.2</w:t>
      </w:r>
      <w:r>
        <w:rPr>
          <w:rFonts w:asciiTheme="minorHAnsi" w:eastAsiaTheme="minorEastAsia" w:hAnsiTheme="minorHAnsi" w:cstheme="minorBidi"/>
          <w:noProof/>
          <w:sz w:val="22"/>
          <w:szCs w:val="22"/>
          <w:lang w:eastAsia="en-AU"/>
        </w:rPr>
        <w:tab/>
      </w:r>
      <w:r>
        <w:rPr>
          <w:noProof/>
        </w:rPr>
        <w:t>Evidence about the costs of market power</w:t>
      </w:r>
      <w:r>
        <w:rPr>
          <w:noProof/>
        </w:rPr>
        <w:tab/>
        <w:t>119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case for regulating monopolies</w:t>
      </w:r>
      <w:r>
        <w:rPr>
          <w:noProof/>
        </w:rPr>
        <w:tab/>
        <w:t>120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Are deadweight losses passé? New theories of why monopolies should be regulated</w:t>
      </w:r>
      <w:r>
        <w:rPr>
          <w:noProof/>
        </w:rPr>
        <w:tab/>
        <w:t>132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The alternative policy implications of different theories of monopoly regulation</w:t>
      </w:r>
      <w:r>
        <w:rPr>
          <w:noProof/>
        </w:rPr>
        <w:tab/>
        <w:t>137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In summary</w:t>
      </w:r>
      <w:r>
        <w:rPr>
          <w:noProof/>
        </w:rPr>
        <w:tab/>
        <w:t>138</w:t>
      </w:r>
    </w:p>
    <w:p w:rsidR="00560455" w:rsidRDefault="00560455">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A framework for benchmarking</w:t>
      </w:r>
      <w:r>
        <w:rPr>
          <w:noProof/>
        </w:rPr>
        <w:tab/>
        <w:t>139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Benchmarking managerial efficiency and performance</w:t>
      </w:r>
      <w:r>
        <w:rPr>
          <w:noProof/>
        </w:rPr>
        <w:tab/>
        <w:t>140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Benchmarking techniques</w:t>
      </w:r>
      <w:r>
        <w:rPr>
          <w:noProof/>
        </w:rPr>
        <w:tab/>
        <w:t>146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should be benchmarked?</w:t>
      </w:r>
      <w:r>
        <w:rPr>
          <w:noProof/>
        </w:rPr>
        <w:tab/>
        <w:t>150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The use of benchmarking for Australian electricity networks</w:t>
      </w:r>
      <w:r>
        <w:rPr>
          <w:noProof/>
        </w:rPr>
        <w:tab/>
        <w:t>152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Criteria for judging benchmarking</w:t>
      </w:r>
      <w:r>
        <w:rPr>
          <w:noProof/>
        </w:rPr>
        <w:tab/>
        <w:t>156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Validity — does the measure test what it claims to?</w:t>
      </w:r>
      <w:r>
        <w:rPr>
          <w:noProof/>
        </w:rPr>
        <w:tab/>
        <w:t>158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Other scientific criteria for judging benchmarking</w:t>
      </w:r>
      <w:r>
        <w:rPr>
          <w:noProof/>
        </w:rPr>
        <w:tab/>
        <w:t>168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4.8</w:t>
      </w:r>
      <w:r>
        <w:rPr>
          <w:rFonts w:asciiTheme="minorHAnsi" w:eastAsiaTheme="minorEastAsia" w:hAnsiTheme="minorHAnsi" w:cstheme="minorBidi"/>
          <w:noProof/>
          <w:sz w:val="22"/>
          <w:szCs w:val="22"/>
          <w:lang w:eastAsia="en-AU"/>
        </w:rPr>
        <w:tab/>
      </w:r>
      <w:r>
        <w:rPr>
          <w:noProof/>
        </w:rPr>
        <w:t>Testing the credibility of results</w:t>
      </w:r>
      <w:r>
        <w:rPr>
          <w:noProof/>
        </w:rPr>
        <w:tab/>
        <w:t>172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4.9</w:t>
      </w:r>
      <w:r>
        <w:rPr>
          <w:rFonts w:asciiTheme="minorHAnsi" w:eastAsiaTheme="minorEastAsia" w:hAnsiTheme="minorHAnsi" w:cstheme="minorBidi"/>
          <w:noProof/>
          <w:sz w:val="22"/>
          <w:szCs w:val="22"/>
          <w:lang w:eastAsia="en-AU"/>
        </w:rPr>
        <w:tab/>
      </w:r>
      <w:r>
        <w:rPr>
          <w:noProof/>
        </w:rPr>
        <w:t>No perfect measure is possible</w:t>
      </w:r>
      <w:r>
        <w:rPr>
          <w:noProof/>
        </w:rPr>
        <w:tab/>
        <w:t>175</w:t>
      </w:r>
    </w:p>
    <w:p w:rsidR="00560455" w:rsidRDefault="00560455">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Incentive regulation and benchmarking</w:t>
      </w:r>
      <w:r>
        <w:rPr>
          <w:noProof/>
        </w:rPr>
        <w:tab/>
        <w:t>177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Incentive regulation</w:t>
      </w:r>
      <w:r>
        <w:rPr>
          <w:noProof/>
        </w:rPr>
        <w:tab/>
        <w:t>178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Incentive regulation and the electricity sector</w:t>
      </w:r>
      <w:r>
        <w:rPr>
          <w:noProof/>
        </w:rPr>
        <w:tab/>
        <w:t>182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Effectiveness of incentives applying to capex</w:t>
      </w:r>
      <w:r>
        <w:rPr>
          <w:noProof/>
        </w:rPr>
        <w:tab/>
        <w:t>190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The AER’s ability to determine expenditure forecasts</w:t>
      </w:r>
      <w:r>
        <w:rPr>
          <w:noProof/>
        </w:rPr>
        <w:tab/>
        <w:t>210</w:t>
      </w:r>
    </w:p>
    <w:p w:rsidR="00560455" w:rsidRDefault="00560455">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Empirical evidence of network efficiency levels</w:t>
      </w:r>
      <w:r>
        <w:rPr>
          <w:noProof/>
        </w:rPr>
        <w:tab/>
        <w:t>219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Existing evidence and arguments</w:t>
      </w:r>
      <w:r>
        <w:rPr>
          <w:noProof/>
        </w:rPr>
        <w:tab/>
        <w:t>220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relative impacts of the WACC, capex and opex</w:t>
      </w:r>
      <w:r>
        <w:rPr>
          <w:noProof/>
        </w:rPr>
        <w:tab/>
        <w:t>228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Demand driven augmentation</w:t>
      </w:r>
      <w:r>
        <w:rPr>
          <w:noProof/>
        </w:rPr>
        <w:tab/>
        <w:t>231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What does the RAB tell us?</w:t>
      </w:r>
      <w:r>
        <w:rPr>
          <w:noProof/>
        </w:rPr>
        <w:tab/>
        <w:t>237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Expenditure, allowances and timing</w:t>
      </w:r>
      <w:r>
        <w:rPr>
          <w:noProof/>
        </w:rPr>
        <w:tab/>
        <w:t>242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Public and private ownership</w:t>
      </w:r>
      <w:r>
        <w:rPr>
          <w:noProof/>
        </w:rPr>
        <w:tab/>
        <w:t>246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6.7</w:t>
      </w:r>
      <w:r>
        <w:rPr>
          <w:rFonts w:asciiTheme="minorHAnsi" w:eastAsiaTheme="minorEastAsia" w:hAnsiTheme="minorHAnsi" w:cstheme="minorBidi"/>
          <w:noProof/>
          <w:sz w:val="22"/>
          <w:szCs w:val="22"/>
          <w:lang w:eastAsia="en-AU"/>
        </w:rPr>
        <w:tab/>
      </w:r>
      <w:r>
        <w:rPr>
          <w:noProof/>
        </w:rPr>
        <w:t>Conclusions</w:t>
      </w:r>
      <w:r>
        <w:rPr>
          <w:noProof/>
        </w:rPr>
        <w:tab/>
        <w:t>249</w:t>
      </w:r>
    </w:p>
    <w:p w:rsidR="00560455" w:rsidRDefault="00560455">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Ownership</w:t>
      </w:r>
      <w:r>
        <w:rPr>
          <w:noProof/>
        </w:rPr>
        <w:tab/>
        <w:t>251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lastRenderedPageBreak/>
        <w:t>7.1</w:t>
      </w:r>
      <w:r>
        <w:rPr>
          <w:rFonts w:asciiTheme="minorHAnsi" w:eastAsiaTheme="minorEastAsia" w:hAnsiTheme="minorHAnsi" w:cstheme="minorBidi"/>
          <w:noProof/>
          <w:sz w:val="22"/>
          <w:szCs w:val="22"/>
          <w:lang w:eastAsia="en-AU"/>
        </w:rPr>
        <w:tab/>
      </w:r>
      <w:r>
        <w:rPr>
          <w:noProof/>
        </w:rPr>
        <w:t>A framework for considering ownership</w:t>
      </w:r>
      <w:r>
        <w:rPr>
          <w:noProof/>
        </w:rPr>
        <w:tab/>
        <w:t>252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Incentive regulation and state-owned corporations</w:t>
      </w:r>
      <w:r>
        <w:rPr>
          <w:noProof/>
        </w:rPr>
        <w:tab/>
        <w:t>255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Non-commercial imperatives and interference</w:t>
      </w:r>
      <w:r>
        <w:rPr>
          <w:noProof/>
        </w:rPr>
        <w:tab/>
        <w:t>257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The productivity and performance of state-owned businesses</w:t>
      </w:r>
      <w:r>
        <w:rPr>
          <w:noProof/>
        </w:rPr>
        <w:tab/>
        <w:t>264</w:t>
      </w:r>
    </w:p>
    <w:p w:rsidR="00560455" w:rsidRDefault="00560455">
      <w:pPr>
        <w:pStyle w:val="TOC2"/>
        <w:rPr>
          <w:rFonts w:asciiTheme="minorHAnsi" w:eastAsiaTheme="minorEastAsia" w:hAnsiTheme="minorHAnsi" w:cstheme="minorBidi"/>
          <w:noProof/>
          <w:sz w:val="22"/>
          <w:szCs w:val="22"/>
          <w:lang w:eastAsia="en-AU"/>
        </w:rPr>
      </w:pPr>
      <w:r>
        <w:rPr>
          <w:noProof/>
        </w:rPr>
        <w:t>The bottom line</w:t>
      </w:r>
      <w:r>
        <w:rPr>
          <w:noProof/>
        </w:rPr>
        <w:tab/>
        <w:t>267</w:t>
      </w:r>
    </w:p>
    <w:p w:rsidR="00560455" w:rsidRDefault="00560455">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How should the Australian Energy Regulator use benchmarking?</w:t>
      </w:r>
      <w:r>
        <w:rPr>
          <w:noProof/>
        </w:rPr>
        <w:tab/>
        <w:t>269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Could benchmarking have a mechanistic role in setting revenue allowances?</w:t>
      </w:r>
      <w:r>
        <w:rPr>
          <w:noProof/>
        </w:rPr>
        <w:tab/>
        <w:t>271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Benchmarking could act as a basic test of the effectiveness of the regulatory regime</w:t>
      </w:r>
      <w:r>
        <w:rPr>
          <w:noProof/>
        </w:rPr>
        <w:tab/>
        <w:t>276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Could more targeted analysis act as a filter?</w:t>
      </w:r>
      <w:r>
        <w:rPr>
          <w:noProof/>
        </w:rPr>
        <w:tab/>
        <w:t>279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Benchmarking could be a trigger for negotiated settlements</w:t>
      </w:r>
      <w:r>
        <w:rPr>
          <w:noProof/>
        </w:rPr>
        <w:tab/>
        <w:t>286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Information and ‘moral suasion’</w:t>
      </w:r>
      <w:r>
        <w:rPr>
          <w:noProof/>
        </w:rPr>
        <w:tab/>
        <w:t>290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The long-run application of benchmarking</w:t>
      </w:r>
      <w:r>
        <w:rPr>
          <w:noProof/>
        </w:rPr>
        <w:tab/>
        <w:t>291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The regulator’s benchmarking practices</w:t>
      </w:r>
      <w:r>
        <w:rPr>
          <w:noProof/>
        </w:rPr>
        <w:tab/>
        <w:t>292</w:t>
      </w:r>
    </w:p>
    <w:p w:rsidR="00232EF8" w:rsidRDefault="00560455" w:rsidP="00232EF8">
      <w:pPr>
        <w:pStyle w:val="TOC2"/>
        <w:tabs>
          <w:tab w:val="left" w:pos="1190"/>
        </w:tabs>
        <w:rPr>
          <w:noProof/>
        </w:rPr>
      </w:pPr>
      <w:r>
        <w:rPr>
          <w:noProof/>
        </w:rPr>
        <w:t>8.8</w:t>
      </w:r>
      <w:r>
        <w:rPr>
          <w:rFonts w:asciiTheme="minorHAnsi" w:eastAsiaTheme="minorEastAsia" w:hAnsiTheme="minorHAnsi" w:cstheme="minorBidi"/>
          <w:noProof/>
          <w:sz w:val="22"/>
          <w:szCs w:val="22"/>
          <w:lang w:eastAsia="en-AU"/>
        </w:rPr>
        <w:tab/>
      </w:r>
      <w:r>
        <w:rPr>
          <w:noProof/>
        </w:rPr>
        <w:t>Conclusion</w:t>
      </w:r>
      <w:r>
        <w:rPr>
          <w:noProof/>
        </w:rPr>
        <w:tab/>
        <w:t>300</w:t>
      </w:r>
    </w:p>
    <w:p w:rsidR="00232EF8" w:rsidRPr="00232EF8" w:rsidRDefault="00232EF8" w:rsidP="00232EF8">
      <w:pPr>
        <w:pStyle w:val="TOC2"/>
        <w:tabs>
          <w:tab w:val="left" w:pos="1190"/>
        </w:tabs>
        <w:rPr>
          <w:rFonts w:asciiTheme="minorHAnsi" w:eastAsiaTheme="minorEastAsia" w:hAnsiTheme="minorHAnsi" w:cstheme="minorBidi"/>
          <w:noProof/>
          <w:sz w:val="22"/>
          <w:szCs w:val="22"/>
          <w:lang w:eastAsia="en-AU"/>
        </w:rPr>
      </w:pPr>
    </w:p>
    <w:p w:rsidR="00232EF8" w:rsidRPr="00232EF8" w:rsidRDefault="00232EF8" w:rsidP="00232EF8">
      <w:pPr>
        <w:pStyle w:val="TOC1"/>
        <w:pBdr>
          <w:top w:val="single" w:sz="4" w:space="1" w:color="auto"/>
          <w:left w:val="single" w:sz="4" w:space="4" w:color="auto"/>
          <w:bottom w:val="single" w:sz="4" w:space="1" w:color="auto"/>
          <w:right w:val="single" w:sz="4" w:space="31" w:color="auto"/>
        </w:pBdr>
        <w:shd w:val="clear" w:color="auto" w:fill="000000"/>
        <w:jc w:val="center"/>
        <w:rPr>
          <w:color w:val="FFFFFF"/>
        </w:rPr>
      </w:pPr>
      <w:r>
        <w:rPr>
          <w:color w:val="FFFFFF"/>
        </w:rPr>
        <w:t>Volume 2</w:t>
      </w:r>
    </w:p>
    <w:p w:rsidR="00232EF8" w:rsidRDefault="00232EF8">
      <w:pPr>
        <w:pStyle w:val="TOC1"/>
        <w:rPr>
          <w:noProof/>
        </w:rPr>
      </w:pPr>
    </w:p>
    <w:p w:rsidR="00560455" w:rsidRDefault="00560455">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Peak demand and demand management</w:t>
      </w:r>
      <w:r>
        <w:rPr>
          <w:noProof/>
        </w:rPr>
        <w:tab/>
        <w:t>301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What is peak demand and why is it a problem?</w:t>
      </w:r>
      <w:r>
        <w:rPr>
          <w:noProof/>
        </w:rPr>
        <w:tab/>
        <w:t>302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A roadmap for how this report addresses peak demand management</w:t>
      </w:r>
      <w:r>
        <w:rPr>
          <w:noProof/>
        </w:rPr>
        <w:tab/>
        <w:t>305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Facets of the peak demand problem</w:t>
      </w:r>
      <w:r>
        <w:rPr>
          <w:noProof/>
        </w:rPr>
        <w:tab/>
        <w:t>307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What is demand management and how can it provide a solution?</w:t>
      </w:r>
      <w:r>
        <w:rPr>
          <w:noProof/>
        </w:rPr>
        <w:tab/>
        <w:t>318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Demand management is not widely implemented</w:t>
      </w:r>
      <w:r>
        <w:rPr>
          <w:noProof/>
        </w:rPr>
        <w:tab/>
        <w:t>325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Why is the uptake of demand management so low?</w:t>
      </w:r>
      <w:r>
        <w:rPr>
          <w:noProof/>
        </w:rPr>
        <w:tab/>
        <w:t>331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Gauging the prospective benefits and costs of demand management</w:t>
      </w:r>
      <w:r>
        <w:rPr>
          <w:noProof/>
        </w:rPr>
        <w:tab/>
        <w:t>332</w:t>
      </w:r>
    </w:p>
    <w:p w:rsidR="00560455" w:rsidRDefault="00560455">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Technologies to achieve demand management</w:t>
      </w:r>
      <w:r>
        <w:rPr>
          <w:noProof/>
        </w:rPr>
        <w:tab/>
        <w:t>341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About demand management technologies</w:t>
      </w:r>
      <w:r>
        <w:rPr>
          <w:noProof/>
        </w:rPr>
        <w:tab/>
        <w:t>343</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lastRenderedPageBreak/>
        <w:t>10.2</w:t>
      </w:r>
      <w:r>
        <w:rPr>
          <w:rFonts w:asciiTheme="minorHAnsi" w:eastAsiaTheme="minorEastAsia" w:hAnsiTheme="minorHAnsi" w:cstheme="minorBidi"/>
          <w:noProof/>
          <w:sz w:val="22"/>
          <w:szCs w:val="22"/>
          <w:lang w:eastAsia="en-AU"/>
        </w:rPr>
        <w:tab/>
      </w:r>
      <w:r>
        <w:rPr>
          <w:noProof/>
        </w:rPr>
        <w:t>Some challenges implementing smart meters</w:t>
      </w:r>
      <w:r>
        <w:rPr>
          <w:noProof/>
        </w:rPr>
        <w:tab/>
        <w:t>351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Other technologies to reduce peak load inefficiencies</w:t>
      </w:r>
      <w:r>
        <w:rPr>
          <w:noProof/>
        </w:rPr>
        <w:tab/>
        <w:t>372</w:t>
      </w:r>
    </w:p>
    <w:p w:rsidR="00560455" w:rsidRDefault="00560455">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Moving to time-based pricing for the distribution network</w:t>
      </w:r>
      <w:r>
        <w:rPr>
          <w:noProof/>
        </w:rPr>
        <w:tab/>
        <w:t>377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Introduction</w:t>
      </w:r>
      <w:r>
        <w:rPr>
          <w:noProof/>
        </w:rPr>
        <w:tab/>
        <w:t>378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How do distribution businesses currently price?</w:t>
      </w:r>
      <w:r>
        <w:rPr>
          <w:noProof/>
        </w:rPr>
        <w:tab/>
        <w:t>382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Implementing time-based pricing</w:t>
      </w:r>
      <w:r>
        <w:rPr>
          <w:noProof/>
        </w:rPr>
        <w:tab/>
        <w:t>387</w:t>
      </w:r>
    </w:p>
    <w:p w:rsidR="00560455" w:rsidRDefault="00560455">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Complementary reforms to support demand management</w:t>
      </w:r>
      <w:r>
        <w:rPr>
          <w:noProof/>
        </w:rPr>
        <w:tab/>
        <w:t>415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Incentive regulation of network businesses</w:t>
      </w:r>
      <w:r>
        <w:rPr>
          <w:noProof/>
        </w:rPr>
        <w:tab/>
        <w:t>416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Retailers’ incentives and price regulation</w:t>
      </w:r>
      <w:r>
        <w:rPr>
          <w:noProof/>
        </w:rPr>
        <w:tab/>
        <w:t>427</w:t>
      </w:r>
    </w:p>
    <w:p w:rsidR="00560455" w:rsidRDefault="00560455">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Distributed generation</w:t>
      </w:r>
      <w:r>
        <w:rPr>
          <w:noProof/>
        </w:rPr>
        <w:tab/>
        <w:t>439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What is distributed generation?</w:t>
      </w:r>
      <w:r>
        <w:rPr>
          <w:noProof/>
        </w:rPr>
        <w:tab/>
        <w:t>440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Scale of distributed generation in Australia</w:t>
      </w:r>
      <w:r>
        <w:rPr>
          <w:noProof/>
        </w:rPr>
        <w:tab/>
        <w:t>442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Potential benefits of distributed generation</w:t>
      </w:r>
      <w:r>
        <w:rPr>
          <w:noProof/>
        </w:rPr>
        <w:tab/>
        <w:t>443</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Effects of distributed generation on network costs</w:t>
      </w:r>
      <w:r>
        <w:rPr>
          <w:noProof/>
        </w:rPr>
        <w:tab/>
        <w:t>444</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Obstacles to efficient network investment</w:t>
      </w:r>
      <w:r>
        <w:rPr>
          <w:noProof/>
        </w:rPr>
        <w:tab/>
        <w:t>448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Benchmarking to achieve efficient levels of network use of distributed generation</w:t>
      </w:r>
      <w:r>
        <w:rPr>
          <w:noProof/>
        </w:rPr>
        <w:tab/>
        <w:t>458</w:t>
      </w:r>
    </w:p>
    <w:p w:rsidR="00560455" w:rsidRDefault="00560455">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Building a reliability framework in order to benchmark</w:t>
      </w:r>
      <w:r>
        <w:rPr>
          <w:noProof/>
        </w:rPr>
        <w:tab/>
        <w:t>461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What issues does reliability raise?</w:t>
      </w:r>
      <w:r>
        <w:rPr>
          <w:noProof/>
        </w:rPr>
        <w:tab/>
        <w:t>463</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Reliability under incentive regulation</w:t>
      </w:r>
      <w:r>
        <w:rPr>
          <w:noProof/>
        </w:rPr>
        <w:tab/>
        <w:t>465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The costs of reliability for network businesses</w:t>
      </w:r>
      <w:r>
        <w:rPr>
          <w:noProof/>
        </w:rPr>
        <w:tab/>
        <w:t>466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What level of reliability is efficient?</w:t>
      </w:r>
      <w:r>
        <w:rPr>
          <w:noProof/>
        </w:rPr>
        <w:tab/>
        <w:t>470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Measuring the value of reliability</w:t>
      </w:r>
      <w:r>
        <w:rPr>
          <w:noProof/>
        </w:rPr>
        <w:tab/>
        <w:t>470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Concluding comments</w:t>
      </w:r>
      <w:r>
        <w:rPr>
          <w:noProof/>
        </w:rPr>
        <w:tab/>
        <w:t>482</w:t>
      </w:r>
    </w:p>
    <w:p w:rsidR="00560455" w:rsidRDefault="00560455">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Transmission reliability</w:t>
      </w:r>
      <w:r>
        <w:rPr>
          <w:noProof/>
        </w:rPr>
        <w:tab/>
        <w:t>485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Introduction</w:t>
      </w:r>
      <w:r>
        <w:rPr>
          <w:noProof/>
        </w:rPr>
        <w:tab/>
        <w:t>486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Frameworks for transmission reliability</w:t>
      </w:r>
      <w:r>
        <w:rPr>
          <w:noProof/>
        </w:rPr>
        <w:tab/>
        <w:t>488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New South Wales, Queensland and Tasmania</w:t>
      </w:r>
      <w:r>
        <w:rPr>
          <w:noProof/>
        </w:rPr>
        <w:tab/>
        <w:t>492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Victoria and the Australian Energy Market Operator’s preferred national model</w:t>
      </w:r>
      <w:r>
        <w:rPr>
          <w:noProof/>
        </w:rPr>
        <w:tab/>
        <w:t>498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South Australia</w:t>
      </w:r>
      <w:r>
        <w:rPr>
          <w:noProof/>
        </w:rPr>
        <w:tab/>
        <w:t>508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lastRenderedPageBreak/>
        <w:t>15.6</w:t>
      </w:r>
      <w:r>
        <w:rPr>
          <w:rFonts w:asciiTheme="minorHAnsi" w:eastAsiaTheme="minorEastAsia" w:hAnsiTheme="minorHAnsi" w:cstheme="minorBidi"/>
          <w:noProof/>
          <w:sz w:val="22"/>
          <w:szCs w:val="22"/>
          <w:lang w:eastAsia="en-AU"/>
        </w:rPr>
        <w:tab/>
      </w:r>
      <w:r>
        <w:rPr>
          <w:noProof/>
        </w:rPr>
        <w:t>The AEMC hybrid model</w:t>
      </w:r>
      <w:r>
        <w:rPr>
          <w:noProof/>
        </w:rPr>
        <w:tab/>
        <w:t>512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15.7</w:t>
      </w:r>
      <w:r>
        <w:rPr>
          <w:rFonts w:asciiTheme="minorHAnsi" w:eastAsiaTheme="minorEastAsia" w:hAnsiTheme="minorHAnsi" w:cstheme="minorBidi"/>
          <w:noProof/>
          <w:sz w:val="22"/>
          <w:szCs w:val="22"/>
          <w:lang w:eastAsia="en-AU"/>
        </w:rPr>
        <w:tab/>
      </w:r>
      <w:r>
        <w:rPr>
          <w:noProof/>
        </w:rPr>
        <w:t>Summing up</w:t>
      </w:r>
      <w:r>
        <w:rPr>
          <w:noProof/>
        </w:rPr>
        <w:tab/>
        <w:t>517</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15.8</w:t>
      </w:r>
      <w:r>
        <w:rPr>
          <w:rFonts w:asciiTheme="minorHAnsi" w:eastAsiaTheme="minorEastAsia" w:hAnsiTheme="minorHAnsi" w:cstheme="minorBidi"/>
          <w:noProof/>
          <w:sz w:val="22"/>
          <w:szCs w:val="22"/>
          <w:lang w:eastAsia="en-AU"/>
        </w:rPr>
        <w:tab/>
      </w:r>
      <w:r>
        <w:rPr>
          <w:noProof/>
        </w:rPr>
        <w:t>The way forward</w:t>
      </w:r>
      <w:r>
        <w:rPr>
          <w:noProof/>
        </w:rPr>
        <w:tab/>
        <w:t>520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15.9</w:t>
      </w:r>
      <w:r>
        <w:rPr>
          <w:rFonts w:asciiTheme="minorHAnsi" w:eastAsiaTheme="minorEastAsia" w:hAnsiTheme="minorHAnsi" w:cstheme="minorBidi"/>
          <w:noProof/>
          <w:sz w:val="22"/>
          <w:szCs w:val="22"/>
          <w:lang w:eastAsia="en-AU"/>
        </w:rPr>
        <w:tab/>
      </w:r>
      <w:r>
        <w:rPr>
          <w:noProof/>
        </w:rPr>
        <w:t>Delivering reliability in the shorter term</w:t>
      </w:r>
      <w:r>
        <w:rPr>
          <w:noProof/>
        </w:rPr>
        <w:tab/>
        <w:t>531</w:t>
      </w:r>
    </w:p>
    <w:p w:rsidR="00560455" w:rsidRDefault="00560455">
      <w:pPr>
        <w:pStyle w:val="TOC2"/>
        <w:tabs>
          <w:tab w:val="left" w:pos="1320"/>
        </w:tabs>
        <w:rPr>
          <w:rFonts w:asciiTheme="minorHAnsi" w:eastAsiaTheme="minorEastAsia" w:hAnsiTheme="minorHAnsi" w:cstheme="minorBidi"/>
          <w:noProof/>
          <w:sz w:val="22"/>
          <w:szCs w:val="22"/>
          <w:lang w:eastAsia="en-AU"/>
        </w:rPr>
      </w:pPr>
      <w:r>
        <w:rPr>
          <w:noProof/>
        </w:rPr>
        <w:t>15.10</w:t>
      </w:r>
      <w:r>
        <w:rPr>
          <w:rFonts w:asciiTheme="minorHAnsi" w:eastAsiaTheme="minorEastAsia" w:hAnsiTheme="minorHAnsi" w:cstheme="minorBidi"/>
          <w:noProof/>
          <w:sz w:val="22"/>
          <w:szCs w:val="22"/>
          <w:lang w:eastAsia="en-AU"/>
        </w:rPr>
        <w:tab/>
      </w:r>
      <w:r>
        <w:rPr>
          <w:noProof/>
        </w:rPr>
        <w:t>Changes to transmission reliability</w:t>
      </w:r>
      <w:r>
        <w:rPr>
          <w:noProof/>
        </w:rPr>
        <w:tab/>
        <w:t>534</w:t>
      </w:r>
    </w:p>
    <w:p w:rsidR="00560455" w:rsidRDefault="00560455">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Distribution reliability</w:t>
      </w:r>
      <w:r>
        <w:rPr>
          <w:noProof/>
        </w:rPr>
        <w:tab/>
        <w:t>539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Introduction</w:t>
      </w:r>
      <w:r>
        <w:rPr>
          <w:noProof/>
        </w:rPr>
        <w:tab/>
        <w:t>540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Reliability performance of distribution businesses in the National Electricity Market</w:t>
      </w:r>
      <w:r>
        <w:rPr>
          <w:noProof/>
        </w:rPr>
        <w:tab/>
        <w:t>541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Reliability settings for distribution networks in the National Electricity Market</w:t>
      </w:r>
      <w:r>
        <w:rPr>
          <w:noProof/>
        </w:rPr>
        <w:tab/>
        <w:t>544</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An efficient and effective distribution reliability framework — a bolstered STPIS</w:t>
      </w:r>
      <w:r>
        <w:rPr>
          <w:noProof/>
        </w:rPr>
        <w:tab/>
        <w:t>560</w:t>
      </w:r>
    </w:p>
    <w:p w:rsidR="00560455" w:rsidRDefault="00560455">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The role of interconnectors</w:t>
      </w:r>
      <w:r>
        <w:rPr>
          <w:noProof/>
        </w:rPr>
        <w:tab/>
        <w:t>571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Background and perceived problems</w:t>
      </w:r>
      <w:r>
        <w:rPr>
          <w:noProof/>
        </w:rPr>
        <w:tab/>
        <w:t>572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Some conceptual considerations</w:t>
      </w:r>
      <w:r>
        <w:rPr>
          <w:noProof/>
        </w:rPr>
        <w:tab/>
        <w:t>582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Evidence of the efficiency of interconnection</w:t>
      </w:r>
      <w:r>
        <w:rPr>
          <w:noProof/>
        </w:rPr>
        <w:tab/>
        <w:t>587</w:t>
      </w:r>
    </w:p>
    <w:p w:rsidR="00560455" w:rsidRDefault="00560455">
      <w:pPr>
        <w:pStyle w:val="TOC1"/>
        <w:rPr>
          <w:rFonts w:asciiTheme="minorHAnsi" w:eastAsiaTheme="minorEastAsia" w:hAnsiTheme="minorHAnsi" w:cstheme="minorBidi"/>
          <w:b w:val="0"/>
          <w:noProof/>
          <w:sz w:val="22"/>
          <w:szCs w:val="22"/>
          <w:lang w:eastAsia="en-AU"/>
        </w:rPr>
      </w:pPr>
      <w:r>
        <w:rPr>
          <w:noProof/>
        </w:rPr>
        <w:t>18</w:t>
      </w:r>
      <w:r>
        <w:rPr>
          <w:rFonts w:asciiTheme="minorHAnsi" w:eastAsiaTheme="minorEastAsia" w:hAnsiTheme="minorHAnsi" w:cstheme="minorBidi"/>
          <w:b w:val="0"/>
          <w:noProof/>
          <w:sz w:val="22"/>
          <w:szCs w:val="22"/>
          <w:lang w:eastAsia="en-AU"/>
        </w:rPr>
        <w:tab/>
      </w:r>
      <w:r>
        <w:rPr>
          <w:noProof/>
        </w:rPr>
        <w:t>Efficient use of interconnectors</w:t>
      </w:r>
      <w:r>
        <w:rPr>
          <w:noProof/>
        </w:rPr>
        <w:tab/>
        <w:t>599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18.1</w:t>
      </w:r>
      <w:r>
        <w:rPr>
          <w:rFonts w:asciiTheme="minorHAnsi" w:eastAsiaTheme="minorEastAsia" w:hAnsiTheme="minorHAnsi" w:cstheme="minorBidi"/>
          <w:noProof/>
          <w:sz w:val="22"/>
          <w:szCs w:val="22"/>
          <w:lang w:eastAsia="en-AU"/>
        </w:rPr>
        <w:tab/>
      </w:r>
      <w:r>
        <w:rPr>
          <w:noProof/>
        </w:rPr>
        <w:t>The spot market</w:t>
      </w:r>
      <w:r>
        <w:rPr>
          <w:noProof/>
        </w:rPr>
        <w:tab/>
        <w:t>600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18.2</w:t>
      </w:r>
      <w:r>
        <w:rPr>
          <w:rFonts w:asciiTheme="minorHAnsi" w:eastAsiaTheme="minorEastAsia" w:hAnsiTheme="minorHAnsi" w:cstheme="minorBidi"/>
          <w:noProof/>
          <w:sz w:val="22"/>
          <w:szCs w:val="22"/>
          <w:lang w:eastAsia="en-AU"/>
        </w:rPr>
        <w:tab/>
      </w:r>
      <w:r>
        <w:rPr>
          <w:noProof/>
        </w:rPr>
        <w:t>Disorderly bidding</w:t>
      </w:r>
      <w:r>
        <w:rPr>
          <w:noProof/>
        </w:rPr>
        <w:tab/>
        <w:t>602</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18.3</w:t>
      </w:r>
      <w:r>
        <w:rPr>
          <w:rFonts w:asciiTheme="minorHAnsi" w:eastAsiaTheme="minorEastAsia" w:hAnsiTheme="minorHAnsi" w:cstheme="minorBidi"/>
          <w:noProof/>
          <w:sz w:val="22"/>
          <w:szCs w:val="22"/>
          <w:lang w:eastAsia="en-AU"/>
        </w:rPr>
        <w:tab/>
      </w:r>
      <w:r>
        <w:rPr>
          <w:noProof/>
        </w:rPr>
        <w:t>Potential solutions</w:t>
      </w:r>
      <w:r>
        <w:rPr>
          <w:noProof/>
        </w:rPr>
        <w:tab/>
        <w:t>609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18.4</w:t>
      </w:r>
      <w:r>
        <w:rPr>
          <w:rFonts w:asciiTheme="minorHAnsi" w:eastAsiaTheme="minorEastAsia" w:hAnsiTheme="minorHAnsi" w:cstheme="minorBidi"/>
          <w:noProof/>
          <w:sz w:val="22"/>
          <w:szCs w:val="22"/>
          <w:lang w:eastAsia="en-AU"/>
        </w:rPr>
        <w:tab/>
      </w:r>
      <w:r>
        <w:rPr>
          <w:noProof/>
        </w:rPr>
        <w:t>More fundamental reforms</w:t>
      </w:r>
      <w:r>
        <w:rPr>
          <w:noProof/>
        </w:rPr>
        <w:tab/>
        <w:t>621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18.5</w:t>
      </w:r>
      <w:r>
        <w:rPr>
          <w:rFonts w:asciiTheme="minorHAnsi" w:eastAsiaTheme="minorEastAsia" w:hAnsiTheme="minorHAnsi" w:cstheme="minorBidi"/>
          <w:noProof/>
          <w:sz w:val="22"/>
          <w:szCs w:val="22"/>
          <w:lang w:eastAsia="en-AU"/>
        </w:rPr>
        <w:tab/>
      </w:r>
      <w:r>
        <w:rPr>
          <w:noProof/>
        </w:rPr>
        <w:t>The hedging market</w:t>
      </w:r>
      <w:r>
        <w:rPr>
          <w:noProof/>
        </w:rPr>
        <w:tab/>
        <w:t>626</w:t>
      </w:r>
    </w:p>
    <w:p w:rsidR="00560455" w:rsidRDefault="00560455">
      <w:pPr>
        <w:pStyle w:val="TOC1"/>
        <w:rPr>
          <w:rFonts w:asciiTheme="minorHAnsi" w:eastAsiaTheme="minorEastAsia" w:hAnsiTheme="minorHAnsi" w:cstheme="minorBidi"/>
          <w:b w:val="0"/>
          <w:noProof/>
          <w:sz w:val="22"/>
          <w:szCs w:val="22"/>
          <w:lang w:eastAsia="en-AU"/>
        </w:rPr>
      </w:pPr>
      <w:r>
        <w:rPr>
          <w:noProof/>
        </w:rPr>
        <w:t>19</w:t>
      </w:r>
      <w:r>
        <w:rPr>
          <w:rFonts w:asciiTheme="minorHAnsi" w:eastAsiaTheme="minorEastAsia" w:hAnsiTheme="minorHAnsi" w:cstheme="minorBidi"/>
          <w:b w:val="0"/>
          <w:noProof/>
          <w:sz w:val="22"/>
          <w:szCs w:val="22"/>
          <w:lang w:eastAsia="en-AU"/>
        </w:rPr>
        <w:tab/>
      </w:r>
      <w:r>
        <w:rPr>
          <w:noProof/>
        </w:rPr>
        <w:t>Identifying future transmission investment</w:t>
      </w:r>
      <w:r>
        <w:rPr>
          <w:noProof/>
        </w:rPr>
        <w:tab/>
        <w:t>635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19.1</w:t>
      </w:r>
      <w:r>
        <w:rPr>
          <w:rFonts w:asciiTheme="minorHAnsi" w:eastAsiaTheme="minorEastAsia" w:hAnsiTheme="minorHAnsi" w:cstheme="minorBidi"/>
          <w:noProof/>
          <w:sz w:val="22"/>
          <w:szCs w:val="22"/>
          <w:lang w:eastAsia="en-AU"/>
        </w:rPr>
        <w:tab/>
      </w:r>
      <w:r>
        <w:rPr>
          <w:noProof/>
        </w:rPr>
        <w:t>Transmission planning in context</w:t>
      </w:r>
      <w:r>
        <w:rPr>
          <w:noProof/>
        </w:rPr>
        <w:tab/>
        <w:t>636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19.2</w:t>
      </w:r>
      <w:r>
        <w:rPr>
          <w:rFonts w:asciiTheme="minorHAnsi" w:eastAsiaTheme="minorEastAsia" w:hAnsiTheme="minorHAnsi" w:cstheme="minorBidi"/>
          <w:noProof/>
          <w:sz w:val="22"/>
          <w:szCs w:val="22"/>
          <w:lang w:eastAsia="en-AU"/>
        </w:rPr>
        <w:tab/>
      </w:r>
      <w:r>
        <w:rPr>
          <w:noProof/>
        </w:rPr>
        <w:t>Transmission planning</w:t>
      </w:r>
      <w:r>
        <w:rPr>
          <w:noProof/>
        </w:rPr>
        <w:tab/>
        <w:t>638</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19.3</w:t>
      </w:r>
      <w:r>
        <w:rPr>
          <w:rFonts w:asciiTheme="minorHAnsi" w:eastAsiaTheme="minorEastAsia" w:hAnsiTheme="minorHAnsi" w:cstheme="minorBidi"/>
          <w:noProof/>
          <w:sz w:val="22"/>
          <w:szCs w:val="22"/>
          <w:lang w:eastAsia="en-AU"/>
        </w:rPr>
        <w:tab/>
      </w:r>
      <w:r>
        <w:rPr>
          <w:noProof/>
        </w:rPr>
        <w:t>The Regulatory Investment Test for Transmission</w:t>
      </w:r>
      <w:r>
        <w:rPr>
          <w:noProof/>
        </w:rPr>
        <w:tab/>
        <w:t>643</w:t>
      </w:r>
    </w:p>
    <w:p w:rsidR="00560455" w:rsidRDefault="00560455">
      <w:pPr>
        <w:pStyle w:val="TOC1"/>
        <w:rPr>
          <w:rFonts w:asciiTheme="minorHAnsi" w:eastAsiaTheme="minorEastAsia" w:hAnsiTheme="minorHAnsi" w:cstheme="minorBidi"/>
          <w:b w:val="0"/>
          <w:noProof/>
          <w:sz w:val="22"/>
          <w:szCs w:val="22"/>
          <w:lang w:eastAsia="en-AU"/>
        </w:rPr>
      </w:pPr>
      <w:r>
        <w:rPr>
          <w:noProof/>
        </w:rPr>
        <w:t>20</w:t>
      </w:r>
      <w:r>
        <w:rPr>
          <w:rFonts w:asciiTheme="minorHAnsi" w:eastAsiaTheme="minorEastAsia" w:hAnsiTheme="minorHAnsi" w:cstheme="minorBidi"/>
          <w:b w:val="0"/>
          <w:noProof/>
          <w:sz w:val="22"/>
          <w:szCs w:val="22"/>
          <w:lang w:eastAsia="en-AU"/>
        </w:rPr>
        <w:tab/>
      </w:r>
      <w:r>
        <w:rPr>
          <w:noProof/>
        </w:rPr>
        <w:t>Merchant interconnectors</w:t>
      </w:r>
      <w:r>
        <w:rPr>
          <w:noProof/>
        </w:rPr>
        <w:tab/>
        <w:t>659</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20.1</w:t>
      </w:r>
      <w:r>
        <w:rPr>
          <w:rFonts w:asciiTheme="minorHAnsi" w:eastAsiaTheme="minorEastAsia" w:hAnsiTheme="minorHAnsi" w:cstheme="minorBidi"/>
          <w:noProof/>
          <w:sz w:val="22"/>
          <w:szCs w:val="22"/>
          <w:lang w:eastAsia="en-AU"/>
        </w:rPr>
        <w:tab/>
      </w:r>
      <w:r>
        <w:rPr>
          <w:noProof/>
        </w:rPr>
        <w:t>The role of merchant interconnectors in the National Electricity Market</w:t>
      </w:r>
      <w:r>
        <w:rPr>
          <w:noProof/>
        </w:rPr>
        <w:tab/>
        <w:t>660</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20.2</w:t>
      </w:r>
      <w:r>
        <w:rPr>
          <w:rFonts w:asciiTheme="minorHAnsi" w:eastAsiaTheme="minorEastAsia" w:hAnsiTheme="minorHAnsi" w:cstheme="minorBidi"/>
          <w:noProof/>
          <w:sz w:val="22"/>
          <w:szCs w:val="22"/>
          <w:lang w:eastAsia="en-AU"/>
        </w:rPr>
        <w:tab/>
      </w:r>
      <w:r>
        <w:rPr>
          <w:noProof/>
        </w:rPr>
        <w:t>Regulatory biases</w:t>
      </w:r>
      <w:r>
        <w:rPr>
          <w:noProof/>
        </w:rPr>
        <w:tab/>
        <w:t>671</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lastRenderedPageBreak/>
        <w:t>20.3</w:t>
      </w:r>
      <w:r>
        <w:rPr>
          <w:rFonts w:asciiTheme="minorHAnsi" w:eastAsiaTheme="minorEastAsia" w:hAnsiTheme="minorHAnsi" w:cstheme="minorBidi"/>
          <w:noProof/>
          <w:sz w:val="22"/>
          <w:szCs w:val="22"/>
          <w:lang w:eastAsia="en-AU"/>
        </w:rPr>
        <w:tab/>
      </w:r>
      <w:r>
        <w:rPr>
          <w:noProof/>
        </w:rPr>
        <w:t>Beneficiary pays</w:t>
      </w:r>
      <w:r>
        <w:rPr>
          <w:noProof/>
        </w:rPr>
        <w:tab/>
        <w:t>679</w:t>
      </w:r>
    </w:p>
    <w:p w:rsidR="00560455" w:rsidRDefault="00560455">
      <w:pPr>
        <w:pStyle w:val="TOC1"/>
        <w:rPr>
          <w:rFonts w:asciiTheme="minorHAnsi" w:eastAsiaTheme="minorEastAsia" w:hAnsiTheme="minorHAnsi" w:cstheme="minorBidi"/>
          <w:b w:val="0"/>
          <w:noProof/>
          <w:sz w:val="22"/>
          <w:szCs w:val="22"/>
          <w:lang w:eastAsia="en-AU"/>
        </w:rPr>
      </w:pPr>
      <w:r>
        <w:rPr>
          <w:noProof/>
        </w:rPr>
        <w:t>21</w:t>
      </w:r>
      <w:r>
        <w:rPr>
          <w:rFonts w:asciiTheme="minorHAnsi" w:eastAsiaTheme="minorEastAsia" w:hAnsiTheme="minorHAnsi" w:cstheme="minorBidi"/>
          <w:b w:val="0"/>
          <w:noProof/>
          <w:sz w:val="22"/>
          <w:szCs w:val="22"/>
          <w:lang w:eastAsia="en-AU"/>
        </w:rPr>
        <w:tab/>
      </w:r>
      <w:r>
        <w:rPr>
          <w:noProof/>
        </w:rPr>
        <w:t>Governance</w:t>
      </w:r>
      <w:r>
        <w:rPr>
          <w:noProof/>
        </w:rPr>
        <w:tab/>
        <w:t>683</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21.1</w:t>
      </w:r>
      <w:r>
        <w:rPr>
          <w:rFonts w:asciiTheme="minorHAnsi" w:eastAsiaTheme="minorEastAsia" w:hAnsiTheme="minorHAnsi" w:cstheme="minorBidi"/>
          <w:noProof/>
          <w:sz w:val="22"/>
          <w:szCs w:val="22"/>
          <w:lang w:eastAsia="en-AU"/>
        </w:rPr>
        <w:tab/>
      </w:r>
      <w:r>
        <w:rPr>
          <w:noProof/>
        </w:rPr>
        <w:t>Governance of the Australian Energy Regulator</w:t>
      </w:r>
      <w:r>
        <w:rPr>
          <w:noProof/>
        </w:rPr>
        <w:tab/>
        <w:t>685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21.2</w:t>
      </w:r>
      <w:r>
        <w:rPr>
          <w:rFonts w:asciiTheme="minorHAnsi" w:eastAsiaTheme="minorEastAsia" w:hAnsiTheme="minorHAnsi" w:cstheme="minorBidi"/>
          <w:noProof/>
          <w:sz w:val="22"/>
          <w:szCs w:val="22"/>
          <w:lang w:eastAsia="en-AU"/>
        </w:rPr>
        <w:tab/>
      </w:r>
      <w:r>
        <w:rPr>
          <w:noProof/>
        </w:rPr>
        <w:t>Consumer engagement and representation</w:t>
      </w:r>
      <w:r>
        <w:rPr>
          <w:noProof/>
        </w:rPr>
        <w:tab/>
        <w:t>706</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21.3</w:t>
      </w:r>
      <w:r>
        <w:rPr>
          <w:rFonts w:asciiTheme="minorHAnsi" w:eastAsiaTheme="minorEastAsia" w:hAnsiTheme="minorHAnsi" w:cstheme="minorBidi"/>
          <w:noProof/>
          <w:sz w:val="22"/>
          <w:szCs w:val="22"/>
          <w:lang w:eastAsia="en-AU"/>
        </w:rPr>
        <w:tab/>
      </w:r>
      <w:r>
        <w:rPr>
          <w:noProof/>
        </w:rPr>
        <w:t>Processes for amending electricity network regulation</w:t>
      </w:r>
      <w:r>
        <w:rPr>
          <w:noProof/>
        </w:rPr>
        <w:tab/>
        <w:t>716</w:t>
      </w:r>
    </w:p>
    <w:p w:rsidR="00560455" w:rsidRDefault="00560455">
      <w:pPr>
        <w:pStyle w:val="TOC1"/>
        <w:rPr>
          <w:rFonts w:asciiTheme="minorHAnsi" w:eastAsiaTheme="minorEastAsia" w:hAnsiTheme="minorHAnsi" w:cstheme="minorBidi"/>
          <w:b w:val="0"/>
          <w:noProof/>
          <w:sz w:val="22"/>
          <w:szCs w:val="22"/>
          <w:lang w:eastAsia="en-AU"/>
        </w:rPr>
      </w:pPr>
      <w:r>
        <w:rPr>
          <w:noProof/>
        </w:rPr>
        <w:t>Appendices</w:t>
      </w:r>
      <w:r>
        <w:rPr>
          <w:noProof/>
        </w:rPr>
        <w:tab/>
        <w:t>161</w:t>
      </w:r>
    </w:p>
    <w:p w:rsidR="00560455" w:rsidRDefault="00560455">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725</w:t>
      </w:r>
    </w:p>
    <w:p w:rsidR="00560455" w:rsidRDefault="00560455">
      <w:pPr>
        <w:pStyle w:val="TOC2"/>
        <w:tabs>
          <w:tab w:val="left" w:pos="1190"/>
        </w:tabs>
        <w:rPr>
          <w:rFonts w:asciiTheme="minorHAnsi" w:eastAsiaTheme="minorEastAsia" w:hAnsiTheme="minorHAnsi" w:cstheme="minorBidi"/>
          <w:noProof/>
          <w:sz w:val="22"/>
          <w:szCs w:val="22"/>
          <w:lang w:eastAsia="en-AU"/>
        </w:rPr>
      </w:pPr>
      <w:r>
        <w:rPr>
          <w:noProof/>
        </w:rPr>
        <w:t>A.1</w:t>
      </w:r>
      <w:r>
        <w:rPr>
          <w:rFonts w:asciiTheme="minorHAnsi" w:eastAsiaTheme="minorEastAsia" w:hAnsiTheme="minorHAnsi" w:cstheme="minorBidi"/>
          <w:noProof/>
          <w:sz w:val="22"/>
          <w:szCs w:val="22"/>
          <w:lang w:eastAsia="en-AU"/>
        </w:rPr>
        <w:tab/>
      </w:r>
      <w:r>
        <w:rPr>
          <w:noProof/>
        </w:rPr>
        <w:t>Visits and meetings</w:t>
      </w:r>
      <w:r>
        <w:rPr>
          <w:noProof/>
        </w:rPr>
        <w:tab/>
        <w:t>727</w:t>
      </w:r>
    </w:p>
    <w:p w:rsidR="00560455" w:rsidRDefault="00560455">
      <w:pPr>
        <w:pStyle w:val="TOC1"/>
        <w:rPr>
          <w:rFonts w:asciiTheme="minorHAnsi" w:eastAsiaTheme="minorEastAsia" w:hAnsiTheme="minorHAnsi" w:cstheme="minorBidi"/>
          <w:b w:val="0"/>
          <w:noProof/>
          <w:sz w:val="22"/>
          <w:szCs w:val="22"/>
          <w:lang w:eastAsia="en-AU"/>
        </w:rPr>
      </w:pPr>
      <w:r>
        <w:rPr>
          <w:noProof/>
        </w:rPr>
        <w:t>References</w:t>
      </w:r>
      <w:r>
        <w:rPr>
          <w:noProof/>
        </w:rPr>
        <w:tab/>
        <w:t>729</w:t>
      </w:r>
    </w:p>
    <w:p w:rsidR="00560455" w:rsidRDefault="00560455" w:rsidP="00560455">
      <w:pPr>
        <w:pStyle w:val="Heading1NotTOC"/>
      </w:pPr>
    </w:p>
    <w:p w:rsidR="00560455" w:rsidRPr="00560455" w:rsidRDefault="00560455" w:rsidP="00560455">
      <w:pPr>
        <w:pStyle w:val="BodyText"/>
      </w:pPr>
    </w:p>
    <w:p w:rsidR="001B7F1E" w:rsidRDefault="001B7F1E" w:rsidP="006F188E">
      <w:pPr>
        <w:pStyle w:val="Heading1NotTOC"/>
      </w:pPr>
    </w:p>
    <w:p w:rsidR="009D5F1D" w:rsidRPr="009D5F1D" w:rsidRDefault="009D5F1D" w:rsidP="009D5F1D">
      <w:pPr>
        <w:pStyle w:val="BodyText"/>
      </w:pPr>
    </w:p>
    <w:p w:rsidR="00735FEA" w:rsidRDefault="00735FEA">
      <w:pPr>
        <w:pStyle w:val="BodyText"/>
        <w:sectPr w:rsidR="00735FEA" w:rsidSect="00C55A45">
          <w:headerReference w:type="even" r:id="rId11"/>
          <w:headerReference w:type="default" r:id="rId12"/>
          <w:footerReference w:type="even" r:id="rId13"/>
          <w:footerReference w:type="default" r:id="rId14"/>
          <w:type w:val="oddPage"/>
          <w:pgSz w:w="11907" w:h="16840" w:code="9"/>
          <w:pgMar w:top="1985" w:right="1304" w:bottom="1418" w:left="1814" w:header="1701" w:footer="567" w:gutter="0"/>
          <w:pgNumType w:fmt="lowerRoman"/>
          <w:cols w:space="720"/>
        </w:sectPr>
      </w:pPr>
    </w:p>
    <w:p w:rsidR="00735FEA" w:rsidRDefault="00735FEA" w:rsidP="00F7477E">
      <w:pPr>
        <w:pStyle w:val="Heading1"/>
      </w:pPr>
      <w:bookmarkStart w:id="6" w:name="Abbreviations"/>
      <w:bookmarkStart w:id="7" w:name="RDnote"/>
      <w:bookmarkStart w:id="8" w:name="EndContents"/>
      <w:bookmarkStart w:id="9" w:name="_Toc337678053"/>
      <w:bookmarkStart w:id="10" w:name="_Toc337689985"/>
      <w:bookmarkStart w:id="11" w:name="_Toc337690282"/>
      <w:bookmarkEnd w:id="6"/>
      <w:bookmarkEnd w:id="7"/>
      <w:bookmarkEnd w:id="8"/>
      <w:r>
        <w:lastRenderedPageBreak/>
        <w:t>Abbreviations and explanations</w:t>
      </w:r>
      <w:bookmarkEnd w:id="9"/>
      <w:bookmarkEnd w:id="10"/>
      <w:bookmarkEnd w:id="11"/>
    </w:p>
    <w:p w:rsidR="009B4139" w:rsidRDefault="009B4139" w:rsidP="009B4139">
      <w:pPr>
        <w:pStyle w:val="Heading2NotTOC"/>
      </w:pPr>
      <w:r>
        <w:t>Abbrevia</w:t>
      </w:r>
      <w:r w:rsidRPr="00F85393">
        <w:t>t</w:t>
      </w:r>
      <w:r>
        <w:t>ions</w:t>
      </w:r>
    </w:p>
    <w:p w:rsidR="009B4139" w:rsidRDefault="009B4139" w:rsidP="009B4139">
      <w:pPr>
        <w:pStyle w:val="Abbreviation"/>
      </w:pPr>
      <w:r>
        <w:t>ABS</w:t>
      </w:r>
      <w:r>
        <w:tab/>
        <w:t>Australian Bureau of Statistics</w:t>
      </w:r>
    </w:p>
    <w:p w:rsidR="009B4139" w:rsidRDefault="009B4139" w:rsidP="009B4139">
      <w:pPr>
        <w:pStyle w:val="Abbreviation"/>
      </w:pPr>
      <w:proofErr w:type="spellStart"/>
      <w:r>
        <w:t>ACCC</w:t>
      </w:r>
      <w:proofErr w:type="spellEnd"/>
      <w:r>
        <w:tab/>
      </w:r>
      <w:r w:rsidRPr="00A65032">
        <w:t>Australian Competition and Consumer Commission</w:t>
      </w:r>
    </w:p>
    <w:p w:rsidR="009B4139" w:rsidRDefault="009B4139" w:rsidP="009B4139">
      <w:pPr>
        <w:pStyle w:val="Abbreviation"/>
      </w:pPr>
      <w:r>
        <w:t>ACT</w:t>
      </w:r>
      <w:r>
        <w:tab/>
      </w:r>
      <w:r w:rsidRPr="00F722CC">
        <w:t>Australian Competition Tribunal</w:t>
      </w:r>
    </w:p>
    <w:p w:rsidR="009B4139" w:rsidRDefault="009B4139" w:rsidP="009B4139">
      <w:pPr>
        <w:pStyle w:val="Abbreviation"/>
      </w:pPr>
      <w:proofErr w:type="spellStart"/>
      <w:r>
        <w:t>AEMC</w:t>
      </w:r>
      <w:proofErr w:type="spellEnd"/>
      <w:r>
        <w:tab/>
        <w:t>Australian Energy Market Commission</w:t>
      </w:r>
    </w:p>
    <w:p w:rsidR="009B4139" w:rsidRDefault="009B4139" w:rsidP="009B4139">
      <w:pPr>
        <w:pStyle w:val="Abbreviation"/>
      </w:pPr>
      <w:proofErr w:type="spellStart"/>
      <w:r>
        <w:t>AEMO</w:t>
      </w:r>
      <w:proofErr w:type="spellEnd"/>
      <w:r>
        <w:tab/>
      </w:r>
      <w:r w:rsidRPr="006039F4">
        <w:t>Australian Energy Market</w:t>
      </w:r>
      <w:r>
        <w:t xml:space="preserve"> Operator</w:t>
      </w:r>
    </w:p>
    <w:p w:rsidR="009B4139" w:rsidRDefault="009B4139" w:rsidP="009B4139">
      <w:pPr>
        <w:pStyle w:val="Abbreviation"/>
      </w:pPr>
      <w:proofErr w:type="spellStart"/>
      <w:r>
        <w:t>AER</w:t>
      </w:r>
      <w:proofErr w:type="spellEnd"/>
      <w:r>
        <w:tab/>
        <w:t>Australian Energy Regulator</w:t>
      </w:r>
    </w:p>
    <w:p w:rsidR="009B4139" w:rsidRDefault="009B4139" w:rsidP="009B4139">
      <w:pPr>
        <w:pStyle w:val="Abbreviation"/>
      </w:pPr>
      <w:proofErr w:type="spellStart"/>
      <w:r>
        <w:t>AEMA</w:t>
      </w:r>
      <w:proofErr w:type="spellEnd"/>
      <w:r>
        <w:tab/>
        <w:t>Australian Energy Market Agreement</w:t>
      </w:r>
    </w:p>
    <w:p w:rsidR="009B4139" w:rsidRDefault="009B4139" w:rsidP="009B4139">
      <w:pPr>
        <w:pStyle w:val="Abbreviation"/>
      </w:pPr>
      <w:proofErr w:type="spellStart"/>
      <w:r w:rsidRPr="00563858">
        <w:t>CAIDI</w:t>
      </w:r>
      <w:proofErr w:type="spellEnd"/>
      <w:r>
        <w:tab/>
        <w:t>C</w:t>
      </w:r>
      <w:r w:rsidRPr="00563858">
        <w:t>ustomer average interruption duration index</w:t>
      </w:r>
    </w:p>
    <w:p w:rsidR="009B4139" w:rsidRDefault="009B4139" w:rsidP="009B4139">
      <w:pPr>
        <w:pStyle w:val="Abbreviation"/>
      </w:pPr>
      <w:proofErr w:type="spellStart"/>
      <w:r>
        <w:t>CAPEX</w:t>
      </w:r>
      <w:proofErr w:type="spellEnd"/>
      <w:r>
        <w:tab/>
        <w:t>Capital expenditure</w:t>
      </w:r>
    </w:p>
    <w:p w:rsidR="009B4139" w:rsidRDefault="009B4139" w:rsidP="009B4139">
      <w:pPr>
        <w:pStyle w:val="Abbreviation"/>
      </w:pPr>
      <w:proofErr w:type="spellStart"/>
      <w:r w:rsidRPr="00E12D1F">
        <w:t>CBA</w:t>
      </w:r>
      <w:proofErr w:type="spellEnd"/>
      <w:r>
        <w:tab/>
      </w:r>
      <w:r w:rsidRPr="00E12D1F">
        <w:t xml:space="preserve">cost-benefit </w:t>
      </w:r>
      <w:r>
        <w:t>analysis</w:t>
      </w:r>
    </w:p>
    <w:p w:rsidR="009B4139" w:rsidRDefault="009B4139" w:rsidP="009B4139">
      <w:pPr>
        <w:pStyle w:val="Abbreviation"/>
      </w:pPr>
      <w:proofErr w:type="spellStart"/>
      <w:r w:rsidRPr="00094A1A">
        <w:t>CDF</w:t>
      </w:r>
      <w:proofErr w:type="spellEnd"/>
      <w:r>
        <w:tab/>
        <w:t>Customer Damage Functions</w:t>
      </w:r>
    </w:p>
    <w:p w:rsidR="009B4139" w:rsidRDefault="009B4139" w:rsidP="009B4139">
      <w:pPr>
        <w:pStyle w:val="Abbreviation"/>
      </w:pPr>
      <w:r>
        <w:t>COAG</w:t>
      </w:r>
      <w:r>
        <w:tab/>
        <w:t>Council of Australian Governments</w:t>
      </w:r>
    </w:p>
    <w:p w:rsidR="009B4139" w:rsidRDefault="009B4139" w:rsidP="009B4139">
      <w:pPr>
        <w:pStyle w:val="Abbreviation"/>
      </w:pPr>
      <w:r>
        <w:t>CPI-x</w:t>
      </w:r>
      <w:r>
        <w:tab/>
      </w:r>
      <w:r w:rsidRPr="002A53E2">
        <w:t>C</w:t>
      </w:r>
      <w:r>
        <w:t>onsumer Price Index minus a</w:t>
      </w:r>
      <w:r w:rsidRPr="002A53E2">
        <w:t xml:space="preserve"> benchmark productivity rate (x)</w:t>
      </w:r>
    </w:p>
    <w:p w:rsidR="009B4139" w:rsidRDefault="009B4139" w:rsidP="009B4139">
      <w:pPr>
        <w:pStyle w:val="Abbreviation"/>
      </w:pPr>
      <w:proofErr w:type="spellStart"/>
      <w:r w:rsidRPr="002D3C6E">
        <w:t>CPP</w:t>
      </w:r>
      <w:proofErr w:type="spellEnd"/>
      <w:r>
        <w:tab/>
        <w:t>Critical Peak Price</w:t>
      </w:r>
    </w:p>
    <w:p w:rsidR="009B4139" w:rsidRDefault="009B4139" w:rsidP="009B4139">
      <w:pPr>
        <w:pStyle w:val="Abbreviation"/>
      </w:pPr>
      <w:r>
        <w:t>CSIRO</w:t>
      </w:r>
      <w:r>
        <w:tab/>
        <w:t>Commonwealth Scientific and Industrial Research Organisation</w:t>
      </w:r>
    </w:p>
    <w:p w:rsidR="009B4139" w:rsidRDefault="009B4139" w:rsidP="009B4139">
      <w:pPr>
        <w:pStyle w:val="Abbreviation"/>
      </w:pPr>
      <w:r>
        <w:t>DANCE</w:t>
      </w:r>
      <w:r>
        <w:tab/>
      </w:r>
      <w:r w:rsidRPr="006039F4">
        <w:t>Dynamic Avoidable Network Cost Evaluation model</w:t>
      </w:r>
    </w:p>
    <w:p w:rsidR="009B4139" w:rsidRDefault="009B4139" w:rsidP="009B4139">
      <w:pPr>
        <w:pStyle w:val="Abbreviation"/>
      </w:pPr>
      <w:r>
        <w:t>DG</w:t>
      </w:r>
      <w:r>
        <w:tab/>
        <w:t>Distributed generation</w:t>
      </w:r>
    </w:p>
    <w:p w:rsidR="009B4139" w:rsidRDefault="009B4139" w:rsidP="009B4139">
      <w:pPr>
        <w:pStyle w:val="Abbreviation"/>
      </w:pPr>
      <w:proofErr w:type="spellStart"/>
      <w:r w:rsidRPr="00C076D9">
        <w:t>DLC</w:t>
      </w:r>
      <w:proofErr w:type="spellEnd"/>
      <w:r>
        <w:tab/>
        <w:t>Direct load control</w:t>
      </w:r>
    </w:p>
    <w:p w:rsidR="009B4139" w:rsidRDefault="009B4139" w:rsidP="009B4139">
      <w:pPr>
        <w:pStyle w:val="Abbreviation"/>
      </w:pPr>
      <w:proofErr w:type="spellStart"/>
      <w:r>
        <w:t>DM</w:t>
      </w:r>
      <w:proofErr w:type="spellEnd"/>
      <w:r>
        <w:tab/>
        <w:t>Demand management</w:t>
      </w:r>
    </w:p>
    <w:p w:rsidR="009B4139" w:rsidRDefault="009B4139" w:rsidP="009B4139">
      <w:pPr>
        <w:pStyle w:val="Abbreviation"/>
      </w:pPr>
      <w:proofErr w:type="spellStart"/>
      <w:r w:rsidRPr="003857AE">
        <w:t>DMEGCIS</w:t>
      </w:r>
      <w:proofErr w:type="spellEnd"/>
      <w:r>
        <w:tab/>
      </w:r>
      <w:r w:rsidRPr="003857AE">
        <w:t>Demand Management and Embedded Generati</w:t>
      </w:r>
      <w:r>
        <w:t>on Connection Incentive Scheme</w:t>
      </w:r>
    </w:p>
    <w:p w:rsidR="009B4139" w:rsidRDefault="009B4139" w:rsidP="009B4139">
      <w:pPr>
        <w:pStyle w:val="Abbreviation"/>
      </w:pPr>
      <w:proofErr w:type="spellStart"/>
      <w:r>
        <w:t>DNSP</w:t>
      </w:r>
      <w:proofErr w:type="spellEnd"/>
      <w:r>
        <w:tab/>
        <w:t>Distribution Network Service Provider</w:t>
      </w:r>
    </w:p>
    <w:p w:rsidR="009B4139" w:rsidRDefault="009B4139" w:rsidP="009B4139">
      <w:pPr>
        <w:pStyle w:val="Abbreviation"/>
      </w:pPr>
      <w:proofErr w:type="spellStart"/>
      <w:r w:rsidRPr="00E12D1F">
        <w:t>DRED</w:t>
      </w:r>
      <w:proofErr w:type="spellEnd"/>
      <w:r>
        <w:tab/>
      </w:r>
      <w:r w:rsidRPr="00E12D1F">
        <w:t>D</w:t>
      </w:r>
      <w:r>
        <w:t>emand Response Enabling Device</w:t>
      </w:r>
    </w:p>
    <w:p w:rsidR="009B4139" w:rsidRDefault="009B4139" w:rsidP="009B4139">
      <w:pPr>
        <w:pStyle w:val="Abbreviation"/>
      </w:pPr>
      <w:proofErr w:type="spellStart"/>
      <w:r>
        <w:lastRenderedPageBreak/>
        <w:t>DSP</w:t>
      </w:r>
      <w:proofErr w:type="spellEnd"/>
      <w:r>
        <w:tab/>
        <w:t>Demand side participation</w:t>
      </w:r>
    </w:p>
    <w:p w:rsidR="009B4139" w:rsidRDefault="009B4139" w:rsidP="009B4139">
      <w:pPr>
        <w:pStyle w:val="Abbreviation"/>
      </w:pPr>
      <w:proofErr w:type="spellStart"/>
      <w:r>
        <w:t>ESCOSA</w:t>
      </w:r>
      <w:proofErr w:type="spellEnd"/>
      <w:r>
        <w:tab/>
        <w:t xml:space="preserve">Essential Services Commission of South Australia </w:t>
      </w:r>
    </w:p>
    <w:p w:rsidR="009B4139" w:rsidRDefault="009B4139" w:rsidP="009B4139">
      <w:pPr>
        <w:pStyle w:val="Abbreviation"/>
      </w:pPr>
      <w:proofErr w:type="spellStart"/>
      <w:r>
        <w:t>ETC</w:t>
      </w:r>
      <w:proofErr w:type="spellEnd"/>
      <w:r>
        <w:tab/>
        <w:t>Electricity Transmission Code</w:t>
      </w:r>
    </w:p>
    <w:p w:rsidR="009B4139" w:rsidRDefault="009B4139" w:rsidP="009B4139">
      <w:pPr>
        <w:pStyle w:val="Abbreviation"/>
      </w:pPr>
      <w:r>
        <w:t>EU</w:t>
      </w:r>
      <w:r>
        <w:tab/>
        <w:t>European Union</w:t>
      </w:r>
    </w:p>
    <w:p w:rsidR="009B4139" w:rsidRDefault="009B4139" w:rsidP="009B4139">
      <w:pPr>
        <w:pStyle w:val="Abbreviation"/>
      </w:pPr>
      <w:r>
        <w:t>GDP</w:t>
      </w:r>
      <w:r>
        <w:tab/>
        <w:t>Gross Domestic Product</w:t>
      </w:r>
    </w:p>
    <w:p w:rsidR="009B4139" w:rsidRDefault="009B4139" w:rsidP="009B4139">
      <w:pPr>
        <w:pStyle w:val="Abbreviation"/>
      </w:pPr>
      <w:proofErr w:type="spellStart"/>
      <w:r>
        <w:t>HV</w:t>
      </w:r>
      <w:proofErr w:type="spellEnd"/>
      <w:r>
        <w:tab/>
        <w:t>High voltage (</w:t>
      </w:r>
      <w:r w:rsidRPr="008D20D6">
        <w:t>nominally 5</w:t>
      </w:r>
      <w:r>
        <w:t>–</w:t>
      </w:r>
      <w:r w:rsidRPr="008D20D6">
        <w:t>22kV</w:t>
      </w:r>
      <w:r>
        <w:t>)</w:t>
      </w:r>
    </w:p>
    <w:p w:rsidR="009B4139" w:rsidRDefault="009B4139" w:rsidP="009B4139">
      <w:pPr>
        <w:pStyle w:val="Abbreviation"/>
      </w:pPr>
      <w:proofErr w:type="spellStart"/>
      <w:r>
        <w:t>IPART</w:t>
      </w:r>
      <w:proofErr w:type="spellEnd"/>
      <w:r>
        <w:tab/>
        <w:t>Independent Pricing and Regulatory Tribunal (NSW)</w:t>
      </w:r>
    </w:p>
    <w:p w:rsidR="009B4139" w:rsidRDefault="009B4139" w:rsidP="009B4139">
      <w:pPr>
        <w:pStyle w:val="Abbreviation"/>
      </w:pPr>
      <w:proofErr w:type="spellStart"/>
      <w:r w:rsidRPr="00A65032">
        <w:t>IRSR</w:t>
      </w:r>
      <w:proofErr w:type="spellEnd"/>
      <w:r>
        <w:tab/>
      </w:r>
      <w:r w:rsidRPr="00A65032">
        <w:t>int</w:t>
      </w:r>
      <w:r>
        <w:t>er-regional settlement residue</w:t>
      </w:r>
    </w:p>
    <w:p w:rsidR="009B4139" w:rsidRDefault="009B4139" w:rsidP="009B4139">
      <w:pPr>
        <w:pStyle w:val="Abbreviation"/>
      </w:pPr>
      <w:r>
        <w:t>kVA</w:t>
      </w:r>
      <w:r>
        <w:tab/>
        <w:t>kilovolt ampere</w:t>
      </w:r>
    </w:p>
    <w:p w:rsidR="009B4139" w:rsidRDefault="009B4139" w:rsidP="009B4139">
      <w:pPr>
        <w:pStyle w:val="Abbreviation"/>
      </w:pPr>
      <w:r>
        <w:t>kW</w:t>
      </w:r>
      <w:r>
        <w:tab/>
      </w:r>
      <w:r w:rsidRPr="00EB2480">
        <w:t xml:space="preserve">kilowatt </w:t>
      </w:r>
    </w:p>
    <w:p w:rsidR="009B4139" w:rsidRDefault="009B4139" w:rsidP="009B4139">
      <w:pPr>
        <w:pStyle w:val="Abbreviation"/>
      </w:pPr>
      <w:r>
        <w:t>kWh</w:t>
      </w:r>
      <w:r>
        <w:tab/>
        <w:t>kilowatt hour</w:t>
      </w:r>
    </w:p>
    <w:p w:rsidR="009B4139" w:rsidRDefault="009B4139" w:rsidP="009B4139">
      <w:pPr>
        <w:pStyle w:val="Abbreviation"/>
      </w:pPr>
      <w:proofErr w:type="spellStart"/>
      <w:r>
        <w:t>LRMC</w:t>
      </w:r>
      <w:proofErr w:type="spellEnd"/>
      <w:r>
        <w:tab/>
        <w:t>Long Run Marginal Cost</w:t>
      </w:r>
    </w:p>
    <w:p w:rsidR="009B4139" w:rsidRDefault="009B4139" w:rsidP="009B4139">
      <w:pPr>
        <w:pStyle w:val="Abbreviation"/>
      </w:pPr>
      <w:r>
        <w:t>LV</w:t>
      </w:r>
      <w:r>
        <w:tab/>
        <w:t>Low voltage</w:t>
      </w:r>
    </w:p>
    <w:p w:rsidR="009B4139" w:rsidRDefault="009B4139" w:rsidP="009B4139">
      <w:pPr>
        <w:pStyle w:val="Abbreviation"/>
      </w:pPr>
      <w:proofErr w:type="spellStart"/>
      <w:r w:rsidRPr="00563858">
        <w:t>MAIFI</w:t>
      </w:r>
      <w:proofErr w:type="spellEnd"/>
      <w:r>
        <w:tab/>
        <w:t>M</w:t>
      </w:r>
      <w:r w:rsidRPr="00563858">
        <w:t>omentary average interruption frequency index</w:t>
      </w:r>
    </w:p>
    <w:p w:rsidR="009B4139" w:rsidRDefault="009B4139" w:rsidP="009B4139">
      <w:pPr>
        <w:pStyle w:val="Abbreviation"/>
      </w:pPr>
      <w:proofErr w:type="spellStart"/>
      <w:r w:rsidRPr="00142D37">
        <w:t>PSCR</w:t>
      </w:r>
      <w:proofErr w:type="spellEnd"/>
      <w:r>
        <w:tab/>
      </w:r>
      <w:r w:rsidRPr="00142D37">
        <w:t>Project Spe</w:t>
      </w:r>
      <w:r>
        <w:t>cification Consultation Report</w:t>
      </w:r>
    </w:p>
    <w:p w:rsidR="009B4139" w:rsidRDefault="009B4139" w:rsidP="009B4139">
      <w:pPr>
        <w:pStyle w:val="Abbreviation"/>
      </w:pPr>
      <w:r>
        <w:t>MAR</w:t>
      </w:r>
      <w:r>
        <w:tab/>
        <w:t>maximum annual revenue</w:t>
      </w:r>
    </w:p>
    <w:p w:rsidR="009B4139" w:rsidRDefault="009B4139" w:rsidP="009B4139">
      <w:pPr>
        <w:pStyle w:val="Abbreviation"/>
      </w:pPr>
      <w:r>
        <w:t>MCE</w:t>
      </w:r>
      <w:r>
        <w:tab/>
        <w:t>Ministerial Council on Energy</w:t>
      </w:r>
    </w:p>
    <w:p w:rsidR="009B4139" w:rsidRDefault="009B4139" w:rsidP="009B4139">
      <w:pPr>
        <w:pStyle w:val="Abbreviation"/>
      </w:pPr>
      <w:proofErr w:type="spellStart"/>
      <w:r w:rsidRPr="00E12D1F">
        <w:t>MDMS</w:t>
      </w:r>
      <w:proofErr w:type="spellEnd"/>
      <w:r>
        <w:tab/>
        <w:t>meter data management system</w:t>
      </w:r>
    </w:p>
    <w:p w:rsidR="009B4139" w:rsidRDefault="009B4139" w:rsidP="009B4139">
      <w:pPr>
        <w:pStyle w:val="Abbreviation"/>
      </w:pPr>
      <w:r w:rsidRPr="00EC1C20">
        <w:t>MED</w:t>
      </w:r>
      <w:r>
        <w:tab/>
        <w:t>Major event days</w:t>
      </w:r>
    </w:p>
    <w:p w:rsidR="009B4139" w:rsidRDefault="009B4139" w:rsidP="009B4139">
      <w:pPr>
        <w:pStyle w:val="Abbreviation"/>
      </w:pPr>
      <w:r w:rsidRPr="00EB2480">
        <w:t>MW</w:t>
      </w:r>
      <w:r>
        <w:tab/>
      </w:r>
      <w:r w:rsidRPr="00EB2480">
        <w:t>megawatt</w:t>
      </w:r>
    </w:p>
    <w:p w:rsidR="009B4139" w:rsidRDefault="009B4139" w:rsidP="009B4139">
      <w:pPr>
        <w:pStyle w:val="Abbreviation"/>
      </w:pPr>
      <w:proofErr w:type="spellStart"/>
      <w:r>
        <w:t>MVA</w:t>
      </w:r>
      <w:proofErr w:type="spellEnd"/>
      <w:r>
        <w:tab/>
        <w:t>megavolt amperes</w:t>
      </w:r>
    </w:p>
    <w:p w:rsidR="009B4139" w:rsidRDefault="009B4139" w:rsidP="009B4139">
      <w:pPr>
        <w:pStyle w:val="Abbreviation"/>
      </w:pPr>
      <w:proofErr w:type="spellStart"/>
      <w:r>
        <w:t>MWh</w:t>
      </w:r>
      <w:proofErr w:type="spellEnd"/>
      <w:r>
        <w:tab/>
        <w:t>megawatt hour</w:t>
      </w:r>
    </w:p>
    <w:p w:rsidR="009B4139" w:rsidRDefault="009B4139" w:rsidP="009B4139">
      <w:pPr>
        <w:pStyle w:val="Abbreviation"/>
      </w:pPr>
      <w:proofErr w:type="spellStart"/>
      <w:r>
        <w:t>NECF</w:t>
      </w:r>
      <w:proofErr w:type="spellEnd"/>
      <w:r>
        <w:tab/>
        <w:t>National Electricity Customer Framework</w:t>
      </w:r>
    </w:p>
    <w:p w:rsidR="009B4139" w:rsidRDefault="009B4139" w:rsidP="009B4139">
      <w:pPr>
        <w:pStyle w:val="Abbreviation"/>
      </w:pPr>
      <w:proofErr w:type="spellStart"/>
      <w:r>
        <w:t>NEM</w:t>
      </w:r>
      <w:proofErr w:type="spellEnd"/>
      <w:r>
        <w:tab/>
        <w:t>National Electricity Market</w:t>
      </w:r>
    </w:p>
    <w:p w:rsidR="009B4139" w:rsidRDefault="009B4139" w:rsidP="009B4139">
      <w:pPr>
        <w:pStyle w:val="Abbreviation"/>
      </w:pPr>
      <w:proofErr w:type="spellStart"/>
      <w:r w:rsidRPr="0041498E">
        <w:t>NEMMCO</w:t>
      </w:r>
      <w:proofErr w:type="spellEnd"/>
      <w:r>
        <w:tab/>
      </w:r>
      <w:r w:rsidRPr="0041498E">
        <w:t>National Electricity Marke</w:t>
      </w:r>
      <w:r>
        <w:t>t Management Company Limited</w:t>
      </w:r>
    </w:p>
    <w:p w:rsidR="009B4139" w:rsidRDefault="009B4139" w:rsidP="009B4139">
      <w:pPr>
        <w:pStyle w:val="Abbreviation"/>
      </w:pPr>
      <w:r>
        <w:t>NEO</w:t>
      </w:r>
      <w:r>
        <w:tab/>
        <w:t>National Electricity Objective</w:t>
      </w:r>
    </w:p>
    <w:p w:rsidR="009B4139" w:rsidRDefault="009B4139" w:rsidP="009B4139">
      <w:pPr>
        <w:pStyle w:val="Abbreviation"/>
      </w:pPr>
      <w:proofErr w:type="spellStart"/>
      <w:r>
        <w:t>NEL</w:t>
      </w:r>
      <w:proofErr w:type="spellEnd"/>
      <w:r>
        <w:tab/>
      </w:r>
      <w:r w:rsidRPr="00072E97">
        <w:t>National Electricity Law</w:t>
      </w:r>
    </w:p>
    <w:p w:rsidR="009B4139" w:rsidRDefault="009B4139" w:rsidP="009B4139">
      <w:pPr>
        <w:pStyle w:val="Abbreviation"/>
      </w:pPr>
      <w:proofErr w:type="spellStart"/>
      <w:r>
        <w:t>NER</w:t>
      </w:r>
      <w:proofErr w:type="spellEnd"/>
      <w:r>
        <w:tab/>
      </w:r>
      <w:r w:rsidRPr="00A65032">
        <w:t>National Electricity Rules</w:t>
      </w:r>
    </w:p>
    <w:p w:rsidR="009B4139" w:rsidRDefault="009B4139" w:rsidP="009B4139">
      <w:pPr>
        <w:pStyle w:val="Abbreviation"/>
      </w:pPr>
      <w:proofErr w:type="spellStart"/>
      <w:r>
        <w:t>NGL</w:t>
      </w:r>
      <w:proofErr w:type="spellEnd"/>
      <w:r>
        <w:tab/>
        <w:t>National Gas Law</w:t>
      </w:r>
    </w:p>
    <w:p w:rsidR="009B4139" w:rsidRDefault="009B4139" w:rsidP="009B4139">
      <w:pPr>
        <w:pStyle w:val="Abbreviation"/>
      </w:pPr>
      <w:r w:rsidRPr="00E12D1F">
        <w:t>NMS</w:t>
      </w:r>
      <w:r>
        <w:tab/>
        <w:t>network management systems</w:t>
      </w:r>
    </w:p>
    <w:p w:rsidR="009B4139" w:rsidRDefault="009B4139" w:rsidP="009B4139">
      <w:pPr>
        <w:pStyle w:val="Abbreviation"/>
      </w:pPr>
      <w:proofErr w:type="spellStart"/>
      <w:r w:rsidRPr="00A65032">
        <w:lastRenderedPageBreak/>
        <w:t>NTNDP</w:t>
      </w:r>
      <w:proofErr w:type="spellEnd"/>
      <w:r>
        <w:tab/>
      </w:r>
      <w:r w:rsidRPr="00A65032">
        <w:t>National Transmi</w:t>
      </w:r>
      <w:r>
        <w:t>ssion Network Development Plan</w:t>
      </w:r>
    </w:p>
    <w:p w:rsidR="009B4139" w:rsidRDefault="009B4139" w:rsidP="009B4139">
      <w:pPr>
        <w:pStyle w:val="Abbreviation"/>
      </w:pPr>
      <w:proofErr w:type="spellStart"/>
      <w:r w:rsidRPr="00F76874">
        <w:t>NTP</w:t>
      </w:r>
      <w:proofErr w:type="spellEnd"/>
      <w:r>
        <w:tab/>
        <w:t>National Transmission Planner</w:t>
      </w:r>
    </w:p>
    <w:p w:rsidR="009B4139" w:rsidRDefault="009B4139" w:rsidP="009B4139">
      <w:pPr>
        <w:pStyle w:val="Abbreviation"/>
      </w:pPr>
      <w:r>
        <w:t>N-x</w:t>
      </w:r>
      <w:r>
        <w:tab/>
      </w:r>
    </w:p>
    <w:p w:rsidR="009B4139" w:rsidRDefault="009B4139" w:rsidP="009B4139">
      <w:pPr>
        <w:pStyle w:val="Abbreviation"/>
      </w:pPr>
      <w:proofErr w:type="spellStart"/>
      <w:r>
        <w:t>Ofgem</w:t>
      </w:r>
      <w:proofErr w:type="spellEnd"/>
      <w:r>
        <w:tab/>
        <w:t>Office of Gas and Electricity Markets (UK)</w:t>
      </w:r>
    </w:p>
    <w:p w:rsidR="009B4139" w:rsidRDefault="009B4139" w:rsidP="009B4139">
      <w:pPr>
        <w:pStyle w:val="Abbreviation"/>
      </w:pPr>
      <w:proofErr w:type="spellStart"/>
      <w:r>
        <w:t>Ofwat</w:t>
      </w:r>
      <w:proofErr w:type="spellEnd"/>
      <w:r>
        <w:tab/>
        <w:t xml:space="preserve">Office of Water Services (UK) (On 1 April 2006, the functions of </w:t>
      </w:r>
      <w:proofErr w:type="spellStart"/>
      <w:r>
        <w:t>Ofwat</w:t>
      </w:r>
      <w:proofErr w:type="spellEnd"/>
      <w:r>
        <w:t xml:space="preserve"> were replaced by the Water Services Regulation Authority)</w:t>
      </w:r>
    </w:p>
    <w:p w:rsidR="009B4139" w:rsidRDefault="009B4139" w:rsidP="009B4139">
      <w:pPr>
        <w:pStyle w:val="Abbreviation"/>
      </w:pPr>
      <w:proofErr w:type="spellStart"/>
      <w:r>
        <w:t>OPEX</w:t>
      </w:r>
      <w:proofErr w:type="spellEnd"/>
      <w:r>
        <w:tab/>
        <w:t>Operating expenditure</w:t>
      </w:r>
    </w:p>
    <w:p w:rsidR="009B4139" w:rsidRDefault="009B4139" w:rsidP="009B4139">
      <w:pPr>
        <w:pStyle w:val="Abbreviation"/>
      </w:pPr>
      <w:r>
        <w:t>PC</w:t>
      </w:r>
      <w:r>
        <w:tab/>
        <w:t>Productivity Commission</w:t>
      </w:r>
    </w:p>
    <w:p w:rsidR="009B4139" w:rsidRDefault="009B4139" w:rsidP="009B4139">
      <w:pPr>
        <w:pStyle w:val="Abbreviation"/>
      </w:pPr>
      <w:r>
        <w:t>PV</w:t>
      </w:r>
      <w:r>
        <w:tab/>
        <w:t>Photovoltaic</w:t>
      </w:r>
    </w:p>
    <w:p w:rsidR="009B4139" w:rsidRDefault="009B4139" w:rsidP="009B4139">
      <w:pPr>
        <w:pStyle w:val="Abbreviation"/>
      </w:pPr>
      <w:proofErr w:type="spellStart"/>
      <w:r>
        <w:t>RIT</w:t>
      </w:r>
      <w:proofErr w:type="spellEnd"/>
      <w:r>
        <w:t>-D</w:t>
      </w:r>
      <w:r>
        <w:tab/>
      </w:r>
      <w:r w:rsidRPr="00E30A77">
        <w:t>Regulatory Investment Test</w:t>
      </w:r>
      <w:r>
        <w:t xml:space="preserve"> for Distribution</w:t>
      </w:r>
    </w:p>
    <w:p w:rsidR="009B4139" w:rsidRDefault="009B4139" w:rsidP="009B4139">
      <w:pPr>
        <w:pStyle w:val="Abbreviation"/>
      </w:pPr>
      <w:proofErr w:type="spellStart"/>
      <w:r>
        <w:t>RIT</w:t>
      </w:r>
      <w:proofErr w:type="spellEnd"/>
      <w:r>
        <w:t>-T</w:t>
      </w:r>
      <w:r>
        <w:tab/>
      </w:r>
      <w:r w:rsidRPr="00E30A77">
        <w:t>Regulatory Investment Test</w:t>
      </w:r>
      <w:r>
        <w:t xml:space="preserve"> for Transmission</w:t>
      </w:r>
    </w:p>
    <w:p w:rsidR="009B4139" w:rsidRDefault="009B4139" w:rsidP="009B4139">
      <w:pPr>
        <w:pStyle w:val="Abbreviation"/>
      </w:pPr>
      <w:proofErr w:type="spellStart"/>
      <w:r w:rsidRPr="00563858">
        <w:t>SAIDI</w:t>
      </w:r>
      <w:proofErr w:type="spellEnd"/>
      <w:r>
        <w:tab/>
        <w:t>S</w:t>
      </w:r>
      <w:r w:rsidRPr="00563858">
        <w:t>ystem averag</w:t>
      </w:r>
      <w:r>
        <w:t>e interruption duration index</w:t>
      </w:r>
    </w:p>
    <w:p w:rsidR="009B4139" w:rsidRDefault="009B4139" w:rsidP="009B4139">
      <w:pPr>
        <w:pStyle w:val="Abbreviation"/>
      </w:pPr>
      <w:proofErr w:type="spellStart"/>
      <w:r>
        <w:t>SAIFI</w:t>
      </w:r>
      <w:proofErr w:type="spellEnd"/>
      <w:r>
        <w:tab/>
        <w:t>System average interruption frequency index</w:t>
      </w:r>
    </w:p>
    <w:p w:rsidR="009B4139" w:rsidRDefault="009B4139" w:rsidP="009B4139">
      <w:pPr>
        <w:pStyle w:val="Abbreviation"/>
      </w:pPr>
      <w:proofErr w:type="spellStart"/>
      <w:r>
        <w:t>SCER</w:t>
      </w:r>
      <w:proofErr w:type="spellEnd"/>
      <w:r>
        <w:tab/>
      </w:r>
      <w:r w:rsidRPr="00072E97">
        <w:t>Standing Council on Energy and Resources</w:t>
      </w:r>
    </w:p>
    <w:p w:rsidR="009B4139" w:rsidRDefault="009B4139" w:rsidP="009B4139">
      <w:pPr>
        <w:pStyle w:val="Abbreviation"/>
      </w:pPr>
      <w:proofErr w:type="spellStart"/>
      <w:r>
        <w:t>STPIS</w:t>
      </w:r>
      <w:proofErr w:type="spellEnd"/>
      <w:r>
        <w:tab/>
      </w:r>
      <w:r w:rsidRPr="00903D9D">
        <w:t>Service Target Performance Incentive Scheme</w:t>
      </w:r>
    </w:p>
    <w:p w:rsidR="009B4139" w:rsidRDefault="009B4139" w:rsidP="009B4139">
      <w:pPr>
        <w:pStyle w:val="Abbreviation"/>
      </w:pPr>
      <w:proofErr w:type="spellStart"/>
      <w:r>
        <w:t>SOC</w:t>
      </w:r>
      <w:proofErr w:type="spellEnd"/>
      <w:r>
        <w:tab/>
      </w:r>
      <w:r w:rsidRPr="00E30A77">
        <w:t>State-owned corporation</w:t>
      </w:r>
    </w:p>
    <w:p w:rsidR="009B4139" w:rsidRDefault="009B4139" w:rsidP="009B4139">
      <w:pPr>
        <w:pStyle w:val="Abbreviation"/>
      </w:pPr>
      <w:proofErr w:type="spellStart"/>
      <w:r>
        <w:t>TNSP</w:t>
      </w:r>
      <w:proofErr w:type="spellEnd"/>
      <w:r>
        <w:tab/>
        <w:t>Transmission network service provider</w:t>
      </w:r>
    </w:p>
    <w:p w:rsidR="009B4139" w:rsidRDefault="009B4139" w:rsidP="009B4139">
      <w:pPr>
        <w:pStyle w:val="Abbreviation"/>
      </w:pPr>
      <w:proofErr w:type="spellStart"/>
      <w:r>
        <w:t>TOU</w:t>
      </w:r>
      <w:proofErr w:type="spellEnd"/>
      <w:r>
        <w:tab/>
      </w:r>
      <w:r w:rsidRPr="00E30A77">
        <w:t>time of use</w:t>
      </w:r>
      <w:r>
        <w:t xml:space="preserve"> (electricity tariffs)</w:t>
      </w:r>
    </w:p>
    <w:p w:rsidR="009B4139" w:rsidRDefault="009B4139" w:rsidP="009B4139">
      <w:pPr>
        <w:pStyle w:val="Abbreviation"/>
      </w:pPr>
      <w:proofErr w:type="spellStart"/>
      <w:r>
        <w:t>VCEC</w:t>
      </w:r>
      <w:proofErr w:type="spellEnd"/>
      <w:r>
        <w:tab/>
        <w:t>Victorian Competition and Efficiency Commission</w:t>
      </w:r>
    </w:p>
    <w:p w:rsidR="009B4139" w:rsidRDefault="009B4139" w:rsidP="009B4139">
      <w:pPr>
        <w:pStyle w:val="Abbreviation"/>
      </w:pPr>
      <w:r w:rsidRPr="00E757FB">
        <w:t>VCR</w:t>
      </w:r>
      <w:r>
        <w:tab/>
        <w:t>Value of Customer Reliability</w:t>
      </w:r>
    </w:p>
    <w:p w:rsidR="009B4139" w:rsidRDefault="009B4139" w:rsidP="009B4139">
      <w:pPr>
        <w:pStyle w:val="Abbreviation"/>
      </w:pPr>
      <w:proofErr w:type="spellStart"/>
      <w:r>
        <w:t>WACC</w:t>
      </w:r>
      <w:proofErr w:type="spellEnd"/>
      <w:r>
        <w:tab/>
        <w:t>Weighted average cost of capital</w:t>
      </w:r>
    </w:p>
    <w:p w:rsidR="009B4139" w:rsidRDefault="009B4139" w:rsidP="009B4139">
      <w:pPr>
        <w:pStyle w:val="Abbreviation"/>
      </w:pPr>
      <w:proofErr w:type="spellStart"/>
      <w:r w:rsidRPr="003857AE">
        <w:t>WAPC</w:t>
      </w:r>
      <w:proofErr w:type="spellEnd"/>
      <w:r>
        <w:tab/>
        <w:t>weighted average price caps</w:t>
      </w:r>
    </w:p>
    <w:p w:rsidR="009B4139" w:rsidRDefault="009B4139" w:rsidP="009B4139">
      <w:pPr>
        <w:pStyle w:val="Abbreviation"/>
      </w:pPr>
    </w:p>
    <w:p w:rsidR="009B4139" w:rsidRDefault="009B4139" w:rsidP="009B4139">
      <w:pPr>
        <w:pStyle w:val="Abbreviation"/>
      </w:pPr>
    </w:p>
    <w:p w:rsidR="00A13501" w:rsidRDefault="00A13501" w:rsidP="00A13501">
      <w:pPr>
        <w:pStyle w:val="Abbreviation"/>
      </w:pPr>
    </w:p>
    <w:p w:rsidR="00A13501" w:rsidRDefault="00A13501" w:rsidP="00A13501">
      <w:r>
        <w:br w:type="page"/>
      </w:r>
    </w:p>
    <w:p w:rsidR="00A13501" w:rsidRDefault="00A13501" w:rsidP="00A13501">
      <w:pPr>
        <w:pStyle w:val="Heading2NotTOC"/>
      </w:pPr>
      <w:r>
        <w:lastRenderedPageBreak/>
        <w:t>Explanations</w:t>
      </w:r>
    </w:p>
    <w:tbl>
      <w:tblPr>
        <w:tblW w:w="0" w:type="auto"/>
        <w:tblLayout w:type="fixed"/>
        <w:tblCellMar>
          <w:left w:w="0" w:type="dxa"/>
          <w:right w:w="0" w:type="dxa"/>
        </w:tblCellMar>
        <w:tblLook w:val="0000" w:firstRow="0" w:lastRow="0" w:firstColumn="0" w:lastColumn="0" w:noHBand="0" w:noVBand="0"/>
      </w:tblPr>
      <w:tblGrid>
        <w:gridCol w:w="2155"/>
        <w:gridCol w:w="6634"/>
      </w:tblGrid>
      <w:tr w:rsidR="00A13501" w:rsidTr="005500EA">
        <w:tc>
          <w:tcPr>
            <w:tcW w:w="2155" w:type="dxa"/>
          </w:tcPr>
          <w:p w:rsidR="00A13501" w:rsidRDefault="00A13501" w:rsidP="005500EA">
            <w:pPr>
              <w:pStyle w:val="BodyText"/>
              <w:spacing w:before="120"/>
              <w:ind w:right="6"/>
            </w:pPr>
            <w:r>
              <w:t>Billion</w:t>
            </w:r>
          </w:p>
        </w:tc>
        <w:tc>
          <w:tcPr>
            <w:tcW w:w="6634" w:type="dxa"/>
          </w:tcPr>
          <w:p w:rsidR="00A13501" w:rsidRDefault="00A13501" w:rsidP="005500EA">
            <w:pPr>
              <w:pStyle w:val="BodyText"/>
              <w:spacing w:before="120"/>
              <w:ind w:left="227" w:right="6"/>
            </w:pPr>
            <w:r>
              <w:t>The convention used for a billion is a thousand million (10</w:t>
            </w:r>
            <w:r>
              <w:rPr>
                <w:position w:val="6"/>
                <w:sz w:val="22"/>
              </w:rPr>
              <w:t>9</w:t>
            </w:r>
            <w:r>
              <w:t>).</w:t>
            </w:r>
          </w:p>
        </w:tc>
      </w:tr>
      <w:tr w:rsidR="00A13501" w:rsidTr="005500EA">
        <w:tc>
          <w:tcPr>
            <w:tcW w:w="2155" w:type="dxa"/>
          </w:tcPr>
          <w:p w:rsidR="00A13501" w:rsidRDefault="00A13501" w:rsidP="005500EA">
            <w:pPr>
              <w:pStyle w:val="BodyText"/>
              <w:spacing w:before="120"/>
              <w:ind w:right="6"/>
            </w:pPr>
            <w:r>
              <w:t>Findings</w:t>
            </w:r>
          </w:p>
        </w:tc>
        <w:tc>
          <w:tcPr>
            <w:tcW w:w="6634" w:type="dxa"/>
          </w:tcPr>
          <w:p w:rsidR="00A13501" w:rsidRDefault="00A13501" w:rsidP="005500EA">
            <w:pPr>
              <w:pStyle w:val="BodyText"/>
              <w:spacing w:before="120"/>
              <w:ind w:left="227" w:right="6"/>
              <w:rPr>
                <w:i/>
              </w:rPr>
            </w:pPr>
            <w:r>
              <w:rPr>
                <w:i/>
              </w:rPr>
              <w:t>Findings in the body of the report are paragraphs high</w:t>
            </w:r>
            <w:r>
              <w:rPr>
                <w:i/>
              </w:rPr>
              <w:softHyphen/>
              <w:t>lighted using italics, as this is.</w:t>
            </w:r>
          </w:p>
        </w:tc>
      </w:tr>
      <w:tr w:rsidR="00A13501" w:rsidTr="005500EA">
        <w:tc>
          <w:tcPr>
            <w:tcW w:w="2155" w:type="dxa"/>
          </w:tcPr>
          <w:p w:rsidR="00A13501" w:rsidRDefault="00A13501" w:rsidP="005500EA">
            <w:pPr>
              <w:pStyle w:val="BodyText"/>
              <w:spacing w:before="120"/>
              <w:ind w:right="6"/>
            </w:pPr>
            <w:r>
              <w:t>Recommendations</w:t>
            </w:r>
          </w:p>
        </w:tc>
        <w:tc>
          <w:tcPr>
            <w:tcW w:w="6634" w:type="dxa"/>
          </w:tcPr>
          <w:p w:rsidR="00A13501" w:rsidRDefault="00A13501" w:rsidP="005500EA">
            <w:pPr>
              <w:pStyle w:val="BodyText"/>
              <w:spacing w:before="120"/>
              <w:ind w:left="227" w:right="255"/>
              <w:rPr>
                <w:b/>
                <w:i/>
              </w:rPr>
            </w:pPr>
            <w:r>
              <w:rPr>
                <w:b/>
                <w:i/>
              </w:rPr>
              <w:t>Recommendations in the body of the report are high</w:t>
            </w:r>
            <w:r>
              <w:rPr>
                <w:b/>
                <w:i/>
              </w:rPr>
              <w:softHyphen/>
              <w:t>lighted using bold italics, as this is.</w:t>
            </w:r>
          </w:p>
        </w:tc>
      </w:tr>
      <w:tr w:rsidR="00A13501" w:rsidTr="005500EA">
        <w:tc>
          <w:tcPr>
            <w:tcW w:w="2155" w:type="dxa"/>
          </w:tcPr>
          <w:p w:rsidR="00A13501" w:rsidRDefault="00A13501" w:rsidP="005500EA">
            <w:pPr>
              <w:pStyle w:val="BodyText"/>
              <w:spacing w:before="120"/>
              <w:ind w:right="6"/>
            </w:pPr>
            <w:r>
              <w:t>Requests for further information</w:t>
            </w:r>
          </w:p>
        </w:tc>
        <w:tc>
          <w:tcPr>
            <w:tcW w:w="6634" w:type="dxa"/>
          </w:tcPr>
          <w:p w:rsidR="00A13501" w:rsidRDefault="00A13501" w:rsidP="005500EA">
            <w:pPr>
              <w:pStyle w:val="BodyText"/>
              <w:spacing w:before="120"/>
              <w:ind w:left="227" w:right="6"/>
              <w:rPr>
                <w:rFonts w:ascii="Arial" w:hAnsi="Arial"/>
                <w:sz w:val="24"/>
              </w:rPr>
            </w:pPr>
            <w:r>
              <w:rPr>
                <w:rFonts w:ascii="Arial" w:hAnsi="Arial"/>
                <w:i/>
                <w:sz w:val="24"/>
              </w:rPr>
              <w:t>Information requests are paragraphs highlighted using italics, as this is.</w:t>
            </w:r>
          </w:p>
        </w:tc>
      </w:tr>
    </w:tbl>
    <w:p w:rsidR="00560455" w:rsidRPr="00325374" w:rsidRDefault="00560455" w:rsidP="00A13501">
      <w:pPr>
        <w:pStyle w:val="BodyText"/>
        <w:rPr>
          <w:rStyle w:val="CommentReference"/>
          <w:vanish w:val="0"/>
        </w:rPr>
      </w:pPr>
    </w:p>
    <w:sectPr w:rsidR="00560455" w:rsidRPr="00325374" w:rsidSect="00C55A45">
      <w:headerReference w:type="even" r:id="rId15"/>
      <w:headerReference w:type="default" r:id="rId16"/>
      <w:footerReference w:type="even" r:id="rId17"/>
      <w:footerReference w:type="default" r:id="rId18"/>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431" w:rsidRDefault="00A23431">
      <w:r>
        <w:separator/>
      </w:r>
    </w:p>
    <w:p w:rsidR="00A23431" w:rsidRDefault="00A23431"/>
    <w:p w:rsidR="00A23431" w:rsidRDefault="00A23431"/>
  </w:endnote>
  <w:endnote w:type="continuationSeparator" w:id="0">
    <w:p w:rsidR="00A23431" w:rsidRDefault="00A23431">
      <w:r>
        <w:continuationSeparator/>
      </w:r>
    </w:p>
    <w:p w:rsidR="00A23431" w:rsidRDefault="00A23431"/>
    <w:p w:rsidR="00A23431" w:rsidRDefault="00A23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23431">
      <w:trPr>
        <w:trHeight w:hRule="exact" w:val="740"/>
      </w:trPr>
      <w:tc>
        <w:tcPr>
          <w:tcW w:w="510" w:type="dxa"/>
          <w:tcBorders>
            <w:top w:val="single" w:sz="6" w:space="0" w:color="auto"/>
          </w:tcBorders>
        </w:tcPr>
        <w:p w:rsidR="00A23431" w:rsidRPr="008206EE" w:rsidRDefault="00A23431">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325374">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A23431" w:rsidRDefault="00325374">
          <w:pPr>
            <w:pStyle w:val="Footer"/>
          </w:pPr>
          <w:r>
            <w:fldChar w:fldCharType="begin"/>
          </w:r>
          <w:r>
            <w:instrText xml:space="preserve"> STYLEREF "Heading 1 Not TOC" \* MERGEFORMAT </w:instrText>
          </w:r>
          <w:r>
            <w:rPr>
              <w:noProof/>
            </w:rPr>
            <w:fldChar w:fldCharType="end"/>
          </w:r>
        </w:p>
      </w:tc>
      <w:tc>
        <w:tcPr>
          <w:tcW w:w="6634" w:type="dxa"/>
        </w:tcPr>
        <w:p w:rsidR="00A23431" w:rsidRDefault="00A23431">
          <w:pPr>
            <w:pStyle w:val="Footer"/>
            <w:rPr>
              <w:caps w:val="0"/>
            </w:rPr>
          </w:pPr>
        </w:p>
      </w:tc>
    </w:tr>
  </w:tbl>
  <w:p w:rsidR="00A23431" w:rsidRDefault="00A2343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23431" w:rsidTr="008F7DB7">
      <w:trPr>
        <w:trHeight w:hRule="exact" w:val="740"/>
      </w:trPr>
      <w:tc>
        <w:tcPr>
          <w:tcW w:w="6634" w:type="dxa"/>
        </w:tcPr>
        <w:p w:rsidR="00A23431" w:rsidRDefault="00A23431">
          <w:pPr>
            <w:pStyle w:val="Footer"/>
          </w:pPr>
        </w:p>
      </w:tc>
      <w:tc>
        <w:tcPr>
          <w:tcW w:w="1644" w:type="dxa"/>
          <w:tcBorders>
            <w:top w:val="single" w:sz="6" w:space="0" w:color="auto"/>
          </w:tcBorders>
        </w:tcPr>
        <w:p w:rsidR="00A23431" w:rsidRPr="008F7DB7" w:rsidRDefault="00A23431">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325374">
            <w:rPr>
              <w:noProof/>
            </w:rPr>
            <w:t>Contents</w:t>
          </w:r>
          <w:r w:rsidRPr="008F7DB7">
            <w:rPr>
              <w:noProof/>
            </w:rPr>
            <w:fldChar w:fldCharType="end"/>
          </w:r>
        </w:p>
      </w:tc>
      <w:tc>
        <w:tcPr>
          <w:tcW w:w="510" w:type="dxa"/>
          <w:tcBorders>
            <w:top w:val="single" w:sz="6" w:space="0" w:color="auto"/>
          </w:tcBorders>
        </w:tcPr>
        <w:p w:rsidR="00A23431" w:rsidRPr="00C55A45" w:rsidRDefault="00A23431">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25374">
            <w:rPr>
              <w:rStyle w:val="PageNumber"/>
              <w:caps w:val="0"/>
              <w:noProof/>
            </w:rPr>
            <w:t>vii</w:t>
          </w:r>
          <w:r w:rsidRPr="00C55A45">
            <w:rPr>
              <w:rStyle w:val="PageNumber"/>
              <w:caps w:val="0"/>
              <w:noProof/>
            </w:rPr>
            <w:fldChar w:fldCharType="end"/>
          </w:r>
        </w:p>
      </w:tc>
    </w:tr>
  </w:tbl>
  <w:p w:rsidR="00A23431" w:rsidRDefault="00A2343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A23431" w:rsidTr="008F7DB7">
      <w:trPr>
        <w:trHeight w:hRule="exact" w:val="740"/>
      </w:trPr>
      <w:tc>
        <w:tcPr>
          <w:tcW w:w="510" w:type="dxa"/>
          <w:tcBorders>
            <w:top w:val="single" w:sz="6" w:space="0" w:color="auto"/>
          </w:tcBorders>
        </w:tcPr>
        <w:p w:rsidR="00A23431" w:rsidRPr="00C55A45" w:rsidRDefault="00A23431">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25374">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A23431" w:rsidRDefault="00A23431">
          <w:pPr>
            <w:pStyle w:val="Footer"/>
            <w:rPr>
              <w:noProof/>
            </w:rPr>
          </w:pPr>
          <w:r>
            <w:rPr>
              <w:noProof/>
            </w:rPr>
            <w:t>electricity network regulation</w:t>
          </w:r>
        </w:p>
      </w:tc>
      <w:tc>
        <w:tcPr>
          <w:tcW w:w="6634" w:type="dxa"/>
        </w:tcPr>
        <w:p w:rsidR="00A23431" w:rsidRDefault="00A23431">
          <w:pPr>
            <w:pStyle w:val="Footer"/>
            <w:rPr>
              <w:caps w:val="0"/>
            </w:rPr>
          </w:pPr>
        </w:p>
      </w:tc>
    </w:tr>
  </w:tbl>
  <w:p w:rsidR="00A23431" w:rsidRDefault="00A23431">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A23431">
      <w:trPr>
        <w:trHeight w:hRule="exact" w:val="740"/>
      </w:trPr>
      <w:tc>
        <w:tcPr>
          <w:tcW w:w="6663" w:type="dxa"/>
        </w:tcPr>
        <w:p w:rsidR="00A23431" w:rsidRDefault="00A23431">
          <w:pPr>
            <w:pStyle w:val="Footer"/>
          </w:pPr>
        </w:p>
      </w:tc>
      <w:tc>
        <w:tcPr>
          <w:tcW w:w="1615" w:type="dxa"/>
          <w:tcBorders>
            <w:top w:val="single" w:sz="6" w:space="0" w:color="auto"/>
          </w:tcBorders>
        </w:tcPr>
        <w:p w:rsidR="00A23431" w:rsidRDefault="00325374">
          <w:pPr>
            <w:pStyle w:val="Footer"/>
            <w:rPr>
              <w:rStyle w:val="PageNumber"/>
              <w:b w:val="0"/>
            </w:rPr>
          </w:pPr>
          <w:r>
            <w:fldChar w:fldCharType="begin"/>
          </w:r>
          <w:r>
            <w:instrText xml:space="preserve"> STYLEREF "Heading 1" \* MERGEFORMAT </w:instrText>
          </w:r>
          <w:r>
            <w:fldChar w:fldCharType="separate"/>
          </w:r>
          <w:r>
            <w:rPr>
              <w:noProof/>
            </w:rPr>
            <w:t>Abbreviations and explanations</w:t>
          </w:r>
          <w:r>
            <w:rPr>
              <w:noProof/>
            </w:rPr>
            <w:fldChar w:fldCharType="end"/>
          </w:r>
        </w:p>
      </w:tc>
      <w:tc>
        <w:tcPr>
          <w:tcW w:w="510" w:type="dxa"/>
          <w:tcBorders>
            <w:top w:val="single" w:sz="6" w:space="0" w:color="auto"/>
          </w:tcBorders>
        </w:tcPr>
        <w:p w:rsidR="00A23431" w:rsidRPr="00E15FDC" w:rsidRDefault="00A23431">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325374">
            <w:rPr>
              <w:rStyle w:val="PageNumber"/>
              <w:caps w:val="0"/>
              <w:noProof/>
            </w:rPr>
            <w:t>xi</w:t>
          </w:r>
          <w:r w:rsidRPr="00E15FDC">
            <w:rPr>
              <w:rStyle w:val="PageNumber"/>
              <w:caps w:val="0"/>
              <w:noProof/>
            </w:rPr>
            <w:fldChar w:fldCharType="end"/>
          </w:r>
        </w:p>
      </w:tc>
    </w:tr>
  </w:tbl>
  <w:p w:rsidR="00A23431" w:rsidRDefault="00A23431"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431" w:rsidRDefault="00A23431">
      <w:r>
        <w:separator/>
      </w:r>
    </w:p>
    <w:p w:rsidR="00A23431" w:rsidRDefault="00A23431"/>
    <w:p w:rsidR="00A23431" w:rsidRDefault="00A23431"/>
  </w:footnote>
  <w:footnote w:type="continuationSeparator" w:id="0">
    <w:p w:rsidR="00A23431" w:rsidRDefault="00A23431">
      <w:r>
        <w:continuationSeparator/>
      </w:r>
    </w:p>
    <w:p w:rsidR="00A23431" w:rsidRDefault="00A23431"/>
    <w:p w:rsidR="00A23431" w:rsidRDefault="00A2343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431" w:rsidRPr="005C68FE" w:rsidRDefault="00A23431">
    <w:pPr>
      <w:pStyle w:val="HeaderEnd"/>
    </w:pPr>
  </w:p>
  <w:p w:rsidR="00A23431" w:rsidRDefault="00A2343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A23431">
      <w:tc>
        <w:tcPr>
          <w:tcW w:w="2155" w:type="dxa"/>
          <w:tcBorders>
            <w:top w:val="single" w:sz="24" w:space="0" w:color="auto"/>
          </w:tcBorders>
        </w:tcPr>
        <w:p w:rsidR="00A23431" w:rsidRDefault="00A23431">
          <w:pPr>
            <w:pStyle w:val="Header"/>
          </w:pPr>
        </w:p>
      </w:tc>
      <w:tc>
        <w:tcPr>
          <w:tcW w:w="6634" w:type="dxa"/>
          <w:tcBorders>
            <w:top w:val="single" w:sz="6" w:space="0" w:color="auto"/>
          </w:tcBorders>
        </w:tcPr>
        <w:p w:rsidR="00A23431" w:rsidRDefault="00A23431">
          <w:pPr>
            <w:pStyle w:val="Header"/>
          </w:pPr>
        </w:p>
      </w:tc>
    </w:tr>
  </w:tbl>
  <w:p w:rsidR="00A23431" w:rsidRDefault="00A2343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23431" w:rsidTr="005C68FE">
      <w:tc>
        <w:tcPr>
          <w:tcW w:w="6634" w:type="dxa"/>
          <w:tcBorders>
            <w:top w:val="single" w:sz="6" w:space="0" w:color="auto"/>
          </w:tcBorders>
        </w:tcPr>
        <w:p w:rsidR="00A23431" w:rsidRDefault="00A23431" w:rsidP="005C68FE">
          <w:pPr>
            <w:pStyle w:val="HeaderOdd"/>
          </w:pPr>
        </w:p>
      </w:tc>
      <w:tc>
        <w:tcPr>
          <w:tcW w:w="2155" w:type="dxa"/>
          <w:tcBorders>
            <w:top w:val="single" w:sz="24" w:space="0" w:color="auto"/>
          </w:tcBorders>
        </w:tcPr>
        <w:p w:rsidR="00A23431" w:rsidRDefault="00A23431" w:rsidP="005C68FE">
          <w:pPr>
            <w:pStyle w:val="HeaderOdd"/>
          </w:pPr>
        </w:p>
      </w:tc>
    </w:tr>
  </w:tbl>
  <w:p w:rsidR="00A23431" w:rsidRPr="005C68FE" w:rsidRDefault="00A23431" w:rsidP="005C68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23431" w:rsidTr="005C68FE">
      <w:tc>
        <w:tcPr>
          <w:tcW w:w="2155" w:type="dxa"/>
          <w:tcBorders>
            <w:top w:val="single" w:sz="24" w:space="0" w:color="auto"/>
          </w:tcBorders>
        </w:tcPr>
        <w:p w:rsidR="00A23431" w:rsidRDefault="00A23431" w:rsidP="005C68FE">
          <w:pPr>
            <w:pStyle w:val="HeaderEven"/>
          </w:pPr>
        </w:p>
      </w:tc>
      <w:tc>
        <w:tcPr>
          <w:tcW w:w="6634" w:type="dxa"/>
          <w:tcBorders>
            <w:top w:val="single" w:sz="6" w:space="0" w:color="auto"/>
          </w:tcBorders>
        </w:tcPr>
        <w:p w:rsidR="00A23431" w:rsidRDefault="00A23431" w:rsidP="005C68FE">
          <w:pPr>
            <w:pStyle w:val="HeaderEven"/>
          </w:pPr>
        </w:p>
      </w:tc>
    </w:tr>
  </w:tbl>
  <w:p w:rsidR="00A23431" w:rsidRDefault="00A23431" w:rsidP="00D732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23431">
      <w:tc>
        <w:tcPr>
          <w:tcW w:w="6634" w:type="dxa"/>
          <w:tcBorders>
            <w:top w:val="single" w:sz="6" w:space="0" w:color="auto"/>
          </w:tcBorders>
        </w:tcPr>
        <w:p w:rsidR="00A23431" w:rsidRDefault="00A23431">
          <w:pPr>
            <w:pStyle w:val="HeaderOdd"/>
          </w:pPr>
        </w:p>
      </w:tc>
      <w:tc>
        <w:tcPr>
          <w:tcW w:w="2155" w:type="dxa"/>
          <w:tcBorders>
            <w:top w:val="single" w:sz="24" w:space="0" w:color="auto"/>
          </w:tcBorders>
        </w:tcPr>
        <w:p w:rsidR="00A23431" w:rsidRDefault="00A23431">
          <w:pPr>
            <w:pStyle w:val="HeaderOdd"/>
          </w:pPr>
        </w:p>
      </w:tc>
    </w:tr>
  </w:tbl>
  <w:p w:rsidR="00A23431" w:rsidRDefault="00A23431"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1DF15CAD"/>
    <w:multiLevelType w:val="hybridMultilevel"/>
    <w:tmpl w:val="30FEF704"/>
    <w:lvl w:ilvl="0" w:tplc="E780A664">
      <w:start w:val="1"/>
      <w:numFmt w:val="bullet"/>
      <w:lvlText w:val=""/>
      <w:lvlJc w:val="left"/>
      <w:pPr>
        <w:tabs>
          <w:tab w:val="num" w:pos="340"/>
        </w:tabs>
        <w:ind w:left="340" w:hanging="340"/>
      </w:pPr>
      <w:rPr>
        <w:rFonts w:ascii="Symbol" w:hAnsi="Symbol" w:cs="Symbol" w:hint="default"/>
        <w:sz w:val="24"/>
        <w:szCs w:val="24"/>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12">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3">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4">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5">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6">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7">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8">
    <w:nsid w:val="6B740744"/>
    <w:multiLevelType w:val="singleLevel"/>
    <w:tmpl w:val="B4744B66"/>
    <w:lvl w:ilvl="0">
      <w:start w:val="1"/>
      <w:numFmt w:val="decimal"/>
      <w:lvlText w:val="%1."/>
      <w:legacy w:legacy="1" w:legacySpace="0" w:legacyIndent="340"/>
      <w:lvlJc w:val="left"/>
      <w:pPr>
        <w:ind w:left="340" w:hanging="340"/>
      </w:pPr>
    </w:lvl>
  </w:abstractNum>
  <w:abstractNum w:abstractNumId="19">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0">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8"/>
  </w:num>
  <w:num w:numId="13">
    <w:abstractNumId w:val="13"/>
  </w:num>
  <w:num w:numId="14">
    <w:abstractNumId w:val="8"/>
  </w:num>
  <w:num w:numId="15">
    <w:abstractNumId w:val="19"/>
  </w:num>
  <w:num w:numId="16">
    <w:abstractNumId w:val="14"/>
  </w:num>
  <w:num w:numId="17">
    <w:abstractNumId w:val="7"/>
  </w:num>
  <w:num w:numId="18">
    <w:abstractNumId w:val="17"/>
  </w:num>
  <w:num w:numId="19">
    <w:abstractNumId w:val="16"/>
  </w:num>
  <w:num w:numId="20">
    <w:abstractNumId w:val="20"/>
  </w:num>
  <w:num w:numId="21">
    <w:abstractNumId w:val="12"/>
  </w:num>
  <w:num w:numId="22">
    <w:abstractNumId w:val="9"/>
  </w:num>
  <w:num w:numId="23">
    <w:abstractNumId w:val="15"/>
  </w:num>
  <w:num w:numId="24">
    <w:abstractNumId w:val="1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5DD"/>
    <w:rsid w:val="00017AFC"/>
    <w:rsid w:val="00020D84"/>
    <w:rsid w:val="00025878"/>
    <w:rsid w:val="00026B38"/>
    <w:rsid w:val="00046CFD"/>
    <w:rsid w:val="000502D3"/>
    <w:rsid w:val="00061D53"/>
    <w:rsid w:val="000623BF"/>
    <w:rsid w:val="0006669A"/>
    <w:rsid w:val="00095EEA"/>
    <w:rsid w:val="00097C15"/>
    <w:rsid w:val="000D2199"/>
    <w:rsid w:val="000D718E"/>
    <w:rsid w:val="000E39EC"/>
    <w:rsid w:val="000F185F"/>
    <w:rsid w:val="0010592F"/>
    <w:rsid w:val="00106041"/>
    <w:rsid w:val="00114DB4"/>
    <w:rsid w:val="00131D43"/>
    <w:rsid w:val="0013399B"/>
    <w:rsid w:val="00181F4B"/>
    <w:rsid w:val="00196FB3"/>
    <w:rsid w:val="001A5071"/>
    <w:rsid w:val="001B4E73"/>
    <w:rsid w:val="001B7F1E"/>
    <w:rsid w:val="001C3F94"/>
    <w:rsid w:val="001C60E6"/>
    <w:rsid w:val="001D3E0B"/>
    <w:rsid w:val="001D4B1F"/>
    <w:rsid w:val="001D6629"/>
    <w:rsid w:val="001F2270"/>
    <w:rsid w:val="00205A82"/>
    <w:rsid w:val="00207283"/>
    <w:rsid w:val="00211BEE"/>
    <w:rsid w:val="002179C6"/>
    <w:rsid w:val="00232EF8"/>
    <w:rsid w:val="00260CE5"/>
    <w:rsid w:val="00261607"/>
    <w:rsid w:val="00264D3B"/>
    <w:rsid w:val="00265685"/>
    <w:rsid w:val="00281D5F"/>
    <w:rsid w:val="002923AD"/>
    <w:rsid w:val="00296592"/>
    <w:rsid w:val="002A0A4B"/>
    <w:rsid w:val="002B55DD"/>
    <w:rsid w:val="002B636E"/>
    <w:rsid w:val="002B64D6"/>
    <w:rsid w:val="002D6FCE"/>
    <w:rsid w:val="00325374"/>
    <w:rsid w:val="00343633"/>
    <w:rsid w:val="00363D0E"/>
    <w:rsid w:val="00394F1D"/>
    <w:rsid w:val="003B41E0"/>
    <w:rsid w:val="003D624D"/>
    <w:rsid w:val="003E2018"/>
    <w:rsid w:val="003E7802"/>
    <w:rsid w:val="00433C81"/>
    <w:rsid w:val="00446D6B"/>
    <w:rsid w:val="00457B3F"/>
    <w:rsid w:val="00463022"/>
    <w:rsid w:val="00481CF0"/>
    <w:rsid w:val="00487BB9"/>
    <w:rsid w:val="004B492A"/>
    <w:rsid w:val="004C0B0C"/>
    <w:rsid w:val="004C0EF3"/>
    <w:rsid w:val="004E149E"/>
    <w:rsid w:val="004E52E2"/>
    <w:rsid w:val="004E6BB4"/>
    <w:rsid w:val="004F627B"/>
    <w:rsid w:val="00512CF1"/>
    <w:rsid w:val="00515D43"/>
    <w:rsid w:val="00521BD4"/>
    <w:rsid w:val="0052544D"/>
    <w:rsid w:val="005500EA"/>
    <w:rsid w:val="00550710"/>
    <w:rsid w:val="00551FB8"/>
    <w:rsid w:val="00560455"/>
    <w:rsid w:val="00560F43"/>
    <w:rsid w:val="005B0294"/>
    <w:rsid w:val="005B17AB"/>
    <w:rsid w:val="005C68FE"/>
    <w:rsid w:val="005D59B3"/>
    <w:rsid w:val="005E07E4"/>
    <w:rsid w:val="005E26D8"/>
    <w:rsid w:val="00602523"/>
    <w:rsid w:val="00607D8A"/>
    <w:rsid w:val="00607E43"/>
    <w:rsid w:val="00614C08"/>
    <w:rsid w:val="0061590F"/>
    <w:rsid w:val="00636497"/>
    <w:rsid w:val="00641AE2"/>
    <w:rsid w:val="0064456A"/>
    <w:rsid w:val="00650DDA"/>
    <w:rsid w:val="0065126A"/>
    <w:rsid w:val="006802D4"/>
    <w:rsid w:val="00683849"/>
    <w:rsid w:val="00691AB5"/>
    <w:rsid w:val="006E1E6B"/>
    <w:rsid w:val="006F0EAC"/>
    <w:rsid w:val="006F188E"/>
    <w:rsid w:val="006F6A85"/>
    <w:rsid w:val="0070328D"/>
    <w:rsid w:val="007255B9"/>
    <w:rsid w:val="00731F96"/>
    <w:rsid w:val="00734127"/>
    <w:rsid w:val="00735FEA"/>
    <w:rsid w:val="00743460"/>
    <w:rsid w:val="00753DC6"/>
    <w:rsid w:val="0075578C"/>
    <w:rsid w:val="007663C6"/>
    <w:rsid w:val="00766D34"/>
    <w:rsid w:val="007734B5"/>
    <w:rsid w:val="007809B8"/>
    <w:rsid w:val="0079058B"/>
    <w:rsid w:val="007B59FF"/>
    <w:rsid w:val="007C0071"/>
    <w:rsid w:val="007D40C5"/>
    <w:rsid w:val="008160A1"/>
    <w:rsid w:val="008206EE"/>
    <w:rsid w:val="008214B1"/>
    <w:rsid w:val="00836ED7"/>
    <w:rsid w:val="008453AC"/>
    <w:rsid w:val="00860D09"/>
    <w:rsid w:val="00862044"/>
    <w:rsid w:val="008649B4"/>
    <w:rsid w:val="0087020E"/>
    <w:rsid w:val="0087386B"/>
    <w:rsid w:val="00875305"/>
    <w:rsid w:val="008C305F"/>
    <w:rsid w:val="008C3AD2"/>
    <w:rsid w:val="008C7C3D"/>
    <w:rsid w:val="008D205B"/>
    <w:rsid w:val="008D6F66"/>
    <w:rsid w:val="008E1BEA"/>
    <w:rsid w:val="008E2A32"/>
    <w:rsid w:val="008E43D2"/>
    <w:rsid w:val="008F04C9"/>
    <w:rsid w:val="008F7DB7"/>
    <w:rsid w:val="009064D3"/>
    <w:rsid w:val="00915300"/>
    <w:rsid w:val="00933B0C"/>
    <w:rsid w:val="00935676"/>
    <w:rsid w:val="00941339"/>
    <w:rsid w:val="0098401D"/>
    <w:rsid w:val="00990A33"/>
    <w:rsid w:val="009A789F"/>
    <w:rsid w:val="009B12EF"/>
    <w:rsid w:val="009B4139"/>
    <w:rsid w:val="009B6185"/>
    <w:rsid w:val="009D5F1D"/>
    <w:rsid w:val="009E1E78"/>
    <w:rsid w:val="009E313F"/>
    <w:rsid w:val="009F7D38"/>
    <w:rsid w:val="00A13501"/>
    <w:rsid w:val="00A1597D"/>
    <w:rsid w:val="00A23431"/>
    <w:rsid w:val="00A46989"/>
    <w:rsid w:val="00A633F0"/>
    <w:rsid w:val="00A7056F"/>
    <w:rsid w:val="00A71CE9"/>
    <w:rsid w:val="00A72A19"/>
    <w:rsid w:val="00A75A30"/>
    <w:rsid w:val="00AB2A48"/>
    <w:rsid w:val="00AC3236"/>
    <w:rsid w:val="00AD4874"/>
    <w:rsid w:val="00AE1E61"/>
    <w:rsid w:val="00AE1F8A"/>
    <w:rsid w:val="00B036B2"/>
    <w:rsid w:val="00B045FE"/>
    <w:rsid w:val="00B153C3"/>
    <w:rsid w:val="00B22087"/>
    <w:rsid w:val="00B276DB"/>
    <w:rsid w:val="00B722F2"/>
    <w:rsid w:val="00B865CA"/>
    <w:rsid w:val="00B95339"/>
    <w:rsid w:val="00B97268"/>
    <w:rsid w:val="00BB334E"/>
    <w:rsid w:val="00BB5DCF"/>
    <w:rsid w:val="00BF59EA"/>
    <w:rsid w:val="00BF79CD"/>
    <w:rsid w:val="00C0721B"/>
    <w:rsid w:val="00C34C8C"/>
    <w:rsid w:val="00C50792"/>
    <w:rsid w:val="00C55A45"/>
    <w:rsid w:val="00C754BB"/>
    <w:rsid w:val="00C7783D"/>
    <w:rsid w:val="00C904D9"/>
    <w:rsid w:val="00C91180"/>
    <w:rsid w:val="00C94C06"/>
    <w:rsid w:val="00CA48BF"/>
    <w:rsid w:val="00CB3ACC"/>
    <w:rsid w:val="00CB4745"/>
    <w:rsid w:val="00CC1D6D"/>
    <w:rsid w:val="00CD2163"/>
    <w:rsid w:val="00CD4FE7"/>
    <w:rsid w:val="00CE5D96"/>
    <w:rsid w:val="00CE7344"/>
    <w:rsid w:val="00CF26EE"/>
    <w:rsid w:val="00D24DB6"/>
    <w:rsid w:val="00D310F0"/>
    <w:rsid w:val="00D500A9"/>
    <w:rsid w:val="00D64121"/>
    <w:rsid w:val="00D732FE"/>
    <w:rsid w:val="00D7379E"/>
    <w:rsid w:val="00D772E9"/>
    <w:rsid w:val="00DA31AB"/>
    <w:rsid w:val="00DA3281"/>
    <w:rsid w:val="00DA6D3E"/>
    <w:rsid w:val="00DC02E8"/>
    <w:rsid w:val="00DC3DDF"/>
    <w:rsid w:val="00DC75C7"/>
    <w:rsid w:val="00DF34A7"/>
    <w:rsid w:val="00DF4592"/>
    <w:rsid w:val="00E147C7"/>
    <w:rsid w:val="00E15FDC"/>
    <w:rsid w:val="00E2651B"/>
    <w:rsid w:val="00E41080"/>
    <w:rsid w:val="00E6632E"/>
    <w:rsid w:val="00E90AAF"/>
    <w:rsid w:val="00E90CF2"/>
    <w:rsid w:val="00E93F05"/>
    <w:rsid w:val="00EA00CB"/>
    <w:rsid w:val="00EE73E1"/>
    <w:rsid w:val="00F01E47"/>
    <w:rsid w:val="00F12107"/>
    <w:rsid w:val="00F13165"/>
    <w:rsid w:val="00F40069"/>
    <w:rsid w:val="00F7477E"/>
    <w:rsid w:val="00F85393"/>
    <w:rsid w:val="00FA1474"/>
    <w:rsid w:val="00FC41B4"/>
    <w:rsid w:val="00FC5A6B"/>
    <w:rsid w:val="00FD4728"/>
    <w:rsid w:val="00FE15A7"/>
    <w:rsid w:val="00FF23E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table" w:styleId="TableGrid">
    <w:name w:val="Table Grid"/>
    <w:basedOn w:val="TableNormal"/>
    <w:rsid w:val="002B55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2B55DD"/>
    <w:rPr>
      <w:caps/>
      <w:spacing w:val="-4"/>
      <w:sz w:val="16"/>
      <w:lang w:eastAsia="en-US"/>
    </w:rPr>
  </w:style>
  <w:style w:type="character" w:customStyle="1" w:styleId="Heading1Char">
    <w:name w:val="Heading 1 Char"/>
    <w:basedOn w:val="DefaultParagraphFont"/>
    <w:link w:val="Heading1"/>
    <w:rsid w:val="002B55DD"/>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7809B8"/>
    <w:rPr>
      <w:sz w:val="26"/>
      <w:lang w:val="en-AU" w:eastAsia="en-US" w:bidi="ar-SA"/>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table" w:styleId="TableGrid">
    <w:name w:val="Table Grid"/>
    <w:basedOn w:val="TableNormal"/>
    <w:rsid w:val="002B55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2B55DD"/>
    <w:rPr>
      <w:caps/>
      <w:spacing w:val="-4"/>
      <w:sz w:val="16"/>
      <w:lang w:eastAsia="en-US"/>
    </w:rPr>
  </w:style>
  <w:style w:type="character" w:customStyle="1" w:styleId="Heading1Char">
    <w:name w:val="Heading 1 Char"/>
    <w:basedOn w:val="DefaultParagraphFont"/>
    <w:link w:val="Heading1"/>
    <w:rsid w:val="002B55DD"/>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7F53A-A067-4E89-B913-10C94A413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Template>
  <TotalTime>1</TotalTime>
  <Pages>12</Pages>
  <Words>1718</Words>
  <Characters>10030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Commonwealth of Australia 2010</vt:lpstr>
    </vt:vector>
  </TitlesOfParts>
  <Company>Productivity Commission</Company>
  <LinksUpToDate>false</LinksUpToDate>
  <CharactersWithSpaces>11725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Commonwealth of Australia 2010</dc:title>
  <dc:creator>Productivity Commission</dc:creator>
  <cp:lastModifiedBy>Melissa Edwards</cp:lastModifiedBy>
  <cp:revision>3</cp:revision>
  <cp:lastPrinted>2012-10-10T13:59:00Z</cp:lastPrinted>
  <dcterms:created xsi:type="dcterms:W3CDTF">2012-10-17T05:17:00Z</dcterms:created>
  <dcterms:modified xsi:type="dcterms:W3CDTF">2012-10-18T04:09:00Z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-1767520066</vt:i4>
  </property>
  <property fmtid="{D5CDD505-2E9C-101B-9397-08002B2CF9AE}" pid="3" name="_NewReviewCycle">
    <vt:lpwstr/>
  </property>
  <property fmtid="{D5CDD505-2E9C-101B-9397-08002B2CF9AE}" pid="4" name="_EmailSubject">
    <vt:lpwstr>web files - electricity network  - draft report </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