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977AF3" w:rsidP="00977AF3">
      <w:pPr>
        <w:pStyle w:val="Chapter"/>
        <w:ind w:left="907" w:hanging="907"/>
      </w:pPr>
      <w:bookmarkStart w:id="0" w:name="ChapterNumber"/>
      <w:bookmarkStart w:id="1" w:name="_GoBack"/>
      <w:bookmarkEnd w:id="1"/>
      <w:r>
        <w:t>16</w:t>
      </w:r>
      <w:bookmarkEnd w:id="0"/>
      <w:r>
        <w:tab/>
      </w:r>
      <w:bookmarkStart w:id="2" w:name="ChapterTitle"/>
      <w:r>
        <w:t>Distribution reliability</w:t>
      </w:r>
      <w:bookmarkEnd w:id="2"/>
      <w:r w:rsidR="000C25BA">
        <w:tab/>
      </w:r>
    </w:p>
    <w:p w:rsidR="00DB6BA9" w:rsidRDefault="00DB6BA9">
      <w:pPr>
        <w:pStyle w:val="BoxSpace"/>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B6BA9">
        <w:tc>
          <w:tcPr>
            <w:tcW w:w="8771" w:type="dxa"/>
            <w:tcBorders>
              <w:top w:val="single" w:sz="6" w:space="0" w:color="auto"/>
              <w:bottom w:val="nil"/>
            </w:tcBorders>
          </w:tcPr>
          <w:p w:rsidR="00DB6BA9" w:rsidRDefault="00DB6BA9" w:rsidP="007B4449">
            <w:pPr>
              <w:pStyle w:val="BoxTitle"/>
            </w:pPr>
            <w:r>
              <w:t>Key points</w:t>
            </w:r>
          </w:p>
        </w:tc>
      </w:tr>
      <w:tr w:rsidR="00DB6BA9">
        <w:trPr>
          <w:cantSplit/>
        </w:trPr>
        <w:tc>
          <w:tcPr>
            <w:tcW w:w="8771" w:type="dxa"/>
            <w:tcBorders>
              <w:top w:val="nil"/>
              <w:left w:val="single" w:sz="6" w:space="0" w:color="auto"/>
              <w:bottom w:val="nil"/>
              <w:right w:val="single" w:sz="6" w:space="0" w:color="auto"/>
            </w:tcBorders>
          </w:tcPr>
          <w:p w:rsidR="00C22982" w:rsidRDefault="00C22982" w:rsidP="004A7FC4">
            <w:pPr>
              <w:pStyle w:val="BoxListBullet"/>
            </w:pPr>
            <w:r>
              <w:t>Reliability in distribution networks is usually measured by the frequency and duration of power interruptions, rather than the likelihood of interruptions as is the case in transmission networks</w:t>
            </w:r>
          </w:p>
          <w:p w:rsidR="00DB6BA9" w:rsidRDefault="007B4449" w:rsidP="004A7FC4">
            <w:pPr>
              <w:pStyle w:val="BoxListBullet"/>
            </w:pPr>
            <w:r>
              <w:t>Most power interruptions that customers experience are as a result of faults or failures in distribution networks</w:t>
            </w:r>
            <w:r w:rsidR="008267AF">
              <w:t>.</w:t>
            </w:r>
          </w:p>
          <w:p w:rsidR="00342B01" w:rsidRPr="00342B01" w:rsidRDefault="00342B01" w:rsidP="00342B01">
            <w:pPr>
              <w:pStyle w:val="BoxListBullet"/>
              <w:rPr>
                <w:szCs w:val="24"/>
              </w:rPr>
            </w:pPr>
            <w:r>
              <w:t>Distribution reliability varies significantly between jurisdictions, and businesses in the National Electricity Market (NEM) because it is affected by the specific characteristics of each network and the standards imposed.</w:t>
            </w:r>
          </w:p>
          <w:p w:rsidR="007B4449" w:rsidRPr="009E610D" w:rsidRDefault="00CE554F" w:rsidP="009E610D">
            <w:pPr>
              <w:pStyle w:val="BoxListBullet"/>
            </w:pPr>
            <w:r>
              <w:t>In order to influence</w:t>
            </w:r>
            <w:r w:rsidR="007B4449">
              <w:t xml:space="preserve"> </w:t>
            </w:r>
            <w:r w:rsidR="00AD650E">
              <w:t>the reliability of distribution networks</w:t>
            </w:r>
            <w:r w:rsidR="007B4449">
              <w:t xml:space="preserve">, </w:t>
            </w:r>
            <w:r w:rsidR="00CF4791">
              <w:t xml:space="preserve">state and territory </w:t>
            </w:r>
            <w:r w:rsidR="007B4449">
              <w:t>governments and regulators apply reliability standards to distribution businesses</w:t>
            </w:r>
            <w:r w:rsidR="00AD650E">
              <w:t>,</w:t>
            </w:r>
            <w:r w:rsidR="007B4449">
              <w:t xml:space="preserve"> and the Australian Energy Regulator </w:t>
            </w:r>
            <w:r w:rsidR="00EB73F3">
              <w:t xml:space="preserve">(AER) </w:t>
            </w:r>
            <w:r w:rsidR="007B4449">
              <w:t>applies the Service Target Performance Incentive Scheme</w:t>
            </w:r>
            <w:r w:rsidR="00EB73F3">
              <w:t xml:space="preserve"> (STPIS)</w:t>
            </w:r>
            <w:r w:rsidR="008267AF">
              <w:t>.</w:t>
            </w:r>
          </w:p>
          <w:p w:rsidR="00C22982" w:rsidRPr="00C22982" w:rsidRDefault="00C22982" w:rsidP="009E610D">
            <w:pPr>
              <w:pStyle w:val="BoxListBullet2"/>
              <w:rPr>
                <w:szCs w:val="24"/>
              </w:rPr>
            </w:pPr>
            <w:r>
              <w:t>This causes duplication</w:t>
            </w:r>
            <w:r w:rsidR="00B45435">
              <w:t xml:space="preserve"> and inconsistencies in the</w:t>
            </w:r>
            <w:r>
              <w:t xml:space="preserve"> standards for some businesses, increasing </w:t>
            </w:r>
            <w:r w:rsidR="00B45435">
              <w:t xml:space="preserve">their </w:t>
            </w:r>
            <w:r>
              <w:t>costs and making benchmarking of distribution businesses difficult.</w:t>
            </w:r>
          </w:p>
          <w:p w:rsidR="007B4449" w:rsidRDefault="00342B01" w:rsidP="004A7FC4">
            <w:pPr>
              <w:pStyle w:val="BoxListBullet"/>
              <w:rPr>
                <w:szCs w:val="24"/>
              </w:rPr>
            </w:pPr>
            <w:r>
              <w:t>Inappropriate r</w:t>
            </w:r>
            <w:r w:rsidR="00280C17">
              <w:t xml:space="preserve">eliability </w:t>
            </w:r>
            <w:r w:rsidR="00C7019B">
              <w:t xml:space="preserve">standards </w:t>
            </w:r>
            <w:r w:rsidR="00CE554F">
              <w:t xml:space="preserve">can </w:t>
            </w:r>
            <w:r w:rsidR="00C7019B">
              <w:t>also introduce inefficiencies</w:t>
            </w:r>
            <w:r w:rsidR="008267AF">
              <w:t>:</w:t>
            </w:r>
          </w:p>
          <w:p w:rsidR="00C7019B" w:rsidRDefault="00AD650E" w:rsidP="004A7FC4">
            <w:pPr>
              <w:pStyle w:val="BoxListBullet2"/>
              <w:rPr>
                <w:szCs w:val="24"/>
              </w:rPr>
            </w:pPr>
            <w:r>
              <w:t>s</w:t>
            </w:r>
            <w:r w:rsidR="00C7019B">
              <w:t xml:space="preserve">tandards that are too high or too low impose </w:t>
            </w:r>
            <w:r w:rsidR="00342B01">
              <w:t xml:space="preserve">(net) </w:t>
            </w:r>
            <w:r w:rsidR="00C7019B">
              <w:t>costs on customers</w:t>
            </w:r>
            <w:r w:rsidR="008267AF">
              <w:t>.</w:t>
            </w:r>
          </w:p>
          <w:p w:rsidR="00C7019B" w:rsidRDefault="00AD650E" w:rsidP="004A7FC4">
            <w:pPr>
              <w:pStyle w:val="BoxListBullet2"/>
              <w:rPr>
                <w:szCs w:val="24"/>
              </w:rPr>
            </w:pPr>
            <w:r>
              <w:t>s</w:t>
            </w:r>
            <w:r w:rsidR="00C7019B">
              <w:t xml:space="preserve">tandards that restrict the </w:t>
            </w:r>
            <w:r>
              <w:t>choice of c</w:t>
            </w:r>
            <w:r w:rsidR="00B03B34">
              <w:t>ombinations of inputs</w:t>
            </w:r>
            <w:r w:rsidR="00C7019B">
              <w:t xml:space="preserve"> that distribution businesses </w:t>
            </w:r>
            <w:r w:rsidR="00CE554F">
              <w:t xml:space="preserve">can </w:t>
            </w:r>
            <w:r w:rsidR="00C7019B">
              <w:t xml:space="preserve">use to </w:t>
            </w:r>
            <w:r w:rsidR="00CE554F">
              <w:t xml:space="preserve">achieve improved </w:t>
            </w:r>
            <w:r w:rsidR="00C7019B">
              <w:t>reliability (such as planning, maintenance and responding quickly to outages) increase costs to businesse</w:t>
            </w:r>
            <w:r w:rsidR="00392390">
              <w:t xml:space="preserve">s and </w:t>
            </w:r>
            <w:r w:rsidR="00161662">
              <w:t>consumers</w:t>
            </w:r>
            <w:r w:rsidR="00EB73F3">
              <w:t>.</w:t>
            </w:r>
          </w:p>
          <w:p w:rsidR="00C7019B" w:rsidRDefault="00AD650E" w:rsidP="004A7FC4">
            <w:pPr>
              <w:pStyle w:val="BoxListBullet2"/>
              <w:rPr>
                <w:szCs w:val="24"/>
              </w:rPr>
            </w:pPr>
            <w:r>
              <w:t>r</w:t>
            </w:r>
            <w:r w:rsidR="00C7019B">
              <w:t xml:space="preserve">equiring </w:t>
            </w:r>
            <w:r w:rsidR="00EB73F3">
              <w:t xml:space="preserve">distribution </w:t>
            </w:r>
            <w:r w:rsidR="00C7019B">
              <w:t>businesses to adhere to</w:t>
            </w:r>
            <w:r w:rsidR="00EB73F3">
              <w:t>,</w:t>
            </w:r>
            <w:r w:rsidR="00C7019B">
              <w:t xml:space="preserve"> and report on</w:t>
            </w:r>
            <w:r w:rsidR="00EB73F3">
              <w:t>,</w:t>
            </w:r>
            <w:r w:rsidR="00C7019B">
              <w:t xml:space="preserve"> different standards, administered by different </w:t>
            </w:r>
            <w:r w:rsidR="00EB73F3">
              <w:t>regulators</w:t>
            </w:r>
            <w:r w:rsidR="00C7019B">
              <w:t>, increases costs to businesses</w:t>
            </w:r>
            <w:r w:rsidR="00392390">
              <w:t xml:space="preserve"> and consumers</w:t>
            </w:r>
            <w:r w:rsidR="00EB73F3">
              <w:t>.</w:t>
            </w:r>
          </w:p>
          <w:p w:rsidR="00C7019B" w:rsidRDefault="00C7019B" w:rsidP="004A7FC4">
            <w:pPr>
              <w:pStyle w:val="BoxListBullet"/>
              <w:rPr>
                <w:szCs w:val="24"/>
              </w:rPr>
            </w:pPr>
            <w:r>
              <w:t xml:space="preserve">A national reliability framework for distribution businesses </w:t>
            </w:r>
            <w:r w:rsidR="00342B01">
              <w:t>c</w:t>
            </w:r>
            <w:r w:rsidR="00EB73F3">
              <w:t xml:space="preserve">ould overcome </w:t>
            </w:r>
            <w:r>
              <w:t>these inefficiencies and facilitate benchmarking</w:t>
            </w:r>
            <w:r w:rsidR="00280C17">
              <w:t xml:space="preserve">. It </w:t>
            </w:r>
            <w:r w:rsidR="00CE554F">
              <w:t>sh</w:t>
            </w:r>
            <w:r w:rsidR="00280C17">
              <w:t>ould</w:t>
            </w:r>
            <w:r w:rsidR="00AD650E">
              <w:t>:</w:t>
            </w:r>
          </w:p>
          <w:p w:rsidR="00C7019B" w:rsidRPr="00392390" w:rsidRDefault="00C7019B" w:rsidP="004A7FC4">
            <w:pPr>
              <w:pStyle w:val="BoxListBullet2"/>
              <w:rPr>
                <w:szCs w:val="24"/>
              </w:rPr>
            </w:pPr>
            <w:r>
              <w:t>remov</w:t>
            </w:r>
            <w:r w:rsidR="00EB73F3">
              <w:t>e</w:t>
            </w:r>
            <w:r>
              <w:t xml:space="preserve"> jurisdiction</w:t>
            </w:r>
            <w:r w:rsidR="00EB73F3">
              <w:t>-</w:t>
            </w:r>
            <w:r>
              <w:t xml:space="preserve">specific reliability standards </w:t>
            </w:r>
          </w:p>
          <w:p w:rsidR="00392390" w:rsidRDefault="00392390" w:rsidP="004A7FC4">
            <w:pPr>
              <w:pStyle w:val="BoxListBullet2"/>
              <w:rPr>
                <w:szCs w:val="24"/>
              </w:rPr>
            </w:pPr>
            <w:r>
              <w:t>reflect customers’ preferences through estimated values of customer reliability</w:t>
            </w:r>
          </w:p>
          <w:p w:rsidR="00C7019B" w:rsidRDefault="00C7019B" w:rsidP="004A7FC4">
            <w:pPr>
              <w:pStyle w:val="BoxListBullet2"/>
              <w:rPr>
                <w:szCs w:val="24"/>
              </w:rPr>
            </w:pPr>
            <w:r>
              <w:t>apply all components and parameters</w:t>
            </w:r>
            <w:r w:rsidR="00CF4791">
              <w:t xml:space="preserve"> of the STPIS</w:t>
            </w:r>
            <w:r>
              <w:t xml:space="preserve"> to all businesses</w:t>
            </w:r>
          </w:p>
          <w:p w:rsidR="00C7019B" w:rsidRDefault="00EB73F3" w:rsidP="004A7FC4">
            <w:pPr>
              <w:pStyle w:val="BoxListBullet2"/>
              <w:rPr>
                <w:szCs w:val="24"/>
              </w:rPr>
            </w:pPr>
            <w:r>
              <w:t>streamline</w:t>
            </w:r>
            <w:r w:rsidR="00C7019B">
              <w:t xml:space="preserve"> reporting requirements</w:t>
            </w:r>
          </w:p>
          <w:p w:rsidR="00C7019B" w:rsidRDefault="00C7019B" w:rsidP="004A7FC4">
            <w:pPr>
              <w:pStyle w:val="BoxListBullet2"/>
              <w:rPr>
                <w:szCs w:val="24"/>
              </w:rPr>
            </w:pPr>
            <w:r>
              <w:t xml:space="preserve">set </w:t>
            </w:r>
            <w:r w:rsidR="00EB73F3">
              <w:t xml:space="preserve">efficient </w:t>
            </w:r>
            <w:r>
              <w:t>standards</w:t>
            </w:r>
          </w:p>
          <w:p w:rsidR="00C7019B" w:rsidRDefault="00C7019B" w:rsidP="00FD3D4D">
            <w:pPr>
              <w:pStyle w:val="BoxListBullet2"/>
              <w:rPr>
                <w:szCs w:val="24"/>
              </w:rPr>
            </w:pPr>
            <w:r>
              <w:t>ensur</w:t>
            </w:r>
            <w:r w:rsidR="00EB73F3">
              <w:t>e</w:t>
            </w:r>
            <w:r w:rsidR="004A7FC4">
              <w:t xml:space="preserve"> </w:t>
            </w:r>
            <w:r>
              <w:t>incentives are efficient</w:t>
            </w:r>
            <w:r w:rsidR="00061015">
              <w:t xml:space="preserve"> and reflect customer preferences</w:t>
            </w:r>
            <w:r w:rsidR="00FD3D4D">
              <w:t>.</w:t>
            </w:r>
          </w:p>
        </w:tc>
      </w:tr>
      <w:tr w:rsidR="00DB6BA9">
        <w:trPr>
          <w:cantSplit/>
        </w:trPr>
        <w:tc>
          <w:tcPr>
            <w:tcW w:w="8771" w:type="dxa"/>
            <w:tcBorders>
              <w:top w:val="nil"/>
              <w:left w:val="single" w:sz="6" w:space="0" w:color="auto"/>
              <w:bottom w:val="single" w:sz="6" w:space="0" w:color="auto"/>
              <w:right w:val="single" w:sz="6" w:space="0" w:color="auto"/>
            </w:tcBorders>
          </w:tcPr>
          <w:p w:rsidR="00DB6BA9" w:rsidRDefault="00DB6BA9">
            <w:pPr>
              <w:pStyle w:val="Box"/>
              <w:spacing w:before="0" w:line="120" w:lineRule="exact"/>
            </w:pPr>
          </w:p>
        </w:tc>
      </w:tr>
      <w:tr w:rsidR="00DB6BA9">
        <w:tc>
          <w:tcPr>
            <w:tcW w:w="8771" w:type="dxa"/>
            <w:tcBorders>
              <w:top w:val="nil"/>
              <w:left w:val="nil"/>
              <w:bottom w:val="nil"/>
              <w:right w:val="nil"/>
            </w:tcBorders>
          </w:tcPr>
          <w:p w:rsidR="00DB6BA9" w:rsidRDefault="00DB6BA9">
            <w:pPr>
              <w:pStyle w:val="Box"/>
              <w:keepNext w:val="0"/>
              <w:spacing w:before="60" w:after="60" w:line="80" w:lineRule="exact"/>
              <w:rPr>
                <w:b/>
                <w:color w:val="FF00FF"/>
                <w:sz w:val="14"/>
              </w:rPr>
            </w:pPr>
          </w:p>
        </w:tc>
      </w:tr>
    </w:tbl>
    <w:p w:rsidR="00DB6BA9" w:rsidRDefault="00977AF3" w:rsidP="00DB6BA9">
      <w:pPr>
        <w:pStyle w:val="Heading2"/>
      </w:pPr>
      <w:r>
        <w:lastRenderedPageBreak/>
        <w:t>16.</w:t>
      </w:r>
      <w:r w:rsidR="00365BD8">
        <w:rPr>
          <w:noProof/>
        </w:rPr>
        <w:t>1</w:t>
      </w:r>
      <w:r w:rsidR="00DB6BA9">
        <w:tab/>
        <w:t xml:space="preserve">Introduction </w:t>
      </w:r>
    </w:p>
    <w:p w:rsidR="002745F6" w:rsidRPr="005E1BD2" w:rsidRDefault="002745F6" w:rsidP="005E1BD2">
      <w:pPr>
        <w:pStyle w:val="BodyText"/>
      </w:pPr>
      <w:r>
        <w:t xml:space="preserve">Distribution businesses </w:t>
      </w:r>
      <w:r w:rsidR="00EB73F3">
        <w:t xml:space="preserve">seek to </w:t>
      </w:r>
      <w:r>
        <w:t xml:space="preserve">deliver reliable </w:t>
      </w:r>
      <w:r w:rsidR="00C7019B">
        <w:t xml:space="preserve">electricity </w:t>
      </w:r>
      <w:r>
        <w:t xml:space="preserve">supply to customers by planning, </w:t>
      </w:r>
      <w:r w:rsidR="00484D9A">
        <w:t>building,</w:t>
      </w:r>
      <w:r>
        <w:t xml:space="preserve"> and maintaini</w:t>
      </w:r>
      <w:r w:rsidR="00C7019B">
        <w:t>ng networks to avoid outages, and</w:t>
      </w:r>
      <w:r>
        <w:t xml:space="preserve"> </w:t>
      </w:r>
      <w:r w:rsidR="00EB73F3">
        <w:t xml:space="preserve">by </w:t>
      </w:r>
      <w:r>
        <w:t xml:space="preserve">responding to outages promptly when they occur. </w:t>
      </w:r>
    </w:p>
    <w:p w:rsidR="002E25F1" w:rsidRDefault="002E25F1" w:rsidP="005E1BD2">
      <w:pPr>
        <w:pStyle w:val="BodyText"/>
      </w:pPr>
      <w:r w:rsidRPr="005E1BD2">
        <w:t>For distribution businesses</w:t>
      </w:r>
      <w:r w:rsidR="00EF5683" w:rsidRPr="005E1BD2">
        <w:t xml:space="preserve"> in the </w:t>
      </w:r>
      <w:r w:rsidR="00A61EBE" w:rsidRPr="005E1BD2">
        <w:t>National</w:t>
      </w:r>
      <w:r w:rsidR="00A61EBE">
        <w:t xml:space="preserve"> Electricity Market (</w:t>
      </w:r>
      <w:r w:rsidR="00EF5683">
        <w:t>NEM</w:t>
      </w:r>
      <w:r w:rsidR="00A61EBE">
        <w:t>)</w:t>
      </w:r>
      <w:r>
        <w:t>, d</w:t>
      </w:r>
      <w:r w:rsidR="002745F6">
        <w:t>elivering reliable supply</w:t>
      </w:r>
      <w:r w:rsidR="004C451D">
        <w:t xml:space="preserve"> to customers</w:t>
      </w:r>
      <w:r w:rsidR="00342B01">
        <w:t xml:space="preserve"> can be challenging</w:t>
      </w:r>
      <w:r>
        <w:t xml:space="preserve"> due to:</w:t>
      </w:r>
    </w:p>
    <w:p w:rsidR="002E25F1" w:rsidRDefault="002E25F1" w:rsidP="00B20BE3">
      <w:pPr>
        <w:pStyle w:val="ListBullet"/>
      </w:pPr>
      <w:r>
        <w:t xml:space="preserve">the characteristics of distribution networks. Distribution networks are made up of many </w:t>
      </w:r>
      <w:r w:rsidR="00506F9F">
        <w:t>physical components</w:t>
      </w:r>
      <w:r w:rsidR="00EF5683">
        <w:t xml:space="preserve"> varying in age and condition and</w:t>
      </w:r>
      <w:r w:rsidR="00165D22">
        <w:t xml:space="preserve"> often spanning large distances</w:t>
      </w:r>
      <w:r w:rsidR="00EF5683">
        <w:t xml:space="preserve"> </w:t>
      </w:r>
    </w:p>
    <w:p w:rsidR="002745F6" w:rsidRDefault="002E25F1" w:rsidP="00B20BE3">
      <w:pPr>
        <w:pStyle w:val="ListBullet"/>
      </w:pPr>
      <w:r>
        <w:t xml:space="preserve">the environments in which they operate. </w:t>
      </w:r>
      <w:r w:rsidR="00C7019B">
        <w:t>Some d</w:t>
      </w:r>
      <w:r>
        <w:t>istribution networks deliver electricity to customers in diffi</w:t>
      </w:r>
      <w:r w:rsidR="004C451D">
        <w:t>cult environments with inclement weather</w:t>
      </w:r>
      <w:r w:rsidR="00EF5683">
        <w:t xml:space="preserve">. </w:t>
      </w:r>
      <w:r w:rsidR="00484D9A">
        <w:t>W</w:t>
      </w:r>
      <w:r w:rsidR="004C451D">
        <w:t xml:space="preserve">ind, lightening, birds, possums, </w:t>
      </w:r>
      <w:r w:rsidR="00484D9A">
        <w:t>cars,</w:t>
      </w:r>
      <w:r w:rsidR="004C451D">
        <w:t xml:space="preserve"> and contact with trees</w:t>
      </w:r>
      <w:r w:rsidR="00484D9A">
        <w:t xml:space="preserve"> can affect overhead lines</w:t>
      </w:r>
      <w:r w:rsidR="004C451D">
        <w:t xml:space="preserve">. </w:t>
      </w:r>
      <w:r w:rsidR="002745F6">
        <w:t>Density of customers in different areas also affects r</w:t>
      </w:r>
      <w:r w:rsidR="00C7019B">
        <w:t>eliability, with rural area</w:t>
      </w:r>
      <w:r w:rsidR="002745F6">
        <w:t xml:space="preserve">s more likely, on average, to experience longer interruptions. </w:t>
      </w:r>
    </w:p>
    <w:p w:rsidR="004C451D" w:rsidRPr="004C451D" w:rsidRDefault="004C451D" w:rsidP="004C451D">
      <w:pPr>
        <w:pStyle w:val="BodyText"/>
      </w:pPr>
      <w:r>
        <w:t>Reliability standa</w:t>
      </w:r>
      <w:r w:rsidR="00EF5683">
        <w:t>rds are applied</w:t>
      </w:r>
      <w:r>
        <w:t xml:space="preserve"> </w:t>
      </w:r>
      <w:r w:rsidR="00B20BE3">
        <w:t xml:space="preserve">to </w:t>
      </w:r>
      <w:r>
        <w:t xml:space="preserve">distribution </w:t>
      </w:r>
      <w:r w:rsidR="00B20BE3">
        <w:t>networks</w:t>
      </w:r>
      <w:r>
        <w:t xml:space="preserve"> to encourage</w:t>
      </w:r>
      <w:r w:rsidR="0025626D">
        <w:t xml:space="preserve"> </w:t>
      </w:r>
      <w:r w:rsidR="00BC64BC">
        <w:t xml:space="preserve">the network </w:t>
      </w:r>
      <w:r w:rsidR="00B20BE3">
        <w:t>businesses</w:t>
      </w:r>
      <w:r>
        <w:t xml:space="preserve"> to maintain high levels of reliabi</w:t>
      </w:r>
      <w:r w:rsidR="004E4F79">
        <w:t xml:space="preserve">lity even though there are </w:t>
      </w:r>
      <w:r>
        <w:t>factors t</w:t>
      </w:r>
      <w:r w:rsidR="00F87979">
        <w:t>hat affect reliability that are</w:t>
      </w:r>
      <w:r>
        <w:t xml:space="preserve"> </w:t>
      </w:r>
      <w:r w:rsidR="004E0FC8">
        <w:t>beyond</w:t>
      </w:r>
      <w:r w:rsidR="00280C17">
        <w:t xml:space="preserve"> the control of</w:t>
      </w:r>
      <w:r w:rsidR="004E0FC8">
        <w:t xml:space="preserve"> </w:t>
      </w:r>
      <w:r w:rsidR="00B20BE3">
        <w:t>business</w:t>
      </w:r>
      <w:r w:rsidR="00280C17">
        <w:t>es</w:t>
      </w:r>
      <w:r w:rsidR="00B20BE3">
        <w:t>.</w:t>
      </w:r>
      <w:r>
        <w:t xml:space="preserve"> </w:t>
      </w:r>
      <w:r w:rsidR="00CD7A88">
        <w:t xml:space="preserve">Unlike </w:t>
      </w:r>
      <w:r w:rsidR="00342B01">
        <w:t xml:space="preserve">most reliability standards for </w:t>
      </w:r>
      <w:r w:rsidR="00CD7A88">
        <w:t xml:space="preserve">transmission networks, these standards are commonly (but not always) </w:t>
      </w:r>
      <w:r w:rsidR="00907179">
        <w:t>directly linked to customers’ experience of reliability</w:t>
      </w:r>
      <w:r w:rsidR="00EF5683">
        <w:t>.</w:t>
      </w:r>
      <w:r w:rsidR="00CD7A88">
        <w:t xml:space="preserve"> </w:t>
      </w:r>
    </w:p>
    <w:p w:rsidR="003F3E85" w:rsidRDefault="003F3E85" w:rsidP="000650AE">
      <w:pPr>
        <w:pStyle w:val="BodyText"/>
      </w:pPr>
      <w:r>
        <w:t xml:space="preserve">There are several reasons </w:t>
      </w:r>
      <w:r w:rsidR="00907179">
        <w:t xml:space="preserve">why </w:t>
      </w:r>
      <w:r>
        <w:t>this customer</w:t>
      </w:r>
      <w:r w:rsidR="004E0FC8">
        <w:t>-</w:t>
      </w:r>
      <w:r>
        <w:t>focused interpretation of reliability is appropriate for distribution networks:</w:t>
      </w:r>
    </w:p>
    <w:p w:rsidR="003F3E85" w:rsidRDefault="004E0FC8" w:rsidP="003F3E85">
      <w:pPr>
        <w:pStyle w:val="ListBullet"/>
      </w:pPr>
      <w:r>
        <w:t>T</w:t>
      </w:r>
      <w:r w:rsidR="003F3E85">
        <w:t>he majority (around 80</w:t>
      </w:r>
      <w:r>
        <w:t>–</w:t>
      </w:r>
      <w:r w:rsidR="003F3E85">
        <w:t>90 per cent) of power interruptions</w:t>
      </w:r>
      <w:r w:rsidR="00CD7A88">
        <w:t xml:space="preserve"> that customers experience</w:t>
      </w:r>
      <w:r w:rsidR="003F3E85">
        <w:t xml:space="preserve"> occur as a result of faults or failures in distribution n</w:t>
      </w:r>
      <w:r w:rsidR="00342E48">
        <w:t>etworks</w:t>
      </w:r>
      <w:r>
        <w:t>.</w:t>
      </w:r>
    </w:p>
    <w:p w:rsidR="003F3E85" w:rsidRPr="003F3E85" w:rsidRDefault="004E0FC8" w:rsidP="003F3E85">
      <w:pPr>
        <w:pStyle w:val="ListBullet"/>
        <w:rPr>
          <w:rStyle w:val="DraftingNote"/>
          <w:b w:val="0"/>
          <w:color w:val="auto"/>
          <w:sz w:val="26"/>
          <w:u w:val="none"/>
        </w:rPr>
      </w:pPr>
      <w:r>
        <w:t>D</w:t>
      </w:r>
      <w:r w:rsidR="003F3E85">
        <w:t xml:space="preserve">istribution networks are </w:t>
      </w:r>
      <w:r>
        <w:t>typically</w:t>
      </w:r>
      <w:r w:rsidR="003F3E85">
        <w:t xml:space="preserve"> radial, rather than meshed, which limits </w:t>
      </w:r>
      <w:r>
        <w:t>the effects of an</w:t>
      </w:r>
      <w:r w:rsidR="003F3E85">
        <w:t xml:space="preserve"> outage. Cascading failures between </w:t>
      </w:r>
      <w:r w:rsidR="00BC64BC">
        <w:t xml:space="preserve">such radial </w:t>
      </w:r>
      <w:r w:rsidR="003F3E85">
        <w:t>networks are much less likely to occur</w:t>
      </w:r>
      <w:r w:rsidR="00342E48">
        <w:t>. Therefore</w:t>
      </w:r>
      <w:r>
        <w:t>,</w:t>
      </w:r>
      <w:r w:rsidR="00342E48">
        <w:t xml:space="preserve"> the measures</w:t>
      </w:r>
      <w:r w:rsidR="00CD7A88">
        <w:t xml:space="preserve"> a distribution business takes</w:t>
      </w:r>
      <w:r w:rsidR="00342B01">
        <w:t xml:space="preserve"> to increase reliability </w:t>
      </w:r>
      <w:r w:rsidR="00342E48">
        <w:t xml:space="preserve">usually </w:t>
      </w:r>
      <w:r w:rsidR="00342B01">
        <w:t xml:space="preserve">only affect </w:t>
      </w:r>
      <w:r w:rsidR="00CD7A88">
        <w:t xml:space="preserve">customers of that </w:t>
      </w:r>
      <w:r w:rsidR="00342E48">
        <w:t xml:space="preserve">business. </w:t>
      </w:r>
      <w:r w:rsidR="00CD7A88">
        <w:t>Similarly, changes to reliability in distribution networks do not cause the ‘network effects’ that occur in transmission networks. Reliability outcomes in distribution networks can therefore differ markedly between</w:t>
      </w:r>
      <w:r w:rsidR="00FA65F0">
        <w:t xml:space="preserve"> businesses without creating significant</w:t>
      </w:r>
      <w:r w:rsidR="00CD7A88">
        <w:t xml:space="preserve"> adverse effects on other networks in the NEM.</w:t>
      </w:r>
      <w:r w:rsidR="003F3E85">
        <w:t xml:space="preserve"> </w:t>
      </w:r>
    </w:p>
    <w:p w:rsidR="000F420F" w:rsidRDefault="001E2916" w:rsidP="003F3E85">
      <w:pPr>
        <w:pStyle w:val="ListBullet"/>
      </w:pPr>
      <w:r>
        <w:t>B</w:t>
      </w:r>
      <w:r w:rsidR="00EC381B">
        <w:t xml:space="preserve">ecause </w:t>
      </w:r>
      <w:r w:rsidR="00612D39">
        <w:t>distribution networks generally have more line len</w:t>
      </w:r>
      <w:r w:rsidR="009C1424">
        <w:t>gth than transmission networks,</w:t>
      </w:r>
      <w:r w:rsidR="00EC381B">
        <w:t xml:space="preserve"> reducing interruptions by building redundancy into the majority of distribution network</w:t>
      </w:r>
      <w:r w:rsidR="007D6890">
        <w:t>s</w:t>
      </w:r>
      <w:r w:rsidR="00EC381B">
        <w:t xml:space="preserve"> would have a prohibitively high cost. </w:t>
      </w:r>
    </w:p>
    <w:p w:rsidR="004E4F79" w:rsidRDefault="003621B4" w:rsidP="004E4F79">
      <w:pPr>
        <w:pStyle w:val="BodyText"/>
      </w:pPr>
      <w:r>
        <w:lastRenderedPageBreak/>
        <w:t xml:space="preserve">These characteristics are reflected </w:t>
      </w:r>
      <w:r w:rsidR="00F354BD">
        <w:t>in the metrics that are</w:t>
      </w:r>
      <w:r>
        <w:t xml:space="preserve"> used to measure distribution reliability outcomes (box </w:t>
      </w:r>
      <w:r w:rsidR="0025626D">
        <w:t>1</w:t>
      </w:r>
      <w:r w:rsidR="00FA65F0">
        <w:t>6</w:t>
      </w:r>
      <w:r w:rsidR="00C7019B">
        <w:t>.1</w:t>
      </w:r>
      <w:r>
        <w:t xml:space="preserve">). </w:t>
      </w:r>
      <w:r w:rsidR="00743833">
        <w:t xml:space="preserve">The </w:t>
      </w:r>
      <w:r w:rsidR="004049C7">
        <w:t>‘</w:t>
      </w:r>
      <w:r w:rsidR="00743833">
        <w:t>s</w:t>
      </w:r>
      <w:r w:rsidR="004E4F79">
        <w:t>ystem average interruption duration index</w:t>
      </w:r>
      <w:r w:rsidR="004049C7">
        <w:t>’</w:t>
      </w:r>
      <w:r w:rsidR="004E4F79">
        <w:t xml:space="preserve"> (SAIDI) and </w:t>
      </w:r>
      <w:r w:rsidR="00743833">
        <w:t xml:space="preserve">the </w:t>
      </w:r>
      <w:r w:rsidR="004049C7">
        <w:t>‘</w:t>
      </w:r>
      <w:r w:rsidR="004E4F79">
        <w:t>system average interruption frequency index</w:t>
      </w:r>
      <w:r w:rsidR="004049C7">
        <w:t>’</w:t>
      </w:r>
      <w:r w:rsidR="004E4F79">
        <w:t xml:space="preserve"> (SAIFI) are the two most common measures of reliability performance in distribution networks</w:t>
      </w:r>
      <w:r w:rsidR="00743833">
        <w:t>. They</w:t>
      </w:r>
      <w:r w:rsidR="004E4F79">
        <w:t xml:space="preserve"> describe </w:t>
      </w:r>
      <w:r w:rsidR="00C7019B">
        <w:t xml:space="preserve">for how long and </w:t>
      </w:r>
      <w:r w:rsidR="004E4F79">
        <w:t>how often a customer coul</w:t>
      </w:r>
      <w:r w:rsidR="00C7019B">
        <w:t>d expect to be without power over</w:t>
      </w:r>
      <w:r w:rsidR="004E4F79">
        <w:t xml:space="preserve"> a given period of time (usually a year).</w:t>
      </w:r>
    </w:p>
    <w:p w:rsidR="00FA65F0" w:rsidRDefault="00FA65F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65F0">
        <w:tc>
          <w:tcPr>
            <w:tcW w:w="8771" w:type="dxa"/>
            <w:tcBorders>
              <w:top w:val="single" w:sz="6" w:space="0" w:color="auto"/>
              <w:bottom w:val="nil"/>
            </w:tcBorders>
          </w:tcPr>
          <w:p w:rsidR="00FA65F0" w:rsidRDefault="00FA65F0">
            <w:pPr>
              <w:pStyle w:val="BoxTitle"/>
            </w:pPr>
            <w:r>
              <w:rPr>
                <w:b w:val="0"/>
              </w:rPr>
              <w:t xml:space="preserve">Box </w:t>
            </w:r>
            <w:r w:rsidR="00977AF3">
              <w:rPr>
                <w:b w:val="0"/>
              </w:rPr>
              <w:t>16.</w:t>
            </w:r>
            <w:r w:rsidR="00365BD8">
              <w:rPr>
                <w:b w:val="0"/>
                <w:noProof/>
              </w:rPr>
              <w:t>1</w:t>
            </w:r>
            <w:r>
              <w:tab/>
              <w:t>Common metrics of reliability in distribution networks</w:t>
            </w:r>
          </w:p>
        </w:tc>
      </w:tr>
      <w:tr w:rsidR="00FA65F0">
        <w:trPr>
          <w:cantSplit/>
        </w:trPr>
        <w:tc>
          <w:tcPr>
            <w:tcW w:w="8771" w:type="dxa"/>
            <w:tcBorders>
              <w:top w:val="nil"/>
              <w:left w:val="single" w:sz="6" w:space="0" w:color="auto"/>
              <w:bottom w:val="nil"/>
              <w:right w:val="single" w:sz="6" w:space="0" w:color="auto"/>
            </w:tcBorders>
          </w:tcPr>
          <w:p w:rsidR="00FA65F0" w:rsidRPr="00FA65F0" w:rsidRDefault="00FA65F0" w:rsidP="00FA65F0">
            <w:pPr>
              <w:pStyle w:val="Box"/>
              <w:numPr>
                <w:ilvl w:val="0"/>
                <w:numId w:val="1"/>
              </w:numPr>
            </w:pPr>
            <w:r w:rsidRPr="00FA65F0">
              <w:t>SAIDI — system average interruption duration index — is the total minutes on average that a customer could expect to be without power over a given period, usually a year. SAIDI is calculated by adding the total duration of each customer interruption and dividing that by the total number of customers. Separate indexes can be calculated for planned and unplanned interruptions.</w:t>
            </w:r>
          </w:p>
          <w:p w:rsidR="00FA65F0" w:rsidRPr="00FA65F0" w:rsidRDefault="00FA65F0" w:rsidP="00FA65F0">
            <w:pPr>
              <w:pStyle w:val="Box"/>
              <w:numPr>
                <w:ilvl w:val="0"/>
                <w:numId w:val="1"/>
              </w:numPr>
            </w:pPr>
            <w:r w:rsidRPr="00FA65F0">
              <w:t xml:space="preserve">SAIFI — system average interruption frequency index — is the number of times in a year that a customer could expect to experience an interruption. SAIFI is calculated by dividing the total number of interruptions across customers by the total number of customers. Separate indexes can be calculated for planned and unplanned interruptions. SAIFI does not usually include </w:t>
            </w:r>
            <w:r w:rsidR="00F354BD">
              <w:t>‘</w:t>
            </w:r>
            <w:r w:rsidRPr="00FA65F0">
              <w:t>momentary</w:t>
            </w:r>
            <w:r w:rsidR="00F354BD">
              <w:t>’</w:t>
            </w:r>
            <w:r w:rsidRPr="00FA65F0">
              <w:t xml:space="preserve"> interruptions lasting for less than one minute. </w:t>
            </w:r>
          </w:p>
          <w:p w:rsidR="00FA65F0" w:rsidRPr="00FA65F0" w:rsidRDefault="00FA65F0" w:rsidP="00FA65F0">
            <w:pPr>
              <w:pStyle w:val="Box"/>
              <w:numPr>
                <w:ilvl w:val="0"/>
                <w:numId w:val="1"/>
              </w:numPr>
            </w:pPr>
            <w:r w:rsidRPr="00FA65F0">
              <w:t xml:space="preserve">CAIDI — customer average interruption duration index — is the average time a customer could expect to wait to have supply restored after an interruption. CAIDI is calculated by adding the duration of each customer interruption and dividing that by the total number of interruptions (that is, SAIDI divided by SAIFI). </w:t>
            </w:r>
          </w:p>
          <w:p w:rsidR="00FA65F0" w:rsidRDefault="00FA65F0" w:rsidP="00F354BD">
            <w:pPr>
              <w:pStyle w:val="BoxListBullet"/>
            </w:pPr>
            <w:r w:rsidRPr="00FA65F0">
              <w:t xml:space="preserve">MAIFI — momentary average interruption frequency index — is the number of momentary interruptions </w:t>
            </w:r>
            <w:r w:rsidR="00F354BD">
              <w:t xml:space="preserve">lasting less than a minute that </w:t>
            </w:r>
            <w:r w:rsidRPr="00FA65F0">
              <w:t xml:space="preserve">a customer could expect to experience in a year. MAIFI is calculated as the total number of momentary interruptions across all customers divided by the total number of customers. </w:t>
            </w:r>
          </w:p>
        </w:tc>
      </w:tr>
      <w:tr w:rsidR="00FA65F0">
        <w:trPr>
          <w:cantSplit/>
        </w:trPr>
        <w:tc>
          <w:tcPr>
            <w:tcW w:w="8771" w:type="dxa"/>
            <w:tcBorders>
              <w:top w:val="nil"/>
              <w:left w:val="single" w:sz="6" w:space="0" w:color="auto"/>
              <w:bottom w:val="single" w:sz="6" w:space="0" w:color="auto"/>
              <w:right w:val="single" w:sz="6" w:space="0" w:color="auto"/>
            </w:tcBorders>
          </w:tcPr>
          <w:p w:rsidR="00FA65F0" w:rsidRDefault="00FA65F0">
            <w:pPr>
              <w:pStyle w:val="Box"/>
              <w:spacing w:before="0" w:line="120" w:lineRule="exact"/>
            </w:pPr>
          </w:p>
        </w:tc>
      </w:tr>
      <w:tr w:rsidR="00FA65F0" w:rsidRPr="000863A5">
        <w:tc>
          <w:tcPr>
            <w:tcW w:w="8771" w:type="dxa"/>
            <w:tcBorders>
              <w:top w:val="nil"/>
              <w:left w:val="nil"/>
              <w:bottom w:val="nil"/>
              <w:right w:val="nil"/>
            </w:tcBorders>
          </w:tcPr>
          <w:p w:rsidR="00FA65F0" w:rsidRPr="000863A5" w:rsidRDefault="00FA65F0" w:rsidP="00FA65F0">
            <w:pPr>
              <w:pStyle w:val="Box"/>
              <w:keepNext w:val="0"/>
              <w:spacing w:before="60" w:after="60" w:line="80" w:lineRule="exact"/>
              <w:rPr>
                <w:b/>
                <w:sz w:val="14"/>
              </w:rPr>
            </w:pPr>
          </w:p>
        </w:tc>
      </w:tr>
    </w:tbl>
    <w:p w:rsidR="0084297A" w:rsidRDefault="00977AF3" w:rsidP="008918B1">
      <w:pPr>
        <w:pStyle w:val="Heading2"/>
      </w:pPr>
      <w:r>
        <w:t>16.</w:t>
      </w:r>
      <w:r w:rsidR="00365BD8">
        <w:rPr>
          <w:noProof/>
        </w:rPr>
        <w:t>2</w:t>
      </w:r>
      <w:r w:rsidR="0084297A">
        <w:tab/>
        <w:t xml:space="preserve">Reliability performance of distribution businesses in the </w:t>
      </w:r>
      <w:r w:rsidR="00743833">
        <w:t xml:space="preserve">National Electricity Market </w:t>
      </w:r>
    </w:p>
    <w:p w:rsidR="007D6E9A" w:rsidRDefault="00FA65F0" w:rsidP="0084297A">
      <w:pPr>
        <w:pStyle w:val="BodyText"/>
      </w:pPr>
      <w:r>
        <w:t>Over the last ten years, average s</w:t>
      </w:r>
      <w:r w:rsidR="005902A2">
        <w:t>tate and territory reliability performance data reflect reasonably consistent performance</w:t>
      </w:r>
      <w:r>
        <w:t>.</w:t>
      </w:r>
      <w:r w:rsidR="005902A2">
        <w:t xml:space="preserve"> </w:t>
      </w:r>
      <w:r w:rsidR="00F354BD">
        <w:t>International c</w:t>
      </w:r>
      <w:r w:rsidR="005902A2">
        <w:t>omparisons si</w:t>
      </w:r>
      <w:r w:rsidR="00F354BD">
        <w:t>milarly show that the relative performance of Australia’s distribution businesses overall has been quite stable over time, though</w:t>
      </w:r>
      <w:r w:rsidR="005902A2">
        <w:t xml:space="preserve"> the NEM</w:t>
      </w:r>
      <w:r w:rsidR="00F354BD">
        <w:t xml:space="preserve"> has consistently recorded </w:t>
      </w:r>
      <w:r w:rsidR="005902A2">
        <w:t>significantly higher average SAIDI results</w:t>
      </w:r>
      <w:r w:rsidR="00F354BD">
        <w:t xml:space="preserve"> than networks in many other countries.</w:t>
      </w:r>
      <w:r w:rsidR="005902A2">
        <w:rPr>
          <w:rStyle w:val="FootnoteReference"/>
        </w:rPr>
        <w:footnoteReference w:id="1"/>
      </w:r>
      <w:r w:rsidR="005902A2">
        <w:t xml:space="preserve"> </w:t>
      </w:r>
    </w:p>
    <w:p w:rsidR="00492479" w:rsidRDefault="00FB1E0C" w:rsidP="007D6E9A">
      <w:pPr>
        <w:pStyle w:val="BodyText"/>
      </w:pPr>
      <w:r>
        <w:lastRenderedPageBreak/>
        <w:t>Aggregate SAIDI results for jurisdictions and for the NEM as a whole, however, mask the variation in performance between dist</w:t>
      </w:r>
      <w:r w:rsidR="00BA13D2">
        <w:t>ribution businesses</w:t>
      </w:r>
      <w:r w:rsidR="001A6645">
        <w:t>,</w:t>
      </w:r>
      <w:r w:rsidR="00BA13D2">
        <w:t xml:space="preserve"> </w:t>
      </w:r>
      <w:r w:rsidR="001A6645">
        <w:t>and</w:t>
      </w:r>
      <w:r w:rsidR="0025626D">
        <w:t xml:space="preserve"> e</w:t>
      </w:r>
      <w:r w:rsidR="00433076">
        <w:t>ven</w:t>
      </w:r>
      <w:r w:rsidR="001A6645">
        <w:t xml:space="preserve"> </w:t>
      </w:r>
      <w:r w:rsidR="00BA13D2">
        <w:t>r</w:t>
      </w:r>
      <w:r w:rsidR="00492479">
        <w:t xml:space="preserve">eliability performance data for a </w:t>
      </w:r>
      <w:r w:rsidR="00433076">
        <w:t xml:space="preserve">single </w:t>
      </w:r>
      <w:r w:rsidR="00492479">
        <w:t xml:space="preserve">distribution business </w:t>
      </w:r>
      <w:r w:rsidR="00433076">
        <w:t>may mask significant</w:t>
      </w:r>
      <w:r w:rsidR="00492479">
        <w:t xml:space="preserve"> </w:t>
      </w:r>
      <w:r w:rsidR="001B619D">
        <w:t xml:space="preserve">variations in the </w:t>
      </w:r>
      <w:r w:rsidR="00492479">
        <w:t xml:space="preserve">experience of customers </w:t>
      </w:r>
      <w:r w:rsidR="001B619D">
        <w:t xml:space="preserve">in different parts </w:t>
      </w:r>
      <w:r w:rsidR="00492479">
        <w:t>of that business</w:t>
      </w:r>
      <w:r w:rsidR="001B619D">
        <w:t>’s network</w:t>
      </w:r>
      <w:r w:rsidR="0025626D">
        <w:t>.</w:t>
      </w:r>
      <w:r w:rsidR="00492479">
        <w:t xml:space="preserve"> </w:t>
      </w:r>
    </w:p>
    <w:p w:rsidR="00335F72" w:rsidRDefault="00926C94" w:rsidP="00335F72">
      <w:pPr>
        <w:pStyle w:val="BodyText"/>
      </w:pPr>
      <w:r>
        <w:t xml:space="preserve">Participants in this inquiry have suggested that </w:t>
      </w:r>
      <w:r w:rsidR="00433076">
        <w:t xml:space="preserve">many factors contribute to </w:t>
      </w:r>
      <w:r w:rsidR="00335F72">
        <w:t>variation</w:t>
      </w:r>
      <w:r w:rsidR="001C2BF1">
        <w:t xml:space="preserve"> in reliability performance</w:t>
      </w:r>
      <w:r w:rsidR="00335F72">
        <w:t xml:space="preserve"> between and within distribution businesses over time:</w:t>
      </w:r>
    </w:p>
    <w:p w:rsidR="00335F72" w:rsidRDefault="00335F72" w:rsidP="00335F72">
      <w:pPr>
        <w:pStyle w:val="Quote"/>
      </w:pPr>
      <w:r>
        <w:t>Reliability is ultimately the key measure of the performance of a network and a [distribution business]… major events such as storms, the network design (planning standards/network type CBD/Rural/Urban) and the condition of the network have a major influence on this measure.</w:t>
      </w:r>
      <w:r w:rsidR="00926C94">
        <w:t xml:space="preserve"> (Ausgrid, sub. 19, </w:t>
      </w:r>
      <w:r>
        <w:t>p. 2)</w:t>
      </w:r>
    </w:p>
    <w:p w:rsidR="00926C94" w:rsidRDefault="00926C94" w:rsidP="00926C94">
      <w:pPr>
        <w:pStyle w:val="Quote"/>
      </w:pPr>
      <w:r>
        <w:t>… comparisons between jurisdictions can be difficult, as factors such as the level of customer density, the size of the network and the terrain it covers, and environmental factors (e.g. exposure to extreme weather) can have a significant impact on the reliability performance which is achieved and the costs of augmenting and maintaining each network. (</w:t>
      </w:r>
      <w:r w:rsidR="001B619D">
        <w:t xml:space="preserve">AEMC, sub. 16, </w:t>
      </w:r>
      <w:r>
        <w:t>p</w:t>
      </w:r>
      <w:r w:rsidR="00BA13D2">
        <w:t>.</w:t>
      </w:r>
      <w:r>
        <w:t> 2)</w:t>
      </w:r>
    </w:p>
    <w:p w:rsidR="009B57F5" w:rsidRDefault="009B57F5" w:rsidP="007D6E9A">
      <w:pPr>
        <w:pStyle w:val="BodyText"/>
      </w:pPr>
      <w:r>
        <w:t>Some</w:t>
      </w:r>
      <w:r w:rsidR="001C2BF1">
        <w:t xml:space="preserve"> factors </w:t>
      </w:r>
      <w:r>
        <w:t xml:space="preserve">affecting reliability, such as the condition of the network and the level of redundancy, are controlled by the business. Others, such as severe weather events and customer density, are not. For example, some networks </w:t>
      </w:r>
      <w:r w:rsidR="00433076">
        <w:t xml:space="preserve">— and especially those in rural areas of the NEM — </w:t>
      </w:r>
      <w:r>
        <w:t>are ‘stringier’</w:t>
      </w:r>
      <w:r w:rsidR="007B5DEE">
        <w:t xml:space="preserve"> than other</w:t>
      </w:r>
      <w:r w:rsidR="00BA13D2">
        <w:t>s</w:t>
      </w:r>
      <w:r w:rsidR="007B5DEE">
        <w:t xml:space="preserve"> with long lines,</w:t>
      </w:r>
      <w:r>
        <w:t xml:space="preserve"> low customer densities and, on average, lower </w:t>
      </w:r>
      <w:r w:rsidR="00433076">
        <w:t>‘</w:t>
      </w:r>
      <w:r>
        <w:t>redundancy</w:t>
      </w:r>
      <w:r w:rsidR="00433076">
        <w:t>’</w:t>
      </w:r>
      <w:r w:rsidR="00ED09E9">
        <w:t>.</w:t>
      </w:r>
      <w:r w:rsidR="00E366E1">
        <w:rPr>
          <w:rStyle w:val="FootnoteReference"/>
        </w:rPr>
        <w:footnoteReference w:id="2"/>
      </w:r>
      <w:r>
        <w:t xml:space="preserve"> These characteristics increase the likelihood of interruptions, and longer outage durations (for example, if maintenance crews </w:t>
      </w:r>
      <w:r w:rsidR="002C2288">
        <w:t>must travel long distances</w:t>
      </w:r>
      <w:r>
        <w:t xml:space="preserve">). </w:t>
      </w:r>
    </w:p>
    <w:p w:rsidR="006568D0" w:rsidRDefault="00520ACD" w:rsidP="0084297A">
      <w:pPr>
        <w:pStyle w:val="BodyText"/>
      </w:pPr>
      <w:r>
        <w:t xml:space="preserve">In 2010, distribution businesses in Victoria attributed around 32 per cent of </w:t>
      </w:r>
      <w:r w:rsidR="00E366E1">
        <w:t>customer</w:t>
      </w:r>
      <w:r w:rsidR="002C2288">
        <w:t xml:space="preserve"> </w:t>
      </w:r>
      <w:r>
        <w:t>interruptions to equipment failure (AER 2012</w:t>
      </w:r>
      <w:r w:rsidR="00EF3128">
        <w:t>h</w:t>
      </w:r>
      <w:r>
        <w:t>, p. 38). Other common causes were vegetation falling on lines and weather events (figure </w:t>
      </w:r>
      <w:r w:rsidR="00E366E1">
        <w:t>16</w:t>
      </w:r>
      <w:r w:rsidR="0025626D">
        <w:t>.1</w:t>
      </w:r>
      <w:r>
        <w:t xml:space="preserve">). </w:t>
      </w:r>
      <w:r w:rsidR="002E6E2C">
        <w:t>The significance of these causal factors varies across businesses. F</w:t>
      </w:r>
      <w:r w:rsidR="00662676">
        <w:t xml:space="preserve">or example, SP AusNet’s distribution business recorded a high proportion of interruptions caused by vegetation, which it attributed to ‘the nature of the environment of the network’ </w:t>
      </w:r>
      <w:r w:rsidR="002E6E2C">
        <w:t>(AER 2012</w:t>
      </w:r>
      <w:r w:rsidR="00EF3128">
        <w:t>h</w:t>
      </w:r>
      <w:r w:rsidR="002E6E2C">
        <w:t>, p. 39), whereas</w:t>
      </w:r>
      <w:r w:rsidR="00662676">
        <w:t xml:space="preserve"> </w:t>
      </w:r>
      <w:r w:rsidR="00F16E50">
        <w:t>Powercor had proportionately more interruptions from the weather</w:t>
      </w:r>
      <w:r w:rsidR="002E6E2C">
        <w:t>.</w:t>
      </w:r>
      <w:r w:rsidR="00F16E50">
        <w:t xml:space="preserve"> </w:t>
      </w:r>
    </w:p>
    <w:p w:rsidR="00520ACD" w:rsidRDefault="00520ACD">
      <w:pPr>
        <w:pStyle w:val="FigureTitle"/>
      </w:pPr>
      <w:r>
        <w:rPr>
          <w:b w:val="0"/>
        </w:rPr>
        <w:lastRenderedPageBreak/>
        <w:t xml:space="preserve">Figure </w:t>
      </w:r>
      <w:r w:rsidR="00977AF3">
        <w:rPr>
          <w:b w:val="0"/>
        </w:rPr>
        <w:t>16.</w:t>
      </w:r>
      <w:r w:rsidR="00365BD8">
        <w:rPr>
          <w:b w:val="0"/>
          <w:noProof/>
        </w:rPr>
        <w:t>1</w:t>
      </w:r>
      <w:r>
        <w:tab/>
      </w:r>
      <w:r w:rsidR="00F16E50">
        <w:t>Causes of supply interruptions in Victorian distribution networks</w:t>
      </w:r>
    </w:p>
    <w:p w:rsidR="00520ACD" w:rsidRDefault="00F16E50">
      <w:pPr>
        <w:pStyle w:val="Subtitle"/>
      </w:pPr>
      <w:r>
        <w:t>2010</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20ACD">
        <w:tc>
          <w:tcPr>
            <w:tcW w:w="8777" w:type="dxa"/>
          </w:tcPr>
          <w:p w:rsidR="00520ACD" w:rsidRDefault="00197F95">
            <w:pPr>
              <w:pStyle w:val="Figure"/>
            </w:pPr>
            <w:r>
              <w:rPr>
                <w:noProof/>
              </w:rPr>
              <w:drawing>
                <wp:inline distT="0" distB="0" distL="0" distR="0" wp14:anchorId="3598FC94" wp14:editId="491E8751">
                  <wp:extent cx="5312153" cy="3241963"/>
                  <wp:effectExtent l="0" t="0" r="3175" b="0"/>
                  <wp:docPr id="3" name="Picture 3" descr="Causes of supply interruptions in Victorian distribution networks. This figure shows the percentage of total supply interruptions of other interruptions, inter-distributor connection failure, load shedding, transmission failure, third party impacts, animals, vegetation, operational error, equipment failure and weather in selected Victorian distribution networ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26468" cy="3250699"/>
                          </a:xfrm>
                          <a:prstGeom prst="rect">
                            <a:avLst/>
                          </a:prstGeom>
                          <a:noFill/>
                        </pic:spPr>
                      </pic:pic>
                    </a:graphicData>
                  </a:graphic>
                </wp:inline>
              </w:drawing>
            </w:r>
          </w:p>
        </w:tc>
      </w:tr>
    </w:tbl>
    <w:p w:rsidR="00520ACD" w:rsidRDefault="00520ACD">
      <w:pPr>
        <w:pStyle w:val="Source"/>
      </w:pPr>
      <w:r>
        <w:rPr>
          <w:i/>
        </w:rPr>
        <w:t>Data source</w:t>
      </w:r>
      <w:r w:rsidRPr="00167F06">
        <w:t xml:space="preserve">: </w:t>
      </w:r>
      <w:r w:rsidR="00F16E50">
        <w:t xml:space="preserve">AER </w:t>
      </w:r>
      <w:r w:rsidR="003A22EC">
        <w:t>(</w:t>
      </w:r>
      <w:r w:rsidR="00F16E50">
        <w:t>2012</w:t>
      </w:r>
      <w:r w:rsidR="00EF3128">
        <w:t>h</w:t>
      </w:r>
      <w:r w:rsidR="00F16E50">
        <w:t xml:space="preserve">, </w:t>
      </w:r>
      <w:r w:rsidR="00484D9A">
        <w:t>p. 39</w:t>
      </w:r>
      <w:r w:rsidR="003A22EC">
        <w:t>)</w:t>
      </w:r>
      <w:r w:rsidR="00F16E50">
        <w:t>.</w:t>
      </w:r>
    </w:p>
    <w:p w:rsidR="00E125F4" w:rsidRDefault="00C53E51" w:rsidP="00C53E51">
      <w:pPr>
        <w:pStyle w:val="BodyText"/>
      </w:pPr>
      <w:r>
        <w:t xml:space="preserve">Distribution businesses </w:t>
      </w:r>
      <w:r w:rsidR="00E366E1">
        <w:t xml:space="preserve">can </w:t>
      </w:r>
      <w:r>
        <w:t>address common causes of faults in various ways</w:t>
      </w:r>
      <w:r w:rsidR="002E6E2C">
        <w:t>,</w:t>
      </w:r>
      <w:r>
        <w:t xml:space="preserve"> including </w:t>
      </w:r>
      <w:r w:rsidR="002E6E2C">
        <w:t xml:space="preserve">by </w:t>
      </w:r>
      <w:r>
        <w:t>building redundancy into the</w:t>
      </w:r>
      <w:r w:rsidR="003A22EC">
        <w:t>ir</w:t>
      </w:r>
      <w:r>
        <w:t xml:space="preserve"> network</w:t>
      </w:r>
      <w:r w:rsidR="003A22EC">
        <w:t>s</w:t>
      </w:r>
      <w:r>
        <w:t xml:space="preserve"> to address some</w:t>
      </w:r>
      <w:r w:rsidR="00E125F4">
        <w:t xml:space="preserve"> equipment failures, clearing</w:t>
      </w:r>
      <w:r>
        <w:t xml:space="preserve"> vegetation away </w:t>
      </w:r>
      <w:r w:rsidR="00E125F4">
        <w:t xml:space="preserve">from overhead lines, installing animal shields on poles and building new lines away from roads. The mix of planning, operational and maintenance actions that distribution businesses take to deliver reliability to </w:t>
      </w:r>
      <w:r w:rsidR="003A22EC">
        <w:t xml:space="preserve">their </w:t>
      </w:r>
      <w:r w:rsidR="00E125F4">
        <w:t xml:space="preserve">customers is </w:t>
      </w:r>
      <w:r w:rsidR="002E6E2C">
        <w:t xml:space="preserve">in turn </w:t>
      </w:r>
      <w:r w:rsidR="00E125F4">
        <w:t>a function of</w:t>
      </w:r>
      <w:r w:rsidR="007F2821">
        <w:t xml:space="preserve"> the</w:t>
      </w:r>
      <w:r w:rsidR="00E125F4">
        <w:t>:</w:t>
      </w:r>
    </w:p>
    <w:p w:rsidR="00E125F4" w:rsidRDefault="00E125F4" w:rsidP="00E125F4">
      <w:pPr>
        <w:pStyle w:val="ListBullet"/>
      </w:pPr>
      <w:r>
        <w:t xml:space="preserve">characteristics of each network, including the environments in which each operates, and the </w:t>
      </w:r>
      <w:r w:rsidR="00FB73B3">
        <w:t>densities and types of customer</w:t>
      </w:r>
    </w:p>
    <w:p w:rsidR="00C53E51" w:rsidRDefault="00E125F4" w:rsidP="00E125F4">
      <w:pPr>
        <w:pStyle w:val="ListBullet"/>
      </w:pPr>
      <w:r>
        <w:t xml:space="preserve">regulatory frameworks </w:t>
      </w:r>
      <w:r w:rsidR="00EB0FD5">
        <w:t>(</w:t>
      </w:r>
      <w:r>
        <w:t>in each jurisdiction and NEM-wide</w:t>
      </w:r>
      <w:r w:rsidR="00EB0FD5">
        <w:t>)</w:t>
      </w:r>
      <w:r>
        <w:t xml:space="preserve"> including reliability standards</w:t>
      </w:r>
      <w:r w:rsidR="00FD3D4D">
        <w:t xml:space="preserve"> </w:t>
      </w:r>
      <w:r w:rsidR="002E6E2C">
        <w:t xml:space="preserve">and </w:t>
      </w:r>
      <w:r w:rsidR="002C2288">
        <w:t>incentive schemes</w:t>
      </w:r>
      <w:r>
        <w:t xml:space="preserve">. </w:t>
      </w:r>
    </w:p>
    <w:p w:rsidR="00BA13D2" w:rsidRDefault="00C53E51" w:rsidP="00BA13D2">
      <w:pPr>
        <w:pStyle w:val="BodyText"/>
      </w:pPr>
      <w:r>
        <w:t xml:space="preserve">An efficient distribution business </w:t>
      </w:r>
      <w:r w:rsidR="002E6E2C">
        <w:t xml:space="preserve">will </w:t>
      </w:r>
      <w:r>
        <w:t>deliver high reliability outcomes, given the characteristics of the network, f</w:t>
      </w:r>
      <w:r w:rsidR="002E6E2C">
        <w:t>or a low cost, using instruments</w:t>
      </w:r>
      <w:r>
        <w:t xml:space="preserve"> within its control to mitigate the effects of factors outside its control. Benchmarking could be used to identify these businesses. </w:t>
      </w:r>
    </w:p>
    <w:p w:rsidR="00BA13D2" w:rsidRDefault="00E366E1" w:rsidP="00BA13D2">
      <w:pPr>
        <w:pStyle w:val="BodyText"/>
      </w:pPr>
      <w:r>
        <w:t>As discussed in chapter 14</w:t>
      </w:r>
      <w:r w:rsidR="00BA13D2">
        <w:t>, and in a similar vein to the discussion of reliability setting</w:t>
      </w:r>
      <w:r w:rsidR="0025626D">
        <w:t>s for tra</w:t>
      </w:r>
      <w:r>
        <w:t>nsmission in chapter 15</w:t>
      </w:r>
      <w:r w:rsidR="00BA13D2">
        <w:t>,</w:t>
      </w:r>
      <w:r w:rsidR="002E6E2C">
        <w:t xml:space="preserve"> efficient reliability levels for</w:t>
      </w:r>
      <w:r w:rsidR="00BA13D2">
        <w:t xml:space="preserve"> distributi</w:t>
      </w:r>
      <w:r w:rsidR="004F744C">
        <w:t>on networks have two dimensions.</w:t>
      </w:r>
    </w:p>
    <w:p w:rsidR="0025626D" w:rsidRDefault="004F744C" w:rsidP="0025626D">
      <w:pPr>
        <w:pStyle w:val="ListBullet"/>
      </w:pPr>
      <w:r>
        <w:lastRenderedPageBreak/>
        <w:t>T</w:t>
      </w:r>
      <w:r w:rsidR="00BA13D2">
        <w:t xml:space="preserve">he framework for setting reliability should </w:t>
      </w:r>
      <w:r w:rsidR="003A22EC">
        <w:t>seek to achieve overall economic efficiency</w:t>
      </w:r>
      <w:r w:rsidR="00BA13D2">
        <w:t xml:space="preserve">, so that costs of </w:t>
      </w:r>
      <w:r w:rsidR="00752192">
        <w:t>improving</w:t>
      </w:r>
      <w:r w:rsidR="00032D83">
        <w:t xml:space="preserve"> </w:t>
      </w:r>
      <w:r w:rsidR="00BA13D2">
        <w:t xml:space="preserve">reliability are </w:t>
      </w:r>
      <w:r w:rsidR="00752192">
        <w:t xml:space="preserve">broadly </w:t>
      </w:r>
      <w:r w:rsidR="00BA13D2">
        <w:t xml:space="preserve">equivalent to the </w:t>
      </w:r>
      <w:r w:rsidR="00752192">
        <w:t>benefits for</w:t>
      </w:r>
      <w:r w:rsidR="00BA13D2">
        <w:t xml:space="preserve"> customers</w:t>
      </w:r>
      <w:r w:rsidR="00752192">
        <w:t xml:space="preserve"> from that improvement (that is, the marginal costs are equivalent to the marginal benefits)</w:t>
      </w:r>
      <w:r w:rsidR="00BA13D2">
        <w:t xml:space="preserve">. Regulatory benchmarking can help </w:t>
      </w:r>
      <w:r w:rsidR="00752192">
        <w:t xml:space="preserve">in the development of </w:t>
      </w:r>
      <w:r w:rsidR="003A22EC">
        <w:t>such a framework</w:t>
      </w:r>
      <w:r w:rsidR="00752192">
        <w:t xml:space="preserve"> by highlighting instances where this benefit cost trade-off is integral to the process of determining reliability standards.</w:t>
      </w:r>
      <w:r w:rsidR="00BA13D2">
        <w:t xml:space="preserve"> </w:t>
      </w:r>
    </w:p>
    <w:p w:rsidR="00BA13D2" w:rsidRDefault="00752192" w:rsidP="00BA13D2">
      <w:pPr>
        <w:pStyle w:val="ListBullet"/>
      </w:pPr>
      <w:r>
        <w:t>B</w:t>
      </w:r>
      <w:r w:rsidR="00BA13D2">
        <w:t xml:space="preserve">usinesses should meet reliability standards efficiently, with their capacity for doing this tested through traditional benchmarking </w:t>
      </w:r>
      <w:r w:rsidR="0025626D">
        <w:t>tools (chapter 4)</w:t>
      </w:r>
      <w:r w:rsidR="00BA13D2">
        <w:t>.</w:t>
      </w:r>
    </w:p>
    <w:p w:rsidR="002653F0" w:rsidRDefault="00977AF3" w:rsidP="00C53E51">
      <w:pPr>
        <w:pStyle w:val="Heading2"/>
      </w:pPr>
      <w:r>
        <w:t>16.</w:t>
      </w:r>
      <w:r w:rsidR="00365BD8">
        <w:rPr>
          <w:noProof/>
        </w:rPr>
        <w:t>3</w:t>
      </w:r>
      <w:r w:rsidR="00C53E51">
        <w:tab/>
      </w:r>
      <w:r w:rsidR="007B5DEE">
        <w:t xml:space="preserve">Reliability </w:t>
      </w:r>
      <w:r w:rsidR="00C53E51">
        <w:t xml:space="preserve">settings for </w:t>
      </w:r>
      <w:r w:rsidR="00556612">
        <w:t>distribution networks in the N</w:t>
      </w:r>
      <w:r w:rsidR="003A22EC">
        <w:t xml:space="preserve">ational Electricity Market </w:t>
      </w:r>
    </w:p>
    <w:p w:rsidR="00E226ED" w:rsidRDefault="00E366E1" w:rsidP="00B07BCE">
      <w:pPr>
        <w:pStyle w:val="BodyText"/>
      </w:pPr>
      <w:r>
        <w:t>As discussed in chapter 14</w:t>
      </w:r>
      <w:r w:rsidR="00774E80">
        <w:t xml:space="preserve">, under incentive </w:t>
      </w:r>
      <w:r w:rsidR="00774E80" w:rsidRPr="00B07BCE">
        <w:t xml:space="preserve">regulation network businesses have an incentive to </w:t>
      </w:r>
      <w:r w:rsidR="00EC71A5" w:rsidRPr="00B07BCE">
        <w:t xml:space="preserve">reduce costs </w:t>
      </w:r>
      <w:r w:rsidR="00752192">
        <w:t xml:space="preserve">by reducing </w:t>
      </w:r>
      <w:r w:rsidR="00774E80" w:rsidRPr="00B07BCE">
        <w:t>reliability.</w:t>
      </w:r>
      <w:r w:rsidR="00FB73B3" w:rsidRPr="00B07BCE">
        <w:rPr>
          <w:rStyle w:val="DraftingNote"/>
          <w:b w:val="0"/>
          <w:color w:val="auto"/>
          <w:sz w:val="26"/>
          <w:u w:val="none"/>
        </w:rPr>
        <w:t xml:space="preserve"> </w:t>
      </w:r>
      <w:r w:rsidR="00E226ED" w:rsidRPr="00B07BCE">
        <w:t xml:space="preserve">Governments and regulators therefore apply reliability standards </w:t>
      </w:r>
      <w:r w:rsidR="00752192">
        <w:t xml:space="preserve">to complement </w:t>
      </w:r>
      <w:r w:rsidR="00E226ED" w:rsidRPr="00B07BCE">
        <w:t xml:space="preserve">incentive regulation in the NEM. </w:t>
      </w:r>
      <w:r w:rsidR="00EC71A5" w:rsidRPr="00B07BCE">
        <w:t>The frameworks in which these standards are applied to distribution businesses differ between jurisdictions (tables </w:t>
      </w:r>
      <w:r>
        <w:t>16</w:t>
      </w:r>
      <w:r w:rsidR="00BA13D2">
        <w:t>.1</w:t>
      </w:r>
      <w:r w:rsidR="00752192">
        <w:t>).</w:t>
      </w:r>
      <w:r w:rsidR="00EC71A5" w:rsidRPr="00B07BCE">
        <w:t xml:space="preserve"> </w:t>
      </w:r>
    </w:p>
    <w:p w:rsidR="00484D9A" w:rsidRDefault="00484D9A" w:rsidP="00484D9A">
      <w:pPr>
        <w:pStyle w:val="BodyText"/>
      </w:pPr>
      <w:r>
        <w:t xml:space="preserve">Distribution businesses in the NEM are required to </w:t>
      </w:r>
      <w:r w:rsidRPr="00314242">
        <w:t>plan and build their networks to meet the security requirements contained in schedules 5.1a and 5.1 of the</w:t>
      </w:r>
      <w:r>
        <w:t xml:space="preserve"> National Electricity Rules (the ‘Rules’)</w:t>
      </w:r>
      <w:r w:rsidRPr="00314242">
        <w:t>.</w:t>
      </w:r>
      <w:r>
        <w:t xml:space="preserve"> Apart from this requirement, ‘service reliability standards’ are state and territory functions (</w:t>
      </w:r>
      <w:r w:rsidR="00613E7B">
        <w:t>SCER 2011, </w:t>
      </w:r>
      <w:r>
        <w:t xml:space="preserve">p. 2). </w:t>
      </w:r>
    </w:p>
    <w:p w:rsidR="00484D9A" w:rsidRDefault="00484D9A" w:rsidP="00484D9A">
      <w:pPr>
        <w:pStyle w:val="BodyText"/>
      </w:pPr>
      <w:r w:rsidRPr="00B07BCE">
        <w:t>Reliability standards applied to distribution businesses in the NEM can</w:t>
      </w:r>
      <w:r>
        <w:t xml:space="preserve"> include:</w:t>
      </w:r>
    </w:p>
    <w:p w:rsidR="00484D9A" w:rsidRDefault="00484D9A" w:rsidP="00484D9A">
      <w:pPr>
        <w:pStyle w:val="ListBullet"/>
      </w:pPr>
      <w:r>
        <w:t>design planning criteria such as deterministic planning standards, or probabilistic requirements that customer benefits of network augmentations outweigh the costs</w:t>
      </w:r>
    </w:p>
    <w:p w:rsidR="00484D9A" w:rsidRDefault="00484D9A" w:rsidP="00484D9A">
      <w:pPr>
        <w:pStyle w:val="ListBullet"/>
      </w:pPr>
      <w:r>
        <w:t>reliability performance standards, which are usually measured using SAIDI and SAIFI, that are applied through state and territory regulatory instruments (for example, codes and licence conditions) as well as under the AER’s Service Target Performance</w:t>
      </w:r>
      <w:r w:rsidR="0025626D">
        <w:t xml:space="preserve"> Incentive</w:t>
      </w:r>
      <w:r w:rsidR="00E634B1">
        <w:t xml:space="preserve"> Scheme </w:t>
      </w:r>
    </w:p>
    <w:p w:rsidR="00752192" w:rsidRDefault="00484D9A" w:rsidP="00752192">
      <w:pPr>
        <w:pStyle w:val="ListBullet"/>
      </w:pPr>
      <w:r>
        <w:t>‘worst served’</w:t>
      </w:r>
      <w:r w:rsidR="00752192">
        <w:t xml:space="preserve"> requirements protecting</w:t>
      </w:r>
      <w:r>
        <w:t xml:space="preserve"> customers wh</w:t>
      </w:r>
      <w:r w:rsidR="00752192">
        <w:t>o experience significantly poorer</w:t>
      </w:r>
      <w:r>
        <w:t xml:space="preserve"> reliab</w:t>
      </w:r>
      <w:r w:rsidR="00752192">
        <w:t>ility outcomes than the average</w:t>
      </w:r>
    </w:p>
    <w:p w:rsidR="00484D9A" w:rsidRDefault="00752192" w:rsidP="00752192">
      <w:pPr>
        <w:pStyle w:val="BodyText"/>
      </w:pPr>
      <w:r>
        <w:t xml:space="preserve">In addition, </w:t>
      </w:r>
      <w:r w:rsidR="00484D9A">
        <w:t xml:space="preserve">distribution businesses </w:t>
      </w:r>
      <w:r>
        <w:t xml:space="preserve">may be required to </w:t>
      </w:r>
      <w:r w:rsidR="00484D9A">
        <w:t xml:space="preserve">make </w:t>
      </w:r>
      <w:r>
        <w:t xml:space="preserve">guaranteed service level payments </w:t>
      </w:r>
      <w:r w:rsidR="00484D9A">
        <w:t xml:space="preserve">to </w:t>
      </w:r>
      <w:r>
        <w:t xml:space="preserve">compensate </w:t>
      </w:r>
      <w:r w:rsidR="00484D9A">
        <w:t xml:space="preserve">customers when reliability standards are not met. </w:t>
      </w:r>
    </w:p>
    <w:p w:rsidR="00BA13D2" w:rsidRDefault="00BA13D2" w:rsidP="00BA13D2">
      <w:pPr>
        <w:pStyle w:val="TableTitle"/>
      </w:pPr>
      <w:r>
        <w:rPr>
          <w:b w:val="0"/>
        </w:rPr>
        <w:lastRenderedPageBreak/>
        <w:t xml:space="preserve">Table </w:t>
      </w:r>
      <w:r w:rsidR="00977AF3">
        <w:rPr>
          <w:b w:val="0"/>
        </w:rPr>
        <w:t>16.</w:t>
      </w:r>
      <w:r w:rsidR="00365BD8">
        <w:rPr>
          <w:b w:val="0"/>
          <w:noProof/>
        </w:rPr>
        <w:t>1</w:t>
      </w:r>
      <w:r>
        <w:tab/>
        <w:t>Jurisdictional reliability planning and performance requirements</w:t>
      </w:r>
    </w:p>
    <w:p w:rsidR="00BA13D2" w:rsidRDefault="00BA13D2" w:rsidP="00BA13D2">
      <w:pPr>
        <w:pStyle w:val="Subtitle"/>
      </w:pPr>
    </w:p>
    <w:tbl>
      <w:tblPr>
        <w:tblW w:w="5000" w:type="pct"/>
        <w:tblCellMar>
          <w:left w:w="0" w:type="dxa"/>
          <w:right w:w="0" w:type="dxa"/>
        </w:tblCellMar>
        <w:tblLook w:val="0000" w:firstRow="0" w:lastRow="0" w:firstColumn="0" w:lastColumn="0" w:noHBand="0" w:noVBand="0"/>
      </w:tblPr>
      <w:tblGrid>
        <w:gridCol w:w="1416"/>
        <w:gridCol w:w="1416"/>
        <w:gridCol w:w="1985"/>
        <w:gridCol w:w="1324"/>
        <w:gridCol w:w="1324"/>
        <w:gridCol w:w="1324"/>
      </w:tblGrid>
      <w:tr w:rsidR="00BA13D2" w:rsidTr="002A7F92">
        <w:tc>
          <w:tcPr>
            <w:tcW w:w="806" w:type="pct"/>
            <w:tcBorders>
              <w:top w:val="single" w:sz="6" w:space="0" w:color="auto"/>
              <w:bottom w:val="single" w:sz="6" w:space="0" w:color="auto"/>
            </w:tcBorders>
            <w:shd w:val="clear" w:color="auto" w:fill="auto"/>
          </w:tcPr>
          <w:p w:rsidR="00BA13D2" w:rsidRDefault="00BA13D2" w:rsidP="00BA13D2">
            <w:pPr>
              <w:pStyle w:val="TableColumnHeading"/>
              <w:jc w:val="left"/>
            </w:pPr>
            <w:r>
              <w:t>Jurisdiction</w:t>
            </w:r>
          </w:p>
        </w:tc>
        <w:tc>
          <w:tcPr>
            <w:tcW w:w="806" w:type="pct"/>
            <w:tcBorders>
              <w:top w:val="single" w:sz="6" w:space="0" w:color="auto"/>
              <w:bottom w:val="single" w:sz="6" w:space="0" w:color="auto"/>
            </w:tcBorders>
            <w:shd w:val="clear" w:color="auto" w:fill="auto"/>
          </w:tcPr>
          <w:p w:rsidR="00BA13D2" w:rsidRDefault="00BA13D2" w:rsidP="00BA13D2">
            <w:pPr>
              <w:pStyle w:val="TableColumnHeading"/>
            </w:pPr>
            <w:r>
              <w:t>Planning criteria</w:t>
            </w:r>
          </w:p>
        </w:tc>
        <w:tc>
          <w:tcPr>
            <w:tcW w:w="1129" w:type="pct"/>
            <w:tcBorders>
              <w:top w:val="single" w:sz="6" w:space="0" w:color="auto"/>
              <w:bottom w:val="single" w:sz="6" w:space="0" w:color="auto"/>
            </w:tcBorders>
            <w:shd w:val="clear" w:color="auto" w:fill="auto"/>
          </w:tcPr>
          <w:p w:rsidR="00BA13D2" w:rsidRDefault="00BA13D2" w:rsidP="009C1424">
            <w:pPr>
              <w:pStyle w:val="TableColumnHeading"/>
              <w:ind w:right="28"/>
            </w:pPr>
            <w:r>
              <w:t>Performance measures</w:t>
            </w:r>
            <w:r w:rsidR="009C1424">
              <w:rPr>
                <w:rStyle w:val="NoteLabel"/>
              </w:rPr>
              <w:t>a</w:t>
            </w:r>
          </w:p>
        </w:tc>
        <w:tc>
          <w:tcPr>
            <w:tcW w:w="753" w:type="pct"/>
            <w:tcBorders>
              <w:top w:val="single" w:sz="6" w:space="0" w:color="auto"/>
              <w:bottom w:val="single" w:sz="6" w:space="0" w:color="auto"/>
            </w:tcBorders>
          </w:tcPr>
          <w:p w:rsidR="00BA13D2" w:rsidRDefault="00BA13D2" w:rsidP="00BA13D2">
            <w:pPr>
              <w:pStyle w:val="TableColumnHeading"/>
              <w:ind w:right="28"/>
            </w:pPr>
            <w:r>
              <w:t>Performance measures applied to?</w:t>
            </w:r>
          </w:p>
        </w:tc>
        <w:tc>
          <w:tcPr>
            <w:tcW w:w="753" w:type="pct"/>
            <w:tcBorders>
              <w:top w:val="single" w:sz="6" w:space="0" w:color="auto"/>
              <w:bottom w:val="single" w:sz="6" w:space="0" w:color="auto"/>
            </w:tcBorders>
          </w:tcPr>
          <w:p w:rsidR="00BA13D2" w:rsidRDefault="00BA13D2" w:rsidP="00BA13D2">
            <w:pPr>
              <w:pStyle w:val="TableColumnHeading"/>
              <w:ind w:right="28"/>
            </w:pPr>
            <w:r>
              <w:t>STPIS - current or due to commence?</w:t>
            </w:r>
          </w:p>
        </w:tc>
        <w:tc>
          <w:tcPr>
            <w:tcW w:w="753" w:type="pct"/>
            <w:tcBorders>
              <w:top w:val="single" w:sz="6" w:space="0" w:color="auto"/>
              <w:bottom w:val="single" w:sz="6" w:space="0" w:color="auto"/>
            </w:tcBorders>
          </w:tcPr>
          <w:p w:rsidR="00BA13D2" w:rsidRDefault="00BA13D2" w:rsidP="00BA13D2">
            <w:pPr>
              <w:pStyle w:val="TableColumnHeading"/>
              <w:ind w:right="28"/>
            </w:pPr>
            <w:r>
              <w:t>Jurisdictional performance measures consistent with or additional to STPIS</w:t>
            </w:r>
          </w:p>
        </w:tc>
      </w:tr>
      <w:tr w:rsidR="00BA13D2" w:rsidTr="002A7F92">
        <w:tc>
          <w:tcPr>
            <w:tcW w:w="806" w:type="pct"/>
            <w:tcBorders>
              <w:top w:val="single" w:sz="6" w:space="0" w:color="auto"/>
            </w:tcBorders>
          </w:tcPr>
          <w:p w:rsidR="00BA13D2" w:rsidRDefault="00BA13D2" w:rsidP="00BA13D2">
            <w:pPr>
              <w:pStyle w:val="TableUnitsRow"/>
              <w:jc w:val="left"/>
            </w:pPr>
            <w:r>
              <w:t>NSW</w:t>
            </w:r>
          </w:p>
        </w:tc>
        <w:tc>
          <w:tcPr>
            <w:tcW w:w="806" w:type="pct"/>
            <w:tcBorders>
              <w:top w:val="single" w:sz="6" w:space="0" w:color="auto"/>
            </w:tcBorders>
          </w:tcPr>
          <w:p w:rsidR="00BA13D2" w:rsidRDefault="00BA13D2" w:rsidP="00BA13D2">
            <w:pPr>
              <w:pStyle w:val="TableUnitsRow"/>
            </w:pPr>
            <w:r>
              <w:t>Deterministic</w:t>
            </w:r>
            <w:r w:rsidR="007E73DB">
              <w:t>,</w:t>
            </w:r>
            <w:r>
              <w:t xml:space="preserve"> set out in licence conditions</w:t>
            </w:r>
          </w:p>
        </w:tc>
        <w:tc>
          <w:tcPr>
            <w:tcW w:w="1129" w:type="pct"/>
            <w:tcBorders>
              <w:top w:val="single" w:sz="6" w:space="0" w:color="auto"/>
            </w:tcBorders>
          </w:tcPr>
          <w:p w:rsidR="00BA13D2" w:rsidRDefault="00BA13D2" w:rsidP="00BA13D2">
            <w:pPr>
              <w:pStyle w:val="TableUnitsRow"/>
              <w:ind w:right="28"/>
            </w:pPr>
            <w:r>
              <w:t>SAID</w:t>
            </w:r>
            <w:r w:rsidR="0008624D">
              <w:t>I</w:t>
            </w:r>
            <w:r>
              <w:t>, SAIFI standards set out in licence conditions</w:t>
            </w:r>
          </w:p>
        </w:tc>
        <w:tc>
          <w:tcPr>
            <w:tcW w:w="753" w:type="pct"/>
            <w:tcBorders>
              <w:top w:val="single" w:sz="6" w:space="0" w:color="auto"/>
            </w:tcBorders>
          </w:tcPr>
          <w:p w:rsidR="00BA13D2" w:rsidRDefault="00BA13D2" w:rsidP="00BA13D2">
            <w:pPr>
              <w:pStyle w:val="TableUnitsRow"/>
              <w:ind w:right="28"/>
            </w:pPr>
            <w:r>
              <w:t>Feeder type</w:t>
            </w:r>
          </w:p>
        </w:tc>
        <w:tc>
          <w:tcPr>
            <w:tcW w:w="753" w:type="pct"/>
            <w:tcBorders>
              <w:top w:val="single" w:sz="6" w:space="0" w:color="auto"/>
            </w:tcBorders>
          </w:tcPr>
          <w:p w:rsidR="00BA13D2" w:rsidRDefault="00BA13D2" w:rsidP="00BA13D2">
            <w:pPr>
              <w:pStyle w:val="TableUnitsRow"/>
              <w:ind w:right="28"/>
            </w:pPr>
            <w:r>
              <w:t>2014</w:t>
            </w:r>
          </w:p>
        </w:tc>
        <w:tc>
          <w:tcPr>
            <w:tcW w:w="753" w:type="pct"/>
            <w:tcBorders>
              <w:top w:val="single" w:sz="6" w:space="0" w:color="auto"/>
            </w:tcBorders>
          </w:tcPr>
          <w:p w:rsidR="00BA13D2" w:rsidRDefault="00BA13D2" w:rsidP="00BA13D2">
            <w:pPr>
              <w:pStyle w:val="TableUnitsRow"/>
              <w:ind w:right="28"/>
            </w:pPr>
            <w:r>
              <w:t>Unknown</w:t>
            </w:r>
            <w:r w:rsidR="00BD07F9">
              <w:t xml:space="preserve"> until STPIS introduced</w:t>
            </w:r>
          </w:p>
        </w:tc>
      </w:tr>
      <w:tr w:rsidR="00BA13D2" w:rsidTr="002A7F92">
        <w:tc>
          <w:tcPr>
            <w:tcW w:w="806" w:type="pct"/>
          </w:tcPr>
          <w:p w:rsidR="00BA13D2" w:rsidRDefault="00BA13D2" w:rsidP="00BA13D2">
            <w:pPr>
              <w:pStyle w:val="TableBodyText"/>
              <w:jc w:val="left"/>
            </w:pPr>
            <w:r>
              <w:t>Vic</w:t>
            </w:r>
          </w:p>
        </w:tc>
        <w:tc>
          <w:tcPr>
            <w:tcW w:w="806" w:type="pct"/>
          </w:tcPr>
          <w:p w:rsidR="00BA13D2" w:rsidRDefault="00BA13D2" w:rsidP="00BA13D2">
            <w:pPr>
              <w:pStyle w:val="TableBodyText"/>
            </w:pPr>
            <w:r>
              <w:t>Probabilistic</w:t>
            </w:r>
          </w:p>
        </w:tc>
        <w:tc>
          <w:tcPr>
            <w:tcW w:w="1129" w:type="pct"/>
          </w:tcPr>
          <w:p w:rsidR="00BA13D2" w:rsidRDefault="00BA13D2" w:rsidP="00BA13D2">
            <w:pPr>
              <w:pStyle w:val="TableBodyText"/>
              <w:ind w:right="28"/>
            </w:pPr>
            <w:r>
              <w:t>SAIDI (planned and unplanned), SAIFI (exc. momentary interruptions), MAIFI, CAIDI set by DNSPs in line with STPIS targets set by AER</w:t>
            </w:r>
          </w:p>
        </w:tc>
        <w:tc>
          <w:tcPr>
            <w:tcW w:w="753" w:type="pct"/>
          </w:tcPr>
          <w:p w:rsidR="00BA13D2" w:rsidRDefault="00BA13D2" w:rsidP="00BA13D2">
            <w:pPr>
              <w:pStyle w:val="TableBodyText"/>
              <w:ind w:right="28"/>
            </w:pPr>
            <w:r>
              <w:t>Feeder type</w:t>
            </w:r>
          </w:p>
        </w:tc>
        <w:tc>
          <w:tcPr>
            <w:tcW w:w="753" w:type="pct"/>
          </w:tcPr>
          <w:p w:rsidR="00BA13D2" w:rsidRDefault="00BA13D2" w:rsidP="00BA13D2">
            <w:pPr>
              <w:pStyle w:val="TableBodyText"/>
              <w:ind w:right="28"/>
            </w:pPr>
            <w:r>
              <w:t>Currently in operation</w:t>
            </w:r>
          </w:p>
        </w:tc>
        <w:tc>
          <w:tcPr>
            <w:tcW w:w="753" w:type="pct"/>
          </w:tcPr>
          <w:p w:rsidR="00BA13D2" w:rsidRDefault="00BA13D2" w:rsidP="00BA13D2">
            <w:pPr>
              <w:pStyle w:val="TableBodyText"/>
              <w:ind w:right="28"/>
            </w:pPr>
            <w:r>
              <w:t>Consistent</w:t>
            </w:r>
          </w:p>
        </w:tc>
      </w:tr>
      <w:tr w:rsidR="00BA13D2" w:rsidTr="002A7F92">
        <w:tc>
          <w:tcPr>
            <w:tcW w:w="806" w:type="pct"/>
            <w:shd w:val="clear" w:color="auto" w:fill="auto"/>
          </w:tcPr>
          <w:p w:rsidR="00BA13D2" w:rsidRDefault="00BA13D2" w:rsidP="00BA13D2">
            <w:pPr>
              <w:pStyle w:val="TableBodyText"/>
              <w:jc w:val="left"/>
            </w:pPr>
            <w:r>
              <w:t>Q</w:t>
            </w:r>
            <w:r w:rsidR="00780E1B">
              <w:t>ld</w:t>
            </w:r>
          </w:p>
        </w:tc>
        <w:tc>
          <w:tcPr>
            <w:tcW w:w="806" w:type="pct"/>
            <w:shd w:val="clear" w:color="auto" w:fill="auto"/>
          </w:tcPr>
          <w:p w:rsidR="00BA13D2" w:rsidRDefault="00F87979" w:rsidP="00BA13D2">
            <w:pPr>
              <w:pStyle w:val="TableBodyText"/>
            </w:pPr>
            <w:r>
              <w:t>Deterministic</w:t>
            </w:r>
            <w:r w:rsidR="007E73DB">
              <w:t>,</w:t>
            </w:r>
            <w:r>
              <w:t xml:space="preserve"> set by DNSPs</w:t>
            </w:r>
            <w:r w:rsidR="00BA13D2">
              <w:t xml:space="preserve"> in network management plans</w:t>
            </w:r>
          </w:p>
        </w:tc>
        <w:tc>
          <w:tcPr>
            <w:tcW w:w="1129" w:type="pct"/>
            <w:shd w:val="clear" w:color="auto" w:fill="auto"/>
          </w:tcPr>
          <w:p w:rsidR="00BA13D2" w:rsidRDefault="00BA13D2" w:rsidP="009C1424">
            <w:pPr>
              <w:pStyle w:val="TableBodyText"/>
              <w:ind w:right="28"/>
            </w:pPr>
            <w:r>
              <w:t>SAIDI, SAIFI set out in Code</w:t>
            </w:r>
            <w:r w:rsidR="009C1424">
              <w:rPr>
                <w:rStyle w:val="NoteLabel"/>
              </w:rPr>
              <w:t>b</w:t>
            </w:r>
          </w:p>
        </w:tc>
        <w:tc>
          <w:tcPr>
            <w:tcW w:w="753" w:type="pct"/>
          </w:tcPr>
          <w:p w:rsidR="00BA13D2" w:rsidRDefault="00BA13D2" w:rsidP="00BA13D2">
            <w:pPr>
              <w:pStyle w:val="TableBodyText"/>
              <w:ind w:right="28"/>
            </w:pPr>
            <w:r>
              <w:t>Feeder type</w:t>
            </w:r>
          </w:p>
        </w:tc>
        <w:tc>
          <w:tcPr>
            <w:tcW w:w="753" w:type="pct"/>
          </w:tcPr>
          <w:p w:rsidR="00BA13D2" w:rsidRDefault="00BA13D2" w:rsidP="00BA13D2">
            <w:pPr>
              <w:pStyle w:val="TableBodyText"/>
              <w:ind w:right="28"/>
            </w:pPr>
            <w:r>
              <w:t>Currently in operation</w:t>
            </w:r>
          </w:p>
        </w:tc>
        <w:tc>
          <w:tcPr>
            <w:tcW w:w="753" w:type="pct"/>
          </w:tcPr>
          <w:p w:rsidR="00BA13D2" w:rsidRPr="00BD668B" w:rsidRDefault="00BA13D2" w:rsidP="00BA13D2">
            <w:pPr>
              <w:pStyle w:val="TableBodyText"/>
              <w:rPr>
                <w:rStyle w:val="DraftingNote"/>
                <w:b w:val="0"/>
                <w:color w:val="auto"/>
                <w:sz w:val="20"/>
                <w:u w:val="none"/>
              </w:rPr>
            </w:pPr>
            <w:r w:rsidRPr="00BD668B">
              <w:rPr>
                <w:rStyle w:val="DraftingNote"/>
                <w:b w:val="0"/>
                <w:color w:val="auto"/>
                <w:sz w:val="20"/>
                <w:u w:val="none"/>
              </w:rPr>
              <w:t>Additional</w:t>
            </w:r>
          </w:p>
        </w:tc>
      </w:tr>
      <w:tr w:rsidR="00BA13D2" w:rsidTr="002A7F92">
        <w:tc>
          <w:tcPr>
            <w:tcW w:w="806" w:type="pct"/>
            <w:shd w:val="clear" w:color="auto" w:fill="auto"/>
          </w:tcPr>
          <w:p w:rsidR="00BA13D2" w:rsidRDefault="00BA13D2" w:rsidP="00BA13D2">
            <w:pPr>
              <w:pStyle w:val="TableBodyText"/>
              <w:jc w:val="left"/>
            </w:pPr>
            <w:r>
              <w:t>SA</w:t>
            </w:r>
          </w:p>
        </w:tc>
        <w:tc>
          <w:tcPr>
            <w:tcW w:w="806" w:type="pct"/>
            <w:shd w:val="clear" w:color="auto" w:fill="auto"/>
          </w:tcPr>
          <w:p w:rsidR="00BA13D2" w:rsidRDefault="00BA13D2" w:rsidP="00BA13D2">
            <w:pPr>
              <w:pStyle w:val="TableBodyText"/>
            </w:pPr>
            <w:r>
              <w:t>Deterministic</w:t>
            </w:r>
            <w:r w:rsidR="007E73DB">
              <w:t>,</w:t>
            </w:r>
            <w:r>
              <w:t xml:space="preserve"> set by DNSPs</w:t>
            </w:r>
          </w:p>
        </w:tc>
        <w:tc>
          <w:tcPr>
            <w:tcW w:w="1129" w:type="pct"/>
            <w:shd w:val="clear" w:color="auto" w:fill="auto"/>
          </w:tcPr>
          <w:p w:rsidR="00BA13D2" w:rsidRDefault="00BA13D2" w:rsidP="009C1424">
            <w:pPr>
              <w:pStyle w:val="TableBodyText"/>
              <w:ind w:right="28"/>
            </w:pPr>
            <w:r>
              <w:t>SAIDI, SAIFI set out in Code</w:t>
            </w:r>
            <w:r w:rsidR="009C1424">
              <w:rPr>
                <w:rStyle w:val="NoteLabel"/>
              </w:rPr>
              <w:t>c</w:t>
            </w:r>
          </w:p>
        </w:tc>
        <w:tc>
          <w:tcPr>
            <w:tcW w:w="753" w:type="pct"/>
          </w:tcPr>
          <w:p w:rsidR="00BA13D2" w:rsidRDefault="00BA13D2" w:rsidP="00BA13D2">
            <w:pPr>
              <w:pStyle w:val="TableBodyText"/>
              <w:ind w:right="28"/>
            </w:pPr>
            <w:r>
              <w:t>Region</w:t>
            </w:r>
          </w:p>
        </w:tc>
        <w:tc>
          <w:tcPr>
            <w:tcW w:w="753" w:type="pct"/>
          </w:tcPr>
          <w:p w:rsidR="00BA13D2" w:rsidRDefault="00BA13D2" w:rsidP="00BA13D2">
            <w:pPr>
              <w:pStyle w:val="TableBodyText"/>
              <w:ind w:right="28"/>
            </w:pPr>
            <w:r>
              <w:t>Currently in operation</w:t>
            </w:r>
          </w:p>
        </w:tc>
        <w:tc>
          <w:tcPr>
            <w:tcW w:w="753" w:type="pct"/>
          </w:tcPr>
          <w:p w:rsidR="00BA13D2" w:rsidRPr="00BD668B" w:rsidRDefault="00BA13D2" w:rsidP="00BA13D2">
            <w:pPr>
              <w:pStyle w:val="TableBodyText"/>
              <w:rPr>
                <w:rStyle w:val="DraftingNote"/>
                <w:b w:val="0"/>
                <w:color w:val="auto"/>
                <w:sz w:val="20"/>
                <w:u w:val="none"/>
              </w:rPr>
            </w:pPr>
            <w:r>
              <w:rPr>
                <w:rStyle w:val="DraftingNote"/>
                <w:b w:val="0"/>
                <w:color w:val="auto"/>
                <w:sz w:val="20"/>
                <w:u w:val="none"/>
              </w:rPr>
              <w:t>Additional</w:t>
            </w:r>
          </w:p>
        </w:tc>
      </w:tr>
      <w:tr w:rsidR="00BA13D2" w:rsidTr="002A7F92">
        <w:tc>
          <w:tcPr>
            <w:tcW w:w="806" w:type="pct"/>
            <w:shd w:val="clear" w:color="auto" w:fill="auto"/>
          </w:tcPr>
          <w:p w:rsidR="00BA13D2" w:rsidRDefault="00BA13D2" w:rsidP="00BA13D2">
            <w:pPr>
              <w:pStyle w:val="TableBodyText"/>
              <w:jc w:val="left"/>
            </w:pPr>
            <w:r>
              <w:t>Tas</w:t>
            </w:r>
          </w:p>
        </w:tc>
        <w:tc>
          <w:tcPr>
            <w:tcW w:w="806" w:type="pct"/>
            <w:shd w:val="clear" w:color="auto" w:fill="auto"/>
          </w:tcPr>
          <w:p w:rsidR="00BA13D2" w:rsidRDefault="00BA13D2" w:rsidP="00BA13D2">
            <w:pPr>
              <w:pStyle w:val="TableBodyText"/>
            </w:pPr>
            <w:r>
              <w:t>None</w:t>
            </w:r>
          </w:p>
        </w:tc>
        <w:tc>
          <w:tcPr>
            <w:tcW w:w="1129" w:type="pct"/>
            <w:shd w:val="clear" w:color="auto" w:fill="auto"/>
          </w:tcPr>
          <w:p w:rsidR="00BA13D2" w:rsidRDefault="00BA13D2" w:rsidP="009C1424">
            <w:pPr>
              <w:pStyle w:val="TableBodyText"/>
              <w:ind w:right="28"/>
            </w:pPr>
            <w:r>
              <w:t>SAIDI, SAIFI set out in Code</w:t>
            </w:r>
            <w:r w:rsidR="009C1424">
              <w:rPr>
                <w:rStyle w:val="NoteLabel"/>
              </w:rPr>
              <w:t>d</w:t>
            </w:r>
          </w:p>
        </w:tc>
        <w:tc>
          <w:tcPr>
            <w:tcW w:w="753" w:type="pct"/>
          </w:tcPr>
          <w:p w:rsidR="00BA13D2" w:rsidRDefault="00BA13D2" w:rsidP="00BA13D2">
            <w:pPr>
              <w:pStyle w:val="TableBodyText"/>
              <w:ind w:right="28"/>
            </w:pPr>
            <w:r>
              <w:t>Customer category</w:t>
            </w:r>
          </w:p>
        </w:tc>
        <w:tc>
          <w:tcPr>
            <w:tcW w:w="753" w:type="pct"/>
          </w:tcPr>
          <w:p w:rsidR="00BA13D2" w:rsidRDefault="00BA13D2" w:rsidP="00BA13D2">
            <w:pPr>
              <w:pStyle w:val="TableBodyText"/>
              <w:ind w:right="28"/>
            </w:pPr>
            <w:r>
              <w:t>Currently in operation</w:t>
            </w:r>
          </w:p>
        </w:tc>
        <w:tc>
          <w:tcPr>
            <w:tcW w:w="753" w:type="pct"/>
          </w:tcPr>
          <w:p w:rsidR="00BA13D2" w:rsidRPr="00BD668B" w:rsidRDefault="00BA13D2" w:rsidP="00BA13D2">
            <w:pPr>
              <w:pStyle w:val="TableBodyText"/>
              <w:rPr>
                <w:rStyle w:val="DraftingNote"/>
                <w:b w:val="0"/>
                <w:color w:val="auto"/>
                <w:sz w:val="20"/>
                <w:u w:val="none"/>
              </w:rPr>
            </w:pPr>
            <w:r>
              <w:rPr>
                <w:rStyle w:val="DraftingNote"/>
                <w:b w:val="0"/>
                <w:color w:val="auto"/>
                <w:sz w:val="20"/>
                <w:u w:val="none"/>
              </w:rPr>
              <w:t>Additional</w:t>
            </w:r>
          </w:p>
        </w:tc>
      </w:tr>
      <w:tr w:rsidR="00BA13D2" w:rsidTr="002A7F92">
        <w:tc>
          <w:tcPr>
            <w:tcW w:w="806" w:type="pct"/>
            <w:tcBorders>
              <w:bottom w:val="single" w:sz="6" w:space="0" w:color="auto"/>
            </w:tcBorders>
            <w:shd w:val="clear" w:color="auto" w:fill="auto"/>
          </w:tcPr>
          <w:p w:rsidR="00BA13D2" w:rsidRDefault="00BA13D2" w:rsidP="00BA13D2">
            <w:pPr>
              <w:pStyle w:val="TableBodyText"/>
              <w:jc w:val="left"/>
            </w:pPr>
            <w:r>
              <w:t>ACT</w:t>
            </w:r>
          </w:p>
        </w:tc>
        <w:tc>
          <w:tcPr>
            <w:tcW w:w="806" w:type="pct"/>
            <w:tcBorders>
              <w:bottom w:val="single" w:sz="6" w:space="0" w:color="auto"/>
            </w:tcBorders>
            <w:shd w:val="clear" w:color="auto" w:fill="auto"/>
          </w:tcPr>
          <w:p w:rsidR="00BA13D2" w:rsidRDefault="00BA13D2" w:rsidP="00BA13D2">
            <w:pPr>
              <w:pStyle w:val="TableBodyText"/>
            </w:pPr>
            <w:r>
              <w:t>None</w:t>
            </w:r>
          </w:p>
        </w:tc>
        <w:tc>
          <w:tcPr>
            <w:tcW w:w="1129" w:type="pct"/>
            <w:tcBorders>
              <w:bottom w:val="single" w:sz="6" w:space="0" w:color="auto"/>
            </w:tcBorders>
            <w:shd w:val="clear" w:color="auto" w:fill="auto"/>
          </w:tcPr>
          <w:p w:rsidR="00BA13D2" w:rsidRDefault="00BA13D2" w:rsidP="009C1424">
            <w:pPr>
              <w:pStyle w:val="TableBodyText"/>
              <w:ind w:right="28"/>
            </w:pPr>
            <w:r>
              <w:t>SAIDI, SAIFI, CAIDI minimum targets set out in Code</w:t>
            </w:r>
            <w:r w:rsidR="009C1424">
              <w:rPr>
                <w:rStyle w:val="NoteLabel"/>
              </w:rPr>
              <w:t>e</w:t>
            </w:r>
          </w:p>
        </w:tc>
        <w:tc>
          <w:tcPr>
            <w:tcW w:w="753" w:type="pct"/>
            <w:tcBorders>
              <w:bottom w:val="single" w:sz="6" w:space="0" w:color="auto"/>
            </w:tcBorders>
          </w:tcPr>
          <w:p w:rsidR="00BA13D2" w:rsidRDefault="00BA13D2" w:rsidP="00BA13D2">
            <w:pPr>
              <w:pStyle w:val="TableBodyText"/>
              <w:ind w:right="28"/>
            </w:pPr>
            <w:r>
              <w:t>n/a</w:t>
            </w:r>
          </w:p>
        </w:tc>
        <w:tc>
          <w:tcPr>
            <w:tcW w:w="753" w:type="pct"/>
            <w:tcBorders>
              <w:bottom w:val="single" w:sz="6" w:space="0" w:color="auto"/>
            </w:tcBorders>
          </w:tcPr>
          <w:p w:rsidR="00BA13D2" w:rsidRDefault="00BA13D2" w:rsidP="00BA13D2">
            <w:pPr>
              <w:pStyle w:val="TableBodyText"/>
              <w:ind w:right="28"/>
            </w:pPr>
            <w:r>
              <w:t>2014</w:t>
            </w:r>
          </w:p>
        </w:tc>
        <w:tc>
          <w:tcPr>
            <w:tcW w:w="753" w:type="pct"/>
            <w:tcBorders>
              <w:bottom w:val="single" w:sz="6" w:space="0" w:color="auto"/>
            </w:tcBorders>
          </w:tcPr>
          <w:p w:rsidR="00BA13D2" w:rsidRDefault="00BA13D2" w:rsidP="00BA13D2">
            <w:pPr>
              <w:pStyle w:val="TableBodyText"/>
              <w:ind w:right="28"/>
            </w:pPr>
            <w:r>
              <w:t>Unknown</w:t>
            </w:r>
            <w:r w:rsidR="00BD07F9">
              <w:t xml:space="preserve"> until STPIS introduced</w:t>
            </w:r>
          </w:p>
        </w:tc>
      </w:tr>
    </w:tbl>
    <w:p w:rsidR="00BA13D2" w:rsidRPr="002D5FB3" w:rsidRDefault="00BA13D2" w:rsidP="00BA13D2">
      <w:pPr>
        <w:pStyle w:val="Note"/>
      </w:pPr>
      <w:r w:rsidRPr="008E77FE">
        <w:rPr>
          <w:rStyle w:val="NoteLabel"/>
        </w:rPr>
        <w:t>a</w:t>
      </w:r>
      <w:r w:rsidR="009C1424">
        <w:rPr>
          <w:rStyle w:val="NoteLabel"/>
        </w:rPr>
        <w:t> </w:t>
      </w:r>
      <w:r w:rsidR="009C1424">
        <w:t xml:space="preserve">In some jurisdictions, SAIDI and SAIFI performance standards apply only to unplanned outages.  </w:t>
      </w:r>
      <w:r w:rsidR="009C1424">
        <w:rPr>
          <w:rStyle w:val="NoteLabel"/>
        </w:rPr>
        <w:t>b </w:t>
      </w:r>
      <w:r>
        <w:t xml:space="preserve">Queensland Electricity Industry Code Electricity Distribution (Supply Standards) Code;  </w:t>
      </w:r>
      <w:r w:rsidR="009C1424">
        <w:rPr>
          <w:rStyle w:val="NoteLabel"/>
        </w:rPr>
        <w:t>c</w:t>
      </w:r>
      <w:r>
        <w:rPr>
          <w:rStyle w:val="NoteLabel"/>
        </w:rPr>
        <w:t xml:space="preserve"> </w:t>
      </w:r>
      <w:r w:rsidRPr="002D5FB3">
        <w:t>South Australian Electricity Distribution Code</w:t>
      </w:r>
      <w:r>
        <w:t xml:space="preserve">;  </w:t>
      </w:r>
      <w:r w:rsidR="009C1424">
        <w:rPr>
          <w:rStyle w:val="NoteLabel"/>
        </w:rPr>
        <w:t>d</w:t>
      </w:r>
      <w:r>
        <w:rPr>
          <w:rStyle w:val="NoteLabel"/>
        </w:rPr>
        <w:t xml:space="preserve"> </w:t>
      </w:r>
      <w:r>
        <w:t xml:space="preserve">Tasmanian Electricity Code;  </w:t>
      </w:r>
      <w:r w:rsidR="009C1424">
        <w:rPr>
          <w:rStyle w:val="NoteLabel"/>
        </w:rPr>
        <w:t>e</w:t>
      </w:r>
      <w:r>
        <w:rPr>
          <w:rStyle w:val="NoteLabel"/>
        </w:rPr>
        <w:t xml:space="preserve"> </w:t>
      </w:r>
      <w:r>
        <w:t>Electricity Distribution (Supply Standards) Code.</w:t>
      </w:r>
    </w:p>
    <w:p w:rsidR="00BA13D2" w:rsidRPr="008E77FE" w:rsidRDefault="00BA13D2" w:rsidP="00BA13D2">
      <w:pPr>
        <w:pStyle w:val="Source"/>
      </w:pPr>
      <w:r>
        <w:rPr>
          <w:i/>
        </w:rPr>
        <w:t>Source</w:t>
      </w:r>
      <w:r>
        <w:t xml:space="preserve">: AEMC </w:t>
      </w:r>
      <w:r w:rsidR="00780E1B">
        <w:t>(</w:t>
      </w:r>
      <w:r>
        <w:t>2012</w:t>
      </w:r>
      <w:r w:rsidR="00EF3128">
        <w:t>k</w:t>
      </w:r>
      <w:r w:rsidR="00780E1B">
        <w:t>)</w:t>
      </w:r>
      <w:r>
        <w:t>.</w:t>
      </w:r>
    </w:p>
    <w:p w:rsidR="00321A74" w:rsidRDefault="00321A74" w:rsidP="00321A74">
      <w:pPr>
        <w:pStyle w:val="BodyText"/>
        <w:rPr>
          <w:rStyle w:val="DraftingNote"/>
          <w:b w:val="0"/>
          <w:color w:val="auto"/>
          <w:sz w:val="26"/>
          <w:u w:val="none"/>
        </w:rPr>
      </w:pPr>
      <w:r>
        <w:rPr>
          <w:rStyle w:val="DraftingNote"/>
          <w:b w:val="0"/>
          <w:color w:val="auto"/>
          <w:sz w:val="26"/>
          <w:u w:val="none"/>
        </w:rPr>
        <w:t xml:space="preserve">Within these types of standard, significant variation exists between jurisdictions and even businesses within a jurisdiction. </w:t>
      </w:r>
      <w:r w:rsidRPr="00321A74">
        <w:rPr>
          <w:rStyle w:val="DraftingNote"/>
          <w:b w:val="0"/>
          <w:color w:val="auto"/>
          <w:sz w:val="26"/>
          <w:u w:val="none"/>
        </w:rPr>
        <w:t>Th</w:t>
      </w:r>
      <w:r>
        <w:rPr>
          <w:rStyle w:val="DraftingNote"/>
          <w:b w:val="0"/>
          <w:color w:val="auto"/>
          <w:sz w:val="26"/>
          <w:u w:val="none"/>
        </w:rPr>
        <w:t>is</w:t>
      </w:r>
      <w:r w:rsidRPr="00F61C7B">
        <w:rPr>
          <w:rStyle w:val="DraftingNote"/>
          <w:b w:val="0"/>
          <w:color w:val="auto"/>
          <w:sz w:val="26"/>
          <w:u w:val="none"/>
        </w:rPr>
        <w:t xml:space="preserve"> variation in type and level of standards can affect how easily distribution businesses can be benchmarked, since reliability standards are generally outside of the control of businesses but have a large effect on costs. </w:t>
      </w:r>
    </w:p>
    <w:p w:rsidR="00E34F6E" w:rsidRDefault="00304666" w:rsidP="00A8148A">
      <w:pPr>
        <w:pStyle w:val="BodyText"/>
      </w:pPr>
      <w:r>
        <w:rPr>
          <w:rStyle w:val="DraftingNote"/>
          <w:b w:val="0"/>
          <w:color w:val="auto"/>
          <w:sz w:val="26"/>
          <w:u w:val="none"/>
        </w:rPr>
        <w:t>C</w:t>
      </w:r>
      <w:r w:rsidR="00321A74">
        <w:rPr>
          <w:rStyle w:val="DraftingNote"/>
          <w:b w:val="0"/>
          <w:color w:val="auto"/>
          <w:sz w:val="26"/>
          <w:u w:val="none"/>
        </w:rPr>
        <w:t>ost</w:t>
      </w:r>
      <w:r>
        <w:rPr>
          <w:rStyle w:val="DraftingNote"/>
          <w:b w:val="0"/>
          <w:color w:val="auto"/>
          <w:sz w:val="26"/>
          <w:u w:val="none"/>
        </w:rPr>
        <w:t>s</w:t>
      </w:r>
      <w:r w:rsidR="00321A74">
        <w:rPr>
          <w:rStyle w:val="DraftingNote"/>
          <w:b w:val="0"/>
          <w:color w:val="auto"/>
          <w:sz w:val="26"/>
          <w:u w:val="none"/>
        </w:rPr>
        <w:t xml:space="preserve"> can also arise when the type, </w:t>
      </w:r>
      <w:r>
        <w:rPr>
          <w:rStyle w:val="DraftingNote"/>
          <w:b w:val="0"/>
          <w:color w:val="auto"/>
          <w:sz w:val="26"/>
          <w:u w:val="none"/>
        </w:rPr>
        <w:t>level,</w:t>
      </w:r>
      <w:r w:rsidR="00321A74">
        <w:rPr>
          <w:rStyle w:val="DraftingNote"/>
          <w:b w:val="0"/>
          <w:color w:val="auto"/>
          <w:sz w:val="26"/>
          <w:u w:val="none"/>
        </w:rPr>
        <w:t xml:space="preserve"> and combination of reliability standards applied to each distribution business</w:t>
      </w:r>
      <w:r w:rsidR="00FF3369">
        <w:rPr>
          <w:rStyle w:val="DraftingNote"/>
          <w:b w:val="0"/>
          <w:color w:val="auto"/>
          <w:sz w:val="26"/>
          <w:u w:val="none"/>
        </w:rPr>
        <w:t xml:space="preserve"> are not efficient</w:t>
      </w:r>
      <w:r w:rsidR="002C00A2">
        <w:rPr>
          <w:rStyle w:val="DraftingNote"/>
          <w:b w:val="0"/>
          <w:color w:val="auto"/>
          <w:sz w:val="26"/>
          <w:u w:val="none"/>
        </w:rPr>
        <w:t>. For example, standards</w:t>
      </w:r>
      <w:r w:rsidR="00321A74">
        <w:rPr>
          <w:rStyle w:val="DraftingNote"/>
          <w:b w:val="0"/>
          <w:color w:val="auto"/>
          <w:sz w:val="26"/>
          <w:u w:val="none"/>
        </w:rPr>
        <w:t xml:space="preserve"> </w:t>
      </w:r>
      <w:r w:rsidR="00FF3369">
        <w:rPr>
          <w:rStyle w:val="DraftingNote"/>
          <w:b w:val="0"/>
          <w:color w:val="auto"/>
          <w:sz w:val="26"/>
          <w:u w:val="none"/>
        </w:rPr>
        <w:t xml:space="preserve">might </w:t>
      </w:r>
      <w:r w:rsidR="00321A74">
        <w:rPr>
          <w:rStyle w:val="DraftingNote"/>
          <w:b w:val="0"/>
          <w:color w:val="auto"/>
          <w:sz w:val="26"/>
          <w:u w:val="none"/>
        </w:rPr>
        <w:t xml:space="preserve">not </w:t>
      </w:r>
      <w:r w:rsidR="00FF3369">
        <w:rPr>
          <w:rStyle w:val="DraftingNote"/>
          <w:b w:val="0"/>
          <w:color w:val="auto"/>
          <w:sz w:val="26"/>
          <w:u w:val="none"/>
        </w:rPr>
        <w:t xml:space="preserve">be </w:t>
      </w:r>
      <w:r w:rsidR="00321A74">
        <w:rPr>
          <w:rStyle w:val="DraftingNote"/>
          <w:b w:val="0"/>
          <w:color w:val="auto"/>
          <w:sz w:val="26"/>
          <w:u w:val="none"/>
        </w:rPr>
        <w:t xml:space="preserve">set in a way </w:t>
      </w:r>
      <w:r w:rsidR="00FF3369">
        <w:rPr>
          <w:rStyle w:val="DraftingNote"/>
          <w:b w:val="0"/>
          <w:color w:val="auto"/>
          <w:sz w:val="26"/>
          <w:u w:val="none"/>
        </w:rPr>
        <w:t>that</w:t>
      </w:r>
      <w:r w:rsidR="00321A74">
        <w:rPr>
          <w:rStyle w:val="DraftingNote"/>
          <w:b w:val="0"/>
          <w:color w:val="auto"/>
          <w:sz w:val="26"/>
          <w:u w:val="none"/>
        </w:rPr>
        <w:t xml:space="preserve"> allow</w:t>
      </w:r>
      <w:r w:rsidR="00FF3369">
        <w:rPr>
          <w:rStyle w:val="DraftingNote"/>
          <w:b w:val="0"/>
          <w:color w:val="auto"/>
          <w:sz w:val="26"/>
          <w:u w:val="none"/>
        </w:rPr>
        <w:t>s</w:t>
      </w:r>
      <w:r w:rsidR="00321A74">
        <w:rPr>
          <w:rStyle w:val="DraftingNote"/>
          <w:b w:val="0"/>
          <w:color w:val="auto"/>
          <w:sz w:val="26"/>
          <w:u w:val="none"/>
        </w:rPr>
        <w:t xml:space="preserve"> </w:t>
      </w:r>
      <w:r w:rsidR="00FF3369">
        <w:rPr>
          <w:rStyle w:val="DraftingNote"/>
          <w:b w:val="0"/>
          <w:color w:val="auto"/>
          <w:sz w:val="26"/>
          <w:u w:val="none"/>
        </w:rPr>
        <w:t>(</w:t>
      </w:r>
      <w:r w:rsidR="00321A74">
        <w:rPr>
          <w:rStyle w:val="DraftingNote"/>
          <w:b w:val="0"/>
          <w:color w:val="auto"/>
          <w:sz w:val="26"/>
          <w:u w:val="none"/>
        </w:rPr>
        <w:t>and encourage</w:t>
      </w:r>
      <w:r w:rsidR="00FF3369">
        <w:rPr>
          <w:rStyle w:val="DraftingNote"/>
          <w:b w:val="0"/>
          <w:color w:val="auto"/>
          <w:sz w:val="26"/>
          <w:u w:val="none"/>
        </w:rPr>
        <w:t>s)</w:t>
      </w:r>
      <w:r w:rsidR="00321A74">
        <w:rPr>
          <w:rStyle w:val="DraftingNote"/>
          <w:b w:val="0"/>
          <w:color w:val="auto"/>
          <w:sz w:val="26"/>
          <w:u w:val="none"/>
        </w:rPr>
        <w:t xml:space="preserve"> the business to provide reliability for a low cost</w:t>
      </w:r>
      <w:r w:rsidR="00FF3369">
        <w:rPr>
          <w:rStyle w:val="DraftingNote"/>
          <w:b w:val="0"/>
          <w:color w:val="auto"/>
          <w:sz w:val="26"/>
          <w:u w:val="none"/>
        </w:rPr>
        <w:t xml:space="preserve">, </w:t>
      </w:r>
      <w:r>
        <w:rPr>
          <w:rStyle w:val="DraftingNote"/>
          <w:b w:val="0"/>
          <w:color w:val="auto"/>
          <w:sz w:val="26"/>
          <w:u w:val="none"/>
        </w:rPr>
        <w:t xml:space="preserve">and </w:t>
      </w:r>
      <w:r w:rsidR="00321A74">
        <w:rPr>
          <w:rStyle w:val="DraftingNote"/>
          <w:b w:val="0"/>
          <w:color w:val="auto"/>
          <w:sz w:val="26"/>
          <w:u w:val="none"/>
        </w:rPr>
        <w:t>at a level that reflects</w:t>
      </w:r>
      <w:r w:rsidR="00FF3369">
        <w:rPr>
          <w:rStyle w:val="DraftingNote"/>
          <w:b w:val="0"/>
          <w:color w:val="auto"/>
          <w:sz w:val="26"/>
          <w:u w:val="none"/>
        </w:rPr>
        <w:t xml:space="preserve"> their</w:t>
      </w:r>
      <w:r w:rsidR="00321A74">
        <w:rPr>
          <w:rStyle w:val="DraftingNote"/>
          <w:b w:val="0"/>
          <w:color w:val="auto"/>
          <w:sz w:val="26"/>
          <w:u w:val="none"/>
        </w:rPr>
        <w:t xml:space="preserve"> </w:t>
      </w:r>
      <w:r w:rsidR="00FF3369">
        <w:rPr>
          <w:rStyle w:val="DraftingNote"/>
          <w:b w:val="0"/>
          <w:color w:val="auto"/>
          <w:sz w:val="26"/>
          <w:u w:val="none"/>
        </w:rPr>
        <w:t>customers’</w:t>
      </w:r>
      <w:r w:rsidR="00321A74">
        <w:rPr>
          <w:rStyle w:val="DraftingNote"/>
          <w:b w:val="0"/>
          <w:color w:val="auto"/>
          <w:sz w:val="26"/>
          <w:u w:val="none"/>
        </w:rPr>
        <w:t xml:space="preserve"> preferences. </w:t>
      </w:r>
      <w:r w:rsidR="003C3BB3">
        <w:t>Th</w:t>
      </w:r>
      <w:r w:rsidR="00E34F6E">
        <w:t xml:space="preserve">ere are </w:t>
      </w:r>
      <w:r w:rsidR="00E34F6E">
        <w:lastRenderedPageBreak/>
        <w:t xml:space="preserve">three main </w:t>
      </w:r>
      <w:r w:rsidR="009C1424">
        <w:t xml:space="preserve">dimensions of cost and </w:t>
      </w:r>
      <w:r w:rsidR="00E34F6E">
        <w:t>inefficiency in reliability standards for distribution networks</w:t>
      </w:r>
      <w:r w:rsidR="00BA13D2">
        <w:t xml:space="preserve"> </w:t>
      </w:r>
      <w:r w:rsidR="00C04DB3">
        <w:t xml:space="preserve">in the </w:t>
      </w:r>
      <w:r w:rsidR="00BA13D2">
        <w:t>NEM</w:t>
      </w:r>
      <w:r w:rsidR="00E34F6E">
        <w:t>:</w:t>
      </w:r>
    </w:p>
    <w:p w:rsidR="00E34F6E" w:rsidRDefault="002A7F92" w:rsidP="00B85376">
      <w:pPr>
        <w:pStyle w:val="ListBullet"/>
      </w:pPr>
      <w:r>
        <w:t>l</w:t>
      </w:r>
      <w:r w:rsidR="00E34F6E">
        <w:t xml:space="preserve">evels of reliability that are too high or </w:t>
      </w:r>
      <w:r w:rsidR="0025626D">
        <w:t xml:space="preserve">too low </w:t>
      </w:r>
      <w:r w:rsidR="009C1424">
        <w:t>will not equate benefits and costs — imposing unnecessary price imposts on customers if too stringent, or resulting in excessive outage related costs if too low</w:t>
      </w:r>
      <w:r w:rsidR="0025626D">
        <w:t xml:space="preserve"> </w:t>
      </w:r>
      <w:r w:rsidR="00E34F6E">
        <w:t>(chapter 1</w:t>
      </w:r>
      <w:r w:rsidR="009C1424">
        <w:t>4</w:t>
      </w:r>
      <w:r w:rsidR="00E34F6E">
        <w:t>)</w:t>
      </w:r>
    </w:p>
    <w:p w:rsidR="00E34F6E" w:rsidRDefault="002A7F92" w:rsidP="00B85376">
      <w:pPr>
        <w:pStyle w:val="ListBullet"/>
      </w:pPr>
      <w:r>
        <w:t>r</w:t>
      </w:r>
      <w:r w:rsidR="009C1424">
        <w:t>estrictions on</w:t>
      </w:r>
      <w:r w:rsidR="00E34F6E">
        <w:t xml:space="preserve"> the way that businesses deliver </w:t>
      </w:r>
      <w:r w:rsidR="009C1424">
        <w:t xml:space="preserve">improved </w:t>
      </w:r>
      <w:r w:rsidR="00E34F6E">
        <w:t xml:space="preserve">reliability can </w:t>
      </w:r>
      <w:r w:rsidR="009C1424">
        <w:t>needlessly</w:t>
      </w:r>
      <w:r w:rsidR="00C04DB3">
        <w:t xml:space="preserve"> increase the costs of providing distribution services to customers </w:t>
      </w:r>
    </w:p>
    <w:p w:rsidR="003C3BB3" w:rsidRDefault="002A7F92" w:rsidP="00B85376">
      <w:pPr>
        <w:pStyle w:val="ListBullet"/>
      </w:pPr>
      <w:r>
        <w:t>i</w:t>
      </w:r>
      <w:r w:rsidR="00B85376">
        <w:t>t</w:t>
      </w:r>
      <w:r w:rsidR="00E34F6E">
        <w:t xml:space="preserve"> is costly to meet and report on reliability performance against standards. </w:t>
      </w:r>
      <w:r w:rsidR="00C34BAF">
        <w:t>Hence</w:t>
      </w:r>
      <w:r w:rsidR="00E34F6E">
        <w:t xml:space="preserve"> standards with </w:t>
      </w:r>
      <w:r w:rsidR="00C34BAF">
        <w:t>duplicative,</w:t>
      </w:r>
      <w:r w:rsidR="00C04DB3">
        <w:t xml:space="preserve"> overlapping </w:t>
      </w:r>
      <w:r w:rsidR="00E55F7A">
        <w:t xml:space="preserve">or different </w:t>
      </w:r>
      <w:r w:rsidR="00E34F6E">
        <w:t xml:space="preserve">reporting requirements </w:t>
      </w:r>
      <w:r w:rsidR="00C34BAF">
        <w:t xml:space="preserve">inflate </w:t>
      </w:r>
      <w:r w:rsidR="00E34F6E">
        <w:t>compliance costs to businesses. These costs increase</w:t>
      </w:r>
      <w:r w:rsidR="00C34BAF">
        <w:t xml:space="preserve"> further</w:t>
      </w:r>
      <w:r w:rsidR="00E34F6E">
        <w:t xml:space="preserve"> if </w:t>
      </w:r>
      <w:r w:rsidR="00C34BAF">
        <w:t xml:space="preserve">applicable </w:t>
      </w:r>
      <w:r w:rsidR="00E34F6E">
        <w:t xml:space="preserve">sets of standards are </w:t>
      </w:r>
      <w:r w:rsidR="00C34BAF">
        <w:t xml:space="preserve">inconsistent </w:t>
      </w:r>
      <w:r w:rsidR="00E34F6E">
        <w:t xml:space="preserve">with each other. </w:t>
      </w:r>
    </w:p>
    <w:p w:rsidR="00717A91" w:rsidRPr="00717A91" w:rsidRDefault="000E0EF8" w:rsidP="00717A91">
      <w:pPr>
        <w:pStyle w:val="BodyText"/>
      </w:pPr>
      <w:r>
        <w:t>T</w:t>
      </w:r>
      <w:r w:rsidR="00717A91">
        <w:t>hese three types of inefficiency provide a framework to assess whether reliability settings for distribution businesses in the NEM are contributing unnecessarily to costs for customers</w:t>
      </w:r>
      <w:r w:rsidR="00F61C7B">
        <w:t>.</w:t>
      </w:r>
      <w:r w:rsidR="00717A91">
        <w:t xml:space="preserve"> </w:t>
      </w:r>
      <w:r w:rsidR="00F61C7B">
        <w:t>T</w:t>
      </w:r>
      <w:r w:rsidR="00304666">
        <w:t>his framework is used</w:t>
      </w:r>
      <w:r w:rsidR="00F61C7B">
        <w:t xml:space="preserve"> below</w:t>
      </w:r>
      <w:r w:rsidR="00304666">
        <w:t xml:space="preserve"> to assess the </w:t>
      </w:r>
      <w:r w:rsidR="00F61C7B">
        <w:t>consequences of different reliability standards applied in the NEM on costs to customers, keeping in mind the role that standards play under incentive regulation — an exercise of regulatory benchmarking. An as</w:t>
      </w:r>
      <w:r w:rsidR="00C34BAF">
        <w:t>sessment is also made of how current</w:t>
      </w:r>
      <w:r w:rsidR="00F61C7B">
        <w:t xml:space="preserve"> standards might hinder</w:t>
      </w:r>
      <w:r w:rsidR="00E27973">
        <w:t>,</w:t>
      </w:r>
      <w:r w:rsidR="00F61C7B">
        <w:t xml:space="preserve"> or facilitate</w:t>
      </w:r>
      <w:r w:rsidR="00E27973">
        <w:t>,</w:t>
      </w:r>
      <w:r w:rsidR="00F61C7B">
        <w:t xml:space="preserve"> benchmarking of</w:t>
      </w:r>
      <w:r w:rsidR="00E27973">
        <w:t xml:space="preserve"> the </w:t>
      </w:r>
      <w:r w:rsidR="00F61C7B">
        <w:t>managerial efficiency of distribution businesses.</w:t>
      </w:r>
    </w:p>
    <w:p w:rsidR="002F5CB9" w:rsidRDefault="002F5CB9" w:rsidP="00795DE2">
      <w:pPr>
        <w:pStyle w:val="Heading3"/>
      </w:pPr>
      <w:r>
        <w:t>Planning standards</w:t>
      </w:r>
    </w:p>
    <w:p w:rsidR="000C12AC" w:rsidRDefault="00C34BAF" w:rsidP="002F54E6">
      <w:pPr>
        <w:pStyle w:val="BodyText"/>
      </w:pPr>
      <w:r>
        <w:t>In New South Wales, d</w:t>
      </w:r>
      <w:r w:rsidR="002F5CB9">
        <w:t>istribution businesses must comply with deterministic plannin</w:t>
      </w:r>
      <w:r w:rsidR="00A25524">
        <w:t>g standards</w:t>
      </w:r>
      <w:r w:rsidR="00C04DB3">
        <w:t>,</w:t>
      </w:r>
      <w:r w:rsidR="00A25524">
        <w:t xml:space="preserve"> </w:t>
      </w:r>
      <w:r w:rsidR="00EE7E41">
        <w:t xml:space="preserve">which are </w:t>
      </w:r>
      <w:r w:rsidR="00A25524">
        <w:t>set out in the businesses’ licen</w:t>
      </w:r>
      <w:r w:rsidR="0058789F">
        <w:t>ce conditions</w:t>
      </w:r>
      <w:r w:rsidR="00194CE3">
        <w:t xml:space="preserve"> (</w:t>
      </w:r>
      <w:r w:rsidR="00F61C7B">
        <w:t xml:space="preserve">a description of deterministic standards in the context of transmission networks is contained in </w:t>
      </w:r>
      <w:r w:rsidR="00194CE3">
        <w:t>box </w:t>
      </w:r>
      <w:r w:rsidR="00FF4C6F">
        <w:t>1</w:t>
      </w:r>
      <w:r w:rsidR="000E31B2">
        <w:t>5</w:t>
      </w:r>
      <w:r w:rsidR="00FF4C6F">
        <w:t>.2</w:t>
      </w:r>
      <w:r w:rsidR="00194CE3">
        <w:t>)</w:t>
      </w:r>
      <w:r w:rsidR="0058789F">
        <w:t>. The standards were</w:t>
      </w:r>
      <w:r>
        <w:t xml:space="preserve"> introduced</w:t>
      </w:r>
      <w:r w:rsidR="00A25524">
        <w:t xml:space="preserve"> </w:t>
      </w:r>
      <w:r w:rsidR="0058789F">
        <w:t>in 2005</w:t>
      </w:r>
      <w:r w:rsidR="00A25524">
        <w:t xml:space="preserve"> by the</w:t>
      </w:r>
      <w:r w:rsidR="00C04DB3">
        <w:t xml:space="preserve"> New South Wales</w:t>
      </w:r>
      <w:r w:rsidR="00A25524">
        <w:t xml:space="preserve"> Minster for Energy</w:t>
      </w:r>
      <w:r w:rsidR="0058789F">
        <w:t>. Before then, businesses were responsible for determining the appropriate level of reliability (AEMC 2012</w:t>
      </w:r>
      <w:r w:rsidR="00EF3128">
        <w:t>i</w:t>
      </w:r>
      <w:r w:rsidR="0058789F">
        <w:t>).</w:t>
      </w:r>
      <w:r w:rsidR="00A25524">
        <w:t xml:space="preserve"> </w:t>
      </w:r>
      <w:r w:rsidR="0058789F">
        <w:t xml:space="preserve">These higher planning standards have been one of the main drivers of increases in capital expenditure by </w:t>
      </w:r>
      <w:r w:rsidR="00C04DB3">
        <w:t xml:space="preserve">New South Wales </w:t>
      </w:r>
      <w:r w:rsidR="0058789F">
        <w:t>distribution businesses and in cus</w:t>
      </w:r>
      <w:r w:rsidR="00BA13D2">
        <w:t>tomer bills (Brattle Group</w:t>
      </w:r>
      <w:r w:rsidR="0058789F">
        <w:t xml:space="preserve"> 2012</w:t>
      </w:r>
      <w:r w:rsidR="001F1376">
        <w:t>a</w:t>
      </w:r>
      <w:r w:rsidR="0058789F">
        <w:t xml:space="preserve">). </w:t>
      </w:r>
    </w:p>
    <w:p w:rsidR="00F67A54" w:rsidRDefault="00F67A54" w:rsidP="002F5CB9">
      <w:pPr>
        <w:pStyle w:val="BodyText"/>
      </w:pPr>
      <w:r>
        <w:t>Although b</w:t>
      </w:r>
      <w:r w:rsidR="0058789F">
        <w:t>usinesses in</w:t>
      </w:r>
      <w:r w:rsidR="002F54E6">
        <w:t xml:space="preserve"> other</w:t>
      </w:r>
      <w:r w:rsidR="002F5CB9">
        <w:t xml:space="preserve"> </w:t>
      </w:r>
      <w:r>
        <w:t xml:space="preserve">states and territories </w:t>
      </w:r>
      <w:r w:rsidR="002F5CB9">
        <w:t xml:space="preserve">use deterministic standards to some extent, </w:t>
      </w:r>
      <w:r>
        <w:t>they</w:t>
      </w:r>
      <w:r w:rsidR="000E1BA6">
        <w:t xml:space="preserve"> </w:t>
      </w:r>
      <w:r w:rsidR="002F54E6">
        <w:t>have</w:t>
      </w:r>
      <w:r w:rsidR="002F5CB9">
        <w:t xml:space="preserve"> </w:t>
      </w:r>
      <w:r w:rsidR="00E55F7A">
        <w:t xml:space="preserve">more </w:t>
      </w:r>
      <w:r w:rsidR="002F5CB9">
        <w:t xml:space="preserve">discretion in the way they are used and the levels at which they are set. </w:t>
      </w:r>
      <w:r w:rsidR="00E27973">
        <w:t xml:space="preserve">In Queensland, </w:t>
      </w:r>
      <w:r w:rsidR="002F54E6">
        <w:t xml:space="preserve">Energex and Ergon Energy use explicit deterministic standards to plan their networks. </w:t>
      </w:r>
      <w:r w:rsidR="000E041C">
        <w:t xml:space="preserve">SA Power Networks sets deterministic standards to help it meet the performance targets set by ESCOSA and the reliability requirements set out in the </w:t>
      </w:r>
      <w:r w:rsidR="00BD6560">
        <w:t xml:space="preserve">South Australian Electricity Distribution Code. The </w:t>
      </w:r>
      <w:r w:rsidR="00E55F7A">
        <w:t xml:space="preserve">deterministic </w:t>
      </w:r>
      <w:r w:rsidR="00BD6560">
        <w:t>standards, however, are not strict</w:t>
      </w:r>
      <w:r w:rsidR="00E27973">
        <w:t>,</w:t>
      </w:r>
      <w:r w:rsidR="00BD6560">
        <w:t xml:space="preserve"> and investments are </w:t>
      </w:r>
      <w:r w:rsidR="00BD6560">
        <w:lastRenderedPageBreak/>
        <w:t>deferred when the risk</w:t>
      </w:r>
      <w:r w:rsidR="00EE7E41">
        <w:t xml:space="preserve"> of contingencies</w:t>
      </w:r>
      <w:r w:rsidR="00BD6560">
        <w:t xml:space="preserve"> can be dealt with using other operational actions</w:t>
      </w:r>
      <w:r w:rsidR="0025626D">
        <w:t xml:space="preserve"> </w:t>
      </w:r>
      <w:r w:rsidR="00A25524">
        <w:t>(ETSA Utilities 2012</w:t>
      </w:r>
      <w:r w:rsidR="00866172">
        <w:t>b</w:t>
      </w:r>
      <w:r w:rsidR="00A25524">
        <w:t>, p. 7)</w:t>
      </w:r>
      <w:r w:rsidR="00BD6560">
        <w:t>.</w:t>
      </w:r>
      <w:r w:rsidR="00E27973">
        <w:rPr>
          <w:rStyle w:val="FootnoteReference"/>
        </w:rPr>
        <w:footnoteReference w:id="3"/>
      </w:r>
      <w:r w:rsidR="00BD6560">
        <w:t xml:space="preserve"> </w:t>
      </w:r>
    </w:p>
    <w:p w:rsidR="0058789F" w:rsidRDefault="00484D9A" w:rsidP="002F5CB9">
      <w:pPr>
        <w:pStyle w:val="BodyText"/>
      </w:pPr>
      <w:r>
        <w:t xml:space="preserve">In Victoria, CitiPower and Powercor Australia use deterministic standards for small, localised upgrades (CitiPower and Powercor 2012, p. 2). </w:t>
      </w:r>
      <w:r w:rsidR="00403909">
        <w:t xml:space="preserve">The </w:t>
      </w:r>
      <w:r w:rsidR="00824969">
        <w:t xml:space="preserve">Victorian </w:t>
      </w:r>
      <w:r w:rsidR="00403909">
        <w:t>Electricity Distri</w:t>
      </w:r>
      <w:r w:rsidR="00824969">
        <w:t>bution Code specifies that b</w:t>
      </w:r>
      <w:r w:rsidR="00403909">
        <w:t xml:space="preserve">usinesses </w:t>
      </w:r>
      <w:r w:rsidR="00824969">
        <w:t xml:space="preserve">must </w:t>
      </w:r>
      <w:r w:rsidR="00403909">
        <w:t>develop plans to ensure reliability</w:t>
      </w:r>
      <w:r w:rsidR="00824969">
        <w:t xml:space="preserve"> is delivered with consideration of high cost, low probability events. </w:t>
      </w:r>
      <w:r w:rsidR="00403909">
        <w:t>Mostly, distribution businesses in Victoria use probabilistic planning when making their planning decisions</w:t>
      </w:r>
      <w:r w:rsidR="00A54D76">
        <w:t xml:space="preserve"> (</w:t>
      </w:r>
      <w:r w:rsidR="000C12AC">
        <w:t xml:space="preserve">the probabilistic process they use is similar to that used by AEMO for transmission in Victoria and is described in </w:t>
      </w:r>
      <w:r w:rsidR="00A54D76">
        <w:t>box </w:t>
      </w:r>
      <w:r w:rsidR="00FF4C6F">
        <w:t>1</w:t>
      </w:r>
      <w:r w:rsidR="000E31B2">
        <w:t>5</w:t>
      </w:r>
      <w:r w:rsidR="00FF4C6F">
        <w:t>.</w:t>
      </w:r>
      <w:r w:rsidR="000C12AC">
        <w:t>4</w:t>
      </w:r>
      <w:r w:rsidR="00A54D76">
        <w:t>)</w:t>
      </w:r>
      <w:r w:rsidR="00403909">
        <w:t xml:space="preserve">. </w:t>
      </w:r>
    </w:p>
    <w:p w:rsidR="0083060A" w:rsidRDefault="00C34BAF" w:rsidP="0083060A">
      <w:pPr>
        <w:pStyle w:val="Heading4"/>
      </w:pPr>
      <w:r>
        <w:t>Consequences for efficiency</w:t>
      </w:r>
    </w:p>
    <w:p w:rsidR="000E1BA6" w:rsidRDefault="000E1BA6" w:rsidP="000E1BA6">
      <w:pPr>
        <w:pStyle w:val="BodyText"/>
      </w:pPr>
      <w:r>
        <w:t xml:space="preserve">Distribution businesses </w:t>
      </w:r>
      <w:r w:rsidR="00F67A54">
        <w:t>that are required to comply with</w:t>
      </w:r>
      <w:r>
        <w:t xml:space="preserve"> higher </w:t>
      </w:r>
      <w:r w:rsidR="00C74195">
        <w:t xml:space="preserve">deterministic </w:t>
      </w:r>
      <w:r>
        <w:t xml:space="preserve">planning standards will </w:t>
      </w:r>
      <w:r w:rsidR="00F67A54">
        <w:t xml:space="preserve">generally </w:t>
      </w:r>
      <w:r>
        <w:t>have higher capital expenditure, and this would need to be accounted for</w:t>
      </w:r>
      <w:r w:rsidR="00E27973">
        <w:t>,</w:t>
      </w:r>
      <w:r>
        <w:t xml:space="preserve"> as far as possible, in any benchmarking exercise.</w:t>
      </w:r>
    </w:p>
    <w:p w:rsidR="00D022CE" w:rsidRDefault="00B07BCE" w:rsidP="00B07BCE">
      <w:pPr>
        <w:pStyle w:val="BodyText"/>
      </w:pPr>
      <w:r>
        <w:t xml:space="preserve">There are </w:t>
      </w:r>
      <w:r w:rsidR="000E1BA6">
        <w:t xml:space="preserve">also </w:t>
      </w:r>
      <w:r>
        <w:t xml:space="preserve">costs </w:t>
      </w:r>
      <w:r w:rsidR="00F67A54">
        <w:t>in</w:t>
      </w:r>
      <w:r>
        <w:t xml:space="preserve"> specifying how a distrib</w:t>
      </w:r>
      <w:r w:rsidR="002E131D">
        <w:t>ution business should plan its</w:t>
      </w:r>
      <w:r>
        <w:t xml:space="preserve"> network</w:t>
      </w:r>
      <w:r w:rsidR="00C74195">
        <w:t xml:space="preserve"> in regard to meeting reliability standards</w:t>
      </w:r>
      <w:r>
        <w:t xml:space="preserve">. These costs arise from the substitutability between </w:t>
      </w:r>
      <w:r w:rsidR="00F67A54">
        <w:t xml:space="preserve">reliability </w:t>
      </w:r>
      <w:r>
        <w:t xml:space="preserve">‘inputs’. </w:t>
      </w:r>
      <w:r w:rsidR="00663799">
        <w:t xml:space="preserve">For a given level of reliability, the lowest cost combination of inputs (redundancy, </w:t>
      </w:r>
      <w:r w:rsidR="009D76CF">
        <w:t>maintenance, operational flexibility</w:t>
      </w:r>
      <w:r w:rsidR="00B6500C">
        <w:t>,</w:t>
      </w:r>
      <w:r w:rsidR="002565B0">
        <w:t xml:space="preserve"> and others) is</w:t>
      </w:r>
      <w:r w:rsidR="009D76CF">
        <w:t xml:space="preserve"> different from one business to the next and even within a busi</w:t>
      </w:r>
      <w:r w:rsidR="002E131D">
        <w:t>ness over time</w:t>
      </w:r>
      <w:r w:rsidR="009D76CF">
        <w:t xml:space="preserve">. </w:t>
      </w:r>
      <w:r w:rsidR="00D022CE">
        <w:t>According to Jamasb et al. (2010)</w:t>
      </w:r>
      <w:r w:rsidR="00B6500C">
        <w:t>:</w:t>
      </w:r>
    </w:p>
    <w:p w:rsidR="00D022CE" w:rsidRDefault="00D022CE" w:rsidP="00D022CE">
      <w:pPr>
        <w:pStyle w:val="Quote"/>
      </w:pPr>
      <w:r>
        <w:t>Due to the presence of possible trade-offs between Opex and Capex … utilities might adopt different strategies to combine operating and capital inputs to improve service quality</w:t>
      </w:r>
      <w:r w:rsidR="00244084">
        <w:t>.</w:t>
      </w:r>
      <w:r>
        <w:t xml:space="preserve"> (p. 5) </w:t>
      </w:r>
    </w:p>
    <w:p w:rsidR="00B07BCE" w:rsidRDefault="00C74195" w:rsidP="00B07BCE">
      <w:pPr>
        <w:pStyle w:val="BodyText"/>
      </w:pPr>
      <w:r>
        <w:t>Deterministic p</w:t>
      </w:r>
      <w:r w:rsidR="009D76CF">
        <w:t>lanning sta</w:t>
      </w:r>
      <w:r w:rsidR="002E131D">
        <w:t xml:space="preserve">ndards </w:t>
      </w:r>
      <w:r w:rsidR="00BD4851">
        <w:t xml:space="preserve">therefore </w:t>
      </w:r>
      <w:r w:rsidR="002E131D">
        <w:t>reduce the flexibility of</w:t>
      </w:r>
      <w:r w:rsidR="009D76CF">
        <w:t xml:space="preserve"> a busines</w:t>
      </w:r>
      <w:r w:rsidR="002E131D">
        <w:t>s to find the most efficient input mix</w:t>
      </w:r>
      <w:r w:rsidR="009D76CF">
        <w:t xml:space="preserve"> to ensure reliability. </w:t>
      </w:r>
    </w:p>
    <w:p w:rsidR="00B07BCE" w:rsidRPr="0025626D" w:rsidRDefault="00B07BCE" w:rsidP="0025626D">
      <w:pPr>
        <w:pStyle w:val="BodyText"/>
        <w:rPr>
          <w:rStyle w:val="DraftingNote"/>
          <w:b w:val="0"/>
          <w:color w:val="auto"/>
          <w:sz w:val="26"/>
          <w:u w:val="none"/>
        </w:rPr>
      </w:pPr>
      <w:r>
        <w:t>The</w:t>
      </w:r>
      <w:r w:rsidR="002565B0">
        <w:t>re are</w:t>
      </w:r>
      <w:r w:rsidR="00585699">
        <w:t>,</w:t>
      </w:r>
      <w:r w:rsidR="002565B0">
        <w:t xml:space="preserve"> </w:t>
      </w:r>
      <w:r w:rsidR="00C74195">
        <w:t>however</w:t>
      </w:r>
      <w:r w:rsidR="00585699">
        <w:t>,</w:t>
      </w:r>
      <w:r w:rsidR="00C74195">
        <w:t xml:space="preserve"> </w:t>
      </w:r>
      <w:r w:rsidR="000E1BA6">
        <w:t xml:space="preserve">some </w:t>
      </w:r>
      <w:r w:rsidR="00F67A54">
        <w:t>b</w:t>
      </w:r>
      <w:r w:rsidR="002565B0">
        <w:t>enefits of</w:t>
      </w:r>
      <w:r>
        <w:t xml:space="preserve"> setting deterministic planning standar</w:t>
      </w:r>
      <w:r w:rsidR="002565B0">
        <w:t xml:space="preserve">ds for distribution businesses. Requiring a distribution business to maintain a </w:t>
      </w:r>
      <w:r>
        <w:t xml:space="preserve">level of redundancy </w:t>
      </w:r>
      <w:r w:rsidR="002565B0">
        <w:t xml:space="preserve">ensures that the business does not defer augmentations that are needed to maintain reliability in order to </w:t>
      </w:r>
      <w:r w:rsidR="00E27973">
        <w:t xml:space="preserve">reduce </w:t>
      </w:r>
      <w:r w:rsidR="002565B0">
        <w:t>costs</w:t>
      </w:r>
      <w:r w:rsidR="000E1BA6">
        <w:t xml:space="preserve"> under incentive regulation</w:t>
      </w:r>
      <w:r w:rsidR="002565B0">
        <w:t>.</w:t>
      </w:r>
      <w:r>
        <w:t xml:space="preserve"> </w:t>
      </w:r>
      <w:r w:rsidR="00F93DB6">
        <w:t>These benefits l</w:t>
      </w:r>
      <w:r w:rsidR="0025626D">
        <w:t>argely drove the recommendation for the use of deterministic standards in Queensland as described in the</w:t>
      </w:r>
      <w:r w:rsidR="00F93DB6">
        <w:t xml:space="preserve"> Somerville report (2004)</w:t>
      </w:r>
      <w:r w:rsidR="002565B0">
        <w:t xml:space="preserve">, </w:t>
      </w:r>
      <w:r w:rsidR="0025626D">
        <w:t>which included</w:t>
      </w:r>
      <w:r w:rsidR="00F93DB6">
        <w:t xml:space="preserve"> </w:t>
      </w:r>
      <w:r w:rsidR="00F67A54">
        <w:t xml:space="preserve">the recommendation </w:t>
      </w:r>
      <w:r w:rsidR="00F93DB6">
        <w:t>that distribution businesses in Queensland adopt determ</w:t>
      </w:r>
      <w:r w:rsidR="0025626D">
        <w:t xml:space="preserve">inistic </w:t>
      </w:r>
      <w:r w:rsidR="0025626D">
        <w:lastRenderedPageBreak/>
        <w:t>standards of the form N</w:t>
      </w:r>
      <w:r w:rsidR="0025626D">
        <w:noBreakHyphen/>
      </w:r>
      <w:r w:rsidR="00F93DB6">
        <w:t>1</w:t>
      </w:r>
      <w:r w:rsidR="00197F95">
        <w:t xml:space="preserve"> (box 15.4)</w:t>
      </w:r>
      <w:r w:rsidR="00F93DB6">
        <w:t>.</w:t>
      </w:r>
      <w:r w:rsidR="00E27973">
        <w:rPr>
          <w:rStyle w:val="FootnoteReference"/>
        </w:rPr>
        <w:footnoteReference w:id="4"/>
      </w:r>
      <w:r w:rsidR="00F93DB6">
        <w:t xml:space="preserve"> </w:t>
      </w:r>
      <w:r w:rsidR="00F93DB6" w:rsidRPr="00F93DB6">
        <w:t>Th</w:t>
      </w:r>
      <w:r w:rsidR="00F93DB6">
        <w:t xml:space="preserve">ese standards, however, have imposed high costs on Energex and Ergon Energy and it is not clear that the </w:t>
      </w:r>
      <w:r w:rsidR="00C74195">
        <w:t xml:space="preserve">resulting </w:t>
      </w:r>
      <w:r w:rsidR="00F93DB6">
        <w:t xml:space="preserve">increased levels of reliability are </w:t>
      </w:r>
      <w:r w:rsidR="001D2E81">
        <w:t>adequately</w:t>
      </w:r>
      <w:r w:rsidR="00F67A54">
        <w:t xml:space="preserve"> </w:t>
      </w:r>
      <w:r w:rsidR="00F93DB6">
        <w:t>valued by</w:t>
      </w:r>
      <w:r w:rsidR="00F67A54">
        <w:t xml:space="preserve"> </w:t>
      </w:r>
      <w:r w:rsidR="00F93DB6">
        <w:t xml:space="preserve">customers. Both </w:t>
      </w:r>
      <w:r w:rsidR="00C74195">
        <w:t xml:space="preserve">distribution </w:t>
      </w:r>
      <w:r w:rsidR="00F93DB6">
        <w:t>businesses have recently suggested that the deterministic standards be scaled back</w:t>
      </w:r>
      <w:r w:rsidR="00E27973">
        <w:t>,</w:t>
      </w:r>
      <w:r w:rsidR="00F93DB6">
        <w:t xml:space="preserve"> with ensuing </w:t>
      </w:r>
      <w:r w:rsidR="00F93DB6" w:rsidRPr="0025626D">
        <w:t xml:space="preserve">cost savings </w:t>
      </w:r>
      <w:r w:rsidR="001D2E81" w:rsidRPr="0025626D">
        <w:t>of $505 million in the current regulatory period (Somerville 2011, p. 74).</w:t>
      </w:r>
      <w:r w:rsidR="00F93DB6" w:rsidRPr="0025626D">
        <w:t xml:space="preserve"> </w:t>
      </w:r>
    </w:p>
    <w:p w:rsidR="00F93DB6" w:rsidRPr="00964C1C" w:rsidRDefault="00964C1C" w:rsidP="0025626D">
      <w:pPr>
        <w:pStyle w:val="BodyText"/>
        <w:rPr>
          <w:rStyle w:val="DraftingNote"/>
          <w:b w:val="0"/>
          <w:color w:val="auto"/>
          <w:sz w:val="26"/>
          <w:u w:val="none"/>
        </w:rPr>
      </w:pPr>
      <w:r w:rsidRPr="0025626D">
        <w:rPr>
          <w:rStyle w:val="DraftingNote"/>
          <w:b w:val="0"/>
          <w:color w:val="auto"/>
          <w:sz w:val="26"/>
          <w:u w:val="none"/>
        </w:rPr>
        <w:t xml:space="preserve">Customers </w:t>
      </w:r>
      <w:r w:rsidR="00B6500C">
        <w:rPr>
          <w:rStyle w:val="DraftingNote"/>
          <w:b w:val="0"/>
          <w:color w:val="auto"/>
          <w:sz w:val="26"/>
          <w:u w:val="none"/>
        </w:rPr>
        <w:t>would</w:t>
      </w:r>
      <w:r w:rsidRPr="0025626D">
        <w:rPr>
          <w:rStyle w:val="DraftingNote"/>
          <w:b w:val="0"/>
          <w:color w:val="auto"/>
          <w:sz w:val="26"/>
          <w:u w:val="none"/>
        </w:rPr>
        <w:t xml:space="preserve"> only </w:t>
      </w:r>
      <w:r w:rsidR="00B6500C">
        <w:rPr>
          <w:rStyle w:val="DraftingNote"/>
          <w:b w:val="0"/>
          <w:color w:val="auto"/>
          <w:sz w:val="26"/>
          <w:u w:val="none"/>
        </w:rPr>
        <w:t xml:space="preserve">be </w:t>
      </w:r>
      <w:r w:rsidRPr="0025626D">
        <w:rPr>
          <w:rStyle w:val="DraftingNote"/>
          <w:b w:val="0"/>
          <w:color w:val="auto"/>
          <w:sz w:val="26"/>
          <w:u w:val="none"/>
        </w:rPr>
        <w:t xml:space="preserve">willing to pay for augmentations to a distribution network to meet deterministic standards if they value the increasing reliability more than the </w:t>
      </w:r>
      <w:r w:rsidR="001C3BD9" w:rsidRPr="0025626D">
        <w:rPr>
          <w:rStyle w:val="DraftingNote"/>
          <w:b w:val="0"/>
          <w:color w:val="auto"/>
          <w:sz w:val="26"/>
          <w:u w:val="none"/>
        </w:rPr>
        <w:t xml:space="preserve">price increases arising from the </w:t>
      </w:r>
      <w:r w:rsidRPr="0025626D">
        <w:rPr>
          <w:rStyle w:val="DraftingNote"/>
          <w:b w:val="0"/>
          <w:color w:val="auto"/>
          <w:sz w:val="26"/>
          <w:u w:val="none"/>
        </w:rPr>
        <w:t xml:space="preserve">cost of the </w:t>
      </w:r>
      <w:r w:rsidR="001C3BD9" w:rsidRPr="0025626D">
        <w:rPr>
          <w:rStyle w:val="DraftingNote"/>
          <w:b w:val="0"/>
          <w:color w:val="auto"/>
          <w:sz w:val="26"/>
          <w:u w:val="none"/>
        </w:rPr>
        <w:t>required</w:t>
      </w:r>
      <w:r w:rsidR="001C3BD9">
        <w:rPr>
          <w:rStyle w:val="DraftingNote"/>
          <w:b w:val="0"/>
          <w:color w:val="auto"/>
          <w:sz w:val="26"/>
          <w:u w:val="none"/>
        </w:rPr>
        <w:t xml:space="preserve"> </w:t>
      </w:r>
      <w:r>
        <w:rPr>
          <w:rStyle w:val="DraftingNote"/>
          <w:b w:val="0"/>
          <w:color w:val="auto"/>
          <w:sz w:val="26"/>
          <w:u w:val="none"/>
        </w:rPr>
        <w:t>investments</w:t>
      </w:r>
      <w:r w:rsidR="00585699">
        <w:rPr>
          <w:rStyle w:val="DraftingNote"/>
          <w:b w:val="0"/>
          <w:color w:val="auto"/>
          <w:sz w:val="26"/>
          <w:u w:val="none"/>
        </w:rPr>
        <w:t xml:space="preserve"> (chapter 14</w:t>
      </w:r>
      <w:r w:rsidR="0025626D">
        <w:rPr>
          <w:rStyle w:val="DraftingNote"/>
          <w:b w:val="0"/>
          <w:color w:val="auto"/>
          <w:sz w:val="26"/>
          <w:u w:val="none"/>
        </w:rPr>
        <w:t>)</w:t>
      </w:r>
      <w:r>
        <w:rPr>
          <w:rStyle w:val="DraftingNote"/>
          <w:b w:val="0"/>
          <w:color w:val="auto"/>
          <w:sz w:val="26"/>
          <w:u w:val="none"/>
        </w:rPr>
        <w:t xml:space="preserve">. There is little evidence to suggest that the deterministic standards </w:t>
      </w:r>
      <w:r w:rsidR="00FE77AC">
        <w:rPr>
          <w:rStyle w:val="DraftingNote"/>
          <w:b w:val="0"/>
          <w:color w:val="auto"/>
          <w:sz w:val="26"/>
          <w:u w:val="none"/>
        </w:rPr>
        <w:t>applied in New South Wales and Queensland are</w:t>
      </w:r>
      <w:r>
        <w:rPr>
          <w:rStyle w:val="DraftingNote"/>
          <w:b w:val="0"/>
          <w:color w:val="auto"/>
          <w:sz w:val="26"/>
          <w:u w:val="none"/>
        </w:rPr>
        <w:t xml:space="preserve"> the result of an analysis of customer value of reliability</w:t>
      </w:r>
      <w:r w:rsidR="00B80312">
        <w:rPr>
          <w:rStyle w:val="DraftingNote"/>
          <w:b w:val="0"/>
          <w:color w:val="auto"/>
          <w:sz w:val="26"/>
          <w:u w:val="none"/>
        </w:rPr>
        <w:t xml:space="preserve"> and consequently, t</w:t>
      </w:r>
      <w:r>
        <w:rPr>
          <w:rStyle w:val="DraftingNote"/>
          <w:b w:val="0"/>
          <w:color w:val="auto"/>
          <w:sz w:val="26"/>
          <w:u w:val="none"/>
        </w:rPr>
        <w:t>he likelihood o</w:t>
      </w:r>
      <w:r w:rsidR="0025626D">
        <w:rPr>
          <w:rStyle w:val="DraftingNote"/>
          <w:b w:val="0"/>
          <w:color w:val="auto"/>
          <w:sz w:val="26"/>
          <w:u w:val="none"/>
        </w:rPr>
        <w:t>f th</w:t>
      </w:r>
      <w:r w:rsidR="005210E0">
        <w:rPr>
          <w:rStyle w:val="DraftingNote"/>
          <w:b w:val="0"/>
          <w:color w:val="auto"/>
          <w:sz w:val="26"/>
          <w:u w:val="none"/>
        </w:rPr>
        <w:t>ose</w:t>
      </w:r>
      <w:r w:rsidR="0025626D">
        <w:rPr>
          <w:rStyle w:val="DraftingNote"/>
          <w:b w:val="0"/>
          <w:color w:val="auto"/>
          <w:sz w:val="26"/>
          <w:u w:val="none"/>
        </w:rPr>
        <w:t xml:space="preserve"> standards being efficient</w:t>
      </w:r>
      <w:r>
        <w:rPr>
          <w:rStyle w:val="DraftingNote"/>
          <w:b w:val="0"/>
          <w:color w:val="auto"/>
          <w:sz w:val="26"/>
          <w:u w:val="none"/>
        </w:rPr>
        <w:t xml:space="preserve"> is low. </w:t>
      </w:r>
    </w:p>
    <w:p w:rsidR="00964C1C" w:rsidRDefault="00964C1C" w:rsidP="00B07BCE">
      <w:pPr>
        <w:pStyle w:val="BodyText"/>
      </w:pPr>
      <w:r>
        <w:t xml:space="preserve">While this type of inefficiency is less likely to exist </w:t>
      </w:r>
      <w:r w:rsidR="008F7B6F">
        <w:t xml:space="preserve">for </w:t>
      </w:r>
      <w:r w:rsidR="00C74195">
        <w:t xml:space="preserve">distribution </w:t>
      </w:r>
      <w:r w:rsidR="008F7B6F">
        <w:t xml:space="preserve">businesses </w:t>
      </w:r>
      <w:r>
        <w:t>that use probabilistic planning (</w:t>
      </w:r>
      <w:r w:rsidR="005210E0">
        <w:t>as it</w:t>
      </w:r>
      <w:r w:rsidR="00B6500C">
        <w:t xml:space="preserve"> </w:t>
      </w:r>
      <w:r w:rsidR="005210E0">
        <w:t xml:space="preserve">uses </w:t>
      </w:r>
      <w:r>
        <w:t>a cost-benefi</w:t>
      </w:r>
      <w:r w:rsidR="002565B0">
        <w:t>t framework), there are costs attached to</w:t>
      </w:r>
      <w:r>
        <w:t xml:space="preserve"> undertaking a full probabilistic assessment every time a constraint emerges on a distribution network. </w:t>
      </w:r>
    </w:p>
    <w:p w:rsidR="00795DE2" w:rsidRDefault="0083060A" w:rsidP="00795DE2">
      <w:pPr>
        <w:pStyle w:val="Heading3"/>
      </w:pPr>
      <w:r>
        <w:t>Jurisdiction</w:t>
      </w:r>
      <w:r w:rsidR="001C3BD9">
        <w:t>-</w:t>
      </w:r>
      <w:r>
        <w:t>specific p</w:t>
      </w:r>
      <w:r w:rsidR="00795DE2">
        <w:t>erformance standards</w:t>
      </w:r>
    </w:p>
    <w:p w:rsidR="00795DE2" w:rsidRDefault="00795DE2" w:rsidP="00795DE2">
      <w:pPr>
        <w:pStyle w:val="BodyText"/>
      </w:pPr>
      <w:r>
        <w:t>Distribution businesses are required to meet performance standards set at the jurisdictional level</w:t>
      </w:r>
      <w:r w:rsidR="001D383D">
        <w:t>,</w:t>
      </w:r>
      <w:r>
        <w:t xml:space="preserve"> and at the national level through the </w:t>
      </w:r>
      <w:r w:rsidR="00C74195">
        <w:t xml:space="preserve">AER’s </w:t>
      </w:r>
      <w:r>
        <w:t xml:space="preserve">STPIS. </w:t>
      </w:r>
      <w:r w:rsidR="001D383D">
        <w:t xml:space="preserve">Distribution businesses in Queensland, Tasmania, South </w:t>
      </w:r>
      <w:r w:rsidR="00484D9A">
        <w:t>Australia,</w:t>
      </w:r>
      <w:r w:rsidR="001D383D">
        <w:t xml:space="preserve"> and Victoria are currently operating under the STPIS. In </w:t>
      </w:r>
      <w:r w:rsidR="00EE7E41">
        <w:t>Queenslan</w:t>
      </w:r>
      <w:r w:rsidR="001D383D">
        <w:t>d, Tasmania and South Australia</w:t>
      </w:r>
      <w:r w:rsidR="00CA79A7">
        <w:t xml:space="preserve">, </w:t>
      </w:r>
      <w:r w:rsidR="00EE7E41">
        <w:t>state governments and regulators</w:t>
      </w:r>
      <w:r w:rsidR="00CA79A7">
        <w:t xml:space="preserve"> </w:t>
      </w:r>
      <w:r w:rsidR="001D383D">
        <w:t xml:space="preserve">also </w:t>
      </w:r>
      <w:r w:rsidR="00CA79A7">
        <w:t xml:space="preserve">apply different and additional performance targets to distribution businesses. </w:t>
      </w:r>
      <w:r w:rsidR="001D383D">
        <w:t xml:space="preserve">In </w:t>
      </w:r>
      <w:r w:rsidR="00CA79A7">
        <w:t>Victoria</w:t>
      </w:r>
      <w:r w:rsidR="001D383D">
        <w:t>, distribution businesses are required under the Victorian</w:t>
      </w:r>
      <w:r w:rsidR="00B03B34">
        <w:t xml:space="preserve"> Electricity Distribution Code </w:t>
      </w:r>
      <w:r w:rsidR="001D383D">
        <w:t>to set thei</w:t>
      </w:r>
      <w:r w:rsidR="00CA79A7">
        <w:t>r own SAIDI and SAIFI targets but all of the businesses have</w:t>
      </w:r>
      <w:r w:rsidR="00912445">
        <w:t xml:space="preserve"> currently</w:t>
      </w:r>
      <w:r w:rsidR="00CA79A7">
        <w:t xml:space="preserve"> chosen to adopt the STPIS targets set by the AER. </w:t>
      </w:r>
      <w:r w:rsidR="00C5013F">
        <w:t xml:space="preserve">In this way, distribution businesses in Victoria are not subject to additional jurisdiction based standards. </w:t>
      </w:r>
      <w:r w:rsidR="00CA79A7">
        <w:t>Whether the jurisdictional standards in New So</w:t>
      </w:r>
      <w:r w:rsidR="00912445">
        <w:t xml:space="preserve">uth Wales </w:t>
      </w:r>
      <w:r w:rsidR="00CA79A7">
        <w:t xml:space="preserve">and </w:t>
      </w:r>
      <w:r w:rsidR="00912445">
        <w:t xml:space="preserve">the </w:t>
      </w:r>
      <w:r w:rsidR="00CA79A7">
        <w:t xml:space="preserve">ACT will </w:t>
      </w:r>
      <w:r w:rsidR="009F693A">
        <w:t xml:space="preserve">continue to apply in addition to the STPIS will </w:t>
      </w:r>
      <w:r w:rsidR="00CA79A7">
        <w:t>be determined when the STPIS comes into force in 2014 and 2015</w:t>
      </w:r>
      <w:r w:rsidR="008F7B6F">
        <w:t>,</w:t>
      </w:r>
      <w:r w:rsidR="00CA79A7">
        <w:t xml:space="preserve"> respectively. </w:t>
      </w:r>
    </w:p>
    <w:p w:rsidR="00E0149A" w:rsidRDefault="00E0149A" w:rsidP="00E0149A">
      <w:pPr>
        <w:pStyle w:val="BodyText"/>
      </w:pPr>
      <w:r>
        <w:t>Performance standards are set most commonly using SAIDI and SAIFI performance indicators</w:t>
      </w:r>
      <w:r w:rsidR="00585699">
        <w:t xml:space="preserve"> (for example, table 16</w:t>
      </w:r>
      <w:r w:rsidR="00EB2419">
        <w:t>.2</w:t>
      </w:r>
      <w:r w:rsidR="0025626D">
        <w:t>)</w:t>
      </w:r>
      <w:r>
        <w:t xml:space="preserve"> although in some jurisdictions</w:t>
      </w:r>
      <w:r w:rsidR="008F7B6F">
        <w:t>,</w:t>
      </w:r>
      <w:r>
        <w:t xml:space="preserve"> there are also standards for MAIFI and CAIDI . In most jurisdictions, performance standards are determined according to feeder type</w:t>
      </w:r>
      <w:r w:rsidR="008F7B6F">
        <w:t xml:space="preserve"> — whether </w:t>
      </w:r>
      <w:r w:rsidR="005210E0">
        <w:t xml:space="preserve">they are </w:t>
      </w:r>
      <w:r w:rsidR="008F7B6F">
        <w:t>CBD, urban, or short or long rural</w:t>
      </w:r>
      <w:r w:rsidR="005210E0">
        <w:t xml:space="preserve"> feeders</w:t>
      </w:r>
      <w:r>
        <w:t xml:space="preserve">. Categorising performance targets by feeder type recognises that </w:t>
      </w:r>
      <w:r w:rsidR="009F693A">
        <w:lastRenderedPageBreak/>
        <w:t xml:space="preserve">those </w:t>
      </w:r>
      <w:r>
        <w:t>feeders that are longer, have less redundancy and are further from maintenance crews</w:t>
      </w:r>
      <w:r w:rsidR="009F693A">
        <w:t>,</w:t>
      </w:r>
      <w:r>
        <w:t xml:space="preserve"> generally have lower reliability and that these feeders generally service areas with lower customer density. South Australia, however,</w:t>
      </w:r>
      <w:r w:rsidR="005210E0">
        <w:t xml:space="preserve"> does not use feeder types, but rather</w:t>
      </w:r>
      <w:r>
        <w:t xml:space="preserve"> sets standards for seven regional areas, and Tasmania classifies each community into one of five customer categories (critical infrastructure, </w:t>
      </w:r>
      <w:r w:rsidR="00484D9A">
        <w:t>high-density</w:t>
      </w:r>
      <w:r>
        <w:t xml:space="preserve"> commercial, </w:t>
      </w:r>
      <w:r w:rsidR="00484D9A">
        <w:t>urban</w:t>
      </w:r>
      <w:r>
        <w:t xml:space="preserve"> and regional </w:t>
      </w:r>
      <w:r w:rsidR="00484D9A">
        <w:t>centres,</w:t>
      </w:r>
      <w:r w:rsidR="005C468C">
        <w:t xml:space="preserve"> high density rural,</w:t>
      </w:r>
      <w:r>
        <w:t xml:space="preserve"> and low density rural) with corresponding performance targets.</w:t>
      </w:r>
    </w:p>
    <w:p w:rsidR="00E0149A" w:rsidRDefault="00E0149A" w:rsidP="00E0149A">
      <w:pPr>
        <w:pStyle w:val="TableTitle"/>
      </w:pPr>
      <w:r>
        <w:rPr>
          <w:b w:val="0"/>
        </w:rPr>
        <w:t xml:space="preserve">Table </w:t>
      </w:r>
      <w:r w:rsidR="00977AF3">
        <w:rPr>
          <w:b w:val="0"/>
        </w:rPr>
        <w:t>16.</w:t>
      </w:r>
      <w:r w:rsidR="00365BD8">
        <w:rPr>
          <w:b w:val="0"/>
          <w:noProof/>
        </w:rPr>
        <w:t>2</w:t>
      </w:r>
      <w:r>
        <w:tab/>
        <w:t>Queensland distribution network performance targets</w:t>
      </w:r>
    </w:p>
    <w:p w:rsidR="00E0149A" w:rsidRDefault="00E0149A" w:rsidP="00E0149A">
      <w:pPr>
        <w:pStyle w:val="Subtitle"/>
      </w:pPr>
      <w:r>
        <w:t>2010-11</w:t>
      </w:r>
    </w:p>
    <w:tbl>
      <w:tblPr>
        <w:tblW w:w="5000" w:type="pct"/>
        <w:tblCellMar>
          <w:left w:w="0" w:type="dxa"/>
          <w:right w:w="0" w:type="dxa"/>
        </w:tblCellMar>
        <w:tblLook w:val="0000" w:firstRow="0" w:lastRow="0" w:firstColumn="0" w:lastColumn="0" w:noHBand="0" w:noVBand="0"/>
      </w:tblPr>
      <w:tblGrid>
        <w:gridCol w:w="2198"/>
        <w:gridCol w:w="2197"/>
        <w:gridCol w:w="2197"/>
        <w:gridCol w:w="2197"/>
      </w:tblGrid>
      <w:tr w:rsidR="00E0149A" w:rsidTr="00E0149A">
        <w:tc>
          <w:tcPr>
            <w:tcW w:w="1250" w:type="pct"/>
            <w:tcBorders>
              <w:top w:val="single" w:sz="6" w:space="0" w:color="auto"/>
              <w:bottom w:val="single" w:sz="6" w:space="0" w:color="auto"/>
            </w:tcBorders>
            <w:shd w:val="clear" w:color="auto" w:fill="auto"/>
          </w:tcPr>
          <w:p w:rsidR="00E0149A" w:rsidRDefault="00E0149A" w:rsidP="00E0149A">
            <w:pPr>
              <w:pStyle w:val="TableColumnHeading"/>
              <w:jc w:val="left"/>
            </w:pPr>
            <w:r>
              <w:t>Distribution business</w:t>
            </w:r>
          </w:p>
        </w:tc>
        <w:tc>
          <w:tcPr>
            <w:tcW w:w="1250" w:type="pct"/>
            <w:tcBorders>
              <w:top w:val="single" w:sz="6" w:space="0" w:color="auto"/>
              <w:bottom w:val="single" w:sz="6" w:space="0" w:color="auto"/>
            </w:tcBorders>
            <w:shd w:val="clear" w:color="auto" w:fill="auto"/>
          </w:tcPr>
          <w:p w:rsidR="00E0149A" w:rsidRDefault="00E0149A" w:rsidP="00E0149A">
            <w:pPr>
              <w:pStyle w:val="TableColumnHeading"/>
            </w:pPr>
            <w:r>
              <w:t>Feeder type</w:t>
            </w:r>
          </w:p>
        </w:tc>
        <w:tc>
          <w:tcPr>
            <w:tcW w:w="1250" w:type="pct"/>
            <w:tcBorders>
              <w:top w:val="single" w:sz="6" w:space="0" w:color="auto"/>
              <w:bottom w:val="single" w:sz="6" w:space="0" w:color="auto"/>
            </w:tcBorders>
            <w:shd w:val="clear" w:color="auto" w:fill="auto"/>
          </w:tcPr>
          <w:p w:rsidR="00E0149A" w:rsidRDefault="00E0149A" w:rsidP="00E0149A">
            <w:pPr>
              <w:pStyle w:val="TableColumnHeading"/>
              <w:ind w:right="28"/>
            </w:pPr>
            <w:r>
              <w:t>SAIDI (minutes)</w:t>
            </w:r>
            <w:r w:rsidR="00197F95">
              <w:t xml:space="preserve"> per year </w:t>
            </w:r>
          </w:p>
        </w:tc>
        <w:tc>
          <w:tcPr>
            <w:tcW w:w="1250" w:type="pct"/>
            <w:tcBorders>
              <w:top w:val="single" w:sz="6" w:space="0" w:color="auto"/>
              <w:bottom w:val="single" w:sz="6" w:space="0" w:color="auto"/>
            </w:tcBorders>
          </w:tcPr>
          <w:p w:rsidR="00E0149A" w:rsidRDefault="00E0149A" w:rsidP="00E0149A">
            <w:pPr>
              <w:pStyle w:val="TableColumnHeading"/>
              <w:ind w:right="28"/>
            </w:pPr>
            <w:r>
              <w:t>SAIFI</w:t>
            </w:r>
            <w:r w:rsidR="00197F95">
              <w:t xml:space="preserve"> per year</w:t>
            </w:r>
          </w:p>
        </w:tc>
      </w:tr>
      <w:tr w:rsidR="00E0149A" w:rsidTr="00E0149A">
        <w:tc>
          <w:tcPr>
            <w:tcW w:w="1250" w:type="pct"/>
            <w:vMerge w:val="restart"/>
            <w:tcBorders>
              <w:top w:val="single" w:sz="6" w:space="0" w:color="auto"/>
            </w:tcBorders>
          </w:tcPr>
          <w:p w:rsidR="00E0149A" w:rsidRDefault="00E0149A" w:rsidP="00E0149A">
            <w:pPr>
              <w:pStyle w:val="TableUnitsRow"/>
              <w:jc w:val="left"/>
            </w:pPr>
            <w:r>
              <w:t>Energex</w:t>
            </w:r>
          </w:p>
        </w:tc>
        <w:tc>
          <w:tcPr>
            <w:tcW w:w="1250" w:type="pct"/>
            <w:tcBorders>
              <w:top w:val="single" w:sz="6" w:space="0" w:color="auto"/>
            </w:tcBorders>
          </w:tcPr>
          <w:p w:rsidR="00E0149A" w:rsidRDefault="00E0149A" w:rsidP="00E0149A">
            <w:pPr>
              <w:pStyle w:val="TableUnitsRow"/>
            </w:pPr>
            <w:r>
              <w:t>CBD</w:t>
            </w:r>
          </w:p>
        </w:tc>
        <w:tc>
          <w:tcPr>
            <w:tcW w:w="1250" w:type="pct"/>
            <w:tcBorders>
              <w:top w:val="single" w:sz="6" w:space="0" w:color="auto"/>
            </w:tcBorders>
          </w:tcPr>
          <w:p w:rsidR="00E0149A" w:rsidRDefault="00E0149A" w:rsidP="00E0149A">
            <w:pPr>
              <w:pStyle w:val="TableUnitsRow"/>
              <w:ind w:right="28"/>
            </w:pPr>
            <w:r>
              <w:t>15</w:t>
            </w:r>
          </w:p>
        </w:tc>
        <w:tc>
          <w:tcPr>
            <w:tcW w:w="1250" w:type="pct"/>
            <w:tcBorders>
              <w:top w:val="single" w:sz="6" w:space="0" w:color="auto"/>
            </w:tcBorders>
          </w:tcPr>
          <w:p w:rsidR="00E0149A" w:rsidRDefault="00E0149A" w:rsidP="00E0149A">
            <w:pPr>
              <w:pStyle w:val="TableUnitsRow"/>
              <w:ind w:right="28"/>
            </w:pPr>
            <w:r>
              <w:t>0.15</w:t>
            </w:r>
          </w:p>
        </w:tc>
      </w:tr>
      <w:tr w:rsidR="00E0149A" w:rsidTr="00E0149A">
        <w:tc>
          <w:tcPr>
            <w:tcW w:w="1250" w:type="pct"/>
            <w:vMerge/>
          </w:tcPr>
          <w:p w:rsidR="00E0149A" w:rsidRDefault="00E0149A" w:rsidP="00E0149A">
            <w:pPr>
              <w:pStyle w:val="TableBodyText"/>
              <w:jc w:val="left"/>
            </w:pPr>
          </w:p>
        </w:tc>
        <w:tc>
          <w:tcPr>
            <w:tcW w:w="1250" w:type="pct"/>
          </w:tcPr>
          <w:p w:rsidR="00E0149A" w:rsidRDefault="00E0149A" w:rsidP="00E0149A">
            <w:pPr>
              <w:pStyle w:val="TableBodyText"/>
            </w:pPr>
            <w:r>
              <w:t>Urban</w:t>
            </w:r>
          </w:p>
        </w:tc>
        <w:tc>
          <w:tcPr>
            <w:tcW w:w="1250" w:type="pct"/>
          </w:tcPr>
          <w:p w:rsidR="00E0149A" w:rsidRDefault="00E0149A" w:rsidP="00E0149A">
            <w:pPr>
              <w:pStyle w:val="TableBodyText"/>
              <w:ind w:right="28"/>
            </w:pPr>
            <w:r>
              <w:t>106</w:t>
            </w:r>
          </w:p>
        </w:tc>
        <w:tc>
          <w:tcPr>
            <w:tcW w:w="1250" w:type="pct"/>
          </w:tcPr>
          <w:p w:rsidR="00E0149A" w:rsidRDefault="00E0149A" w:rsidP="00E0149A">
            <w:pPr>
              <w:pStyle w:val="TableBodyText"/>
              <w:ind w:right="28"/>
            </w:pPr>
            <w:r>
              <w:t>1.26</w:t>
            </w:r>
          </w:p>
        </w:tc>
      </w:tr>
      <w:tr w:rsidR="00E0149A" w:rsidTr="00E0149A">
        <w:tc>
          <w:tcPr>
            <w:tcW w:w="1250" w:type="pct"/>
            <w:vMerge/>
          </w:tcPr>
          <w:p w:rsidR="00E0149A" w:rsidRDefault="00E0149A" w:rsidP="00E0149A">
            <w:pPr>
              <w:pStyle w:val="TableBodyText"/>
              <w:jc w:val="left"/>
            </w:pPr>
          </w:p>
        </w:tc>
        <w:tc>
          <w:tcPr>
            <w:tcW w:w="1250" w:type="pct"/>
          </w:tcPr>
          <w:p w:rsidR="00E0149A" w:rsidRDefault="00E0149A" w:rsidP="00E0149A">
            <w:pPr>
              <w:pStyle w:val="TableBodyText"/>
            </w:pPr>
            <w:r>
              <w:t>Short-rural</w:t>
            </w:r>
          </w:p>
        </w:tc>
        <w:tc>
          <w:tcPr>
            <w:tcW w:w="1250" w:type="pct"/>
          </w:tcPr>
          <w:p w:rsidR="00E0149A" w:rsidRDefault="00E0149A" w:rsidP="00E0149A">
            <w:pPr>
              <w:pStyle w:val="TableBodyText"/>
              <w:ind w:right="28"/>
            </w:pPr>
            <w:r>
              <w:t>218</w:t>
            </w:r>
          </w:p>
        </w:tc>
        <w:tc>
          <w:tcPr>
            <w:tcW w:w="1250" w:type="pct"/>
          </w:tcPr>
          <w:p w:rsidR="00E0149A" w:rsidRDefault="00E0149A" w:rsidP="00E0149A">
            <w:pPr>
              <w:pStyle w:val="TableBodyText"/>
              <w:ind w:right="28"/>
            </w:pPr>
            <w:r>
              <w:t>2.46</w:t>
            </w:r>
          </w:p>
        </w:tc>
      </w:tr>
      <w:tr w:rsidR="00E0149A" w:rsidTr="00E0149A">
        <w:tc>
          <w:tcPr>
            <w:tcW w:w="1250" w:type="pct"/>
            <w:vMerge w:val="restart"/>
            <w:shd w:val="clear" w:color="auto" w:fill="auto"/>
          </w:tcPr>
          <w:p w:rsidR="00E0149A" w:rsidRDefault="00E0149A" w:rsidP="00E0149A">
            <w:pPr>
              <w:pStyle w:val="TableBodyText"/>
              <w:jc w:val="left"/>
            </w:pPr>
            <w:r>
              <w:t>Ergon Energy</w:t>
            </w:r>
          </w:p>
        </w:tc>
        <w:tc>
          <w:tcPr>
            <w:tcW w:w="1250" w:type="pct"/>
            <w:shd w:val="clear" w:color="auto" w:fill="auto"/>
          </w:tcPr>
          <w:p w:rsidR="00E0149A" w:rsidRDefault="00E0149A" w:rsidP="00E0149A">
            <w:pPr>
              <w:pStyle w:val="TableBodyText"/>
            </w:pPr>
            <w:r>
              <w:t>Urban</w:t>
            </w:r>
          </w:p>
        </w:tc>
        <w:tc>
          <w:tcPr>
            <w:tcW w:w="1250" w:type="pct"/>
            <w:shd w:val="clear" w:color="auto" w:fill="auto"/>
          </w:tcPr>
          <w:p w:rsidR="00E0149A" w:rsidRDefault="00E0149A" w:rsidP="00E0149A">
            <w:pPr>
              <w:pStyle w:val="TableBodyText"/>
              <w:ind w:right="28"/>
            </w:pPr>
            <w:r>
              <w:t>149</w:t>
            </w:r>
          </w:p>
        </w:tc>
        <w:tc>
          <w:tcPr>
            <w:tcW w:w="1250" w:type="pct"/>
          </w:tcPr>
          <w:p w:rsidR="00E0149A" w:rsidRDefault="00E0149A" w:rsidP="00E0149A">
            <w:pPr>
              <w:pStyle w:val="TableBodyText"/>
              <w:ind w:right="28"/>
            </w:pPr>
            <w:r>
              <w:t>1.98</w:t>
            </w:r>
          </w:p>
        </w:tc>
      </w:tr>
      <w:tr w:rsidR="00E0149A" w:rsidTr="00E0149A">
        <w:tc>
          <w:tcPr>
            <w:tcW w:w="1250" w:type="pct"/>
            <w:vMerge/>
            <w:shd w:val="clear" w:color="auto" w:fill="auto"/>
          </w:tcPr>
          <w:p w:rsidR="00E0149A" w:rsidRDefault="00E0149A" w:rsidP="00E0149A">
            <w:pPr>
              <w:pStyle w:val="TableBodyText"/>
              <w:jc w:val="left"/>
            </w:pPr>
          </w:p>
        </w:tc>
        <w:tc>
          <w:tcPr>
            <w:tcW w:w="1250" w:type="pct"/>
            <w:shd w:val="clear" w:color="auto" w:fill="auto"/>
          </w:tcPr>
          <w:p w:rsidR="00E0149A" w:rsidRDefault="00E0149A" w:rsidP="00E0149A">
            <w:pPr>
              <w:pStyle w:val="TableBodyText"/>
            </w:pPr>
            <w:r>
              <w:t>Short-rural</w:t>
            </w:r>
          </w:p>
        </w:tc>
        <w:tc>
          <w:tcPr>
            <w:tcW w:w="1250" w:type="pct"/>
            <w:shd w:val="clear" w:color="auto" w:fill="auto"/>
          </w:tcPr>
          <w:p w:rsidR="00E0149A" w:rsidRDefault="00E0149A" w:rsidP="00E0149A">
            <w:pPr>
              <w:pStyle w:val="TableBodyText"/>
              <w:ind w:right="28"/>
            </w:pPr>
            <w:r>
              <w:t>424</w:t>
            </w:r>
          </w:p>
        </w:tc>
        <w:tc>
          <w:tcPr>
            <w:tcW w:w="1250" w:type="pct"/>
          </w:tcPr>
          <w:p w:rsidR="00E0149A" w:rsidRDefault="00E0149A" w:rsidP="00E0149A">
            <w:pPr>
              <w:pStyle w:val="TableBodyText"/>
              <w:ind w:right="28"/>
            </w:pPr>
            <w:r>
              <w:t>3.95</w:t>
            </w:r>
          </w:p>
        </w:tc>
      </w:tr>
      <w:tr w:rsidR="00E0149A" w:rsidTr="00E0149A">
        <w:tc>
          <w:tcPr>
            <w:tcW w:w="1250" w:type="pct"/>
            <w:vMerge/>
            <w:tcBorders>
              <w:bottom w:val="single" w:sz="4" w:space="0" w:color="auto"/>
            </w:tcBorders>
            <w:shd w:val="clear" w:color="auto" w:fill="auto"/>
          </w:tcPr>
          <w:p w:rsidR="00E0149A" w:rsidRDefault="00E0149A" w:rsidP="00E0149A">
            <w:pPr>
              <w:pStyle w:val="TableBodyText"/>
              <w:jc w:val="left"/>
            </w:pPr>
          </w:p>
        </w:tc>
        <w:tc>
          <w:tcPr>
            <w:tcW w:w="1250" w:type="pct"/>
            <w:tcBorders>
              <w:bottom w:val="single" w:sz="4" w:space="0" w:color="auto"/>
            </w:tcBorders>
            <w:shd w:val="clear" w:color="auto" w:fill="auto"/>
          </w:tcPr>
          <w:p w:rsidR="00E0149A" w:rsidRDefault="00E0149A" w:rsidP="00E0149A">
            <w:pPr>
              <w:pStyle w:val="TableBodyText"/>
            </w:pPr>
            <w:r>
              <w:t>Long-rural</w:t>
            </w:r>
          </w:p>
        </w:tc>
        <w:tc>
          <w:tcPr>
            <w:tcW w:w="1250" w:type="pct"/>
            <w:tcBorders>
              <w:bottom w:val="single" w:sz="4" w:space="0" w:color="auto"/>
            </w:tcBorders>
            <w:shd w:val="clear" w:color="auto" w:fill="auto"/>
          </w:tcPr>
          <w:p w:rsidR="00E0149A" w:rsidRDefault="00E0149A" w:rsidP="00E0149A">
            <w:pPr>
              <w:pStyle w:val="TableBodyText"/>
              <w:ind w:right="28"/>
            </w:pPr>
            <w:r>
              <w:t>964</w:t>
            </w:r>
          </w:p>
        </w:tc>
        <w:tc>
          <w:tcPr>
            <w:tcW w:w="1250" w:type="pct"/>
            <w:tcBorders>
              <w:bottom w:val="single" w:sz="4" w:space="0" w:color="auto"/>
            </w:tcBorders>
          </w:tcPr>
          <w:p w:rsidR="00E0149A" w:rsidRDefault="00E0149A" w:rsidP="00E0149A">
            <w:pPr>
              <w:pStyle w:val="TableBodyText"/>
              <w:ind w:right="28"/>
            </w:pPr>
            <w:r>
              <w:t>7.40</w:t>
            </w:r>
          </w:p>
        </w:tc>
      </w:tr>
    </w:tbl>
    <w:p w:rsidR="00E0149A" w:rsidRDefault="00E0149A" w:rsidP="00E0149A">
      <w:pPr>
        <w:pStyle w:val="Source"/>
      </w:pPr>
      <w:r>
        <w:rPr>
          <w:i/>
        </w:rPr>
        <w:t>Source</w:t>
      </w:r>
      <w:r>
        <w:t>: AEMC 2012</w:t>
      </w:r>
      <w:r w:rsidR="00EF3128">
        <w:t>k</w:t>
      </w:r>
      <w:r>
        <w:t>, p. 64.</w:t>
      </w:r>
    </w:p>
    <w:p w:rsidR="009D6341" w:rsidRPr="00F221CA" w:rsidRDefault="00F221CA" w:rsidP="00F221CA">
      <w:pPr>
        <w:pStyle w:val="BodyText"/>
        <w:rPr>
          <w:rStyle w:val="DraftingNote"/>
          <w:b w:val="0"/>
          <w:color w:val="auto"/>
          <w:sz w:val="26"/>
          <w:u w:val="none"/>
        </w:rPr>
      </w:pPr>
      <w:r>
        <w:rPr>
          <w:rStyle w:val="DraftingNote"/>
          <w:b w:val="0"/>
          <w:color w:val="auto"/>
          <w:sz w:val="26"/>
          <w:u w:val="none"/>
        </w:rPr>
        <w:t>Sometimes, as is the case in Tasmania</w:t>
      </w:r>
      <w:r w:rsidR="00983D99">
        <w:rPr>
          <w:rStyle w:val="DraftingNote"/>
          <w:b w:val="0"/>
          <w:color w:val="auto"/>
          <w:sz w:val="26"/>
          <w:u w:val="none"/>
        </w:rPr>
        <w:t xml:space="preserve"> and South Australia, the levels of standards are</w:t>
      </w:r>
      <w:r>
        <w:rPr>
          <w:rStyle w:val="DraftingNote"/>
          <w:b w:val="0"/>
          <w:color w:val="auto"/>
          <w:sz w:val="26"/>
          <w:u w:val="none"/>
        </w:rPr>
        <w:t xml:space="preserve"> informed by averaging past performance. </w:t>
      </w:r>
      <w:r w:rsidR="00E0149A">
        <w:rPr>
          <w:rStyle w:val="DraftingNote"/>
          <w:b w:val="0"/>
          <w:color w:val="auto"/>
          <w:sz w:val="26"/>
          <w:u w:val="none"/>
        </w:rPr>
        <w:t>Other times</w:t>
      </w:r>
      <w:r w:rsidR="00F76AFD">
        <w:rPr>
          <w:rStyle w:val="DraftingNote"/>
          <w:b w:val="0"/>
          <w:color w:val="auto"/>
          <w:sz w:val="26"/>
          <w:u w:val="none"/>
        </w:rPr>
        <w:t>,</w:t>
      </w:r>
      <w:r w:rsidR="00E0149A">
        <w:rPr>
          <w:rStyle w:val="DraftingNote"/>
          <w:b w:val="0"/>
          <w:color w:val="auto"/>
          <w:sz w:val="26"/>
          <w:u w:val="none"/>
        </w:rPr>
        <w:t xml:space="preserve"> they are set </w:t>
      </w:r>
      <w:r w:rsidR="009F693A">
        <w:rPr>
          <w:rStyle w:val="DraftingNote"/>
          <w:b w:val="0"/>
          <w:color w:val="auto"/>
          <w:sz w:val="26"/>
          <w:u w:val="none"/>
        </w:rPr>
        <w:t xml:space="preserve">at a more demanding level </w:t>
      </w:r>
      <w:r w:rsidR="0025626D">
        <w:rPr>
          <w:rStyle w:val="DraftingNote"/>
          <w:b w:val="0"/>
          <w:color w:val="auto"/>
          <w:sz w:val="26"/>
          <w:u w:val="none"/>
        </w:rPr>
        <w:t>than</w:t>
      </w:r>
      <w:r w:rsidR="00E0149A">
        <w:rPr>
          <w:rStyle w:val="DraftingNote"/>
          <w:b w:val="0"/>
          <w:color w:val="auto"/>
          <w:sz w:val="26"/>
          <w:u w:val="none"/>
        </w:rPr>
        <w:t xml:space="preserve"> past performance to encourage businesses to improve reliability. </w:t>
      </w:r>
      <w:r w:rsidR="00983D99">
        <w:rPr>
          <w:rStyle w:val="DraftingNote"/>
          <w:b w:val="0"/>
          <w:color w:val="auto"/>
          <w:sz w:val="26"/>
          <w:u w:val="none"/>
        </w:rPr>
        <w:t>Targets can be static</w:t>
      </w:r>
      <w:r>
        <w:rPr>
          <w:rStyle w:val="DraftingNote"/>
          <w:b w:val="0"/>
          <w:color w:val="auto"/>
          <w:sz w:val="26"/>
          <w:u w:val="none"/>
        </w:rPr>
        <w:t xml:space="preserve"> or </w:t>
      </w:r>
      <w:r w:rsidR="00660A18">
        <w:rPr>
          <w:rStyle w:val="DraftingNote"/>
          <w:b w:val="0"/>
          <w:color w:val="auto"/>
          <w:sz w:val="26"/>
          <w:u w:val="none"/>
        </w:rPr>
        <w:t xml:space="preserve">become more demanding </w:t>
      </w:r>
      <w:r w:rsidR="00983D99">
        <w:rPr>
          <w:rStyle w:val="DraftingNote"/>
          <w:b w:val="0"/>
          <w:color w:val="auto"/>
          <w:sz w:val="26"/>
          <w:u w:val="none"/>
        </w:rPr>
        <w:t>over time</w:t>
      </w:r>
      <w:r w:rsidR="005210E0">
        <w:rPr>
          <w:rStyle w:val="DraftingNote"/>
          <w:b w:val="0"/>
          <w:color w:val="auto"/>
          <w:sz w:val="26"/>
          <w:u w:val="none"/>
        </w:rPr>
        <w:t>,</w:t>
      </w:r>
      <w:r w:rsidR="00983D99">
        <w:rPr>
          <w:rStyle w:val="DraftingNote"/>
          <w:b w:val="0"/>
          <w:color w:val="auto"/>
          <w:sz w:val="26"/>
          <w:u w:val="none"/>
        </w:rPr>
        <w:t xml:space="preserve"> as was the case in New South Wales between 2005</w:t>
      </w:r>
      <w:r w:rsidR="00983D99">
        <w:rPr>
          <w:rStyle w:val="DraftingNote"/>
          <w:b w:val="0"/>
          <w:color w:val="auto"/>
          <w:sz w:val="26"/>
          <w:u w:val="none"/>
        </w:rPr>
        <w:noBreakHyphen/>
        <w:t>06 to 2010</w:t>
      </w:r>
      <w:r w:rsidR="00983D99">
        <w:rPr>
          <w:rStyle w:val="DraftingNote"/>
          <w:b w:val="0"/>
          <w:color w:val="auto"/>
          <w:sz w:val="26"/>
          <w:u w:val="none"/>
        </w:rPr>
        <w:noBreakHyphen/>
        <w:t xml:space="preserve">11, and is currently occurring in Queensland. While ActewAGL and </w:t>
      </w:r>
      <w:r w:rsidR="00E0149A">
        <w:rPr>
          <w:rStyle w:val="DraftingNote"/>
          <w:b w:val="0"/>
          <w:color w:val="auto"/>
          <w:sz w:val="26"/>
          <w:u w:val="none"/>
        </w:rPr>
        <w:t>the Office of the Tasmanian Economic Regulator</w:t>
      </w:r>
      <w:r w:rsidR="00983D99">
        <w:rPr>
          <w:rStyle w:val="DraftingNote"/>
          <w:b w:val="0"/>
          <w:color w:val="auto"/>
          <w:sz w:val="26"/>
          <w:u w:val="none"/>
        </w:rPr>
        <w:t xml:space="preserve"> have considered the use of customer values of reliability, neither have explicitly incorporated </w:t>
      </w:r>
      <w:r w:rsidR="00F76AFD">
        <w:rPr>
          <w:rStyle w:val="DraftingNote"/>
          <w:b w:val="0"/>
          <w:color w:val="auto"/>
          <w:sz w:val="26"/>
          <w:u w:val="none"/>
        </w:rPr>
        <w:t xml:space="preserve">value of customer reliability estimates </w:t>
      </w:r>
      <w:r w:rsidR="00983D99">
        <w:rPr>
          <w:rStyle w:val="DraftingNote"/>
          <w:b w:val="0"/>
          <w:color w:val="auto"/>
          <w:sz w:val="26"/>
          <w:u w:val="none"/>
        </w:rPr>
        <w:t>into the setting of their standards.</w:t>
      </w:r>
      <w:r>
        <w:rPr>
          <w:rStyle w:val="DraftingNote"/>
          <w:b w:val="0"/>
          <w:color w:val="auto"/>
          <w:sz w:val="26"/>
          <w:u w:val="none"/>
        </w:rPr>
        <w:t xml:space="preserve"> </w:t>
      </w:r>
    </w:p>
    <w:p w:rsidR="00CA79A7" w:rsidRDefault="009D727C" w:rsidP="00795DE2">
      <w:pPr>
        <w:pStyle w:val="BodyText"/>
      </w:pPr>
      <w:r>
        <w:t>Jurisdiction</w:t>
      </w:r>
      <w:r w:rsidR="00F76AFD">
        <w:t>-</w:t>
      </w:r>
      <w:r>
        <w:t xml:space="preserve">specific performance standards are set by </w:t>
      </w:r>
      <w:r w:rsidR="00F76AFD">
        <w:t xml:space="preserve">a </w:t>
      </w:r>
      <w:r>
        <w:t>re</w:t>
      </w:r>
      <w:r w:rsidR="009D1F9A">
        <w:t xml:space="preserve">gulator in South Australia, </w:t>
      </w:r>
      <w:r>
        <w:t>Tasmania</w:t>
      </w:r>
      <w:r w:rsidR="009D1F9A">
        <w:t xml:space="preserve"> and the ACT</w:t>
      </w:r>
      <w:r w:rsidR="00DB2518">
        <w:t>.</w:t>
      </w:r>
      <w:r w:rsidR="009D1F9A">
        <w:rPr>
          <w:rStyle w:val="FootnoteReference"/>
        </w:rPr>
        <w:footnoteReference w:id="5"/>
      </w:r>
      <w:r w:rsidR="008D7782">
        <w:t xml:space="preserve"> In Queensland</w:t>
      </w:r>
      <w:r w:rsidR="009D1F9A">
        <w:t xml:space="preserve"> the Minister can amend the Code</w:t>
      </w:r>
      <w:r w:rsidR="008D7782">
        <w:t xml:space="preserve"> and the regulator can propose amendments subject to stakeholder consultation</w:t>
      </w:r>
      <w:r w:rsidR="009D1F9A">
        <w:t>. In</w:t>
      </w:r>
      <w:r>
        <w:t xml:space="preserve"> New South </w:t>
      </w:r>
      <w:r w:rsidR="009D1F9A">
        <w:t>Wales</w:t>
      </w:r>
      <w:r>
        <w:t xml:space="preserve"> the Minister sets the standards</w:t>
      </w:r>
      <w:r w:rsidR="009D1F9A">
        <w:t>.</w:t>
      </w:r>
      <w:r>
        <w:t xml:space="preserve"> </w:t>
      </w:r>
    </w:p>
    <w:p w:rsidR="00DA3BAB" w:rsidRDefault="00DA3BAB" w:rsidP="00795DE2">
      <w:pPr>
        <w:pStyle w:val="BodyText"/>
      </w:pPr>
      <w:r>
        <w:t xml:space="preserve">Businesses in Queensland, South Australia, </w:t>
      </w:r>
      <w:r w:rsidR="00484D9A">
        <w:t>Tasmania,</w:t>
      </w:r>
      <w:r>
        <w:t xml:space="preserve"> and Victoria are required to use ‘best’ or ‘reasonable’ endeavours to meet standards. ActewAGL faces penalties for missing targets unless they can provide a ‘reasonable excuse’ and businesses in New South Wales must be as compliant</w:t>
      </w:r>
      <w:r w:rsidR="00E0149A">
        <w:t xml:space="preserve"> </w:t>
      </w:r>
      <w:r>
        <w:t xml:space="preserve">as ‘reasonably practicable’ by 2014 and fully compliant by 2019. Penalties apply in all jurisdictions if businesses contravene </w:t>
      </w:r>
      <w:r>
        <w:lastRenderedPageBreak/>
        <w:t xml:space="preserve">their </w:t>
      </w:r>
      <w:r w:rsidR="0025626D">
        <w:t>reliability requirements</w:t>
      </w:r>
      <w:r>
        <w:t xml:space="preserve"> and can range from fines of around $100 000 to revocation of a business’</w:t>
      </w:r>
      <w:r w:rsidR="00660A18">
        <w:t>s</w:t>
      </w:r>
      <w:r w:rsidR="009D727C">
        <w:t xml:space="preserve"> licence (although this has never occurred in the NEM). </w:t>
      </w:r>
    </w:p>
    <w:p w:rsidR="00535112" w:rsidRDefault="00535112" w:rsidP="00795DE2">
      <w:pPr>
        <w:pStyle w:val="BodyText"/>
      </w:pPr>
      <w:r>
        <w:t>Distribution businesses are required to report their performance against the</w:t>
      </w:r>
      <w:r w:rsidR="00E0149A">
        <w:t>ir</w:t>
      </w:r>
      <w:r w:rsidR="008F2C31">
        <w:t xml:space="preserve"> standards</w:t>
      </w:r>
      <w:r w:rsidR="002B4FAD">
        <w:t>, with (potentially) additional reporting in the event of a failure to meet standards</w:t>
      </w:r>
      <w:r w:rsidR="008F2C31">
        <w:t xml:space="preserve">. For example, </w:t>
      </w:r>
      <w:r w:rsidR="00F222E6">
        <w:t>in New South Wales, distribution businesses are required to report their performance against the standards to the Min</w:t>
      </w:r>
      <w:r w:rsidR="00F76AFD">
        <w:t>i</w:t>
      </w:r>
      <w:r w:rsidR="00F222E6">
        <w:t xml:space="preserve">ster </w:t>
      </w:r>
      <w:r w:rsidR="00E5636D">
        <w:t>quarterly and include reasons for</w:t>
      </w:r>
      <w:r w:rsidR="00F222E6">
        <w:t xml:space="preserve"> failing to comply with standards. Distribution businesses in New South Wales are also required to provide an independen</w:t>
      </w:r>
      <w:r w:rsidR="002A7F92">
        <w:t>tly audited report annually to the Independent Pricing and Regulatory Tribunal(IPART)</w:t>
      </w:r>
      <w:r w:rsidR="00F222E6">
        <w:t xml:space="preserve"> (AEMC 2011</w:t>
      </w:r>
      <w:r w:rsidR="00296D0D">
        <w:t>g</w:t>
      </w:r>
      <w:r w:rsidR="00F222E6">
        <w:t>, p. 18)</w:t>
      </w:r>
      <w:r w:rsidR="00F76AFD">
        <w:t>.</w:t>
      </w:r>
    </w:p>
    <w:p w:rsidR="003C69F3" w:rsidRDefault="00E5636D" w:rsidP="003C69F3">
      <w:pPr>
        <w:pStyle w:val="Heading4"/>
      </w:pPr>
      <w:r>
        <w:t>Consequences for efficiency</w:t>
      </w:r>
    </w:p>
    <w:p w:rsidR="009D6341" w:rsidRDefault="002B4FAD" w:rsidP="009D6341">
      <w:pPr>
        <w:pStyle w:val="BodyText"/>
      </w:pPr>
      <w:r>
        <w:t>The discussion above highlights</w:t>
      </w:r>
      <w:r w:rsidR="009D6341">
        <w:t xml:space="preserve"> that no two jurisdiction</w:t>
      </w:r>
      <w:r w:rsidR="00F76AFD">
        <w:t>-</w:t>
      </w:r>
      <w:r w:rsidR="009D6341">
        <w:t xml:space="preserve">specific </w:t>
      </w:r>
      <w:r w:rsidR="00E0149A">
        <w:t>reliability performance frameworks a</w:t>
      </w:r>
      <w:r w:rsidR="009D6341">
        <w:t>re the same. The AEMC</w:t>
      </w:r>
      <w:r w:rsidR="00E0149A">
        <w:t xml:space="preserve"> (2009</w:t>
      </w:r>
      <w:r w:rsidR="00296D0D">
        <w:t>b</w:t>
      </w:r>
      <w:r w:rsidR="00E0149A">
        <w:t>)</w:t>
      </w:r>
      <w:r w:rsidR="009D6341">
        <w:t xml:space="preserve"> agree</w:t>
      </w:r>
      <w:r w:rsidR="00F76AFD">
        <w:t>d</w:t>
      </w:r>
      <w:r w:rsidR="009D6341">
        <w:t>:</w:t>
      </w:r>
    </w:p>
    <w:p w:rsidR="009D6341" w:rsidRDefault="009D6341" w:rsidP="009D6341">
      <w:pPr>
        <w:pStyle w:val="Quote"/>
      </w:pPr>
      <w:r>
        <w:t>There is a lack of consistency and transparency in how the different jurisdictional standards are determined and described. Also how the distribution businesses interpret and comply with these standards can vary significantly across the NEM</w:t>
      </w:r>
      <w:r w:rsidR="00E0149A">
        <w:t>. (</w:t>
      </w:r>
      <w:r w:rsidR="002A7F92">
        <w:t>pp. </w:t>
      </w:r>
      <w:r w:rsidR="00816D92">
        <w:t>executive summary)</w:t>
      </w:r>
    </w:p>
    <w:p w:rsidR="009D6341" w:rsidRDefault="00250FA3" w:rsidP="009D6341">
      <w:pPr>
        <w:pStyle w:val="BodyText"/>
      </w:pPr>
      <w:r>
        <w:t>In this type of regulatory</w:t>
      </w:r>
      <w:r w:rsidR="00E923DD">
        <w:t xml:space="preserve"> environment</w:t>
      </w:r>
      <w:r w:rsidR="00F76AFD">
        <w:t>,</w:t>
      </w:r>
      <w:r w:rsidR="00E923DD">
        <w:t xml:space="preserve"> </w:t>
      </w:r>
      <w:r>
        <w:t>benchmarking distributio</w:t>
      </w:r>
      <w:r w:rsidR="00FE77AC">
        <w:t>n businesses is</w:t>
      </w:r>
      <w:r w:rsidR="00E923DD">
        <w:t xml:space="preserve"> difficult. Reliability settings that vary considerably from one jurisdiction to the next </w:t>
      </w:r>
      <w:r w:rsidR="00E0149A">
        <w:t>create another factor</w:t>
      </w:r>
      <w:r w:rsidR="00E923DD">
        <w:t xml:space="preserve"> </w:t>
      </w:r>
      <w:r w:rsidR="002B4FAD">
        <w:t xml:space="preserve">that is </w:t>
      </w:r>
      <w:r w:rsidR="00E923DD">
        <w:t xml:space="preserve">external to the business that would need to be controlled for in any meaningful benchmarking exercise. </w:t>
      </w:r>
    </w:p>
    <w:p w:rsidR="004D02E4" w:rsidRDefault="004D02E4" w:rsidP="009D6341">
      <w:pPr>
        <w:pStyle w:val="BodyText"/>
      </w:pPr>
      <w:r>
        <w:t>Benchmarking the standards themselves, and the frameworks in which they sit, however, is more straightforward, and a number</w:t>
      </w:r>
      <w:r w:rsidR="00FE77AC">
        <w:t xml:space="preserve"> </w:t>
      </w:r>
      <w:r w:rsidR="0025626D">
        <w:t xml:space="preserve">of </w:t>
      </w:r>
      <w:r w:rsidR="00FE77AC">
        <w:t>costs and</w:t>
      </w:r>
      <w:r w:rsidR="00ED0F3E">
        <w:t xml:space="preserve"> benefits</w:t>
      </w:r>
      <w:r w:rsidR="00FE77AC">
        <w:t xml:space="preserve"> can be identified.</w:t>
      </w:r>
      <w:r>
        <w:t xml:space="preserve"> </w:t>
      </w:r>
    </w:p>
    <w:p w:rsidR="00C622C6" w:rsidRDefault="00ED0F3E" w:rsidP="009D6341">
      <w:pPr>
        <w:pStyle w:val="BodyText"/>
      </w:pPr>
      <w:r>
        <w:t>The benefits of imposing jurisdiction</w:t>
      </w:r>
      <w:r w:rsidR="000C04E1">
        <w:t>-</w:t>
      </w:r>
      <w:r>
        <w:t>specific performance standards in addition to the STPIS are not immediately obvious</w:t>
      </w:r>
      <w:r w:rsidR="000C04E1">
        <w:t>. H</w:t>
      </w:r>
      <w:r w:rsidR="00FE77AC">
        <w:t>owever, i</w:t>
      </w:r>
      <w:r>
        <w:t>t is possible that jurisdictional authorities see value in retaining the ability to strip a distribution business of its licence in the case of ext</w:t>
      </w:r>
      <w:r w:rsidR="00FE77AC">
        <w:t>reme underperformance. I</w:t>
      </w:r>
      <w:r w:rsidR="00BD42DE">
        <w:t>t is not clear</w:t>
      </w:r>
      <w:r w:rsidR="00FE77AC">
        <w:t xml:space="preserve"> though</w:t>
      </w:r>
      <w:r>
        <w:t>, that while retaining the authority to remove a business’</w:t>
      </w:r>
      <w:r w:rsidR="00660A18">
        <w:t>s</w:t>
      </w:r>
      <w:r>
        <w:t xml:space="preserve"> licence, </w:t>
      </w:r>
      <w:r w:rsidR="002B4FAD">
        <w:t xml:space="preserve">why </w:t>
      </w:r>
      <w:r w:rsidR="00BD42DE">
        <w:t xml:space="preserve">jurisdictional authorities </w:t>
      </w:r>
      <w:r w:rsidR="00C622C6">
        <w:t xml:space="preserve">do not </w:t>
      </w:r>
      <w:r w:rsidR="00BD42DE">
        <w:t>align the</w:t>
      </w:r>
      <w:r w:rsidR="0012248A">
        <w:t>ir</w:t>
      </w:r>
      <w:r w:rsidR="00BD42DE">
        <w:t xml:space="preserve"> st</w:t>
      </w:r>
      <w:r w:rsidR="00C149B2">
        <w:t>andards with those in the STPIS</w:t>
      </w:r>
      <w:r w:rsidR="00BD42DE">
        <w:t xml:space="preserve">, such as is currently done in Victoria. </w:t>
      </w:r>
      <w:r w:rsidR="004D02E4">
        <w:t>Requiring distribution businesses to adhere to and report their performance against two sets of standards is costly and does</w:t>
      </w:r>
      <w:r w:rsidR="00BD42DE">
        <w:t xml:space="preserve"> not seem to produce obvious benefits. </w:t>
      </w:r>
      <w:r w:rsidR="00C622C6">
        <w:t>According to Endeavour Energy (2012):</w:t>
      </w:r>
    </w:p>
    <w:p w:rsidR="004D02E4" w:rsidRDefault="00C622C6" w:rsidP="00C622C6">
      <w:pPr>
        <w:pStyle w:val="Quote"/>
      </w:pPr>
      <w:r>
        <w:t>We do however see benefits in aligning national and jurisdictional reporting requirements where duplicate reporting regimes are to be maintained (for example the AER’s STPIS and jurisdictional requirements</w:t>
      </w:r>
      <w:r w:rsidR="00244084">
        <w:t>.</w:t>
      </w:r>
      <w:r>
        <w:t xml:space="preserve"> (p. 3)</w:t>
      </w:r>
      <w:r w:rsidR="004D02E4">
        <w:t xml:space="preserve"> </w:t>
      </w:r>
    </w:p>
    <w:p w:rsidR="00370534" w:rsidRDefault="00370534" w:rsidP="00C622C6">
      <w:pPr>
        <w:pStyle w:val="BodyText"/>
      </w:pPr>
      <w:r>
        <w:lastRenderedPageBreak/>
        <w:t>Another possible benefit arises from customers ‘feeling closer’ to the standard</w:t>
      </w:r>
      <w:r w:rsidR="000C04E1">
        <w:t>-</w:t>
      </w:r>
      <w:r>
        <w:t xml:space="preserve">setting body, especially if that body is the state government, and therefore feeling that they have more control over the reliability they receive. </w:t>
      </w:r>
      <w:r w:rsidR="00165B6F">
        <w:t>However, n</w:t>
      </w:r>
      <w:r>
        <w:t>o jurisdiction</w:t>
      </w:r>
      <w:r w:rsidR="009E41FF">
        <w:noBreakHyphen/>
      </w:r>
      <w:r>
        <w:t xml:space="preserve">specific standards incorporate customer values in their standard setting process. </w:t>
      </w:r>
      <w:r w:rsidR="00A42573">
        <w:t xml:space="preserve">Rather, significant changes to standards by jurisdictional authorities appear to occur in response to </w:t>
      </w:r>
      <w:r w:rsidR="0012248A">
        <w:t>political pressure</w:t>
      </w:r>
      <w:r w:rsidR="00392390">
        <w:t xml:space="preserve"> or intervention </w:t>
      </w:r>
      <w:r w:rsidR="0012248A">
        <w:t xml:space="preserve">and </w:t>
      </w:r>
      <w:r w:rsidR="00A42573">
        <w:t xml:space="preserve">publicly expressed customer discontent, which suggests that the ‘closeness’ of the relationship produces, at best, delayed and reactive responses to customer demands. </w:t>
      </w:r>
      <w:r w:rsidR="002B4FAD">
        <w:t xml:space="preserve">These ‘reactive’ responses could also be </w:t>
      </w:r>
      <w:r w:rsidR="004F561D">
        <w:t>disproportionate</w:t>
      </w:r>
      <w:r w:rsidR="002B4FAD">
        <w:t xml:space="preserve"> to the actual value the customers </w:t>
      </w:r>
      <w:r w:rsidR="00660A18">
        <w:t xml:space="preserve">overall </w:t>
      </w:r>
      <w:r w:rsidR="002B4FAD">
        <w:t>place on rectifying the issues in question</w:t>
      </w:r>
      <w:r w:rsidR="0012248A">
        <w:t>, and may not be targeted appropriately in any case</w:t>
      </w:r>
      <w:r w:rsidR="002B4FAD">
        <w:t>.</w:t>
      </w:r>
    </w:p>
    <w:p w:rsidR="00370534" w:rsidRDefault="00253538" w:rsidP="00C622C6">
      <w:pPr>
        <w:pStyle w:val="BodyText"/>
      </w:pPr>
      <w:r>
        <w:t>Another inefficiency arises from setting standards using a business’</w:t>
      </w:r>
      <w:r w:rsidR="00660A18">
        <w:t>s</w:t>
      </w:r>
      <w:r>
        <w:t xml:space="preserve"> historical performance. </w:t>
      </w:r>
      <w:r w:rsidR="00A42573">
        <w:t>Setting standards without reference to customer values of reliability creates</w:t>
      </w:r>
      <w:r w:rsidR="00165B6F">
        <w:t xml:space="preserve"> inefficiency</w:t>
      </w:r>
      <w:r w:rsidR="00370534">
        <w:t xml:space="preserve">. Standards for reliability are </w:t>
      </w:r>
      <w:r w:rsidR="008E73AD">
        <w:t xml:space="preserve">only </w:t>
      </w:r>
      <w:r w:rsidR="00370534">
        <w:t>efficient when the value that customers place on the extra reliability is equal to the cost to the business to provide it</w:t>
      </w:r>
      <w:r w:rsidR="008E73AD">
        <w:t xml:space="preserve">; </w:t>
      </w:r>
      <w:r w:rsidR="00484D9A">
        <w:t>otherwise,</w:t>
      </w:r>
      <w:r w:rsidR="008E73AD">
        <w:t xml:space="preserve"> customers incur </w:t>
      </w:r>
      <w:r w:rsidR="0012248A">
        <w:t xml:space="preserve">unjustified </w:t>
      </w:r>
      <w:r w:rsidR="008E73AD">
        <w:t>additional costs</w:t>
      </w:r>
      <w:r w:rsidR="000E31B2">
        <w:t xml:space="preserve"> (chapter 14</w:t>
      </w:r>
      <w:r>
        <w:t>)</w:t>
      </w:r>
      <w:r w:rsidR="00370534">
        <w:t xml:space="preserve">. </w:t>
      </w:r>
    </w:p>
    <w:p w:rsidR="00BD50D9" w:rsidRDefault="00BD50D9" w:rsidP="00C622C6">
      <w:pPr>
        <w:pStyle w:val="BodyText"/>
      </w:pPr>
      <w:r>
        <w:t>The current AEMC review of distribution reliability seeks to assess whether standards in New South Wales are</w:t>
      </w:r>
      <w:r w:rsidR="00A42573">
        <w:t xml:space="preserve"> indeed</w:t>
      </w:r>
      <w:r>
        <w:t xml:space="preserve"> too high or too low by </w:t>
      </w:r>
      <w:r w:rsidR="00DF2FC6">
        <w:t>measuring consumer willingness to pay for improvements in reliability. The report conclude</w:t>
      </w:r>
      <w:r w:rsidR="00764518">
        <w:t>d</w:t>
      </w:r>
      <w:r w:rsidR="00DF2FC6">
        <w:t xml:space="preserve"> that:</w:t>
      </w:r>
    </w:p>
    <w:p w:rsidR="00DF2FC6" w:rsidRPr="00C622C6" w:rsidRDefault="00DF2FC6" w:rsidP="00DF2FC6">
      <w:pPr>
        <w:pStyle w:val="Quote"/>
      </w:pPr>
      <w:r>
        <w:t>Over a fifteen year timeframe, each of our three scenarios for lower reliability outcomes would provide net benefits and would result in significant reductions in distribution expenditure for reliability</w:t>
      </w:r>
      <w:r w:rsidR="000C04E1">
        <w:t>.</w:t>
      </w:r>
      <w:r>
        <w:t xml:space="preserve"> (AEMC 2012</w:t>
      </w:r>
      <w:r w:rsidR="00EF3128">
        <w:t>l</w:t>
      </w:r>
      <w:r w:rsidR="00E0149A">
        <w:t>, p. </w:t>
      </w:r>
      <w:r>
        <w:t>v)</w:t>
      </w:r>
    </w:p>
    <w:p w:rsidR="00A8148A" w:rsidRDefault="000C04E1" w:rsidP="00A8148A">
      <w:pPr>
        <w:pStyle w:val="Heading3"/>
        <w:rPr>
          <w:rStyle w:val="DraftingNote"/>
          <w:b/>
          <w:color w:val="auto"/>
          <w:sz w:val="26"/>
          <w:u w:val="none"/>
        </w:rPr>
      </w:pPr>
      <w:r>
        <w:rPr>
          <w:rStyle w:val="DraftingNote"/>
          <w:b/>
          <w:color w:val="auto"/>
          <w:sz w:val="26"/>
          <w:u w:val="none"/>
        </w:rPr>
        <w:t xml:space="preserve">The </w:t>
      </w:r>
      <w:r w:rsidR="003C69F3">
        <w:rPr>
          <w:rStyle w:val="DraftingNote"/>
          <w:b/>
          <w:color w:val="auto"/>
          <w:sz w:val="26"/>
          <w:u w:val="none"/>
        </w:rPr>
        <w:t>AER’s s</w:t>
      </w:r>
      <w:r w:rsidR="00A8148A">
        <w:rPr>
          <w:rStyle w:val="DraftingNote"/>
          <w:b/>
          <w:color w:val="auto"/>
          <w:sz w:val="26"/>
          <w:u w:val="none"/>
        </w:rPr>
        <w:t>ervice target performance incentive scheme</w:t>
      </w:r>
    </w:p>
    <w:p w:rsidR="00D44F7E" w:rsidRDefault="00D44F7E" w:rsidP="00A8148A">
      <w:pPr>
        <w:pStyle w:val="BodyText"/>
        <w:rPr>
          <w:rStyle w:val="DraftingNote"/>
          <w:b w:val="0"/>
          <w:color w:val="auto"/>
          <w:sz w:val="26"/>
          <w:u w:val="none"/>
        </w:rPr>
      </w:pPr>
      <w:r>
        <w:rPr>
          <w:rStyle w:val="DraftingNote"/>
          <w:b w:val="0"/>
          <w:color w:val="auto"/>
          <w:sz w:val="26"/>
          <w:u w:val="none"/>
        </w:rPr>
        <w:t xml:space="preserve">The STPIS provides incentives for distribution businesses to deliver reliability outcomes to customers. </w:t>
      </w:r>
      <w:r w:rsidR="000C04E1">
        <w:rPr>
          <w:rStyle w:val="DraftingNote"/>
          <w:b w:val="0"/>
          <w:color w:val="auto"/>
          <w:sz w:val="26"/>
          <w:u w:val="none"/>
        </w:rPr>
        <w:t xml:space="preserve">Its purpose </w:t>
      </w:r>
      <w:r>
        <w:rPr>
          <w:rStyle w:val="DraftingNote"/>
          <w:b w:val="0"/>
          <w:color w:val="auto"/>
          <w:sz w:val="26"/>
          <w:u w:val="none"/>
        </w:rPr>
        <w:t>is to</w:t>
      </w:r>
      <w:r w:rsidR="0096288B">
        <w:rPr>
          <w:rStyle w:val="DraftingNote"/>
          <w:b w:val="0"/>
          <w:color w:val="auto"/>
          <w:sz w:val="26"/>
          <w:u w:val="none"/>
        </w:rPr>
        <w:t>:</w:t>
      </w:r>
    </w:p>
    <w:p w:rsidR="00D44F7E" w:rsidRPr="00E0149A" w:rsidRDefault="00D44F7E" w:rsidP="00E0149A">
      <w:pPr>
        <w:pStyle w:val="Quote"/>
        <w:rPr>
          <w:rStyle w:val="DraftingNote"/>
          <w:b w:val="0"/>
          <w:color w:val="auto"/>
          <w:u w:val="none"/>
        </w:rPr>
      </w:pPr>
      <w:r w:rsidRPr="00E0149A">
        <w:rPr>
          <w:rStyle w:val="DraftingNote"/>
          <w:b w:val="0"/>
          <w:color w:val="auto"/>
          <w:u w:val="none"/>
        </w:rPr>
        <w:t>… balance the incentive to reduce expenditure with the need to maintain and improve service quality for customers through establishing a direct financial link (reward or penalty) between revenue and service standards</w:t>
      </w:r>
      <w:r w:rsidR="000C04E1">
        <w:rPr>
          <w:rStyle w:val="DraftingNote"/>
          <w:b w:val="0"/>
          <w:color w:val="auto"/>
          <w:u w:val="none"/>
        </w:rPr>
        <w:t>.</w:t>
      </w:r>
      <w:r w:rsidR="0096288B" w:rsidRPr="00E0149A">
        <w:rPr>
          <w:rStyle w:val="DraftingNote"/>
          <w:b w:val="0"/>
          <w:color w:val="auto"/>
          <w:u w:val="none"/>
        </w:rPr>
        <w:t xml:space="preserve"> (AER 2007</w:t>
      </w:r>
      <w:r w:rsidR="00EF3128">
        <w:rPr>
          <w:rStyle w:val="DraftingNote"/>
          <w:b w:val="0"/>
          <w:color w:val="auto"/>
          <w:u w:val="none"/>
        </w:rPr>
        <w:t>a</w:t>
      </w:r>
      <w:r w:rsidR="0096288B" w:rsidRPr="00E0149A">
        <w:rPr>
          <w:rStyle w:val="DraftingNote"/>
          <w:b w:val="0"/>
          <w:color w:val="auto"/>
          <w:u w:val="none"/>
        </w:rPr>
        <w:t>, p. 7)</w:t>
      </w:r>
    </w:p>
    <w:p w:rsidR="00A31FF9" w:rsidRDefault="00A31FF9" w:rsidP="00A31FF9">
      <w:pPr>
        <w:pStyle w:val="BodyText"/>
      </w:pPr>
      <w:r>
        <w:rPr>
          <w:rStyle w:val="DraftingNote"/>
          <w:b w:val="0"/>
          <w:color w:val="auto"/>
          <w:sz w:val="26"/>
          <w:u w:val="none"/>
        </w:rPr>
        <w:t xml:space="preserve">The </w:t>
      </w:r>
      <w:r w:rsidR="000C04E1">
        <w:rPr>
          <w:rStyle w:val="DraftingNote"/>
          <w:b w:val="0"/>
          <w:color w:val="auto"/>
          <w:sz w:val="26"/>
          <w:u w:val="none"/>
        </w:rPr>
        <w:t>Rules</w:t>
      </w:r>
      <w:r>
        <w:rPr>
          <w:rStyle w:val="DraftingNote"/>
          <w:b w:val="0"/>
          <w:color w:val="auto"/>
          <w:sz w:val="26"/>
          <w:u w:val="none"/>
        </w:rPr>
        <w:t xml:space="preserve"> set out requirements for the AER to establish and publish the STPIS (clause 6.6</w:t>
      </w:r>
      <w:r w:rsidRPr="00165B6F">
        <w:t>.2(b))</w:t>
      </w:r>
      <w:r w:rsidR="0037073F" w:rsidRPr="00165B6F">
        <w:t xml:space="preserve">. </w:t>
      </w:r>
      <w:r w:rsidRPr="00165B6F">
        <w:t>In carrying out</w:t>
      </w:r>
      <w:r>
        <w:t xml:space="preserve"> this </w:t>
      </w:r>
      <w:r w:rsidR="00484D9A">
        <w:t>role,</w:t>
      </w:r>
      <w:r>
        <w:t xml:space="preserve"> the AER was required to</w:t>
      </w:r>
      <w:r w:rsidR="00027758">
        <w:t xml:space="preserve"> meet a number of criteria including taking into account the willingness of customers to pay for improved performance in the delivery of services</w:t>
      </w:r>
      <w:r w:rsidR="00D963E7">
        <w:t>,</w:t>
      </w:r>
      <w:r w:rsidR="00027758">
        <w:t xml:space="preserve"> and the need to ensure that incentives are sufficient to offset any incentive the business might have to reduce costs at the expense of service levels.</w:t>
      </w:r>
      <w:r w:rsidR="00EE2E89">
        <w:t xml:space="preserve"> </w:t>
      </w:r>
    </w:p>
    <w:p w:rsidR="00AA6FBB" w:rsidRDefault="00AA6FBB" w:rsidP="00A54D76">
      <w:pPr>
        <w:pStyle w:val="ListBullet"/>
        <w:numPr>
          <w:ilvl w:val="0"/>
          <w:numId w:val="0"/>
        </w:numPr>
        <w:ind w:left="340" w:hanging="340"/>
        <w:rPr>
          <w:rStyle w:val="DraftingNote"/>
          <w:b w:val="0"/>
          <w:color w:val="auto"/>
          <w:sz w:val="26"/>
          <w:u w:val="none"/>
        </w:rPr>
      </w:pPr>
    </w:p>
    <w:p w:rsidR="00A54D76" w:rsidRDefault="00385D40" w:rsidP="00A54D76">
      <w:pPr>
        <w:pStyle w:val="ListBullet"/>
        <w:numPr>
          <w:ilvl w:val="0"/>
          <w:numId w:val="0"/>
        </w:numPr>
        <w:ind w:left="340" w:hanging="340"/>
        <w:rPr>
          <w:rStyle w:val="DraftingNote"/>
          <w:b w:val="0"/>
          <w:color w:val="auto"/>
          <w:sz w:val="26"/>
          <w:u w:val="none"/>
        </w:rPr>
      </w:pPr>
      <w:r>
        <w:rPr>
          <w:rStyle w:val="DraftingNote"/>
          <w:b w:val="0"/>
          <w:color w:val="auto"/>
          <w:sz w:val="26"/>
          <w:u w:val="none"/>
        </w:rPr>
        <w:lastRenderedPageBreak/>
        <w:t xml:space="preserve">The STPIS has </w:t>
      </w:r>
      <w:r w:rsidR="0026627A">
        <w:rPr>
          <w:rStyle w:val="DraftingNote"/>
          <w:b w:val="0"/>
          <w:color w:val="auto"/>
          <w:sz w:val="26"/>
          <w:u w:val="none"/>
        </w:rPr>
        <w:t>five</w:t>
      </w:r>
      <w:r>
        <w:rPr>
          <w:rStyle w:val="DraftingNote"/>
          <w:b w:val="0"/>
          <w:color w:val="auto"/>
          <w:sz w:val="26"/>
          <w:u w:val="none"/>
        </w:rPr>
        <w:t xml:space="preserve"> components</w:t>
      </w:r>
      <w:r w:rsidR="00A54D76">
        <w:rPr>
          <w:rStyle w:val="DraftingNote"/>
          <w:b w:val="0"/>
          <w:color w:val="auto"/>
          <w:sz w:val="26"/>
          <w:u w:val="none"/>
        </w:rPr>
        <w:t>:</w:t>
      </w:r>
    </w:p>
    <w:p w:rsidR="00385D40" w:rsidRPr="000C04E1" w:rsidRDefault="00385D40" w:rsidP="006D7DDF">
      <w:pPr>
        <w:pStyle w:val="ListBullet"/>
        <w:numPr>
          <w:ilvl w:val="0"/>
          <w:numId w:val="25"/>
        </w:numPr>
        <w:rPr>
          <w:rStyle w:val="DraftingNote"/>
          <w:b w:val="0"/>
          <w:color w:val="auto"/>
          <w:sz w:val="26"/>
          <w:u w:val="none"/>
        </w:rPr>
      </w:pPr>
      <w:r w:rsidRPr="000C04E1">
        <w:rPr>
          <w:rStyle w:val="DraftingNote"/>
          <w:b w:val="0"/>
          <w:color w:val="auto"/>
          <w:sz w:val="26"/>
          <w:u w:val="none"/>
        </w:rPr>
        <w:t>reliability of supply</w:t>
      </w:r>
    </w:p>
    <w:p w:rsidR="0026627A" w:rsidRPr="00424A99" w:rsidRDefault="0026627A" w:rsidP="006D7DDF">
      <w:pPr>
        <w:pStyle w:val="ListBullet"/>
        <w:numPr>
          <w:ilvl w:val="0"/>
          <w:numId w:val="25"/>
        </w:numPr>
        <w:rPr>
          <w:rStyle w:val="DraftingNote"/>
          <w:b w:val="0"/>
          <w:color w:val="auto"/>
          <w:sz w:val="26"/>
          <w:u w:val="none"/>
        </w:rPr>
      </w:pPr>
      <w:r w:rsidRPr="00424A99">
        <w:rPr>
          <w:rStyle w:val="DraftingNote"/>
          <w:b w:val="0"/>
          <w:color w:val="auto"/>
          <w:sz w:val="26"/>
          <w:u w:val="none"/>
        </w:rPr>
        <w:t>quality of supply</w:t>
      </w:r>
    </w:p>
    <w:p w:rsidR="00A54D76" w:rsidRPr="00424A99" w:rsidRDefault="00385D40" w:rsidP="006D7DDF">
      <w:pPr>
        <w:pStyle w:val="ListBullet"/>
        <w:numPr>
          <w:ilvl w:val="0"/>
          <w:numId w:val="25"/>
        </w:numPr>
        <w:rPr>
          <w:rStyle w:val="DraftingNote"/>
          <w:b w:val="0"/>
          <w:color w:val="auto"/>
          <w:sz w:val="26"/>
          <w:u w:val="none"/>
        </w:rPr>
      </w:pPr>
      <w:r w:rsidRPr="00424A99">
        <w:rPr>
          <w:rStyle w:val="DraftingNote"/>
          <w:b w:val="0"/>
          <w:color w:val="auto"/>
          <w:sz w:val="26"/>
          <w:u w:val="none"/>
        </w:rPr>
        <w:t>customer service</w:t>
      </w:r>
    </w:p>
    <w:p w:rsidR="00385D40" w:rsidRPr="00424A99" w:rsidRDefault="00385D40" w:rsidP="006D7DDF">
      <w:pPr>
        <w:pStyle w:val="ListBullet"/>
        <w:numPr>
          <w:ilvl w:val="0"/>
          <w:numId w:val="25"/>
        </w:numPr>
        <w:rPr>
          <w:rStyle w:val="DraftingNote"/>
          <w:b w:val="0"/>
          <w:color w:val="auto"/>
          <w:sz w:val="26"/>
          <w:u w:val="none"/>
        </w:rPr>
      </w:pPr>
      <w:r w:rsidRPr="00424A99">
        <w:rPr>
          <w:rStyle w:val="DraftingNote"/>
          <w:b w:val="0"/>
          <w:color w:val="auto"/>
          <w:sz w:val="26"/>
          <w:u w:val="none"/>
        </w:rPr>
        <w:t>guaranteed service levels</w:t>
      </w:r>
    </w:p>
    <w:p w:rsidR="00385D40" w:rsidRPr="001F204B" w:rsidRDefault="00385D40" w:rsidP="006D7DDF">
      <w:pPr>
        <w:pStyle w:val="ListBullet"/>
        <w:numPr>
          <w:ilvl w:val="0"/>
          <w:numId w:val="25"/>
        </w:numPr>
        <w:rPr>
          <w:rStyle w:val="DraftingNote"/>
          <w:b w:val="0"/>
          <w:color w:val="auto"/>
          <w:sz w:val="26"/>
          <w:u w:val="none"/>
        </w:rPr>
      </w:pPr>
      <w:r w:rsidRPr="001F204B">
        <w:rPr>
          <w:rStyle w:val="DraftingNote"/>
          <w:b w:val="0"/>
          <w:color w:val="auto"/>
          <w:sz w:val="26"/>
          <w:u w:val="none"/>
        </w:rPr>
        <w:t>information and reporting</w:t>
      </w:r>
    </w:p>
    <w:p w:rsidR="00352A5D" w:rsidRDefault="00352A5D" w:rsidP="00352A5D">
      <w:pPr>
        <w:pStyle w:val="BodyText"/>
      </w:pPr>
      <w:r>
        <w:t>All components of the STPIS</w:t>
      </w:r>
      <w:r w:rsidR="000C04E1">
        <w:t>,</w:t>
      </w:r>
      <w:r>
        <w:t xml:space="preserve"> except the </w:t>
      </w:r>
      <w:r w:rsidRPr="00352A5D">
        <w:t>guaranteed service level component</w:t>
      </w:r>
      <w:r w:rsidR="000C04E1">
        <w:t>,</w:t>
      </w:r>
      <w:r w:rsidRPr="00352A5D">
        <w:t xml:space="preserve"> operate in addition to existing jurisdiction</w:t>
      </w:r>
      <w:r w:rsidR="000C04E1">
        <w:t>-</w:t>
      </w:r>
      <w:r>
        <w:t>specific requirements. The guaranteed service level component only applies where no corresponding jurisdiction</w:t>
      </w:r>
      <w:r w:rsidR="009E41FF">
        <w:noBreakHyphen/>
      </w:r>
      <w:r>
        <w:t xml:space="preserve">specific </w:t>
      </w:r>
      <w:r w:rsidR="00E0149A">
        <w:t xml:space="preserve">requirement </w:t>
      </w:r>
      <w:r>
        <w:t xml:space="preserve">exists. As a result, </w:t>
      </w:r>
      <w:r w:rsidR="00D963E7">
        <w:t>it</w:t>
      </w:r>
      <w:r>
        <w:t xml:space="preserve"> is not currently applied to any distribution business in the NEM. </w:t>
      </w:r>
    </w:p>
    <w:p w:rsidR="00E724EB" w:rsidRDefault="00385D40" w:rsidP="00E724EB">
      <w:pPr>
        <w:pStyle w:val="Heading4"/>
        <w:rPr>
          <w:rStyle w:val="DraftingNote"/>
          <w:b w:val="0"/>
          <w:color w:val="auto"/>
          <w:sz w:val="26"/>
          <w:u w:val="none"/>
        </w:rPr>
      </w:pPr>
      <w:r>
        <w:rPr>
          <w:rStyle w:val="DraftingNote"/>
          <w:b w:val="0"/>
          <w:color w:val="auto"/>
          <w:sz w:val="26"/>
          <w:u w:val="none"/>
        </w:rPr>
        <w:t>Reliability of supply</w:t>
      </w:r>
    </w:p>
    <w:p w:rsidR="00385D40" w:rsidRPr="00385D40" w:rsidRDefault="00385D40" w:rsidP="00385D40">
      <w:pPr>
        <w:pStyle w:val="BodyText"/>
      </w:pPr>
      <w:r>
        <w:t>The STPIS sets performance targets according to feeder type for distribution businesses using unplanned SAIDI, unpla</w:t>
      </w:r>
      <w:r w:rsidR="00E0149A">
        <w:t xml:space="preserve">nned </w:t>
      </w:r>
      <w:r w:rsidR="00484D9A">
        <w:t>SAIFI,</w:t>
      </w:r>
      <w:r w:rsidR="00E0149A">
        <w:t xml:space="preserve"> and MAIFI indicators</w:t>
      </w:r>
      <w:r w:rsidR="006F2CB1">
        <w:t>.</w:t>
      </w:r>
      <w:r w:rsidR="004979B5">
        <w:rPr>
          <w:rStyle w:val="FootnoteReference"/>
        </w:rPr>
        <w:footnoteReference w:id="6"/>
      </w:r>
      <w:r>
        <w:t xml:space="preserve"> </w:t>
      </w:r>
    </w:p>
    <w:p w:rsidR="00E0149A" w:rsidRDefault="00CD3D07" w:rsidP="00E0149A">
      <w:pPr>
        <w:pStyle w:val="BodyText"/>
      </w:pPr>
      <w:r>
        <w:t>The AER sets performance targets for these indicators at the beginning of each regulatory control period during the revenue determination process</w:t>
      </w:r>
      <w:r w:rsidR="00AB5817">
        <w:t xml:space="preserve"> (table </w:t>
      </w:r>
      <w:r w:rsidR="0074356E">
        <w:t>16</w:t>
      </w:r>
      <w:r w:rsidR="0025626D">
        <w:t>.3</w:t>
      </w:r>
      <w:r w:rsidR="00AB5817">
        <w:t>)</w:t>
      </w:r>
      <w:r>
        <w:t xml:space="preserve">. </w:t>
      </w:r>
      <w:r w:rsidR="004979B5">
        <w:t>T</w:t>
      </w:r>
      <w:r>
        <w:t>he targets</w:t>
      </w:r>
      <w:r w:rsidR="004979B5">
        <w:t xml:space="preserve"> are calculated </w:t>
      </w:r>
      <w:r w:rsidR="00484D9A">
        <w:t xml:space="preserve">as the </w:t>
      </w:r>
      <w:r>
        <w:t>average of the</w:t>
      </w:r>
      <w:r w:rsidR="002A7F92">
        <w:t xml:space="preserve"> available performance data for the five</w:t>
      </w:r>
      <w:r>
        <w:t xml:space="preserve"> </w:t>
      </w:r>
      <w:r w:rsidR="00484D9A">
        <w:t>most recent</w:t>
      </w:r>
      <w:r w:rsidR="002A7F92">
        <w:t xml:space="preserve"> years</w:t>
      </w:r>
      <w:r w:rsidR="00484D9A">
        <w:t xml:space="preserve">. The AER </w:t>
      </w:r>
      <w:r>
        <w:t>then makes adjustments</w:t>
      </w:r>
      <w:r w:rsidR="004272A2">
        <w:t>, such as</w:t>
      </w:r>
      <w:r>
        <w:t xml:space="preserve"> for:</w:t>
      </w:r>
    </w:p>
    <w:p w:rsidR="00E0149A" w:rsidRDefault="00CD3D07" w:rsidP="00E0149A">
      <w:pPr>
        <w:pStyle w:val="ListBullet"/>
        <w:rPr>
          <w:rStyle w:val="BodyTextChar"/>
        </w:rPr>
      </w:pPr>
      <w:r>
        <w:t xml:space="preserve">impacts on past performance from events that are considered to be outside of the control of a distribution business, for example, load shedding due to generation shortfall or failures in transmission networks, or interruptions during </w:t>
      </w:r>
      <w:r w:rsidR="00EB2419">
        <w:t>extreme weather events (box </w:t>
      </w:r>
      <w:r w:rsidR="0074356E">
        <w:t>16</w:t>
      </w:r>
      <w:r w:rsidR="0025626D">
        <w:t>.2</w:t>
      </w:r>
      <w:r w:rsidRPr="00770A81">
        <w:rPr>
          <w:rStyle w:val="BodyTextChar"/>
        </w:rPr>
        <w:t>)</w:t>
      </w:r>
    </w:p>
    <w:p w:rsidR="004272A2" w:rsidRDefault="004272A2" w:rsidP="00E0149A">
      <w:pPr>
        <w:pStyle w:val="ListBullet"/>
      </w:pPr>
      <w:r>
        <w:t>any improvements in reliability that are anticipated to result from expenditure that the AER has or will approve in past or current revenue determinations.</w:t>
      </w:r>
    </w:p>
    <w:p w:rsidR="00197F95" w:rsidRDefault="00197F95" w:rsidP="00197F95">
      <w:pPr>
        <w:pStyle w:val="BodyText"/>
        <w:rPr>
          <w:rStyle w:val="DraftingNote"/>
          <w:b w:val="0"/>
          <w:color w:val="auto"/>
          <w:sz w:val="26"/>
          <w:u w:val="none"/>
        </w:rPr>
      </w:pPr>
      <w:r>
        <w:rPr>
          <w:rStyle w:val="DraftingNote"/>
          <w:b w:val="0"/>
          <w:color w:val="auto"/>
          <w:sz w:val="26"/>
          <w:u w:val="none"/>
        </w:rPr>
        <w:t xml:space="preserve">Distribution businesses report their performance against their targets annually, and differentiate outages that they believe should be excluded from the calculation of their reward or penalty. </w:t>
      </w:r>
    </w:p>
    <w:p w:rsidR="000D4AED" w:rsidRDefault="000D4AED">
      <w:pPr>
        <w:pStyle w:val="TableTitle"/>
      </w:pPr>
      <w:r>
        <w:rPr>
          <w:b w:val="0"/>
        </w:rPr>
        <w:lastRenderedPageBreak/>
        <w:t xml:space="preserve">Table </w:t>
      </w:r>
      <w:r w:rsidR="00977AF3">
        <w:rPr>
          <w:b w:val="0"/>
        </w:rPr>
        <w:t>16.</w:t>
      </w:r>
      <w:r w:rsidR="00365BD8">
        <w:rPr>
          <w:b w:val="0"/>
          <w:noProof/>
        </w:rPr>
        <w:t>3</w:t>
      </w:r>
      <w:r>
        <w:tab/>
      </w:r>
      <w:r w:rsidR="00767911">
        <w:t xml:space="preserve">Example targets for STPIS reliability of supply parameters </w:t>
      </w:r>
    </w:p>
    <w:p w:rsidR="000D4AED" w:rsidRDefault="00767911">
      <w:pPr>
        <w:pStyle w:val="Subtitle"/>
      </w:pPr>
      <w:r>
        <w:t xml:space="preserve">Ergon Energy </w:t>
      </w:r>
    </w:p>
    <w:tbl>
      <w:tblPr>
        <w:tblW w:w="5000" w:type="pct"/>
        <w:tblCellMar>
          <w:left w:w="0" w:type="dxa"/>
          <w:right w:w="0" w:type="dxa"/>
        </w:tblCellMar>
        <w:tblLook w:val="0000" w:firstRow="0" w:lastRow="0" w:firstColumn="0" w:lastColumn="0" w:noHBand="0" w:noVBand="0"/>
      </w:tblPr>
      <w:tblGrid>
        <w:gridCol w:w="1261"/>
        <w:gridCol w:w="1257"/>
        <w:gridCol w:w="1255"/>
        <w:gridCol w:w="1255"/>
        <w:gridCol w:w="1255"/>
        <w:gridCol w:w="1253"/>
        <w:gridCol w:w="1253"/>
      </w:tblGrid>
      <w:tr w:rsidR="000D4AED" w:rsidTr="000D4AED">
        <w:tc>
          <w:tcPr>
            <w:tcW w:w="717" w:type="pct"/>
            <w:tcBorders>
              <w:top w:val="single" w:sz="4" w:space="0" w:color="auto"/>
            </w:tcBorders>
            <w:shd w:val="clear" w:color="auto" w:fill="auto"/>
          </w:tcPr>
          <w:p w:rsidR="000D4AED" w:rsidRDefault="000D4AED" w:rsidP="000D4AED">
            <w:pPr>
              <w:pStyle w:val="TableColumnHeading"/>
              <w:jc w:val="left"/>
            </w:pPr>
            <w:r>
              <w:t>Parameter</w:t>
            </w:r>
          </w:p>
        </w:tc>
        <w:tc>
          <w:tcPr>
            <w:tcW w:w="715" w:type="pct"/>
            <w:tcBorders>
              <w:top w:val="single" w:sz="4" w:space="0" w:color="auto"/>
            </w:tcBorders>
            <w:shd w:val="clear" w:color="auto" w:fill="auto"/>
          </w:tcPr>
          <w:p w:rsidR="000D4AED" w:rsidRDefault="000D4AED" w:rsidP="000D4AED">
            <w:pPr>
              <w:pStyle w:val="TableColumnHeading"/>
            </w:pPr>
            <w:r>
              <w:t>Unit</w:t>
            </w:r>
          </w:p>
        </w:tc>
        <w:tc>
          <w:tcPr>
            <w:tcW w:w="3568" w:type="pct"/>
            <w:gridSpan w:val="5"/>
            <w:tcBorders>
              <w:top w:val="single" w:sz="4" w:space="0" w:color="auto"/>
            </w:tcBorders>
            <w:shd w:val="clear" w:color="auto" w:fill="auto"/>
          </w:tcPr>
          <w:p w:rsidR="000D4AED" w:rsidRDefault="000D4AED" w:rsidP="000D4AED">
            <w:pPr>
              <w:pStyle w:val="TableColumnHeading"/>
              <w:ind w:right="28"/>
              <w:jc w:val="center"/>
            </w:pPr>
            <w:r>
              <w:t>Targets</w:t>
            </w:r>
          </w:p>
        </w:tc>
      </w:tr>
      <w:tr w:rsidR="000D4AED" w:rsidTr="000D4AED">
        <w:tc>
          <w:tcPr>
            <w:tcW w:w="717" w:type="pct"/>
            <w:tcBorders>
              <w:bottom w:val="single" w:sz="4" w:space="0" w:color="auto"/>
            </w:tcBorders>
          </w:tcPr>
          <w:p w:rsidR="000D4AED" w:rsidRDefault="000D4AED" w:rsidP="000D4AED">
            <w:pPr>
              <w:pStyle w:val="TableUnitsRow"/>
              <w:jc w:val="left"/>
            </w:pPr>
          </w:p>
        </w:tc>
        <w:tc>
          <w:tcPr>
            <w:tcW w:w="715" w:type="pct"/>
            <w:tcBorders>
              <w:bottom w:val="single" w:sz="4" w:space="0" w:color="auto"/>
            </w:tcBorders>
          </w:tcPr>
          <w:p w:rsidR="000D4AED" w:rsidRDefault="000D4AED" w:rsidP="000D4AED">
            <w:pPr>
              <w:pStyle w:val="TableUnitsRow"/>
            </w:pPr>
          </w:p>
        </w:tc>
        <w:tc>
          <w:tcPr>
            <w:tcW w:w="714" w:type="pct"/>
            <w:tcBorders>
              <w:bottom w:val="single" w:sz="4" w:space="0" w:color="auto"/>
            </w:tcBorders>
          </w:tcPr>
          <w:p w:rsidR="000D4AED" w:rsidRDefault="000D4AED" w:rsidP="000D4AED">
            <w:pPr>
              <w:pStyle w:val="TableUnitsRow"/>
              <w:ind w:right="28"/>
            </w:pPr>
            <w:r>
              <w:t>2010-11</w:t>
            </w:r>
          </w:p>
        </w:tc>
        <w:tc>
          <w:tcPr>
            <w:tcW w:w="714" w:type="pct"/>
            <w:tcBorders>
              <w:bottom w:val="single" w:sz="4" w:space="0" w:color="auto"/>
            </w:tcBorders>
          </w:tcPr>
          <w:p w:rsidR="000D4AED" w:rsidRDefault="000D4AED" w:rsidP="000D4AED">
            <w:pPr>
              <w:pStyle w:val="TableUnitsRow"/>
              <w:ind w:right="28"/>
            </w:pPr>
            <w:r>
              <w:t>2011-12</w:t>
            </w:r>
          </w:p>
        </w:tc>
        <w:tc>
          <w:tcPr>
            <w:tcW w:w="714" w:type="pct"/>
            <w:tcBorders>
              <w:bottom w:val="single" w:sz="4" w:space="0" w:color="auto"/>
            </w:tcBorders>
          </w:tcPr>
          <w:p w:rsidR="000D4AED" w:rsidRDefault="000D4AED" w:rsidP="000D4AED">
            <w:pPr>
              <w:pStyle w:val="TableUnitsRow"/>
              <w:ind w:right="28"/>
            </w:pPr>
            <w:r>
              <w:t>2012-13</w:t>
            </w:r>
          </w:p>
        </w:tc>
        <w:tc>
          <w:tcPr>
            <w:tcW w:w="713" w:type="pct"/>
            <w:tcBorders>
              <w:bottom w:val="single" w:sz="4" w:space="0" w:color="auto"/>
            </w:tcBorders>
          </w:tcPr>
          <w:p w:rsidR="000D4AED" w:rsidRDefault="000D4AED" w:rsidP="000D4AED">
            <w:pPr>
              <w:pStyle w:val="TableUnitsRow"/>
              <w:ind w:right="28"/>
            </w:pPr>
            <w:r>
              <w:t>2013-14</w:t>
            </w:r>
          </w:p>
        </w:tc>
        <w:tc>
          <w:tcPr>
            <w:tcW w:w="713" w:type="pct"/>
            <w:tcBorders>
              <w:bottom w:val="single" w:sz="4" w:space="0" w:color="auto"/>
            </w:tcBorders>
          </w:tcPr>
          <w:p w:rsidR="000D4AED" w:rsidRDefault="000D4AED" w:rsidP="000D4AED">
            <w:pPr>
              <w:pStyle w:val="TableUnitsRow"/>
              <w:ind w:right="28"/>
            </w:pPr>
            <w:r>
              <w:t>2014-15</w:t>
            </w:r>
          </w:p>
        </w:tc>
      </w:tr>
      <w:tr w:rsidR="000D4AED" w:rsidTr="000D4AED">
        <w:tc>
          <w:tcPr>
            <w:tcW w:w="717" w:type="pct"/>
            <w:tcBorders>
              <w:top w:val="single" w:sz="4" w:space="0" w:color="auto"/>
            </w:tcBorders>
          </w:tcPr>
          <w:p w:rsidR="000D4AED" w:rsidRDefault="000D4AED" w:rsidP="000D4AED">
            <w:pPr>
              <w:pStyle w:val="TableBodyText"/>
              <w:jc w:val="left"/>
            </w:pPr>
            <w:r>
              <w:t>SAIDI</w:t>
            </w:r>
          </w:p>
        </w:tc>
        <w:tc>
          <w:tcPr>
            <w:tcW w:w="715" w:type="pct"/>
            <w:tcBorders>
              <w:top w:val="single" w:sz="4" w:space="0" w:color="auto"/>
            </w:tcBorders>
          </w:tcPr>
          <w:p w:rsidR="000D4AED" w:rsidRDefault="000D4AED" w:rsidP="000D4AED">
            <w:pPr>
              <w:pStyle w:val="TableBodyText"/>
            </w:pPr>
            <w:r>
              <w:t>Minutes</w:t>
            </w:r>
          </w:p>
        </w:tc>
        <w:tc>
          <w:tcPr>
            <w:tcW w:w="714" w:type="pct"/>
            <w:tcBorders>
              <w:top w:val="single" w:sz="4" w:space="0" w:color="auto"/>
            </w:tcBorders>
          </w:tcPr>
          <w:p w:rsidR="000D4AED" w:rsidRDefault="000D4AED" w:rsidP="000D4AED">
            <w:pPr>
              <w:pStyle w:val="TableBodyText"/>
              <w:ind w:right="28"/>
            </w:pPr>
          </w:p>
        </w:tc>
        <w:tc>
          <w:tcPr>
            <w:tcW w:w="714" w:type="pct"/>
            <w:tcBorders>
              <w:top w:val="single" w:sz="4" w:space="0" w:color="auto"/>
            </w:tcBorders>
          </w:tcPr>
          <w:p w:rsidR="000D4AED" w:rsidRDefault="000D4AED" w:rsidP="000D4AED">
            <w:pPr>
              <w:pStyle w:val="TableBodyText"/>
              <w:ind w:right="28"/>
            </w:pPr>
          </w:p>
        </w:tc>
        <w:tc>
          <w:tcPr>
            <w:tcW w:w="714" w:type="pct"/>
            <w:tcBorders>
              <w:top w:val="single" w:sz="4" w:space="0" w:color="auto"/>
            </w:tcBorders>
          </w:tcPr>
          <w:p w:rsidR="000D4AED" w:rsidRDefault="000D4AED" w:rsidP="000D4AED">
            <w:pPr>
              <w:pStyle w:val="TableBodyText"/>
              <w:ind w:right="28"/>
            </w:pPr>
          </w:p>
        </w:tc>
        <w:tc>
          <w:tcPr>
            <w:tcW w:w="713" w:type="pct"/>
            <w:tcBorders>
              <w:top w:val="single" w:sz="4" w:space="0" w:color="auto"/>
            </w:tcBorders>
          </w:tcPr>
          <w:p w:rsidR="000D4AED" w:rsidRDefault="000D4AED" w:rsidP="000D4AED">
            <w:pPr>
              <w:pStyle w:val="TableBodyText"/>
              <w:ind w:right="28"/>
            </w:pPr>
          </w:p>
        </w:tc>
        <w:tc>
          <w:tcPr>
            <w:tcW w:w="713" w:type="pct"/>
            <w:tcBorders>
              <w:top w:val="single" w:sz="4" w:space="0" w:color="auto"/>
            </w:tcBorders>
          </w:tcPr>
          <w:p w:rsidR="000D4AED" w:rsidRDefault="000D4AED" w:rsidP="000D4AED">
            <w:pPr>
              <w:pStyle w:val="TableBodyText"/>
              <w:ind w:right="28"/>
            </w:pPr>
          </w:p>
        </w:tc>
      </w:tr>
      <w:tr w:rsidR="000D4AED" w:rsidTr="000D4AED">
        <w:tc>
          <w:tcPr>
            <w:tcW w:w="717" w:type="pct"/>
          </w:tcPr>
          <w:p w:rsidR="000D4AED" w:rsidRDefault="000D4AED" w:rsidP="000D4AED">
            <w:pPr>
              <w:pStyle w:val="TableBodyText"/>
              <w:jc w:val="left"/>
            </w:pPr>
            <w:r>
              <w:t>Urban</w:t>
            </w:r>
          </w:p>
        </w:tc>
        <w:tc>
          <w:tcPr>
            <w:tcW w:w="715" w:type="pct"/>
          </w:tcPr>
          <w:p w:rsidR="000D4AED" w:rsidRDefault="000D4AED" w:rsidP="000D4AED">
            <w:pPr>
              <w:pStyle w:val="TableBodyText"/>
            </w:pPr>
          </w:p>
        </w:tc>
        <w:tc>
          <w:tcPr>
            <w:tcW w:w="714" w:type="pct"/>
          </w:tcPr>
          <w:p w:rsidR="000D4AED" w:rsidRDefault="000D4AED" w:rsidP="000D4AED">
            <w:pPr>
              <w:pStyle w:val="TableBodyText"/>
              <w:ind w:right="28"/>
            </w:pPr>
            <w:r>
              <w:t>129</w:t>
            </w:r>
          </w:p>
        </w:tc>
        <w:tc>
          <w:tcPr>
            <w:tcW w:w="714" w:type="pct"/>
          </w:tcPr>
          <w:p w:rsidR="000D4AED" w:rsidRDefault="000D4AED" w:rsidP="000D4AED">
            <w:pPr>
              <w:pStyle w:val="TableBodyText"/>
              <w:ind w:right="28"/>
            </w:pPr>
            <w:r>
              <w:t>128</w:t>
            </w:r>
          </w:p>
        </w:tc>
        <w:tc>
          <w:tcPr>
            <w:tcW w:w="714" w:type="pct"/>
          </w:tcPr>
          <w:p w:rsidR="000D4AED" w:rsidRDefault="000D4AED" w:rsidP="000D4AED">
            <w:pPr>
              <w:pStyle w:val="TableBodyText"/>
              <w:ind w:right="28"/>
            </w:pPr>
            <w:r>
              <w:t>127</w:t>
            </w:r>
          </w:p>
        </w:tc>
        <w:tc>
          <w:tcPr>
            <w:tcW w:w="713" w:type="pct"/>
          </w:tcPr>
          <w:p w:rsidR="000D4AED" w:rsidRDefault="000D4AED" w:rsidP="000D4AED">
            <w:pPr>
              <w:pStyle w:val="TableBodyText"/>
              <w:ind w:right="28"/>
            </w:pPr>
            <w:r>
              <w:t>127</w:t>
            </w:r>
          </w:p>
        </w:tc>
        <w:tc>
          <w:tcPr>
            <w:tcW w:w="713" w:type="pct"/>
          </w:tcPr>
          <w:p w:rsidR="000D4AED" w:rsidRDefault="000D4AED" w:rsidP="000D4AED">
            <w:pPr>
              <w:pStyle w:val="TableBodyText"/>
              <w:ind w:right="28"/>
            </w:pPr>
            <w:r>
              <w:t>126</w:t>
            </w:r>
          </w:p>
        </w:tc>
      </w:tr>
      <w:tr w:rsidR="000D4AED" w:rsidTr="000D4AED">
        <w:tc>
          <w:tcPr>
            <w:tcW w:w="717" w:type="pct"/>
          </w:tcPr>
          <w:p w:rsidR="000D4AED" w:rsidRDefault="000D4AED" w:rsidP="000D4AED">
            <w:pPr>
              <w:pStyle w:val="TableBodyText"/>
              <w:jc w:val="left"/>
            </w:pPr>
            <w:r>
              <w:t>Short rural</w:t>
            </w:r>
          </w:p>
        </w:tc>
        <w:tc>
          <w:tcPr>
            <w:tcW w:w="715" w:type="pct"/>
          </w:tcPr>
          <w:p w:rsidR="000D4AED" w:rsidRDefault="000D4AED" w:rsidP="000D4AED">
            <w:pPr>
              <w:pStyle w:val="TableBodyText"/>
            </w:pPr>
          </w:p>
        </w:tc>
        <w:tc>
          <w:tcPr>
            <w:tcW w:w="714" w:type="pct"/>
          </w:tcPr>
          <w:p w:rsidR="000D4AED" w:rsidRDefault="000D4AED" w:rsidP="000D4AED">
            <w:pPr>
              <w:pStyle w:val="TableBodyText"/>
              <w:ind w:right="28"/>
            </w:pPr>
            <w:r>
              <w:t>296</w:t>
            </w:r>
          </w:p>
        </w:tc>
        <w:tc>
          <w:tcPr>
            <w:tcW w:w="714" w:type="pct"/>
          </w:tcPr>
          <w:p w:rsidR="000D4AED" w:rsidRDefault="000D4AED" w:rsidP="000D4AED">
            <w:pPr>
              <w:pStyle w:val="TableBodyText"/>
              <w:ind w:right="28"/>
            </w:pPr>
            <w:r>
              <w:t>291</w:t>
            </w:r>
          </w:p>
        </w:tc>
        <w:tc>
          <w:tcPr>
            <w:tcW w:w="714" w:type="pct"/>
          </w:tcPr>
          <w:p w:rsidR="000D4AED" w:rsidRDefault="000D4AED" w:rsidP="000D4AED">
            <w:pPr>
              <w:pStyle w:val="TableBodyText"/>
              <w:ind w:right="28"/>
            </w:pPr>
            <w:r>
              <w:t>287</w:t>
            </w:r>
          </w:p>
        </w:tc>
        <w:tc>
          <w:tcPr>
            <w:tcW w:w="713" w:type="pct"/>
          </w:tcPr>
          <w:p w:rsidR="000D4AED" w:rsidRDefault="000D4AED" w:rsidP="000D4AED">
            <w:pPr>
              <w:pStyle w:val="TableBodyText"/>
              <w:ind w:right="28"/>
            </w:pPr>
            <w:r>
              <w:t>283</w:t>
            </w:r>
          </w:p>
        </w:tc>
        <w:tc>
          <w:tcPr>
            <w:tcW w:w="713" w:type="pct"/>
          </w:tcPr>
          <w:p w:rsidR="000D4AED" w:rsidRDefault="000D4AED" w:rsidP="000D4AED">
            <w:pPr>
              <w:pStyle w:val="TableBodyText"/>
              <w:ind w:right="28"/>
            </w:pPr>
            <w:r>
              <w:t>279</w:t>
            </w:r>
          </w:p>
        </w:tc>
      </w:tr>
      <w:tr w:rsidR="000D4AED" w:rsidTr="000D4AED">
        <w:tc>
          <w:tcPr>
            <w:tcW w:w="717" w:type="pct"/>
          </w:tcPr>
          <w:p w:rsidR="000D4AED" w:rsidRDefault="000D4AED" w:rsidP="000D4AED">
            <w:pPr>
              <w:pStyle w:val="TableBodyText"/>
              <w:jc w:val="left"/>
            </w:pPr>
            <w:r>
              <w:t>Long rural</w:t>
            </w:r>
          </w:p>
        </w:tc>
        <w:tc>
          <w:tcPr>
            <w:tcW w:w="715" w:type="pct"/>
          </w:tcPr>
          <w:p w:rsidR="000D4AED" w:rsidRDefault="000D4AED" w:rsidP="000D4AED">
            <w:pPr>
              <w:pStyle w:val="TableBodyText"/>
            </w:pPr>
          </w:p>
        </w:tc>
        <w:tc>
          <w:tcPr>
            <w:tcW w:w="714" w:type="pct"/>
          </w:tcPr>
          <w:p w:rsidR="000D4AED" w:rsidRDefault="000D4AED" w:rsidP="000D4AED">
            <w:pPr>
              <w:pStyle w:val="TableBodyText"/>
              <w:ind w:right="28"/>
            </w:pPr>
            <w:r>
              <w:t>699</w:t>
            </w:r>
          </w:p>
        </w:tc>
        <w:tc>
          <w:tcPr>
            <w:tcW w:w="714" w:type="pct"/>
          </w:tcPr>
          <w:p w:rsidR="000D4AED" w:rsidRDefault="000D4AED" w:rsidP="000D4AED">
            <w:pPr>
              <w:pStyle w:val="TableBodyText"/>
              <w:ind w:right="28"/>
            </w:pPr>
            <w:r>
              <w:t>687</w:t>
            </w:r>
          </w:p>
        </w:tc>
        <w:tc>
          <w:tcPr>
            <w:tcW w:w="714" w:type="pct"/>
          </w:tcPr>
          <w:p w:rsidR="000D4AED" w:rsidRDefault="000D4AED" w:rsidP="000D4AED">
            <w:pPr>
              <w:pStyle w:val="TableBodyText"/>
              <w:ind w:right="28"/>
            </w:pPr>
            <w:r>
              <w:t>675</w:t>
            </w:r>
          </w:p>
        </w:tc>
        <w:tc>
          <w:tcPr>
            <w:tcW w:w="713" w:type="pct"/>
          </w:tcPr>
          <w:p w:rsidR="000D4AED" w:rsidRDefault="000D4AED" w:rsidP="000D4AED">
            <w:pPr>
              <w:pStyle w:val="TableBodyText"/>
              <w:ind w:right="28"/>
            </w:pPr>
            <w:r>
              <w:t>664</w:t>
            </w:r>
          </w:p>
        </w:tc>
        <w:tc>
          <w:tcPr>
            <w:tcW w:w="713" w:type="pct"/>
          </w:tcPr>
          <w:p w:rsidR="000D4AED" w:rsidRDefault="000D4AED" w:rsidP="000D4AED">
            <w:pPr>
              <w:pStyle w:val="TableBodyText"/>
              <w:ind w:right="28"/>
            </w:pPr>
            <w:r>
              <w:t>652</w:t>
            </w:r>
          </w:p>
        </w:tc>
      </w:tr>
      <w:tr w:rsidR="000D4AED" w:rsidTr="000D4AED">
        <w:tc>
          <w:tcPr>
            <w:tcW w:w="717" w:type="pct"/>
          </w:tcPr>
          <w:p w:rsidR="000D4AED" w:rsidRDefault="000D4AED" w:rsidP="000D4AED">
            <w:pPr>
              <w:pStyle w:val="TableBodyText"/>
              <w:jc w:val="left"/>
            </w:pPr>
            <w:r>
              <w:t>SAIFI</w:t>
            </w:r>
          </w:p>
        </w:tc>
        <w:tc>
          <w:tcPr>
            <w:tcW w:w="715" w:type="pct"/>
          </w:tcPr>
          <w:p w:rsidR="000D4AED" w:rsidRDefault="0025626D" w:rsidP="000D4AED">
            <w:pPr>
              <w:pStyle w:val="TableBodyText"/>
            </w:pPr>
            <w:r>
              <w:t>Interruptions</w:t>
            </w:r>
          </w:p>
        </w:tc>
        <w:tc>
          <w:tcPr>
            <w:tcW w:w="714" w:type="pct"/>
          </w:tcPr>
          <w:p w:rsidR="000D4AED" w:rsidRDefault="000D4AED" w:rsidP="000D4AED">
            <w:pPr>
              <w:pStyle w:val="TableBodyText"/>
              <w:ind w:right="28"/>
            </w:pPr>
          </w:p>
        </w:tc>
        <w:tc>
          <w:tcPr>
            <w:tcW w:w="714" w:type="pct"/>
          </w:tcPr>
          <w:p w:rsidR="000D4AED" w:rsidRDefault="000D4AED" w:rsidP="000D4AED">
            <w:pPr>
              <w:pStyle w:val="TableBodyText"/>
              <w:ind w:right="28"/>
            </w:pPr>
          </w:p>
        </w:tc>
        <w:tc>
          <w:tcPr>
            <w:tcW w:w="714" w:type="pct"/>
          </w:tcPr>
          <w:p w:rsidR="000D4AED" w:rsidRDefault="000D4AED" w:rsidP="000D4AED">
            <w:pPr>
              <w:pStyle w:val="TableBodyText"/>
              <w:ind w:right="28"/>
            </w:pPr>
          </w:p>
        </w:tc>
        <w:tc>
          <w:tcPr>
            <w:tcW w:w="713" w:type="pct"/>
          </w:tcPr>
          <w:p w:rsidR="000D4AED" w:rsidRDefault="000D4AED" w:rsidP="000D4AED">
            <w:pPr>
              <w:pStyle w:val="TableBodyText"/>
              <w:ind w:right="28"/>
            </w:pPr>
          </w:p>
        </w:tc>
        <w:tc>
          <w:tcPr>
            <w:tcW w:w="713" w:type="pct"/>
          </w:tcPr>
          <w:p w:rsidR="000D4AED" w:rsidRDefault="000D4AED" w:rsidP="000D4AED">
            <w:pPr>
              <w:pStyle w:val="TableBodyText"/>
              <w:ind w:right="28"/>
            </w:pPr>
          </w:p>
        </w:tc>
      </w:tr>
      <w:tr w:rsidR="000D4AED" w:rsidTr="000D4AED">
        <w:tc>
          <w:tcPr>
            <w:tcW w:w="717" w:type="pct"/>
          </w:tcPr>
          <w:p w:rsidR="000D4AED" w:rsidRDefault="000D4AED" w:rsidP="000D4AED">
            <w:pPr>
              <w:pStyle w:val="TableBodyText"/>
              <w:jc w:val="left"/>
            </w:pPr>
            <w:r>
              <w:t>Urban</w:t>
            </w:r>
          </w:p>
        </w:tc>
        <w:tc>
          <w:tcPr>
            <w:tcW w:w="715" w:type="pct"/>
          </w:tcPr>
          <w:p w:rsidR="000D4AED" w:rsidRDefault="000D4AED" w:rsidP="000D4AED">
            <w:pPr>
              <w:pStyle w:val="TableBodyText"/>
            </w:pPr>
          </w:p>
        </w:tc>
        <w:tc>
          <w:tcPr>
            <w:tcW w:w="714" w:type="pct"/>
          </w:tcPr>
          <w:p w:rsidR="000D4AED" w:rsidRDefault="000D4AED" w:rsidP="000D4AED">
            <w:pPr>
              <w:pStyle w:val="TableBodyText"/>
              <w:ind w:right="28"/>
            </w:pPr>
            <w:r>
              <w:t>1.69</w:t>
            </w:r>
          </w:p>
        </w:tc>
        <w:tc>
          <w:tcPr>
            <w:tcW w:w="714" w:type="pct"/>
          </w:tcPr>
          <w:p w:rsidR="000D4AED" w:rsidRDefault="000D4AED" w:rsidP="000D4AED">
            <w:pPr>
              <w:pStyle w:val="TableBodyText"/>
              <w:ind w:right="28"/>
            </w:pPr>
            <w:r>
              <w:t>1.68</w:t>
            </w:r>
          </w:p>
        </w:tc>
        <w:tc>
          <w:tcPr>
            <w:tcW w:w="714" w:type="pct"/>
          </w:tcPr>
          <w:p w:rsidR="000D4AED" w:rsidRDefault="000D4AED" w:rsidP="000D4AED">
            <w:pPr>
              <w:pStyle w:val="TableBodyText"/>
              <w:ind w:right="28"/>
            </w:pPr>
            <w:r>
              <w:t>1.66</w:t>
            </w:r>
          </w:p>
        </w:tc>
        <w:tc>
          <w:tcPr>
            <w:tcW w:w="713" w:type="pct"/>
          </w:tcPr>
          <w:p w:rsidR="000D4AED" w:rsidRDefault="000D4AED" w:rsidP="000D4AED">
            <w:pPr>
              <w:pStyle w:val="TableBodyText"/>
              <w:ind w:right="28"/>
            </w:pPr>
            <w:r>
              <w:t>1.64</w:t>
            </w:r>
          </w:p>
        </w:tc>
        <w:tc>
          <w:tcPr>
            <w:tcW w:w="713" w:type="pct"/>
          </w:tcPr>
          <w:p w:rsidR="000D4AED" w:rsidRDefault="000D4AED" w:rsidP="000D4AED">
            <w:pPr>
              <w:pStyle w:val="TableBodyText"/>
              <w:ind w:right="28"/>
            </w:pPr>
            <w:r>
              <w:t>1.63</w:t>
            </w:r>
          </w:p>
        </w:tc>
      </w:tr>
      <w:tr w:rsidR="000D4AED" w:rsidTr="000D4AED">
        <w:tc>
          <w:tcPr>
            <w:tcW w:w="717" w:type="pct"/>
          </w:tcPr>
          <w:p w:rsidR="000D4AED" w:rsidRDefault="000D4AED" w:rsidP="000D4AED">
            <w:pPr>
              <w:pStyle w:val="TableBodyText"/>
              <w:jc w:val="left"/>
            </w:pPr>
            <w:r>
              <w:t>Short rural</w:t>
            </w:r>
          </w:p>
        </w:tc>
        <w:tc>
          <w:tcPr>
            <w:tcW w:w="715" w:type="pct"/>
          </w:tcPr>
          <w:p w:rsidR="000D4AED" w:rsidRDefault="000D4AED" w:rsidP="000D4AED">
            <w:pPr>
              <w:pStyle w:val="TableBodyText"/>
            </w:pPr>
          </w:p>
        </w:tc>
        <w:tc>
          <w:tcPr>
            <w:tcW w:w="714" w:type="pct"/>
          </w:tcPr>
          <w:p w:rsidR="000D4AED" w:rsidRDefault="000D4AED" w:rsidP="000D4AED">
            <w:pPr>
              <w:pStyle w:val="TableBodyText"/>
              <w:ind w:right="28"/>
            </w:pPr>
            <w:r>
              <w:t>3.06</w:t>
            </w:r>
          </w:p>
        </w:tc>
        <w:tc>
          <w:tcPr>
            <w:tcW w:w="714" w:type="pct"/>
          </w:tcPr>
          <w:p w:rsidR="000D4AED" w:rsidRDefault="000D4AED" w:rsidP="000D4AED">
            <w:pPr>
              <w:pStyle w:val="TableBodyText"/>
              <w:ind w:right="28"/>
            </w:pPr>
            <w:r>
              <w:t>3.02</w:t>
            </w:r>
          </w:p>
        </w:tc>
        <w:tc>
          <w:tcPr>
            <w:tcW w:w="714" w:type="pct"/>
          </w:tcPr>
          <w:p w:rsidR="000D4AED" w:rsidRDefault="000D4AED" w:rsidP="000D4AED">
            <w:pPr>
              <w:pStyle w:val="TableBodyText"/>
              <w:ind w:right="28"/>
            </w:pPr>
            <w:r>
              <w:t>2.98</w:t>
            </w:r>
          </w:p>
        </w:tc>
        <w:tc>
          <w:tcPr>
            <w:tcW w:w="713" w:type="pct"/>
          </w:tcPr>
          <w:p w:rsidR="000D4AED" w:rsidRDefault="000D4AED" w:rsidP="000D4AED">
            <w:pPr>
              <w:pStyle w:val="TableBodyText"/>
              <w:ind w:right="28"/>
            </w:pPr>
            <w:r>
              <w:t>2.94</w:t>
            </w:r>
          </w:p>
        </w:tc>
        <w:tc>
          <w:tcPr>
            <w:tcW w:w="713" w:type="pct"/>
          </w:tcPr>
          <w:p w:rsidR="000D4AED" w:rsidRDefault="000D4AED" w:rsidP="000D4AED">
            <w:pPr>
              <w:pStyle w:val="TableBodyText"/>
              <w:ind w:right="28"/>
            </w:pPr>
            <w:r>
              <w:t>2.91</w:t>
            </w:r>
          </w:p>
        </w:tc>
      </w:tr>
      <w:tr w:rsidR="000D4AED" w:rsidTr="000D4AED">
        <w:tc>
          <w:tcPr>
            <w:tcW w:w="717" w:type="pct"/>
            <w:tcBorders>
              <w:bottom w:val="single" w:sz="6" w:space="0" w:color="auto"/>
            </w:tcBorders>
            <w:shd w:val="clear" w:color="auto" w:fill="auto"/>
          </w:tcPr>
          <w:p w:rsidR="000D4AED" w:rsidRDefault="000D4AED" w:rsidP="000D4AED">
            <w:pPr>
              <w:pStyle w:val="TableBodyText"/>
              <w:jc w:val="left"/>
            </w:pPr>
            <w:r>
              <w:t>Long rural</w:t>
            </w:r>
          </w:p>
        </w:tc>
        <w:tc>
          <w:tcPr>
            <w:tcW w:w="715" w:type="pct"/>
            <w:tcBorders>
              <w:bottom w:val="single" w:sz="6" w:space="0" w:color="auto"/>
            </w:tcBorders>
            <w:shd w:val="clear" w:color="auto" w:fill="auto"/>
          </w:tcPr>
          <w:p w:rsidR="000D4AED" w:rsidRDefault="000D4AED" w:rsidP="000D4AED">
            <w:pPr>
              <w:pStyle w:val="TableBodyText"/>
            </w:pPr>
          </w:p>
        </w:tc>
        <w:tc>
          <w:tcPr>
            <w:tcW w:w="714" w:type="pct"/>
            <w:tcBorders>
              <w:bottom w:val="single" w:sz="6" w:space="0" w:color="auto"/>
            </w:tcBorders>
            <w:shd w:val="clear" w:color="auto" w:fill="auto"/>
          </w:tcPr>
          <w:p w:rsidR="000D4AED" w:rsidRDefault="000D4AED" w:rsidP="000D4AED">
            <w:pPr>
              <w:pStyle w:val="TableBodyText"/>
              <w:ind w:right="28"/>
            </w:pPr>
            <w:r>
              <w:t>5.59</w:t>
            </w:r>
          </w:p>
        </w:tc>
        <w:tc>
          <w:tcPr>
            <w:tcW w:w="714" w:type="pct"/>
            <w:tcBorders>
              <w:bottom w:val="single" w:sz="6" w:space="0" w:color="auto"/>
            </w:tcBorders>
          </w:tcPr>
          <w:p w:rsidR="000D4AED" w:rsidRDefault="000D4AED" w:rsidP="000D4AED">
            <w:pPr>
              <w:pStyle w:val="TableBodyText"/>
              <w:ind w:right="28"/>
            </w:pPr>
            <w:r>
              <w:t>5.52</w:t>
            </w:r>
          </w:p>
        </w:tc>
        <w:tc>
          <w:tcPr>
            <w:tcW w:w="714" w:type="pct"/>
            <w:tcBorders>
              <w:bottom w:val="single" w:sz="6" w:space="0" w:color="auto"/>
            </w:tcBorders>
          </w:tcPr>
          <w:p w:rsidR="000D4AED" w:rsidRDefault="000D4AED" w:rsidP="000D4AED">
            <w:pPr>
              <w:pStyle w:val="TableBodyText"/>
              <w:ind w:right="28"/>
            </w:pPr>
            <w:r>
              <w:t>5.44</w:t>
            </w:r>
          </w:p>
        </w:tc>
        <w:tc>
          <w:tcPr>
            <w:tcW w:w="713" w:type="pct"/>
            <w:tcBorders>
              <w:bottom w:val="single" w:sz="6" w:space="0" w:color="auto"/>
            </w:tcBorders>
          </w:tcPr>
          <w:p w:rsidR="000D4AED" w:rsidRDefault="000D4AED" w:rsidP="000D4AED">
            <w:pPr>
              <w:pStyle w:val="TableBodyText"/>
              <w:ind w:right="28"/>
            </w:pPr>
            <w:r>
              <w:t>5.37</w:t>
            </w:r>
          </w:p>
        </w:tc>
        <w:tc>
          <w:tcPr>
            <w:tcW w:w="713" w:type="pct"/>
            <w:tcBorders>
              <w:bottom w:val="single" w:sz="6" w:space="0" w:color="auto"/>
            </w:tcBorders>
          </w:tcPr>
          <w:p w:rsidR="000D4AED" w:rsidRDefault="000D4AED" w:rsidP="000D4AED">
            <w:pPr>
              <w:pStyle w:val="TableBodyText"/>
              <w:ind w:right="28"/>
            </w:pPr>
            <w:r>
              <w:t>5.29</w:t>
            </w:r>
          </w:p>
        </w:tc>
      </w:tr>
    </w:tbl>
    <w:p w:rsidR="000D4AED" w:rsidRPr="008E77FE" w:rsidRDefault="000D4AED" w:rsidP="000D4AED">
      <w:pPr>
        <w:pStyle w:val="Source"/>
      </w:pPr>
      <w:r>
        <w:rPr>
          <w:i/>
        </w:rPr>
        <w:t>Source</w:t>
      </w:r>
      <w:r>
        <w:t xml:space="preserve">: AER </w:t>
      </w:r>
      <w:r w:rsidR="00424A99">
        <w:t>(</w:t>
      </w:r>
      <w:r>
        <w:t>2009</w:t>
      </w:r>
      <w:r w:rsidR="00EF3128">
        <w:t>c,</w:t>
      </w:r>
      <w:r>
        <w:t xml:space="preserve"> p. 304</w:t>
      </w:r>
      <w:r w:rsidR="00424A99">
        <w:t>).</w:t>
      </w:r>
    </w:p>
    <w:p w:rsidR="00484D9A" w:rsidRDefault="00CE4A80" w:rsidP="00484D9A">
      <w:pPr>
        <w:pStyle w:val="BodyText"/>
        <w:rPr>
          <w:rStyle w:val="DraftingNote"/>
          <w:b w:val="0"/>
          <w:color w:val="auto"/>
          <w:sz w:val="26"/>
          <w:u w:val="none"/>
        </w:rPr>
      </w:pPr>
      <w:r>
        <w:rPr>
          <w:rStyle w:val="DraftingNote"/>
          <w:b w:val="0"/>
          <w:color w:val="auto"/>
          <w:sz w:val="26"/>
          <w:u w:val="none"/>
        </w:rPr>
        <w:t>Some e</w:t>
      </w:r>
      <w:r w:rsidR="00484D9A">
        <w:rPr>
          <w:rStyle w:val="DraftingNote"/>
          <w:b w:val="0"/>
          <w:color w:val="auto"/>
          <w:sz w:val="26"/>
          <w:u w:val="none"/>
        </w:rPr>
        <w:t>vents are excluded from the measurement of performance against targets because, in theory, distribution businesses should not be penalised for interruptions</w:t>
      </w:r>
      <w:r w:rsidR="00BB7FBA">
        <w:rPr>
          <w:rStyle w:val="DraftingNote"/>
          <w:b w:val="0"/>
          <w:color w:val="auto"/>
          <w:sz w:val="26"/>
          <w:u w:val="none"/>
        </w:rPr>
        <w:t xml:space="preserve"> that were not their fault. </w:t>
      </w:r>
      <w:r w:rsidR="00484D9A">
        <w:rPr>
          <w:rStyle w:val="DraftingNote"/>
          <w:b w:val="0"/>
          <w:color w:val="auto"/>
          <w:sz w:val="26"/>
          <w:u w:val="none"/>
        </w:rPr>
        <w:t>Excluding certain types of event, however, also weakens the incentives that businesses have to prevent those types of event from</w:t>
      </w:r>
      <w:r w:rsidR="00852E9B">
        <w:rPr>
          <w:rStyle w:val="DraftingNote"/>
          <w:b w:val="0"/>
          <w:color w:val="auto"/>
          <w:sz w:val="26"/>
          <w:u w:val="none"/>
        </w:rPr>
        <w:t xml:space="preserve"> recurring</w:t>
      </w:r>
      <w:r w:rsidR="00484D9A">
        <w:rPr>
          <w:rStyle w:val="DraftingNote"/>
          <w:b w:val="0"/>
          <w:color w:val="auto"/>
          <w:sz w:val="26"/>
          <w:u w:val="none"/>
        </w:rPr>
        <w:t xml:space="preserve">. The AEMC gives the example of an interruption caused by a car accident; while the business is not ‘directly responsible’ for the accident, there are measures that it could take to avoid future accidents, such as positioning poles further from roads </w:t>
      </w:r>
      <w:r w:rsidR="00186965">
        <w:rPr>
          <w:rStyle w:val="DraftingNote"/>
          <w:b w:val="0"/>
          <w:color w:val="auto"/>
          <w:sz w:val="26"/>
          <w:u w:val="none"/>
        </w:rPr>
        <w:t xml:space="preserve">(albeit at a cost) </w:t>
      </w:r>
      <w:r w:rsidR="00484D9A">
        <w:rPr>
          <w:rStyle w:val="DraftingNote"/>
          <w:b w:val="0"/>
          <w:color w:val="auto"/>
          <w:sz w:val="26"/>
          <w:u w:val="none"/>
        </w:rPr>
        <w:t>(AEMC 2012</w:t>
      </w:r>
      <w:r w:rsidR="00EF3128">
        <w:rPr>
          <w:rStyle w:val="DraftingNote"/>
          <w:b w:val="0"/>
          <w:color w:val="auto"/>
          <w:sz w:val="26"/>
          <w:u w:val="none"/>
        </w:rPr>
        <w:t>k</w:t>
      </w:r>
      <w:r w:rsidR="00484D9A">
        <w:rPr>
          <w:rStyle w:val="DraftingNote"/>
          <w:b w:val="0"/>
          <w:color w:val="auto"/>
          <w:sz w:val="26"/>
          <w:u w:val="none"/>
        </w:rPr>
        <w:t>, p. 32).</w:t>
      </w:r>
    </w:p>
    <w:p w:rsidR="00E07C87" w:rsidRDefault="00E07C87" w:rsidP="00484D9A">
      <w:pPr>
        <w:pStyle w:val="BodyText"/>
        <w:rPr>
          <w:rStyle w:val="DraftingNote"/>
          <w:b w:val="0"/>
          <w:color w:val="auto"/>
          <w:u w:val="none"/>
        </w:rPr>
      </w:pPr>
      <w:r>
        <w:rPr>
          <w:rStyle w:val="DraftingNote"/>
          <w:b w:val="0"/>
          <w:color w:val="auto"/>
          <w:sz w:val="26"/>
          <w:u w:val="none"/>
        </w:rPr>
        <w:t xml:space="preserve">These matters illustrate a problem common with many incentive schemes that sometimes they motivate as much </w:t>
      </w:r>
      <w:r w:rsidR="00E328D5">
        <w:rPr>
          <w:rStyle w:val="DraftingNote"/>
          <w:b w:val="0"/>
          <w:color w:val="auto"/>
          <w:sz w:val="26"/>
          <w:u w:val="none"/>
        </w:rPr>
        <w:t xml:space="preserve">‘internal’ </w:t>
      </w:r>
      <w:r>
        <w:rPr>
          <w:rStyle w:val="DraftingNote"/>
          <w:b w:val="0"/>
          <w:color w:val="auto"/>
          <w:sz w:val="26"/>
          <w:u w:val="none"/>
        </w:rPr>
        <w:t>focus on debating and defining the ‘rules and exceptions</w:t>
      </w:r>
      <w:r w:rsidR="004B314C">
        <w:rPr>
          <w:rStyle w:val="DraftingNote"/>
          <w:b w:val="0"/>
          <w:color w:val="auto"/>
          <w:sz w:val="26"/>
          <w:u w:val="none"/>
        </w:rPr>
        <w:t>’</w:t>
      </w:r>
      <w:r>
        <w:rPr>
          <w:rStyle w:val="DraftingNote"/>
          <w:b w:val="0"/>
          <w:color w:val="auto"/>
          <w:sz w:val="26"/>
          <w:u w:val="none"/>
        </w:rPr>
        <w:t xml:space="preserve"> as they do on businesses genuinely </w:t>
      </w:r>
      <w:r w:rsidR="00295380">
        <w:rPr>
          <w:rStyle w:val="DraftingNote"/>
          <w:b w:val="0"/>
          <w:color w:val="auto"/>
          <w:sz w:val="26"/>
          <w:u w:val="none"/>
        </w:rPr>
        <w:t xml:space="preserve">looking outwards and </w:t>
      </w:r>
      <w:r>
        <w:rPr>
          <w:rStyle w:val="DraftingNote"/>
          <w:b w:val="0"/>
          <w:color w:val="auto"/>
          <w:sz w:val="26"/>
          <w:u w:val="none"/>
        </w:rPr>
        <w:t xml:space="preserve">trying to achieve the intended objective </w:t>
      </w:r>
      <w:r w:rsidR="00E111EA">
        <w:rPr>
          <w:rStyle w:val="DraftingNote"/>
          <w:b w:val="0"/>
          <w:color w:val="auto"/>
          <w:sz w:val="26"/>
          <w:u w:val="none"/>
        </w:rPr>
        <w:t>—</w:t>
      </w:r>
      <w:r>
        <w:rPr>
          <w:rStyle w:val="DraftingNote"/>
          <w:b w:val="0"/>
          <w:color w:val="auto"/>
          <w:sz w:val="26"/>
          <w:u w:val="none"/>
        </w:rPr>
        <w:t xml:space="preserve"> in this case improved satisfaction in the eyes of end customer</w:t>
      </w:r>
      <w:r w:rsidR="00E328D5">
        <w:rPr>
          <w:rStyle w:val="DraftingNote"/>
          <w:b w:val="0"/>
          <w:color w:val="auto"/>
          <w:sz w:val="26"/>
          <w:u w:val="none"/>
        </w:rPr>
        <w:t>s</w:t>
      </w:r>
      <w:r>
        <w:rPr>
          <w:rStyle w:val="DraftingNote"/>
          <w:b w:val="0"/>
          <w:color w:val="auto"/>
          <w:sz w:val="26"/>
          <w:u w:val="none"/>
        </w:rPr>
        <w:t xml:space="preserve">. </w:t>
      </w:r>
      <w:r w:rsidR="00295380">
        <w:rPr>
          <w:rStyle w:val="DraftingNote"/>
          <w:b w:val="0"/>
          <w:color w:val="auto"/>
          <w:sz w:val="26"/>
          <w:u w:val="none"/>
        </w:rPr>
        <w:t>Apart from the issues around VCR, for</w:t>
      </w:r>
      <w:r>
        <w:rPr>
          <w:rStyle w:val="DraftingNote"/>
          <w:b w:val="0"/>
          <w:color w:val="auto"/>
          <w:sz w:val="26"/>
          <w:u w:val="none"/>
        </w:rPr>
        <w:t xml:space="preserve"> some of the</w:t>
      </w:r>
      <w:r w:rsidR="00295380">
        <w:rPr>
          <w:rStyle w:val="DraftingNote"/>
          <w:b w:val="0"/>
          <w:color w:val="auto"/>
          <w:sz w:val="26"/>
          <w:u w:val="none"/>
        </w:rPr>
        <w:t xml:space="preserve"> other components included in the STPIS</w:t>
      </w:r>
      <w:r>
        <w:rPr>
          <w:rStyle w:val="DraftingNote"/>
          <w:b w:val="0"/>
          <w:color w:val="auto"/>
          <w:sz w:val="26"/>
          <w:u w:val="none"/>
        </w:rPr>
        <w:t>, it is not entirely clear whether customers have been</w:t>
      </w:r>
      <w:r w:rsidR="00295380">
        <w:rPr>
          <w:rStyle w:val="DraftingNote"/>
          <w:b w:val="0"/>
          <w:color w:val="auto"/>
          <w:sz w:val="26"/>
          <w:u w:val="none"/>
        </w:rPr>
        <w:t xml:space="preserve"> adequately</w:t>
      </w:r>
      <w:r>
        <w:rPr>
          <w:rStyle w:val="DraftingNote"/>
          <w:b w:val="0"/>
          <w:color w:val="auto"/>
          <w:sz w:val="26"/>
          <w:u w:val="none"/>
        </w:rPr>
        <w:t xml:space="preserve"> consulted </w:t>
      </w:r>
      <w:r w:rsidR="00295380">
        <w:rPr>
          <w:rStyle w:val="DraftingNote"/>
          <w:b w:val="0"/>
          <w:color w:val="auto"/>
          <w:sz w:val="26"/>
          <w:u w:val="none"/>
        </w:rPr>
        <w:t xml:space="preserve">for example </w:t>
      </w:r>
      <w:r>
        <w:rPr>
          <w:rStyle w:val="DraftingNote"/>
          <w:b w:val="0"/>
          <w:color w:val="auto"/>
          <w:sz w:val="26"/>
          <w:u w:val="none"/>
        </w:rPr>
        <w:t xml:space="preserve">about whether they care </w:t>
      </w:r>
      <w:r w:rsidR="00E328D5">
        <w:rPr>
          <w:rStyle w:val="DraftingNote"/>
          <w:b w:val="0"/>
          <w:color w:val="auto"/>
          <w:sz w:val="26"/>
          <w:u w:val="none"/>
        </w:rPr>
        <w:t xml:space="preserve">much </w:t>
      </w:r>
      <w:r>
        <w:rPr>
          <w:rStyle w:val="DraftingNote"/>
          <w:b w:val="0"/>
          <w:color w:val="auto"/>
          <w:sz w:val="26"/>
          <w:u w:val="none"/>
        </w:rPr>
        <w:t>about the exact reasons for an outage</w:t>
      </w:r>
      <w:r w:rsidR="00E328D5">
        <w:rPr>
          <w:rStyle w:val="DraftingNote"/>
          <w:b w:val="0"/>
          <w:color w:val="auto"/>
          <w:sz w:val="26"/>
          <w:u w:val="none"/>
        </w:rPr>
        <w:t>. I</w:t>
      </w:r>
      <w:r>
        <w:rPr>
          <w:rStyle w:val="DraftingNote"/>
          <w:b w:val="0"/>
          <w:color w:val="auto"/>
          <w:sz w:val="26"/>
          <w:u w:val="none"/>
        </w:rPr>
        <w:t>t is likely that for some, the fact that there is an outage, planned or unplanned, due to a</w:t>
      </w:r>
      <w:r w:rsidR="00E328D5">
        <w:rPr>
          <w:rStyle w:val="DraftingNote"/>
          <w:b w:val="0"/>
          <w:color w:val="auto"/>
          <w:sz w:val="26"/>
          <w:u w:val="none"/>
        </w:rPr>
        <w:t>n event defined as</w:t>
      </w:r>
      <w:r>
        <w:rPr>
          <w:rStyle w:val="DraftingNote"/>
          <w:b w:val="0"/>
          <w:color w:val="auto"/>
          <w:sz w:val="26"/>
          <w:u w:val="none"/>
        </w:rPr>
        <w:t xml:space="preserve"> ‘controllable or uncontrollable’</w:t>
      </w:r>
      <w:r w:rsidR="00E111EA">
        <w:rPr>
          <w:rStyle w:val="DraftingNote"/>
          <w:b w:val="0"/>
          <w:color w:val="auto"/>
          <w:sz w:val="26"/>
          <w:u w:val="none"/>
        </w:rPr>
        <w:t>,</w:t>
      </w:r>
      <w:r>
        <w:rPr>
          <w:rStyle w:val="DraftingNote"/>
          <w:b w:val="0"/>
          <w:color w:val="auto"/>
          <w:sz w:val="26"/>
          <w:u w:val="none"/>
        </w:rPr>
        <w:t xml:space="preserve"> all they </w:t>
      </w:r>
      <w:r w:rsidR="00E328D5">
        <w:rPr>
          <w:rStyle w:val="DraftingNote"/>
          <w:b w:val="0"/>
          <w:color w:val="auto"/>
          <w:sz w:val="26"/>
          <w:u w:val="none"/>
        </w:rPr>
        <w:t xml:space="preserve">really </w:t>
      </w:r>
      <w:r>
        <w:rPr>
          <w:rStyle w:val="DraftingNote"/>
          <w:b w:val="0"/>
          <w:color w:val="auto"/>
          <w:sz w:val="26"/>
          <w:u w:val="none"/>
        </w:rPr>
        <w:t>care about is getting their power supply restored</w:t>
      </w:r>
      <w:r w:rsidR="00E328D5">
        <w:rPr>
          <w:rStyle w:val="DraftingNote"/>
          <w:b w:val="0"/>
          <w:color w:val="auto"/>
          <w:sz w:val="26"/>
          <w:u w:val="none"/>
        </w:rPr>
        <w:t xml:space="preserve"> quickly</w:t>
      </w:r>
      <w:r>
        <w:rPr>
          <w:rStyle w:val="DraftingNote"/>
          <w:b w:val="0"/>
          <w:color w:val="auto"/>
          <w:sz w:val="26"/>
          <w:u w:val="none"/>
        </w:rPr>
        <w:t xml:space="preserve">. </w:t>
      </w:r>
      <w:r w:rsidR="00E328D5">
        <w:rPr>
          <w:rStyle w:val="DraftingNote"/>
          <w:b w:val="0"/>
          <w:color w:val="auto"/>
          <w:sz w:val="26"/>
          <w:u w:val="none"/>
        </w:rPr>
        <w:t xml:space="preserve">It is important </w:t>
      </w:r>
      <w:r w:rsidR="00295380">
        <w:rPr>
          <w:rStyle w:val="DraftingNote"/>
          <w:b w:val="0"/>
          <w:color w:val="auto"/>
          <w:sz w:val="26"/>
          <w:u w:val="none"/>
        </w:rPr>
        <w:t>moving forward</w:t>
      </w:r>
      <w:r w:rsidR="00E328D5">
        <w:rPr>
          <w:rStyle w:val="DraftingNote"/>
          <w:b w:val="0"/>
          <w:color w:val="auto"/>
          <w:sz w:val="26"/>
          <w:u w:val="none"/>
        </w:rPr>
        <w:t xml:space="preserve"> that distribution businesses and the AER spend adequate time gathering feedback from end customers about their views in regard to supply interruptions, and that over time the STPIS targets are adjusted to reflect this feedback.</w:t>
      </w:r>
    </w:p>
    <w:p w:rsidR="001A5864" w:rsidRDefault="001A5864" w:rsidP="001A58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A5864" w:rsidTr="00566AC0">
        <w:tc>
          <w:tcPr>
            <w:tcW w:w="8771" w:type="dxa"/>
            <w:tcBorders>
              <w:top w:val="single" w:sz="6" w:space="0" w:color="auto"/>
              <w:bottom w:val="nil"/>
            </w:tcBorders>
          </w:tcPr>
          <w:p w:rsidR="001A5864" w:rsidRDefault="001A5864" w:rsidP="00566AC0">
            <w:pPr>
              <w:pStyle w:val="BoxTitle"/>
            </w:pPr>
            <w:r>
              <w:rPr>
                <w:b w:val="0"/>
              </w:rPr>
              <w:t xml:space="preserve">Box </w:t>
            </w:r>
            <w:r w:rsidR="00977AF3">
              <w:rPr>
                <w:b w:val="0"/>
              </w:rPr>
              <w:t>16.</w:t>
            </w:r>
            <w:r w:rsidR="00365BD8">
              <w:rPr>
                <w:b w:val="0"/>
                <w:noProof/>
              </w:rPr>
              <w:t>2</w:t>
            </w:r>
            <w:r>
              <w:tab/>
              <w:t>Major event days — an exclusion from STPIS performance measures</w:t>
            </w:r>
          </w:p>
        </w:tc>
      </w:tr>
      <w:tr w:rsidR="001A5864" w:rsidTr="00566AC0">
        <w:trPr>
          <w:cantSplit/>
        </w:trPr>
        <w:tc>
          <w:tcPr>
            <w:tcW w:w="8771" w:type="dxa"/>
            <w:tcBorders>
              <w:top w:val="nil"/>
              <w:left w:val="single" w:sz="6" w:space="0" w:color="auto"/>
              <w:bottom w:val="nil"/>
              <w:right w:val="single" w:sz="6" w:space="0" w:color="auto"/>
            </w:tcBorders>
          </w:tcPr>
          <w:p w:rsidR="001A5864" w:rsidRDefault="001A5864" w:rsidP="00566AC0">
            <w:pPr>
              <w:pStyle w:val="Box"/>
            </w:pPr>
            <w:r>
              <w:t>A major event is defined as a catastrophic event that exceeds th</w:t>
            </w:r>
            <w:r w:rsidR="00094746">
              <w:t>e</w:t>
            </w:r>
            <w:r>
              <w:t xml:space="preserve"> capacity of the electricity network to avoid significant power interruptions. Major event days (MED) are calendar days on which a major event occurs – even if the power interruption lasts for several days, only one day is reco</w:t>
            </w:r>
            <w:r w:rsidR="00EC4F97">
              <w:t>r</w:t>
            </w:r>
            <w:r>
              <w:t>ded as a</w:t>
            </w:r>
            <w:r w:rsidR="00EC4F97">
              <w:t>n</w:t>
            </w:r>
            <w:r>
              <w:t xml:space="preserve"> MED. </w:t>
            </w:r>
          </w:p>
          <w:p w:rsidR="001A5864" w:rsidRDefault="001A5864" w:rsidP="00566AC0">
            <w:pPr>
              <w:pStyle w:val="Box"/>
            </w:pPr>
            <w:r>
              <w:t>A day with a large unplanned SAIDI can be classified as a</w:t>
            </w:r>
            <w:r w:rsidR="007D3938">
              <w:t>n</w:t>
            </w:r>
            <w:r>
              <w:t xml:space="preserve"> MED if </w:t>
            </w:r>
            <w:r w:rsidR="00897B81">
              <w:t xml:space="preserve">the total </w:t>
            </w:r>
            <w:r>
              <w:t>unplanned SAIDI for that day</w:t>
            </w:r>
            <w:r w:rsidR="007D3938">
              <w:t xml:space="preserve"> is unusually high.</w:t>
            </w:r>
            <w:r w:rsidR="007D3938">
              <w:rPr>
                <w:rStyle w:val="FootnoteReference"/>
              </w:rPr>
              <w:footnoteReference w:id="7"/>
            </w:r>
            <w:r>
              <w:t xml:space="preserve"> </w:t>
            </w:r>
          </w:p>
          <w:p w:rsidR="001A5864" w:rsidRDefault="001A5864" w:rsidP="00566AC0">
            <w:pPr>
              <w:pStyle w:val="Box"/>
            </w:pPr>
            <w:r>
              <w:t>The unplanned SAIDI from MEDs are not included in the calculation of how far a business’</w:t>
            </w:r>
            <w:r w:rsidR="00E07C87">
              <w:t>s</w:t>
            </w:r>
            <w:r>
              <w:t xml:space="preserve"> performance is from its target in a regulatory year. Therefore, there has been some debate about the best way to define a MED, with less stringent definitions leading to more events </w:t>
            </w:r>
            <w:r w:rsidR="00897B81">
              <w:t xml:space="preserve">being </w:t>
            </w:r>
            <w:r>
              <w:t xml:space="preserve">excluded (and therefore </w:t>
            </w:r>
            <w:r w:rsidR="00897B81">
              <w:t>the appearance of an</w:t>
            </w:r>
            <w:r>
              <w:t xml:space="preserve"> improved performance </w:t>
            </w:r>
            <w:r w:rsidR="00897B81">
              <w:t>by</w:t>
            </w:r>
            <w:r>
              <w:t xml:space="preserve"> the business against its target). </w:t>
            </w:r>
          </w:p>
          <w:p w:rsidR="001A5864" w:rsidRDefault="000E31B2" w:rsidP="00566AC0">
            <w:pPr>
              <w:pStyle w:val="Box"/>
            </w:pPr>
            <w:r>
              <w:t xml:space="preserve">Similarly, as discussed by SP AusNet (2010, p. 37), setting the definition of a MED too leniently might create perverse incentives for businesses to allow an event with negative consequences for unplanned SAIDI to escalate into a major event (by failing to reconnect power as quickly as possible), such that it ‘creates’ an MED. </w:t>
            </w:r>
          </w:p>
          <w:p w:rsidR="001A5864" w:rsidRDefault="001A5864" w:rsidP="005B3E8B">
            <w:pPr>
              <w:pStyle w:val="Box"/>
            </w:pPr>
            <w:r>
              <w:t>Setting the definition of a</w:t>
            </w:r>
            <w:r w:rsidR="007D3938">
              <w:t>n</w:t>
            </w:r>
            <w:r>
              <w:t xml:space="preserve"> MED too </w:t>
            </w:r>
            <w:r w:rsidR="005B3E8B">
              <w:t xml:space="preserve">stringently </w:t>
            </w:r>
            <w:r>
              <w:t>might put business</w:t>
            </w:r>
            <w:r w:rsidR="00897B81">
              <w:t>es’</w:t>
            </w:r>
            <w:r>
              <w:t xml:space="preserve"> revenue at risk from events that are outside of </w:t>
            </w:r>
            <w:r w:rsidR="00897B81">
              <w:t xml:space="preserve">their </w:t>
            </w:r>
            <w:r>
              <w:t>control. For example, there have been suggestions that raising the threshold would be more appropriate</w:t>
            </w:r>
            <w:r w:rsidR="00094746">
              <w:t>.</w:t>
            </w:r>
            <w:r w:rsidR="00897B81">
              <w:rPr>
                <w:rStyle w:val="FootnoteReference"/>
              </w:rPr>
              <w:footnoteReference w:id="8"/>
            </w:r>
            <w:r>
              <w:t xml:space="preserve"> </w:t>
            </w:r>
            <w:r w:rsidR="00094746">
              <w:t>B</w:t>
            </w:r>
            <w:r>
              <w:t>usinesses</w:t>
            </w:r>
            <w:r w:rsidR="00094746">
              <w:t>, however,</w:t>
            </w:r>
            <w:r>
              <w:t xml:space="preserve"> were concerned that many events that were caused by extreme weather events (and therefore outside of the control of business</w:t>
            </w:r>
            <w:r w:rsidR="00094746">
              <w:t>es</w:t>
            </w:r>
            <w:r>
              <w:t xml:space="preserve">) would cause unplanned SAIDI results of less than the MED threshold and consequently put business revenue at risk from not meeting STPIS targets. </w:t>
            </w:r>
          </w:p>
        </w:tc>
      </w:tr>
      <w:tr w:rsidR="001A5864" w:rsidTr="00566AC0">
        <w:trPr>
          <w:cantSplit/>
        </w:trPr>
        <w:tc>
          <w:tcPr>
            <w:tcW w:w="8771" w:type="dxa"/>
            <w:tcBorders>
              <w:top w:val="nil"/>
              <w:left w:val="single" w:sz="6" w:space="0" w:color="auto"/>
              <w:bottom w:val="nil"/>
              <w:right w:val="single" w:sz="6" w:space="0" w:color="auto"/>
            </w:tcBorders>
          </w:tcPr>
          <w:p w:rsidR="001A5864" w:rsidRDefault="00EE5206" w:rsidP="00EF3128">
            <w:pPr>
              <w:pStyle w:val="BoxSource"/>
            </w:pPr>
            <w:r>
              <w:rPr>
                <w:i/>
              </w:rPr>
              <w:t>Source</w:t>
            </w:r>
            <w:r w:rsidR="001A5864">
              <w:rPr>
                <w:i/>
              </w:rPr>
              <w:t>s</w:t>
            </w:r>
            <w:r w:rsidR="001A5864" w:rsidRPr="00167F06">
              <w:t xml:space="preserve">: </w:t>
            </w:r>
            <w:r w:rsidR="004D780D">
              <w:t>AER (2009</w:t>
            </w:r>
            <w:r w:rsidR="00EF3128">
              <w:t>d</w:t>
            </w:r>
            <w:r w:rsidR="004D780D">
              <w:t xml:space="preserve">); SP </w:t>
            </w:r>
            <w:r w:rsidR="000E31B2">
              <w:t>AusNet</w:t>
            </w:r>
            <w:r w:rsidR="004D780D">
              <w:t xml:space="preserve"> (2010</w:t>
            </w:r>
            <w:r w:rsidR="001A5864">
              <w:t>).</w:t>
            </w:r>
          </w:p>
        </w:tc>
      </w:tr>
      <w:tr w:rsidR="001A5864" w:rsidTr="00566AC0">
        <w:trPr>
          <w:cantSplit/>
        </w:trPr>
        <w:tc>
          <w:tcPr>
            <w:tcW w:w="8771" w:type="dxa"/>
            <w:tcBorders>
              <w:top w:val="nil"/>
              <w:left w:val="single" w:sz="6" w:space="0" w:color="auto"/>
              <w:bottom w:val="single" w:sz="6" w:space="0" w:color="auto"/>
              <w:right w:val="single" w:sz="6" w:space="0" w:color="auto"/>
            </w:tcBorders>
          </w:tcPr>
          <w:p w:rsidR="001A5864" w:rsidRDefault="001A5864" w:rsidP="00566AC0">
            <w:pPr>
              <w:pStyle w:val="Box"/>
              <w:spacing w:before="0" w:line="120" w:lineRule="exact"/>
            </w:pPr>
          </w:p>
        </w:tc>
      </w:tr>
      <w:tr w:rsidR="001A5864" w:rsidRPr="000863A5" w:rsidTr="00566AC0">
        <w:tc>
          <w:tcPr>
            <w:tcW w:w="8771" w:type="dxa"/>
            <w:tcBorders>
              <w:top w:val="nil"/>
              <w:left w:val="nil"/>
              <w:bottom w:val="nil"/>
              <w:right w:val="nil"/>
            </w:tcBorders>
          </w:tcPr>
          <w:p w:rsidR="001A5864" w:rsidRPr="000863A5" w:rsidRDefault="001A5864" w:rsidP="00566AC0">
            <w:pPr>
              <w:pStyle w:val="Box"/>
              <w:keepNext w:val="0"/>
              <w:spacing w:before="60" w:after="60" w:line="80" w:lineRule="exact"/>
              <w:rPr>
                <w:b/>
                <w:sz w:val="14"/>
              </w:rPr>
            </w:pPr>
          </w:p>
        </w:tc>
      </w:tr>
    </w:tbl>
    <w:p w:rsidR="0026627A" w:rsidRPr="00E72FF3" w:rsidRDefault="0026627A" w:rsidP="00E72FF3">
      <w:pPr>
        <w:pStyle w:val="Heading4"/>
        <w:rPr>
          <w:rStyle w:val="DraftingNote"/>
          <w:b w:val="0"/>
          <w:color w:val="auto"/>
          <w:u w:val="none"/>
        </w:rPr>
      </w:pPr>
      <w:r w:rsidRPr="00E72FF3">
        <w:rPr>
          <w:rStyle w:val="DraftingNote"/>
          <w:b w:val="0"/>
          <w:color w:val="auto"/>
          <w:u w:val="none"/>
        </w:rPr>
        <w:t>Quality of supply component</w:t>
      </w:r>
    </w:p>
    <w:p w:rsidR="0026627A" w:rsidRPr="0026627A" w:rsidRDefault="00851996" w:rsidP="0026627A">
      <w:pPr>
        <w:pStyle w:val="BodyText"/>
      </w:pPr>
      <w:r>
        <w:t>T</w:t>
      </w:r>
      <w:r w:rsidR="0026627A">
        <w:t xml:space="preserve">here is provision in the STPIS for </w:t>
      </w:r>
      <w:r>
        <w:t xml:space="preserve">quality of supply to be measured, however, currently there are no parameters specified. </w:t>
      </w:r>
    </w:p>
    <w:p w:rsidR="00C07CC0" w:rsidRPr="0026627A" w:rsidRDefault="00C07CC0" w:rsidP="0026627A">
      <w:pPr>
        <w:pStyle w:val="Heading4"/>
        <w:rPr>
          <w:rStyle w:val="DraftingNote"/>
          <w:b w:val="0"/>
          <w:color w:val="auto"/>
          <w:u w:val="none"/>
        </w:rPr>
      </w:pPr>
      <w:r w:rsidRPr="0026627A">
        <w:rPr>
          <w:rStyle w:val="DraftingNote"/>
          <w:b w:val="0"/>
          <w:color w:val="auto"/>
          <w:u w:val="none"/>
        </w:rPr>
        <w:lastRenderedPageBreak/>
        <w:t>Customer service component</w:t>
      </w:r>
    </w:p>
    <w:p w:rsidR="00973795" w:rsidRDefault="00973795" w:rsidP="00973795">
      <w:pPr>
        <w:pStyle w:val="BodyText"/>
      </w:pPr>
      <w:r>
        <w:t xml:space="preserve">The STPIS includes parameters for customer service that distribution businesses are required to meet, including times for making streetlight repairs, new connections, answering telephone enquiries and responding to written queries. </w:t>
      </w:r>
    </w:p>
    <w:p w:rsidR="00C07CC0" w:rsidRDefault="00C07CC0" w:rsidP="00C07CC0">
      <w:pPr>
        <w:pStyle w:val="BodyText"/>
      </w:pPr>
      <w:r>
        <w:t>Distribution business</w:t>
      </w:r>
      <w:r w:rsidR="00094746">
        <w:t>es that exceed (do not meet)</w:t>
      </w:r>
      <w:r>
        <w:t xml:space="preserve"> the targets that the AER set</w:t>
      </w:r>
      <w:r w:rsidR="00094746">
        <w:t>s for these parameters can gain (lose)</w:t>
      </w:r>
      <w:r>
        <w:t xml:space="preserve"> </w:t>
      </w:r>
      <w:r w:rsidR="00053447">
        <w:t xml:space="preserve">in total </w:t>
      </w:r>
      <w:r>
        <w:t>a maximum of 1 per cent of their allowed revenue. The targets are usually an average of the performance of the previous five years and are also adjusted for anticipated improvements from customer service related expenditure allowed under past or current revenue determinations.</w:t>
      </w:r>
    </w:p>
    <w:p w:rsidR="00C07CC0" w:rsidRDefault="00C07CC0" w:rsidP="00C07CC0">
      <w:pPr>
        <w:pStyle w:val="Heading4"/>
      </w:pPr>
      <w:r>
        <w:t>Guaranteed service levels</w:t>
      </w:r>
    </w:p>
    <w:p w:rsidR="00973795" w:rsidRDefault="00973795" w:rsidP="00973795">
      <w:pPr>
        <w:pStyle w:val="BodyText"/>
        <w:rPr>
          <w:rStyle w:val="DraftingNote"/>
          <w:b w:val="0"/>
          <w:color w:val="auto"/>
          <w:sz w:val="26"/>
          <w:u w:val="none"/>
        </w:rPr>
      </w:pPr>
      <w:r>
        <w:rPr>
          <w:rStyle w:val="DraftingNote"/>
          <w:b w:val="0"/>
          <w:color w:val="auto"/>
          <w:sz w:val="26"/>
          <w:u w:val="none"/>
        </w:rPr>
        <w:t>The guaranteed service level component of the STPIS is intended to provide an incentive for distribution businesses to acknowledge and address the sub-standard reliability and service outcomes that some customers experience. The parameters covered under this component and the target levels of performance for business</w:t>
      </w:r>
      <w:r w:rsidR="00EB2419">
        <w:rPr>
          <w:rStyle w:val="DraftingNote"/>
          <w:b w:val="0"/>
          <w:color w:val="auto"/>
          <w:sz w:val="26"/>
          <w:u w:val="none"/>
        </w:rPr>
        <w:t>es are contained in table 16.4</w:t>
      </w:r>
      <w:r>
        <w:rPr>
          <w:rStyle w:val="DraftingNote"/>
          <w:b w:val="0"/>
          <w:color w:val="auto"/>
          <w:sz w:val="26"/>
          <w:u w:val="none"/>
        </w:rPr>
        <w:t xml:space="preserve">, along with the payments that businesses would be required to pay, for each instance of performance shortfall. </w:t>
      </w:r>
    </w:p>
    <w:p w:rsidR="00826FFA" w:rsidRDefault="00826FFA" w:rsidP="00826FFA">
      <w:pPr>
        <w:pStyle w:val="BodyText"/>
        <w:rPr>
          <w:rStyle w:val="DraftingNote"/>
          <w:b w:val="0"/>
          <w:color w:val="auto"/>
          <w:sz w:val="26"/>
          <w:u w:val="none"/>
        </w:rPr>
      </w:pPr>
      <w:r>
        <w:rPr>
          <w:rStyle w:val="DraftingNote"/>
          <w:b w:val="0"/>
          <w:color w:val="auto"/>
          <w:sz w:val="26"/>
          <w:u w:val="none"/>
        </w:rPr>
        <w:t>These payments are not linked to the cost that poor service imposes on customers but are intended to be an acknowledgment of poor service. Payments must be made directly to consumers as soon as a distribution business becomes aware of having missed a target</w:t>
      </w:r>
      <w:r w:rsidR="00973795">
        <w:rPr>
          <w:rStyle w:val="DraftingNote"/>
          <w:b w:val="0"/>
          <w:color w:val="auto"/>
          <w:sz w:val="26"/>
          <w:u w:val="none"/>
        </w:rPr>
        <w:t xml:space="preserve"> and where it is responsible for that failure</w:t>
      </w:r>
      <w:r>
        <w:rPr>
          <w:rStyle w:val="DraftingNote"/>
          <w:b w:val="0"/>
          <w:color w:val="auto"/>
          <w:sz w:val="26"/>
          <w:u w:val="none"/>
        </w:rPr>
        <w:t>.</w:t>
      </w:r>
      <w:r>
        <w:rPr>
          <w:rStyle w:val="FootnoteReference"/>
        </w:rPr>
        <w:footnoteReference w:id="9"/>
      </w:r>
      <w:r>
        <w:rPr>
          <w:rStyle w:val="DraftingNote"/>
          <w:b w:val="0"/>
          <w:color w:val="auto"/>
          <w:sz w:val="26"/>
          <w:u w:val="none"/>
        </w:rPr>
        <w:t xml:space="preserve"> This is not the case in some jurisdiction</w:t>
      </w:r>
      <w:r w:rsidR="009E41FF">
        <w:rPr>
          <w:rStyle w:val="DraftingNote"/>
          <w:b w:val="0"/>
          <w:color w:val="auto"/>
          <w:sz w:val="26"/>
          <w:u w:val="none"/>
        </w:rPr>
        <w:noBreakHyphen/>
      </w:r>
      <w:r>
        <w:rPr>
          <w:rStyle w:val="DraftingNote"/>
          <w:b w:val="0"/>
          <w:color w:val="auto"/>
          <w:sz w:val="26"/>
          <w:u w:val="none"/>
        </w:rPr>
        <w:t xml:space="preserve">specific guaranteed service level schemes that require customers to apply for payments. </w:t>
      </w:r>
    </w:p>
    <w:p w:rsidR="00053447" w:rsidRDefault="00053447" w:rsidP="00826FFA">
      <w:pPr>
        <w:pStyle w:val="BodyText"/>
        <w:rPr>
          <w:rStyle w:val="DraftingNote"/>
          <w:b w:val="0"/>
          <w:color w:val="auto"/>
          <w:sz w:val="26"/>
          <w:u w:val="none"/>
        </w:rPr>
      </w:pPr>
      <w:r w:rsidRPr="00053447">
        <w:rPr>
          <w:rStyle w:val="DraftingNote"/>
          <w:b w:val="0"/>
          <w:color w:val="auto"/>
          <w:sz w:val="26"/>
          <w:u w:val="none"/>
        </w:rPr>
        <w:t>This component of the STPIS is not currently applied in any jurisdiction in the NEM (although it is anticipated to begin in the next regulatory control period for Victoria). Instead, jurisdiction specific schemes containing a wide range of parameters, targets and levels of payments are applied</w:t>
      </w:r>
      <w:r>
        <w:rPr>
          <w:rStyle w:val="DraftingNote"/>
          <w:b w:val="0"/>
          <w:color w:val="auto"/>
          <w:sz w:val="26"/>
          <w:u w:val="none"/>
        </w:rPr>
        <w:t>.</w:t>
      </w:r>
    </w:p>
    <w:p w:rsidR="00767911" w:rsidRDefault="00767911">
      <w:pPr>
        <w:pStyle w:val="TableTitle"/>
      </w:pPr>
      <w:r>
        <w:rPr>
          <w:b w:val="0"/>
        </w:rPr>
        <w:lastRenderedPageBreak/>
        <w:t xml:space="preserve">Table </w:t>
      </w:r>
      <w:r w:rsidR="00977AF3">
        <w:rPr>
          <w:b w:val="0"/>
        </w:rPr>
        <w:t>16.</w:t>
      </w:r>
      <w:r w:rsidR="00365BD8">
        <w:rPr>
          <w:b w:val="0"/>
          <w:noProof/>
        </w:rPr>
        <w:t>4</w:t>
      </w:r>
      <w:r w:rsidR="0026267B">
        <w:tab/>
        <w:t>Guaranteed service level parameters, thresholds and payments in STPIS</w:t>
      </w:r>
    </w:p>
    <w:p w:rsidR="00767911" w:rsidRDefault="00767911">
      <w:pPr>
        <w:pStyle w:val="Subtitle"/>
      </w:pPr>
      <w:r>
        <w:t>subtitle</w:t>
      </w:r>
    </w:p>
    <w:tbl>
      <w:tblPr>
        <w:tblW w:w="5000" w:type="pct"/>
        <w:tblCellMar>
          <w:left w:w="0" w:type="dxa"/>
          <w:right w:w="0" w:type="dxa"/>
        </w:tblCellMar>
        <w:tblLook w:val="0000" w:firstRow="0" w:lastRow="0" w:firstColumn="0" w:lastColumn="0" w:noHBand="0" w:noVBand="0"/>
      </w:tblPr>
      <w:tblGrid>
        <w:gridCol w:w="3686"/>
        <w:gridCol w:w="2551"/>
        <w:gridCol w:w="2552"/>
      </w:tblGrid>
      <w:tr w:rsidR="00767911" w:rsidTr="0026267B">
        <w:tc>
          <w:tcPr>
            <w:tcW w:w="2097" w:type="pct"/>
            <w:tcBorders>
              <w:top w:val="single" w:sz="6" w:space="0" w:color="auto"/>
              <w:bottom w:val="single" w:sz="6" w:space="0" w:color="auto"/>
            </w:tcBorders>
            <w:shd w:val="clear" w:color="auto" w:fill="auto"/>
          </w:tcPr>
          <w:p w:rsidR="00767911" w:rsidRPr="00767911" w:rsidRDefault="00767911" w:rsidP="0026267B">
            <w:pPr>
              <w:pStyle w:val="TableColumnHeading"/>
              <w:jc w:val="left"/>
              <w:rPr>
                <w:rStyle w:val="DraftingNote"/>
                <w:b w:val="0"/>
                <w:color w:val="auto"/>
                <w:sz w:val="20"/>
                <w:u w:val="none"/>
              </w:rPr>
            </w:pPr>
            <w:r w:rsidRPr="00767911">
              <w:rPr>
                <w:rStyle w:val="DraftingNote"/>
                <w:b w:val="0"/>
                <w:color w:val="auto"/>
                <w:sz w:val="20"/>
                <w:u w:val="none"/>
              </w:rPr>
              <w:t>Parameter</w:t>
            </w:r>
          </w:p>
        </w:tc>
        <w:tc>
          <w:tcPr>
            <w:tcW w:w="1451" w:type="pct"/>
            <w:tcBorders>
              <w:top w:val="single" w:sz="6" w:space="0" w:color="auto"/>
              <w:bottom w:val="single" w:sz="6" w:space="0" w:color="auto"/>
            </w:tcBorders>
            <w:shd w:val="clear" w:color="auto" w:fill="auto"/>
          </w:tcPr>
          <w:p w:rsidR="00767911" w:rsidRPr="00767911" w:rsidRDefault="00767911" w:rsidP="00767911">
            <w:pPr>
              <w:pStyle w:val="TableColumnHeading"/>
              <w:rPr>
                <w:rStyle w:val="DraftingNote"/>
                <w:b w:val="0"/>
                <w:color w:val="auto"/>
                <w:sz w:val="20"/>
                <w:u w:val="none"/>
              </w:rPr>
            </w:pPr>
            <w:r w:rsidRPr="00767911">
              <w:rPr>
                <w:rStyle w:val="DraftingNote"/>
                <w:b w:val="0"/>
                <w:color w:val="auto"/>
                <w:sz w:val="20"/>
                <w:u w:val="none"/>
              </w:rPr>
              <w:t>Threshold</w:t>
            </w:r>
          </w:p>
        </w:tc>
        <w:tc>
          <w:tcPr>
            <w:tcW w:w="1452" w:type="pct"/>
            <w:tcBorders>
              <w:top w:val="single" w:sz="6" w:space="0" w:color="auto"/>
              <w:bottom w:val="single" w:sz="6" w:space="0" w:color="auto"/>
            </w:tcBorders>
            <w:shd w:val="clear" w:color="auto" w:fill="auto"/>
          </w:tcPr>
          <w:p w:rsidR="00767911" w:rsidRPr="00767911" w:rsidRDefault="00826FFA" w:rsidP="00BB7FBA">
            <w:pPr>
              <w:pStyle w:val="TableColumnHeading"/>
              <w:rPr>
                <w:rStyle w:val="DraftingNote"/>
                <w:b w:val="0"/>
                <w:color w:val="auto"/>
                <w:sz w:val="20"/>
                <w:u w:val="none"/>
              </w:rPr>
            </w:pPr>
            <w:r>
              <w:rPr>
                <w:rStyle w:val="DraftingNote"/>
                <w:b w:val="0"/>
                <w:color w:val="auto"/>
                <w:sz w:val="20"/>
                <w:u w:val="none"/>
              </w:rPr>
              <w:t>Penalty</w:t>
            </w:r>
            <w:r w:rsidR="00BB7FBA">
              <w:rPr>
                <w:rStyle w:val="DraftingNote"/>
                <w:b w:val="0"/>
                <w:color w:val="auto"/>
                <w:sz w:val="20"/>
                <w:u w:val="none"/>
              </w:rPr>
              <w:t xml:space="preserve"> per occurrence</w:t>
            </w:r>
            <w:r w:rsidR="00767911" w:rsidRPr="00767911">
              <w:rPr>
                <w:rStyle w:val="DraftingNote"/>
                <w:b w:val="0"/>
                <w:color w:val="auto"/>
                <w:sz w:val="20"/>
                <w:u w:val="none"/>
              </w:rPr>
              <w:t xml:space="preserve"> ($)</w:t>
            </w:r>
          </w:p>
        </w:tc>
      </w:tr>
      <w:tr w:rsidR="00767911" w:rsidTr="0026267B">
        <w:tc>
          <w:tcPr>
            <w:tcW w:w="2097" w:type="pct"/>
            <w:tcBorders>
              <w:top w:val="single" w:sz="6" w:space="0" w:color="auto"/>
            </w:tcBorders>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Frequency of interruptions – CBD and urban feeders</w:t>
            </w:r>
          </w:p>
        </w:tc>
        <w:tc>
          <w:tcPr>
            <w:tcW w:w="1451" w:type="pct"/>
            <w:tcBorders>
              <w:top w:val="single" w:sz="6" w:space="0" w:color="auto"/>
            </w:tcBorders>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9 interruptions</w:t>
            </w:r>
          </w:p>
        </w:tc>
        <w:tc>
          <w:tcPr>
            <w:tcW w:w="1452" w:type="pct"/>
            <w:tcBorders>
              <w:top w:val="single" w:sz="6" w:space="0" w:color="auto"/>
            </w:tcBorders>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80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 xml:space="preserve">Frequency of interruptions – rural short and long feeders </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15 interruptions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80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Duration of interruptions – CBD and urban</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12 hours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80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Duration of interruptions – rural short and long feeders</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18 hours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80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Total duration of interruptions – level 1</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20 hours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100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Total duration of interruptions – level 2</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30 hours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150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Total duration of interruptions – level 3</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60 hours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300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Streetlight repair</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5 days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25</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New connections</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Connection on or before the agreed day</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50 per day (maximum 300)</w:t>
            </w:r>
          </w:p>
        </w:tc>
      </w:tr>
      <w:tr w:rsidR="00767911" w:rsidTr="0026267B">
        <w:tc>
          <w:tcPr>
            <w:tcW w:w="2097" w:type="pct"/>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Notice of planned interruptions</w:t>
            </w:r>
          </w:p>
        </w:tc>
        <w:tc>
          <w:tcPr>
            <w:tcW w:w="1451"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4 days excluding weekend and public holidays</w:t>
            </w:r>
          </w:p>
        </w:tc>
        <w:tc>
          <w:tcPr>
            <w:tcW w:w="1452" w:type="pct"/>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50</w:t>
            </w:r>
          </w:p>
        </w:tc>
      </w:tr>
      <w:tr w:rsidR="00767911" w:rsidTr="0026267B">
        <w:tc>
          <w:tcPr>
            <w:tcW w:w="2097" w:type="pct"/>
            <w:tcBorders>
              <w:bottom w:val="single" w:sz="6" w:space="0" w:color="auto"/>
            </w:tcBorders>
            <w:shd w:val="clear" w:color="auto" w:fill="auto"/>
          </w:tcPr>
          <w:p w:rsidR="00767911" w:rsidRPr="00767911" w:rsidRDefault="00767911" w:rsidP="00767911">
            <w:pPr>
              <w:pStyle w:val="TableBodyText"/>
              <w:jc w:val="left"/>
              <w:rPr>
                <w:rStyle w:val="DraftingNote"/>
                <w:b w:val="0"/>
                <w:color w:val="auto"/>
                <w:sz w:val="20"/>
                <w:u w:val="none"/>
              </w:rPr>
            </w:pPr>
            <w:r w:rsidRPr="00767911">
              <w:rPr>
                <w:rStyle w:val="DraftingNote"/>
                <w:b w:val="0"/>
                <w:color w:val="auto"/>
                <w:sz w:val="20"/>
                <w:u w:val="none"/>
              </w:rPr>
              <w:t>Frequency of interruptions – CBD and urban feeders</w:t>
            </w:r>
          </w:p>
        </w:tc>
        <w:tc>
          <w:tcPr>
            <w:tcW w:w="1451" w:type="pct"/>
            <w:tcBorders>
              <w:bottom w:val="single" w:sz="6" w:space="0" w:color="auto"/>
            </w:tcBorders>
            <w:shd w:val="clear" w:color="auto" w:fill="auto"/>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9 interruptions</w:t>
            </w:r>
          </w:p>
        </w:tc>
        <w:tc>
          <w:tcPr>
            <w:tcW w:w="1452" w:type="pct"/>
            <w:tcBorders>
              <w:bottom w:val="single" w:sz="6" w:space="0" w:color="auto"/>
            </w:tcBorders>
            <w:shd w:val="clear" w:color="auto" w:fill="auto"/>
          </w:tcPr>
          <w:p w:rsidR="00767911" w:rsidRPr="00767911" w:rsidRDefault="00767911" w:rsidP="00767911">
            <w:pPr>
              <w:pStyle w:val="TableBodyText"/>
              <w:rPr>
                <w:rStyle w:val="DraftingNote"/>
                <w:b w:val="0"/>
                <w:color w:val="auto"/>
                <w:sz w:val="20"/>
                <w:u w:val="none"/>
              </w:rPr>
            </w:pPr>
            <w:r w:rsidRPr="00767911">
              <w:rPr>
                <w:rStyle w:val="DraftingNote"/>
                <w:b w:val="0"/>
                <w:color w:val="auto"/>
                <w:sz w:val="20"/>
                <w:u w:val="none"/>
              </w:rPr>
              <w:t>80</w:t>
            </w:r>
          </w:p>
        </w:tc>
      </w:tr>
    </w:tbl>
    <w:p w:rsidR="00767911" w:rsidRPr="008E77FE" w:rsidRDefault="00767911" w:rsidP="00767911">
      <w:pPr>
        <w:pStyle w:val="Source"/>
      </w:pPr>
      <w:r>
        <w:rPr>
          <w:i/>
        </w:rPr>
        <w:t>Source</w:t>
      </w:r>
      <w:r>
        <w:t xml:space="preserve">: </w:t>
      </w:r>
      <w:r w:rsidR="0026267B">
        <w:t xml:space="preserve">AER </w:t>
      </w:r>
      <w:r w:rsidR="00424A99">
        <w:t>(</w:t>
      </w:r>
      <w:r w:rsidR="0026267B">
        <w:t>2009</w:t>
      </w:r>
      <w:r w:rsidR="00EF3128">
        <w:t>d</w:t>
      </w:r>
      <w:r w:rsidR="0026267B">
        <w:t>, p. </w:t>
      </w:r>
      <w:r w:rsidR="00F7034D">
        <w:t>18</w:t>
      </w:r>
      <w:r w:rsidR="00424A99">
        <w:t>).</w:t>
      </w:r>
    </w:p>
    <w:p w:rsidR="002D0CC5" w:rsidRPr="00650C94" w:rsidRDefault="002D0CC5" w:rsidP="00E72FF3">
      <w:pPr>
        <w:pStyle w:val="Heading4"/>
        <w:rPr>
          <w:rStyle w:val="DraftingNote"/>
          <w:b w:val="0"/>
          <w:color w:val="auto"/>
          <w:u w:val="none"/>
        </w:rPr>
      </w:pPr>
      <w:r w:rsidRPr="00650C94">
        <w:rPr>
          <w:rStyle w:val="DraftingNote"/>
          <w:b w:val="0"/>
          <w:color w:val="auto"/>
          <w:u w:val="none"/>
        </w:rPr>
        <w:t>Information and reporting requirements</w:t>
      </w:r>
    </w:p>
    <w:p w:rsidR="002D0CC5" w:rsidRDefault="002D0CC5" w:rsidP="002D0CC5">
      <w:pPr>
        <w:pStyle w:val="BodyText"/>
      </w:pPr>
      <w:r>
        <w:t xml:space="preserve">The STPIS requires distribution businesses to report annually against the parameters under the scheme, </w:t>
      </w:r>
      <w:r w:rsidR="006C4F3E">
        <w:t xml:space="preserve">and </w:t>
      </w:r>
      <w:r w:rsidR="00826FFA">
        <w:t xml:space="preserve">stipulate </w:t>
      </w:r>
      <w:r>
        <w:t>any exclusions that the business believes should be applied. The AER can review the reports to ensur</w:t>
      </w:r>
      <w:r w:rsidR="00094746">
        <w:t>e</w:t>
      </w:r>
      <w:r w:rsidR="0025626D">
        <w:t xml:space="preserve"> they account for exclusions accurately</w:t>
      </w:r>
      <w:r w:rsidR="00826FFA">
        <w:t>,</w:t>
      </w:r>
      <w:r w:rsidR="0025626D">
        <w:t xml:space="preserve"> calculate the consequences for allowed revenue correctly, and</w:t>
      </w:r>
      <w:r w:rsidR="00094746">
        <w:t xml:space="preserve"> that the data collected match</w:t>
      </w:r>
      <w:r>
        <w:t xml:space="preserve"> the parameters under the scheme. </w:t>
      </w:r>
    </w:p>
    <w:p w:rsidR="00C7104F" w:rsidRDefault="004B42A7" w:rsidP="002D0CC5">
      <w:pPr>
        <w:pStyle w:val="BodyText"/>
      </w:pPr>
      <w:r>
        <w:t>Aspects of the</w:t>
      </w:r>
      <w:r w:rsidR="00C36828">
        <w:t xml:space="preserve"> reporting requirements, </w:t>
      </w:r>
      <w:r>
        <w:t>and related information gathering processes</w:t>
      </w:r>
      <w:r w:rsidR="00C36828">
        <w:t xml:space="preserve"> appear to lack transparency. </w:t>
      </w:r>
      <w:r>
        <w:t xml:space="preserve">For example, </w:t>
      </w:r>
      <w:r w:rsidR="00C36828">
        <w:t xml:space="preserve">the AER </w:t>
      </w:r>
      <w:r w:rsidR="00C7104F">
        <w:t>issue</w:t>
      </w:r>
      <w:r w:rsidR="00C36828">
        <w:t>s each business</w:t>
      </w:r>
      <w:r w:rsidR="00C7104F">
        <w:t xml:space="preserve"> a request for information</w:t>
      </w:r>
      <w:r w:rsidR="00C36828">
        <w:t xml:space="preserve"> notice</w:t>
      </w:r>
      <w:r w:rsidR="00C7104F">
        <w:t xml:space="preserve"> outlining the </w:t>
      </w:r>
      <w:r w:rsidR="00C36828">
        <w:t xml:space="preserve">business specific </w:t>
      </w:r>
      <w:r>
        <w:t>data that it</w:t>
      </w:r>
      <w:r w:rsidR="00C7104F">
        <w:t xml:space="preserve"> want</w:t>
      </w:r>
      <w:r>
        <w:t>s</w:t>
      </w:r>
      <w:r w:rsidR="00C7104F">
        <w:t xml:space="preserve"> to collect. Any public reporting of this data needs to be approved by the business before it </w:t>
      </w:r>
      <w:r w:rsidR="00350867">
        <w:t>is released and c</w:t>
      </w:r>
      <w:r w:rsidR="00C36828">
        <w:t>urrently, there is no public reporting that is specific to the STPIS</w:t>
      </w:r>
      <w:r w:rsidR="00350867">
        <w:t>.</w:t>
      </w:r>
    </w:p>
    <w:p w:rsidR="00AA5833" w:rsidRDefault="004B42A7" w:rsidP="002D0CC5">
      <w:pPr>
        <w:pStyle w:val="BodyText"/>
      </w:pPr>
      <w:r>
        <w:t>Nevertheless, STPIS</w:t>
      </w:r>
      <w:r w:rsidR="002E0354">
        <w:t xml:space="preserve"> reporting and information requirements </w:t>
      </w:r>
      <w:r w:rsidR="00285A5C">
        <w:t>mostly</w:t>
      </w:r>
      <w:r w:rsidR="00980F36">
        <w:t xml:space="preserve"> exceed,</w:t>
      </w:r>
      <w:r w:rsidR="002E0354">
        <w:t xml:space="preserve"> </w:t>
      </w:r>
      <w:r w:rsidR="00350867">
        <w:t xml:space="preserve">and are in addition to, </w:t>
      </w:r>
      <w:r w:rsidR="002E0354">
        <w:t>jurisdiction</w:t>
      </w:r>
      <w:r w:rsidR="009E41FF">
        <w:noBreakHyphen/>
      </w:r>
      <w:r w:rsidR="002E0354">
        <w:t>specific reporting requirements</w:t>
      </w:r>
      <w:r w:rsidR="00AA5833">
        <w:t xml:space="preserve">, with the exception of Victoria. </w:t>
      </w:r>
      <w:r>
        <w:t>In the latter case, t</w:t>
      </w:r>
      <w:r w:rsidR="00AA5833">
        <w:t xml:space="preserve">he </w:t>
      </w:r>
      <w:r>
        <w:t xml:space="preserve">AER’s </w:t>
      </w:r>
      <w:r w:rsidR="00AA5833">
        <w:t xml:space="preserve">Annual Performance Report </w:t>
      </w:r>
      <w:r w:rsidR="00380C95">
        <w:t>(2012</w:t>
      </w:r>
      <w:r w:rsidR="00EF3128">
        <w:t>h</w:t>
      </w:r>
      <w:r w:rsidR="00380C95">
        <w:t>)</w:t>
      </w:r>
      <w:r w:rsidR="00AA5833">
        <w:t xml:space="preserve"> for the Victorian</w:t>
      </w:r>
      <w:r>
        <w:t xml:space="preserve"> distribution businesses details re</w:t>
      </w:r>
      <w:r w:rsidR="00AA5833">
        <w:t xml:space="preserve">liability performance at the </w:t>
      </w:r>
      <w:r w:rsidR="00BB7FBA">
        <w:t>zone substation</w:t>
      </w:r>
      <w:r w:rsidR="00AA5833">
        <w:t xml:space="preserve"> level and identifies the main causes</w:t>
      </w:r>
      <w:r w:rsidR="00094746">
        <w:t xml:space="preserve"> of faults in the networks. Th</w:t>
      </w:r>
      <w:r>
        <w:t>is</w:t>
      </w:r>
      <w:r w:rsidR="00AA5833">
        <w:t xml:space="preserve"> reporting structure and detail were inherited by the AER in the transition of responsibilities from the Essential Services Commission of Victoria (ESCV)</w:t>
      </w:r>
      <w:r w:rsidR="00FE299E">
        <w:t xml:space="preserve"> and </w:t>
      </w:r>
      <w:r w:rsidR="00285A5C">
        <w:lastRenderedPageBreak/>
        <w:t xml:space="preserve">now </w:t>
      </w:r>
      <w:r w:rsidR="00FE299E">
        <w:t>form the basis of the reporting requirement for</w:t>
      </w:r>
      <w:r w:rsidR="006C4F3E">
        <w:t xml:space="preserve"> Victoria </w:t>
      </w:r>
      <w:r w:rsidR="00FE299E">
        <w:t xml:space="preserve">under </w:t>
      </w:r>
      <w:r w:rsidR="006C4F3E">
        <w:t xml:space="preserve">the STPIS. </w:t>
      </w:r>
      <w:r w:rsidR="00350867">
        <w:t xml:space="preserve">This report provides a useful benchmark for establishing consistent, transparent and detailed reporting of reliability performance NEM-wide. </w:t>
      </w:r>
    </w:p>
    <w:p w:rsidR="002E0354" w:rsidRDefault="002E0354" w:rsidP="002E0354">
      <w:pPr>
        <w:pStyle w:val="Heading4"/>
      </w:pPr>
      <w:r>
        <w:t>Incentives under the STPIS</w:t>
      </w:r>
    </w:p>
    <w:p w:rsidR="00C20250" w:rsidRDefault="00543ABD" w:rsidP="00C20250">
      <w:pPr>
        <w:pStyle w:val="BodyText"/>
        <w:rPr>
          <w:rStyle w:val="DraftingNote"/>
          <w:b w:val="0"/>
          <w:color w:val="auto"/>
          <w:sz w:val="26"/>
          <w:u w:val="none"/>
        </w:rPr>
      </w:pPr>
      <w:r>
        <w:t xml:space="preserve">The first three components of the STPIS have incentives attached to them to encourage the distribution businesses to meet their specific targets. </w:t>
      </w:r>
      <w:r w:rsidR="007717A7">
        <w:t>The incentives are based on a VCR and the gap between the performance of the business and the target.</w:t>
      </w:r>
      <w:r w:rsidR="00C20250">
        <w:rPr>
          <w:rStyle w:val="DraftingNote"/>
          <w:b w:val="0"/>
          <w:color w:val="auto"/>
          <w:sz w:val="26"/>
          <w:u w:val="none"/>
        </w:rPr>
        <w:t xml:space="preserve"> The AER calculates the incentive rates using a VCR that is specific for each feeder type. The VCR for a CBD-feeder is $96 per kWh (indexed to the CPI from September 2008). For all other feeder types, the VCR is $48 per kWh (AER 2009</w:t>
      </w:r>
      <w:r w:rsidR="00EF3128">
        <w:rPr>
          <w:rStyle w:val="DraftingNote"/>
          <w:b w:val="0"/>
          <w:color w:val="auto"/>
          <w:sz w:val="26"/>
          <w:u w:val="none"/>
        </w:rPr>
        <w:t>d</w:t>
      </w:r>
      <w:r w:rsidR="00C20250">
        <w:rPr>
          <w:rStyle w:val="DraftingNote"/>
          <w:b w:val="0"/>
          <w:color w:val="auto"/>
          <w:sz w:val="26"/>
          <w:u w:val="none"/>
        </w:rPr>
        <w:t>, p. 10). In this way, the incentives for businesses to meet their targets are directly related to the costs (benefits) that customers experience when businesses fall short of (exceed) their targets.</w:t>
      </w:r>
    </w:p>
    <w:p w:rsidR="00285D2A" w:rsidRDefault="00543ABD" w:rsidP="00543ABD">
      <w:pPr>
        <w:pStyle w:val="BodyText"/>
      </w:pPr>
      <w:r>
        <w:rPr>
          <w:rStyle w:val="DraftingNote"/>
          <w:b w:val="0"/>
          <w:color w:val="auto"/>
          <w:sz w:val="26"/>
          <w:u w:val="none"/>
        </w:rPr>
        <w:t>The incentives are converted into a share of the annual maximum allowable revenue for a business</w:t>
      </w:r>
      <w:r w:rsidR="009E41FF">
        <w:rPr>
          <w:rStyle w:val="DraftingNote"/>
          <w:b w:val="0"/>
          <w:color w:val="auto"/>
          <w:sz w:val="26"/>
          <w:u w:val="none"/>
        </w:rPr>
        <w:t>,</w:t>
      </w:r>
      <w:r>
        <w:rPr>
          <w:rStyle w:val="DraftingNote"/>
          <w:b w:val="0"/>
          <w:color w:val="auto"/>
          <w:sz w:val="26"/>
          <w:u w:val="none"/>
        </w:rPr>
        <w:t xml:space="preserve"> termed the </w:t>
      </w:r>
      <w:r w:rsidR="009E41FF">
        <w:rPr>
          <w:rStyle w:val="DraftingNote"/>
          <w:b w:val="0"/>
          <w:color w:val="auto"/>
          <w:sz w:val="26"/>
          <w:u w:val="none"/>
        </w:rPr>
        <w:t>‘</w:t>
      </w:r>
      <w:r w:rsidR="0026627A">
        <w:rPr>
          <w:rStyle w:val="DraftingNote"/>
          <w:b w:val="0"/>
          <w:color w:val="auto"/>
          <w:sz w:val="26"/>
          <w:u w:val="none"/>
        </w:rPr>
        <w:t>s</w:t>
      </w:r>
      <w:r>
        <w:rPr>
          <w:rStyle w:val="DraftingNote"/>
          <w:b w:val="0"/>
          <w:color w:val="auto"/>
          <w:sz w:val="26"/>
          <w:u w:val="none"/>
        </w:rPr>
        <w:t>-factor</w:t>
      </w:r>
      <w:r w:rsidR="009E41FF">
        <w:rPr>
          <w:rStyle w:val="DraftingNote"/>
          <w:b w:val="0"/>
          <w:color w:val="auto"/>
          <w:sz w:val="26"/>
          <w:u w:val="none"/>
        </w:rPr>
        <w:t>’</w:t>
      </w:r>
      <w:r w:rsidR="00285A5C">
        <w:rPr>
          <w:rStyle w:val="DraftingNote"/>
          <w:b w:val="0"/>
          <w:color w:val="auto"/>
          <w:sz w:val="26"/>
          <w:u w:val="none"/>
        </w:rPr>
        <w:t>.</w:t>
      </w:r>
      <w:r w:rsidR="001B6EA9">
        <w:rPr>
          <w:rStyle w:val="DraftingNote"/>
          <w:b w:val="0"/>
          <w:color w:val="auto"/>
          <w:sz w:val="26"/>
          <w:u w:val="none"/>
        </w:rPr>
        <w:t xml:space="preserve"> </w:t>
      </w:r>
      <w:r>
        <w:rPr>
          <w:rStyle w:val="DraftingNote"/>
          <w:b w:val="0"/>
          <w:color w:val="auto"/>
          <w:sz w:val="26"/>
          <w:u w:val="none"/>
        </w:rPr>
        <w:t>The maximum that a business can be rewarded or penalised is termed the</w:t>
      </w:r>
      <w:r>
        <w:t xml:space="preserve"> </w:t>
      </w:r>
      <w:r w:rsidR="009E41FF">
        <w:t>‘</w:t>
      </w:r>
      <w:r>
        <w:t>revenue at risk</w:t>
      </w:r>
      <w:r w:rsidR="009E41FF">
        <w:t>’</w:t>
      </w:r>
      <w:r>
        <w:t xml:space="preserve">. </w:t>
      </w:r>
      <w:r w:rsidR="000E31B2">
        <w:t xml:space="preserve">The default level for each year in a regulatory control period is 5 per cent, though actual levels range from 3 per cent for Ergon Energy in Queensland to 7 per cent for SP AusNet in Victoria. </w:t>
      </w:r>
      <w:r>
        <w:t xml:space="preserve">Distributors can apply to postpone the incorporation of the revenue increments or decrements for a year to avoid excessive price fluctuations for customers. </w:t>
      </w:r>
    </w:p>
    <w:p w:rsidR="00543ABD" w:rsidRPr="00352A5D" w:rsidRDefault="00285D2A" w:rsidP="00543ABD">
      <w:pPr>
        <w:pStyle w:val="BodyText"/>
        <w:rPr>
          <w:rStyle w:val="DraftingNote"/>
          <w:b w:val="0"/>
          <w:color w:val="auto"/>
          <w:sz w:val="26"/>
          <w:u w:val="none"/>
        </w:rPr>
      </w:pPr>
      <w:r>
        <w:t xml:space="preserve">Under the STPIS, </w:t>
      </w:r>
      <w:r w:rsidR="00E77D23">
        <w:t xml:space="preserve">a business that </w:t>
      </w:r>
      <w:r>
        <w:t xml:space="preserve">meets all its </w:t>
      </w:r>
      <w:r w:rsidR="00E77D23">
        <w:t xml:space="preserve">targets gets additional revenue by being allowed by the AER to increase its </w:t>
      </w:r>
      <w:r w:rsidR="004B314C">
        <w:t>prices</w:t>
      </w:r>
      <w:r w:rsidR="00E77D23">
        <w:t xml:space="preserve"> to customers</w:t>
      </w:r>
      <w:r w:rsidR="00427F7C">
        <w:t xml:space="preserve"> </w:t>
      </w:r>
      <w:r w:rsidR="00075726">
        <w:t xml:space="preserve">— </w:t>
      </w:r>
      <w:r w:rsidR="00427F7C">
        <w:t xml:space="preserve">who effectively pay an additional price for the improved </w:t>
      </w:r>
      <w:r w:rsidR="004B314C">
        <w:t>‘</w:t>
      </w:r>
      <w:r w:rsidR="00427F7C">
        <w:t>quality</w:t>
      </w:r>
      <w:r w:rsidR="004B314C">
        <w:t>’</w:t>
      </w:r>
      <w:r w:rsidR="00427F7C">
        <w:t xml:space="preserve"> of </w:t>
      </w:r>
      <w:r w:rsidR="004B314C">
        <w:t>the service they receive</w:t>
      </w:r>
      <w:r w:rsidR="00427F7C">
        <w:t xml:space="preserve">. Likewise, if a business fails to meet its targets it gets penalised and has to reduce its prices to customers who receive some compensation for the poorer performance. The fact that customers thus end up </w:t>
      </w:r>
      <w:r w:rsidR="004B314C">
        <w:t>directly</w:t>
      </w:r>
      <w:r w:rsidR="00427F7C">
        <w:t xml:space="preserve"> paying for the performance that is incentivised by the STPIS, emphasises the point made earlier about the importance of aligning the STPIS targets with things that customers most value.</w:t>
      </w:r>
    </w:p>
    <w:p w:rsidR="00D045D6" w:rsidRPr="00650C94" w:rsidRDefault="00E5636D" w:rsidP="00E72FF3">
      <w:pPr>
        <w:pStyle w:val="Heading4"/>
        <w:rPr>
          <w:rStyle w:val="DraftingNote"/>
          <w:b w:val="0"/>
          <w:color w:val="auto"/>
          <w:u w:val="none"/>
        </w:rPr>
      </w:pPr>
      <w:r>
        <w:rPr>
          <w:rStyle w:val="DraftingNote"/>
          <w:b w:val="0"/>
          <w:color w:val="auto"/>
          <w:u w:val="none"/>
        </w:rPr>
        <w:t>Consequences for efficiency</w:t>
      </w:r>
    </w:p>
    <w:p w:rsidR="008E73AD" w:rsidRDefault="00707E04" w:rsidP="00D045D6">
      <w:pPr>
        <w:pStyle w:val="BodyText"/>
      </w:pPr>
      <w:r>
        <w:t>On the one hand, t</w:t>
      </w:r>
      <w:r w:rsidR="00D045D6">
        <w:t xml:space="preserve">he reporting requirements under the STPIS are likely to facilitate benchmarking </w:t>
      </w:r>
      <w:r w:rsidR="00980F36">
        <w:t xml:space="preserve">of businesses if the </w:t>
      </w:r>
      <w:r w:rsidR="00350867">
        <w:t xml:space="preserve">information currently collected by the AER is consistent and reasonably detailed. However, </w:t>
      </w:r>
      <w:r w:rsidR="00980F36">
        <w:t>it appears</w:t>
      </w:r>
      <w:r w:rsidR="00350867">
        <w:t xml:space="preserve"> there is room for significant strengthening and streamlining</w:t>
      </w:r>
      <w:r w:rsidR="00980F36">
        <w:t xml:space="preserve"> </w:t>
      </w:r>
      <w:r w:rsidR="00350867">
        <w:t xml:space="preserve">of </w:t>
      </w:r>
      <w:r w:rsidR="00980F36">
        <w:t>reporting requirements in the STPIS</w:t>
      </w:r>
      <w:r w:rsidR="00350867">
        <w:t>, especially outside of Victoria, and all non-commercially confidential information should be released publically</w:t>
      </w:r>
      <w:r w:rsidR="00694725">
        <w:t xml:space="preserve"> (and there should be an onus of proof on the business to show </w:t>
      </w:r>
      <w:r w:rsidR="00694725">
        <w:lastRenderedPageBreak/>
        <w:t>why any of this information is commercially con</w:t>
      </w:r>
      <w:r w:rsidR="003B09BA">
        <w:t>fidential —</w:t>
      </w:r>
      <w:r w:rsidR="00694725">
        <w:t xml:space="preserve"> these are regulated monopolies after all)</w:t>
      </w:r>
      <w:r w:rsidR="00350867">
        <w:t xml:space="preserve">. </w:t>
      </w:r>
    </w:p>
    <w:p w:rsidR="00D045D6" w:rsidRPr="00D045D6" w:rsidRDefault="00707E04" w:rsidP="00D045D6">
      <w:pPr>
        <w:pStyle w:val="BodyText"/>
      </w:pPr>
      <w:r>
        <w:t xml:space="preserve">On the other hand, </w:t>
      </w:r>
      <w:r w:rsidR="00253538">
        <w:t>because the STPIS</w:t>
      </w:r>
      <w:r w:rsidR="00490F8B">
        <w:t xml:space="preserve"> </w:t>
      </w:r>
      <w:r w:rsidR="009E41FF">
        <w:t xml:space="preserve">operates </w:t>
      </w:r>
      <w:r w:rsidR="00490F8B">
        <w:t>alongside existing jurisdiction</w:t>
      </w:r>
      <w:r w:rsidR="009E41FF">
        <w:noBreakHyphen/>
      </w:r>
      <w:r w:rsidR="00490F8B">
        <w:t xml:space="preserve">specific reliability standards, </w:t>
      </w:r>
      <w:r w:rsidR="009E41FF">
        <w:t xml:space="preserve">not every business is subject to </w:t>
      </w:r>
      <w:r w:rsidR="00490F8B">
        <w:t>the same parameters</w:t>
      </w:r>
      <w:r>
        <w:t xml:space="preserve"> </w:t>
      </w:r>
      <w:r w:rsidR="009E41FF">
        <w:t>of</w:t>
      </w:r>
      <w:r>
        <w:t xml:space="preserve"> the scheme</w:t>
      </w:r>
      <w:r w:rsidR="00490F8B">
        <w:t xml:space="preserve">. </w:t>
      </w:r>
      <w:r w:rsidR="00253538">
        <w:t xml:space="preserve">This inconsistency adds to the factors that must be controlled for in a benchmarking exercise, making such an exercise more difficult. </w:t>
      </w:r>
    </w:p>
    <w:p w:rsidR="00A8148A" w:rsidRDefault="00484D9A" w:rsidP="00A8148A">
      <w:pPr>
        <w:pStyle w:val="BodyText"/>
        <w:rPr>
          <w:rStyle w:val="DraftingNote"/>
          <w:b w:val="0"/>
          <w:color w:val="auto"/>
          <w:sz w:val="26"/>
          <w:u w:val="none"/>
        </w:rPr>
      </w:pPr>
      <w:r>
        <w:rPr>
          <w:rStyle w:val="DraftingNote"/>
          <w:b w:val="0"/>
          <w:color w:val="auto"/>
          <w:sz w:val="26"/>
          <w:u w:val="none"/>
        </w:rPr>
        <w:t>The STPIS has many valuable features</w:t>
      </w:r>
      <w:r w:rsidR="009E41FF">
        <w:rPr>
          <w:rStyle w:val="DraftingNote"/>
          <w:b w:val="0"/>
          <w:color w:val="auto"/>
          <w:sz w:val="26"/>
          <w:u w:val="none"/>
        </w:rPr>
        <w:t>,</w:t>
      </w:r>
      <w:r>
        <w:rPr>
          <w:rStyle w:val="DraftingNote"/>
          <w:b w:val="0"/>
          <w:color w:val="auto"/>
          <w:sz w:val="26"/>
          <w:u w:val="none"/>
        </w:rPr>
        <w:t xml:space="preserve"> including the consistency between the incentives offered and the reliability related revenue approved by the AER</w:t>
      </w:r>
      <w:r w:rsidR="009E41FF">
        <w:rPr>
          <w:rStyle w:val="DraftingNote"/>
          <w:b w:val="0"/>
          <w:color w:val="auto"/>
          <w:sz w:val="26"/>
          <w:u w:val="none"/>
        </w:rPr>
        <w:t>. Nonetheless,</w:t>
      </w:r>
      <w:r>
        <w:rPr>
          <w:rStyle w:val="DraftingNote"/>
          <w:b w:val="0"/>
          <w:color w:val="auto"/>
          <w:sz w:val="26"/>
          <w:u w:val="none"/>
        </w:rPr>
        <w:t xml:space="preserve"> several concerns remain</w:t>
      </w:r>
      <w:r w:rsidR="009E41FF">
        <w:rPr>
          <w:rStyle w:val="DraftingNote"/>
          <w:b w:val="0"/>
          <w:color w:val="auto"/>
          <w:sz w:val="26"/>
          <w:u w:val="none"/>
        </w:rPr>
        <w:t>:</w:t>
      </w:r>
      <w:r>
        <w:rPr>
          <w:rStyle w:val="DraftingNote"/>
          <w:b w:val="0"/>
          <w:color w:val="auto"/>
          <w:sz w:val="26"/>
          <w:u w:val="none"/>
        </w:rPr>
        <w:t xml:space="preserve"> </w:t>
      </w:r>
    </w:p>
    <w:p w:rsidR="000D7ACB" w:rsidRPr="001B6EA9" w:rsidRDefault="001B6EA9" w:rsidP="001B6EA9">
      <w:pPr>
        <w:pStyle w:val="ListBullet"/>
        <w:rPr>
          <w:rStyle w:val="DraftingNote"/>
          <w:b w:val="0"/>
          <w:color w:val="auto"/>
          <w:sz w:val="26"/>
          <w:u w:val="none"/>
        </w:rPr>
      </w:pPr>
      <w:r>
        <w:rPr>
          <w:rStyle w:val="DraftingNote"/>
          <w:b w:val="0"/>
          <w:color w:val="auto"/>
          <w:sz w:val="26"/>
          <w:u w:val="none"/>
        </w:rPr>
        <w:t>T</w:t>
      </w:r>
      <w:r w:rsidR="000D7ACB" w:rsidRPr="00082489">
        <w:rPr>
          <w:rStyle w:val="DraftingNote"/>
          <w:b w:val="0"/>
          <w:color w:val="auto"/>
          <w:sz w:val="26"/>
          <w:u w:val="none"/>
        </w:rPr>
        <w:t xml:space="preserve">he targets are based on </w:t>
      </w:r>
      <w:r w:rsidR="00253538" w:rsidRPr="00082489">
        <w:rPr>
          <w:rStyle w:val="DraftingNote"/>
          <w:b w:val="0"/>
          <w:color w:val="auto"/>
          <w:sz w:val="26"/>
          <w:u w:val="none"/>
        </w:rPr>
        <w:t>a business’</w:t>
      </w:r>
      <w:r w:rsidR="00427F7C">
        <w:rPr>
          <w:rStyle w:val="DraftingNote"/>
          <w:b w:val="0"/>
          <w:color w:val="auto"/>
          <w:sz w:val="26"/>
          <w:u w:val="none"/>
        </w:rPr>
        <w:t>s</w:t>
      </w:r>
      <w:r w:rsidR="00253538" w:rsidRPr="00082489">
        <w:rPr>
          <w:rStyle w:val="DraftingNote"/>
          <w:b w:val="0"/>
          <w:color w:val="auto"/>
          <w:sz w:val="26"/>
          <w:u w:val="none"/>
        </w:rPr>
        <w:t xml:space="preserve"> </w:t>
      </w:r>
      <w:r w:rsidR="000D7ACB" w:rsidRPr="00082489">
        <w:rPr>
          <w:rStyle w:val="DraftingNote"/>
          <w:b w:val="0"/>
          <w:color w:val="auto"/>
          <w:sz w:val="26"/>
          <w:u w:val="none"/>
        </w:rPr>
        <w:t>historical performance</w:t>
      </w:r>
      <w:r w:rsidR="003B09BA">
        <w:rPr>
          <w:rStyle w:val="DraftingNote"/>
          <w:b w:val="0"/>
          <w:color w:val="auto"/>
          <w:sz w:val="26"/>
          <w:u w:val="none"/>
        </w:rPr>
        <w:t xml:space="preserve">. </w:t>
      </w:r>
      <w:r w:rsidR="000D7ACB" w:rsidRPr="00082489">
        <w:rPr>
          <w:rStyle w:val="DraftingNote"/>
          <w:b w:val="0"/>
          <w:color w:val="auto"/>
          <w:sz w:val="26"/>
          <w:u w:val="none"/>
        </w:rPr>
        <w:t xml:space="preserve">As discussed </w:t>
      </w:r>
      <w:r w:rsidR="009E41FF">
        <w:rPr>
          <w:rStyle w:val="DraftingNote"/>
          <w:b w:val="0"/>
          <w:color w:val="auto"/>
          <w:sz w:val="26"/>
          <w:u w:val="none"/>
        </w:rPr>
        <w:t>in the context of</w:t>
      </w:r>
      <w:r w:rsidR="000D7ACB" w:rsidRPr="00082489">
        <w:rPr>
          <w:rStyle w:val="DraftingNote"/>
          <w:b w:val="0"/>
          <w:color w:val="auto"/>
          <w:sz w:val="26"/>
          <w:u w:val="none"/>
        </w:rPr>
        <w:t xml:space="preserve"> jurisdictio</w:t>
      </w:r>
      <w:r w:rsidR="000D7ACB" w:rsidRPr="0039033A">
        <w:rPr>
          <w:rStyle w:val="DraftingNote"/>
          <w:b w:val="0"/>
          <w:color w:val="auto"/>
          <w:sz w:val="26"/>
          <w:u w:val="none"/>
        </w:rPr>
        <w:t>n</w:t>
      </w:r>
      <w:r w:rsidR="009E41FF">
        <w:rPr>
          <w:rStyle w:val="DraftingNote"/>
          <w:b w:val="0"/>
          <w:color w:val="auto"/>
          <w:sz w:val="26"/>
          <w:u w:val="none"/>
        </w:rPr>
        <w:noBreakHyphen/>
      </w:r>
      <w:r w:rsidR="000D7ACB" w:rsidRPr="0039033A">
        <w:rPr>
          <w:rStyle w:val="DraftingNote"/>
          <w:b w:val="0"/>
          <w:color w:val="auto"/>
          <w:sz w:val="26"/>
          <w:u w:val="none"/>
        </w:rPr>
        <w:t>specific standards, historical performance</w:t>
      </w:r>
      <w:r w:rsidR="00490F8B" w:rsidRPr="004A7FC4">
        <w:rPr>
          <w:rStyle w:val="DraftingNote"/>
          <w:b w:val="0"/>
          <w:color w:val="auto"/>
          <w:sz w:val="26"/>
          <w:u w:val="none"/>
        </w:rPr>
        <w:t xml:space="preserve"> as a </w:t>
      </w:r>
      <w:r w:rsidR="00253538" w:rsidRPr="004A7FC4">
        <w:rPr>
          <w:rStyle w:val="DraftingNote"/>
          <w:b w:val="0"/>
          <w:color w:val="auto"/>
          <w:sz w:val="26"/>
          <w:u w:val="none"/>
        </w:rPr>
        <w:t xml:space="preserve">basis for a reliability </w:t>
      </w:r>
      <w:r w:rsidR="00490F8B" w:rsidRPr="001B6EA9">
        <w:rPr>
          <w:rStyle w:val="DraftingNote"/>
          <w:b w:val="0"/>
          <w:color w:val="auto"/>
          <w:sz w:val="26"/>
          <w:u w:val="none"/>
        </w:rPr>
        <w:t xml:space="preserve">standard does not have regard </w:t>
      </w:r>
      <w:r w:rsidR="00253538" w:rsidRPr="001B6EA9">
        <w:rPr>
          <w:rStyle w:val="DraftingNote"/>
          <w:b w:val="0"/>
          <w:color w:val="auto"/>
          <w:sz w:val="26"/>
          <w:u w:val="none"/>
        </w:rPr>
        <w:t>to customers</w:t>
      </w:r>
      <w:r w:rsidR="00484EAA" w:rsidRPr="001B6EA9">
        <w:rPr>
          <w:rStyle w:val="DraftingNote"/>
          <w:b w:val="0"/>
          <w:color w:val="auto"/>
          <w:sz w:val="26"/>
          <w:u w:val="none"/>
        </w:rPr>
        <w:t>’ willingness to pay.</w:t>
      </w:r>
      <w:r w:rsidR="00490F8B" w:rsidRPr="001B6EA9">
        <w:rPr>
          <w:rStyle w:val="DraftingNote"/>
          <w:b w:val="0"/>
          <w:color w:val="auto"/>
          <w:sz w:val="26"/>
          <w:u w:val="none"/>
        </w:rPr>
        <w:t xml:space="preserve"> </w:t>
      </w:r>
    </w:p>
    <w:p w:rsidR="0035258E" w:rsidRPr="00586CD3" w:rsidRDefault="00586CD3" w:rsidP="001B6EA9">
      <w:pPr>
        <w:pStyle w:val="ListBullet"/>
      </w:pPr>
      <w:r>
        <w:t>T</w:t>
      </w:r>
      <w:r w:rsidR="004421FC" w:rsidRPr="00082489">
        <w:t xml:space="preserve">he rewards and penalties received under the scheme are </w:t>
      </w:r>
      <w:r w:rsidR="0035258E" w:rsidRPr="00586CD3">
        <w:t xml:space="preserve">unlikely to be providing the </w:t>
      </w:r>
      <w:r>
        <w:t xml:space="preserve">right </w:t>
      </w:r>
      <w:r w:rsidR="0035258E" w:rsidRPr="00586CD3">
        <w:t>incentives to distribution businesses to encourage them to</w:t>
      </w:r>
      <w:r w:rsidR="00FA5E6F">
        <w:t xml:space="preserve"> efficiently</w:t>
      </w:r>
      <w:r w:rsidR="0035258E" w:rsidRPr="00586CD3">
        <w:t xml:space="preserve"> meet </w:t>
      </w:r>
      <w:r w:rsidR="00FA5E6F">
        <w:t>customer preferences</w:t>
      </w:r>
      <w:r w:rsidR="00C93FA9">
        <w:t xml:space="preserve">, due to issues in </w:t>
      </w:r>
      <w:r w:rsidR="001552F7">
        <w:t>using</w:t>
      </w:r>
      <w:r w:rsidR="00C93FA9">
        <w:t xml:space="preserve"> a single VCR</w:t>
      </w:r>
      <w:r w:rsidR="004F2839" w:rsidRPr="00586CD3">
        <w:t xml:space="preserve"> (box </w:t>
      </w:r>
      <w:r w:rsidR="0074356E">
        <w:t>16</w:t>
      </w:r>
      <w:r w:rsidR="0025626D">
        <w:t>.3</w:t>
      </w:r>
      <w:r w:rsidR="00C93FA9">
        <w:t>) and the implications of errors</w:t>
      </w:r>
      <w:r w:rsidR="00E55BD9" w:rsidRPr="00586CD3">
        <w:t xml:space="preserve"> </w:t>
      </w:r>
      <w:r w:rsidR="00C93FA9">
        <w:t>(</w:t>
      </w:r>
      <w:r w:rsidR="00E55BD9" w:rsidRPr="00586CD3">
        <w:t>box </w:t>
      </w:r>
      <w:r w:rsidR="0025626D">
        <w:t>1</w:t>
      </w:r>
      <w:r w:rsidR="0074356E">
        <w:t>6</w:t>
      </w:r>
      <w:r w:rsidR="0025626D">
        <w:t>.4</w:t>
      </w:r>
      <w:r w:rsidR="004F2839" w:rsidRPr="00586CD3">
        <w:t>)</w:t>
      </w:r>
      <w:r w:rsidR="0035258E" w:rsidRPr="00586CD3">
        <w:t xml:space="preserve">. </w:t>
      </w:r>
      <w:r w:rsidR="00253538" w:rsidRPr="00586CD3">
        <w:t>Further</w:t>
      </w:r>
      <w:r>
        <w:t>more</w:t>
      </w:r>
      <w:r w:rsidR="00253538" w:rsidRPr="00586CD3">
        <w:t xml:space="preserve">, </w:t>
      </w:r>
      <w:r>
        <w:t xml:space="preserve">the </w:t>
      </w:r>
      <w:r w:rsidR="00253538" w:rsidRPr="00586CD3">
        <w:t xml:space="preserve">AER uses the same VCR for all distribution </w:t>
      </w:r>
      <w:r w:rsidR="00484D9A" w:rsidRPr="00586CD3">
        <w:t>businesses, which ignores the different preferences</w:t>
      </w:r>
      <w:r w:rsidR="00253538" w:rsidRPr="00586CD3">
        <w:t xml:space="preserve"> that customers between, and indeed within, distribution </w:t>
      </w:r>
      <w:r w:rsidR="00F12EF8">
        <w:t>networks</w:t>
      </w:r>
      <w:r w:rsidR="00253538" w:rsidRPr="00586CD3">
        <w:t xml:space="preserve"> might have.</w:t>
      </w:r>
    </w:p>
    <w:p w:rsidR="00FF4C6F" w:rsidRPr="001B6EA9" w:rsidRDefault="001B6EA9" w:rsidP="001B6EA9">
      <w:pPr>
        <w:pStyle w:val="ListBullet"/>
        <w:rPr>
          <w:rStyle w:val="BodyTextChar"/>
        </w:rPr>
      </w:pPr>
      <w:r>
        <w:t>T</w:t>
      </w:r>
      <w:r w:rsidR="0027351C" w:rsidRPr="00082489">
        <w:t>he</w:t>
      </w:r>
      <w:r w:rsidR="003B09BA">
        <w:t xml:space="preserve"> default </w:t>
      </w:r>
      <w:r w:rsidR="0027351C" w:rsidRPr="00082489">
        <w:t>revenue at risk is 5 per cent</w:t>
      </w:r>
      <w:r w:rsidR="00DC1C03" w:rsidRPr="00586CD3">
        <w:rPr>
          <w:rStyle w:val="BodyTextChar"/>
        </w:rPr>
        <w:t xml:space="preserve"> to avo</w:t>
      </w:r>
      <w:r w:rsidR="00DC1C03" w:rsidRPr="008F0CA7">
        <w:rPr>
          <w:rStyle w:val="BodyTextChar"/>
        </w:rPr>
        <w:t>id ‘imposing undue risk’ on businesses by making businesses ‘accountable for events caused by factors over which [they have] little or no control’ (AER 2008</w:t>
      </w:r>
      <w:r w:rsidR="00EF3128">
        <w:rPr>
          <w:rStyle w:val="BodyTextChar"/>
        </w:rPr>
        <w:t>b</w:t>
      </w:r>
      <w:r w:rsidR="00DC1C03" w:rsidRPr="008F0CA7">
        <w:rPr>
          <w:rStyle w:val="BodyTextChar"/>
        </w:rPr>
        <w:t>, p. 16, AER 2007</w:t>
      </w:r>
      <w:r w:rsidR="00EF3128">
        <w:rPr>
          <w:rStyle w:val="BodyTextChar"/>
        </w:rPr>
        <w:t>a</w:t>
      </w:r>
      <w:r w:rsidR="00DC1C03" w:rsidRPr="008F0CA7">
        <w:rPr>
          <w:rStyle w:val="BodyTextChar"/>
        </w:rPr>
        <w:t>, p. 23). It is not clear, however, from the discussion c</w:t>
      </w:r>
      <w:r w:rsidR="00DC1C03" w:rsidRPr="0039033A">
        <w:rPr>
          <w:rStyle w:val="BodyTextChar"/>
        </w:rPr>
        <w:t>ontained in</w:t>
      </w:r>
      <w:r w:rsidR="00DC1C03" w:rsidRPr="004A7FC4">
        <w:rPr>
          <w:rStyle w:val="BodyTextChar"/>
        </w:rPr>
        <w:t xml:space="preserve"> the documents establishing the STPIS</w:t>
      </w:r>
      <w:r w:rsidR="00F12EF8">
        <w:rPr>
          <w:rStyle w:val="BodyTextChar"/>
        </w:rPr>
        <w:t>,</w:t>
      </w:r>
      <w:r w:rsidR="00DC1C03" w:rsidRPr="004A7FC4">
        <w:rPr>
          <w:rStyle w:val="BodyTextChar"/>
        </w:rPr>
        <w:t xml:space="preserve"> that</w:t>
      </w:r>
      <w:r w:rsidR="00253538" w:rsidRPr="004A7FC4">
        <w:rPr>
          <w:rStyle w:val="BodyTextChar"/>
        </w:rPr>
        <w:t xml:space="preserve"> 5 per cent revenue at risk provides</w:t>
      </w:r>
      <w:r w:rsidR="00DC1C03" w:rsidRPr="004A7FC4">
        <w:rPr>
          <w:rStyle w:val="BodyTextChar"/>
        </w:rPr>
        <w:t xml:space="preserve"> a large enough incentive to prompt businesses to adjust their reliability performance</w:t>
      </w:r>
      <w:r w:rsidR="0025626D">
        <w:rPr>
          <w:rStyle w:val="BodyTextChar"/>
        </w:rPr>
        <w:t xml:space="preserve"> sufficiently</w:t>
      </w:r>
      <w:r w:rsidR="00DC1C03" w:rsidRPr="004A7FC4">
        <w:rPr>
          <w:rStyle w:val="BodyTextChar"/>
        </w:rPr>
        <w:t xml:space="preserve">. </w:t>
      </w:r>
    </w:p>
    <w:p w:rsidR="00DC1C03" w:rsidRPr="00DC1C03" w:rsidRDefault="00FF4C6F" w:rsidP="001B6EA9">
      <w:pPr>
        <w:pStyle w:val="ListBullet"/>
        <w:numPr>
          <w:ilvl w:val="0"/>
          <w:numId w:val="0"/>
        </w:numPr>
        <w:ind w:left="340"/>
        <w:rPr>
          <w:rStyle w:val="BodyTextChar"/>
        </w:rPr>
      </w:pPr>
      <w:r>
        <w:rPr>
          <w:rStyle w:val="BodyTextChar"/>
        </w:rPr>
        <w:t>Consumers</w:t>
      </w:r>
      <w:r w:rsidR="00253538">
        <w:rPr>
          <w:rStyle w:val="BodyTextChar"/>
        </w:rPr>
        <w:t xml:space="preserve"> </w:t>
      </w:r>
      <w:r w:rsidR="008F0CA7">
        <w:rPr>
          <w:rStyle w:val="BodyTextChar"/>
        </w:rPr>
        <w:t xml:space="preserve">also </w:t>
      </w:r>
      <w:r w:rsidR="00253538">
        <w:rPr>
          <w:rStyle w:val="BodyTextChar"/>
        </w:rPr>
        <w:t>incur</w:t>
      </w:r>
      <w:r w:rsidR="00DC1C03">
        <w:rPr>
          <w:rStyle w:val="BodyTextChar"/>
        </w:rPr>
        <w:t xml:space="preserve"> risk </w:t>
      </w:r>
      <w:r w:rsidR="008F0CA7">
        <w:rPr>
          <w:rStyle w:val="BodyTextChar"/>
        </w:rPr>
        <w:t xml:space="preserve">from uncapped revenue at risk in the form of </w:t>
      </w:r>
      <w:r w:rsidR="00DC1C03">
        <w:rPr>
          <w:rStyle w:val="BodyTextChar"/>
        </w:rPr>
        <w:t>excessive price fluctuations from one year to the next</w:t>
      </w:r>
      <w:r w:rsidR="008F0CA7">
        <w:rPr>
          <w:rStyle w:val="BodyTextChar"/>
        </w:rPr>
        <w:t>, although the s-bank mechanism in the STPIS helps to smooth</w:t>
      </w:r>
      <w:r w:rsidR="002A7F92">
        <w:rPr>
          <w:rStyle w:val="BodyTextChar"/>
        </w:rPr>
        <w:t xml:space="preserve"> volatility in prices over time</w:t>
      </w:r>
      <w:r w:rsidR="00EF3128">
        <w:rPr>
          <w:rStyle w:val="BodyTextChar"/>
        </w:rPr>
        <w:t xml:space="preserve"> (AER 2009d</w:t>
      </w:r>
      <w:r w:rsidR="00E07F41">
        <w:rPr>
          <w:rStyle w:val="BodyTextChar"/>
        </w:rPr>
        <w:t>,</w:t>
      </w:r>
      <w:r w:rsidR="001338D0">
        <w:rPr>
          <w:rStyle w:val="BodyTextChar"/>
        </w:rPr>
        <w:t xml:space="preserve"> p. 30). </w:t>
      </w:r>
    </w:p>
    <w:p w:rsidR="004F2839" w:rsidRDefault="004F283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F2839">
        <w:tc>
          <w:tcPr>
            <w:tcW w:w="8771" w:type="dxa"/>
            <w:tcBorders>
              <w:top w:val="single" w:sz="6" w:space="0" w:color="auto"/>
              <w:bottom w:val="nil"/>
            </w:tcBorders>
          </w:tcPr>
          <w:p w:rsidR="004F2839" w:rsidRDefault="004F2839" w:rsidP="00E55BD9">
            <w:pPr>
              <w:pStyle w:val="BoxTitle"/>
            </w:pPr>
            <w:r>
              <w:rPr>
                <w:b w:val="0"/>
              </w:rPr>
              <w:t xml:space="preserve">Box </w:t>
            </w:r>
            <w:r w:rsidR="00977AF3">
              <w:rPr>
                <w:b w:val="0"/>
              </w:rPr>
              <w:t>16.</w:t>
            </w:r>
            <w:r w:rsidR="00365BD8">
              <w:rPr>
                <w:b w:val="0"/>
                <w:noProof/>
              </w:rPr>
              <w:t>3</w:t>
            </w:r>
            <w:r>
              <w:tab/>
            </w:r>
            <w:r w:rsidR="00E55BD9">
              <w:t xml:space="preserve">The problem with a single </w:t>
            </w:r>
            <w:r w:rsidR="00484EAA">
              <w:t>value of customer reliability</w:t>
            </w:r>
          </w:p>
        </w:tc>
      </w:tr>
      <w:tr w:rsidR="004F2839">
        <w:trPr>
          <w:cantSplit/>
        </w:trPr>
        <w:tc>
          <w:tcPr>
            <w:tcW w:w="8771" w:type="dxa"/>
            <w:tcBorders>
              <w:top w:val="nil"/>
              <w:left w:val="single" w:sz="6" w:space="0" w:color="auto"/>
              <w:bottom w:val="nil"/>
              <w:right w:val="single" w:sz="6" w:space="0" w:color="auto"/>
            </w:tcBorders>
          </w:tcPr>
          <w:p w:rsidR="00DE3C0A" w:rsidRDefault="004F2839">
            <w:pPr>
              <w:pStyle w:val="Box"/>
            </w:pPr>
            <w:r>
              <w:t>The efficient level of reliability, as discussed in chapter </w:t>
            </w:r>
            <w:r w:rsidR="000E31B2">
              <w:t>14</w:t>
            </w:r>
            <w:r>
              <w:t xml:space="preserve">, is where the marginal benefit to customers of extra reliability is equal to the marginal cost to the business of supplying it. </w:t>
            </w:r>
          </w:p>
          <w:p w:rsidR="00DE3C0A" w:rsidRDefault="0013784E">
            <w:pPr>
              <w:pStyle w:val="Box"/>
            </w:pPr>
            <w:r>
              <w:t xml:space="preserve">Assuming that the targets in the STPIS are set at the efficient level, the optimal incentive to apply to businesses that perform above or below their target is a function of the VCR and the gap between the target and the performance. </w:t>
            </w:r>
            <w:r w:rsidR="004F2839">
              <w:t xml:space="preserve">Theoretically, however, the VCR is not constant, and the incentives should be higher when a business under-performs than when it over-performs. </w:t>
            </w:r>
          </w:p>
          <w:p w:rsidR="004F2839" w:rsidRDefault="007717A7">
            <w:pPr>
              <w:pStyle w:val="Box"/>
            </w:pPr>
            <w:r>
              <w:t>In the figure below</w:t>
            </w:r>
            <w:r w:rsidR="00FF4C6F">
              <w:t>, when a business performs at R</w:t>
            </w:r>
            <w:r>
              <w:t xml:space="preserve">’, below its efficient (and target) level of R*, the optimal penalty should recognise that the cost to </w:t>
            </w:r>
            <w:r w:rsidR="00FF4C6F">
              <w:t>customers</w:t>
            </w:r>
            <w:r>
              <w:t xml:space="preserve">, VCR’, is higher than the cost to the business of improving reliability. Penalising the business using VCR* will </w:t>
            </w:r>
            <w:r w:rsidR="00FA5E6F">
              <w:t>not be equivalent to the loss</w:t>
            </w:r>
            <w:r w:rsidR="003B09BA">
              <w:t xml:space="preserve"> that</w:t>
            </w:r>
            <w:r>
              <w:t xml:space="preserve"> consumers </w:t>
            </w:r>
            <w:r w:rsidR="00FA5E6F">
              <w:t xml:space="preserve">experience </w:t>
            </w:r>
            <w:r>
              <w:t xml:space="preserve">for this </w:t>
            </w:r>
            <w:r w:rsidR="00FA5E6F">
              <w:t>level of underperformance</w:t>
            </w:r>
            <w:r>
              <w:t xml:space="preserve">. </w:t>
            </w:r>
          </w:p>
          <w:p w:rsidR="004F2839" w:rsidRDefault="007717A7" w:rsidP="004F2839">
            <w:pPr>
              <w:pStyle w:val="Box"/>
              <w:jc w:val="center"/>
            </w:pPr>
            <w:r>
              <w:rPr>
                <w:noProof/>
              </w:rPr>
              <w:drawing>
                <wp:inline distT="0" distB="0" distL="0" distR="0" wp14:anchorId="14991DF8" wp14:editId="511F776D">
                  <wp:extent cx="3865418" cy="3278992"/>
                  <wp:effectExtent l="0" t="0" r="0" b="0"/>
                  <wp:docPr id="11" name="Picture 11" descr="This figure adds to the figure found in Box 14.3 in chapter 14 to show the impacts of varying reliability levels on cost. It shows that different levels of reliability correspond to varying levels of V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9921" cy="3282812"/>
                          </a:xfrm>
                          <a:prstGeom prst="rect">
                            <a:avLst/>
                          </a:prstGeom>
                          <a:noFill/>
                        </pic:spPr>
                      </pic:pic>
                    </a:graphicData>
                  </a:graphic>
                </wp:inline>
              </w:drawing>
            </w:r>
          </w:p>
          <w:p w:rsidR="007717A7" w:rsidRDefault="0027351C" w:rsidP="0027351C">
            <w:pPr>
              <w:pStyle w:val="Box"/>
            </w:pPr>
            <w:r>
              <w:t xml:space="preserve">Similarly, if a business </w:t>
            </w:r>
            <w:r w:rsidR="00A20E73">
              <w:t xml:space="preserve">exceeds </w:t>
            </w:r>
            <w:r>
              <w:t xml:space="preserve">the target at R’’, it will be rewarded using VCR* when customers only value the increased reliability at VCR’’. This means that businesses are being </w:t>
            </w:r>
            <w:r w:rsidR="00FF4C6F">
              <w:t>rewarded</w:t>
            </w:r>
            <w:r>
              <w:t xml:space="preserve"> by more than the</w:t>
            </w:r>
            <w:r w:rsidR="00A20E73">
              <w:t xml:space="preserve"> marginal</w:t>
            </w:r>
            <w:r>
              <w:t xml:space="preserve"> benefit accruing to customers. </w:t>
            </w:r>
          </w:p>
          <w:p w:rsidR="0027351C" w:rsidRDefault="0027351C" w:rsidP="000E31B2">
            <w:pPr>
              <w:pStyle w:val="Box"/>
            </w:pPr>
            <w:r>
              <w:t>In reality, however, applying variable VCRs</w:t>
            </w:r>
            <w:r w:rsidR="00FF4C6F">
              <w:t xml:space="preserve"> that correspond to a marginal benefits curve like that in the figure </w:t>
            </w:r>
            <w:r>
              <w:t>is challenging</w:t>
            </w:r>
            <w:r w:rsidR="00FF4C6F">
              <w:t>,</w:t>
            </w:r>
            <w:r>
              <w:t xml:space="preserve"> especially considering the difficulties associated with identifying accurate VCR</w:t>
            </w:r>
            <w:r w:rsidR="00FF4C6F">
              <w:t>s</w:t>
            </w:r>
            <w:r>
              <w:t xml:space="preserve"> </w:t>
            </w:r>
            <w:r w:rsidR="0025626D">
              <w:t xml:space="preserve">as discussed in </w:t>
            </w:r>
            <w:r>
              <w:t>chapter </w:t>
            </w:r>
            <w:r w:rsidR="0025626D">
              <w:t>1</w:t>
            </w:r>
            <w:r w:rsidR="000E31B2">
              <w:t>4</w:t>
            </w:r>
            <w:r>
              <w:t xml:space="preserve">. </w:t>
            </w:r>
          </w:p>
        </w:tc>
      </w:tr>
      <w:tr w:rsidR="004F2839">
        <w:trPr>
          <w:cantSplit/>
        </w:trPr>
        <w:tc>
          <w:tcPr>
            <w:tcW w:w="8771" w:type="dxa"/>
            <w:tcBorders>
              <w:top w:val="nil"/>
              <w:left w:val="single" w:sz="6" w:space="0" w:color="auto"/>
              <w:bottom w:val="single" w:sz="6" w:space="0" w:color="auto"/>
              <w:right w:val="single" w:sz="6" w:space="0" w:color="auto"/>
            </w:tcBorders>
          </w:tcPr>
          <w:p w:rsidR="004F2839" w:rsidRDefault="004F2839">
            <w:pPr>
              <w:pStyle w:val="Box"/>
              <w:spacing w:before="0" w:line="120" w:lineRule="exact"/>
            </w:pPr>
          </w:p>
        </w:tc>
      </w:tr>
      <w:tr w:rsidR="004F2839" w:rsidRPr="000863A5">
        <w:tc>
          <w:tcPr>
            <w:tcW w:w="8771" w:type="dxa"/>
            <w:tcBorders>
              <w:top w:val="nil"/>
              <w:left w:val="nil"/>
              <w:bottom w:val="nil"/>
              <w:right w:val="nil"/>
            </w:tcBorders>
          </w:tcPr>
          <w:p w:rsidR="004F2839" w:rsidRPr="000863A5" w:rsidRDefault="004F2839" w:rsidP="004F2839">
            <w:pPr>
              <w:pStyle w:val="Box"/>
              <w:keepNext w:val="0"/>
              <w:spacing w:before="60" w:after="60" w:line="80" w:lineRule="exact"/>
              <w:rPr>
                <w:b/>
                <w:sz w:val="14"/>
              </w:rPr>
            </w:pPr>
          </w:p>
        </w:tc>
      </w:tr>
    </w:tbl>
    <w:p w:rsidR="00E55BD9" w:rsidRDefault="00E55BD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5BD9">
        <w:tc>
          <w:tcPr>
            <w:tcW w:w="8771" w:type="dxa"/>
            <w:tcBorders>
              <w:top w:val="single" w:sz="6" w:space="0" w:color="auto"/>
              <w:bottom w:val="nil"/>
            </w:tcBorders>
          </w:tcPr>
          <w:p w:rsidR="00E55BD9" w:rsidRDefault="00E55BD9">
            <w:pPr>
              <w:pStyle w:val="BoxTitle"/>
            </w:pPr>
            <w:r>
              <w:rPr>
                <w:b w:val="0"/>
              </w:rPr>
              <w:t xml:space="preserve">Box </w:t>
            </w:r>
            <w:r w:rsidR="00977AF3">
              <w:rPr>
                <w:b w:val="0"/>
              </w:rPr>
              <w:t>16.</w:t>
            </w:r>
            <w:r w:rsidR="00365BD8">
              <w:rPr>
                <w:b w:val="0"/>
                <w:noProof/>
              </w:rPr>
              <w:t>4</w:t>
            </w:r>
            <w:r>
              <w:tab/>
              <w:t xml:space="preserve">What happens if the </w:t>
            </w:r>
            <w:r w:rsidR="00484EAA">
              <w:t>value of customer reliability</w:t>
            </w:r>
            <w:r>
              <w:t xml:space="preserve"> and the targets are wrong? </w:t>
            </w:r>
          </w:p>
        </w:tc>
      </w:tr>
      <w:tr w:rsidR="00E55BD9">
        <w:trPr>
          <w:cantSplit/>
        </w:trPr>
        <w:tc>
          <w:tcPr>
            <w:tcW w:w="8771" w:type="dxa"/>
            <w:tcBorders>
              <w:top w:val="nil"/>
              <w:left w:val="single" w:sz="6" w:space="0" w:color="auto"/>
              <w:bottom w:val="nil"/>
              <w:right w:val="single" w:sz="6" w:space="0" w:color="auto"/>
            </w:tcBorders>
          </w:tcPr>
          <w:p w:rsidR="00A20E73" w:rsidRDefault="00E55BD9">
            <w:pPr>
              <w:pStyle w:val="Box"/>
            </w:pPr>
            <w:r>
              <w:t xml:space="preserve">Using the figure </w:t>
            </w:r>
            <w:r w:rsidR="00FF4C6F">
              <w:t>below</w:t>
            </w:r>
            <w:r>
              <w:t xml:space="preserve"> it is possible to examine how incentive schemes can produce inefficient levels of reliability when the VCR and/or the targets are not at their optimal points. </w:t>
            </w:r>
          </w:p>
          <w:p w:rsidR="00E55BD9" w:rsidRDefault="00E55BD9">
            <w:pPr>
              <w:pStyle w:val="Box"/>
            </w:pPr>
            <w:r>
              <w:t>Assum</w:t>
            </w:r>
            <w:r w:rsidR="00C93FA9">
              <w:t>e</w:t>
            </w:r>
            <w:r>
              <w:t xml:space="preserve"> first that the target is set optimally at R*, but the VCR is set at VCR’</w:t>
            </w:r>
            <w:r w:rsidR="00C93FA9">
              <w:t>. As the business will receive a payment greater than its marginal costs at the point R*, it</w:t>
            </w:r>
            <w:r>
              <w:t xml:space="preserve"> will have an incentive to supply reliability up to the point R’’. This point is not optimal for customers, and inefficiencies </w:t>
            </w:r>
            <w:r w:rsidR="00FA5E6F">
              <w:t>are generated</w:t>
            </w:r>
            <w:r>
              <w:t>.</w:t>
            </w:r>
          </w:p>
          <w:p w:rsidR="00E55BD9" w:rsidRDefault="00E55BD9">
            <w:pPr>
              <w:pStyle w:val="Box"/>
            </w:pPr>
            <w:r>
              <w:t xml:space="preserve">Assume instead, that that target is set incorrectly at point R’’, but the VCR for the incentives is the correct VCR*. Businesses will have the incentive to supply reliability only up to point R* but not beyond. Beyond R*, the costs to the business are larger than the penalties they will incur for failing to meet the targets. </w:t>
            </w:r>
          </w:p>
          <w:p w:rsidR="008A64E2" w:rsidRDefault="008A64E2" w:rsidP="008A64E2">
            <w:pPr>
              <w:pStyle w:val="Box"/>
              <w:jc w:val="center"/>
            </w:pPr>
            <w:r>
              <w:rPr>
                <w:noProof/>
              </w:rPr>
              <w:drawing>
                <wp:inline distT="0" distB="0" distL="0" distR="0" wp14:anchorId="1478FD91" wp14:editId="00A46FCF">
                  <wp:extent cx="3768466" cy="3192088"/>
                  <wp:effectExtent l="0" t="0" r="0" b="8890"/>
                  <wp:docPr id="12" name="Picture 12" descr="This figure adds to the figure found in Box 14.3 in chapter 14 to shows how different levels of incentives encourage network businesses to increase or decrease reliability above or below the efficient lev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7666" cy="3191410"/>
                          </a:xfrm>
                          <a:prstGeom prst="rect">
                            <a:avLst/>
                          </a:prstGeom>
                          <a:noFill/>
                        </pic:spPr>
                      </pic:pic>
                    </a:graphicData>
                  </a:graphic>
                </wp:inline>
              </w:drawing>
            </w:r>
          </w:p>
          <w:p w:rsidR="00E55BD9" w:rsidRDefault="00E55BD9" w:rsidP="003B09BA">
            <w:pPr>
              <w:pStyle w:val="Box"/>
            </w:pPr>
            <w:r>
              <w:t xml:space="preserve">These examples suggest </w:t>
            </w:r>
            <w:r w:rsidRPr="005266E6">
              <w:t xml:space="preserve">that </w:t>
            </w:r>
            <w:r w:rsidR="00C507AF" w:rsidRPr="005266E6">
              <w:t xml:space="preserve">in theory </w:t>
            </w:r>
            <w:r w:rsidRPr="005266E6">
              <w:t xml:space="preserve">as long as the VCR is set </w:t>
            </w:r>
            <w:r w:rsidR="003B09BA" w:rsidRPr="005266E6">
              <w:t xml:space="preserve">at an appropriate </w:t>
            </w:r>
            <w:r w:rsidRPr="005266E6">
              <w:t>level, businesses will tend t</w:t>
            </w:r>
            <w:r>
              <w:t xml:space="preserve">owards supplying </w:t>
            </w:r>
            <w:r w:rsidR="003B09BA">
              <w:t xml:space="preserve">a </w:t>
            </w:r>
            <w:r>
              <w:t>level of reliability</w:t>
            </w:r>
            <w:r w:rsidR="003B09BA">
              <w:t xml:space="preserve"> that reflects customer preferences</w:t>
            </w:r>
            <w:r w:rsidR="00C93FA9">
              <w:t>, regardless of the target set</w:t>
            </w:r>
            <w:r>
              <w:t xml:space="preserve">. </w:t>
            </w:r>
          </w:p>
        </w:tc>
      </w:tr>
      <w:tr w:rsidR="00E55BD9">
        <w:trPr>
          <w:cantSplit/>
        </w:trPr>
        <w:tc>
          <w:tcPr>
            <w:tcW w:w="8771" w:type="dxa"/>
            <w:tcBorders>
              <w:top w:val="nil"/>
              <w:left w:val="single" w:sz="6" w:space="0" w:color="auto"/>
              <w:bottom w:val="single" w:sz="6" w:space="0" w:color="auto"/>
              <w:right w:val="single" w:sz="6" w:space="0" w:color="auto"/>
            </w:tcBorders>
          </w:tcPr>
          <w:p w:rsidR="00E55BD9" w:rsidRDefault="00E55BD9">
            <w:pPr>
              <w:pStyle w:val="Box"/>
              <w:spacing w:before="0" w:line="120" w:lineRule="exact"/>
            </w:pPr>
          </w:p>
        </w:tc>
      </w:tr>
      <w:tr w:rsidR="00E55BD9" w:rsidRPr="000863A5">
        <w:tc>
          <w:tcPr>
            <w:tcW w:w="8771" w:type="dxa"/>
            <w:tcBorders>
              <w:top w:val="nil"/>
              <w:left w:val="nil"/>
              <w:bottom w:val="nil"/>
              <w:right w:val="nil"/>
            </w:tcBorders>
          </w:tcPr>
          <w:p w:rsidR="00E55BD9" w:rsidRPr="000863A5" w:rsidRDefault="00E55BD9" w:rsidP="00E55BD9">
            <w:pPr>
              <w:pStyle w:val="Box"/>
              <w:keepNext w:val="0"/>
              <w:spacing w:before="60" w:after="60" w:line="80" w:lineRule="exact"/>
              <w:rPr>
                <w:b/>
                <w:sz w:val="14"/>
              </w:rPr>
            </w:pPr>
          </w:p>
        </w:tc>
      </w:tr>
    </w:tbl>
    <w:p w:rsidR="00541322" w:rsidRDefault="00977AF3" w:rsidP="00541322">
      <w:pPr>
        <w:pStyle w:val="Heading2"/>
      </w:pPr>
      <w:r>
        <w:t>16.</w:t>
      </w:r>
      <w:r w:rsidR="00365BD8">
        <w:rPr>
          <w:noProof/>
        </w:rPr>
        <w:t>4</w:t>
      </w:r>
      <w:r w:rsidR="00541322">
        <w:tab/>
        <w:t xml:space="preserve">An efficient and effective </w:t>
      </w:r>
      <w:r w:rsidR="006F19DE">
        <w:t xml:space="preserve">distribution reliability framework — a bolstered </w:t>
      </w:r>
      <w:r w:rsidR="00541322">
        <w:t>STPIS</w:t>
      </w:r>
    </w:p>
    <w:p w:rsidR="00FA509F" w:rsidRDefault="00FA509F" w:rsidP="001338D0">
      <w:pPr>
        <w:pStyle w:val="BodyText"/>
      </w:pPr>
      <w:r>
        <w:t>The discussion of the current reliability frameworks in the NEM suggest there are opportunities for efficiency gains to be realised</w:t>
      </w:r>
      <w:r w:rsidR="00764518">
        <w:t>,</w:t>
      </w:r>
      <w:r>
        <w:t xml:space="preserve"> both in terms of encouraging </w:t>
      </w:r>
      <w:r>
        <w:lastRenderedPageBreak/>
        <w:t xml:space="preserve">managerial efficiency by facilitating benchmarking, and also </w:t>
      </w:r>
      <w:r w:rsidR="00F7034D">
        <w:t>by reducing</w:t>
      </w:r>
      <w:r>
        <w:t xml:space="preserve"> inefficiencies in reliability standards and the frameworks </w:t>
      </w:r>
      <w:r w:rsidR="00F7034D">
        <w:t xml:space="preserve">in which they </w:t>
      </w:r>
      <w:r w:rsidR="00764518">
        <w:t>operate</w:t>
      </w:r>
      <w:r>
        <w:t xml:space="preserve">. </w:t>
      </w:r>
    </w:p>
    <w:p w:rsidR="00FA509F" w:rsidRDefault="00FA509F" w:rsidP="00C00535">
      <w:pPr>
        <w:pStyle w:val="Heading3"/>
      </w:pPr>
      <w:r>
        <w:t>Removing input standards</w:t>
      </w:r>
    </w:p>
    <w:p w:rsidR="00FA509F" w:rsidRDefault="00C82FFD" w:rsidP="00FA509F">
      <w:pPr>
        <w:pStyle w:val="BodyText"/>
      </w:pPr>
      <w:r>
        <w:t xml:space="preserve">An efficient reliability framework will </w:t>
      </w:r>
      <w:r w:rsidR="00F46482">
        <w:t xml:space="preserve">set reliability targets at levels that reflect customer preferences, and </w:t>
      </w:r>
      <w:r>
        <w:t>encourage distribution businesses to pursue</w:t>
      </w:r>
      <w:r w:rsidR="00F46482">
        <w:t xml:space="preserve"> those</w:t>
      </w:r>
      <w:r>
        <w:t xml:space="preserve"> target</w:t>
      </w:r>
      <w:r w:rsidR="00F46482">
        <w:t>s</w:t>
      </w:r>
      <w:r>
        <w:t xml:space="preserve"> through the best combination of building, maintaining and managing their networks and responding to outages.</w:t>
      </w:r>
      <w:r w:rsidR="008F0CA7">
        <w:t xml:space="preserve"> To some extent, these i</w:t>
      </w:r>
      <w:r w:rsidR="00FA509F">
        <w:t xml:space="preserve">nputs </w:t>
      </w:r>
      <w:r w:rsidR="00816750">
        <w:t xml:space="preserve">can be substituted. Imposing restrictions on the way that businesses </w:t>
      </w:r>
      <w:r w:rsidR="000E256F">
        <w:t>choose the mix of inputs</w:t>
      </w:r>
      <w:r w:rsidR="008F0CA7">
        <w:t>, such as through i</w:t>
      </w:r>
      <w:r w:rsidR="00F87979">
        <w:t>mposing deterministic standards</w:t>
      </w:r>
      <w:r w:rsidR="00764518">
        <w:t>,</w:t>
      </w:r>
      <w:r w:rsidR="000E256F">
        <w:t xml:space="preserve"> </w:t>
      </w:r>
      <w:r w:rsidR="008F0CA7">
        <w:t>increases</w:t>
      </w:r>
      <w:r w:rsidR="000E256F">
        <w:t xml:space="preserve"> costs. According to the Brattle Group</w:t>
      </w:r>
      <w:r w:rsidR="00FF4C6F">
        <w:t xml:space="preserve"> (2012</w:t>
      </w:r>
      <w:r w:rsidR="001F1376">
        <w:t>a</w:t>
      </w:r>
      <w:r w:rsidR="00FF4C6F">
        <w:t>)</w:t>
      </w:r>
      <w:r w:rsidR="000E256F">
        <w:t>:</w:t>
      </w:r>
    </w:p>
    <w:p w:rsidR="000E256F" w:rsidRPr="00FA509F" w:rsidRDefault="00586CD3" w:rsidP="000E256F">
      <w:pPr>
        <w:pStyle w:val="Quote"/>
      </w:pPr>
      <w:r>
        <w:t>… </w:t>
      </w:r>
      <w:r w:rsidR="000E256F">
        <w:t>rigid planning standards could be counter-productive because they can prevent distributors implementing innovative approaches to improving reliability</w:t>
      </w:r>
      <w:r w:rsidR="005128AF">
        <w:t>.</w:t>
      </w:r>
      <w:r w:rsidR="00FF4C6F">
        <w:t xml:space="preserve"> (p. 160)</w:t>
      </w:r>
      <w:r w:rsidR="000E256F">
        <w:t xml:space="preserve"> </w:t>
      </w:r>
    </w:p>
    <w:p w:rsidR="00F7034D" w:rsidRDefault="00F7034D" w:rsidP="001338D0">
      <w:pPr>
        <w:pStyle w:val="BodyText"/>
      </w:pPr>
      <w:r>
        <w:t xml:space="preserve">Costs can also be imposed on a </w:t>
      </w:r>
      <w:r w:rsidR="00C82FFD">
        <w:t xml:space="preserve">network </w:t>
      </w:r>
      <w:r>
        <w:t xml:space="preserve">business by requiring that they plan using </w:t>
      </w:r>
      <w:r w:rsidR="00380C95">
        <w:t>a probabilistic process. While</w:t>
      </w:r>
      <w:r>
        <w:t xml:space="preserve"> probabilistic</w:t>
      </w:r>
      <w:r w:rsidR="00462035">
        <w:t xml:space="preserve"> planning</w:t>
      </w:r>
      <w:r>
        <w:t xml:space="preserve"> is likely to lead to cost effective augmentation decisions, </w:t>
      </w:r>
      <w:r w:rsidRPr="00075726">
        <w:t>it may not be the most appropriate planning tool for all businesses, for all investments</w:t>
      </w:r>
      <w:r w:rsidR="00462035" w:rsidRPr="00075726">
        <w:t>,</w:t>
      </w:r>
      <w:r w:rsidRPr="00075726">
        <w:t xml:space="preserve"> all the time</w:t>
      </w:r>
      <w:r>
        <w:t>. Dis</w:t>
      </w:r>
      <w:r w:rsidR="00AA5833">
        <w:t>t</w:t>
      </w:r>
      <w:r>
        <w:t xml:space="preserve">ribution businesses should </w:t>
      </w:r>
      <w:r w:rsidR="00C82FFD">
        <w:t xml:space="preserve">therefore </w:t>
      </w:r>
      <w:r>
        <w:t>be free to choose the way that they plan.</w:t>
      </w:r>
      <w:r w:rsidR="00417066">
        <w:rPr>
          <w:rStyle w:val="FootnoteReference"/>
        </w:rPr>
        <w:footnoteReference w:id="10"/>
      </w:r>
      <w:r w:rsidR="00462035">
        <w:t xml:space="preserve"> Jemena (2012)</w:t>
      </w:r>
      <w:r w:rsidR="00764518">
        <w:t xml:space="preserve"> submitted that</w:t>
      </w:r>
      <w:r w:rsidR="00462035">
        <w:t>:</w:t>
      </w:r>
    </w:p>
    <w:p w:rsidR="00462035" w:rsidRDefault="00484EAA" w:rsidP="00462035">
      <w:pPr>
        <w:pStyle w:val="Quote"/>
      </w:pPr>
      <w:r>
        <w:t>…</w:t>
      </w:r>
      <w:r w:rsidR="00462035">
        <w:t xml:space="preserve"> the adoption of probabilistic planning for our network has improved reliability and cost outcomes and in our case </w:t>
      </w:r>
      <w:r w:rsidR="00FF4C6F">
        <w:t>has</w:t>
      </w:r>
      <w:r w:rsidR="00462035">
        <w:t xml:space="preserve"> provided a superior alternative approach to deterministic planning. That said, we believe the [distribution businesses] should be allowed to decide the most suitable approach to network reliability planning having regard to local network characteristics or geographic conditions</w:t>
      </w:r>
      <w:r w:rsidR="005128AF">
        <w:t>.</w:t>
      </w:r>
      <w:r w:rsidR="00462035">
        <w:t xml:space="preserve"> </w:t>
      </w:r>
      <w:r w:rsidR="00FF4C6F">
        <w:t>(</w:t>
      </w:r>
      <w:r w:rsidR="00462035">
        <w:t>p. 3</w:t>
      </w:r>
      <w:r w:rsidR="00FF4C6F">
        <w:t>)</w:t>
      </w:r>
      <w:r w:rsidR="00462035">
        <w:t xml:space="preserve"> </w:t>
      </w:r>
    </w:p>
    <w:p w:rsidR="00462035" w:rsidRDefault="00462035" w:rsidP="00462035">
      <w:pPr>
        <w:pStyle w:val="BodyText"/>
      </w:pPr>
      <w:r>
        <w:t xml:space="preserve">Energex (2012) </w:t>
      </w:r>
      <w:r w:rsidR="00764518">
        <w:t>agreed</w:t>
      </w:r>
      <w:r>
        <w:t>:</w:t>
      </w:r>
    </w:p>
    <w:p w:rsidR="00462035" w:rsidRPr="00462035" w:rsidRDefault="00484EAA" w:rsidP="00462035">
      <w:pPr>
        <w:pStyle w:val="Quote"/>
      </w:pPr>
      <w:r>
        <w:t>…</w:t>
      </w:r>
      <w:r w:rsidR="00462035">
        <w:t xml:space="preserve"> planning standards should be the responsibility of [distribution businesses]. Regulators and/or governments should not be involved in determining the design planning criteria as [distribution businesses] are the parties that are best placed to perform this function</w:t>
      </w:r>
      <w:r w:rsidR="002A7F92">
        <w:t>.</w:t>
      </w:r>
      <w:r w:rsidR="00462035">
        <w:t xml:space="preserve"> </w:t>
      </w:r>
      <w:r w:rsidR="00FF4C6F">
        <w:t>(</w:t>
      </w:r>
      <w:r w:rsidR="00462035">
        <w:t>p. 2</w:t>
      </w:r>
      <w:r w:rsidR="00FF4C6F">
        <w:t>)</w:t>
      </w:r>
    </w:p>
    <w:p w:rsidR="00E833E1" w:rsidRDefault="00E833E1" w:rsidP="005E1BD2">
      <w:pPr>
        <w:pStyle w:val="Heading4"/>
      </w:pPr>
      <w:r>
        <w:t>How much is this change worth?</w:t>
      </w:r>
    </w:p>
    <w:p w:rsidR="00DC208C" w:rsidRDefault="00DC208C" w:rsidP="00DC208C">
      <w:pPr>
        <w:pStyle w:val="BodyText"/>
      </w:pPr>
      <w:r>
        <w:t>The possible benefits of removing planning standards for distribution businesses are not to be underestimated. As a</w:t>
      </w:r>
      <w:r w:rsidR="001552F7">
        <w:t>n example,</w:t>
      </w:r>
      <w:r>
        <w:t xml:space="preserve"> AEMO calculated the cost savings of removing the deterministic standards that apply to Ausgrid. Using a probabilistic </w:t>
      </w:r>
      <w:r>
        <w:lastRenderedPageBreak/>
        <w:t xml:space="preserve">process, AEMO found that one proposed substation could be safely deferred for up to ten years. </w:t>
      </w:r>
      <w:r w:rsidRPr="005266E6">
        <w:t>In total, AEMO identified $1.1 billion in augmentation capex that</w:t>
      </w:r>
      <w:r>
        <w:t xml:space="preserve"> could be deferred until the next regulatory pe</w:t>
      </w:r>
      <w:r w:rsidR="006D2E14">
        <w:t>riod</w:t>
      </w:r>
      <w:r w:rsidR="00764518">
        <w:t xml:space="preserve">. For the average customer, this would equate to </w:t>
      </w:r>
      <w:r w:rsidR="006D2E14">
        <w:t>a saving of around $50 </w:t>
      </w:r>
      <w:r w:rsidR="00764518">
        <w:t xml:space="preserve">per year </w:t>
      </w:r>
      <w:r>
        <w:t>from the</w:t>
      </w:r>
      <w:r w:rsidR="00764518">
        <w:t xml:space="preserve">ir </w:t>
      </w:r>
      <w:r>
        <w:t>electricity bill from 2014</w:t>
      </w:r>
      <w:r w:rsidR="00764518">
        <w:t xml:space="preserve"> onwards</w:t>
      </w:r>
      <w:r>
        <w:t xml:space="preserve">. </w:t>
      </w:r>
    </w:p>
    <w:p w:rsidR="0074647B" w:rsidRDefault="0074647B" w:rsidP="00DC208C">
      <w:pPr>
        <w:pStyle w:val="BodyText"/>
      </w:pPr>
      <w:r>
        <w:t>Smaller gains we</w:t>
      </w:r>
      <w:r w:rsidR="00593CC2">
        <w:t>re identified by the AEMC (2012</w:t>
      </w:r>
      <w:r w:rsidR="00EF3128">
        <w:t>l</w:t>
      </w:r>
      <w:r>
        <w:t xml:space="preserve">) in their current review of distribution reliability outcomes in New South Wales. The ‘extreme’ reduction in reliability outcomes scenario in New South Wales identified a possible saving of </w:t>
      </w:r>
      <w:r w:rsidR="00593CC2">
        <w:t>$15</w:t>
      </w:r>
      <w:r>
        <w:t> a year for residential customers that could be expected to be re</w:t>
      </w:r>
      <w:r w:rsidR="00FF4C6F">
        <w:t>alised from 2028. Several point</w:t>
      </w:r>
      <w:r>
        <w:t xml:space="preserve">s might </w:t>
      </w:r>
      <w:r w:rsidR="004D24E8">
        <w:t xml:space="preserve">help </w:t>
      </w:r>
      <w:r>
        <w:t xml:space="preserve">explain </w:t>
      </w:r>
      <w:r w:rsidR="004D24E8">
        <w:t>the</w:t>
      </w:r>
      <w:r w:rsidR="00C507AF">
        <w:t>se</w:t>
      </w:r>
      <w:r w:rsidR="004D24E8">
        <w:t xml:space="preserve"> small</w:t>
      </w:r>
      <w:r w:rsidR="003A2014">
        <w:t>er</w:t>
      </w:r>
      <w:r>
        <w:t xml:space="preserve"> result</w:t>
      </w:r>
      <w:r w:rsidR="004D24E8">
        <w:t>s</w:t>
      </w:r>
      <w:r>
        <w:t>:</w:t>
      </w:r>
    </w:p>
    <w:p w:rsidR="0074647B" w:rsidRDefault="00D855D6" w:rsidP="0074647B">
      <w:pPr>
        <w:pStyle w:val="ListBullet"/>
      </w:pPr>
      <w:r>
        <w:t>T</w:t>
      </w:r>
      <w:r w:rsidR="0074647B">
        <w:t>he reliability re</w:t>
      </w:r>
      <w:r w:rsidR="00C8123D">
        <w:t>ductions that were modelled might not have been</w:t>
      </w:r>
      <w:r w:rsidR="0074647B">
        <w:t xml:space="preserve"> very ‘extreme’</w:t>
      </w:r>
      <w:r w:rsidR="005128AF">
        <w:t>.</w:t>
      </w:r>
      <w:r w:rsidR="0074647B">
        <w:rPr>
          <w:rStyle w:val="FootnoteReference"/>
        </w:rPr>
        <w:footnoteReference w:id="11"/>
      </w:r>
      <w:r w:rsidR="00E05F19">
        <w:t xml:space="preserve"> For example, P</w:t>
      </w:r>
      <w:r w:rsidR="001552F7">
        <w:t xml:space="preserve">ublic </w:t>
      </w:r>
      <w:r w:rsidR="00E05F19">
        <w:t>I</w:t>
      </w:r>
      <w:r w:rsidR="001552F7">
        <w:t xml:space="preserve">nterest </w:t>
      </w:r>
      <w:r w:rsidR="00E05F19">
        <w:t>A</w:t>
      </w:r>
      <w:r w:rsidR="001552F7">
        <w:t xml:space="preserve">dvocacy </w:t>
      </w:r>
      <w:r w:rsidR="00E05F19">
        <w:t>C</w:t>
      </w:r>
      <w:r w:rsidR="001552F7">
        <w:t>entre (PIAC)</w:t>
      </w:r>
      <w:r w:rsidR="00E05F19">
        <w:t xml:space="preserve"> was ‘surprised by the very modest reductions in customer reliability</w:t>
      </w:r>
      <w:r w:rsidR="00E07F41">
        <w:t> </w:t>
      </w:r>
      <w:r w:rsidR="00E05F19">
        <w:t>…</w:t>
      </w:r>
      <w:r w:rsidR="00E07F41">
        <w:t> </w:t>
      </w:r>
      <w:r w:rsidR="00E05F19">
        <w:t>that occur under the three scenarios modelled by the AEMC’ (</w:t>
      </w:r>
      <w:r w:rsidR="00764518">
        <w:t xml:space="preserve">2012, </w:t>
      </w:r>
      <w:r w:rsidR="00E05F19">
        <w:t>p. 4).</w:t>
      </w:r>
    </w:p>
    <w:p w:rsidR="0074647B" w:rsidRDefault="00D855D6" w:rsidP="0074647B">
      <w:pPr>
        <w:pStyle w:val="ListBullet"/>
      </w:pPr>
      <w:r>
        <w:t>T</w:t>
      </w:r>
      <w:r w:rsidR="0074647B">
        <w:t xml:space="preserve">he capital requirements to meet existing deterministic </w:t>
      </w:r>
      <w:r w:rsidR="004D24E8">
        <w:t>standards into the future have</w:t>
      </w:r>
      <w:r w:rsidR="0074647B">
        <w:t xml:space="preserve"> already been built, leaving few investments to </w:t>
      </w:r>
      <w:r w:rsidR="004D24E8">
        <w:t xml:space="preserve">be deferred, and resulting in </w:t>
      </w:r>
      <w:r w:rsidR="0074647B">
        <w:t>low</w:t>
      </w:r>
      <w:r w:rsidR="004D24E8">
        <w:t>er</w:t>
      </w:r>
      <w:r w:rsidR="0074647B">
        <w:t xml:space="preserve"> expected benefits (</w:t>
      </w:r>
      <w:r w:rsidR="001552F7">
        <w:t>AEMC</w:t>
      </w:r>
      <w:r w:rsidR="00764518">
        <w:t xml:space="preserve"> 2012</w:t>
      </w:r>
      <w:r w:rsidR="00EF3128">
        <w:t>l</w:t>
      </w:r>
      <w:r w:rsidR="00764518">
        <w:t xml:space="preserve">, </w:t>
      </w:r>
      <w:r w:rsidR="0074647B">
        <w:t>p. 129)</w:t>
      </w:r>
      <w:r w:rsidR="0025626D">
        <w:t>.</w:t>
      </w:r>
    </w:p>
    <w:p w:rsidR="0074647B" w:rsidRDefault="00D855D6" w:rsidP="0074647B">
      <w:pPr>
        <w:pStyle w:val="ListBullet"/>
      </w:pPr>
      <w:r>
        <w:t>T</w:t>
      </w:r>
      <w:r w:rsidR="004D24E8">
        <w:t>he distribution businesses might have been unable to identify all the areas in which efficiencies could be realised given the ‘simplifying assumptions’ they made to prepar</w:t>
      </w:r>
      <w:r w:rsidR="00FF4C6F">
        <w:t>e the data for the report in a</w:t>
      </w:r>
      <w:r w:rsidR="004D24E8">
        <w:t xml:space="preserve"> ‘relatively short timeframe’ (</w:t>
      </w:r>
      <w:r w:rsidR="001552F7">
        <w:t>AEMC</w:t>
      </w:r>
      <w:r w:rsidR="00E07F41">
        <w:t> </w:t>
      </w:r>
      <w:r w:rsidR="00764518">
        <w:t>2012</w:t>
      </w:r>
      <w:r w:rsidR="00EF3128">
        <w:t>l</w:t>
      </w:r>
      <w:r w:rsidR="00764518">
        <w:t xml:space="preserve">, </w:t>
      </w:r>
      <w:r w:rsidR="004D24E8">
        <w:t>p. 26).</w:t>
      </w:r>
    </w:p>
    <w:p w:rsidR="00F67122" w:rsidRDefault="00F67122" w:rsidP="00F67122">
      <w:pPr>
        <w:pStyle w:val="BodyText"/>
      </w:pPr>
      <w:r>
        <w:t>The total change in capital expendit</w:t>
      </w:r>
      <w:r w:rsidR="00F6132B">
        <w:t>ure in the ‘extreme’ scenario was projected</w:t>
      </w:r>
      <w:r>
        <w:t xml:space="preserve"> to be $1.1 billion over the next 15 years (net present value)</w:t>
      </w:r>
      <w:r w:rsidR="00D855D6">
        <w:t>,</w:t>
      </w:r>
      <w:r w:rsidR="00F6132B">
        <w:t xml:space="preserve"> which would equate </w:t>
      </w:r>
      <w:r>
        <w:t>to a</w:t>
      </w:r>
      <w:r w:rsidR="006D2E14">
        <w:t>n annual</w:t>
      </w:r>
      <w:r>
        <w:t xml:space="preserve"> saving of </w:t>
      </w:r>
      <w:r w:rsidRPr="00F46482">
        <w:t xml:space="preserve">around </w:t>
      </w:r>
      <w:r w:rsidR="003B3481">
        <w:t>4</w:t>
      </w:r>
      <w:r w:rsidRPr="00F46482">
        <w:t xml:space="preserve"> per cent of </w:t>
      </w:r>
      <w:r w:rsidR="00764518" w:rsidRPr="00F46482">
        <w:t>the</w:t>
      </w:r>
      <w:r w:rsidR="00764518">
        <w:t xml:space="preserve"> </w:t>
      </w:r>
      <w:r w:rsidR="006D2E14">
        <w:t xml:space="preserve">forecast </w:t>
      </w:r>
      <w:r>
        <w:t>capital expenditure</w:t>
      </w:r>
      <w:r w:rsidR="006D2E14">
        <w:t xml:space="preserve"> in New South Wales</w:t>
      </w:r>
      <w:r w:rsidR="00B226F9">
        <w:t xml:space="preserve"> in 2012</w:t>
      </w:r>
      <w:r w:rsidR="006D2E14">
        <w:t>-13</w:t>
      </w:r>
      <w:r w:rsidR="00B226F9">
        <w:t xml:space="preserve">. </w:t>
      </w:r>
    </w:p>
    <w:p w:rsidR="006D2E14" w:rsidRDefault="006D2E14" w:rsidP="00F67122">
      <w:pPr>
        <w:pStyle w:val="BodyText"/>
      </w:pPr>
      <w:r>
        <w:t>In reality, the effect of removing planning standards for distribution businesses is likely to result in larger benefits than those that have been estimated</w:t>
      </w:r>
      <w:r w:rsidR="00075726">
        <w:t xml:space="preserve"> and </w:t>
      </w:r>
      <w:r w:rsidR="00662676">
        <w:t>described</w:t>
      </w:r>
      <w:r w:rsidR="00075726">
        <w:t xml:space="preserve"> above</w:t>
      </w:r>
      <w:r w:rsidR="00920A58">
        <w:t>.</w:t>
      </w:r>
      <w:r>
        <w:t xml:space="preserve"> </w:t>
      </w:r>
      <w:r w:rsidR="00920A58">
        <w:t>Combining the</w:t>
      </w:r>
      <w:r w:rsidR="00CD7084">
        <w:t xml:space="preserve"> flexibility</w:t>
      </w:r>
      <w:r w:rsidR="00920A58">
        <w:t xml:space="preserve"> of choosing exactly how to meet target levels of reliability (by removing any bias towards capital expenditure)</w:t>
      </w:r>
      <w:r w:rsidR="00CD7084">
        <w:t xml:space="preserve"> with incentives to meet standards efficiently (and removi</w:t>
      </w:r>
      <w:r w:rsidR="003B09BA">
        <w:t>ng the incentive to over</w:t>
      </w:r>
      <w:r w:rsidR="003B09BA">
        <w:noBreakHyphen/>
      </w:r>
      <w:r w:rsidR="003B09BA" w:rsidRPr="00F46482">
        <w:t>invest</w:t>
      </w:r>
      <w:r w:rsidR="00EB2419">
        <w:t xml:space="preserve"> —</w:t>
      </w:r>
      <w:r w:rsidR="00CD7084" w:rsidRPr="00F46482">
        <w:t xml:space="preserve"> chapter</w:t>
      </w:r>
      <w:r w:rsidR="00EB2419">
        <w:t> 5</w:t>
      </w:r>
      <w:r w:rsidR="00CD7084">
        <w:t>) should result in larger savings for customers NEM</w:t>
      </w:r>
      <w:r w:rsidR="00CD7084">
        <w:noBreakHyphen/>
        <w:t xml:space="preserve">wide. </w:t>
      </w:r>
      <w:r w:rsidR="001859D8">
        <w:t xml:space="preserve">Further, as demand increases, and the current redundancy built into the network diminishes, the value of deferring new investments efficiently will produce higher savings to customers in the long-run. </w:t>
      </w:r>
    </w:p>
    <w:p w:rsidR="003E589A" w:rsidRDefault="00DC208C" w:rsidP="00C00535">
      <w:pPr>
        <w:pStyle w:val="Heading3"/>
      </w:pPr>
      <w:r>
        <w:lastRenderedPageBreak/>
        <w:t>Bolstering the STPIS</w:t>
      </w:r>
    </w:p>
    <w:p w:rsidR="00DC208C" w:rsidRDefault="00CD7084" w:rsidP="00DC208C">
      <w:pPr>
        <w:pStyle w:val="BodyText"/>
      </w:pPr>
      <w:r>
        <w:t xml:space="preserve">Removing </w:t>
      </w:r>
      <w:r w:rsidRPr="00430B8C">
        <w:rPr>
          <w:i/>
        </w:rPr>
        <w:t>planning</w:t>
      </w:r>
      <w:r>
        <w:t xml:space="preserve"> standar</w:t>
      </w:r>
      <w:r w:rsidR="00A43D1B">
        <w:t xml:space="preserve">ds </w:t>
      </w:r>
      <w:r w:rsidR="003A2014">
        <w:t xml:space="preserve">altogether </w:t>
      </w:r>
      <w:r w:rsidR="00F6132B">
        <w:t xml:space="preserve">would </w:t>
      </w:r>
      <w:r w:rsidR="00A43D1B">
        <w:t xml:space="preserve">increase the need for </w:t>
      </w:r>
      <w:r w:rsidR="00A43D1B" w:rsidRPr="00430B8C">
        <w:rPr>
          <w:i/>
        </w:rPr>
        <w:t>performance</w:t>
      </w:r>
      <w:r>
        <w:t xml:space="preserve"> standards </w:t>
      </w:r>
      <w:r w:rsidR="003A2014">
        <w:t xml:space="preserve">(the output measure) </w:t>
      </w:r>
      <w:r>
        <w:t>to be set efficiently</w:t>
      </w:r>
      <w:r w:rsidR="00E833E1">
        <w:t>,</w:t>
      </w:r>
      <w:r>
        <w:t xml:space="preserve"> and supported by strong incentives to encourage businesses to </w:t>
      </w:r>
      <w:r w:rsidR="003A2014">
        <w:t xml:space="preserve">achieve standards </w:t>
      </w:r>
      <w:r w:rsidR="002B3045">
        <w:t xml:space="preserve">of reliability </w:t>
      </w:r>
      <w:r w:rsidR="003A2014">
        <w:t>that customers are willing to pay for</w:t>
      </w:r>
      <w:r>
        <w:t xml:space="preserve">. </w:t>
      </w:r>
    </w:p>
    <w:p w:rsidR="00FF4C6F" w:rsidRDefault="00FF4C6F" w:rsidP="00FF4C6F">
      <w:pPr>
        <w:pStyle w:val="Heading4"/>
      </w:pPr>
      <w:r>
        <w:t>Establishing a national framework</w:t>
      </w:r>
    </w:p>
    <w:p w:rsidR="00F6132B" w:rsidRDefault="00A43D1B" w:rsidP="00DC208C">
      <w:pPr>
        <w:pStyle w:val="BodyText"/>
      </w:pPr>
      <w:r>
        <w:t>Requiring distribution businesses to adhere to more than one set of performance standards</w:t>
      </w:r>
      <w:r w:rsidR="00430B8C">
        <w:t xml:space="preserve"> increases the risk of businesses </w:t>
      </w:r>
      <w:r w:rsidR="003A2014">
        <w:t xml:space="preserve">inefficiently delivering reliability outcomes </w:t>
      </w:r>
      <w:r w:rsidR="00430B8C">
        <w:t>below (or above) the</w:t>
      </w:r>
      <w:r w:rsidR="003A2014">
        <w:t xml:space="preserve"> level that customers are willing to pay for</w:t>
      </w:r>
      <w:r w:rsidR="00430B8C">
        <w:t xml:space="preserve">. </w:t>
      </w:r>
      <w:r w:rsidR="00F32D55">
        <w:t>The AEMC (2012</w:t>
      </w:r>
      <w:r w:rsidR="00EF3128">
        <w:t>k</w:t>
      </w:r>
      <w:r w:rsidR="00F32D55">
        <w:t>) also point</w:t>
      </w:r>
      <w:r w:rsidR="00D855D6">
        <w:t>s</w:t>
      </w:r>
      <w:r w:rsidR="00F32D55">
        <w:t xml:space="preserve"> to possible unclear or inconsistent incentives from ‘duplication between jurisdictional requirements and the requirements of the STPIS</w:t>
      </w:r>
      <w:r w:rsidR="00920A58">
        <w:t>’</w:t>
      </w:r>
      <w:r w:rsidR="005128AF">
        <w:t> </w:t>
      </w:r>
      <w:r w:rsidR="00F32D55">
        <w:t xml:space="preserve">(p. 41). </w:t>
      </w:r>
    </w:p>
    <w:p w:rsidR="00F6132B" w:rsidRDefault="00F6132B" w:rsidP="00DC208C">
      <w:pPr>
        <w:pStyle w:val="BodyText"/>
      </w:pPr>
      <w:r>
        <w:t>In the Commission’s view, r</w:t>
      </w:r>
      <w:r w:rsidR="009816ED">
        <w:t>emoving jurisdiction</w:t>
      </w:r>
      <w:r w:rsidR="009E41FF">
        <w:noBreakHyphen/>
      </w:r>
      <w:r w:rsidR="009816ED">
        <w:t>specific performance standards and relying on the STPIS is likely to be the most efficient</w:t>
      </w:r>
      <w:r w:rsidR="00F32D55">
        <w:t xml:space="preserve"> option for the NEM. </w:t>
      </w:r>
    </w:p>
    <w:p w:rsidR="00FF4C6F" w:rsidRDefault="00F6132B" w:rsidP="00DC208C">
      <w:pPr>
        <w:pStyle w:val="BodyText"/>
      </w:pPr>
      <w:r>
        <w:t>The Commission notes that t</w:t>
      </w:r>
      <w:r w:rsidR="00F32D55">
        <w:t>he third option for a national framework for distribution reliability outcom</w:t>
      </w:r>
      <w:r w:rsidR="00EF3128">
        <w:t>es identified by the AEMC (2012k</w:t>
      </w:r>
      <w:r w:rsidR="00F32D55">
        <w:t>) recommend</w:t>
      </w:r>
      <w:r w:rsidR="001859D8">
        <w:t>s</w:t>
      </w:r>
      <w:r w:rsidR="00F32D55">
        <w:t xml:space="preserve"> removing ‘some of the existing jurisdictional requirements that may no longer be needed once the STPIS is in place’ (p. 41). </w:t>
      </w:r>
      <w:r w:rsidR="000E31B2">
        <w:t xml:space="preserve">This option is (notionally) widely supported by participants in the review, including CitiPower and Powercor, SP AusNet, Essential Energy, Major Energy Users Inc. and Jemena (Energex supports a national framework, and Endeavour Energy proposes a larger role for the AER). </w:t>
      </w:r>
    </w:p>
    <w:p w:rsidR="00650C94" w:rsidRDefault="00650C94" w:rsidP="00DC208C">
      <w:pPr>
        <w:pStyle w:val="BodyText"/>
      </w:pPr>
      <w:r>
        <w:t xml:space="preserve">Retaining even some reliability requirements in jurisdictional codes and licence conditions, however, </w:t>
      </w:r>
      <w:r w:rsidR="00D462CF">
        <w:t>inefficiently</w:t>
      </w:r>
      <w:r>
        <w:t xml:space="preserve"> adds to costs for distribution businesses:</w:t>
      </w:r>
    </w:p>
    <w:p w:rsidR="00650C94" w:rsidRDefault="00650C94" w:rsidP="00650C94">
      <w:pPr>
        <w:pStyle w:val="ListBullet"/>
      </w:pPr>
      <w:r>
        <w:t>the costs of ‘unclear or inconsistent incentives’ discussed above are maintained</w:t>
      </w:r>
    </w:p>
    <w:p w:rsidR="00E07F41" w:rsidRDefault="00650C94" w:rsidP="00650C94">
      <w:pPr>
        <w:pStyle w:val="ListBullet"/>
      </w:pPr>
      <w:r>
        <w:t>new costs are introduced from the uncertainty for distribution businesses</w:t>
      </w:r>
      <w:r w:rsidR="001859D8">
        <w:t xml:space="preserve"> from</w:t>
      </w:r>
      <w:r>
        <w:t xml:space="preserve"> state and territory governments and regulators having the authority to introduce or change re</w:t>
      </w:r>
      <w:r w:rsidR="00E07F41">
        <w:t>liability requirements at will</w:t>
      </w:r>
    </w:p>
    <w:p w:rsidR="00A43D1B" w:rsidRDefault="00650C94" w:rsidP="00E07F41">
      <w:pPr>
        <w:pStyle w:val="ListBullet2"/>
      </w:pPr>
      <w:r>
        <w:t>for example</w:t>
      </w:r>
      <w:r w:rsidR="001859D8">
        <w:t>,</w:t>
      </w:r>
      <w:r>
        <w:t xml:space="preserve"> as a result of the politicisation of reliability outcomes, the potential for which was identified by the Brattle Group (2012</w:t>
      </w:r>
      <w:r w:rsidR="001F1376">
        <w:t>a</w:t>
      </w:r>
      <w:r>
        <w:t xml:space="preserve">, p. 28). </w:t>
      </w:r>
    </w:p>
    <w:p w:rsidR="00E517E5" w:rsidRPr="00DC208C" w:rsidRDefault="00650C94" w:rsidP="00650C94">
      <w:pPr>
        <w:pStyle w:val="BodyText"/>
      </w:pPr>
      <w:r>
        <w:t xml:space="preserve">All reliability requirements should therefore be removed from </w:t>
      </w:r>
      <w:r w:rsidR="001859D8">
        <w:t xml:space="preserve">distribution business </w:t>
      </w:r>
      <w:r>
        <w:t xml:space="preserve">licence conditions and jurisdictional codes and regulations. This would require the Standing Council on Energy and Resources (SCER) to effectively transfer the responsibility of </w:t>
      </w:r>
      <w:r w:rsidR="00960F50">
        <w:t xml:space="preserve">setting a </w:t>
      </w:r>
      <w:r>
        <w:t>reliability performance</w:t>
      </w:r>
      <w:r w:rsidR="00960F50">
        <w:t xml:space="preserve"> framework</w:t>
      </w:r>
      <w:r w:rsidR="00997A9F">
        <w:t xml:space="preserve"> to</w:t>
      </w:r>
      <w:r>
        <w:t xml:space="preserve"> the national level, </w:t>
      </w:r>
      <w:r>
        <w:lastRenderedPageBreak/>
        <w:t>through an amendment of the Australian Energy Market Agreement as well as introduce legislative amendments, and agree that the STPIS become</w:t>
      </w:r>
      <w:r w:rsidR="00960F50">
        <w:t>s</w:t>
      </w:r>
      <w:r>
        <w:t xml:space="preserve"> the only vehicle for delivering reliability </w:t>
      </w:r>
      <w:r w:rsidR="00960F50">
        <w:t xml:space="preserve">outcomes </w:t>
      </w:r>
      <w:r>
        <w:t xml:space="preserve">to customers. </w:t>
      </w:r>
      <w:r w:rsidR="003B09BA">
        <w:t>Under this framework, reliability targets would b</w:t>
      </w:r>
      <w:r w:rsidR="00417066">
        <w:t xml:space="preserve">e set by the AER using business </w:t>
      </w:r>
      <w:r w:rsidR="003B09BA">
        <w:t>specific average past performance</w:t>
      </w:r>
      <w:r w:rsidR="00997A9F">
        <w:t>,</w:t>
      </w:r>
      <w:r w:rsidR="003B09BA">
        <w:t xml:space="preserve"> and rewards and penalties would be set using customer preferences specific to the region in which the business operates. </w:t>
      </w:r>
    </w:p>
    <w:p w:rsidR="00FF4C6F" w:rsidRDefault="00FF4C6F" w:rsidP="00FF4C6F">
      <w:pPr>
        <w:pStyle w:val="Heading4"/>
      </w:pPr>
      <w:r>
        <w:t>Harmonising parameters</w:t>
      </w:r>
    </w:p>
    <w:p w:rsidR="00FF4C6F" w:rsidRDefault="00960F50" w:rsidP="00FF4C6F">
      <w:pPr>
        <w:pStyle w:val="BodyText"/>
      </w:pPr>
      <w:r>
        <w:t>Removing</w:t>
      </w:r>
      <w:r w:rsidR="00E517E5">
        <w:t xml:space="preserve"> duplicative jurisdiction</w:t>
      </w:r>
      <w:r w:rsidR="009E41FF">
        <w:noBreakHyphen/>
      </w:r>
      <w:r w:rsidR="00E517E5">
        <w:t>specific reliability requirements,</w:t>
      </w:r>
      <w:r>
        <w:t xml:space="preserve"> but at the same time</w:t>
      </w:r>
      <w:r w:rsidR="00E517E5">
        <w:t xml:space="preserve"> </w:t>
      </w:r>
      <w:r w:rsidR="00FF4C6F">
        <w:t>ensu</w:t>
      </w:r>
      <w:r w:rsidR="009B5DD0">
        <w:t>r</w:t>
      </w:r>
      <w:r w:rsidR="00FF4C6F">
        <w:t>ing that an incentive scheme is as effective as possible</w:t>
      </w:r>
      <w:r>
        <w:t>,</w:t>
      </w:r>
      <w:r w:rsidR="00FF4C6F">
        <w:t xml:space="preserve"> requ</w:t>
      </w:r>
      <w:r w:rsidR="005122D2">
        <w:t xml:space="preserve">ires that all parameters of </w:t>
      </w:r>
      <w:r w:rsidR="00FF4C6F">
        <w:t xml:space="preserve">the components in the STPIS </w:t>
      </w:r>
      <w:r w:rsidR="009B5DD0">
        <w:t>are</w:t>
      </w:r>
      <w:r w:rsidR="00FF4C6F">
        <w:t xml:space="preserve"> applied to all </w:t>
      </w:r>
      <w:r w:rsidR="006B52D7">
        <w:t xml:space="preserve">network </w:t>
      </w:r>
      <w:r w:rsidR="00FF4C6F">
        <w:t>businesses.</w:t>
      </w:r>
      <w:r w:rsidR="00E517E5">
        <w:t xml:space="preserve"> </w:t>
      </w:r>
    </w:p>
    <w:p w:rsidR="005122D2" w:rsidRDefault="00B714D8" w:rsidP="00FF4C6F">
      <w:pPr>
        <w:pStyle w:val="BodyText"/>
      </w:pPr>
      <w:r>
        <w:t>The Commission recognises that some businesses might not currently be able to record and report on all parameters, such as for example, MAIFI performance. In these instances, the AER should approve the revenue required for the businesses to install the additional equipment needed, subject to the business showing that it has not had the revenue or opportunity to do so previously, and the AER is satisfied that the long term benefits of applying the parameter outweigh the costs of the required investment.</w:t>
      </w:r>
    </w:p>
    <w:p w:rsidR="00E517E5" w:rsidRPr="00FF4C6F" w:rsidRDefault="00E517E5" w:rsidP="00E517E5">
      <w:pPr>
        <w:pStyle w:val="Heading4"/>
      </w:pPr>
      <w:r>
        <w:t>Addressing worst served customers</w:t>
      </w:r>
    </w:p>
    <w:p w:rsidR="00563011" w:rsidRDefault="00563011" w:rsidP="00541322">
      <w:pPr>
        <w:pStyle w:val="BodyText"/>
      </w:pPr>
      <w:r>
        <w:t>Participants in t</w:t>
      </w:r>
      <w:r w:rsidR="00577C2D">
        <w:t>he AEMC’s review</w:t>
      </w:r>
      <w:r>
        <w:t xml:space="preserve"> commonly identified the lack of provisions in the STPIS to address the experience of worst served customers. </w:t>
      </w:r>
      <w:r w:rsidR="00F93B6B">
        <w:t>According to Essential Energy (2012):</w:t>
      </w:r>
    </w:p>
    <w:p w:rsidR="00F93B6B" w:rsidRDefault="00F93B6B" w:rsidP="00F93B6B">
      <w:pPr>
        <w:pStyle w:val="Quote"/>
      </w:pPr>
      <w:r>
        <w:t>[T]he STPIS, as currently structured, will encourage [distribution businesses] to focus reliability improvements on parts of the network in urban areas</w:t>
      </w:r>
      <w:r w:rsidR="00C15306">
        <w:t xml:space="preserve"> that may already be performing</w:t>
      </w:r>
      <w:r>
        <w:t xml:space="preserve"> quite well at the expense of poorly performing parts of the network in rural areas</w:t>
      </w:r>
      <w:r w:rsidR="006216C2">
        <w:t>.</w:t>
      </w:r>
      <w:r>
        <w:t xml:space="preserve"> (p. 2)</w:t>
      </w:r>
    </w:p>
    <w:p w:rsidR="00447A7B" w:rsidRDefault="008501DD" w:rsidP="005D0F90">
      <w:pPr>
        <w:pStyle w:val="BodyText"/>
      </w:pPr>
      <w:r>
        <w:t xml:space="preserve">Essential </w:t>
      </w:r>
      <w:r w:rsidRPr="00E07F41">
        <w:t>Energy recommend</w:t>
      </w:r>
      <w:r w:rsidR="009B5DD0" w:rsidRPr="00E07F41">
        <w:t>ed</w:t>
      </w:r>
      <w:r>
        <w:t xml:space="preserve"> that the AER establish minimum service standards such as already exist in New South Wales. The Brattle Group (2012</w:t>
      </w:r>
      <w:r w:rsidR="001F1376">
        <w:t>a</w:t>
      </w:r>
      <w:r>
        <w:t>), however, while recommending supplementa</w:t>
      </w:r>
      <w:r w:rsidR="0031151A">
        <w:t>ry</w:t>
      </w:r>
      <w:r>
        <w:t xml:space="preserve"> mechanisms relating to worst served customers, believe</w:t>
      </w:r>
      <w:r w:rsidR="0031151A">
        <w:t>d</w:t>
      </w:r>
      <w:r>
        <w:t xml:space="preserve"> a requirement to publish annual distribution planning statements </w:t>
      </w:r>
      <w:r w:rsidR="0031151A">
        <w:t>wa</w:t>
      </w:r>
      <w:r>
        <w:t xml:space="preserve">s more appropriate than establishing financial incentives attached to targets specifically designed for worst performing feeders. </w:t>
      </w:r>
    </w:p>
    <w:p w:rsidR="005D0F90" w:rsidRPr="005D0F90" w:rsidRDefault="00447A7B" w:rsidP="005D0F90">
      <w:pPr>
        <w:pStyle w:val="BodyText"/>
        <w:rPr>
          <w:rStyle w:val="DraftingNote"/>
          <w:b w:val="0"/>
          <w:color w:val="auto"/>
          <w:sz w:val="26"/>
          <w:u w:val="none"/>
        </w:rPr>
      </w:pPr>
      <w:r>
        <w:t>The Commission concurs that p</w:t>
      </w:r>
      <w:r w:rsidR="00C00535">
        <w:t>ublicly reporting performance (and possibly planning) is likely to encourage an improvement in the performance of worst performing feeders</w:t>
      </w:r>
      <w:r w:rsidR="009B5DD0">
        <w:t>,</w:t>
      </w:r>
      <w:r w:rsidR="00C00535">
        <w:t xml:space="preserve"> provided distribution businesses are responsive to public pressur</w:t>
      </w:r>
      <w:r w:rsidR="005D0F90">
        <w:t xml:space="preserve">e and reputational consequences. </w:t>
      </w:r>
      <w:r w:rsidR="00735A80">
        <w:t xml:space="preserve">Furthermore, licence conditions that </w:t>
      </w:r>
      <w:r w:rsidR="00735A80">
        <w:lastRenderedPageBreak/>
        <w:t xml:space="preserve">require businesses to supply connected customers, and develop contingency plans for how to deal with outages are likely to </w:t>
      </w:r>
      <w:r w:rsidR="00960F50">
        <w:t xml:space="preserve">help </w:t>
      </w:r>
      <w:r w:rsidR="00735A80">
        <w:t xml:space="preserve">ensure </w:t>
      </w:r>
      <w:r>
        <w:t xml:space="preserve">that at least </w:t>
      </w:r>
      <w:r w:rsidR="00735A80">
        <w:t xml:space="preserve">minimum </w:t>
      </w:r>
      <w:r>
        <w:t xml:space="preserve">acceptable </w:t>
      </w:r>
      <w:r w:rsidR="00735A80">
        <w:t>levels of service</w:t>
      </w:r>
      <w:r>
        <w:t xml:space="preserve"> are met</w:t>
      </w:r>
      <w:r w:rsidR="00735A80">
        <w:t xml:space="preserve">. </w:t>
      </w:r>
    </w:p>
    <w:p w:rsidR="005D0F90" w:rsidRDefault="00447A7B" w:rsidP="005D0F90">
      <w:pPr>
        <w:pStyle w:val="BodyText"/>
        <w:rPr>
          <w:rStyle w:val="DraftingNote"/>
          <w:b w:val="0"/>
          <w:color w:val="auto"/>
          <w:sz w:val="26"/>
          <w:u w:val="none"/>
        </w:rPr>
      </w:pPr>
      <w:r w:rsidRPr="005D0F90">
        <w:rPr>
          <w:rStyle w:val="DraftingNote"/>
          <w:b w:val="0"/>
          <w:color w:val="auto"/>
          <w:sz w:val="26"/>
          <w:u w:val="none"/>
        </w:rPr>
        <w:t xml:space="preserve">For individual customers, poor service is recognised by distribution businesses through the payments for guaranteed service levels. While these payments are not intended to be compensation for poor reliability, their reporting, especially at a disaggregated level, is likely to increase </w:t>
      </w:r>
      <w:r>
        <w:rPr>
          <w:rStyle w:val="DraftingNote"/>
          <w:b w:val="0"/>
          <w:color w:val="auto"/>
          <w:sz w:val="26"/>
          <w:u w:val="none"/>
        </w:rPr>
        <w:t>awareness of areas where distribution businesses are failing to provide reliable supply. Importantly though, it should be recognised that the goal is not to pursue uniformly high reliability across all parts of Australia. As discussed in chapter 14, the much higher cost of improving reliability in parts of the NEM — and especially in more remote areas — means that differences in reliability levels are both inevitable and efficient.</w:t>
      </w:r>
    </w:p>
    <w:p w:rsidR="007F7155" w:rsidRPr="007F7155" w:rsidRDefault="00447A7B" w:rsidP="007F7155">
      <w:pPr>
        <w:pStyle w:val="BodyText"/>
      </w:pPr>
      <w:r>
        <w:t>To support more disaggregated reporting of reliability for worst served customers, t</w:t>
      </w:r>
      <w:r w:rsidRPr="007F7155">
        <w:t xml:space="preserve">he </w:t>
      </w:r>
      <w:r>
        <w:t xml:space="preserve">relevant </w:t>
      </w:r>
      <w:r w:rsidRPr="007F7155">
        <w:t>reporting requirements under the STPIS should be amended to reflect the level of detail and consistency currently contained in the Victorian Annual Performance Reports.</w:t>
      </w:r>
      <w:r>
        <w:t xml:space="preserve"> </w:t>
      </w:r>
      <w:r w:rsidR="007F7155" w:rsidRPr="007F7155">
        <w:t xml:space="preserve">Where distribution businesses are unable to collect the information required to report to the AER in that detail, the AER should approve efficient expenditure required to upgrade recording and reporting equipment. </w:t>
      </w:r>
    </w:p>
    <w:p w:rsidR="00C00535" w:rsidRDefault="00C00535" w:rsidP="00C00535">
      <w:pPr>
        <w:pStyle w:val="Heading4"/>
      </w:pPr>
      <w:r>
        <w:t>Setting efficient targets</w:t>
      </w:r>
    </w:p>
    <w:p w:rsidR="00437F5F" w:rsidRDefault="001C60A5" w:rsidP="00AC6A42">
      <w:pPr>
        <w:pStyle w:val="BodyText"/>
      </w:pPr>
      <w:r>
        <w:t>The reliability performance targets in the STPIS, based on historical performance, are unlikely to be efficient. The conceptual requirement to set reliability standards at a level where the incremental costs and benefits of further improvements are aligned cannot reasonably be disputed. But the hard part is performing that calculus in an imperfect real world.</w:t>
      </w:r>
      <w:r w:rsidR="00D5284A">
        <w:t xml:space="preserve"> </w:t>
      </w:r>
    </w:p>
    <w:p w:rsidR="00D36F16" w:rsidRDefault="001C60A5" w:rsidP="00AC6A42">
      <w:pPr>
        <w:pStyle w:val="BodyText"/>
      </w:pPr>
      <w:r>
        <w:t>One issue here is that b</w:t>
      </w:r>
      <w:r w:rsidR="00D5284A">
        <w:t>usinesses are likely to know their marginal cost functions but regulators are not</w:t>
      </w:r>
      <w:r w:rsidR="00681DFE">
        <w:t>, at least not without significant increases in information and data from businesses.</w:t>
      </w:r>
      <w:r w:rsidR="00D5284A">
        <w:t xml:space="preserve"> </w:t>
      </w:r>
      <w:r w:rsidR="00681DFE">
        <w:t xml:space="preserve">While methodology exists for </w:t>
      </w:r>
      <w:r w:rsidR="00D36F16">
        <w:t xml:space="preserve">estimating </w:t>
      </w:r>
      <w:r w:rsidR="00681DFE">
        <w:t>the marginal cost curves for distri</w:t>
      </w:r>
      <w:r w:rsidR="00D02BC3">
        <w:t>bu</w:t>
      </w:r>
      <w:r w:rsidR="00681DFE">
        <w:t>t</w:t>
      </w:r>
      <w:r w:rsidR="00D02BC3">
        <w:t>i</w:t>
      </w:r>
      <w:r w:rsidR="00681DFE">
        <w:t>on</w:t>
      </w:r>
      <w:r w:rsidR="00D02BC3">
        <w:t xml:space="preserve"> businesses</w:t>
      </w:r>
      <w:r w:rsidR="00681DFE">
        <w:t xml:space="preserve"> in the NEM</w:t>
      </w:r>
      <w:r w:rsidR="00970B01">
        <w:t>,</w:t>
      </w:r>
      <w:r w:rsidR="00430B8C">
        <w:rPr>
          <w:rStyle w:val="FootnoteReference"/>
        </w:rPr>
        <w:footnoteReference w:id="12"/>
      </w:r>
      <w:r w:rsidR="00681DFE">
        <w:t xml:space="preserve"> it is not apparent that </w:t>
      </w:r>
      <w:r w:rsidR="00D02BC3">
        <w:t>robust estimates would be available for use in setting reliability targets in the near future, especially at a disaggregated level.</w:t>
      </w:r>
    </w:p>
    <w:p w:rsidR="00584ACD" w:rsidRDefault="00D36F16" w:rsidP="00AC6A42">
      <w:pPr>
        <w:pStyle w:val="BodyText"/>
      </w:pPr>
      <w:r>
        <w:t xml:space="preserve">So how should </w:t>
      </w:r>
      <w:r w:rsidR="00584ACD">
        <w:t>efficient targets</w:t>
      </w:r>
      <w:r>
        <w:t xml:space="preserve"> be set</w:t>
      </w:r>
      <w:r w:rsidR="00584ACD">
        <w:t>?</w:t>
      </w:r>
      <w:r w:rsidR="008F15F6">
        <w:t xml:space="preserve"> The key lies not in the targets themselves, but in the incentives (or penalties) that apply for divergence from target levels</w:t>
      </w:r>
      <w:r w:rsidR="00997A9F">
        <w:t>, which are based on an appropriate VCR</w:t>
      </w:r>
      <w:r w:rsidR="008F15F6">
        <w:t xml:space="preserve">. </w:t>
      </w:r>
    </w:p>
    <w:p w:rsidR="007F7155" w:rsidRDefault="00476B2B" w:rsidP="00802EAC">
      <w:pPr>
        <w:pStyle w:val="BodyText"/>
      </w:pPr>
      <w:r>
        <w:lastRenderedPageBreak/>
        <w:t xml:space="preserve">Applying the right incentives (in terms of rewards and penalties to businesses) over time can </w:t>
      </w:r>
      <w:r w:rsidR="00C80C85">
        <w:t>encourage</w:t>
      </w:r>
      <w:r>
        <w:t xml:space="preserve"> businesses to adjust their reliability levels to </w:t>
      </w:r>
      <w:r w:rsidR="004A7FC4">
        <w:t xml:space="preserve">reflect the levels that customers prefer </w:t>
      </w:r>
      <w:r w:rsidR="007F7155">
        <w:t xml:space="preserve">even if only </w:t>
      </w:r>
      <w:r w:rsidR="00997A9F">
        <w:t>one value of VCR is used (box 16</w:t>
      </w:r>
      <w:r w:rsidR="00577C2D">
        <w:t>.3</w:t>
      </w:r>
      <w:r w:rsidR="007F7155">
        <w:t>) and the</w:t>
      </w:r>
      <w:r w:rsidR="00997A9F">
        <w:t xml:space="preserve"> </w:t>
      </w:r>
      <w:r w:rsidR="001C60A5">
        <w:t xml:space="preserve">initial </w:t>
      </w:r>
      <w:r w:rsidR="00997A9F">
        <w:t>targets are incorrect (box 16</w:t>
      </w:r>
      <w:r w:rsidR="00577C2D">
        <w:t>.4</w:t>
      </w:r>
      <w:r w:rsidR="007F7155">
        <w:t>)</w:t>
      </w:r>
      <w:r>
        <w:t xml:space="preserve">. </w:t>
      </w:r>
      <w:r w:rsidR="00EB2419">
        <w:t>Box 16.5</w:t>
      </w:r>
      <w:r w:rsidR="001C60A5">
        <w:t xml:space="preserve"> sets out a means for progressively iterating the current historical performance targets towards this goal. </w:t>
      </w:r>
    </w:p>
    <w:p w:rsidR="00F540CD" w:rsidRDefault="00484D9A" w:rsidP="00494CBF">
      <w:pPr>
        <w:pStyle w:val="BodyText"/>
      </w:pPr>
      <w:r>
        <w:t xml:space="preserve">To </w:t>
      </w:r>
      <w:r w:rsidR="00C80C85">
        <w:t>motivate this adjustment the</w:t>
      </w:r>
      <w:r w:rsidR="00F540CD">
        <w:t xml:space="preserve"> AER should </w:t>
      </w:r>
      <w:r w:rsidR="004A7FC4">
        <w:t xml:space="preserve">issue </w:t>
      </w:r>
      <w:r w:rsidR="00F540CD">
        <w:t>the performance targets for businesses annually using a moving five ye</w:t>
      </w:r>
      <w:r w:rsidR="00B24E83">
        <w:t>ar average of past performance</w:t>
      </w:r>
      <w:r w:rsidR="00F540CD">
        <w:t xml:space="preserve">. </w:t>
      </w:r>
    </w:p>
    <w:p w:rsidR="00C80C85" w:rsidRDefault="00494CBF" w:rsidP="00494CBF">
      <w:pPr>
        <w:pStyle w:val="BodyText"/>
      </w:pPr>
      <w:r>
        <w:t xml:space="preserve">The difficulty still remains, however, of </w:t>
      </w:r>
      <w:r w:rsidR="00F312D4">
        <w:t>ensuring that</w:t>
      </w:r>
      <w:r>
        <w:t xml:space="preserve"> the VCR used to calculate the penalties and rewards </w:t>
      </w:r>
      <w:r w:rsidR="00C80C85">
        <w:t>is set at the right level to reflect the preferences of customers of each distribution business.</w:t>
      </w:r>
      <w:r>
        <w:t xml:space="preserve"> </w:t>
      </w:r>
    </w:p>
    <w:p w:rsidR="00F540CD" w:rsidRDefault="00F312D4" w:rsidP="00494CBF">
      <w:pPr>
        <w:pStyle w:val="BodyText"/>
      </w:pPr>
      <w:r>
        <w:t xml:space="preserve">Were </w:t>
      </w:r>
      <w:r w:rsidR="00494CBF">
        <w:t xml:space="preserve">the Australian Bureau of Statistics </w:t>
      </w:r>
      <w:r>
        <w:t xml:space="preserve">to </w:t>
      </w:r>
      <w:r w:rsidR="00494CBF">
        <w:t xml:space="preserve">conduct regular surveys of customers </w:t>
      </w:r>
      <w:r>
        <w:t xml:space="preserve">as recommended by the Commission </w:t>
      </w:r>
      <w:r w:rsidR="00494CBF">
        <w:t>(</w:t>
      </w:r>
      <w:r>
        <w:t xml:space="preserve">draft </w:t>
      </w:r>
      <w:r w:rsidR="00920A58">
        <w:t>recommendation 14</w:t>
      </w:r>
      <w:r w:rsidR="00EB2419">
        <w:t>.1</w:t>
      </w:r>
      <w:r w:rsidR="00494CBF">
        <w:t>), it w</w:t>
      </w:r>
      <w:r>
        <w:t>ould be able to</w:t>
      </w:r>
      <w:r w:rsidR="00494CBF">
        <w:t xml:space="preserve"> identify </w:t>
      </w:r>
      <w:r w:rsidR="00C80C85">
        <w:t xml:space="preserve">a </w:t>
      </w:r>
      <w:r w:rsidR="00494CBF">
        <w:t xml:space="preserve">VCR </w:t>
      </w:r>
      <w:r w:rsidR="00C80C85">
        <w:t>corresponding to</w:t>
      </w:r>
      <w:r w:rsidR="00494CBF">
        <w:t xml:space="preserve"> the level of reliability that customers have recently experienced. </w:t>
      </w:r>
      <w:r w:rsidR="00C80C85">
        <w:t>If the incentives for distribution bu</w:t>
      </w:r>
      <w:r w:rsidR="0039033A">
        <w:t xml:space="preserve">sinesses are then based on this VCR, it will be possible to tell if the business has been performing below (or above) the efficient level by the way that the business responds to the incentives. If the business responds by improving </w:t>
      </w:r>
      <w:r w:rsidR="00484D9A">
        <w:t>performance,</w:t>
      </w:r>
      <w:r w:rsidR="0039033A">
        <w:t xml:space="preserve"> then the target will eventually shift up and the VCR (after new surveys have been conducted) should shift down.</w:t>
      </w:r>
    </w:p>
    <w:p w:rsidR="00494CBF" w:rsidRDefault="00494CBF" w:rsidP="00494CBF">
      <w:pPr>
        <w:pStyle w:val="BodyText"/>
      </w:pPr>
      <w:r>
        <w:t>Therefore, while a moving historical average can ensure targets for a business converge to an efficient level, so too must the VCRs used for calculating incentives also be re-estimated regularly. In this way, over time, reliability targets</w:t>
      </w:r>
      <w:r w:rsidR="0039033A">
        <w:t xml:space="preserve"> and incentive rates</w:t>
      </w:r>
      <w:r w:rsidR="00577C2D">
        <w:t xml:space="preserve"> should move toward</w:t>
      </w:r>
      <w:r w:rsidR="0039033A">
        <w:t xml:space="preserve"> levels that encourage businesses to find least costs ways to provide the level of reliability preferred by customers. </w:t>
      </w:r>
    </w:p>
    <w:p w:rsidR="00D462CF" w:rsidRDefault="00D462CF" w:rsidP="00494CBF">
      <w:pPr>
        <w:pStyle w:val="BodyText"/>
      </w:pPr>
      <w:r>
        <w:t>Compared to current processes, these changes are not a significant shift for the AER or distribution businesses already operating under the Scheme, however, they do ensure that reliability targets and the incentives to meet them are firmly planted within a cost-benefit framework. In short, the Commission proposes that:</w:t>
      </w:r>
    </w:p>
    <w:p w:rsidR="00D462CF" w:rsidRDefault="00D462CF" w:rsidP="00D462CF">
      <w:pPr>
        <w:pStyle w:val="ListBullet"/>
      </w:pPr>
      <w:r>
        <w:t xml:space="preserve">performance targets be set using a rolling five year average of past performance </w:t>
      </w:r>
    </w:p>
    <w:p w:rsidR="00D462CF" w:rsidRDefault="00D462CF" w:rsidP="00D462CF">
      <w:pPr>
        <w:pStyle w:val="ListBullet"/>
      </w:pPr>
      <w:r>
        <w:t>the incentives be business specific (or more disaggregated) and based on the VCRs estimated by the ABS as recommen</w:t>
      </w:r>
      <w:r w:rsidR="002B3045">
        <w:t xml:space="preserve">ded in </w:t>
      </w:r>
      <w:r w:rsidR="00EB2419">
        <w:t>draft recommendation 14.1</w:t>
      </w:r>
      <w:r>
        <w:t>.</w:t>
      </w:r>
    </w:p>
    <w:p w:rsidR="002B3045" w:rsidRDefault="002B3045" w:rsidP="002B304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7F41" w:rsidTr="00165D22">
        <w:tc>
          <w:tcPr>
            <w:tcW w:w="8771" w:type="dxa"/>
            <w:tcBorders>
              <w:top w:val="single" w:sz="6" w:space="0" w:color="auto"/>
              <w:bottom w:val="nil"/>
            </w:tcBorders>
          </w:tcPr>
          <w:p w:rsidR="00E07F41" w:rsidRDefault="00E07F41" w:rsidP="00165D22">
            <w:pPr>
              <w:pStyle w:val="BoxTitle"/>
            </w:pPr>
            <w:r>
              <w:rPr>
                <w:b w:val="0"/>
              </w:rPr>
              <w:t>Box 16.</w:t>
            </w:r>
            <w:r>
              <w:rPr>
                <w:b w:val="0"/>
                <w:noProof/>
              </w:rPr>
              <w:t>5</w:t>
            </w:r>
            <w:r>
              <w:tab/>
              <w:t xml:space="preserve">Adjusting to efficient targets and incentives </w:t>
            </w:r>
          </w:p>
        </w:tc>
      </w:tr>
      <w:tr w:rsidR="00E07F41" w:rsidTr="00165D22">
        <w:trPr>
          <w:cantSplit/>
        </w:trPr>
        <w:tc>
          <w:tcPr>
            <w:tcW w:w="8771" w:type="dxa"/>
            <w:tcBorders>
              <w:top w:val="nil"/>
              <w:left w:val="single" w:sz="6" w:space="0" w:color="auto"/>
              <w:bottom w:val="nil"/>
              <w:right w:val="single" w:sz="6" w:space="0" w:color="auto"/>
            </w:tcBorders>
          </w:tcPr>
          <w:p w:rsidR="00E07F41" w:rsidRPr="0039033A" w:rsidRDefault="00E07F41" w:rsidP="00165D22">
            <w:pPr>
              <w:pStyle w:val="Box"/>
              <w:jc w:val="left"/>
            </w:pPr>
            <w:r>
              <w:t>The</w:t>
            </w:r>
            <w:r w:rsidRPr="0039033A">
              <w:t xml:space="preserve"> figure</w:t>
            </w:r>
            <w:r>
              <w:t xml:space="preserve"> below</w:t>
            </w:r>
            <w:r w:rsidRPr="0039033A">
              <w:t xml:space="preserve"> shows the efficient level of reliability at R*. If the business supplies reliability at R</w:t>
            </w:r>
            <w:r w:rsidRPr="0039033A">
              <w:rPr>
                <w:vertAlign w:val="superscript"/>
              </w:rPr>
              <w:t>A</w:t>
            </w:r>
            <w:r w:rsidRPr="0039033A">
              <w:t xml:space="preserve"> instead of R*, and VCR* is used to calculate the penalty, the penalty would be larger than the marginal costs to the business of increasing reliability. The business will therefore have an incentive to increase reliability up to R*. </w:t>
            </w:r>
          </w:p>
          <w:p w:rsidR="00E07F41" w:rsidRPr="0039033A" w:rsidRDefault="00E07F41" w:rsidP="00165D22">
            <w:pPr>
              <w:pStyle w:val="Box"/>
              <w:jc w:val="left"/>
            </w:pPr>
            <w:r w:rsidRPr="0039033A">
              <w:t>Similarly, if the business performs at R</w:t>
            </w:r>
            <w:r w:rsidRPr="0039033A">
              <w:rPr>
                <w:vertAlign w:val="superscript"/>
              </w:rPr>
              <w:t>B</w:t>
            </w:r>
            <w:r w:rsidRPr="0039033A">
              <w:t>, the reward it receives will be less than the cost of providing the reliability, and reliability will adjust back over time to R*. This means that so long as rewards and penalties are based on VCR*</w:t>
            </w:r>
            <w:r>
              <w:t xml:space="preserve"> (that is, the VCR corresponding to the efficient level of reliability)</w:t>
            </w:r>
            <w:r w:rsidRPr="0039033A">
              <w:t>, reliability performance</w:t>
            </w:r>
            <w:r>
              <w:t xml:space="preserve"> will converge to R*. A</w:t>
            </w:r>
            <w:r w:rsidRPr="0039033A">
              <w:t>s the targets adjust using the moving average of historical performance, the targets als</w:t>
            </w:r>
            <w:r>
              <w:t>o will eventually adjust to R*</w:t>
            </w:r>
            <w:r w:rsidRPr="0039033A">
              <w:t>.</w:t>
            </w:r>
          </w:p>
          <w:p w:rsidR="00E07F41" w:rsidRDefault="00E07F41" w:rsidP="00165D22">
            <w:pPr>
              <w:pStyle w:val="Box"/>
              <w:jc w:val="center"/>
            </w:pPr>
            <w:r>
              <w:rPr>
                <w:noProof/>
              </w:rPr>
              <w:drawing>
                <wp:inline distT="0" distB="0" distL="0" distR="0" wp14:anchorId="4324409E" wp14:editId="60CFD58C">
                  <wp:extent cx="3715789" cy="3152064"/>
                  <wp:effectExtent l="0" t="0" r="0" b="0"/>
                  <wp:docPr id="1" name="Picture 1" descr="This figure adds to the figure found in Box 14.3 in chapter 14 to show the impacts of varying reliability levels on VCR. It shows that setting the incentives at the right level will encourage network businesses to adjust the levels of reliability they supply to iteratively move towards the efficient lev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20118" cy="3155736"/>
                          </a:xfrm>
                          <a:prstGeom prst="rect">
                            <a:avLst/>
                          </a:prstGeom>
                          <a:noFill/>
                        </pic:spPr>
                      </pic:pic>
                    </a:graphicData>
                  </a:graphic>
                </wp:inline>
              </w:drawing>
            </w:r>
          </w:p>
          <w:p w:rsidR="00E07F41" w:rsidRPr="0039033A" w:rsidRDefault="00E07F41" w:rsidP="00165D22">
            <w:pPr>
              <w:pStyle w:val="Box"/>
              <w:jc w:val="left"/>
            </w:pPr>
            <w:r>
              <w:t>Identifying VCR*, however, is not necessarily straightforward. I</w:t>
            </w:r>
            <w:r w:rsidRPr="0039033A">
              <w:t>f</w:t>
            </w:r>
            <w:r>
              <w:t>,</w:t>
            </w:r>
            <w:r w:rsidRPr="0039033A">
              <w:t xml:space="preserve"> for example, a distribution business has consistently been performing at R</w:t>
            </w:r>
            <w:r w:rsidRPr="0039033A">
              <w:rPr>
                <w:vertAlign w:val="superscript"/>
              </w:rPr>
              <w:t>A</w:t>
            </w:r>
            <w:r w:rsidRPr="0039033A">
              <w:t xml:space="preserve">, </w:t>
            </w:r>
            <w:r>
              <w:t>below efficient levels, the surveys of customer values of reliability might</w:t>
            </w:r>
            <w:r w:rsidRPr="0039033A">
              <w:t xml:space="preserve"> </w:t>
            </w:r>
            <w:r>
              <w:t>identify a VCR greater than VCR* (VCR</w:t>
            </w:r>
            <w:r>
              <w:rPr>
                <w:vertAlign w:val="superscript"/>
              </w:rPr>
              <w:t>A</w:t>
            </w:r>
            <w:r>
              <w:t xml:space="preserve"> in the figure) reflecting</w:t>
            </w:r>
            <w:r w:rsidRPr="0039033A">
              <w:t xml:space="preserve"> recently experienced levels of reliability. If incen</w:t>
            </w:r>
            <w:r>
              <w:t>tives are then based on this higher VCR, the business</w:t>
            </w:r>
            <w:r w:rsidRPr="0039033A">
              <w:t xml:space="preserve"> would have an incentive to increase performance past the efficient point</w:t>
            </w:r>
            <w:r>
              <w:t>.</w:t>
            </w:r>
            <w:r w:rsidRPr="0039033A">
              <w:t xml:space="preserve"> </w:t>
            </w:r>
          </w:p>
          <w:p w:rsidR="00E07F41" w:rsidRDefault="00E07F41" w:rsidP="00165D22">
            <w:pPr>
              <w:pStyle w:val="Box"/>
              <w:jc w:val="left"/>
            </w:pPr>
            <w:r w:rsidRPr="0039033A">
              <w:t>This would also apply for a distribution business performing consistently</w:t>
            </w:r>
            <w:r>
              <w:t xml:space="preserve"> above R*</w:t>
            </w:r>
            <w:r w:rsidRPr="0039033A">
              <w:t xml:space="preserve"> </w:t>
            </w:r>
            <w:r>
              <w:t>(</w:t>
            </w:r>
            <w:r w:rsidRPr="0039033A">
              <w:t>R</w:t>
            </w:r>
            <w:r w:rsidRPr="0039033A">
              <w:rPr>
                <w:vertAlign w:val="superscript"/>
              </w:rPr>
              <w:t>B</w:t>
            </w:r>
            <w:r>
              <w:rPr>
                <w:vertAlign w:val="superscript"/>
              </w:rPr>
              <w:t xml:space="preserve"> </w:t>
            </w:r>
            <w:r>
              <w:t>in the figure)</w:t>
            </w:r>
            <w:r w:rsidRPr="0039033A">
              <w:t>, leading to incentives based on an identified VCR</w:t>
            </w:r>
            <w:r>
              <w:rPr>
                <w:vertAlign w:val="superscript"/>
              </w:rPr>
              <w:t xml:space="preserve"> </w:t>
            </w:r>
            <w:r>
              <w:t xml:space="preserve">below VCR*. The business </w:t>
            </w:r>
            <w:r w:rsidRPr="0039033A">
              <w:t>would have an incentive to reduce performance below R* and th</w:t>
            </w:r>
            <w:r>
              <w:t>e targets would</w:t>
            </w:r>
            <w:r w:rsidRPr="0039033A">
              <w:t xml:space="preserve"> eventually adjust to reflect this.</w:t>
            </w:r>
            <w:r>
              <w:t xml:space="preserve"> In response to these changes in reliability, however, customers will adjust the value they place on more reliability. By taking regular surveys to identify these values and incorporating the updated values into the incentives, the reliability performance should slowly adjust towards its efficient level.</w:t>
            </w:r>
          </w:p>
        </w:tc>
      </w:tr>
      <w:tr w:rsidR="00E07F41" w:rsidTr="00165D22">
        <w:trPr>
          <w:cantSplit/>
        </w:trPr>
        <w:tc>
          <w:tcPr>
            <w:tcW w:w="8771" w:type="dxa"/>
            <w:tcBorders>
              <w:top w:val="nil"/>
              <w:left w:val="single" w:sz="6" w:space="0" w:color="auto"/>
              <w:bottom w:val="single" w:sz="6" w:space="0" w:color="auto"/>
              <w:right w:val="single" w:sz="6" w:space="0" w:color="auto"/>
            </w:tcBorders>
          </w:tcPr>
          <w:p w:rsidR="00E07F41" w:rsidRDefault="00E07F41" w:rsidP="00165D22">
            <w:pPr>
              <w:pStyle w:val="Box"/>
              <w:spacing w:before="0" w:line="120" w:lineRule="exact"/>
            </w:pPr>
          </w:p>
        </w:tc>
      </w:tr>
      <w:tr w:rsidR="00E07F41" w:rsidRPr="000863A5" w:rsidTr="00165D22">
        <w:tc>
          <w:tcPr>
            <w:tcW w:w="8771" w:type="dxa"/>
            <w:tcBorders>
              <w:top w:val="nil"/>
              <w:left w:val="nil"/>
              <w:bottom w:val="nil"/>
              <w:right w:val="nil"/>
            </w:tcBorders>
          </w:tcPr>
          <w:p w:rsidR="00E07F41" w:rsidRPr="000863A5" w:rsidRDefault="00E07F41" w:rsidP="00165D22">
            <w:pPr>
              <w:pStyle w:val="Box"/>
              <w:keepNext w:val="0"/>
              <w:spacing w:before="60" w:after="60" w:line="80" w:lineRule="exact"/>
              <w:rPr>
                <w:b/>
                <w:sz w:val="14"/>
              </w:rPr>
            </w:pPr>
          </w:p>
        </w:tc>
      </w:tr>
    </w:tbl>
    <w:p w:rsidR="00C00535" w:rsidRPr="00C00535" w:rsidRDefault="00C00535" w:rsidP="00C00535">
      <w:pPr>
        <w:pStyle w:val="Heading4"/>
      </w:pPr>
      <w:r>
        <w:lastRenderedPageBreak/>
        <w:t>Ensuring incentives are strong</w:t>
      </w:r>
    </w:p>
    <w:p w:rsidR="001338D0" w:rsidRDefault="00494CBF" w:rsidP="001338D0">
      <w:pPr>
        <w:pStyle w:val="BodyText"/>
      </w:pPr>
      <w:r>
        <w:t xml:space="preserve">The </w:t>
      </w:r>
      <w:r w:rsidR="003B31FF">
        <w:t xml:space="preserve">transition </w:t>
      </w:r>
      <w:r>
        <w:t xml:space="preserve">path to efficient reliability targets will be slower if the incentives that distribution businesses respond to are capped. </w:t>
      </w:r>
      <w:r w:rsidR="00E05F19">
        <w:t>The Brattle Group (2012</w:t>
      </w:r>
      <w:r w:rsidR="001F1376">
        <w:t>a</w:t>
      </w:r>
      <w:r w:rsidR="00E05F19">
        <w:t>) noted that:</w:t>
      </w:r>
    </w:p>
    <w:p w:rsidR="001338D0" w:rsidRPr="00564B71" w:rsidRDefault="001338D0" w:rsidP="001338D0">
      <w:pPr>
        <w:pStyle w:val="Quote"/>
      </w:pPr>
      <w:r>
        <w:t xml:space="preserve">We also found that </w:t>
      </w:r>
      <w:r w:rsidR="008F15F6">
        <w:t>…</w:t>
      </w:r>
      <w:r>
        <w:t xml:space="preserve"> distributors with the most to lose (i.e. facing the highest potential penalties) tend to comply more closely with reliability standards than those facing less punitive sanctions, at least as regards the average duration of interruptions</w:t>
      </w:r>
      <w:r w:rsidR="00244084">
        <w:t>.</w:t>
      </w:r>
      <w:r w:rsidR="00E05F19">
        <w:t xml:space="preserve"> (p. 11)</w:t>
      </w:r>
      <w:r>
        <w:t xml:space="preserve"> </w:t>
      </w:r>
    </w:p>
    <w:p w:rsidR="00923B95" w:rsidRDefault="00E05F19" w:rsidP="00A35115">
      <w:pPr>
        <w:pStyle w:val="BodyText"/>
      </w:pPr>
      <w:r>
        <w:t xml:space="preserve">As revealed in the discussion above, incentives should </w:t>
      </w:r>
      <w:r w:rsidR="001C60A5">
        <w:t xml:space="preserve">also </w:t>
      </w:r>
      <w:r>
        <w:t>be two sided</w:t>
      </w:r>
      <w:r w:rsidR="00923B95">
        <w:t xml:space="preserve"> — that is, businesses should incur penalties for under performance and rewards for </w:t>
      </w:r>
      <w:r w:rsidR="002D68A7">
        <w:t xml:space="preserve">exceeding </w:t>
      </w:r>
      <w:r w:rsidR="00923B95">
        <w:t>performance</w:t>
      </w:r>
      <w:r w:rsidR="002D68A7">
        <w:t xml:space="preserve"> targets</w:t>
      </w:r>
      <w:r w:rsidR="00923B95">
        <w:t>. The Brattle Group (2012</w:t>
      </w:r>
      <w:r w:rsidR="001F1376">
        <w:t>a</w:t>
      </w:r>
      <w:r w:rsidR="00923B95">
        <w:t>) contend</w:t>
      </w:r>
      <w:r w:rsidR="008F15F6">
        <w:t>ed</w:t>
      </w:r>
      <w:r w:rsidR="00923B95">
        <w:t xml:space="preserve"> that this avoids a ‘cliff edge’ effect:</w:t>
      </w:r>
    </w:p>
    <w:p w:rsidR="00923B95" w:rsidRDefault="00F540CD" w:rsidP="00923B95">
      <w:pPr>
        <w:pStyle w:val="Quote"/>
      </w:pPr>
      <w:r>
        <w:t>… </w:t>
      </w:r>
      <w:r w:rsidR="00923B95">
        <w:t>whereby distributors will be reluctant to invest to improve reliability when they are close to their target if this could lead to higher than target reliability for which they will not be rewarded</w:t>
      </w:r>
      <w:r w:rsidR="00244084">
        <w:t>.</w:t>
      </w:r>
      <w:r w:rsidR="00923B95">
        <w:t xml:space="preserve"> (p. 14)</w:t>
      </w:r>
    </w:p>
    <w:p w:rsidR="00923B95" w:rsidRDefault="00923B95" w:rsidP="00A35115">
      <w:pPr>
        <w:pStyle w:val="BodyText"/>
      </w:pPr>
      <w:r>
        <w:t xml:space="preserve">There </w:t>
      </w:r>
      <w:r w:rsidR="00484D9A">
        <w:t>is a mix</w:t>
      </w:r>
      <w:r>
        <w:t xml:space="preserve"> of opinions regarding </w:t>
      </w:r>
      <w:r w:rsidR="005748E3">
        <w:t>how incentives should be</w:t>
      </w:r>
      <w:r>
        <w:t xml:space="preserve"> set for distributi</w:t>
      </w:r>
      <w:r w:rsidR="00F540CD">
        <w:t xml:space="preserve">on businesses. Some businesses, </w:t>
      </w:r>
      <w:r>
        <w:t>for example SP</w:t>
      </w:r>
      <w:r w:rsidR="003B31FF">
        <w:t> </w:t>
      </w:r>
      <w:r w:rsidR="00B80C07">
        <w:t>AusNet</w:t>
      </w:r>
      <w:r w:rsidR="00F540CD">
        <w:t>,</w:t>
      </w:r>
      <w:r>
        <w:t xml:space="preserve"> </w:t>
      </w:r>
      <w:r w:rsidR="00F312D4">
        <w:t>preferred</w:t>
      </w:r>
      <w:r>
        <w:t xml:space="preserve"> uncapped two</w:t>
      </w:r>
      <w:r w:rsidR="00F312D4">
        <w:t>-</w:t>
      </w:r>
      <w:r>
        <w:t xml:space="preserve">sided incentives. </w:t>
      </w:r>
      <w:r w:rsidR="00B80C07">
        <w:t xml:space="preserve">In response however, the Energy Users Coalition of Victoria (EUCV 2010) noted that there is already an implicit floor in the penalty that the AER can apply, because removing too much revenue from a business will ultimately result in a loss of supply of electricity to SP AusNet customers. </w:t>
      </w:r>
      <w:r w:rsidR="00397FDC">
        <w:t xml:space="preserve">This would make the incentives </w:t>
      </w:r>
      <w:r w:rsidR="005748E3">
        <w:t>‘</w:t>
      </w:r>
      <w:r w:rsidR="00397FDC">
        <w:t>asymmetric</w:t>
      </w:r>
      <w:r w:rsidR="005748E3">
        <w:t>’</w:t>
      </w:r>
      <w:r w:rsidR="00397FDC">
        <w:t xml:space="preserve"> (p. 45). </w:t>
      </w:r>
    </w:p>
    <w:p w:rsidR="00397FDC" w:rsidRDefault="00397FDC" w:rsidP="00A35115">
      <w:pPr>
        <w:pStyle w:val="BodyText"/>
      </w:pPr>
      <w:r>
        <w:t>There is also a concern that because rewards and penalties affect the prices that customers pay, large incentives can lead to excessive flu</w:t>
      </w:r>
      <w:r w:rsidR="00577C2D">
        <w:t>ctuations in price for customers</w:t>
      </w:r>
      <w:r w:rsidR="00EF3128">
        <w:t xml:space="preserve"> (AER 2010b</w:t>
      </w:r>
      <w:r>
        <w:t xml:space="preserve">, p. 674). </w:t>
      </w:r>
    </w:p>
    <w:p w:rsidR="00397FDC" w:rsidRDefault="00397FDC" w:rsidP="00A35115">
      <w:pPr>
        <w:pStyle w:val="BodyText"/>
      </w:pPr>
      <w:r>
        <w:t>Similarly, point targets for businesses can introduce uncertainty if small changes in performance can tip a business over the line from receiving a reward to having to pay a penalty and vice versa. To address this, some commentators discuss the possibility of using ‘dead bands’ — that is, having a target range for businesses rather than a point (</w:t>
      </w:r>
      <w:r w:rsidR="00217B7C">
        <w:t>for example Yahav et al. 2008 and Ramanathan et al. 2006</w:t>
      </w:r>
      <w:r>
        <w:t xml:space="preserve">). However, </w:t>
      </w:r>
      <w:r w:rsidR="002D68A7">
        <w:t xml:space="preserve">as </w:t>
      </w:r>
      <w:r>
        <w:t xml:space="preserve">small variations from performance </w:t>
      </w:r>
      <w:r w:rsidR="002D68A7">
        <w:t xml:space="preserve">targets </w:t>
      </w:r>
      <w:r>
        <w:t xml:space="preserve">result </w:t>
      </w:r>
      <w:r w:rsidR="00217B7C">
        <w:t>in small rewards and penalties</w:t>
      </w:r>
      <w:r w:rsidR="002D68A7">
        <w:t>,</w:t>
      </w:r>
      <w:r w:rsidR="00217B7C">
        <w:t xml:space="preserve"> it seem</w:t>
      </w:r>
      <w:r w:rsidR="00F540CD">
        <w:t xml:space="preserve">s </w:t>
      </w:r>
      <w:r w:rsidR="00217B7C">
        <w:t>reasonable to suggest that across a five year regulatory period, small deviations from target</w:t>
      </w:r>
      <w:r w:rsidR="008F15F6">
        <w:t>s</w:t>
      </w:r>
      <w:r w:rsidR="00217B7C">
        <w:t xml:space="preserve"> year to year</w:t>
      </w:r>
      <w:r w:rsidR="00E35551">
        <w:t xml:space="preserve"> should</w:t>
      </w:r>
      <w:r w:rsidR="00217B7C">
        <w:t xml:space="preserve"> even out. </w:t>
      </w:r>
    </w:p>
    <w:p w:rsidR="00217B7C" w:rsidRDefault="00217B7C" w:rsidP="00A35115">
      <w:pPr>
        <w:pStyle w:val="BodyText"/>
      </w:pPr>
      <w:r>
        <w:t>An advantage of ensuring incenti</w:t>
      </w:r>
      <w:r w:rsidR="00E35551">
        <w:t xml:space="preserve">ves are sufficiently </w:t>
      </w:r>
      <w:r w:rsidR="002D68A7">
        <w:t xml:space="preserve">strong </w:t>
      </w:r>
      <w:r w:rsidR="00E35551">
        <w:t>is that it</w:t>
      </w:r>
      <w:r>
        <w:t xml:space="preserve"> encourage</w:t>
      </w:r>
      <w:r w:rsidR="00E35551">
        <w:t>s</w:t>
      </w:r>
      <w:r>
        <w:t xml:space="preserve"> businesses to </w:t>
      </w:r>
      <w:r w:rsidR="005748E3">
        <w:t>more efficiently</w:t>
      </w:r>
      <w:r>
        <w:t xml:space="preserve"> use </w:t>
      </w:r>
      <w:r w:rsidR="005748E3">
        <w:t>their</w:t>
      </w:r>
      <w:r>
        <w:t xml:space="preserve"> </w:t>
      </w:r>
      <w:r w:rsidR="005E1BD2">
        <w:t>choice</w:t>
      </w:r>
      <w:r w:rsidR="00577C2D">
        <w:t xml:space="preserve"> of</w:t>
      </w:r>
      <w:r w:rsidR="005E1BD2">
        <w:t xml:space="preserve"> </w:t>
      </w:r>
      <w:r>
        <w:t xml:space="preserve">inputs into </w:t>
      </w:r>
      <w:r w:rsidR="002D68A7">
        <w:t xml:space="preserve">achieving </w:t>
      </w:r>
      <w:r>
        <w:t xml:space="preserve">reliability over time. This means that while operational inputs can be used to meet performance targets in a given year (such as responding quickly when faults occur), </w:t>
      </w:r>
      <w:r w:rsidR="005E1BD2">
        <w:t>longer-term</w:t>
      </w:r>
      <w:r>
        <w:t xml:space="preserve"> investments in network capacity should also be</w:t>
      </w:r>
      <w:r w:rsidR="005E1BD2">
        <w:t xml:space="preserve"> made when they are needed, and it is cost effective to do so</w:t>
      </w:r>
      <w:r>
        <w:t xml:space="preserve">. The likelihood of large future penalties for </w:t>
      </w:r>
      <w:r w:rsidR="005E1BD2">
        <w:lastRenderedPageBreak/>
        <w:t>poor</w:t>
      </w:r>
      <w:r>
        <w:t xml:space="preserve"> performance from inefficiently deferring investment should create the incentive for businesses to </w:t>
      </w:r>
      <w:r w:rsidR="005E1BD2">
        <w:t xml:space="preserve">make efficient decisions about their choice </w:t>
      </w:r>
      <w:r>
        <w:t>of inputs over</w:t>
      </w:r>
      <w:r w:rsidR="008F15F6">
        <w:t xml:space="preserve"> both</w:t>
      </w:r>
      <w:r>
        <w:t xml:space="preserve"> the short term and the long term. </w:t>
      </w:r>
    </w:p>
    <w:p w:rsidR="00090269" w:rsidRPr="004D780D" w:rsidRDefault="00997A9F" w:rsidP="00F540CD">
      <w:pPr>
        <w:pStyle w:val="BodyText"/>
      </w:pPr>
      <w:r>
        <w:t>While t</w:t>
      </w:r>
      <w:r w:rsidR="00083C78">
        <w:t xml:space="preserve">he </w:t>
      </w:r>
      <w:r>
        <w:t>default for incentive of 5 per cent</w:t>
      </w:r>
      <w:r w:rsidR="00083C78">
        <w:t xml:space="preserve"> under the STPIS should therefore </w:t>
      </w:r>
      <w:r>
        <w:t>remain,</w:t>
      </w:r>
      <w:r w:rsidR="00083C78">
        <w:t xml:space="preserve"> the revenue at risk that each business faces should be negotiated with the AER during the revenue determination process</w:t>
      </w:r>
      <w:r>
        <w:t>, leaving room for the AER and the business to negotiate away from the default where this would be appropriate</w:t>
      </w:r>
      <w:r w:rsidR="00083C78">
        <w:t xml:space="preserve">. In this way, the AER can use all </w:t>
      </w:r>
      <w:r w:rsidR="008F15F6">
        <w:t xml:space="preserve">the </w:t>
      </w:r>
      <w:r w:rsidR="00083C78">
        <w:t>information available to it</w:t>
      </w:r>
      <w:r w:rsidR="008F15F6" w:rsidRPr="008F15F6">
        <w:t xml:space="preserve"> </w:t>
      </w:r>
      <w:r w:rsidR="008F15F6">
        <w:t>more effectively</w:t>
      </w:r>
      <w:r w:rsidR="00083C78">
        <w:t>, including the past responsiveness of the business to incentives, the revenue granted for improvements to reliability and the</w:t>
      </w:r>
      <w:r w:rsidR="00F540CD">
        <w:t xml:space="preserve"> specific characteristics of a</w:t>
      </w:r>
      <w:r w:rsidR="00083C78">
        <w:t xml:space="preserve"> network that might make fluctuations in performance more common (for example, inclement weather that results in more events that </w:t>
      </w:r>
      <w:r w:rsidR="008F15F6">
        <w:t xml:space="preserve">are </w:t>
      </w:r>
      <w:r w:rsidR="00083C78">
        <w:t>nearly classi</w:t>
      </w:r>
      <w:r w:rsidR="00577C2D">
        <w:t>f</w:t>
      </w:r>
      <w:r w:rsidR="008F15F6">
        <w:t>ied</w:t>
      </w:r>
      <w:r w:rsidR="00577C2D">
        <w:t xml:space="preserve"> as ‘major events’</w:t>
      </w:r>
      <w:r w:rsidR="004B314C">
        <w:t>)</w:t>
      </w:r>
      <w:r w:rsidR="00083C78">
        <w:t>.</w:t>
      </w:r>
      <w:r w:rsidR="00F540CD" w:rsidRPr="004D780D">
        <w:t xml:space="preserve"> </w:t>
      </w:r>
    </w:p>
    <w:p w:rsidR="00577C2D" w:rsidRPr="007F6CF5" w:rsidRDefault="00577C2D" w:rsidP="00577C2D">
      <w:pPr>
        <w:pStyle w:val="RecTitle"/>
        <w:framePr w:wrap="notBeside"/>
        <w:rPr>
          <w:rFonts w:ascii="Calibri" w:hAnsi="Calibri" w:cs="Calibri"/>
          <w:sz w:val="24"/>
        </w:rPr>
      </w:pPr>
      <w:r w:rsidRPr="007F6CF5">
        <w:t>DRAFT RECOMMENDATION 1</w:t>
      </w:r>
      <w:r w:rsidR="0074356E">
        <w:t>6</w:t>
      </w:r>
      <w:r w:rsidRPr="007F6CF5">
        <w:t>.1</w:t>
      </w:r>
    </w:p>
    <w:p w:rsidR="00577C2D" w:rsidRDefault="00577C2D" w:rsidP="00577C2D">
      <w:pPr>
        <w:pStyle w:val="Rec"/>
      </w:pPr>
      <w:r w:rsidRPr="007F6CF5">
        <w:t>The Standing Council on Energy and Resources should specify that</w:t>
      </w:r>
      <w:r>
        <w:t xml:space="preserve"> </w:t>
      </w:r>
      <w:r w:rsidRPr="007F6CF5">
        <w:t>reliability requirements for distribution businesses be</w:t>
      </w:r>
      <w:r>
        <w:t xml:space="preserve"> included </w:t>
      </w:r>
      <w:r w:rsidRPr="007F6CF5">
        <w:t>in the Australian Energy Regulator’s Service Target Performance Incentive Scheme</w:t>
      </w:r>
      <w:r>
        <w:t xml:space="preserve">, replacing </w:t>
      </w:r>
      <w:r w:rsidR="00373C47">
        <w:t xml:space="preserve">all </w:t>
      </w:r>
      <w:r>
        <w:t xml:space="preserve">existing </w:t>
      </w:r>
      <w:r w:rsidRPr="007F6CF5">
        <w:t>jurisdiction-specific reliability settings</w:t>
      </w:r>
      <w:r>
        <w:t>.</w:t>
      </w:r>
    </w:p>
    <w:p w:rsidR="00577C2D" w:rsidRPr="00571B07" w:rsidRDefault="00577C2D" w:rsidP="00577C2D">
      <w:pPr>
        <w:pStyle w:val="RecBullet"/>
      </w:pPr>
      <w:r>
        <w:t>T</w:t>
      </w:r>
      <w:r w:rsidRPr="00571B07">
        <w:t xml:space="preserve">he </w:t>
      </w:r>
      <w:r>
        <w:t xml:space="preserve">reliability requirements should reflect </w:t>
      </w:r>
      <w:r w:rsidRPr="00571B07">
        <w:t xml:space="preserve">the preferences of customers </w:t>
      </w:r>
      <w:r>
        <w:t xml:space="preserve">by using the estimated </w:t>
      </w:r>
      <w:r w:rsidRPr="00571B07">
        <w:t>value</w:t>
      </w:r>
      <w:r>
        <w:t>s</w:t>
      </w:r>
      <w:r w:rsidRPr="00571B07">
        <w:t xml:space="preserve"> of customer reliability</w:t>
      </w:r>
      <w:r>
        <w:t>, as spelt out in</w:t>
      </w:r>
      <w:r w:rsidR="0074356E">
        <w:t xml:space="preserve"> </w:t>
      </w:r>
      <w:r w:rsidR="00E43181">
        <w:t xml:space="preserve">draft </w:t>
      </w:r>
      <w:r w:rsidR="0074356E">
        <w:t>recommendation 14</w:t>
      </w:r>
      <w:r w:rsidRPr="00571B07">
        <w:t>.1</w:t>
      </w:r>
      <w:r>
        <w:t>,</w:t>
      </w:r>
      <w:r w:rsidRPr="00F6478D">
        <w:t xml:space="preserve"> </w:t>
      </w:r>
      <w:r>
        <w:t>and should be</w:t>
      </w:r>
      <w:r w:rsidRPr="00571B07">
        <w:t xml:space="preserve"> specific to the distribution business</w:t>
      </w:r>
      <w:r>
        <w:t>.</w:t>
      </w:r>
    </w:p>
    <w:p w:rsidR="00577C2D" w:rsidRPr="007F6CF5" w:rsidRDefault="00577C2D" w:rsidP="00577C2D">
      <w:pPr>
        <w:pStyle w:val="RecTitle"/>
        <w:framePr w:wrap="notBeside"/>
        <w:rPr>
          <w:rFonts w:ascii="Calibri" w:hAnsi="Calibri" w:cs="Calibri"/>
          <w:sz w:val="24"/>
        </w:rPr>
      </w:pPr>
      <w:r w:rsidRPr="007F6CF5">
        <w:t>DRAFT RECOMMENDATION 1</w:t>
      </w:r>
      <w:r w:rsidR="0074356E">
        <w:t>6</w:t>
      </w:r>
      <w:r w:rsidRPr="007F6CF5">
        <w:t>.</w:t>
      </w:r>
      <w:r>
        <w:t>2</w:t>
      </w:r>
    </w:p>
    <w:p w:rsidR="00577C2D" w:rsidRPr="00373C47" w:rsidRDefault="00577C2D" w:rsidP="00373C47">
      <w:pPr>
        <w:pStyle w:val="Rec"/>
        <w:rPr>
          <w:rFonts w:ascii="Calibri" w:hAnsi="Calibri" w:cs="Calibri"/>
        </w:rPr>
      </w:pPr>
      <w:r w:rsidRPr="007F6CF5">
        <w:t xml:space="preserve">The Australian Energy Regulator should also make the following amendments to </w:t>
      </w:r>
      <w:r w:rsidRPr="00373C47">
        <w:t>the Service Target Performance Incentive Scheme:</w:t>
      </w:r>
    </w:p>
    <w:p w:rsidR="00577C2D" w:rsidRPr="00373C47" w:rsidRDefault="00577C2D" w:rsidP="00373C47">
      <w:pPr>
        <w:pStyle w:val="RecBullet"/>
      </w:pPr>
      <w:r w:rsidRPr="00373C47">
        <w:t xml:space="preserve">reliability performance targets for </w:t>
      </w:r>
      <w:r w:rsidR="00E43181">
        <w:t>the s</w:t>
      </w:r>
      <w:r w:rsidR="00E43181" w:rsidRPr="00865D08">
        <w:t>ystem average interruption duration index</w:t>
      </w:r>
      <w:r w:rsidRPr="00373C47">
        <w:t xml:space="preserve">, </w:t>
      </w:r>
      <w:r w:rsidR="00E43181">
        <w:t>s</w:t>
      </w:r>
      <w:r w:rsidR="00E43181" w:rsidRPr="00865D08">
        <w:t>ystem average interruption frequency index</w:t>
      </w:r>
      <w:r w:rsidRPr="00373C47">
        <w:t xml:space="preserve"> and </w:t>
      </w:r>
      <w:r w:rsidR="00E43181">
        <w:t>m</w:t>
      </w:r>
      <w:r w:rsidR="00E43181" w:rsidRPr="00865D08">
        <w:t>omentary average interruption frequency index</w:t>
      </w:r>
      <w:r w:rsidRPr="00373C47">
        <w:t xml:space="preserve"> should be adjusted annually</w:t>
      </w:r>
      <w:r w:rsidR="008F15F6" w:rsidRPr="00373C47">
        <w:t>,</w:t>
      </w:r>
      <w:r w:rsidRPr="00373C47">
        <w:t xml:space="preserve"> according to </w:t>
      </w:r>
      <w:r w:rsidR="007C6E17" w:rsidRPr="00373C47">
        <w:t>rolling</w:t>
      </w:r>
      <w:r w:rsidR="00373C47" w:rsidRPr="00373C47">
        <w:t xml:space="preserve"> </w:t>
      </w:r>
      <w:r w:rsidR="00E43181">
        <w:t>five</w:t>
      </w:r>
      <w:r w:rsidR="00E43181">
        <w:noBreakHyphen/>
      </w:r>
      <w:r w:rsidRPr="00373C47">
        <w:t>year average annual performance</w:t>
      </w:r>
    </w:p>
    <w:p w:rsidR="00577C2D" w:rsidRPr="007F6CF5" w:rsidRDefault="00E43181" w:rsidP="00373C47">
      <w:pPr>
        <w:pStyle w:val="RecBullet"/>
      </w:pPr>
      <w:r>
        <w:t>r</w:t>
      </w:r>
      <w:r w:rsidR="00577C2D" w:rsidRPr="00575870">
        <w:t>evenue at risk should be negotiated as part of the Australian Energy Regulator’s revenue determination process</w:t>
      </w:r>
    </w:p>
    <w:p w:rsidR="0014164E" w:rsidRDefault="00577C2D" w:rsidP="00373C47">
      <w:pPr>
        <w:pStyle w:val="RecBullet"/>
      </w:pPr>
      <w:r w:rsidRPr="007F6CF5">
        <w:t xml:space="preserve">the reporting and information component </w:t>
      </w:r>
      <w:r>
        <w:t xml:space="preserve">of this scheme </w:t>
      </w:r>
      <w:r w:rsidRPr="007F6CF5">
        <w:t xml:space="preserve">should require distribution businesses to report their reliability performance at the </w:t>
      </w:r>
      <w:r w:rsidR="0014164E">
        <w:t>zone substation</w:t>
      </w:r>
      <w:r w:rsidRPr="007F6CF5">
        <w:t xml:space="preserve"> level. Worst performing feeders should be identified as part of this process</w:t>
      </w:r>
    </w:p>
    <w:p w:rsidR="00577C2D" w:rsidRPr="00373C47" w:rsidRDefault="0014164E" w:rsidP="00373C47">
      <w:pPr>
        <w:pStyle w:val="RecBullet"/>
      </w:pPr>
      <w:r w:rsidRPr="00373C47">
        <w:t>reporting by all distribution businesses of performance against the parameters in the scheme should be published annually and be at least as detailed and comprehensive as current reporting mechanisms for distribution businesses in Victoria.</w:t>
      </w:r>
    </w:p>
    <w:p w:rsidR="00577C2D" w:rsidRPr="007F6CF5" w:rsidRDefault="00577C2D" w:rsidP="00577C2D">
      <w:pPr>
        <w:pStyle w:val="RecTitle"/>
        <w:framePr w:wrap="notBeside"/>
        <w:rPr>
          <w:rFonts w:ascii="Calibri" w:hAnsi="Calibri" w:cs="Calibri"/>
          <w:sz w:val="24"/>
        </w:rPr>
      </w:pPr>
      <w:r w:rsidRPr="007F6CF5">
        <w:lastRenderedPageBreak/>
        <w:t>DRAFT RECOMMENDATION 1</w:t>
      </w:r>
      <w:r w:rsidR="0074356E">
        <w:t>6</w:t>
      </w:r>
      <w:r w:rsidRPr="007F6CF5">
        <w:t>.</w:t>
      </w:r>
      <w:r>
        <w:t>3</w:t>
      </w:r>
    </w:p>
    <w:p w:rsidR="00577C2D" w:rsidRDefault="00577C2D" w:rsidP="00577C2D">
      <w:pPr>
        <w:pStyle w:val="Rec"/>
      </w:pPr>
      <w:r w:rsidRPr="007F6CF5">
        <w:t xml:space="preserve">Where a distribution business can show that they are unable to </w:t>
      </w:r>
      <w:r>
        <w:t xml:space="preserve">technically </w:t>
      </w:r>
      <w:r w:rsidRPr="007F6CF5">
        <w:t>comply with one or more parameters</w:t>
      </w:r>
      <w:r w:rsidRPr="00AB64A9">
        <w:t xml:space="preserve"> </w:t>
      </w:r>
      <w:r>
        <w:t xml:space="preserve">of the </w:t>
      </w:r>
      <w:r w:rsidRPr="007F6CF5">
        <w:t>Service Target Performance Incentive Scheme</w:t>
      </w:r>
      <w:r>
        <w:t>, and where satisfied that</w:t>
      </w:r>
      <w:r w:rsidRPr="007F6CF5">
        <w:t xml:space="preserve"> </w:t>
      </w:r>
      <w:r>
        <w:t>the benefits exceed the costs,</w:t>
      </w:r>
      <w:r w:rsidRPr="007F6CF5">
        <w:t xml:space="preserve"> the Australian Energy Regulator </w:t>
      </w:r>
      <w:r>
        <w:t>should:</w:t>
      </w:r>
    </w:p>
    <w:p w:rsidR="00577C2D" w:rsidRDefault="00577C2D" w:rsidP="00577C2D">
      <w:pPr>
        <w:pStyle w:val="RecBullet"/>
      </w:pPr>
      <w:r w:rsidRPr="007F6CF5">
        <w:t>approve the required revenue for the distribution business to install the necessary equipment</w:t>
      </w:r>
    </w:p>
    <w:p w:rsidR="00577C2D" w:rsidRPr="007F6CF5" w:rsidRDefault="00577C2D" w:rsidP="00577C2D">
      <w:pPr>
        <w:pStyle w:val="RecBullet"/>
      </w:pPr>
      <w:r>
        <w:t>require compliance</w:t>
      </w:r>
      <w:r w:rsidRPr="007F6CF5">
        <w:t xml:space="preserve"> as soon as possible.</w:t>
      </w:r>
    </w:p>
    <w:p w:rsidR="001338D0" w:rsidRDefault="001338D0">
      <w:pPr>
        <w:rPr>
          <w:szCs w:val="20"/>
        </w:rPr>
      </w:pPr>
    </w:p>
    <w:sectPr w:rsidR="001338D0" w:rsidSect="00E43181">
      <w:headerReference w:type="even" r:id="rId13"/>
      <w:headerReference w:type="default" r:id="rId14"/>
      <w:footerReference w:type="even" r:id="rId15"/>
      <w:footerReference w:type="default" r:id="rId16"/>
      <w:pgSz w:w="11907" w:h="16840" w:code="9"/>
      <w:pgMar w:top="1985" w:right="1304" w:bottom="1418" w:left="1814" w:header="1701" w:footer="567" w:gutter="0"/>
      <w:pgNumType w:start="53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128" w:rsidRDefault="00EF3128">
      <w:r>
        <w:separator/>
      </w:r>
    </w:p>
  </w:endnote>
  <w:endnote w:type="continuationSeparator" w:id="0">
    <w:p w:rsidR="00EF3128" w:rsidRDefault="00EF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F3128">
      <w:trPr>
        <w:trHeight w:hRule="exact" w:val="740"/>
      </w:trPr>
      <w:tc>
        <w:tcPr>
          <w:tcW w:w="510" w:type="dxa"/>
          <w:tcBorders>
            <w:top w:val="single" w:sz="6" w:space="0" w:color="auto"/>
          </w:tcBorders>
        </w:tcPr>
        <w:p w:rsidR="00EF3128" w:rsidRDefault="00EF3128"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37DA5">
            <w:rPr>
              <w:rStyle w:val="PageNumber"/>
              <w:noProof/>
            </w:rPr>
            <w:t>570</w:t>
          </w:r>
          <w:r>
            <w:rPr>
              <w:rStyle w:val="PageNumber"/>
            </w:rPr>
            <w:fldChar w:fldCharType="end"/>
          </w:r>
        </w:p>
      </w:tc>
      <w:tc>
        <w:tcPr>
          <w:tcW w:w="1644" w:type="dxa"/>
          <w:tcBorders>
            <w:top w:val="single" w:sz="6" w:space="0" w:color="auto"/>
          </w:tcBorders>
        </w:tcPr>
        <w:p w:rsidR="00EF3128" w:rsidRDefault="00437DA5" w:rsidP="0019293B">
          <w:pPr>
            <w:pStyle w:val="Footer"/>
          </w:pPr>
          <w:r>
            <w:fldChar w:fldCharType="begin"/>
          </w:r>
          <w:r>
            <w:instrText xml:space="preserve"> SUBJECT  \* MERGEFORMAT </w:instrText>
          </w:r>
          <w:r>
            <w:fldChar w:fldCharType="separate"/>
          </w:r>
          <w:r w:rsidR="00EF3128">
            <w:t>Electricity Network Regulation</w:t>
          </w:r>
          <w:r>
            <w:fldChar w:fldCharType="end"/>
          </w:r>
        </w:p>
      </w:tc>
      <w:tc>
        <w:tcPr>
          <w:tcW w:w="6634" w:type="dxa"/>
        </w:tcPr>
        <w:p w:rsidR="00EF3128" w:rsidRDefault="00EF3128" w:rsidP="0019293B">
          <w:pPr>
            <w:pStyle w:val="Footer"/>
          </w:pPr>
        </w:p>
      </w:tc>
    </w:tr>
  </w:tbl>
  <w:p w:rsidR="00EF3128" w:rsidRDefault="00EF312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F3128">
      <w:trPr>
        <w:trHeight w:hRule="exact" w:val="740"/>
      </w:trPr>
      <w:tc>
        <w:tcPr>
          <w:tcW w:w="6634" w:type="dxa"/>
        </w:tcPr>
        <w:p w:rsidR="00EF3128" w:rsidRDefault="00EF3128">
          <w:pPr>
            <w:pStyle w:val="Footer"/>
            <w:ind w:right="360" w:firstLine="360"/>
          </w:pPr>
        </w:p>
      </w:tc>
      <w:tc>
        <w:tcPr>
          <w:tcW w:w="1644" w:type="dxa"/>
          <w:tcBorders>
            <w:top w:val="single" w:sz="6" w:space="0" w:color="auto"/>
          </w:tcBorders>
        </w:tcPr>
        <w:p w:rsidR="00EF3128" w:rsidRDefault="00437DA5">
          <w:pPr>
            <w:pStyle w:val="Footer"/>
          </w:pPr>
          <w:r>
            <w:fldChar w:fldCharType="begin"/>
          </w:r>
          <w:r>
            <w:instrText xml:space="preserve"> TITLE  \* MERGEFORMAT </w:instrText>
          </w:r>
          <w:r>
            <w:fldChar w:fldCharType="separate"/>
          </w:r>
          <w:r w:rsidR="00EF3128">
            <w:t xml:space="preserve">Distribution reliability </w:t>
          </w:r>
          <w:r>
            <w:fldChar w:fldCharType="end"/>
          </w:r>
        </w:p>
      </w:tc>
      <w:tc>
        <w:tcPr>
          <w:tcW w:w="510" w:type="dxa"/>
          <w:tcBorders>
            <w:top w:val="single" w:sz="6" w:space="0" w:color="auto"/>
          </w:tcBorders>
        </w:tcPr>
        <w:p w:rsidR="00EF3128" w:rsidRDefault="00EF3128">
          <w:pPr>
            <w:pStyle w:val="Footer"/>
            <w:jc w:val="right"/>
          </w:pPr>
          <w:r>
            <w:rPr>
              <w:rStyle w:val="PageNumber"/>
            </w:rPr>
            <w:fldChar w:fldCharType="begin"/>
          </w:r>
          <w:r>
            <w:rPr>
              <w:rStyle w:val="PageNumber"/>
            </w:rPr>
            <w:instrText xml:space="preserve">PAGE  </w:instrText>
          </w:r>
          <w:r>
            <w:rPr>
              <w:rStyle w:val="PageNumber"/>
            </w:rPr>
            <w:fldChar w:fldCharType="separate"/>
          </w:r>
          <w:r w:rsidR="00437DA5">
            <w:rPr>
              <w:rStyle w:val="PageNumber"/>
              <w:noProof/>
            </w:rPr>
            <w:t>539</w:t>
          </w:r>
          <w:r>
            <w:rPr>
              <w:rStyle w:val="PageNumber"/>
            </w:rPr>
            <w:fldChar w:fldCharType="end"/>
          </w:r>
        </w:p>
      </w:tc>
    </w:tr>
  </w:tbl>
  <w:p w:rsidR="00EF3128" w:rsidRDefault="00EF312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128" w:rsidRDefault="00EF3128">
      <w:r>
        <w:separator/>
      </w:r>
    </w:p>
  </w:footnote>
  <w:footnote w:type="continuationSeparator" w:id="0">
    <w:p w:rsidR="00EF3128" w:rsidRDefault="00EF3128">
      <w:r>
        <w:continuationSeparator/>
      </w:r>
    </w:p>
  </w:footnote>
  <w:footnote w:id="1">
    <w:p w:rsidR="00EF3128" w:rsidRDefault="00EF3128">
      <w:pPr>
        <w:pStyle w:val="FootnoteText"/>
      </w:pPr>
      <w:r>
        <w:rPr>
          <w:rStyle w:val="FootnoteReference"/>
        </w:rPr>
        <w:footnoteRef/>
      </w:r>
      <w:r>
        <w:tab/>
        <w:t xml:space="preserve">For example, the Brattle Group (2012a) compared average SAIDI results for the NEM with Italy, New Zealand, the Netherlands, New York, the United Kingdom and California to find that performance had shown no trend anywhere except in Italy where reliability appears to be improving. </w:t>
      </w:r>
    </w:p>
  </w:footnote>
  <w:footnote w:id="2">
    <w:p w:rsidR="00EF3128" w:rsidRPr="002E6E2C" w:rsidRDefault="00EF3128">
      <w:pPr>
        <w:pStyle w:val="FootnoteText"/>
        <w:rPr>
          <w:b/>
        </w:rPr>
      </w:pPr>
      <w:r>
        <w:rPr>
          <w:rStyle w:val="FootnoteReference"/>
        </w:rPr>
        <w:footnoteRef/>
      </w:r>
      <w:r>
        <w:tab/>
        <w:t>R</w:t>
      </w:r>
      <w:r w:rsidRPr="00B148E1">
        <w:t>edundancy involves the duplication of critical</w:t>
      </w:r>
      <w:r>
        <w:t xml:space="preserve"> components</w:t>
      </w:r>
      <w:r w:rsidRPr="00B148E1">
        <w:t xml:space="preserve"> to reduce the likelihood that a fault or failure </w:t>
      </w:r>
      <w:r>
        <w:t xml:space="preserve">will </w:t>
      </w:r>
      <w:r w:rsidRPr="00B148E1">
        <w:t>cause an outage to occur.</w:t>
      </w:r>
    </w:p>
  </w:footnote>
  <w:footnote w:id="3">
    <w:p w:rsidR="00EF3128" w:rsidRDefault="00EF3128" w:rsidP="00E27973">
      <w:pPr>
        <w:pStyle w:val="FootnoteText"/>
      </w:pPr>
      <w:r>
        <w:rPr>
          <w:rStyle w:val="FootnoteReference"/>
        </w:rPr>
        <w:footnoteRef/>
      </w:r>
      <w:r>
        <w:tab/>
        <w:t xml:space="preserve">Operational actions might include diverting supply through another route or temporarily running equipment at a higher rate of utilisation until the fault can be rectified. </w:t>
      </w:r>
    </w:p>
  </w:footnote>
  <w:footnote w:id="4">
    <w:p w:rsidR="00EF3128" w:rsidRDefault="00EF3128" w:rsidP="00E27973">
      <w:pPr>
        <w:pStyle w:val="FootnoteText"/>
      </w:pPr>
      <w:r>
        <w:rPr>
          <w:rStyle w:val="FootnoteReference"/>
        </w:rPr>
        <w:footnoteRef/>
      </w:r>
      <w:r>
        <w:tab/>
        <w:t>For example, the Panel recommended</w:t>
      </w:r>
      <w:r w:rsidRPr="000C12AC">
        <w:t xml:space="preserve">, </w:t>
      </w:r>
      <w:r>
        <w:t>‘</w:t>
      </w:r>
      <w:r w:rsidRPr="000C12AC">
        <w:t xml:space="preserve">that for assets as important as </w:t>
      </w:r>
      <w:r>
        <w:t xml:space="preserve">bulk supply sub-stations, “N-1” </w:t>
      </w:r>
      <w:r w:rsidRPr="000C12AC">
        <w:t>should be the standard used</w:t>
      </w:r>
      <w:r>
        <w:t>’(p. 15)</w:t>
      </w:r>
      <w:r w:rsidRPr="000C12AC">
        <w:t>.</w:t>
      </w:r>
    </w:p>
  </w:footnote>
  <w:footnote w:id="5">
    <w:p w:rsidR="00EF3128" w:rsidRDefault="00EF3128">
      <w:pPr>
        <w:pStyle w:val="FootnoteText"/>
      </w:pPr>
      <w:r>
        <w:rPr>
          <w:rStyle w:val="FootnoteReference"/>
        </w:rPr>
        <w:footnoteRef/>
      </w:r>
      <w:r>
        <w:t xml:space="preserve"> In the ACT, these are minimum standards and the business can set higher targets. </w:t>
      </w:r>
    </w:p>
  </w:footnote>
  <w:footnote w:id="6">
    <w:p w:rsidR="00EF3128" w:rsidRDefault="00EF3128">
      <w:pPr>
        <w:pStyle w:val="FootnoteText"/>
      </w:pPr>
      <w:r>
        <w:rPr>
          <w:rStyle w:val="FootnoteReference"/>
        </w:rPr>
        <w:footnoteRef/>
      </w:r>
      <w:r>
        <w:tab/>
        <w:t xml:space="preserve">Some distribution businesses are excluded from meeting MAIFI targets if they can show that they do not have the capabilities to measure and report on momentary interruptions and the costs of installing the required equipment are expected to outweigh the benefits. </w:t>
      </w:r>
    </w:p>
  </w:footnote>
  <w:footnote w:id="7">
    <w:p w:rsidR="00EF3128" w:rsidRDefault="00EF3128">
      <w:pPr>
        <w:pStyle w:val="FootnoteText"/>
      </w:pPr>
      <w:r>
        <w:rPr>
          <w:rStyle w:val="FootnoteReference"/>
        </w:rPr>
        <w:footnoteRef/>
      </w:r>
      <w:r>
        <w:tab/>
        <w:t>That is, where unplanned SAIDI is more than 2.5 standard deviations from the mean of the log normal distribution of five regulatory years’ SAIDI data.</w:t>
      </w:r>
    </w:p>
  </w:footnote>
  <w:footnote w:id="8">
    <w:p w:rsidR="00EF3128" w:rsidRDefault="00EF3128">
      <w:pPr>
        <w:pStyle w:val="FootnoteText"/>
      </w:pPr>
      <w:r>
        <w:rPr>
          <w:rStyle w:val="FootnoteReference"/>
        </w:rPr>
        <w:footnoteRef/>
      </w:r>
      <w:r>
        <w:tab/>
        <w:t xml:space="preserve">Specifically, proposals called for the threshold to be raised from the current (minimum) 2.5 standard deviations, up to 3.5 standard deviations. </w:t>
      </w:r>
    </w:p>
  </w:footnote>
  <w:footnote w:id="9">
    <w:p w:rsidR="00EF3128" w:rsidRDefault="00EF3128" w:rsidP="00826FFA">
      <w:pPr>
        <w:pStyle w:val="FootnoteText"/>
      </w:pPr>
      <w:r>
        <w:rPr>
          <w:rStyle w:val="FootnoteReference"/>
        </w:rPr>
        <w:footnoteRef/>
      </w:r>
      <w:r>
        <w:tab/>
      </w:r>
      <w:r w:rsidRPr="005E1BD2">
        <w:t>Distribution businesses do not have to make payments when they are not responsible for missing a target (for example, due to transmission failure).</w:t>
      </w:r>
    </w:p>
  </w:footnote>
  <w:footnote w:id="10">
    <w:p w:rsidR="00EF3128" w:rsidRDefault="00EF3128" w:rsidP="00417066">
      <w:pPr>
        <w:pStyle w:val="FootnoteText"/>
      </w:pPr>
      <w:r>
        <w:rPr>
          <w:rStyle w:val="FootnoteReference"/>
        </w:rPr>
        <w:footnoteRef/>
      </w:r>
      <w:r>
        <w:t xml:space="preserve"> While this arm’s length approach is appropriate for distribution businesses, which can be encouraged to deliver reliability through the use of incentives, it is not appropriate for transmission networks where transmission specific characteristics (box 15.3) require a more ‘hands on’ approach to NEM-wide transmission planning. </w:t>
      </w:r>
    </w:p>
  </w:footnote>
  <w:footnote w:id="11">
    <w:p w:rsidR="00EF3128" w:rsidRDefault="00EF3128">
      <w:pPr>
        <w:pStyle w:val="FootnoteText"/>
      </w:pPr>
      <w:r>
        <w:rPr>
          <w:rStyle w:val="FootnoteReference"/>
        </w:rPr>
        <w:footnoteRef/>
      </w:r>
      <w:r>
        <w:t xml:space="preserve"> The ‘extreme’ scenario was expected to result in 15 more minutes of outage a year. IPART (2012</w:t>
      </w:r>
      <w:r w:rsidR="00866172">
        <w:t>d</w:t>
      </w:r>
      <w:r>
        <w:t>) suggested the AEMC use more objective descriptors for the scenarios (p. 3).</w:t>
      </w:r>
    </w:p>
  </w:footnote>
  <w:footnote w:id="12">
    <w:p w:rsidR="00EF3128" w:rsidRDefault="00EF3128">
      <w:pPr>
        <w:pStyle w:val="FootnoteText"/>
      </w:pPr>
      <w:r>
        <w:rPr>
          <w:rStyle w:val="FootnoteReference"/>
        </w:rPr>
        <w:footnoteRef/>
      </w:r>
      <w:r>
        <w:t xml:space="preserve"> For example, Jamasb et al. 2010 estimate marginal cost curves for UK electricity distribution companies at an aggregate level.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F3128">
      <w:tc>
        <w:tcPr>
          <w:tcW w:w="2155" w:type="dxa"/>
          <w:tcBorders>
            <w:top w:val="single" w:sz="24" w:space="0" w:color="auto"/>
          </w:tcBorders>
        </w:tcPr>
        <w:p w:rsidR="00EF3128" w:rsidRDefault="00EF3128" w:rsidP="0019293B">
          <w:pPr>
            <w:pStyle w:val="HeaderEven"/>
          </w:pPr>
        </w:p>
      </w:tc>
      <w:tc>
        <w:tcPr>
          <w:tcW w:w="6634" w:type="dxa"/>
          <w:tcBorders>
            <w:top w:val="single" w:sz="6" w:space="0" w:color="auto"/>
          </w:tcBorders>
        </w:tcPr>
        <w:p w:rsidR="00EF3128" w:rsidRDefault="00EF3128" w:rsidP="0019293B">
          <w:pPr>
            <w:pStyle w:val="HeaderEven"/>
          </w:pPr>
        </w:p>
      </w:tc>
    </w:tr>
  </w:tbl>
  <w:p w:rsidR="00EF3128" w:rsidRDefault="00EF312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F3128">
      <w:tc>
        <w:tcPr>
          <w:tcW w:w="6634" w:type="dxa"/>
          <w:tcBorders>
            <w:top w:val="single" w:sz="6" w:space="0" w:color="auto"/>
          </w:tcBorders>
        </w:tcPr>
        <w:p w:rsidR="00EF3128" w:rsidRDefault="00EF3128" w:rsidP="00E669E2">
          <w:pPr>
            <w:pStyle w:val="HeaderOdd"/>
          </w:pPr>
        </w:p>
      </w:tc>
      <w:tc>
        <w:tcPr>
          <w:tcW w:w="2155" w:type="dxa"/>
          <w:tcBorders>
            <w:top w:val="single" w:sz="24" w:space="0" w:color="auto"/>
          </w:tcBorders>
        </w:tcPr>
        <w:p w:rsidR="00EF3128" w:rsidRDefault="00EF3128" w:rsidP="00E669E2">
          <w:pPr>
            <w:pStyle w:val="HeaderOdd"/>
          </w:pPr>
        </w:p>
      </w:tc>
    </w:tr>
  </w:tbl>
  <w:p w:rsidR="00EF3128" w:rsidRDefault="00EF312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5AF1CA"/>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1541975"/>
    <w:multiLevelType w:val="hybridMultilevel"/>
    <w:tmpl w:val="41AA64C8"/>
    <w:lvl w:ilvl="0" w:tplc="8768491C">
      <w:start w:val="16"/>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5025159"/>
    <w:multiLevelType w:val="hybridMultilevel"/>
    <w:tmpl w:val="D60036F6"/>
    <w:lvl w:ilvl="0" w:tplc="0C090001">
      <w:start w:val="16"/>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29E70F4"/>
    <w:multiLevelType w:val="hybridMultilevel"/>
    <w:tmpl w:val="031EE5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EA7319C"/>
    <w:multiLevelType w:val="hybridMultilevel"/>
    <w:tmpl w:val="9FC03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3">
    <w:nsid w:val="2411654A"/>
    <w:multiLevelType w:val="hybridMultilevel"/>
    <w:tmpl w:val="72E63C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46444E7"/>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33C25E90"/>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7">
    <w:nsid w:val="39385E64"/>
    <w:multiLevelType w:val="hybridMultilevel"/>
    <w:tmpl w:val="F1B44A7C"/>
    <w:lvl w:ilvl="0" w:tplc="0C090001">
      <w:start w:val="50"/>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A895AC4"/>
    <w:multiLevelType w:val="hybridMultilevel"/>
    <w:tmpl w:val="853A7A10"/>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0BD5D81"/>
    <w:multiLevelType w:val="hybridMultilevel"/>
    <w:tmpl w:val="9FC03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5380277C"/>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62AB0A71"/>
    <w:multiLevelType w:val="hybridMultilevel"/>
    <w:tmpl w:val="BB92816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6">
    <w:nsid w:val="77FD6D75"/>
    <w:multiLevelType w:val="hybridMultilevel"/>
    <w:tmpl w:val="9FC03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9">
    <w:nsid w:val="7E112D25"/>
    <w:multiLevelType w:val="hybridMultilevel"/>
    <w:tmpl w:val="543E378C"/>
    <w:lvl w:ilvl="0" w:tplc="F258D978">
      <w:start w:val="1"/>
      <w:numFmt w:val="bullet"/>
      <w:lvlText w:val="-"/>
      <w:lvlJc w:val="left"/>
      <w:pPr>
        <w:ind w:left="425" w:hanging="360"/>
      </w:pPr>
      <w:rPr>
        <w:rFonts w:ascii="Times New Roman" w:eastAsia="Times New Roman" w:hAnsi="Times New Roman" w:cs="Times New Roman" w:hint="default"/>
      </w:rPr>
    </w:lvl>
    <w:lvl w:ilvl="1" w:tplc="0C090003" w:tentative="1">
      <w:start w:val="1"/>
      <w:numFmt w:val="bullet"/>
      <w:lvlText w:val="o"/>
      <w:lvlJc w:val="left"/>
      <w:pPr>
        <w:ind w:left="1145" w:hanging="360"/>
      </w:pPr>
      <w:rPr>
        <w:rFonts w:ascii="Courier New" w:hAnsi="Courier New" w:cs="Courier New" w:hint="default"/>
      </w:rPr>
    </w:lvl>
    <w:lvl w:ilvl="2" w:tplc="0C090005" w:tentative="1">
      <w:start w:val="1"/>
      <w:numFmt w:val="bullet"/>
      <w:lvlText w:val=""/>
      <w:lvlJc w:val="left"/>
      <w:pPr>
        <w:ind w:left="1865" w:hanging="360"/>
      </w:pPr>
      <w:rPr>
        <w:rFonts w:ascii="Wingdings" w:hAnsi="Wingdings" w:hint="default"/>
      </w:rPr>
    </w:lvl>
    <w:lvl w:ilvl="3" w:tplc="0C090001" w:tentative="1">
      <w:start w:val="1"/>
      <w:numFmt w:val="bullet"/>
      <w:lvlText w:val=""/>
      <w:lvlJc w:val="left"/>
      <w:pPr>
        <w:ind w:left="2585" w:hanging="360"/>
      </w:pPr>
      <w:rPr>
        <w:rFonts w:ascii="Symbol" w:hAnsi="Symbol" w:hint="default"/>
      </w:rPr>
    </w:lvl>
    <w:lvl w:ilvl="4" w:tplc="0C090003" w:tentative="1">
      <w:start w:val="1"/>
      <w:numFmt w:val="bullet"/>
      <w:lvlText w:val="o"/>
      <w:lvlJc w:val="left"/>
      <w:pPr>
        <w:ind w:left="3305" w:hanging="360"/>
      </w:pPr>
      <w:rPr>
        <w:rFonts w:ascii="Courier New" w:hAnsi="Courier New" w:cs="Courier New" w:hint="default"/>
      </w:rPr>
    </w:lvl>
    <w:lvl w:ilvl="5" w:tplc="0C090005" w:tentative="1">
      <w:start w:val="1"/>
      <w:numFmt w:val="bullet"/>
      <w:lvlText w:val=""/>
      <w:lvlJc w:val="left"/>
      <w:pPr>
        <w:ind w:left="4025" w:hanging="360"/>
      </w:pPr>
      <w:rPr>
        <w:rFonts w:ascii="Wingdings" w:hAnsi="Wingdings" w:hint="default"/>
      </w:rPr>
    </w:lvl>
    <w:lvl w:ilvl="6" w:tplc="0C090001" w:tentative="1">
      <w:start w:val="1"/>
      <w:numFmt w:val="bullet"/>
      <w:lvlText w:val=""/>
      <w:lvlJc w:val="left"/>
      <w:pPr>
        <w:ind w:left="4745" w:hanging="360"/>
      </w:pPr>
      <w:rPr>
        <w:rFonts w:ascii="Symbol" w:hAnsi="Symbol" w:hint="default"/>
      </w:rPr>
    </w:lvl>
    <w:lvl w:ilvl="7" w:tplc="0C090003" w:tentative="1">
      <w:start w:val="1"/>
      <w:numFmt w:val="bullet"/>
      <w:lvlText w:val="o"/>
      <w:lvlJc w:val="left"/>
      <w:pPr>
        <w:ind w:left="5465" w:hanging="360"/>
      </w:pPr>
      <w:rPr>
        <w:rFonts w:ascii="Courier New" w:hAnsi="Courier New" w:cs="Courier New" w:hint="default"/>
      </w:rPr>
    </w:lvl>
    <w:lvl w:ilvl="8" w:tplc="0C090005" w:tentative="1">
      <w:start w:val="1"/>
      <w:numFmt w:val="bullet"/>
      <w:lvlText w:val=""/>
      <w:lvlJc w:val="left"/>
      <w:pPr>
        <w:ind w:left="6185" w:hanging="360"/>
      </w:pPr>
      <w:rPr>
        <w:rFonts w:ascii="Wingdings" w:hAnsi="Wingdings" w:hint="default"/>
      </w:rPr>
    </w:lvl>
  </w:abstractNum>
  <w:abstractNum w:abstractNumId="30">
    <w:nsid w:val="7F7510A9"/>
    <w:multiLevelType w:val="hybridMultilevel"/>
    <w:tmpl w:val="F7B435E8"/>
    <w:lvl w:ilvl="0" w:tplc="4AC86DC8">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num w:numId="1">
    <w:abstractNumId w:val="15"/>
  </w:num>
  <w:num w:numId="2">
    <w:abstractNumId w:val="6"/>
  </w:num>
  <w:num w:numId="3">
    <w:abstractNumId w:val="27"/>
  </w:num>
  <w:num w:numId="4">
    <w:abstractNumId w:val="3"/>
  </w:num>
  <w:num w:numId="5">
    <w:abstractNumId w:val="21"/>
  </w:num>
  <w:num w:numId="6">
    <w:abstractNumId w:val="4"/>
  </w:num>
  <w:num w:numId="7">
    <w:abstractNumId w:val="25"/>
  </w:num>
  <w:num w:numId="8">
    <w:abstractNumId w:val="23"/>
  </w:num>
  <w:num w:numId="9">
    <w:abstractNumId w:val="28"/>
  </w:num>
  <w:num w:numId="10">
    <w:abstractNumId w:val="9"/>
  </w:num>
  <w:num w:numId="11">
    <w:abstractNumId w:val="22"/>
  </w:num>
  <w:num w:numId="12">
    <w:abstractNumId w:val="8"/>
  </w:num>
  <w:num w:numId="13">
    <w:abstractNumId w:val="7"/>
  </w:num>
  <w:num w:numId="14">
    <w:abstractNumId w:val="12"/>
  </w:num>
  <w:num w:numId="15">
    <w:abstractNumId w:val="29"/>
  </w:num>
  <w:num w:numId="16">
    <w:abstractNumId w:val="10"/>
  </w:num>
  <w:num w:numId="17">
    <w:abstractNumId w:val="17"/>
  </w:num>
  <w:num w:numId="18">
    <w:abstractNumId w:val="5"/>
  </w:num>
  <w:num w:numId="19">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0">
    <w:abstractNumId w:val="2"/>
  </w:num>
  <w:num w:numId="21">
    <w:abstractNumId w:val="0"/>
  </w:num>
  <w:num w:numId="22">
    <w:abstractNumId w:val="11"/>
  </w:num>
  <w:num w:numId="23">
    <w:abstractNumId w:val="19"/>
  </w:num>
  <w:num w:numId="24">
    <w:abstractNumId w:val="24"/>
  </w:num>
  <w:num w:numId="25">
    <w:abstractNumId w:val="13"/>
  </w:num>
  <w:num w:numId="26">
    <w:abstractNumId w:val="26"/>
  </w:num>
  <w:num w:numId="27">
    <w:abstractNumId w:val="16"/>
  </w:num>
  <w:num w:numId="28">
    <w:abstractNumId w:val="18"/>
  </w:num>
  <w:num w:numId="29">
    <w:abstractNumId w:val="14"/>
  </w:num>
  <w:num w:numId="30">
    <w:abstractNumId w:val="30"/>
  </w:num>
  <w:num w:numId="31">
    <w:abstractNumId w:val="20"/>
  </w:num>
  <w:num w:numId="32">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Distribution reliability "/>
    <w:docVar w:name="ShortReportTitle" w:val="Electricity Network Regulation"/>
  </w:docVars>
  <w:rsids>
    <w:rsidRoot w:val="000C25BA"/>
    <w:rsid w:val="0000131F"/>
    <w:rsid w:val="00015197"/>
    <w:rsid w:val="00021535"/>
    <w:rsid w:val="000245AA"/>
    <w:rsid w:val="0002638A"/>
    <w:rsid w:val="00027758"/>
    <w:rsid w:val="00032D83"/>
    <w:rsid w:val="00034168"/>
    <w:rsid w:val="000348A4"/>
    <w:rsid w:val="0003664B"/>
    <w:rsid w:val="0004111F"/>
    <w:rsid w:val="00051787"/>
    <w:rsid w:val="00053447"/>
    <w:rsid w:val="000565B3"/>
    <w:rsid w:val="00057D54"/>
    <w:rsid w:val="00061015"/>
    <w:rsid w:val="000650AE"/>
    <w:rsid w:val="0006773D"/>
    <w:rsid w:val="000709CF"/>
    <w:rsid w:val="0007150B"/>
    <w:rsid w:val="00075726"/>
    <w:rsid w:val="00082489"/>
    <w:rsid w:val="00083C78"/>
    <w:rsid w:val="0008624D"/>
    <w:rsid w:val="000865CE"/>
    <w:rsid w:val="00090269"/>
    <w:rsid w:val="000912C8"/>
    <w:rsid w:val="000938F5"/>
    <w:rsid w:val="00093A99"/>
    <w:rsid w:val="00094746"/>
    <w:rsid w:val="00095AE8"/>
    <w:rsid w:val="00097AC7"/>
    <w:rsid w:val="000A5DDE"/>
    <w:rsid w:val="000B601B"/>
    <w:rsid w:val="000C04E1"/>
    <w:rsid w:val="000C12AC"/>
    <w:rsid w:val="000C207E"/>
    <w:rsid w:val="000C25BA"/>
    <w:rsid w:val="000C429C"/>
    <w:rsid w:val="000D0B8C"/>
    <w:rsid w:val="000D4AED"/>
    <w:rsid w:val="000D5645"/>
    <w:rsid w:val="000D7ACB"/>
    <w:rsid w:val="000E041C"/>
    <w:rsid w:val="000E0EF8"/>
    <w:rsid w:val="000E1BA6"/>
    <w:rsid w:val="000E256F"/>
    <w:rsid w:val="000E31B2"/>
    <w:rsid w:val="000E414D"/>
    <w:rsid w:val="000E6E8E"/>
    <w:rsid w:val="000F2441"/>
    <w:rsid w:val="000F420F"/>
    <w:rsid w:val="00110116"/>
    <w:rsid w:val="0012248A"/>
    <w:rsid w:val="00126EB8"/>
    <w:rsid w:val="001274D4"/>
    <w:rsid w:val="00133479"/>
    <w:rsid w:val="001338D0"/>
    <w:rsid w:val="00135A29"/>
    <w:rsid w:val="001363AA"/>
    <w:rsid w:val="0013784E"/>
    <w:rsid w:val="0014164E"/>
    <w:rsid w:val="001552F7"/>
    <w:rsid w:val="00161662"/>
    <w:rsid w:val="00165B6F"/>
    <w:rsid w:val="00165D22"/>
    <w:rsid w:val="00166825"/>
    <w:rsid w:val="00171D27"/>
    <w:rsid w:val="001767F6"/>
    <w:rsid w:val="00183E82"/>
    <w:rsid w:val="001859D8"/>
    <w:rsid w:val="00186965"/>
    <w:rsid w:val="00190EAF"/>
    <w:rsid w:val="00191AE0"/>
    <w:rsid w:val="0019293B"/>
    <w:rsid w:val="00194CE3"/>
    <w:rsid w:val="00196C2C"/>
    <w:rsid w:val="00197F95"/>
    <w:rsid w:val="001A1669"/>
    <w:rsid w:val="001A5864"/>
    <w:rsid w:val="001A61D0"/>
    <w:rsid w:val="001A655D"/>
    <w:rsid w:val="001A6645"/>
    <w:rsid w:val="001A69FD"/>
    <w:rsid w:val="001B321A"/>
    <w:rsid w:val="001B619D"/>
    <w:rsid w:val="001B6EA9"/>
    <w:rsid w:val="001C0865"/>
    <w:rsid w:val="001C2BF1"/>
    <w:rsid w:val="001C3ABA"/>
    <w:rsid w:val="001C3BD9"/>
    <w:rsid w:val="001C60A5"/>
    <w:rsid w:val="001D2E81"/>
    <w:rsid w:val="001D383D"/>
    <w:rsid w:val="001E2916"/>
    <w:rsid w:val="001E4B95"/>
    <w:rsid w:val="001E7BE8"/>
    <w:rsid w:val="001F0248"/>
    <w:rsid w:val="001F0C57"/>
    <w:rsid w:val="001F1376"/>
    <w:rsid w:val="001F204B"/>
    <w:rsid w:val="001F2AEB"/>
    <w:rsid w:val="001F3EB3"/>
    <w:rsid w:val="00202C2C"/>
    <w:rsid w:val="00205F05"/>
    <w:rsid w:val="00217B7C"/>
    <w:rsid w:val="00225902"/>
    <w:rsid w:val="0023452B"/>
    <w:rsid w:val="002358EE"/>
    <w:rsid w:val="00242279"/>
    <w:rsid w:val="00243187"/>
    <w:rsid w:val="00244084"/>
    <w:rsid w:val="00245C82"/>
    <w:rsid w:val="00245CBD"/>
    <w:rsid w:val="00250A5B"/>
    <w:rsid w:val="00250FA3"/>
    <w:rsid w:val="00253538"/>
    <w:rsid w:val="0025626D"/>
    <w:rsid w:val="002565B0"/>
    <w:rsid w:val="002574A9"/>
    <w:rsid w:val="00257CF5"/>
    <w:rsid w:val="00261A83"/>
    <w:rsid w:val="0026267B"/>
    <w:rsid w:val="002653F0"/>
    <w:rsid w:val="00265AE6"/>
    <w:rsid w:val="0026627A"/>
    <w:rsid w:val="002708D2"/>
    <w:rsid w:val="0027351C"/>
    <w:rsid w:val="002745F6"/>
    <w:rsid w:val="00275A3D"/>
    <w:rsid w:val="00280C17"/>
    <w:rsid w:val="0028113B"/>
    <w:rsid w:val="00285A5C"/>
    <w:rsid w:val="00285D2A"/>
    <w:rsid w:val="00291B40"/>
    <w:rsid w:val="00295380"/>
    <w:rsid w:val="00296D0D"/>
    <w:rsid w:val="002A7C10"/>
    <w:rsid w:val="002A7F92"/>
    <w:rsid w:val="002B3045"/>
    <w:rsid w:val="002B4008"/>
    <w:rsid w:val="002B4FAD"/>
    <w:rsid w:val="002B7B92"/>
    <w:rsid w:val="002C00A2"/>
    <w:rsid w:val="002C2288"/>
    <w:rsid w:val="002D0CC5"/>
    <w:rsid w:val="002D0E8E"/>
    <w:rsid w:val="002D5FB3"/>
    <w:rsid w:val="002D68A7"/>
    <w:rsid w:val="002D7263"/>
    <w:rsid w:val="002E0354"/>
    <w:rsid w:val="002E131D"/>
    <w:rsid w:val="002E25F1"/>
    <w:rsid w:val="002E46E8"/>
    <w:rsid w:val="002E6E2C"/>
    <w:rsid w:val="002F177B"/>
    <w:rsid w:val="002F54E6"/>
    <w:rsid w:val="002F5CB9"/>
    <w:rsid w:val="00301189"/>
    <w:rsid w:val="0030305E"/>
    <w:rsid w:val="00304666"/>
    <w:rsid w:val="00306229"/>
    <w:rsid w:val="00310D59"/>
    <w:rsid w:val="0031151A"/>
    <w:rsid w:val="00314242"/>
    <w:rsid w:val="00321A74"/>
    <w:rsid w:val="00323E09"/>
    <w:rsid w:val="00333932"/>
    <w:rsid w:val="00335F72"/>
    <w:rsid w:val="00340E4C"/>
    <w:rsid w:val="00342B01"/>
    <w:rsid w:val="00342E48"/>
    <w:rsid w:val="00350867"/>
    <w:rsid w:val="003518AA"/>
    <w:rsid w:val="00352165"/>
    <w:rsid w:val="0035258E"/>
    <w:rsid w:val="00352A5D"/>
    <w:rsid w:val="00353182"/>
    <w:rsid w:val="00353499"/>
    <w:rsid w:val="00353D04"/>
    <w:rsid w:val="003565D9"/>
    <w:rsid w:val="003602E1"/>
    <w:rsid w:val="003621B4"/>
    <w:rsid w:val="00365BD8"/>
    <w:rsid w:val="00367D71"/>
    <w:rsid w:val="0037026F"/>
    <w:rsid w:val="00370534"/>
    <w:rsid w:val="0037073F"/>
    <w:rsid w:val="00371240"/>
    <w:rsid w:val="00373C47"/>
    <w:rsid w:val="00374731"/>
    <w:rsid w:val="00380AFE"/>
    <w:rsid w:val="00380C95"/>
    <w:rsid w:val="00385D40"/>
    <w:rsid w:val="00386D73"/>
    <w:rsid w:val="0039033A"/>
    <w:rsid w:val="003919F9"/>
    <w:rsid w:val="00391A72"/>
    <w:rsid w:val="00392390"/>
    <w:rsid w:val="00392EE2"/>
    <w:rsid w:val="00397FDC"/>
    <w:rsid w:val="003A0C1F"/>
    <w:rsid w:val="003A2014"/>
    <w:rsid w:val="003A22EC"/>
    <w:rsid w:val="003B09BA"/>
    <w:rsid w:val="003B31FF"/>
    <w:rsid w:val="003B3481"/>
    <w:rsid w:val="003B3859"/>
    <w:rsid w:val="003C38B5"/>
    <w:rsid w:val="003C3BB3"/>
    <w:rsid w:val="003C5D99"/>
    <w:rsid w:val="003C69F3"/>
    <w:rsid w:val="003E1A04"/>
    <w:rsid w:val="003E2F59"/>
    <w:rsid w:val="003E589A"/>
    <w:rsid w:val="003F0789"/>
    <w:rsid w:val="003F3E85"/>
    <w:rsid w:val="00401882"/>
    <w:rsid w:val="00403909"/>
    <w:rsid w:val="004049C7"/>
    <w:rsid w:val="004100C8"/>
    <w:rsid w:val="00411DBD"/>
    <w:rsid w:val="00411FD1"/>
    <w:rsid w:val="00412ACE"/>
    <w:rsid w:val="00417066"/>
    <w:rsid w:val="00424A99"/>
    <w:rsid w:val="004272A2"/>
    <w:rsid w:val="00427F7C"/>
    <w:rsid w:val="00430B8C"/>
    <w:rsid w:val="00431249"/>
    <w:rsid w:val="00433076"/>
    <w:rsid w:val="00434C19"/>
    <w:rsid w:val="00437DA5"/>
    <w:rsid w:val="00437F5F"/>
    <w:rsid w:val="00441E99"/>
    <w:rsid w:val="004421FC"/>
    <w:rsid w:val="00445323"/>
    <w:rsid w:val="00447A7B"/>
    <w:rsid w:val="00450810"/>
    <w:rsid w:val="00452244"/>
    <w:rsid w:val="0045552A"/>
    <w:rsid w:val="00462035"/>
    <w:rsid w:val="004634FA"/>
    <w:rsid w:val="004725E7"/>
    <w:rsid w:val="00473F1A"/>
    <w:rsid w:val="00476B2B"/>
    <w:rsid w:val="00477144"/>
    <w:rsid w:val="00484D9A"/>
    <w:rsid w:val="00484EAA"/>
    <w:rsid w:val="00490F8B"/>
    <w:rsid w:val="00492479"/>
    <w:rsid w:val="0049459F"/>
    <w:rsid w:val="00494CBF"/>
    <w:rsid w:val="004979B5"/>
    <w:rsid w:val="004A38DD"/>
    <w:rsid w:val="004A7FC4"/>
    <w:rsid w:val="004B2F69"/>
    <w:rsid w:val="004B314C"/>
    <w:rsid w:val="004B42A7"/>
    <w:rsid w:val="004B43AE"/>
    <w:rsid w:val="004B5C2F"/>
    <w:rsid w:val="004B5D05"/>
    <w:rsid w:val="004B693B"/>
    <w:rsid w:val="004C30ED"/>
    <w:rsid w:val="004C451D"/>
    <w:rsid w:val="004D02E4"/>
    <w:rsid w:val="004D24E8"/>
    <w:rsid w:val="004D5675"/>
    <w:rsid w:val="004D638F"/>
    <w:rsid w:val="004D780D"/>
    <w:rsid w:val="004E0FC8"/>
    <w:rsid w:val="004E4F5B"/>
    <w:rsid w:val="004E4F79"/>
    <w:rsid w:val="004F2839"/>
    <w:rsid w:val="004F561D"/>
    <w:rsid w:val="004F744C"/>
    <w:rsid w:val="00502105"/>
    <w:rsid w:val="00506F9F"/>
    <w:rsid w:val="005122D2"/>
    <w:rsid w:val="005128AF"/>
    <w:rsid w:val="00520ACD"/>
    <w:rsid w:val="005210E0"/>
    <w:rsid w:val="00521D08"/>
    <w:rsid w:val="00521DF3"/>
    <w:rsid w:val="00523639"/>
    <w:rsid w:val="005266E6"/>
    <w:rsid w:val="00535112"/>
    <w:rsid w:val="005361A0"/>
    <w:rsid w:val="00536566"/>
    <w:rsid w:val="00540A78"/>
    <w:rsid w:val="00541322"/>
    <w:rsid w:val="00543ABD"/>
    <w:rsid w:val="005531A5"/>
    <w:rsid w:val="00553910"/>
    <w:rsid w:val="00556612"/>
    <w:rsid w:val="00557643"/>
    <w:rsid w:val="005604DE"/>
    <w:rsid w:val="00563011"/>
    <w:rsid w:val="00563501"/>
    <w:rsid w:val="00563ABF"/>
    <w:rsid w:val="00564B71"/>
    <w:rsid w:val="00564DEA"/>
    <w:rsid w:val="00566AC0"/>
    <w:rsid w:val="005748E3"/>
    <w:rsid w:val="00574F01"/>
    <w:rsid w:val="00577C2D"/>
    <w:rsid w:val="00583C39"/>
    <w:rsid w:val="00583E5C"/>
    <w:rsid w:val="00584ACD"/>
    <w:rsid w:val="00585699"/>
    <w:rsid w:val="00586CD3"/>
    <w:rsid w:val="0058742C"/>
    <w:rsid w:val="0058789F"/>
    <w:rsid w:val="005902A2"/>
    <w:rsid w:val="005909CF"/>
    <w:rsid w:val="00591E71"/>
    <w:rsid w:val="00593CC2"/>
    <w:rsid w:val="005A0D41"/>
    <w:rsid w:val="005A145E"/>
    <w:rsid w:val="005A1C16"/>
    <w:rsid w:val="005A2DE8"/>
    <w:rsid w:val="005A3988"/>
    <w:rsid w:val="005A4815"/>
    <w:rsid w:val="005B3E8B"/>
    <w:rsid w:val="005C069B"/>
    <w:rsid w:val="005C468C"/>
    <w:rsid w:val="005C4FEA"/>
    <w:rsid w:val="005C5010"/>
    <w:rsid w:val="005D0F90"/>
    <w:rsid w:val="005D5A26"/>
    <w:rsid w:val="005E1BD2"/>
    <w:rsid w:val="005F099B"/>
    <w:rsid w:val="005F4BA0"/>
    <w:rsid w:val="00607BF1"/>
    <w:rsid w:val="00612C93"/>
    <w:rsid w:val="00612D39"/>
    <w:rsid w:val="00613E7B"/>
    <w:rsid w:val="006216C2"/>
    <w:rsid w:val="00621FC8"/>
    <w:rsid w:val="00623CB9"/>
    <w:rsid w:val="006278C3"/>
    <w:rsid w:val="00630D4D"/>
    <w:rsid w:val="00632A74"/>
    <w:rsid w:val="00650C94"/>
    <w:rsid w:val="00656577"/>
    <w:rsid w:val="006568D0"/>
    <w:rsid w:val="00660A18"/>
    <w:rsid w:val="00662676"/>
    <w:rsid w:val="00663799"/>
    <w:rsid w:val="00681DFE"/>
    <w:rsid w:val="00684C3F"/>
    <w:rsid w:val="00694725"/>
    <w:rsid w:val="00697AB7"/>
    <w:rsid w:val="006A18B8"/>
    <w:rsid w:val="006A4384"/>
    <w:rsid w:val="006A4655"/>
    <w:rsid w:val="006B2B3C"/>
    <w:rsid w:val="006B52D7"/>
    <w:rsid w:val="006B7EE3"/>
    <w:rsid w:val="006C1D81"/>
    <w:rsid w:val="006C4F3E"/>
    <w:rsid w:val="006C62B7"/>
    <w:rsid w:val="006C7038"/>
    <w:rsid w:val="006D2E14"/>
    <w:rsid w:val="006D563F"/>
    <w:rsid w:val="006D7DDF"/>
    <w:rsid w:val="006E73EF"/>
    <w:rsid w:val="006F19DE"/>
    <w:rsid w:val="006F2CB1"/>
    <w:rsid w:val="0070615F"/>
    <w:rsid w:val="00707E04"/>
    <w:rsid w:val="00714D4D"/>
    <w:rsid w:val="00717A91"/>
    <w:rsid w:val="00721D0D"/>
    <w:rsid w:val="00723E26"/>
    <w:rsid w:val="00735A80"/>
    <w:rsid w:val="0073618D"/>
    <w:rsid w:val="0074356E"/>
    <w:rsid w:val="00743833"/>
    <w:rsid w:val="0074647B"/>
    <w:rsid w:val="00752192"/>
    <w:rsid w:val="00754BEB"/>
    <w:rsid w:val="007604BB"/>
    <w:rsid w:val="00764518"/>
    <w:rsid w:val="00767911"/>
    <w:rsid w:val="00770A81"/>
    <w:rsid w:val="007717A7"/>
    <w:rsid w:val="00774790"/>
    <w:rsid w:val="00774E80"/>
    <w:rsid w:val="00780E1B"/>
    <w:rsid w:val="00781D23"/>
    <w:rsid w:val="00783012"/>
    <w:rsid w:val="00785232"/>
    <w:rsid w:val="0079233C"/>
    <w:rsid w:val="00795DE2"/>
    <w:rsid w:val="007A21EB"/>
    <w:rsid w:val="007B1A93"/>
    <w:rsid w:val="007B4449"/>
    <w:rsid w:val="007B5DEE"/>
    <w:rsid w:val="007B65F6"/>
    <w:rsid w:val="007C11F4"/>
    <w:rsid w:val="007C1264"/>
    <w:rsid w:val="007C36C9"/>
    <w:rsid w:val="007C67B6"/>
    <w:rsid w:val="007C6E17"/>
    <w:rsid w:val="007D330C"/>
    <w:rsid w:val="007D3938"/>
    <w:rsid w:val="007D6401"/>
    <w:rsid w:val="007D6890"/>
    <w:rsid w:val="007D6E9A"/>
    <w:rsid w:val="007E01E4"/>
    <w:rsid w:val="007E093F"/>
    <w:rsid w:val="007E3168"/>
    <w:rsid w:val="007E73DB"/>
    <w:rsid w:val="007F2821"/>
    <w:rsid w:val="007F7107"/>
    <w:rsid w:val="007F7155"/>
    <w:rsid w:val="00802EAC"/>
    <w:rsid w:val="00806B0E"/>
    <w:rsid w:val="0081030F"/>
    <w:rsid w:val="00816750"/>
    <w:rsid w:val="00816D92"/>
    <w:rsid w:val="0082087D"/>
    <w:rsid w:val="00824969"/>
    <w:rsid w:val="008267AF"/>
    <w:rsid w:val="00826FFA"/>
    <w:rsid w:val="0083060A"/>
    <w:rsid w:val="00835B79"/>
    <w:rsid w:val="00837EF7"/>
    <w:rsid w:val="00842933"/>
    <w:rsid w:val="0084297A"/>
    <w:rsid w:val="008501DD"/>
    <w:rsid w:val="00851996"/>
    <w:rsid w:val="00852E9B"/>
    <w:rsid w:val="0085313D"/>
    <w:rsid w:val="008603B2"/>
    <w:rsid w:val="008607A5"/>
    <w:rsid w:val="0086082C"/>
    <w:rsid w:val="00864ADC"/>
    <w:rsid w:val="00866172"/>
    <w:rsid w:val="00880153"/>
    <w:rsid w:val="00880F97"/>
    <w:rsid w:val="0088133A"/>
    <w:rsid w:val="008918B1"/>
    <w:rsid w:val="0089285E"/>
    <w:rsid w:val="0089436C"/>
    <w:rsid w:val="00897B81"/>
    <w:rsid w:val="008A2BD0"/>
    <w:rsid w:val="008A64E2"/>
    <w:rsid w:val="008B6E69"/>
    <w:rsid w:val="008D2A96"/>
    <w:rsid w:val="008D365C"/>
    <w:rsid w:val="008D4BD4"/>
    <w:rsid w:val="008D64B5"/>
    <w:rsid w:val="008D7782"/>
    <w:rsid w:val="008E3066"/>
    <w:rsid w:val="008E453A"/>
    <w:rsid w:val="008E73AD"/>
    <w:rsid w:val="008F0CA7"/>
    <w:rsid w:val="008F15F6"/>
    <w:rsid w:val="008F2C31"/>
    <w:rsid w:val="008F7B6F"/>
    <w:rsid w:val="009030BF"/>
    <w:rsid w:val="009065DB"/>
    <w:rsid w:val="00907179"/>
    <w:rsid w:val="0091032F"/>
    <w:rsid w:val="00911A1C"/>
    <w:rsid w:val="00912445"/>
    <w:rsid w:val="00914368"/>
    <w:rsid w:val="00920A58"/>
    <w:rsid w:val="00923B95"/>
    <w:rsid w:val="00926C94"/>
    <w:rsid w:val="00931076"/>
    <w:rsid w:val="00931EF4"/>
    <w:rsid w:val="00932295"/>
    <w:rsid w:val="0093455F"/>
    <w:rsid w:val="009345D9"/>
    <w:rsid w:val="00934B15"/>
    <w:rsid w:val="009408EA"/>
    <w:rsid w:val="00942B62"/>
    <w:rsid w:val="00943597"/>
    <w:rsid w:val="00953080"/>
    <w:rsid w:val="00955EBB"/>
    <w:rsid w:val="00956A0C"/>
    <w:rsid w:val="00956BD9"/>
    <w:rsid w:val="00960F50"/>
    <w:rsid w:val="00962489"/>
    <w:rsid w:val="0096288B"/>
    <w:rsid w:val="00962DD5"/>
    <w:rsid w:val="00964C1C"/>
    <w:rsid w:val="00970B01"/>
    <w:rsid w:val="00973795"/>
    <w:rsid w:val="00977AF3"/>
    <w:rsid w:val="00980F36"/>
    <w:rsid w:val="00981016"/>
    <w:rsid w:val="009816ED"/>
    <w:rsid w:val="00983D99"/>
    <w:rsid w:val="00990C2C"/>
    <w:rsid w:val="00997A9F"/>
    <w:rsid w:val="009B57F5"/>
    <w:rsid w:val="009B5DD0"/>
    <w:rsid w:val="009C1424"/>
    <w:rsid w:val="009C4180"/>
    <w:rsid w:val="009D1F9A"/>
    <w:rsid w:val="009D6341"/>
    <w:rsid w:val="009D727C"/>
    <w:rsid w:val="009D76CF"/>
    <w:rsid w:val="009E2923"/>
    <w:rsid w:val="009E3910"/>
    <w:rsid w:val="009E41FF"/>
    <w:rsid w:val="009E610D"/>
    <w:rsid w:val="009F693A"/>
    <w:rsid w:val="009F696D"/>
    <w:rsid w:val="009F6BC6"/>
    <w:rsid w:val="00A05F8E"/>
    <w:rsid w:val="00A10105"/>
    <w:rsid w:val="00A11FAD"/>
    <w:rsid w:val="00A17328"/>
    <w:rsid w:val="00A20E73"/>
    <w:rsid w:val="00A23A20"/>
    <w:rsid w:val="00A25524"/>
    <w:rsid w:val="00A268B9"/>
    <w:rsid w:val="00A2703A"/>
    <w:rsid w:val="00A31FF9"/>
    <w:rsid w:val="00A33DFF"/>
    <w:rsid w:val="00A35115"/>
    <w:rsid w:val="00A42573"/>
    <w:rsid w:val="00A43D1B"/>
    <w:rsid w:val="00A51401"/>
    <w:rsid w:val="00A54D76"/>
    <w:rsid w:val="00A554AB"/>
    <w:rsid w:val="00A61EBE"/>
    <w:rsid w:val="00A65D68"/>
    <w:rsid w:val="00A67DCC"/>
    <w:rsid w:val="00A72FC4"/>
    <w:rsid w:val="00A8148A"/>
    <w:rsid w:val="00A92B53"/>
    <w:rsid w:val="00A94FA6"/>
    <w:rsid w:val="00AA49A0"/>
    <w:rsid w:val="00AA5833"/>
    <w:rsid w:val="00AA6132"/>
    <w:rsid w:val="00AA6710"/>
    <w:rsid w:val="00AA6FBB"/>
    <w:rsid w:val="00AB0681"/>
    <w:rsid w:val="00AB4F1B"/>
    <w:rsid w:val="00AB5817"/>
    <w:rsid w:val="00AB59BE"/>
    <w:rsid w:val="00AC6A26"/>
    <w:rsid w:val="00AC6A42"/>
    <w:rsid w:val="00AC7E8D"/>
    <w:rsid w:val="00AD5067"/>
    <w:rsid w:val="00AD520B"/>
    <w:rsid w:val="00AD650E"/>
    <w:rsid w:val="00AE347B"/>
    <w:rsid w:val="00AF00D1"/>
    <w:rsid w:val="00B03B34"/>
    <w:rsid w:val="00B043B7"/>
    <w:rsid w:val="00B07BCE"/>
    <w:rsid w:val="00B20BE3"/>
    <w:rsid w:val="00B226F9"/>
    <w:rsid w:val="00B24E83"/>
    <w:rsid w:val="00B27730"/>
    <w:rsid w:val="00B32359"/>
    <w:rsid w:val="00B440AD"/>
    <w:rsid w:val="00B45321"/>
    <w:rsid w:val="00B45435"/>
    <w:rsid w:val="00B53E7E"/>
    <w:rsid w:val="00B55FF0"/>
    <w:rsid w:val="00B569D4"/>
    <w:rsid w:val="00B6342E"/>
    <w:rsid w:val="00B6500C"/>
    <w:rsid w:val="00B66235"/>
    <w:rsid w:val="00B66267"/>
    <w:rsid w:val="00B7113F"/>
    <w:rsid w:val="00B714D8"/>
    <w:rsid w:val="00B742DC"/>
    <w:rsid w:val="00B80018"/>
    <w:rsid w:val="00B80312"/>
    <w:rsid w:val="00B80C07"/>
    <w:rsid w:val="00B85376"/>
    <w:rsid w:val="00B904AA"/>
    <w:rsid w:val="00B91125"/>
    <w:rsid w:val="00BA13D2"/>
    <w:rsid w:val="00BA73B6"/>
    <w:rsid w:val="00BB2603"/>
    <w:rsid w:val="00BB4FCD"/>
    <w:rsid w:val="00BB7FBA"/>
    <w:rsid w:val="00BC64BC"/>
    <w:rsid w:val="00BD07F9"/>
    <w:rsid w:val="00BD13EA"/>
    <w:rsid w:val="00BD42DE"/>
    <w:rsid w:val="00BD4851"/>
    <w:rsid w:val="00BD50D9"/>
    <w:rsid w:val="00BD6560"/>
    <w:rsid w:val="00BD668B"/>
    <w:rsid w:val="00BD7BD7"/>
    <w:rsid w:val="00BE3808"/>
    <w:rsid w:val="00C00535"/>
    <w:rsid w:val="00C04DB3"/>
    <w:rsid w:val="00C05C25"/>
    <w:rsid w:val="00C062E9"/>
    <w:rsid w:val="00C07B64"/>
    <w:rsid w:val="00C07CC0"/>
    <w:rsid w:val="00C13721"/>
    <w:rsid w:val="00C149B2"/>
    <w:rsid w:val="00C15306"/>
    <w:rsid w:val="00C15FFB"/>
    <w:rsid w:val="00C20250"/>
    <w:rsid w:val="00C22982"/>
    <w:rsid w:val="00C3066D"/>
    <w:rsid w:val="00C34BAF"/>
    <w:rsid w:val="00C34C07"/>
    <w:rsid w:val="00C36828"/>
    <w:rsid w:val="00C5013F"/>
    <w:rsid w:val="00C50284"/>
    <w:rsid w:val="00C507AF"/>
    <w:rsid w:val="00C53E51"/>
    <w:rsid w:val="00C543F4"/>
    <w:rsid w:val="00C622C6"/>
    <w:rsid w:val="00C6291C"/>
    <w:rsid w:val="00C633CB"/>
    <w:rsid w:val="00C7019B"/>
    <w:rsid w:val="00C7104F"/>
    <w:rsid w:val="00C74195"/>
    <w:rsid w:val="00C74C9E"/>
    <w:rsid w:val="00C80C85"/>
    <w:rsid w:val="00C8123D"/>
    <w:rsid w:val="00C82FFD"/>
    <w:rsid w:val="00C835FB"/>
    <w:rsid w:val="00C8762C"/>
    <w:rsid w:val="00C93A47"/>
    <w:rsid w:val="00C93FA9"/>
    <w:rsid w:val="00CA00F9"/>
    <w:rsid w:val="00CA234C"/>
    <w:rsid w:val="00CA2961"/>
    <w:rsid w:val="00CA79A7"/>
    <w:rsid w:val="00CA7AC4"/>
    <w:rsid w:val="00CB0E68"/>
    <w:rsid w:val="00CB37B7"/>
    <w:rsid w:val="00CB4FDA"/>
    <w:rsid w:val="00CB50D7"/>
    <w:rsid w:val="00CB7177"/>
    <w:rsid w:val="00CC1998"/>
    <w:rsid w:val="00CC4946"/>
    <w:rsid w:val="00CC7864"/>
    <w:rsid w:val="00CD3D07"/>
    <w:rsid w:val="00CD4CB3"/>
    <w:rsid w:val="00CD7084"/>
    <w:rsid w:val="00CD7A88"/>
    <w:rsid w:val="00CE4A80"/>
    <w:rsid w:val="00CE554F"/>
    <w:rsid w:val="00CF4791"/>
    <w:rsid w:val="00D022CE"/>
    <w:rsid w:val="00D02BC3"/>
    <w:rsid w:val="00D045D6"/>
    <w:rsid w:val="00D10D47"/>
    <w:rsid w:val="00D1794F"/>
    <w:rsid w:val="00D270A4"/>
    <w:rsid w:val="00D31FE9"/>
    <w:rsid w:val="00D32A48"/>
    <w:rsid w:val="00D34E1B"/>
    <w:rsid w:val="00D366B3"/>
    <w:rsid w:val="00D36F16"/>
    <w:rsid w:val="00D376BA"/>
    <w:rsid w:val="00D44F7E"/>
    <w:rsid w:val="00D462CF"/>
    <w:rsid w:val="00D47509"/>
    <w:rsid w:val="00D5284A"/>
    <w:rsid w:val="00D5568A"/>
    <w:rsid w:val="00D63D73"/>
    <w:rsid w:val="00D66E1E"/>
    <w:rsid w:val="00D712FD"/>
    <w:rsid w:val="00D75722"/>
    <w:rsid w:val="00D75F7A"/>
    <w:rsid w:val="00D855D6"/>
    <w:rsid w:val="00D8799D"/>
    <w:rsid w:val="00D963E7"/>
    <w:rsid w:val="00DA0B7F"/>
    <w:rsid w:val="00DA3BAB"/>
    <w:rsid w:val="00DA5BBA"/>
    <w:rsid w:val="00DB2518"/>
    <w:rsid w:val="00DB67C9"/>
    <w:rsid w:val="00DB6BA9"/>
    <w:rsid w:val="00DC0C95"/>
    <w:rsid w:val="00DC1C03"/>
    <w:rsid w:val="00DC208C"/>
    <w:rsid w:val="00DC3F6F"/>
    <w:rsid w:val="00DD0EF1"/>
    <w:rsid w:val="00DD6580"/>
    <w:rsid w:val="00DE3C0A"/>
    <w:rsid w:val="00DF1196"/>
    <w:rsid w:val="00DF164A"/>
    <w:rsid w:val="00DF271A"/>
    <w:rsid w:val="00DF2FC6"/>
    <w:rsid w:val="00DF4C0D"/>
    <w:rsid w:val="00E0149A"/>
    <w:rsid w:val="00E05F19"/>
    <w:rsid w:val="00E07C87"/>
    <w:rsid w:val="00E07F41"/>
    <w:rsid w:val="00E111EA"/>
    <w:rsid w:val="00E125F4"/>
    <w:rsid w:val="00E17C72"/>
    <w:rsid w:val="00E21FC6"/>
    <w:rsid w:val="00E22685"/>
    <w:rsid w:val="00E226ED"/>
    <w:rsid w:val="00E23537"/>
    <w:rsid w:val="00E27973"/>
    <w:rsid w:val="00E328D5"/>
    <w:rsid w:val="00E32CB4"/>
    <w:rsid w:val="00E34F6E"/>
    <w:rsid w:val="00E35551"/>
    <w:rsid w:val="00E366E1"/>
    <w:rsid w:val="00E40E8F"/>
    <w:rsid w:val="00E41832"/>
    <w:rsid w:val="00E42A36"/>
    <w:rsid w:val="00E43181"/>
    <w:rsid w:val="00E431A9"/>
    <w:rsid w:val="00E4554D"/>
    <w:rsid w:val="00E45DEB"/>
    <w:rsid w:val="00E50311"/>
    <w:rsid w:val="00E517E5"/>
    <w:rsid w:val="00E55BD9"/>
    <w:rsid w:val="00E55F7A"/>
    <w:rsid w:val="00E5636D"/>
    <w:rsid w:val="00E62504"/>
    <w:rsid w:val="00E634B1"/>
    <w:rsid w:val="00E64FBC"/>
    <w:rsid w:val="00E669E2"/>
    <w:rsid w:val="00E724EB"/>
    <w:rsid w:val="00E72FF3"/>
    <w:rsid w:val="00E76135"/>
    <w:rsid w:val="00E77D23"/>
    <w:rsid w:val="00E80CE9"/>
    <w:rsid w:val="00E833E1"/>
    <w:rsid w:val="00E83EBC"/>
    <w:rsid w:val="00E923DD"/>
    <w:rsid w:val="00E95961"/>
    <w:rsid w:val="00E95966"/>
    <w:rsid w:val="00EA1253"/>
    <w:rsid w:val="00EA3A07"/>
    <w:rsid w:val="00EB0FD5"/>
    <w:rsid w:val="00EB2419"/>
    <w:rsid w:val="00EB2A94"/>
    <w:rsid w:val="00EB73F3"/>
    <w:rsid w:val="00EC052F"/>
    <w:rsid w:val="00EC2844"/>
    <w:rsid w:val="00EC381B"/>
    <w:rsid w:val="00EC4F97"/>
    <w:rsid w:val="00EC71A5"/>
    <w:rsid w:val="00ED09E9"/>
    <w:rsid w:val="00ED0F3E"/>
    <w:rsid w:val="00EE2E89"/>
    <w:rsid w:val="00EE5206"/>
    <w:rsid w:val="00EE7E41"/>
    <w:rsid w:val="00EF3128"/>
    <w:rsid w:val="00EF5683"/>
    <w:rsid w:val="00EF6C6C"/>
    <w:rsid w:val="00F02D0C"/>
    <w:rsid w:val="00F056FC"/>
    <w:rsid w:val="00F06436"/>
    <w:rsid w:val="00F10476"/>
    <w:rsid w:val="00F12EF8"/>
    <w:rsid w:val="00F135D8"/>
    <w:rsid w:val="00F16E50"/>
    <w:rsid w:val="00F221CA"/>
    <w:rsid w:val="00F222E6"/>
    <w:rsid w:val="00F23C24"/>
    <w:rsid w:val="00F31299"/>
    <w:rsid w:val="00F312D4"/>
    <w:rsid w:val="00F31A88"/>
    <w:rsid w:val="00F32D55"/>
    <w:rsid w:val="00F3534A"/>
    <w:rsid w:val="00F354BD"/>
    <w:rsid w:val="00F40900"/>
    <w:rsid w:val="00F44669"/>
    <w:rsid w:val="00F46482"/>
    <w:rsid w:val="00F512AA"/>
    <w:rsid w:val="00F5293D"/>
    <w:rsid w:val="00F540CD"/>
    <w:rsid w:val="00F6132B"/>
    <w:rsid w:val="00F61C7B"/>
    <w:rsid w:val="00F6551B"/>
    <w:rsid w:val="00F66155"/>
    <w:rsid w:val="00F661AC"/>
    <w:rsid w:val="00F67122"/>
    <w:rsid w:val="00F67A54"/>
    <w:rsid w:val="00F7034D"/>
    <w:rsid w:val="00F72242"/>
    <w:rsid w:val="00F73CB9"/>
    <w:rsid w:val="00F76AFD"/>
    <w:rsid w:val="00F823D2"/>
    <w:rsid w:val="00F82B38"/>
    <w:rsid w:val="00F851E3"/>
    <w:rsid w:val="00F85325"/>
    <w:rsid w:val="00F85BCB"/>
    <w:rsid w:val="00F87979"/>
    <w:rsid w:val="00F90984"/>
    <w:rsid w:val="00F934C7"/>
    <w:rsid w:val="00F93B6B"/>
    <w:rsid w:val="00F93DB6"/>
    <w:rsid w:val="00F972FA"/>
    <w:rsid w:val="00FA509F"/>
    <w:rsid w:val="00FA5E6F"/>
    <w:rsid w:val="00FA6360"/>
    <w:rsid w:val="00FA65F0"/>
    <w:rsid w:val="00FB1E0C"/>
    <w:rsid w:val="00FB73B3"/>
    <w:rsid w:val="00FC75C4"/>
    <w:rsid w:val="00FD22B1"/>
    <w:rsid w:val="00FD3D4D"/>
    <w:rsid w:val="00FE299E"/>
    <w:rsid w:val="00FE77AC"/>
    <w:rsid w:val="00FF0640"/>
    <w:rsid w:val="00FF3369"/>
    <w:rsid w:val="00FF4C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07F4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3Char">
    <w:name w:val="Heading 3 Char"/>
    <w:basedOn w:val="DefaultParagraphFont"/>
    <w:link w:val="Heading3"/>
    <w:rsid w:val="00353D04"/>
    <w:rPr>
      <w:rFonts w:ascii="Arial" w:hAnsi="Arial"/>
      <w:b/>
      <w:sz w:val="26"/>
    </w:rPr>
  </w:style>
  <w:style w:type="character" w:customStyle="1" w:styleId="BodyTextChar">
    <w:name w:val="Body Text Char"/>
    <w:basedOn w:val="DefaultParagraphFont"/>
    <w:link w:val="BodyText"/>
    <w:rsid w:val="00353D04"/>
    <w:rPr>
      <w:sz w:val="26"/>
    </w:rPr>
  </w:style>
  <w:style w:type="character" w:customStyle="1" w:styleId="Heading2Char">
    <w:name w:val="Heading 2 Char"/>
    <w:basedOn w:val="DefaultParagraphFont"/>
    <w:link w:val="Heading2"/>
    <w:rsid w:val="004B2F69"/>
    <w:rPr>
      <w:rFonts w:ascii="Arial" w:hAnsi="Arial"/>
      <w:b/>
      <w:sz w:val="32"/>
    </w:rPr>
  </w:style>
  <w:style w:type="character" w:customStyle="1" w:styleId="Heading4Char">
    <w:name w:val="Heading 4 Char"/>
    <w:basedOn w:val="DefaultParagraphFont"/>
    <w:link w:val="Heading4"/>
    <w:rsid w:val="005F4BA0"/>
    <w:rPr>
      <w:rFonts w:ascii="Arial" w:hAnsi="Arial"/>
      <w:i/>
      <w:sz w:val="24"/>
    </w:rPr>
  </w:style>
  <w:style w:type="table" w:styleId="TableGrid">
    <w:name w:val="Table Grid"/>
    <w:basedOn w:val="TableNormal"/>
    <w:rsid w:val="00261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80018"/>
    <w:rPr>
      <w:color w:val="808080"/>
    </w:rPr>
  </w:style>
  <w:style w:type="paragraph" w:styleId="CommentSubject">
    <w:name w:val="annotation subject"/>
    <w:basedOn w:val="CommentText"/>
    <w:next w:val="CommentText"/>
    <w:link w:val="CommentSubjectChar"/>
    <w:rsid w:val="008267A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267AF"/>
    <w:rPr>
      <w:szCs w:val="24"/>
    </w:rPr>
  </w:style>
  <w:style w:type="character" w:customStyle="1" w:styleId="CommentSubjectChar">
    <w:name w:val="Comment Subject Char"/>
    <w:basedOn w:val="CommentTextChar"/>
    <w:link w:val="CommentSubject"/>
    <w:rsid w:val="008267AF"/>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07F41"/>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4"/>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customStyle="1" w:styleId="Heading3Char">
    <w:name w:val="Heading 3 Char"/>
    <w:basedOn w:val="DefaultParagraphFont"/>
    <w:link w:val="Heading3"/>
    <w:rsid w:val="00353D04"/>
    <w:rPr>
      <w:rFonts w:ascii="Arial" w:hAnsi="Arial"/>
      <w:b/>
      <w:sz w:val="26"/>
    </w:rPr>
  </w:style>
  <w:style w:type="character" w:customStyle="1" w:styleId="BodyTextChar">
    <w:name w:val="Body Text Char"/>
    <w:basedOn w:val="DefaultParagraphFont"/>
    <w:link w:val="BodyText"/>
    <w:rsid w:val="00353D04"/>
    <w:rPr>
      <w:sz w:val="26"/>
    </w:rPr>
  </w:style>
  <w:style w:type="character" w:customStyle="1" w:styleId="Heading2Char">
    <w:name w:val="Heading 2 Char"/>
    <w:basedOn w:val="DefaultParagraphFont"/>
    <w:link w:val="Heading2"/>
    <w:rsid w:val="004B2F69"/>
    <w:rPr>
      <w:rFonts w:ascii="Arial" w:hAnsi="Arial"/>
      <w:b/>
      <w:sz w:val="32"/>
    </w:rPr>
  </w:style>
  <w:style w:type="character" w:customStyle="1" w:styleId="Heading4Char">
    <w:name w:val="Heading 4 Char"/>
    <w:basedOn w:val="DefaultParagraphFont"/>
    <w:link w:val="Heading4"/>
    <w:rsid w:val="005F4BA0"/>
    <w:rPr>
      <w:rFonts w:ascii="Arial" w:hAnsi="Arial"/>
      <w:i/>
      <w:sz w:val="24"/>
    </w:rPr>
  </w:style>
  <w:style w:type="table" w:styleId="TableGrid">
    <w:name w:val="Table Grid"/>
    <w:basedOn w:val="TableNormal"/>
    <w:rsid w:val="00261A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80018"/>
    <w:rPr>
      <w:color w:val="808080"/>
    </w:rPr>
  </w:style>
  <w:style w:type="paragraph" w:styleId="CommentSubject">
    <w:name w:val="annotation subject"/>
    <w:basedOn w:val="CommentText"/>
    <w:next w:val="CommentText"/>
    <w:link w:val="CommentSubjectChar"/>
    <w:rsid w:val="008267AF"/>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267AF"/>
    <w:rPr>
      <w:szCs w:val="24"/>
    </w:rPr>
  </w:style>
  <w:style w:type="character" w:customStyle="1" w:styleId="CommentSubjectChar">
    <w:name w:val="Comment Subject Char"/>
    <w:basedOn w:val="CommentTextChar"/>
    <w:link w:val="CommentSubject"/>
    <w:rsid w:val="008267AF"/>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07206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5663D-AD09-4F47-B3D1-7A4672C15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1884</TotalTime>
  <Pages>32</Pages>
  <Words>10227</Words>
  <Characters>58724</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Distribution reliability </vt:lpstr>
    </vt:vector>
  </TitlesOfParts>
  <Company>Productivity Commission</Company>
  <LinksUpToDate>false</LinksUpToDate>
  <CharactersWithSpaces>68814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Distribution reliability </dc:title>
  <dc:subject>Electricity Network Regulation</dc:subject>
  <dc:creator>Productivity Commission</dc:creator>
  <cp:keywords/>
  <dc:description>16.</dc:description>
  <cp:lastModifiedBy>Productivity Commission</cp:lastModifiedBy>
  <cp:revision>32</cp:revision>
  <cp:lastPrinted>2012-10-09T02:23:00Z</cp:lastPrinted>
  <dcterms:created xsi:type="dcterms:W3CDTF">2012-10-03T00:47:00Z</dcterms:created>
  <dcterms:modified xsi:type="dcterms:W3CDTF">2012-10-15T00:53:00Z</dcterms:modified>
</cp:coreProperties>
</file>