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C82C28" w:rsidRDefault="0004360F" w:rsidP="0004360F">
      <w:pPr>
        <w:pStyle w:val="Heading1"/>
      </w:pPr>
      <w:bookmarkStart w:id="0" w:name="ChapterNumber"/>
      <w:r>
        <w:t>17</w:t>
      </w:r>
      <w:bookmarkEnd w:id="0"/>
      <w:r>
        <w:tab/>
      </w:r>
      <w:bookmarkStart w:id="1" w:name="ChapterTitle"/>
      <w:r>
        <w:t>The role of interconnectors</w:t>
      </w:r>
      <w:bookmarkStart w:id="2" w:name="_GoBack"/>
      <w:bookmarkEnd w:id="1"/>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2066" w:rsidTr="009644A5">
        <w:tc>
          <w:tcPr>
            <w:tcW w:w="8771" w:type="dxa"/>
            <w:tcBorders>
              <w:top w:val="single" w:sz="6" w:space="0" w:color="auto"/>
              <w:bottom w:val="nil"/>
            </w:tcBorders>
          </w:tcPr>
          <w:p w:rsidR="007F2066" w:rsidRDefault="007F2066" w:rsidP="009644A5">
            <w:pPr>
              <w:pStyle w:val="BoxTitle"/>
            </w:pPr>
            <w:bookmarkStart w:id="3" w:name="begin"/>
            <w:bookmarkEnd w:id="3"/>
            <w:r>
              <w:t xml:space="preserve">Key points </w:t>
            </w:r>
          </w:p>
        </w:tc>
      </w:tr>
      <w:tr w:rsidR="007F2066" w:rsidTr="009644A5">
        <w:trPr>
          <w:cantSplit/>
        </w:trPr>
        <w:tc>
          <w:tcPr>
            <w:tcW w:w="8771" w:type="dxa"/>
            <w:tcBorders>
              <w:top w:val="nil"/>
              <w:left w:val="single" w:sz="6" w:space="0" w:color="auto"/>
              <w:bottom w:val="nil"/>
              <w:right w:val="single" w:sz="6" w:space="0" w:color="auto"/>
            </w:tcBorders>
          </w:tcPr>
          <w:p w:rsidR="004F1966" w:rsidRDefault="004F1966" w:rsidP="00026E31">
            <w:pPr>
              <w:pStyle w:val="BoxListBullet"/>
            </w:pPr>
            <w:r>
              <w:t>Interconnectors are a notional concept of connection between regions, regulated for the market dispatch arrangements of the National Electricity Market (</w:t>
            </w:r>
            <w:proofErr w:type="spellStart"/>
            <w:r>
              <w:t>NEM</w:t>
            </w:r>
            <w:proofErr w:type="spellEnd"/>
            <w:r>
              <w:t xml:space="preserve">). Physically, they are usually a collection of transmission lines which cross the border from one region to another. </w:t>
            </w:r>
          </w:p>
          <w:p w:rsidR="00875C8B" w:rsidRDefault="00DA08F8" w:rsidP="00026E31">
            <w:pPr>
              <w:pStyle w:val="BoxListBullet"/>
            </w:pPr>
            <w:r>
              <w:t xml:space="preserve">The legacy of the state-based regions of the </w:t>
            </w:r>
            <w:proofErr w:type="spellStart"/>
            <w:r>
              <w:t>NEM</w:t>
            </w:r>
            <w:proofErr w:type="spellEnd"/>
            <w:r>
              <w:t xml:space="preserve"> means that interconnectors </w:t>
            </w:r>
            <w:r w:rsidR="002207FA">
              <w:t xml:space="preserve">are </w:t>
            </w:r>
            <w:r>
              <w:t>an</w:t>
            </w:r>
            <w:r w:rsidR="002207FA">
              <w:t xml:space="preserve"> essential prerequisite for a national electricity market</w:t>
            </w:r>
            <w:r w:rsidR="000A53A4">
              <w:t xml:space="preserve">. </w:t>
            </w:r>
            <w:r w:rsidR="00875C8B">
              <w:t xml:space="preserve">There are six interconnectors linking the regions in the </w:t>
            </w:r>
            <w:proofErr w:type="spellStart"/>
            <w:r w:rsidR="00537359">
              <w:t>NEM</w:t>
            </w:r>
            <w:proofErr w:type="spellEnd"/>
            <w:r w:rsidR="00875C8B">
              <w:t xml:space="preserve">. </w:t>
            </w:r>
          </w:p>
          <w:p w:rsidR="002207FA" w:rsidRDefault="00DA08F8" w:rsidP="00026E31">
            <w:pPr>
              <w:pStyle w:val="BoxListBullet"/>
            </w:pPr>
            <w:r>
              <w:t>B</w:t>
            </w:r>
            <w:r w:rsidR="008C1872">
              <w:t xml:space="preserve">y allowing </w:t>
            </w:r>
            <w:r>
              <w:t xml:space="preserve">inter-regional </w:t>
            </w:r>
            <w:r w:rsidR="008C1872">
              <w:t>trade in electricity</w:t>
            </w:r>
            <w:r>
              <w:t>, interconnectors</w:t>
            </w:r>
            <w:r w:rsidR="008C1872">
              <w:t xml:space="preserve"> </w:t>
            </w:r>
            <w:r w:rsidR="002207FA">
              <w:t xml:space="preserve">potentially increase competition in generation, improve the financial markets that address risk for parties in the electricity system, and promote greater security of supply. </w:t>
            </w:r>
          </w:p>
          <w:p w:rsidR="002207FA" w:rsidRDefault="002207FA" w:rsidP="00342A89">
            <w:pPr>
              <w:pStyle w:val="BoxListBullet2"/>
            </w:pPr>
            <w:r>
              <w:t>Problems in the regulatory arrangements for interconnectors can therefore have far-reaching consequences.</w:t>
            </w:r>
          </w:p>
          <w:p w:rsidR="00262C2D" w:rsidRDefault="006136B5" w:rsidP="00026E31">
            <w:pPr>
              <w:pStyle w:val="BoxListBullet"/>
            </w:pPr>
            <w:r>
              <w:t>While i</w:t>
            </w:r>
            <w:r w:rsidR="00262C2D">
              <w:t xml:space="preserve">nterconnectors </w:t>
            </w:r>
            <w:r>
              <w:t>are underpinned ultimately by some physical transmission infrastructure spanning regions:</w:t>
            </w:r>
            <w:r w:rsidR="00262C2D">
              <w:t xml:space="preserve"> </w:t>
            </w:r>
          </w:p>
          <w:p w:rsidR="00262C2D" w:rsidRDefault="006136B5" w:rsidP="00262C2D">
            <w:pPr>
              <w:pStyle w:val="BoxListBullet2"/>
            </w:pPr>
            <w:r>
              <w:t xml:space="preserve">the </w:t>
            </w:r>
            <w:r w:rsidR="008B3E71">
              <w:t xml:space="preserve">capacity of any given interconnector </w:t>
            </w:r>
            <w:r w:rsidR="00993A0A">
              <w:t>sets an upper limit</w:t>
            </w:r>
            <w:r w:rsidR="008B3E71">
              <w:t xml:space="preserve"> </w:t>
            </w:r>
            <w:r w:rsidR="00C64676">
              <w:t>on</w:t>
            </w:r>
            <w:r w:rsidR="008B3E71">
              <w:t xml:space="preserve"> the amount of power that</w:t>
            </w:r>
            <w:r w:rsidR="00993A0A">
              <w:t xml:space="preserve"> it</w:t>
            </w:r>
            <w:r w:rsidR="008B3E71">
              <w:t xml:space="preserve"> can</w:t>
            </w:r>
            <w:r w:rsidR="00993A0A">
              <w:t xml:space="preserve"> transfer </w:t>
            </w:r>
            <w:r w:rsidR="008B3E71">
              <w:t xml:space="preserve">between regions. </w:t>
            </w:r>
            <w:r w:rsidR="00B54CFD">
              <w:t>And</w:t>
            </w:r>
            <w:r w:rsidR="00993A0A">
              <w:t xml:space="preserve"> there can be other factors which </w:t>
            </w:r>
            <w:r w:rsidR="00B54CFD">
              <w:t xml:space="preserve">further </w:t>
            </w:r>
            <w:r w:rsidR="00993A0A">
              <w:t xml:space="preserve">limit how much power flows in practice. </w:t>
            </w:r>
            <w:r w:rsidR="008B3E71">
              <w:t>It is th</w:t>
            </w:r>
            <w:r w:rsidR="00993A0A">
              <w:t>e latter degree of actual</w:t>
            </w:r>
            <w:r w:rsidR="008B3E71">
              <w:t xml:space="preserve"> </w:t>
            </w:r>
            <w:r w:rsidR="008B3E71" w:rsidRPr="00A819BC">
              <w:rPr>
                <w:i/>
              </w:rPr>
              <w:t>‘interconnec</w:t>
            </w:r>
            <w:r w:rsidR="008B3E71" w:rsidRPr="00993A0A">
              <w:rPr>
                <w:i/>
              </w:rPr>
              <w:t>tion</w:t>
            </w:r>
            <w:r w:rsidR="008B3E71" w:rsidRPr="00A819BC">
              <w:rPr>
                <w:i/>
              </w:rPr>
              <w:t>’</w:t>
            </w:r>
            <w:r w:rsidR="008B3E71">
              <w:t xml:space="preserve"> that is policy relevant </w:t>
            </w:r>
          </w:p>
          <w:p w:rsidR="009B2970" w:rsidRDefault="006136B5" w:rsidP="00262C2D">
            <w:pPr>
              <w:pStyle w:val="BoxListBullet2"/>
            </w:pPr>
            <w:r>
              <w:t xml:space="preserve">the </w:t>
            </w:r>
            <w:r w:rsidR="008B3E71">
              <w:t xml:space="preserve">capacity of, and congestion on, intra-regional transmission lines, and regulation surrounding the electricity market are </w:t>
            </w:r>
            <w:r w:rsidR="000A53A4">
              <w:t>important</w:t>
            </w:r>
            <w:r w:rsidR="00B54CFD">
              <w:t xml:space="preserve"> </w:t>
            </w:r>
            <w:r w:rsidR="008B3E71">
              <w:t xml:space="preserve">factors that can </w:t>
            </w:r>
            <w:r>
              <w:t>affect</w:t>
            </w:r>
            <w:r w:rsidR="008B3E71">
              <w:t xml:space="preserve"> the degree of interconnection</w:t>
            </w:r>
            <w:r w:rsidR="00B54CFD">
              <w:t>.</w:t>
            </w:r>
            <w:r w:rsidR="008B3E71">
              <w:t xml:space="preserve"> </w:t>
            </w:r>
          </w:p>
          <w:p w:rsidR="008B3E71" w:rsidRDefault="002207FA" w:rsidP="008B3E71">
            <w:pPr>
              <w:pStyle w:val="BoxListBullet"/>
            </w:pPr>
            <w:r>
              <w:t xml:space="preserve">Some claim that interconnectors are congested, </w:t>
            </w:r>
            <w:r w:rsidR="00875C8B">
              <w:t>limiting</w:t>
            </w:r>
            <w:r>
              <w:t xml:space="preserve"> their </w:t>
            </w:r>
            <w:r w:rsidR="00875C8B">
              <w:t>potential</w:t>
            </w:r>
            <w:r w:rsidR="00B54CFD">
              <w:t xml:space="preserve"> to enhance the efficiency of the </w:t>
            </w:r>
            <w:proofErr w:type="spellStart"/>
            <w:r w:rsidR="00B54CFD">
              <w:t>NEM</w:t>
            </w:r>
            <w:proofErr w:type="spellEnd"/>
            <w:r w:rsidR="00B54CFD">
              <w:t xml:space="preserve">. </w:t>
            </w:r>
          </w:p>
          <w:p w:rsidR="008B3E71" w:rsidRDefault="008B3E71" w:rsidP="00875C8B">
            <w:pPr>
              <w:pStyle w:val="BoxListBullet2"/>
            </w:pPr>
            <w:r>
              <w:t>However, investment in interconnectors involves significant costs</w:t>
            </w:r>
            <w:r w:rsidR="00875C8B">
              <w:t>, so that</w:t>
            </w:r>
            <w:r>
              <w:t xml:space="preserve"> the efficient level of congestion is not zero. </w:t>
            </w:r>
          </w:p>
          <w:p w:rsidR="007F2066" w:rsidRDefault="00F24D06" w:rsidP="00993A0A">
            <w:pPr>
              <w:pStyle w:val="BoxListBullet"/>
            </w:pPr>
            <w:r>
              <w:t>E</w:t>
            </w:r>
            <w:r w:rsidR="00026E31">
              <w:t>vidence suggest</w:t>
            </w:r>
            <w:r w:rsidR="008B3E71">
              <w:t>s</w:t>
            </w:r>
            <w:r w:rsidR="00026E31">
              <w:t xml:space="preserve"> that, given the existing network and demand profile, the current </w:t>
            </w:r>
            <w:r w:rsidR="008B3E71">
              <w:rPr>
                <w:i/>
              </w:rPr>
              <w:t xml:space="preserve">physical </w:t>
            </w:r>
            <w:r w:rsidR="00026E31">
              <w:rPr>
                <w:i/>
              </w:rPr>
              <w:t>capacity</w:t>
            </w:r>
            <w:r w:rsidR="00026E31">
              <w:t xml:space="preserve"> of interconnectors is </w:t>
            </w:r>
            <w:r w:rsidR="00993A0A">
              <w:t>reasonably appropriate</w:t>
            </w:r>
            <w:r w:rsidR="00026E31">
              <w:t>.</w:t>
            </w:r>
          </w:p>
          <w:p w:rsidR="00C11B36" w:rsidRDefault="00C11B36" w:rsidP="008D7780">
            <w:pPr>
              <w:pStyle w:val="BoxListBullet"/>
            </w:pPr>
            <w:r>
              <w:t>Underutilisation, especially in South Australia, and increasing price</w:t>
            </w:r>
            <w:r w:rsidR="000A53A4">
              <w:t xml:space="preserve"> differentials</w:t>
            </w:r>
            <w:r>
              <w:t xml:space="preserve"> between regions warrant further investigation.</w:t>
            </w:r>
          </w:p>
        </w:tc>
      </w:tr>
      <w:tr w:rsidR="007F2066" w:rsidTr="009644A5">
        <w:trPr>
          <w:cantSplit/>
        </w:trPr>
        <w:tc>
          <w:tcPr>
            <w:tcW w:w="8771" w:type="dxa"/>
            <w:tcBorders>
              <w:top w:val="nil"/>
              <w:left w:val="single" w:sz="6" w:space="0" w:color="auto"/>
              <w:bottom w:val="single" w:sz="6" w:space="0" w:color="auto"/>
              <w:right w:val="single" w:sz="6" w:space="0" w:color="auto"/>
            </w:tcBorders>
          </w:tcPr>
          <w:p w:rsidR="007F2066" w:rsidRDefault="007F2066" w:rsidP="009644A5">
            <w:pPr>
              <w:pStyle w:val="Box"/>
              <w:spacing w:before="0" w:line="120" w:lineRule="exact"/>
            </w:pPr>
          </w:p>
        </w:tc>
      </w:tr>
    </w:tbl>
    <w:p w:rsidR="00FA77EE" w:rsidRDefault="005B5065" w:rsidP="00120072">
      <w:pPr>
        <w:pStyle w:val="BodyText"/>
      </w:pPr>
      <w:r>
        <w:t xml:space="preserve">The terms of reference for this inquiry </w:t>
      </w:r>
      <w:r w:rsidR="00C21146">
        <w:t>ask</w:t>
      </w:r>
      <w:r>
        <w:t xml:space="preserve"> the Commission to ‘examine whether the regulatory regime, with respect to the delivery of interconnector investment in the </w:t>
      </w:r>
      <w:r w:rsidR="00EE37FD">
        <w:t>National Electricity Market (</w:t>
      </w:r>
      <w:proofErr w:type="spellStart"/>
      <w:r>
        <w:t>NEM</w:t>
      </w:r>
      <w:proofErr w:type="spellEnd"/>
      <w:r w:rsidR="00EE37FD">
        <w:t>)</w:t>
      </w:r>
      <w:r>
        <w:t xml:space="preserve">, is delivering economically efficient outcomes’. </w:t>
      </w:r>
      <w:r>
        <w:lastRenderedPageBreak/>
        <w:t>Interconnectors can provide several benefits arising from the ability to trade power between regions</w:t>
      </w:r>
      <w:r w:rsidR="00C26928">
        <w:t>.</w:t>
      </w:r>
      <w:r>
        <w:t xml:space="preserve"> </w:t>
      </w:r>
      <w:r w:rsidR="00C26928">
        <w:t xml:space="preserve">As </w:t>
      </w:r>
      <w:r>
        <w:t xml:space="preserve">with other transmission lines, </w:t>
      </w:r>
      <w:r w:rsidR="00C26928">
        <w:t xml:space="preserve">they </w:t>
      </w:r>
      <w:r>
        <w:t xml:space="preserve">are expensive to build. Nonetheless, in contrast to broader concerns of </w:t>
      </w:r>
      <w:r w:rsidR="00C26928">
        <w:t>excessive</w:t>
      </w:r>
      <w:r>
        <w:t xml:space="preserve"> network </w:t>
      </w:r>
      <w:r w:rsidR="002D7D4A">
        <w:t>investment</w:t>
      </w:r>
      <w:r>
        <w:t xml:space="preserve">, there have been concerns about </w:t>
      </w:r>
      <w:r>
        <w:rPr>
          <w:i/>
        </w:rPr>
        <w:t>under</w:t>
      </w:r>
      <w:r w:rsidR="005E685F">
        <w:rPr>
          <w:i/>
        </w:rPr>
        <w:t>-</w:t>
      </w:r>
      <w:r>
        <w:t xml:space="preserve">investment in interconnectors. </w:t>
      </w:r>
    </w:p>
    <w:p w:rsidR="005B5065" w:rsidRPr="005B5065" w:rsidRDefault="005B5065" w:rsidP="000A53A4">
      <w:pPr>
        <w:pStyle w:val="BodyText"/>
      </w:pPr>
      <w:r>
        <w:t xml:space="preserve">This chapter </w:t>
      </w:r>
      <w:r w:rsidR="000A53A4">
        <w:t xml:space="preserve">explores the potential benefits of interconnectors in the </w:t>
      </w:r>
      <w:proofErr w:type="spellStart"/>
      <w:r w:rsidR="000A53A4">
        <w:t>NEM</w:t>
      </w:r>
      <w:proofErr w:type="spellEnd"/>
      <w:r w:rsidR="000A53A4">
        <w:t>, and the extent to which those benefits are being realised in practice.</w:t>
      </w:r>
    </w:p>
    <w:p w:rsidR="007F2066" w:rsidRDefault="0004360F" w:rsidP="00BE14E6">
      <w:pPr>
        <w:pStyle w:val="Heading2"/>
      </w:pPr>
      <w:r>
        <w:t>17.</w:t>
      </w:r>
      <w:r w:rsidR="00E92B84">
        <w:rPr>
          <w:noProof/>
        </w:rPr>
        <w:t>1</w:t>
      </w:r>
      <w:r w:rsidR="00BE14E6">
        <w:tab/>
      </w:r>
      <w:r w:rsidR="005B5065">
        <w:t xml:space="preserve">Background and perceived problems </w:t>
      </w:r>
    </w:p>
    <w:p w:rsidR="004A6F26" w:rsidRDefault="008E354A" w:rsidP="00BE14E6">
      <w:pPr>
        <w:pStyle w:val="BodyText"/>
      </w:pPr>
      <w:r>
        <w:t>Until recently</w:t>
      </w:r>
      <w:r w:rsidR="00FA77EE">
        <w:t xml:space="preserve">, electricity markets in Australia were </w:t>
      </w:r>
      <w:r w:rsidR="00AA1316">
        <w:t xml:space="preserve">characterised by </w:t>
      </w:r>
      <w:r w:rsidR="00FA77EE">
        <w:t xml:space="preserve">vertically integrated government-owned businesses in each state and territory. Over time, the </w:t>
      </w:r>
      <w:r w:rsidR="00BC0031">
        <w:t xml:space="preserve">markets in eastern Australia </w:t>
      </w:r>
      <w:r w:rsidR="00FA77EE">
        <w:t>were linked</w:t>
      </w:r>
      <w:r w:rsidR="00BC0031">
        <w:t xml:space="preserve"> to form the </w:t>
      </w:r>
      <w:proofErr w:type="spellStart"/>
      <w:r w:rsidR="00BC0031">
        <w:t>NEM</w:t>
      </w:r>
      <w:proofErr w:type="spellEnd"/>
      <w:r w:rsidR="000243D1">
        <w:t xml:space="preserve">. </w:t>
      </w:r>
      <w:r w:rsidR="005E685F">
        <w:t xml:space="preserve">The </w:t>
      </w:r>
      <w:proofErr w:type="spellStart"/>
      <w:r w:rsidR="005E685F">
        <w:t>NEM</w:t>
      </w:r>
      <w:proofErr w:type="spellEnd"/>
      <w:r w:rsidR="005E685F">
        <w:t xml:space="preserve"> was </w:t>
      </w:r>
      <w:r w:rsidR="0033453C">
        <w:t xml:space="preserve">created </w:t>
      </w:r>
      <w:r w:rsidR="005E685F">
        <w:t>as a wholesale market for electricity</w:t>
      </w:r>
      <w:r w:rsidR="004A6F26">
        <w:t xml:space="preserve"> in the mainland </w:t>
      </w:r>
      <w:r>
        <w:t xml:space="preserve">eastern </w:t>
      </w:r>
      <w:r w:rsidR="004A6F26">
        <w:t>jurisdictions in 1998, with Tasmania joining in 2005</w:t>
      </w:r>
      <w:r>
        <w:t xml:space="preserve"> with the completion of </w:t>
      </w:r>
      <w:proofErr w:type="spellStart"/>
      <w:r>
        <w:t>Basslink</w:t>
      </w:r>
      <w:proofErr w:type="spellEnd"/>
      <w:r w:rsidR="004A6F26">
        <w:t xml:space="preserve"> (</w:t>
      </w:r>
      <w:proofErr w:type="spellStart"/>
      <w:r w:rsidR="004A6F26">
        <w:t>AEMO</w:t>
      </w:r>
      <w:proofErr w:type="spellEnd"/>
      <w:r w:rsidR="004A6F26">
        <w:t xml:space="preserve"> 2010</w:t>
      </w:r>
      <w:r w:rsidR="001F7003">
        <w:t>f</w:t>
      </w:r>
      <w:r w:rsidR="004A6F26">
        <w:t>)</w:t>
      </w:r>
      <w:r w:rsidR="00DF7C9C">
        <w:t>.</w:t>
      </w:r>
      <w:r w:rsidR="005E685F">
        <w:t xml:space="preserve"> The interconnectors in the </w:t>
      </w:r>
      <w:proofErr w:type="spellStart"/>
      <w:r w:rsidR="005E685F">
        <w:t>NEM</w:t>
      </w:r>
      <w:proofErr w:type="spellEnd"/>
      <w:r w:rsidR="005E685F">
        <w:t xml:space="preserve"> facilitate the trade between the regions (effectively, the states), by allowing power to flow from lower-priced to higher-priced regions</w:t>
      </w:r>
      <w:r w:rsidR="004122C8">
        <w:t>. Trade can only occur</w:t>
      </w:r>
      <w:r w:rsidR="005E685F">
        <w:t xml:space="preserve"> up to</w:t>
      </w:r>
      <w:r w:rsidR="004377E7">
        <w:t xml:space="preserve"> </w:t>
      </w:r>
      <w:r w:rsidR="005E685F">
        <w:t>the capacity of the interconnector, after which local generation must meet demand in the higher-priced region</w:t>
      </w:r>
      <w:r w:rsidR="004122C8">
        <w:t>.</w:t>
      </w:r>
      <w:r w:rsidR="005E685F">
        <w:t xml:space="preserve"> (</w:t>
      </w:r>
      <w:r w:rsidR="0033453C">
        <w:t>Also</w:t>
      </w:r>
      <w:r w:rsidR="000A53A4">
        <w:t>,</w:t>
      </w:r>
      <w:r w:rsidR="0033453C">
        <w:t xml:space="preserve"> complications </w:t>
      </w:r>
      <w:r w:rsidR="005E685F">
        <w:t>in market design,</w:t>
      </w:r>
      <w:r w:rsidR="00B47E17">
        <w:t xml:space="preserve"> such as disorderly bidding by generat</w:t>
      </w:r>
      <w:r w:rsidR="00C64676">
        <w:t>o</w:t>
      </w:r>
      <w:r w:rsidR="00B47E17">
        <w:t>rs,</w:t>
      </w:r>
      <w:r w:rsidR="005E685F">
        <w:t xml:space="preserve"> discussed in chapter </w:t>
      </w:r>
      <w:r w:rsidR="00916626">
        <w:t>18</w:t>
      </w:r>
      <w:r w:rsidR="005E685F">
        <w:t xml:space="preserve"> can change the level and direction of flow</w:t>
      </w:r>
      <w:r w:rsidR="004122C8">
        <w:t>.</w:t>
      </w:r>
      <w:r w:rsidR="005E685F">
        <w:t xml:space="preserve">) </w:t>
      </w:r>
    </w:p>
    <w:p w:rsidR="00FA77EE" w:rsidRPr="00BE14E6" w:rsidRDefault="00234911" w:rsidP="00BE14E6">
      <w:pPr>
        <w:pStyle w:val="BodyText"/>
      </w:pPr>
      <w:r>
        <w:t>T</w:t>
      </w:r>
      <w:r w:rsidR="00FA77EE">
        <w:t xml:space="preserve">here are six interconnectors between the jurisdictions in the </w:t>
      </w:r>
      <w:proofErr w:type="spellStart"/>
      <w:r w:rsidR="00FA77EE">
        <w:t>NEM</w:t>
      </w:r>
      <w:proofErr w:type="spellEnd"/>
      <w:r w:rsidR="00FA77EE">
        <w:t xml:space="preserve"> (</w:t>
      </w:r>
      <w:r w:rsidR="002B5F1B">
        <w:t>f</w:t>
      </w:r>
      <w:r w:rsidR="00FA77EE">
        <w:t>igure</w:t>
      </w:r>
      <w:r w:rsidR="00176DC3">
        <w:t> </w:t>
      </w:r>
      <w:r w:rsidR="00C71390">
        <w:t>17.1</w:t>
      </w:r>
      <w:r w:rsidR="00FA77EE">
        <w:t>).</w:t>
      </w:r>
      <w:r w:rsidR="00FA77EE" w:rsidRPr="00FA77EE">
        <w:t xml:space="preserve"> </w:t>
      </w:r>
      <w:r w:rsidR="00C21146">
        <w:t>Of these, three interconnectors (</w:t>
      </w:r>
      <w:proofErr w:type="spellStart"/>
      <w:r w:rsidR="00C21146">
        <w:t>Basslink</w:t>
      </w:r>
      <w:proofErr w:type="spellEnd"/>
      <w:r w:rsidR="00C21146">
        <w:t xml:space="preserve">, </w:t>
      </w:r>
      <w:proofErr w:type="spellStart"/>
      <w:r w:rsidR="00C21146">
        <w:t>Murraylink</w:t>
      </w:r>
      <w:proofErr w:type="spellEnd"/>
      <w:r w:rsidR="00C21146">
        <w:t xml:space="preserve"> and </w:t>
      </w:r>
      <w:proofErr w:type="spellStart"/>
      <w:r w:rsidR="00C21146">
        <w:t>Directlink</w:t>
      </w:r>
      <w:proofErr w:type="spellEnd"/>
      <w:r w:rsidR="00C21146">
        <w:t>)</w:t>
      </w:r>
      <w:r w:rsidR="009D004E">
        <w:t xml:space="preserve"> </w:t>
      </w:r>
      <w:r w:rsidR="002B5F1B">
        <w:t>began</w:t>
      </w:r>
      <w:r w:rsidR="009D004E">
        <w:t xml:space="preserve"> as ‘merchant’ projects and are discussed further in chapter </w:t>
      </w:r>
      <w:r w:rsidR="00596B56">
        <w:t>20</w:t>
      </w:r>
      <w:r w:rsidR="009D004E">
        <w:t xml:space="preserve">. </w:t>
      </w:r>
    </w:p>
    <w:p w:rsidR="00BE14E6" w:rsidRDefault="00BE14E6" w:rsidP="005D4D0F">
      <w:pPr>
        <w:pStyle w:val="FigureTitle"/>
      </w:pPr>
      <w:r>
        <w:rPr>
          <w:b w:val="0"/>
        </w:rPr>
        <w:lastRenderedPageBreak/>
        <w:t xml:space="preserve">Figure </w:t>
      </w:r>
      <w:bookmarkStart w:id="4" w:name="OLE_LINK1"/>
      <w:r w:rsidR="0004360F">
        <w:rPr>
          <w:b w:val="0"/>
        </w:rPr>
        <w:t>17.</w:t>
      </w:r>
      <w:r w:rsidR="00E92B84">
        <w:rPr>
          <w:b w:val="0"/>
          <w:noProof/>
        </w:rPr>
        <w:t>1</w:t>
      </w:r>
      <w:bookmarkEnd w:id="4"/>
      <w:r>
        <w:tab/>
        <w:t>Interconnectors in the N</w:t>
      </w:r>
      <w:r w:rsidR="002B4A0A">
        <w:t xml:space="preserve">ational </w:t>
      </w:r>
      <w:r>
        <w:t>E</w:t>
      </w:r>
      <w:r w:rsidR="002B4A0A">
        <w:t xml:space="preserve">lectricity </w:t>
      </w:r>
      <w:r>
        <w:t>M</w:t>
      </w:r>
      <w:r w:rsidR="002B4A0A">
        <w:t>arket</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E14E6">
        <w:tc>
          <w:tcPr>
            <w:tcW w:w="8777" w:type="dxa"/>
          </w:tcPr>
          <w:p w:rsidR="00BE14E6" w:rsidRDefault="00567AD6">
            <w:pPr>
              <w:pStyle w:val="Figure"/>
            </w:pPr>
            <w:r>
              <w:rPr>
                <w:noProof/>
              </w:rPr>
              <w:drawing>
                <wp:inline distT="0" distB="0" distL="0" distR="0" wp14:anchorId="69EB0071" wp14:editId="777CCEF5">
                  <wp:extent cx="4657725" cy="4191000"/>
                  <wp:effectExtent l="0" t="0" r="9525" b="0"/>
                  <wp:docPr id="1" name="Picture 1" descr="Interconnectors in the National Electricity Market. This figure shows the general geographical location of interconnectors along the east coast of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67218" cy="4199542"/>
                          </a:xfrm>
                          <a:prstGeom prst="rect">
                            <a:avLst/>
                          </a:prstGeom>
                        </pic:spPr>
                      </pic:pic>
                    </a:graphicData>
                  </a:graphic>
                </wp:inline>
              </w:drawing>
            </w:r>
          </w:p>
        </w:tc>
      </w:tr>
    </w:tbl>
    <w:p w:rsidR="00BE14E6" w:rsidRDefault="005B5065">
      <w:pPr>
        <w:pStyle w:val="Source"/>
      </w:pPr>
      <w:r>
        <w:rPr>
          <w:i/>
        </w:rPr>
        <w:t>S</w:t>
      </w:r>
      <w:r w:rsidR="00BE14E6">
        <w:rPr>
          <w:i/>
        </w:rPr>
        <w:t>ource</w:t>
      </w:r>
      <w:r w:rsidR="00BE14E6" w:rsidRPr="00167F06">
        <w:t>:</w:t>
      </w:r>
      <w:r w:rsidR="008C598C" w:rsidRPr="008C598C">
        <w:rPr>
          <w:i/>
        </w:rPr>
        <w:t xml:space="preserve"> </w:t>
      </w:r>
      <w:proofErr w:type="spellStart"/>
      <w:r w:rsidR="008C598C">
        <w:t>AER</w:t>
      </w:r>
      <w:proofErr w:type="spellEnd"/>
      <w:r w:rsidR="008C598C">
        <w:t xml:space="preserve"> 2009</w:t>
      </w:r>
    </w:p>
    <w:p w:rsidR="007B4E9C" w:rsidRDefault="007B4E9C" w:rsidP="007B4E9C">
      <w:pPr>
        <w:pStyle w:val="Heading3"/>
      </w:pPr>
      <w:r>
        <w:t>Interconnectors, interconnection and transmission</w:t>
      </w:r>
    </w:p>
    <w:p w:rsidR="004A143E" w:rsidRDefault="00F9332A" w:rsidP="007B4E9C">
      <w:pPr>
        <w:pStyle w:val="BodyText"/>
      </w:pPr>
      <w:r>
        <w:t xml:space="preserve">It is common to refer to interconnectors as just </w:t>
      </w:r>
      <w:r w:rsidR="00A84284">
        <w:t xml:space="preserve">single </w:t>
      </w:r>
      <w:r>
        <w:t>transmission wires spanning regions</w:t>
      </w:r>
      <w:r w:rsidR="00A84284">
        <w:t xml:space="preserve"> and this is how maps of the </w:t>
      </w:r>
      <w:proofErr w:type="spellStart"/>
      <w:r w:rsidR="00A84284">
        <w:t>NEM</w:t>
      </w:r>
      <w:proofErr w:type="spellEnd"/>
      <w:r w:rsidR="00A84284">
        <w:t xml:space="preserve"> depict them (figures </w:t>
      </w:r>
      <w:r w:rsidR="00C71390">
        <w:t>17.1</w:t>
      </w:r>
      <w:r w:rsidR="009B2970">
        <w:t xml:space="preserve"> </w:t>
      </w:r>
      <w:r w:rsidR="00A84284">
        <w:t>and</w:t>
      </w:r>
      <w:r w:rsidR="009B2970">
        <w:t xml:space="preserve"> </w:t>
      </w:r>
      <w:r w:rsidR="00C71390">
        <w:t>17.2</w:t>
      </w:r>
      <w:r w:rsidR="00A84284">
        <w:t xml:space="preserve">). However, </w:t>
      </w:r>
      <w:r w:rsidR="00F05278">
        <w:t>referring to such ‘notional’ interconnectors</w:t>
      </w:r>
      <w:r>
        <w:t xml:space="preserve"> is </w:t>
      </w:r>
      <w:r w:rsidR="00F05278">
        <w:t>an abstraction from</w:t>
      </w:r>
      <w:r>
        <w:t xml:space="preserve"> how i</w:t>
      </w:r>
      <w:r w:rsidR="00A84284">
        <w:t>nterconnectors work</w:t>
      </w:r>
      <w:r w:rsidR="0030197C">
        <w:t>.</w:t>
      </w:r>
      <w:r>
        <w:t xml:space="preserve"> </w:t>
      </w:r>
      <w:r w:rsidR="00A84284">
        <w:t xml:space="preserve">In fact, an </w:t>
      </w:r>
      <w:r w:rsidR="007B4E9C">
        <w:t xml:space="preserve">interconnector can be composed of several lines — of varying capacity and location — linking generation and load centres (figure </w:t>
      </w:r>
      <w:r w:rsidR="00C71390">
        <w:t>17.3</w:t>
      </w:r>
      <w:r w:rsidR="007B4E9C">
        <w:t xml:space="preserve">). </w:t>
      </w:r>
    </w:p>
    <w:p w:rsidR="007B4E9C" w:rsidRDefault="007B4E9C" w:rsidP="007B4E9C">
      <w:pPr>
        <w:pStyle w:val="FigureTitle"/>
      </w:pPr>
      <w:bookmarkStart w:id="5" w:name="_Ref331687341"/>
      <w:bookmarkStart w:id="6" w:name="_Ref331687331"/>
      <w:r>
        <w:rPr>
          <w:b w:val="0"/>
        </w:rPr>
        <w:lastRenderedPageBreak/>
        <w:t xml:space="preserve">Figure </w:t>
      </w:r>
      <w:bookmarkStart w:id="7" w:name="OLE_LINK2"/>
      <w:r w:rsidR="0004360F">
        <w:rPr>
          <w:b w:val="0"/>
        </w:rPr>
        <w:t>17.</w:t>
      </w:r>
      <w:r w:rsidR="00E92B84">
        <w:rPr>
          <w:b w:val="0"/>
          <w:noProof/>
        </w:rPr>
        <w:t>2</w:t>
      </w:r>
      <w:bookmarkEnd w:id="5"/>
      <w:bookmarkEnd w:id="7"/>
      <w:r>
        <w:tab/>
        <w:t>Dispatch model representation of a notional interconnector</w:t>
      </w:r>
      <w:bookmarkEnd w:id="6"/>
      <w:r w:rsidR="000833CA" w:rsidRPr="00F60310">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B4E9C">
        <w:tc>
          <w:tcPr>
            <w:tcW w:w="8777" w:type="dxa"/>
          </w:tcPr>
          <w:p w:rsidR="007B4E9C" w:rsidRDefault="007B4E9C">
            <w:pPr>
              <w:pStyle w:val="Figure"/>
            </w:pPr>
            <w:r>
              <w:rPr>
                <w:noProof/>
              </w:rPr>
              <w:drawing>
                <wp:inline distT="0" distB="0" distL="0" distR="0" wp14:anchorId="0A1C7A07" wp14:editId="01821D1D">
                  <wp:extent cx="4819650" cy="3048000"/>
                  <wp:effectExtent l="0" t="0" r="0" b="0"/>
                  <wp:docPr id="2" name="Picture 2" descr="Dispatch model representation of a notional interconnector. The popular way of looking at an interconnector is like a distinct line between two regions or interconnector regional reference nod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t="-1887" b="-1887"/>
                          <a:stretch/>
                        </pic:blipFill>
                        <pic:spPr>
                          <a:xfrm>
                            <a:off x="0" y="0"/>
                            <a:ext cx="4832212" cy="3055944"/>
                          </a:xfrm>
                          <a:prstGeom prst="rect">
                            <a:avLst/>
                          </a:prstGeom>
                        </pic:spPr>
                      </pic:pic>
                    </a:graphicData>
                  </a:graphic>
                </wp:inline>
              </w:drawing>
            </w:r>
          </w:p>
        </w:tc>
      </w:tr>
    </w:tbl>
    <w:p w:rsidR="000833CA" w:rsidRDefault="000833CA">
      <w:pPr>
        <w:pStyle w:val="Source"/>
        <w:rPr>
          <w:i/>
        </w:rPr>
      </w:pPr>
      <w:r>
        <w:rPr>
          <w:rStyle w:val="NoteLabel"/>
        </w:rPr>
        <w:t>a</w:t>
      </w:r>
      <w:r>
        <w:t xml:space="preserve"> </w:t>
      </w:r>
      <w:r w:rsidR="004C13CA">
        <w:t>‘G’ represents generators, ‘</w:t>
      </w:r>
      <w:proofErr w:type="spellStart"/>
      <w:r w:rsidR="004C13CA">
        <w:t>RRN</w:t>
      </w:r>
      <w:proofErr w:type="spellEnd"/>
      <w:r w:rsidR="004C13CA">
        <w:t>’ represents the regional reference node.</w:t>
      </w:r>
    </w:p>
    <w:p w:rsidR="007B4E9C" w:rsidRDefault="007B4E9C">
      <w:pPr>
        <w:pStyle w:val="Source"/>
      </w:pPr>
      <w:r>
        <w:rPr>
          <w:i/>
        </w:rPr>
        <w:t>Source</w:t>
      </w:r>
      <w:r w:rsidRPr="00167F06">
        <w:t xml:space="preserve">: </w:t>
      </w:r>
      <w:proofErr w:type="spellStart"/>
      <w:r>
        <w:t>AEMO</w:t>
      </w:r>
      <w:proofErr w:type="spellEnd"/>
      <w:r>
        <w:t>, sub. 32</w:t>
      </w:r>
      <w:r w:rsidR="002B4A0A">
        <w:t>.</w:t>
      </w:r>
    </w:p>
    <w:p w:rsidR="007B4E9C" w:rsidRDefault="007B4E9C">
      <w:pPr>
        <w:pStyle w:val="FigureTitle"/>
      </w:pPr>
      <w:bookmarkStart w:id="8" w:name="_Ref331687706"/>
      <w:bookmarkStart w:id="9" w:name="_Ref331687717"/>
      <w:r>
        <w:rPr>
          <w:b w:val="0"/>
        </w:rPr>
        <w:t xml:space="preserve">Figure </w:t>
      </w:r>
      <w:bookmarkStart w:id="10" w:name="OLE_LINK3"/>
      <w:r w:rsidR="0004360F">
        <w:rPr>
          <w:b w:val="0"/>
        </w:rPr>
        <w:t>17.</w:t>
      </w:r>
      <w:r w:rsidR="00E92B84">
        <w:rPr>
          <w:b w:val="0"/>
          <w:noProof/>
        </w:rPr>
        <w:t>3</w:t>
      </w:r>
      <w:bookmarkEnd w:id="8"/>
      <w:bookmarkEnd w:id="10"/>
      <w:r>
        <w:tab/>
        <w:t>Physical interconnection between regions</w:t>
      </w:r>
      <w:bookmarkEnd w:id="9"/>
      <w:r w:rsidR="004C13CA" w:rsidRPr="00F60310">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B4E9C">
        <w:tc>
          <w:tcPr>
            <w:tcW w:w="8777" w:type="dxa"/>
          </w:tcPr>
          <w:p w:rsidR="007B4E9C" w:rsidRDefault="007B4E9C">
            <w:pPr>
              <w:pStyle w:val="Figure"/>
            </w:pPr>
            <w:r>
              <w:rPr>
                <w:noProof/>
              </w:rPr>
              <w:drawing>
                <wp:inline distT="0" distB="0" distL="0" distR="0" wp14:anchorId="77A38858" wp14:editId="57B29B9E">
                  <wp:extent cx="4876800" cy="2943225"/>
                  <wp:effectExtent l="0" t="0" r="0" b="9525"/>
                  <wp:docPr id="3" name="Picture 3" descr="Physical interconnection between regions. This figure shows how generators, regional reference nodes and demand centres are connected. Unlike the earlier graph this shows how interconnectors are physically linked. They are like a set of lines joining different networks, like multiple strands in a spider’s 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498" r="-498"/>
                          <a:stretch/>
                        </pic:blipFill>
                        <pic:spPr>
                          <a:xfrm>
                            <a:off x="0" y="0"/>
                            <a:ext cx="4879376" cy="2944780"/>
                          </a:xfrm>
                          <a:prstGeom prst="rect">
                            <a:avLst/>
                          </a:prstGeom>
                        </pic:spPr>
                      </pic:pic>
                    </a:graphicData>
                  </a:graphic>
                </wp:inline>
              </w:drawing>
            </w:r>
          </w:p>
        </w:tc>
      </w:tr>
    </w:tbl>
    <w:p w:rsidR="004C13CA" w:rsidRDefault="004C13CA">
      <w:pPr>
        <w:pStyle w:val="Source"/>
        <w:rPr>
          <w:i/>
        </w:rPr>
      </w:pPr>
      <w:r>
        <w:rPr>
          <w:rStyle w:val="NoteLabel"/>
        </w:rPr>
        <w:t>a</w:t>
      </w:r>
      <w:r>
        <w:t xml:space="preserve"> ‘G’ represents generators, ‘</w:t>
      </w:r>
      <w:proofErr w:type="spellStart"/>
      <w:r>
        <w:t>RRN</w:t>
      </w:r>
      <w:proofErr w:type="spellEnd"/>
      <w:r>
        <w:t>’ represents the regional reference node and ‘L’ represents load (demand centres)</w:t>
      </w:r>
    </w:p>
    <w:p w:rsidR="007B4E9C" w:rsidRDefault="007B4E9C">
      <w:pPr>
        <w:pStyle w:val="Source"/>
      </w:pPr>
      <w:r>
        <w:rPr>
          <w:i/>
        </w:rPr>
        <w:t>Source</w:t>
      </w:r>
      <w:r w:rsidRPr="00167F06">
        <w:t xml:space="preserve">: </w:t>
      </w:r>
      <w:proofErr w:type="spellStart"/>
      <w:r>
        <w:t>AEMO</w:t>
      </w:r>
      <w:proofErr w:type="spellEnd"/>
      <w:r>
        <w:t>, sub. 32</w:t>
      </w:r>
      <w:r w:rsidR="002B4A0A">
        <w:t>.</w:t>
      </w:r>
    </w:p>
    <w:p w:rsidR="005D7F50" w:rsidRPr="007B4E9C" w:rsidRDefault="00F05278" w:rsidP="005D7F50">
      <w:pPr>
        <w:pStyle w:val="BodyText"/>
      </w:pPr>
      <w:r>
        <w:lastRenderedPageBreak/>
        <w:t xml:space="preserve">The complexity of physical electricity networks has important policy implications. </w:t>
      </w:r>
      <w:r w:rsidR="003E28B0">
        <w:t>When</w:t>
      </w:r>
      <w:r w:rsidR="005D7F50">
        <w:t xml:space="preserve"> electricity network</w:t>
      </w:r>
      <w:r w:rsidR="003E28B0">
        <w:t>s are linked</w:t>
      </w:r>
      <w:r w:rsidR="005D7F50">
        <w:t xml:space="preserve">, the capacity of one line can be heavily influenced by the capacity of lines connected to it. In effect, the </w:t>
      </w:r>
      <w:r w:rsidR="003766CD">
        <w:t xml:space="preserve">maximum </w:t>
      </w:r>
      <w:r w:rsidR="005D7F50">
        <w:t xml:space="preserve">amount of power an interconnector can transport </w:t>
      </w:r>
      <w:r w:rsidR="003766CD">
        <w:t>is</w:t>
      </w:r>
      <w:r w:rsidR="005D7F50">
        <w:t xml:space="preserve"> irrelevant if </w:t>
      </w:r>
      <w:r w:rsidR="00A84284">
        <w:t xml:space="preserve">the </w:t>
      </w:r>
      <w:r w:rsidR="005D7F50">
        <w:t xml:space="preserve">capacity </w:t>
      </w:r>
      <w:r w:rsidR="00A84284">
        <w:t xml:space="preserve">of </w:t>
      </w:r>
      <w:r w:rsidR="005D7F50">
        <w:t xml:space="preserve">the lines ‘behind’ the interconnector at any given time is </w:t>
      </w:r>
      <w:r w:rsidR="0033453C">
        <w:t>lower</w:t>
      </w:r>
      <w:r w:rsidR="005D7F50">
        <w:t xml:space="preserve">. For example, if </w:t>
      </w:r>
      <w:r w:rsidR="00F650B7">
        <w:t>an interconnector has a capacity of 200 MW</w:t>
      </w:r>
      <w:r w:rsidR="005D7F50">
        <w:t xml:space="preserve">, but constraints within </w:t>
      </w:r>
      <w:r w:rsidR="0033453C">
        <w:t xml:space="preserve">the </w:t>
      </w:r>
      <w:r w:rsidR="005D7F50">
        <w:t>region</w:t>
      </w:r>
      <w:r w:rsidR="0033453C">
        <w:t>s</w:t>
      </w:r>
      <w:r w:rsidR="005D7F50">
        <w:t xml:space="preserve"> mean that only 100</w:t>
      </w:r>
      <w:r w:rsidR="003766CD">
        <w:t> </w:t>
      </w:r>
      <w:r w:rsidR="005D7F50">
        <w:t xml:space="preserve">MW can reach the interconnector, then the binding factor that determines the amount of power that </w:t>
      </w:r>
      <w:r w:rsidR="002A447E">
        <w:t xml:space="preserve">can </w:t>
      </w:r>
      <w:r w:rsidR="005D7F50">
        <w:t xml:space="preserve">be </w:t>
      </w:r>
      <w:r w:rsidR="0033453C">
        <w:t>traded</w:t>
      </w:r>
      <w:r w:rsidR="000368FE">
        <w:t xml:space="preserve"> is the 100 MW constraint</w:t>
      </w:r>
      <w:r w:rsidR="00AE3AEF">
        <w:t>.</w:t>
      </w:r>
      <w:r w:rsidR="005D7F50">
        <w:t xml:space="preserve"> </w:t>
      </w:r>
    </w:p>
    <w:p w:rsidR="00C831B4" w:rsidRPr="007B4E9C" w:rsidRDefault="00C831B4" w:rsidP="00C831B4">
      <w:pPr>
        <w:pStyle w:val="BodyText"/>
      </w:pPr>
      <w:r>
        <w:t>Further, the operation of Kirchhoff’s law</w:t>
      </w:r>
      <w:r>
        <w:rPr>
          <w:rStyle w:val="FootnoteReference"/>
        </w:rPr>
        <w:footnoteReference w:id="1"/>
      </w:r>
      <w:r>
        <w:t xml:space="preserve"> in an AC network (like the </w:t>
      </w:r>
      <w:proofErr w:type="spellStart"/>
      <w:r>
        <w:t>NEM</w:t>
      </w:r>
      <w:proofErr w:type="spellEnd"/>
      <w:r>
        <w:t>) means that a constraint on any given line will likely have some impact on a number of other lines (not just a directly connected line), particularly in areas where the network is meshed (rather than radial).</w:t>
      </w:r>
      <w:r w:rsidR="00D92EF1">
        <w:rPr>
          <w:rStyle w:val="FootnoteReference"/>
        </w:rPr>
        <w:footnoteReference w:id="2"/>
      </w:r>
      <w:r>
        <w:t xml:space="preserve"> </w:t>
      </w:r>
    </w:p>
    <w:p w:rsidR="005D7F50" w:rsidRDefault="00CD178C" w:rsidP="005D7F50">
      <w:pPr>
        <w:pStyle w:val="BodyText"/>
      </w:pPr>
      <w:r>
        <w:t>Accordingly, while the ‘capacity’ of individual interconne</w:t>
      </w:r>
      <w:r w:rsidRPr="00E821DD">
        <w:t>ctors</w:t>
      </w:r>
      <w:r>
        <w:t xml:space="preserve"> can generally be identified (table</w:t>
      </w:r>
      <w:r w:rsidR="006E472D">
        <w:t xml:space="preserve"> 17.1</w:t>
      </w:r>
      <w:r>
        <w:t xml:space="preserve">), these figures refer to </w:t>
      </w:r>
      <w:r w:rsidR="00F70B5E">
        <w:t>the capacity</w:t>
      </w:r>
      <w:r>
        <w:t xml:space="preserve"> </w:t>
      </w:r>
      <w:r w:rsidR="00F70B5E">
        <w:t>of</w:t>
      </w:r>
      <w:r>
        <w:t xml:space="preserve"> the interconnector</w:t>
      </w:r>
      <w:r w:rsidR="00A90FB7">
        <w:t>s</w:t>
      </w:r>
      <w:r>
        <w:t xml:space="preserve"> </w:t>
      </w:r>
      <w:r w:rsidR="00A90FB7">
        <w:t>themselves</w:t>
      </w:r>
      <w:r w:rsidR="00FF0FBD">
        <w:t>,</w:t>
      </w:r>
      <w:r w:rsidR="00596B56">
        <w:rPr>
          <w:rStyle w:val="FootnoteReference"/>
        </w:rPr>
        <w:footnoteReference w:id="3"/>
      </w:r>
      <w:r w:rsidR="00FF0FBD">
        <w:t xml:space="preserve"> ignoring </w:t>
      </w:r>
      <w:r w:rsidR="00A90FB7">
        <w:t xml:space="preserve">any </w:t>
      </w:r>
      <w:r w:rsidR="00FF0FBD">
        <w:t>constraints behind the interconnector</w:t>
      </w:r>
      <w:r w:rsidR="00A90FB7">
        <w:t>s</w:t>
      </w:r>
      <w:r>
        <w:t>.</w:t>
      </w:r>
      <w:r w:rsidR="00C831B4">
        <w:rPr>
          <w:rStyle w:val="FootnoteReference"/>
        </w:rPr>
        <w:footnoteReference w:id="4"/>
      </w:r>
      <w:r w:rsidR="00C831B4">
        <w:t xml:space="preserve"> </w:t>
      </w:r>
      <w:r>
        <w:t xml:space="preserve">In the day-to-day operation of the system, </w:t>
      </w:r>
      <w:r w:rsidR="00C831B4">
        <w:t xml:space="preserve">built capacity, </w:t>
      </w:r>
      <w:r>
        <w:t xml:space="preserve">congestion </w:t>
      </w:r>
      <w:r w:rsidR="005D7F50">
        <w:t>and</w:t>
      </w:r>
      <w:r>
        <w:t xml:space="preserve"> faults on other lines</w:t>
      </w:r>
      <w:r w:rsidR="0090434B">
        <w:t>,</w:t>
      </w:r>
      <w:r>
        <w:t xml:space="preserve"> </w:t>
      </w:r>
      <w:r w:rsidR="00C831B4">
        <w:t>as well as the location and behaviour of generators</w:t>
      </w:r>
      <w:r w:rsidR="0090434B">
        <w:t>,</w:t>
      </w:r>
      <w:r w:rsidR="00C831B4">
        <w:t xml:space="preserve"> and the weather</w:t>
      </w:r>
      <w:r>
        <w:t xml:space="preserve"> can limit the degree of </w:t>
      </w:r>
      <w:r w:rsidR="00F05278" w:rsidRPr="00F05278">
        <w:rPr>
          <w:i/>
        </w:rPr>
        <w:t>interconnection</w:t>
      </w:r>
      <w:r w:rsidR="00F05278">
        <w:t xml:space="preserve"> </w:t>
      </w:r>
      <w:r>
        <w:t xml:space="preserve">(that is the amount of power that can be transferred between regions) to below the listed levels. </w:t>
      </w:r>
      <w:r w:rsidR="005D7F50">
        <w:t xml:space="preserve">As the </w:t>
      </w:r>
      <w:r w:rsidR="009F5C67">
        <w:t>Australian Energy Market Commission (</w:t>
      </w:r>
      <w:proofErr w:type="spellStart"/>
      <w:r w:rsidR="005D7F50">
        <w:t>AEMC</w:t>
      </w:r>
      <w:proofErr w:type="spellEnd"/>
      <w:r w:rsidR="009F5C67">
        <w:t>)</w:t>
      </w:r>
      <w:r w:rsidR="005D7F50">
        <w:t xml:space="preserve"> noted in the Transmission Frameworks Review interim report, this degree of network linkage highlights:</w:t>
      </w:r>
    </w:p>
    <w:p w:rsidR="005D7F50" w:rsidRDefault="005D7F50" w:rsidP="005D7F50">
      <w:pPr>
        <w:pStyle w:val="Quote"/>
      </w:pPr>
      <w:r>
        <w:t xml:space="preserve"> … the difficulty of considering intra-regional investments in isolation, since a very large proportion of all transmission investment with a mitigating impact on network constraints will have some inter-regional effect. This is illustrated by recent analysis </w:t>
      </w:r>
      <w:r>
        <w:lastRenderedPageBreak/>
        <w:t>performed for the [</w:t>
      </w:r>
      <w:proofErr w:type="spellStart"/>
      <w:r>
        <w:t>AEMC</w:t>
      </w:r>
      <w:proofErr w:type="spellEnd"/>
      <w:r>
        <w:t>], which found that approximately two-thirds of all constraint equations contain an inter-regional term. (</w:t>
      </w:r>
      <w:proofErr w:type="spellStart"/>
      <w:r>
        <w:t>AEMC</w:t>
      </w:r>
      <w:proofErr w:type="spellEnd"/>
      <w:r>
        <w:t xml:space="preserve"> 2011</w:t>
      </w:r>
      <w:r w:rsidR="00997621">
        <w:t>f</w:t>
      </w:r>
      <w:r>
        <w:t>, p. 136)</w:t>
      </w:r>
    </w:p>
    <w:p w:rsidR="00703161" w:rsidRDefault="00703161" w:rsidP="00703161">
      <w:pPr>
        <w:pStyle w:val="BodyText"/>
      </w:pPr>
      <w:r>
        <w:t>A particular example of this is the Vic</w:t>
      </w:r>
      <w:r w:rsidR="009F5C67">
        <w:t>toria</w:t>
      </w:r>
      <w:r w:rsidR="0090434B">
        <w:t>–</w:t>
      </w:r>
      <w:r>
        <w:t>N</w:t>
      </w:r>
      <w:r w:rsidR="009F5C67">
        <w:t xml:space="preserve">ew </w:t>
      </w:r>
      <w:r>
        <w:t>S</w:t>
      </w:r>
      <w:r w:rsidR="009F5C67">
        <w:t xml:space="preserve">outh </w:t>
      </w:r>
      <w:r>
        <w:t>W</w:t>
      </w:r>
      <w:r w:rsidR="009F5C67">
        <w:t>ales</w:t>
      </w:r>
      <w:r>
        <w:t xml:space="preserve"> notional interconnector, where the capacity of the ‘wires across the border’ </w:t>
      </w:r>
      <w:r w:rsidR="00F05278">
        <w:t xml:space="preserve">is </w:t>
      </w:r>
      <w:r>
        <w:t xml:space="preserve">rarely the limiting factor. </w:t>
      </w:r>
      <w:r w:rsidR="005B2BBE">
        <w:t>The limit is instead set by</w:t>
      </w:r>
      <w:r>
        <w:t xml:space="preserve"> </w:t>
      </w:r>
      <w:r w:rsidR="005B2BBE">
        <w:t xml:space="preserve">network </w:t>
      </w:r>
      <w:r>
        <w:t>constraints within Victoria and N</w:t>
      </w:r>
      <w:r w:rsidR="009F5C67">
        <w:t xml:space="preserve">ew </w:t>
      </w:r>
      <w:r>
        <w:t>S</w:t>
      </w:r>
      <w:r w:rsidR="009F5C67">
        <w:t xml:space="preserve">outh </w:t>
      </w:r>
      <w:r>
        <w:t>W</w:t>
      </w:r>
      <w:r w:rsidR="009F5C67">
        <w:t>ales</w:t>
      </w:r>
      <w:r>
        <w:t>, particularly around Yass (</w:t>
      </w:r>
      <w:proofErr w:type="spellStart"/>
      <w:r>
        <w:t>AEMO</w:t>
      </w:r>
      <w:proofErr w:type="spellEnd"/>
      <w:r>
        <w:t xml:space="preserve"> 2012</w:t>
      </w:r>
      <w:r w:rsidR="00997621">
        <w:t>f</w:t>
      </w:r>
      <w:r>
        <w:t xml:space="preserve">, p. 6), as well as the dispatch (or loss) of large generation units on either side of the border. Given that these other factors regularly </w:t>
      </w:r>
      <w:r w:rsidR="00AF5513">
        <w:t xml:space="preserve">determine flows </w:t>
      </w:r>
      <w:r>
        <w:t>between Victoria and N</w:t>
      </w:r>
      <w:r w:rsidR="009F5C67">
        <w:t xml:space="preserve">ew </w:t>
      </w:r>
      <w:r>
        <w:t>S</w:t>
      </w:r>
      <w:r w:rsidR="009F5C67">
        <w:t xml:space="preserve">outh </w:t>
      </w:r>
      <w:r>
        <w:t>W</w:t>
      </w:r>
      <w:r w:rsidR="009F5C67">
        <w:t>ales</w:t>
      </w:r>
      <w:r>
        <w:t xml:space="preserve">, it is difficult to ascribe a single capacity limit to the ‘interconnector’ itself. Although </w:t>
      </w:r>
      <w:r w:rsidR="009F5C67">
        <w:t>the Australian Energy Market Operator’s (</w:t>
      </w:r>
      <w:proofErr w:type="spellStart"/>
      <w:r>
        <w:t>AEMO</w:t>
      </w:r>
      <w:proofErr w:type="spellEnd"/>
      <w:r w:rsidR="009F5C67">
        <w:t>)</w:t>
      </w:r>
      <w:r>
        <w:t xml:space="preserve"> settlement residue auction</w:t>
      </w:r>
      <w:r w:rsidR="009B2970">
        <w:t xml:space="preserve"> </w:t>
      </w:r>
      <w:r>
        <w:t>process has nominated 1500</w:t>
      </w:r>
      <w:r w:rsidR="00AF5513">
        <w:t> </w:t>
      </w:r>
      <w:r>
        <w:t>MW as the ‘northerly’ limit for the interconnector, this is purely for financial and not physical reasons.</w:t>
      </w:r>
      <w:r w:rsidR="008E2F49">
        <w:rPr>
          <w:rStyle w:val="FootnoteReference"/>
        </w:rPr>
        <w:footnoteReference w:id="5"/>
      </w:r>
      <w:r>
        <w:t xml:space="preserve"> Nonetheless, the figures </w:t>
      </w:r>
      <w:r w:rsidR="00AF5513">
        <w:t>in table </w:t>
      </w:r>
      <w:r w:rsidR="006E472D">
        <w:t>17.1</w:t>
      </w:r>
      <w:r w:rsidR="00AF5513">
        <w:t xml:space="preserve"> still provide useful predictors of </w:t>
      </w:r>
      <w:r>
        <w:t>observed flows. For example, during the week of 30</w:t>
      </w:r>
      <w:r w:rsidR="00144571">
        <w:t> </w:t>
      </w:r>
      <w:r>
        <w:t>January 2011, when temperatures in Sydney were over 40</w:t>
      </w:r>
      <w:r w:rsidR="008932AE">
        <w:rPr>
          <w:rFonts w:cs="Arial"/>
        </w:rPr>
        <w:t>º</w:t>
      </w:r>
      <w:r w:rsidR="008932AE">
        <w:t>C</w:t>
      </w:r>
      <w:r>
        <w:t>, the flow on the interconnector was recorded as approaching, and in two instances</w:t>
      </w:r>
      <w:r w:rsidR="00AF5513">
        <w:t>,</w:t>
      </w:r>
      <w:r>
        <w:t xml:space="preserve"> marginally exceeding, 1500</w:t>
      </w:r>
      <w:r w:rsidR="0049514B">
        <w:t> </w:t>
      </w:r>
      <w:r>
        <w:t>MW (</w:t>
      </w:r>
      <w:proofErr w:type="spellStart"/>
      <w:r>
        <w:t>AEMO</w:t>
      </w:r>
      <w:proofErr w:type="spellEnd"/>
      <w:r>
        <w:t xml:space="preserve"> 2011</w:t>
      </w:r>
      <w:r w:rsidR="004E2E15">
        <w:t>d</w:t>
      </w:r>
      <w:r>
        <w:t>, pp. 4</w:t>
      </w:r>
      <w:r>
        <w:softHyphen/>
        <w:t xml:space="preserve">5). </w:t>
      </w:r>
    </w:p>
    <w:p w:rsidR="00C831B4" w:rsidRDefault="00C831B4" w:rsidP="00C831B4">
      <w:pPr>
        <w:pStyle w:val="TableTitle"/>
      </w:pPr>
      <w:r>
        <w:rPr>
          <w:b w:val="0"/>
        </w:rPr>
        <w:t xml:space="preserve">Table </w:t>
      </w:r>
      <w:bookmarkStart w:id="11" w:name="OLE_LINK4"/>
      <w:r w:rsidR="0004360F">
        <w:rPr>
          <w:b w:val="0"/>
        </w:rPr>
        <w:t>17.</w:t>
      </w:r>
      <w:r w:rsidR="00E92B84">
        <w:rPr>
          <w:b w:val="0"/>
          <w:noProof/>
        </w:rPr>
        <w:t>1</w:t>
      </w:r>
      <w:bookmarkEnd w:id="11"/>
      <w:r>
        <w:tab/>
        <w:t>Interconnector capacity in the N</w:t>
      </w:r>
      <w:r w:rsidR="009F5C67">
        <w:t xml:space="preserve">ational </w:t>
      </w:r>
      <w:r>
        <w:t>E</w:t>
      </w:r>
      <w:r w:rsidR="009F5C67">
        <w:t xml:space="preserve">lectricity </w:t>
      </w:r>
      <w:r>
        <w:t>M</w:t>
      </w:r>
      <w:r w:rsidR="009F5C67">
        <w:t>arket</w:t>
      </w:r>
    </w:p>
    <w:p w:rsidR="00C831B4" w:rsidRDefault="00C831B4" w:rsidP="00C831B4">
      <w:pPr>
        <w:pStyle w:val="Subtitle"/>
      </w:pPr>
      <w:r>
        <w:t xml:space="preserve"> MW</w:t>
      </w:r>
    </w:p>
    <w:tbl>
      <w:tblPr>
        <w:tblW w:w="5000" w:type="pct"/>
        <w:tblCellMar>
          <w:left w:w="0" w:type="dxa"/>
          <w:right w:w="0" w:type="dxa"/>
        </w:tblCellMar>
        <w:tblLook w:val="0000" w:firstRow="0" w:lastRow="0" w:firstColumn="0" w:lastColumn="0" w:noHBand="0" w:noVBand="0"/>
      </w:tblPr>
      <w:tblGrid>
        <w:gridCol w:w="1544"/>
        <w:gridCol w:w="1775"/>
        <w:gridCol w:w="1559"/>
        <w:gridCol w:w="1812"/>
        <w:gridCol w:w="2099"/>
      </w:tblGrid>
      <w:tr w:rsidR="009F6B19" w:rsidTr="00D874CE">
        <w:tc>
          <w:tcPr>
            <w:tcW w:w="878" w:type="pct"/>
            <w:tcBorders>
              <w:top w:val="single" w:sz="6" w:space="0" w:color="auto"/>
              <w:bottom w:val="single" w:sz="6" w:space="0" w:color="auto"/>
            </w:tcBorders>
            <w:shd w:val="clear" w:color="auto" w:fill="auto"/>
          </w:tcPr>
          <w:p w:rsidR="009F6B19" w:rsidRDefault="009F6B19" w:rsidP="00F8489D">
            <w:pPr>
              <w:pStyle w:val="TableColumnHeading"/>
              <w:jc w:val="left"/>
            </w:pPr>
            <w:r>
              <w:t xml:space="preserve">Interconnector </w:t>
            </w:r>
          </w:p>
        </w:tc>
        <w:tc>
          <w:tcPr>
            <w:tcW w:w="1010" w:type="pct"/>
            <w:tcBorders>
              <w:top w:val="single" w:sz="6" w:space="0" w:color="auto"/>
              <w:bottom w:val="single" w:sz="6" w:space="0" w:color="auto"/>
            </w:tcBorders>
          </w:tcPr>
          <w:p w:rsidR="009F6B19" w:rsidRDefault="009B26F4" w:rsidP="00F8489D">
            <w:pPr>
              <w:pStyle w:val="TableColumnHeading"/>
            </w:pPr>
            <w:r>
              <w:t>Direction</w:t>
            </w:r>
          </w:p>
        </w:tc>
        <w:tc>
          <w:tcPr>
            <w:tcW w:w="887" w:type="pct"/>
            <w:tcBorders>
              <w:top w:val="single" w:sz="6" w:space="0" w:color="auto"/>
              <w:bottom w:val="single" w:sz="6" w:space="0" w:color="auto"/>
            </w:tcBorders>
            <w:shd w:val="clear" w:color="auto" w:fill="auto"/>
          </w:tcPr>
          <w:p w:rsidR="009F6B19" w:rsidRDefault="009F6B19" w:rsidP="00F8489D">
            <w:pPr>
              <w:pStyle w:val="TableColumnHeading"/>
            </w:pPr>
            <w:r>
              <w:t>Technology</w:t>
            </w:r>
          </w:p>
        </w:tc>
        <w:tc>
          <w:tcPr>
            <w:tcW w:w="1031" w:type="pct"/>
            <w:tcBorders>
              <w:top w:val="single" w:sz="6" w:space="0" w:color="auto"/>
              <w:bottom w:val="single" w:sz="6" w:space="0" w:color="auto"/>
            </w:tcBorders>
            <w:shd w:val="clear" w:color="auto" w:fill="auto"/>
          </w:tcPr>
          <w:p w:rsidR="009F6B19" w:rsidRDefault="009F6B19" w:rsidP="0078263C">
            <w:pPr>
              <w:pStyle w:val="TableColumnHeading"/>
              <w:ind w:right="28"/>
            </w:pPr>
            <w:r>
              <w:t>Capacity</w:t>
            </w:r>
          </w:p>
        </w:tc>
        <w:tc>
          <w:tcPr>
            <w:tcW w:w="1194" w:type="pct"/>
            <w:tcBorders>
              <w:top w:val="single" w:sz="6" w:space="0" w:color="auto"/>
              <w:bottom w:val="single" w:sz="6" w:space="0" w:color="auto"/>
            </w:tcBorders>
          </w:tcPr>
          <w:p w:rsidR="009F6B19" w:rsidRDefault="009F6B19" w:rsidP="00F8489D">
            <w:pPr>
              <w:pStyle w:val="TableColumnHeading"/>
              <w:ind w:right="28"/>
            </w:pPr>
            <w:r>
              <w:t>Peak observed flows</w:t>
            </w:r>
            <w:r w:rsidR="002A447E" w:rsidRPr="009F6B19">
              <w:rPr>
                <w:rStyle w:val="NoteLabel"/>
              </w:rPr>
              <w:t xml:space="preserve"> b</w:t>
            </w:r>
          </w:p>
        </w:tc>
      </w:tr>
      <w:tr w:rsidR="009F6B19" w:rsidTr="00D874CE">
        <w:tc>
          <w:tcPr>
            <w:tcW w:w="878" w:type="pct"/>
            <w:tcBorders>
              <w:top w:val="single" w:sz="6" w:space="0" w:color="auto"/>
            </w:tcBorders>
          </w:tcPr>
          <w:p w:rsidR="009F6B19" w:rsidRDefault="009F6B19" w:rsidP="00B11054">
            <w:pPr>
              <w:pStyle w:val="TableUnitsRow"/>
              <w:jc w:val="left"/>
            </w:pPr>
            <w:proofErr w:type="spellStart"/>
            <w:r>
              <w:t>QNI</w:t>
            </w:r>
            <w:proofErr w:type="spellEnd"/>
            <w:r>
              <w:t xml:space="preserve"> </w:t>
            </w:r>
          </w:p>
        </w:tc>
        <w:tc>
          <w:tcPr>
            <w:tcW w:w="1010" w:type="pct"/>
            <w:tcBorders>
              <w:top w:val="single" w:sz="6" w:space="0" w:color="auto"/>
            </w:tcBorders>
          </w:tcPr>
          <w:p w:rsidR="009F6B19" w:rsidRDefault="009F6B19" w:rsidP="00F8489D">
            <w:pPr>
              <w:pStyle w:val="TableUnitsRow"/>
            </w:pPr>
            <w:r>
              <w:t>(Qld to NSW)</w:t>
            </w:r>
          </w:p>
        </w:tc>
        <w:tc>
          <w:tcPr>
            <w:tcW w:w="887" w:type="pct"/>
            <w:tcBorders>
              <w:top w:val="single" w:sz="6" w:space="0" w:color="auto"/>
            </w:tcBorders>
          </w:tcPr>
          <w:p w:rsidR="009F6B19" w:rsidRDefault="009F6B19" w:rsidP="00F8489D">
            <w:pPr>
              <w:pStyle w:val="TableUnitsRow"/>
            </w:pPr>
            <w:r>
              <w:t>AC</w:t>
            </w:r>
          </w:p>
        </w:tc>
        <w:tc>
          <w:tcPr>
            <w:tcW w:w="1031" w:type="pct"/>
            <w:tcBorders>
              <w:top w:val="single" w:sz="6" w:space="0" w:color="auto"/>
            </w:tcBorders>
          </w:tcPr>
          <w:p w:rsidR="009F6B19" w:rsidRDefault="009F6B19" w:rsidP="00F8489D">
            <w:pPr>
              <w:pStyle w:val="TableUnitsRow"/>
              <w:ind w:right="28"/>
            </w:pPr>
            <w:r>
              <w:t>1078</w:t>
            </w:r>
          </w:p>
        </w:tc>
        <w:tc>
          <w:tcPr>
            <w:tcW w:w="1194" w:type="pct"/>
            <w:tcBorders>
              <w:top w:val="single" w:sz="6" w:space="0" w:color="auto"/>
            </w:tcBorders>
          </w:tcPr>
          <w:p w:rsidR="009F6B19" w:rsidRDefault="00077FBB" w:rsidP="00F8489D">
            <w:pPr>
              <w:pStyle w:val="TableUnitsRow"/>
              <w:ind w:right="28"/>
            </w:pPr>
            <w:r>
              <w:t>1060</w:t>
            </w:r>
          </w:p>
        </w:tc>
      </w:tr>
      <w:tr w:rsidR="009F6B19" w:rsidTr="00D874CE">
        <w:tc>
          <w:tcPr>
            <w:tcW w:w="878" w:type="pct"/>
          </w:tcPr>
          <w:p w:rsidR="009F6B19" w:rsidRDefault="009F6B19" w:rsidP="00B11054">
            <w:pPr>
              <w:pStyle w:val="TableBodyText"/>
              <w:spacing w:before="40"/>
              <w:jc w:val="left"/>
            </w:pPr>
          </w:p>
        </w:tc>
        <w:tc>
          <w:tcPr>
            <w:tcW w:w="1010" w:type="pct"/>
          </w:tcPr>
          <w:p w:rsidR="009F6B19" w:rsidRDefault="009F6B19" w:rsidP="00B11054">
            <w:pPr>
              <w:pStyle w:val="TableBodyText"/>
              <w:spacing w:before="40"/>
            </w:pPr>
            <w:r>
              <w:t>(NSW to Qld)</w:t>
            </w:r>
          </w:p>
        </w:tc>
        <w:tc>
          <w:tcPr>
            <w:tcW w:w="887" w:type="pct"/>
          </w:tcPr>
          <w:p w:rsidR="009F6B19" w:rsidRDefault="009F6B19" w:rsidP="00B11054">
            <w:pPr>
              <w:pStyle w:val="TableBodyText"/>
              <w:spacing w:before="40"/>
            </w:pPr>
            <w:r>
              <w:t>AC</w:t>
            </w:r>
          </w:p>
        </w:tc>
        <w:tc>
          <w:tcPr>
            <w:tcW w:w="1031" w:type="pct"/>
          </w:tcPr>
          <w:p w:rsidR="009F6B19" w:rsidRDefault="009F6B19" w:rsidP="00B11054">
            <w:pPr>
              <w:pStyle w:val="TableBodyText"/>
              <w:spacing w:before="40"/>
              <w:ind w:right="28"/>
            </w:pPr>
            <w:r>
              <w:t>700</w:t>
            </w:r>
          </w:p>
        </w:tc>
        <w:tc>
          <w:tcPr>
            <w:tcW w:w="1194" w:type="pct"/>
          </w:tcPr>
          <w:p w:rsidR="009F6B19" w:rsidRDefault="00077FBB" w:rsidP="00B11054">
            <w:pPr>
              <w:pStyle w:val="TableBodyText"/>
              <w:spacing w:before="40"/>
              <w:ind w:right="28"/>
            </w:pPr>
            <w:r>
              <w:t>2</w:t>
            </w:r>
            <w:r w:rsidR="00FA720E">
              <w:t>0</w:t>
            </w:r>
          </w:p>
        </w:tc>
      </w:tr>
      <w:tr w:rsidR="009F6B19" w:rsidTr="00D874CE">
        <w:tc>
          <w:tcPr>
            <w:tcW w:w="878" w:type="pct"/>
            <w:shd w:val="clear" w:color="auto" w:fill="auto"/>
          </w:tcPr>
          <w:p w:rsidR="009F6B19" w:rsidRDefault="009F6B19" w:rsidP="00B11054">
            <w:pPr>
              <w:pStyle w:val="TableBodyText"/>
              <w:spacing w:before="40"/>
              <w:jc w:val="left"/>
            </w:pPr>
            <w:proofErr w:type="spellStart"/>
            <w:r>
              <w:t>Directlink</w:t>
            </w:r>
            <w:proofErr w:type="spellEnd"/>
          </w:p>
        </w:tc>
        <w:tc>
          <w:tcPr>
            <w:tcW w:w="1010" w:type="pct"/>
          </w:tcPr>
          <w:p w:rsidR="009F6B19" w:rsidRDefault="009F6B19" w:rsidP="00B11054">
            <w:pPr>
              <w:pStyle w:val="TableBodyText"/>
              <w:spacing w:before="40"/>
            </w:pPr>
          </w:p>
        </w:tc>
        <w:tc>
          <w:tcPr>
            <w:tcW w:w="887" w:type="pct"/>
            <w:shd w:val="clear" w:color="auto" w:fill="auto"/>
          </w:tcPr>
          <w:p w:rsidR="009F6B19" w:rsidRDefault="009F6B19" w:rsidP="00B11054">
            <w:pPr>
              <w:pStyle w:val="TableBodyText"/>
              <w:spacing w:before="40"/>
            </w:pPr>
            <w:r>
              <w:t>DC</w:t>
            </w:r>
          </w:p>
        </w:tc>
        <w:tc>
          <w:tcPr>
            <w:tcW w:w="1031" w:type="pct"/>
            <w:shd w:val="clear" w:color="auto" w:fill="auto"/>
          </w:tcPr>
          <w:p w:rsidR="009F6B19" w:rsidRPr="000F40B8" w:rsidRDefault="009F6B19" w:rsidP="00B11054">
            <w:pPr>
              <w:pStyle w:val="TableBodyText"/>
              <w:spacing w:before="40"/>
              <w:ind w:right="28"/>
              <w:rPr>
                <w:b/>
              </w:rPr>
            </w:pPr>
            <w:r>
              <w:t>200</w:t>
            </w:r>
          </w:p>
        </w:tc>
        <w:tc>
          <w:tcPr>
            <w:tcW w:w="1194" w:type="pct"/>
          </w:tcPr>
          <w:p w:rsidR="009F6B19" w:rsidRDefault="00077FBB" w:rsidP="00B11054">
            <w:pPr>
              <w:pStyle w:val="TableBodyText"/>
              <w:spacing w:before="40"/>
              <w:ind w:right="28"/>
            </w:pPr>
            <w:r>
              <w:t>207</w:t>
            </w:r>
          </w:p>
        </w:tc>
      </w:tr>
      <w:tr w:rsidR="009F6B19" w:rsidTr="00D874CE">
        <w:tc>
          <w:tcPr>
            <w:tcW w:w="878" w:type="pct"/>
            <w:shd w:val="clear" w:color="auto" w:fill="auto"/>
          </w:tcPr>
          <w:p w:rsidR="009F6B19" w:rsidRDefault="009F6B19" w:rsidP="00B11054">
            <w:pPr>
              <w:pStyle w:val="TableBodyText"/>
              <w:spacing w:before="40"/>
              <w:jc w:val="left"/>
            </w:pPr>
            <w:r>
              <w:t>Vic-NSW</w:t>
            </w:r>
          </w:p>
        </w:tc>
        <w:tc>
          <w:tcPr>
            <w:tcW w:w="1010" w:type="pct"/>
          </w:tcPr>
          <w:p w:rsidR="009F6B19" w:rsidRDefault="009F6B19" w:rsidP="00B11054">
            <w:pPr>
              <w:pStyle w:val="TableBodyText"/>
              <w:spacing w:before="40"/>
            </w:pPr>
            <w:r>
              <w:t>(Vic to NSW)</w:t>
            </w:r>
          </w:p>
        </w:tc>
        <w:tc>
          <w:tcPr>
            <w:tcW w:w="887" w:type="pct"/>
            <w:shd w:val="clear" w:color="auto" w:fill="auto"/>
          </w:tcPr>
          <w:p w:rsidR="009F6B19" w:rsidRDefault="009F6B19" w:rsidP="00B11054">
            <w:pPr>
              <w:pStyle w:val="TableBodyText"/>
              <w:spacing w:before="40"/>
            </w:pPr>
            <w:r>
              <w:t>AC</w:t>
            </w:r>
          </w:p>
        </w:tc>
        <w:tc>
          <w:tcPr>
            <w:tcW w:w="1031" w:type="pct"/>
            <w:shd w:val="clear" w:color="auto" w:fill="auto"/>
          </w:tcPr>
          <w:p w:rsidR="009F6B19" w:rsidRPr="00CD178C" w:rsidRDefault="009F6B19" w:rsidP="00B11054">
            <w:pPr>
              <w:pStyle w:val="TableBodyText"/>
              <w:spacing w:before="40"/>
              <w:ind w:right="28"/>
            </w:pPr>
            <w:r w:rsidRPr="00CD178C">
              <w:t>undefined</w:t>
            </w:r>
            <w:r w:rsidRPr="008E77FE">
              <w:rPr>
                <w:rStyle w:val="NoteLabel"/>
              </w:rPr>
              <w:t xml:space="preserve"> a</w:t>
            </w:r>
          </w:p>
        </w:tc>
        <w:tc>
          <w:tcPr>
            <w:tcW w:w="1194" w:type="pct"/>
          </w:tcPr>
          <w:p w:rsidR="009F6B19" w:rsidRPr="00CD178C" w:rsidRDefault="00077FBB" w:rsidP="00B11054">
            <w:pPr>
              <w:pStyle w:val="TableBodyText"/>
              <w:spacing w:before="40"/>
              <w:ind w:right="28"/>
            </w:pPr>
            <w:r>
              <w:t>1575</w:t>
            </w:r>
          </w:p>
        </w:tc>
      </w:tr>
      <w:tr w:rsidR="009F6B19" w:rsidTr="00D874CE">
        <w:tc>
          <w:tcPr>
            <w:tcW w:w="878" w:type="pct"/>
            <w:shd w:val="clear" w:color="auto" w:fill="auto"/>
          </w:tcPr>
          <w:p w:rsidR="009F6B19" w:rsidRDefault="009F6B19" w:rsidP="00B11054">
            <w:pPr>
              <w:pStyle w:val="TableBodyText"/>
              <w:spacing w:before="40"/>
              <w:jc w:val="left"/>
            </w:pPr>
          </w:p>
        </w:tc>
        <w:tc>
          <w:tcPr>
            <w:tcW w:w="1010" w:type="pct"/>
          </w:tcPr>
          <w:p w:rsidR="009F6B19" w:rsidRDefault="009F6B19" w:rsidP="00B11054">
            <w:pPr>
              <w:pStyle w:val="TableBodyText"/>
              <w:spacing w:before="40"/>
            </w:pPr>
            <w:r>
              <w:t>(NSW to Vic)</w:t>
            </w:r>
          </w:p>
        </w:tc>
        <w:tc>
          <w:tcPr>
            <w:tcW w:w="887" w:type="pct"/>
            <w:shd w:val="clear" w:color="auto" w:fill="auto"/>
          </w:tcPr>
          <w:p w:rsidR="009F6B19" w:rsidRDefault="009F6B19" w:rsidP="00B11054">
            <w:pPr>
              <w:pStyle w:val="TableBodyText"/>
              <w:spacing w:before="40"/>
            </w:pPr>
            <w:r>
              <w:t>AC</w:t>
            </w:r>
          </w:p>
        </w:tc>
        <w:tc>
          <w:tcPr>
            <w:tcW w:w="1031" w:type="pct"/>
            <w:shd w:val="clear" w:color="auto" w:fill="auto"/>
          </w:tcPr>
          <w:p w:rsidR="009F6B19" w:rsidRPr="00CD178C" w:rsidRDefault="009F6B19" w:rsidP="00B11054">
            <w:pPr>
              <w:pStyle w:val="TableBodyText"/>
              <w:spacing w:before="40"/>
              <w:ind w:right="28"/>
            </w:pPr>
            <w:r>
              <w:t>undefined</w:t>
            </w:r>
            <w:r w:rsidRPr="008E77FE">
              <w:rPr>
                <w:rStyle w:val="NoteLabel"/>
              </w:rPr>
              <w:t xml:space="preserve"> a</w:t>
            </w:r>
          </w:p>
        </w:tc>
        <w:tc>
          <w:tcPr>
            <w:tcW w:w="1194" w:type="pct"/>
          </w:tcPr>
          <w:p w:rsidR="009F6B19" w:rsidRDefault="00077FBB" w:rsidP="00B11054">
            <w:pPr>
              <w:pStyle w:val="TableBodyText"/>
              <w:spacing w:before="40"/>
              <w:ind w:right="28"/>
            </w:pPr>
            <w:r>
              <w:t>489</w:t>
            </w:r>
          </w:p>
        </w:tc>
      </w:tr>
      <w:tr w:rsidR="009F6B19" w:rsidTr="00D874CE">
        <w:tc>
          <w:tcPr>
            <w:tcW w:w="878" w:type="pct"/>
            <w:shd w:val="clear" w:color="auto" w:fill="auto"/>
          </w:tcPr>
          <w:p w:rsidR="009F6B19" w:rsidRDefault="009F6B19" w:rsidP="00B11054">
            <w:pPr>
              <w:pStyle w:val="TableBodyText"/>
              <w:spacing w:before="40"/>
              <w:jc w:val="left"/>
            </w:pPr>
            <w:proofErr w:type="spellStart"/>
            <w:r>
              <w:t>Basslink</w:t>
            </w:r>
            <w:proofErr w:type="spellEnd"/>
            <w:r>
              <w:t xml:space="preserve">    </w:t>
            </w:r>
          </w:p>
        </w:tc>
        <w:tc>
          <w:tcPr>
            <w:tcW w:w="1010" w:type="pct"/>
          </w:tcPr>
          <w:p w:rsidR="009F6B19" w:rsidRDefault="009F6B19" w:rsidP="00B11054">
            <w:pPr>
              <w:pStyle w:val="TableBodyText"/>
              <w:spacing w:before="40"/>
            </w:pPr>
            <w:r>
              <w:t>(</w:t>
            </w:r>
            <w:proofErr w:type="spellStart"/>
            <w:r>
              <w:t>Tas</w:t>
            </w:r>
            <w:proofErr w:type="spellEnd"/>
            <w:r>
              <w:t xml:space="preserve"> to Vic)</w:t>
            </w:r>
          </w:p>
        </w:tc>
        <w:tc>
          <w:tcPr>
            <w:tcW w:w="887" w:type="pct"/>
            <w:shd w:val="clear" w:color="auto" w:fill="auto"/>
          </w:tcPr>
          <w:p w:rsidR="009F6B19" w:rsidRDefault="009F6B19" w:rsidP="00B11054">
            <w:pPr>
              <w:pStyle w:val="TableBodyText"/>
              <w:spacing w:before="40"/>
            </w:pPr>
            <w:r>
              <w:t>DC</w:t>
            </w:r>
          </w:p>
        </w:tc>
        <w:tc>
          <w:tcPr>
            <w:tcW w:w="1031" w:type="pct"/>
            <w:shd w:val="clear" w:color="auto" w:fill="auto"/>
          </w:tcPr>
          <w:p w:rsidR="009F6B19" w:rsidRDefault="009F6B19" w:rsidP="00B11054">
            <w:pPr>
              <w:pStyle w:val="TableBodyText"/>
              <w:spacing w:before="40"/>
              <w:ind w:right="28"/>
            </w:pPr>
            <w:r>
              <w:t>600</w:t>
            </w:r>
          </w:p>
        </w:tc>
        <w:tc>
          <w:tcPr>
            <w:tcW w:w="1194" w:type="pct"/>
          </w:tcPr>
          <w:p w:rsidR="009F6B19" w:rsidRDefault="00077FBB" w:rsidP="00B11054">
            <w:pPr>
              <w:pStyle w:val="TableBodyText"/>
              <w:spacing w:before="40"/>
              <w:ind w:right="28"/>
            </w:pPr>
            <w:r>
              <w:t>594</w:t>
            </w:r>
          </w:p>
        </w:tc>
      </w:tr>
      <w:tr w:rsidR="009F6B19" w:rsidTr="00D874CE">
        <w:tc>
          <w:tcPr>
            <w:tcW w:w="878" w:type="pct"/>
            <w:shd w:val="clear" w:color="auto" w:fill="auto"/>
          </w:tcPr>
          <w:p w:rsidR="009F6B19" w:rsidRDefault="009F6B19" w:rsidP="00B11054">
            <w:pPr>
              <w:pStyle w:val="TableBodyText"/>
              <w:spacing w:before="40"/>
              <w:jc w:val="left"/>
            </w:pPr>
            <w:r>
              <w:t xml:space="preserve">                 </w:t>
            </w:r>
          </w:p>
        </w:tc>
        <w:tc>
          <w:tcPr>
            <w:tcW w:w="1010" w:type="pct"/>
          </w:tcPr>
          <w:p w:rsidR="009F6B19" w:rsidRDefault="009F6B19" w:rsidP="00B11054">
            <w:pPr>
              <w:pStyle w:val="TableBodyText"/>
              <w:spacing w:before="40"/>
            </w:pPr>
            <w:r>
              <w:t xml:space="preserve">(Vic to </w:t>
            </w:r>
            <w:proofErr w:type="spellStart"/>
            <w:r>
              <w:t>Tas</w:t>
            </w:r>
            <w:proofErr w:type="spellEnd"/>
            <w:r>
              <w:t>)</w:t>
            </w:r>
          </w:p>
        </w:tc>
        <w:tc>
          <w:tcPr>
            <w:tcW w:w="887" w:type="pct"/>
            <w:shd w:val="clear" w:color="auto" w:fill="auto"/>
          </w:tcPr>
          <w:p w:rsidR="009F6B19" w:rsidRDefault="009F6B19" w:rsidP="00B11054">
            <w:pPr>
              <w:pStyle w:val="TableBodyText"/>
              <w:spacing w:before="40"/>
            </w:pPr>
            <w:r>
              <w:t xml:space="preserve">DC </w:t>
            </w:r>
          </w:p>
        </w:tc>
        <w:tc>
          <w:tcPr>
            <w:tcW w:w="1031" w:type="pct"/>
            <w:shd w:val="clear" w:color="auto" w:fill="auto"/>
          </w:tcPr>
          <w:p w:rsidR="009F6B19" w:rsidRDefault="009F6B19" w:rsidP="00B11054">
            <w:pPr>
              <w:pStyle w:val="TableBodyText"/>
              <w:spacing w:before="40"/>
              <w:ind w:right="28"/>
            </w:pPr>
            <w:r>
              <w:t>480</w:t>
            </w:r>
          </w:p>
        </w:tc>
        <w:tc>
          <w:tcPr>
            <w:tcW w:w="1194" w:type="pct"/>
          </w:tcPr>
          <w:p w:rsidR="009F6B19" w:rsidRDefault="00077FBB" w:rsidP="00B11054">
            <w:pPr>
              <w:pStyle w:val="TableBodyText"/>
              <w:spacing w:before="40"/>
              <w:ind w:right="28"/>
            </w:pPr>
            <w:r>
              <w:t>416</w:t>
            </w:r>
          </w:p>
        </w:tc>
      </w:tr>
      <w:tr w:rsidR="009F6B19" w:rsidTr="00D874CE">
        <w:tc>
          <w:tcPr>
            <w:tcW w:w="878" w:type="pct"/>
            <w:shd w:val="clear" w:color="auto" w:fill="auto"/>
          </w:tcPr>
          <w:p w:rsidR="009F6B19" w:rsidRDefault="009F6B19" w:rsidP="00B11054">
            <w:pPr>
              <w:pStyle w:val="TableBodyText"/>
              <w:spacing w:before="40"/>
              <w:jc w:val="left"/>
            </w:pPr>
            <w:r>
              <w:t>Heywood</w:t>
            </w:r>
          </w:p>
        </w:tc>
        <w:tc>
          <w:tcPr>
            <w:tcW w:w="1010" w:type="pct"/>
          </w:tcPr>
          <w:p w:rsidR="009F6B19" w:rsidRDefault="002E1819" w:rsidP="00B11054">
            <w:pPr>
              <w:pStyle w:val="TableBodyText"/>
              <w:spacing w:before="40"/>
            </w:pPr>
            <w:r>
              <w:t>(both)</w:t>
            </w:r>
          </w:p>
        </w:tc>
        <w:tc>
          <w:tcPr>
            <w:tcW w:w="887" w:type="pct"/>
            <w:shd w:val="clear" w:color="auto" w:fill="auto"/>
          </w:tcPr>
          <w:p w:rsidR="009F6B19" w:rsidRDefault="009F6B19" w:rsidP="00B11054">
            <w:pPr>
              <w:pStyle w:val="TableBodyText"/>
              <w:spacing w:before="40"/>
            </w:pPr>
            <w:r>
              <w:t>AC</w:t>
            </w:r>
          </w:p>
        </w:tc>
        <w:tc>
          <w:tcPr>
            <w:tcW w:w="1031" w:type="pct"/>
            <w:shd w:val="clear" w:color="auto" w:fill="auto"/>
          </w:tcPr>
          <w:p w:rsidR="009F6B19" w:rsidRDefault="009F6B19" w:rsidP="00B11054">
            <w:pPr>
              <w:pStyle w:val="TableBodyText"/>
              <w:spacing w:before="40"/>
              <w:ind w:right="28"/>
            </w:pPr>
            <w:r>
              <w:t>460</w:t>
            </w:r>
          </w:p>
        </w:tc>
        <w:tc>
          <w:tcPr>
            <w:tcW w:w="1194" w:type="pct"/>
          </w:tcPr>
          <w:p w:rsidR="009F6B19" w:rsidRDefault="00077FBB" w:rsidP="00B11054">
            <w:pPr>
              <w:pStyle w:val="TableBodyText"/>
              <w:spacing w:before="40"/>
              <w:ind w:right="28"/>
            </w:pPr>
            <w:r>
              <w:t>460</w:t>
            </w:r>
          </w:p>
        </w:tc>
      </w:tr>
      <w:tr w:rsidR="009F6B19" w:rsidTr="00D874CE">
        <w:tc>
          <w:tcPr>
            <w:tcW w:w="878" w:type="pct"/>
            <w:tcBorders>
              <w:bottom w:val="single" w:sz="6" w:space="0" w:color="auto"/>
            </w:tcBorders>
            <w:shd w:val="clear" w:color="auto" w:fill="auto"/>
          </w:tcPr>
          <w:p w:rsidR="009F6B19" w:rsidRDefault="009F6B19" w:rsidP="00B11054">
            <w:pPr>
              <w:pStyle w:val="TableBodyText"/>
              <w:spacing w:before="40"/>
              <w:jc w:val="left"/>
            </w:pPr>
            <w:proofErr w:type="spellStart"/>
            <w:r>
              <w:t>Murraylink</w:t>
            </w:r>
            <w:proofErr w:type="spellEnd"/>
          </w:p>
        </w:tc>
        <w:tc>
          <w:tcPr>
            <w:tcW w:w="1010" w:type="pct"/>
            <w:tcBorders>
              <w:bottom w:val="single" w:sz="6" w:space="0" w:color="auto"/>
            </w:tcBorders>
          </w:tcPr>
          <w:p w:rsidR="009F6B19" w:rsidRDefault="009F6B19" w:rsidP="00B11054">
            <w:pPr>
              <w:pStyle w:val="TableBodyText"/>
              <w:spacing w:before="40"/>
            </w:pPr>
          </w:p>
        </w:tc>
        <w:tc>
          <w:tcPr>
            <w:tcW w:w="887" w:type="pct"/>
            <w:tcBorders>
              <w:bottom w:val="single" w:sz="6" w:space="0" w:color="auto"/>
            </w:tcBorders>
            <w:shd w:val="clear" w:color="auto" w:fill="auto"/>
          </w:tcPr>
          <w:p w:rsidR="009F6B19" w:rsidRDefault="009F6B19" w:rsidP="00B11054">
            <w:pPr>
              <w:pStyle w:val="TableBodyText"/>
              <w:spacing w:before="40"/>
            </w:pPr>
            <w:r>
              <w:t>DC</w:t>
            </w:r>
          </w:p>
        </w:tc>
        <w:tc>
          <w:tcPr>
            <w:tcW w:w="1031" w:type="pct"/>
            <w:tcBorders>
              <w:bottom w:val="single" w:sz="6" w:space="0" w:color="auto"/>
            </w:tcBorders>
            <w:shd w:val="clear" w:color="auto" w:fill="auto"/>
          </w:tcPr>
          <w:p w:rsidR="009F6B19" w:rsidRDefault="009F6B19" w:rsidP="00B11054">
            <w:pPr>
              <w:pStyle w:val="TableBodyText"/>
              <w:spacing w:before="40"/>
              <w:ind w:right="28"/>
            </w:pPr>
            <w:r>
              <w:t>220</w:t>
            </w:r>
          </w:p>
        </w:tc>
        <w:tc>
          <w:tcPr>
            <w:tcW w:w="1194" w:type="pct"/>
            <w:tcBorders>
              <w:bottom w:val="single" w:sz="6" w:space="0" w:color="auto"/>
            </w:tcBorders>
          </w:tcPr>
          <w:p w:rsidR="009F6B19" w:rsidRDefault="00077FBB" w:rsidP="00B11054">
            <w:pPr>
              <w:pStyle w:val="TableBodyText"/>
              <w:spacing w:before="40"/>
              <w:ind w:right="28"/>
            </w:pPr>
            <w:r>
              <w:t>213</w:t>
            </w:r>
          </w:p>
        </w:tc>
      </w:tr>
    </w:tbl>
    <w:p w:rsidR="00C831B4" w:rsidRPr="00FA720E" w:rsidRDefault="00C831B4" w:rsidP="00C831B4">
      <w:pPr>
        <w:pStyle w:val="Note"/>
        <w:rPr>
          <w:b/>
        </w:rPr>
      </w:pPr>
      <w:r w:rsidRPr="008E77FE">
        <w:rPr>
          <w:rStyle w:val="NoteLabel"/>
        </w:rPr>
        <w:t>a</w:t>
      </w:r>
      <w:r w:rsidRPr="00C831B4">
        <w:rPr>
          <w:rFonts w:cs="Arial"/>
          <w:color w:val="1F497D"/>
          <w:sz w:val="22"/>
          <w:szCs w:val="22"/>
        </w:rPr>
        <w:t xml:space="preserve"> </w:t>
      </w:r>
      <w:r w:rsidRPr="00C831B4">
        <w:t>As noted in the text</w:t>
      </w:r>
      <w:r w:rsidR="009B26F4">
        <w:t>,</w:t>
      </w:r>
      <w:r w:rsidRPr="00C831B4">
        <w:t xml:space="preserve"> interconnectors do not have capacities as such</w:t>
      </w:r>
      <w:r w:rsidR="009B26F4">
        <w:t>. I</w:t>
      </w:r>
      <w:r w:rsidRPr="00C831B4">
        <w:t>nstead their flows are bound by a number of constraints that vary with conditions applicable at the time. The values listed above are close to the highest flows achievable in ideal network and dispatch conditions, although constraints at lower flows are common. The N</w:t>
      </w:r>
      <w:r w:rsidR="00E30900">
        <w:t xml:space="preserve">ew </w:t>
      </w:r>
      <w:r w:rsidRPr="00C831B4">
        <w:t>S</w:t>
      </w:r>
      <w:r w:rsidR="00E30900">
        <w:t xml:space="preserve">outh </w:t>
      </w:r>
      <w:r w:rsidRPr="00C831B4">
        <w:t>W</w:t>
      </w:r>
      <w:r w:rsidR="00E30900">
        <w:t>ales</w:t>
      </w:r>
      <w:r w:rsidRPr="00C831B4">
        <w:t xml:space="preserve"> to Vic</w:t>
      </w:r>
      <w:r w:rsidR="009B26F4">
        <w:t>toria</w:t>
      </w:r>
      <w:r w:rsidRPr="00C831B4">
        <w:t xml:space="preserve"> (north and south) constraints are particularly difficult to estimate. Some sources </w:t>
      </w:r>
      <w:r>
        <w:t>(</w:t>
      </w:r>
      <w:r w:rsidRPr="00C831B4">
        <w:t>incorrectly</w:t>
      </w:r>
      <w:r>
        <w:t>)</w:t>
      </w:r>
      <w:r w:rsidRPr="00C831B4">
        <w:t xml:space="preserve"> apply a value for this interconnector of 1500</w:t>
      </w:r>
      <w:r w:rsidR="0049514B">
        <w:t> </w:t>
      </w:r>
      <w:r w:rsidRPr="00C831B4">
        <w:t>MW (north) and 1</w:t>
      </w:r>
      <w:r>
        <w:t>3</w:t>
      </w:r>
      <w:r w:rsidRPr="00C831B4">
        <w:t>00</w:t>
      </w:r>
      <w:r w:rsidR="0049514B">
        <w:t> </w:t>
      </w:r>
      <w:r w:rsidRPr="00C831B4">
        <w:t>MW (south), but this value is derived solely from the number of units sold in the Settlement Residue Auction</w:t>
      </w:r>
      <w:r w:rsidR="009B26F4">
        <w:t>, rather</w:t>
      </w:r>
      <w:r w:rsidRPr="00C831B4">
        <w:t xml:space="preserve"> than </w:t>
      </w:r>
      <w:r w:rsidR="009B26F4">
        <w:t>reflecting</w:t>
      </w:r>
      <w:r w:rsidR="009B26F4" w:rsidRPr="00C831B4">
        <w:t xml:space="preserve"> </w:t>
      </w:r>
      <w:r w:rsidR="009B26F4">
        <w:t>the physical aspects of interconnections</w:t>
      </w:r>
      <w:r w:rsidR="009B26F4" w:rsidRPr="00C831B4">
        <w:t xml:space="preserve"> </w:t>
      </w:r>
      <w:r>
        <w:t>(</w:t>
      </w:r>
      <w:proofErr w:type="spellStart"/>
      <w:r>
        <w:t>AEMO</w:t>
      </w:r>
      <w:proofErr w:type="spellEnd"/>
      <w:r>
        <w:t xml:space="preserve"> pers. comm., 2 August 2012)</w:t>
      </w:r>
      <w:r w:rsidR="009F6B19">
        <w:t xml:space="preserve">. </w:t>
      </w:r>
      <w:r w:rsidR="009F6B19" w:rsidRPr="009F6B19">
        <w:rPr>
          <w:rStyle w:val="NoteLabel"/>
        </w:rPr>
        <w:t>b</w:t>
      </w:r>
      <w:r w:rsidR="0078263C">
        <w:rPr>
          <w:rStyle w:val="NoteLabel"/>
        </w:rPr>
        <w:t xml:space="preserve"> </w:t>
      </w:r>
      <w:r w:rsidR="0078263C">
        <w:t>These figures reflect flows (</w:t>
      </w:r>
      <w:r w:rsidR="00B638B0">
        <w:t>in five minute dispatch intervals</w:t>
      </w:r>
      <w:r w:rsidR="0078263C">
        <w:t>) in the week beginning 30 January 2011, when temperatures exceed 40</w:t>
      </w:r>
      <w:r w:rsidR="008932AE">
        <w:rPr>
          <w:rFonts w:cs="Arial"/>
        </w:rPr>
        <w:t>º</w:t>
      </w:r>
      <w:r w:rsidR="009B26F4">
        <w:t>C</w:t>
      </w:r>
      <w:r w:rsidR="0078263C">
        <w:t xml:space="preserve"> in Sydney and Adelaide, and </w:t>
      </w:r>
      <w:r w:rsidR="009B26F4">
        <w:t>39</w:t>
      </w:r>
      <w:r w:rsidR="009B26F4">
        <w:rPr>
          <w:rFonts w:cs="Arial"/>
        </w:rPr>
        <w:t>º</w:t>
      </w:r>
      <w:r w:rsidR="009B26F4">
        <w:t xml:space="preserve">C </w:t>
      </w:r>
      <w:r w:rsidR="0078263C">
        <w:t>in Melbourne. Such conditions are typically associated with peak levels of power demand.</w:t>
      </w:r>
      <w:r w:rsidR="0078263C" w:rsidRPr="00C831B4">
        <w:t xml:space="preserve"> </w:t>
      </w:r>
      <w:r w:rsidR="0049514B">
        <w:t xml:space="preserve">The </w:t>
      </w:r>
      <w:r w:rsidR="00FA720E">
        <w:t>observed flows also reflect relativities of demand</w:t>
      </w:r>
      <w:r w:rsidR="0049514B">
        <w:t xml:space="preserve"> as</w:t>
      </w:r>
      <w:r w:rsidR="00FA720E">
        <w:t xml:space="preserve"> they are likely to be higher into the ‘importing’ states</w:t>
      </w:r>
      <w:r w:rsidR="0049514B">
        <w:t>,</w:t>
      </w:r>
      <w:r w:rsidR="00FA720E">
        <w:t xml:space="preserve"> such as South Australia and New South Wales</w:t>
      </w:r>
      <w:r w:rsidR="00B638B0">
        <w:t>.</w:t>
      </w:r>
    </w:p>
    <w:p w:rsidR="00C831B4" w:rsidRPr="008E77FE" w:rsidRDefault="00C831B4" w:rsidP="00C831B4">
      <w:pPr>
        <w:pStyle w:val="Source"/>
      </w:pPr>
      <w:r>
        <w:rPr>
          <w:i/>
        </w:rPr>
        <w:t>Source</w:t>
      </w:r>
      <w:r w:rsidR="00E30900">
        <w:rPr>
          <w:i/>
        </w:rPr>
        <w:t>s</w:t>
      </w:r>
      <w:r>
        <w:t xml:space="preserve">: </w:t>
      </w:r>
      <w:proofErr w:type="spellStart"/>
      <w:r>
        <w:t>AEMO</w:t>
      </w:r>
      <w:proofErr w:type="spellEnd"/>
      <w:r>
        <w:t xml:space="preserve"> </w:t>
      </w:r>
      <w:r w:rsidR="0049514B">
        <w:t>(</w:t>
      </w:r>
      <w:r>
        <w:t>2012</w:t>
      </w:r>
      <w:r w:rsidR="002E6FD2">
        <w:t>f</w:t>
      </w:r>
      <w:r w:rsidR="0078263C">
        <w:t>, 2011</w:t>
      </w:r>
      <w:r w:rsidR="002E6FD2">
        <w:t>d</w:t>
      </w:r>
      <w:r w:rsidR="00B638B0">
        <w:t xml:space="preserve"> and pers. comm.</w:t>
      </w:r>
      <w:r w:rsidR="001E2348">
        <w:t>, 3 August 2012</w:t>
      </w:r>
      <w:r w:rsidR="0049514B">
        <w:t xml:space="preserve">); </w:t>
      </w:r>
      <w:proofErr w:type="spellStart"/>
      <w:r w:rsidR="000F6F1C">
        <w:t>Powerlink</w:t>
      </w:r>
      <w:proofErr w:type="spellEnd"/>
      <w:r w:rsidR="000F6F1C">
        <w:t xml:space="preserve"> and </w:t>
      </w:r>
      <w:proofErr w:type="spellStart"/>
      <w:r w:rsidR="000F6F1C">
        <w:t>Transgrid</w:t>
      </w:r>
      <w:proofErr w:type="spellEnd"/>
      <w:r w:rsidR="000F6F1C">
        <w:t xml:space="preserve"> </w:t>
      </w:r>
      <w:r w:rsidR="00E30900">
        <w:t>(</w:t>
      </w:r>
      <w:r w:rsidR="000F6F1C">
        <w:t>2012</w:t>
      </w:r>
      <w:r w:rsidR="00E30900">
        <w:t>)</w:t>
      </w:r>
      <w:r w:rsidR="0078263C">
        <w:t>.</w:t>
      </w:r>
      <w:r>
        <w:t xml:space="preserve"> </w:t>
      </w:r>
    </w:p>
    <w:p w:rsidR="00FA720E" w:rsidRDefault="00FA720E" w:rsidP="00FA720E">
      <w:pPr>
        <w:pStyle w:val="BodyText"/>
      </w:pPr>
      <w:r>
        <w:lastRenderedPageBreak/>
        <w:t xml:space="preserve">In policy terms, </w:t>
      </w:r>
      <w:r w:rsidR="00C6257A">
        <w:t xml:space="preserve">any concerns about the adequacy of investment in </w:t>
      </w:r>
      <w:r>
        <w:t xml:space="preserve">interconnectors </w:t>
      </w:r>
      <w:r w:rsidR="00C6257A">
        <w:t>must also take account</w:t>
      </w:r>
      <w:r>
        <w:t xml:space="preserve"> </w:t>
      </w:r>
      <w:r w:rsidR="00F00F65">
        <w:t xml:space="preserve">of </w:t>
      </w:r>
      <w:r>
        <w:t>the adequacy of the transmission network as a whole. Several participants pointed out this inseparability</w:t>
      </w:r>
      <w:r w:rsidR="00F8601C">
        <w:t>:</w:t>
      </w:r>
    </w:p>
    <w:p w:rsidR="00FA720E" w:rsidRDefault="00FA720E" w:rsidP="00FA720E">
      <w:pPr>
        <w:pStyle w:val="Quote"/>
      </w:pPr>
      <w:r>
        <w:t>… as the capacity of an interconnector is a function of both the capacity of the interconnector assets themselves as well as the capacity of the intrastate networks, separating off interconnectors is unlikely to be feasible. (Grid Australia, sub. 22, p. 19)</w:t>
      </w:r>
    </w:p>
    <w:p w:rsidR="00FA720E" w:rsidRDefault="00FA720E" w:rsidP="00FA720E">
      <w:pPr>
        <w:pStyle w:val="Quote"/>
      </w:pPr>
      <w:r>
        <w:t>Interconnectors are notional concepts required for market dispatch and settlement. In a network planning context, an interconnector is indefinable. It cannot be distinguished from others parts of the transmission network. (</w:t>
      </w:r>
      <w:proofErr w:type="spellStart"/>
      <w:r>
        <w:t>AEMO</w:t>
      </w:r>
      <w:proofErr w:type="spellEnd"/>
      <w:r>
        <w:t>, sub. 32, p. 30)</w:t>
      </w:r>
    </w:p>
    <w:p w:rsidR="00FA720E" w:rsidRDefault="00FA720E" w:rsidP="00FA720E">
      <w:pPr>
        <w:pStyle w:val="Quote"/>
      </w:pPr>
      <w:r>
        <w:t>… it is impossible to separate inter- and intra-regional planning, and an emerging conclusion of the [transmission frameworks review] is that greater (rather than less) coordination and optimisation of these activities is desirable. (</w:t>
      </w:r>
      <w:proofErr w:type="spellStart"/>
      <w:r>
        <w:t>AEMC</w:t>
      </w:r>
      <w:proofErr w:type="spellEnd"/>
      <w:r>
        <w:t>, sub. 16, p. 8)</w:t>
      </w:r>
    </w:p>
    <w:p w:rsidR="00FA720E" w:rsidRDefault="00F00F65" w:rsidP="00CD178C">
      <w:pPr>
        <w:pStyle w:val="BodyText"/>
      </w:pPr>
      <w:r>
        <w:t>In this context,</w:t>
      </w:r>
      <w:r w:rsidR="00C6257A" w:rsidDel="00C6257A">
        <w:t xml:space="preserve"> </w:t>
      </w:r>
      <w:r>
        <w:t xml:space="preserve">the key </w:t>
      </w:r>
      <w:r w:rsidR="00C6257A">
        <w:t xml:space="preserve">issue is </w:t>
      </w:r>
      <w:r>
        <w:t xml:space="preserve">thus </w:t>
      </w:r>
      <w:r w:rsidR="00C6257A">
        <w:t xml:space="preserve">the overall </w:t>
      </w:r>
      <w:r>
        <w:t xml:space="preserve">scope </w:t>
      </w:r>
      <w:r w:rsidR="00C6257A">
        <w:t xml:space="preserve">to achieve economically valuable trading of power between regions, </w:t>
      </w:r>
      <w:r w:rsidR="00FA720E">
        <w:t xml:space="preserve">rather than the </w:t>
      </w:r>
      <w:r w:rsidR="00C6257A">
        <w:t xml:space="preserve">physical </w:t>
      </w:r>
      <w:r w:rsidR="00FA720E">
        <w:t xml:space="preserve">capacity of individual interconnectors. </w:t>
      </w:r>
      <w:r>
        <w:t>As well as its direct effects o</w:t>
      </w:r>
      <w:r w:rsidR="000833CA">
        <w:t xml:space="preserve">n regional electricity prices, </w:t>
      </w:r>
      <w:r>
        <w:t xml:space="preserve">the </w:t>
      </w:r>
      <w:r w:rsidR="00FA720E">
        <w:t xml:space="preserve">amount of power that can be transferred between regions can </w:t>
      </w:r>
      <w:r>
        <w:t>enhance</w:t>
      </w:r>
      <w:r w:rsidR="00FA720E">
        <w:t xml:space="preserve">: </w:t>
      </w:r>
    </w:p>
    <w:p w:rsidR="00FA720E" w:rsidRDefault="00FA720E" w:rsidP="00FA720E">
      <w:pPr>
        <w:pStyle w:val="ListBullet"/>
      </w:pPr>
      <w:proofErr w:type="spellStart"/>
      <w:r>
        <w:t>allocative</w:t>
      </w:r>
      <w:proofErr w:type="spellEnd"/>
      <w:r>
        <w:t xml:space="preserve"> efficiency — as consumption decisions respond to price levels</w:t>
      </w:r>
    </w:p>
    <w:p w:rsidR="00FA720E" w:rsidRDefault="00FA720E" w:rsidP="00FA720E">
      <w:pPr>
        <w:pStyle w:val="ListBullet"/>
      </w:pPr>
      <w:r>
        <w:t xml:space="preserve">productive efficiency — interconnection can allow demand centres to access the cheapest generation </w:t>
      </w:r>
    </w:p>
    <w:p w:rsidR="00C6257A" w:rsidRDefault="00FA720E" w:rsidP="00FA720E">
      <w:pPr>
        <w:pStyle w:val="ListBullet"/>
      </w:pPr>
      <w:r>
        <w:t xml:space="preserve">dynamic efficiency — a well interconnected </w:t>
      </w:r>
      <w:proofErr w:type="spellStart"/>
      <w:r>
        <w:t>NEM</w:t>
      </w:r>
      <w:proofErr w:type="spellEnd"/>
      <w:r>
        <w:t xml:space="preserve"> will allow optimisation of investment in generation and transmission over time across the </w:t>
      </w:r>
      <w:proofErr w:type="spellStart"/>
      <w:r>
        <w:t>NEM</w:t>
      </w:r>
      <w:proofErr w:type="spellEnd"/>
      <w:r>
        <w:t>, rather than within individual regions</w:t>
      </w:r>
    </w:p>
    <w:p w:rsidR="00FA720E" w:rsidRDefault="00C6257A" w:rsidP="00FA720E">
      <w:pPr>
        <w:pStyle w:val="ListBullet"/>
      </w:pPr>
      <w:r>
        <w:t>security of supply</w:t>
      </w:r>
      <w:r w:rsidR="00E62A2C">
        <w:t xml:space="preserve"> — f</w:t>
      </w:r>
      <w:r>
        <w:t xml:space="preserve">or example, the existence of the </w:t>
      </w:r>
      <w:proofErr w:type="spellStart"/>
      <w:r>
        <w:t>Basslink</w:t>
      </w:r>
      <w:proofErr w:type="spellEnd"/>
      <w:r>
        <w:t xml:space="preserve"> interconnector apparently avoided costly </w:t>
      </w:r>
      <w:r w:rsidR="00857A89">
        <w:t>blackouts</w:t>
      </w:r>
      <w:r>
        <w:t xml:space="preserve"> in Victoria during the June 2012 earthquake (</w:t>
      </w:r>
      <w:r w:rsidR="00857A89">
        <w:t>with the required</w:t>
      </w:r>
      <w:r>
        <w:t xml:space="preserve"> p</w:t>
      </w:r>
      <w:r w:rsidR="00857A89">
        <w:t>o</w:t>
      </w:r>
      <w:r>
        <w:t>wer flow</w:t>
      </w:r>
      <w:r w:rsidR="00857A89">
        <w:t>ing</w:t>
      </w:r>
      <w:r>
        <w:t xml:space="preserve"> from Tasmanian </w:t>
      </w:r>
      <w:r w:rsidR="00C53CDE">
        <w:t>hydropower</w:t>
      </w:r>
      <w:r>
        <w:t xml:space="preserve"> </w:t>
      </w:r>
      <w:r w:rsidR="00857A89">
        <w:t>to Victoria</w:t>
      </w:r>
      <w:r>
        <w:t xml:space="preserve">), and provided Tasmania with supply </w:t>
      </w:r>
      <w:r w:rsidR="00857A89">
        <w:t>security</w:t>
      </w:r>
      <w:r>
        <w:t xml:space="preserve"> </w:t>
      </w:r>
      <w:r w:rsidR="00857A89">
        <w:t>from Victorian generation when drought conditions limited hydro generation in Tasmania. As discussed in chapters </w:t>
      </w:r>
      <w:r w:rsidR="009C0ECF">
        <w:t>14</w:t>
      </w:r>
      <w:r w:rsidR="00857A89">
        <w:t xml:space="preserve"> to </w:t>
      </w:r>
      <w:r w:rsidR="009C0ECF">
        <w:t>16</w:t>
      </w:r>
      <w:r w:rsidR="00857A89">
        <w:t>, unreliable supply can be highly costly</w:t>
      </w:r>
      <w:r w:rsidR="002E56E8">
        <w:t>.</w:t>
      </w:r>
    </w:p>
    <w:p w:rsidR="00C72124" w:rsidRDefault="00A71865" w:rsidP="00FA720E">
      <w:pPr>
        <w:pStyle w:val="BodyText"/>
      </w:pPr>
      <w:r>
        <w:t>The inseparability of interconnector</w:t>
      </w:r>
      <w:r w:rsidR="000554A1">
        <w:t xml:space="preserve">s from transmission within regions </w:t>
      </w:r>
      <w:r w:rsidR="00F00F65">
        <w:t xml:space="preserve">in turn </w:t>
      </w:r>
      <w:r w:rsidR="000554A1">
        <w:t>means the current regulatory regime applying to intra-regional transmission is critical to efficient outcomes</w:t>
      </w:r>
      <w:r w:rsidR="00F00F65">
        <w:t xml:space="preserve"> in regard to interconnectors</w:t>
      </w:r>
      <w:r w:rsidR="000554A1">
        <w:t>. Similarly, the</w:t>
      </w:r>
      <w:r w:rsidR="00C823C9">
        <w:t xml:space="preserve"> location and bidding behaviour</w:t>
      </w:r>
      <w:r w:rsidR="000554A1">
        <w:t xml:space="preserve"> of generators can affect the use of interconnectors, raising another set of policy issues. </w:t>
      </w:r>
      <w:r w:rsidR="00C72124">
        <w:t xml:space="preserve">As the </w:t>
      </w:r>
      <w:proofErr w:type="spellStart"/>
      <w:r w:rsidR="00C72124">
        <w:t>AEMC</w:t>
      </w:r>
      <w:proofErr w:type="spellEnd"/>
      <w:r w:rsidR="00C72124">
        <w:t xml:space="preserve"> noted:</w:t>
      </w:r>
    </w:p>
    <w:p w:rsidR="00C72124" w:rsidRDefault="00C72124" w:rsidP="00C72124">
      <w:pPr>
        <w:pStyle w:val="Quote"/>
      </w:pPr>
      <w:r>
        <w:t xml:space="preserve">Due to the complex nature of the transmission system, the </w:t>
      </w:r>
      <w:proofErr w:type="spellStart"/>
      <w:r>
        <w:t>AEMC</w:t>
      </w:r>
      <w:proofErr w:type="spellEnd"/>
      <w:r>
        <w:t xml:space="preserve"> is of the view that it would be insufficient to consider what improvements could be made to the regulatory arrangements for interconnectors in isolation. The regulatory arrangements for all elements of the transmission system within the </w:t>
      </w:r>
      <w:proofErr w:type="spellStart"/>
      <w:r>
        <w:t>NEM</w:t>
      </w:r>
      <w:proofErr w:type="spellEnd"/>
      <w:r>
        <w:t xml:space="preserve"> should be considered in a holistic manner. (sub. 16, p. 7)</w:t>
      </w:r>
    </w:p>
    <w:p w:rsidR="0022307E" w:rsidRDefault="00C354D9" w:rsidP="00FA720E">
      <w:pPr>
        <w:pStyle w:val="BodyText"/>
      </w:pPr>
      <w:r>
        <w:lastRenderedPageBreak/>
        <w:t xml:space="preserve">Indeed, focusing </w:t>
      </w:r>
      <w:r w:rsidR="00FA720E">
        <w:t xml:space="preserve">solely on the interconnectors </w:t>
      </w:r>
      <w:r>
        <w:t xml:space="preserve">and ignoring </w:t>
      </w:r>
      <w:r w:rsidR="0022307E">
        <w:t>other fundamental policy issues</w:t>
      </w:r>
      <w:r>
        <w:t>,</w:t>
      </w:r>
      <w:r w:rsidR="0022307E">
        <w:t xml:space="preserve"> </w:t>
      </w:r>
      <w:r>
        <w:t>would produce inferior and potentially even</w:t>
      </w:r>
      <w:r w:rsidR="0022307E">
        <w:t xml:space="preserve"> adverse outcomes for the network, electricity consumers, and the community as a whole. </w:t>
      </w:r>
      <w:r>
        <w:t>Hence, in coming to a view on whether</w:t>
      </w:r>
      <w:r w:rsidR="0022307E">
        <w:t xml:space="preserve"> additional investment in interconnector</w:t>
      </w:r>
      <w:r>
        <w:t>s</w:t>
      </w:r>
      <w:r w:rsidR="0022307E">
        <w:t xml:space="preserve"> is </w:t>
      </w:r>
      <w:r>
        <w:t>a priority</w:t>
      </w:r>
      <w:r w:rsidR="004C1EAD">
        <w:t>,</w:t>
      </w:r>
      <w:r>
        <w:t xml:space="preserve"> or even required</w:t>
      </w:r>
      <w:r w:rsidR="0022307E">
        <w:t xml:space="preserve">, it is important to be clear about the problem that </w:t>
      </w:r>
      <w:r>
        <w:t>such investment</w:t>
      </w:r>
      <w:r w:rsidR="0022307E">
        <w:t xml:space="preserve"> is intended to resolve.</w:t>
      </w:r>
    </w:p>
    <w:p w:rsidR="00C831B4" w:rsidRDefault="00FA720E" w:rsidP="00CD178C">
      <w:pPr>
        <w:pStyle w:val="BodyText"/>
      </w:pPr>
      <w:r>
        <w:t xml:space="preserve">It is in this policy context that the Commission has considered concerns relating to interconnection in the </w:t>
      </w:r>
      <w:proofErr w:type="spellStart"/>
      <w:r>
        <w:t>NEM</w:t>
      </w:r>
      <w:proofErr w:type="spellEnd"/>
      <w:r>
        <w:t xml:space="preserve">. </w:t>
      </w:r>
    </w:p>
    <w:p w:rsidR="00BE14E6" w:rsidRDefault="005E685F" w:rsidP="005E685F">
      <w:pPr>
        <w:pStyle w:val="Heading3"/>
      </w:pPr>
      <w:r>
        <w:t>Concerns about interconnection in the N</w:t>
      </w:r>
      <w:r w:rsidR="002E56E8">
        <w:t xml:space="preserve">ational </w:t>
      </w:r>
      <w:r>
        <w:t>E</w:t>
      </w:r>
      <w:r w:rsidR="002E56E8">
        <w:t xml:space="preserve">lectricity </w:t>
      </w:r>
      <w:r>
        <w:t>M</w:t>
      </w:r>
      <w:r w:rsidR="002E56E8">
        <w:t>arket</w:t>
      </w:r>
    </w:p>
    <w:p w:rsidR="005E685F" w:rsidRPr="005E685F" w:rsidRDefault="002A1EDA" w:rsidP="005E685F">
      <w:pPr>
        <w:pStyle w:val="BodyText"/>
      </w:pPr>
      <w:r>
        <w:t>For some time, s</w:t>
      </w:r>
      <w:r w:rsidR="0022307E">
        <w:t>ome s</w:t>
      </w:r>
      <w:r w:rsidR="005E685F">
        <w:t xml:space="preserve">takeholders have raised concerns about potential under-investment in interconnectors in the </w:t>
      </w:r>
      <w:proofErr w:type="spellStart"/>
      <w:r w:rsidR="005E685F">
        <w:t>NEM</w:t>
      </w:r>
      <w:proofErr w:type="spellEnd"/>
      <w:r w:rsidR="005E685F">
        <w:t xml:space="preserve">. As part of his 2008 review, </w:t>
      </w:r>
      <w:proofErr w:type="spellStart"/>
      <w:r w:rsidR="005E685F">
        <w:t>Garnaut</w:t>
      </w:r>
      <w:proofErr w:type="spellEnd"/>
      <w:r w:rsidR="005E685F">
        <w:t xml:space="preserve"> suggested that</w:t>
      </w:r>
      <w:r w:rsidR="008A07A9">
        <w:t xml:space="preserve">, in </w:t>
      </w:r>
      <w:r w:rsidR="0022307E">
        <w:t>future</w:t>
      </w:r>
      <w:r w:rsidR="008A07A9">
        <w:t>,</w:t>
      </w:r>
      <w:r w:rsidR="0022307E">
        <w:t xml:space="preserve"> </w:t>
      </w:r>
      <w:r w:rsidR="005E685F">
        <w:t xml:space="preserve">interconnectors would </w:t>
      </w:r>
      <w:r w:rsidR="0022307E">
        <w:t xml:space="preserve">need to </w:t>
      </w:r>
      <w:r w:rsidR="00F76381">
        <w:t xml:space="preserve">allow the national integration of </w:t>
      </w:r>
      <w:r w:rsidR="005E685F">
        <w:t xml:space="preserve">generators </w:t>
      </w:r>
      <w:r w:rsidR="0022307E">
        <w:t xml:space="preserve">that </w:t>
      </w:r>
      <w:r w:rsidR="005E685F">
        <w:t xml:space="preserve">locate in jurisdictions </w:t>
      </w:r>
      <w:r w:rsidR="0022307E">
        <w:t xml:space="preserve">that have favourable low-carbon energy sources </w:t>
      </w:r>
      <w:r w:rsidR="005E685F">
        <w:t xml:space="preserve">(such as </w:t>
      </w:r>
      <w:r w:rsidR="008A07A9">
        <w:t>areas of high, constant wind</w:t>
      </w:r>
      <w:r w:rsidR="005E685F">
        <w:t xml:space="preserve">): </w:t>
      </w:r>
    </w:p>
    <w:p w:rsidR="005E685F" w:rsidRDefault="005E685F" w:rsidP="005E685F">
      <w:pPr>
        <w:pStyle w:val="Quote"/>
      </w:pPr>
      <w:r>
        <w:t>Without a network of interconnectors with enough capacity to cope with the potentially large shifts in interstate flows of electricity over time, much of the generation capacity must remain within a region, even if there are more economic sources elsewhere. Confidence in the capacity of a national system will be particularly important for the period of transition. Interconnector constraints will be reflected in unnecessarily high, and more regionally differentiated and volatile, energy and emissions permit prices. (</w:t>
      </w:r>
      <w:proofErr w:type="spellStart"/>
      <w:r>
        <w:t>Garnaut</w:t>
      </w:r>
      <w:proofErr w:type="spellEnd"/>
      <w:r>
        <w:t xml:space="preserve"> 2008, pp. 446</w:t>
      </w:r>
      <w:r w:rsidR="002E56E8">
        <w:t>–</w:t>
      </w:r>
      <w:r>
        <w:t>7)</w:t>
      </w:r>
    </w:p>
    <w:p w:rsidR="00572AE0" w:rsidRDefault="005E685F" w:rsidP="002E1819">
      <w:pPr>
        <w:pStyle w:val="BodyText"/>
      </w:pPr>
      <w:proofErr w:type="spellStart"/>
      <w:r>
        <w:t>Garnaut</w:t>
      </w:r>
      <w:proofErr w:type="spellEnd"/>
      <w:r>
        <w:t xml:space="preserve"> </w:t>
      </w:r>
      <w:r w:rsidR="00F76381">
        <w:t>(2011</w:t>
      </w:r>
      <w:r w:rsidR="002E6FD2">
        <w:t>b</w:t>
      </w:r>
      <w:r w:rsidR="00F76381">
        <w:t xml:space="preserve">, p. 30) </w:t>
      </w:r>
      <w:r>
        <w:t xml:space="preserve">reiterated his concern </w:t>
      </w:r>
      <w:r w:rsidR="00F76381">
        <w:t xml:space="preserve">about strong biases against inter-state flows </w:t>
      </w:r>
      <w:r>
        <w:t>in the 2011 update to the review</w:t>
      </w:r>
      <w:r w:rsidR="00F76381">
        <w:t>.</w:t>
      </w:r>
      <w:r w:rsidR="002A1EDA">
        <w:t xml:space="preserve"> </w:t>
      </w:r>
      <w:r w:rsidR="00A4128F">
        <w:t xml:space="preserve">Previous reviews have also identified </w:t>
      </w:r>
      <w:r w:rsidR="00572AE0">
        <w:t>issues with interconnection</w:t>
      </w:r>
      <w:r w:rsidR="00F76381">
        <w:t xml:space="preserve"> (</w:t>
      </w:r>
      <w:proofErr w:type="spellStart"/>
      <w:r w:rsidR="00F76381">
        <w:t>Parer</w:t>
      </w:r>
      <w:proofErr w:type="spellEnd"/>
      <w:r w:rsidR="00F76381">
        <w:t xml:space="preserve"> 2002, p. 128</w:t>
      </w:r>
      <w:r w:rsidR="002A1EDA">
        <w:t>). The International Energy Agency identified ‘de-coupling of prices’ in adjoining states as an indicator of an emerging problem. In particular, it noted that:</w:t>
      </w:r>
    </w:p>
    <w:p w:rsidR="00572AE0" w:rsidRDefault="00572AE0" w:rsidP="00572AE0">
      <w:pPr>
        <w:pStyle w:val="Quote"/>
        <w:rPr>
          <w:spacing w:val="-2"/>
        </w:rPr>
      </w:pPr>
      <w:r w:rsidRPr="007F70BD">
        <w:rPr>
          <w:spacing w:val="-2"/>
        </w:rPr>
        <w:t>The planning system for new transmission lines is not as transparent as the rest of the market</w:t>
      </w:r>
      <w:r w:rsidR="007B4E9C">
        <w:rPr>
          <w:spacing w:val="-2"/>
        </w:rPr>
        <w:t>…</w:t>
      </w:r>
      <w:r w:rsidRPr="007F70BD">
        <w:rPr>
          <w:spacing w:val="-2"/>
        </w:rPr>
        <w:t xml:space="preserve"> The </w:t>
      </w:r>
      <w:r w:rsidR="007B4E9C">
        <w:rPr>
          <w:spacing w:val="-2"/>
        </w:rPr>
        <w:t xml:space="preserve">[then] </w:t>
      </w:r>
      <w:r w:rsidRPr="007F70BD">
        <w:rPr>
          <w:spacing w:val="-2"/>
        </w:rPr>
        <w:t>new rules should not just consider interregional constraints but also the impact of any intraregional constraints, which can manifest themselves as border connection issues in such a long and “stringy” transmission system as Australia’s. (</w:t>
      </w:r>
      <w:proofErr w:type="spellStart"/>
      <w:r w:rsidRPr="007F70BD">
        <w:rPr>
          <w:spacing w:val="-2"/>
        </w:rPr>
        <w:t>IEA</w:t>
      </w:r>
      <w:proofErr w:type="spellEnd"/>
      <w:r w:rsidRPr="007F70BD">
        <w:rPr>
          <w:spacing w:val="-2"/>
        </w:rPr>
        <w:t xml:space="preserve"> 2005, p. 117)</w:t>
      </w:r>
    </w:p>
    <w:p w:rsidR="002A1EDA" w:rsidRDefault="002A1EDA" w:rsidP="007F70BD">
      <w:pPr>
        <w:pStyle w:val="BodyText"/>
      </w:pPr>
      <w:r>
        <w:t xml:space="preserve">Others have also identified existing regulatory and planning frameworks as inimical to adequate long-run interconnection (such as the South Australian Department of Transport, Energy and Infrastructure; and International Power in their comments to the current </w:t>
      </w:r>
      <w:proofErr w:type="spellStart"/>
      <w:r>
        <w:t>AEMC</w:t>
      </w:r>
      <w:proofErr w:type="spellEnd"/>
      <w:r>
        <w:t xml:space="preserve"> Transmission</w:t>
      </w:r>
      <w:r w:rsidR="006136D7">
        <w:t xml:space="preserve"> Frameworks</w:t>
      </w:r>
      <w:r>
        <w:t xml:space="preserve"> Review)</w:t>
      </w:r>
      <w:r w:rsidR="00775D2D">
        <w:t>.</w:t>
      </w:r>
      <w:r w:rsidR="000833CA">
        <w:t xml:space="preserve"> </w:t>
      </w:r>
    </w:p>
    <w:p w:rsidR="002A1EDA" w:rsidRDefault="009F3724" w:rsidP="007F70BD">
      <w:pPr>
        <w:pStyle w:val="BodyText"/>
      </w:pPr>
      <w:r>
        <w:lastRenderedPageBreak/>
        <w:t xml:space="preserve">But not </w:t>
      </w:r>
      <w:r w:rsidR="002A1EDA">
        <w:t>all agree. Grid Australia noted there are several measures ‘designed to ensure that projects with net market benefits will be identified, evaluated and constructed …</w:t>
      </w:r>
      <w:r w:rsidR="00775D2D">
        <w:t xml:space="preserve"> </w:t>
      </w:r>
      <w:r w:rsidR="002A1EDA">
        <w:t>[and] highlighted that all interconnectors are currently undergoing some form of assessment</w:t>
      </w:r>
      <w:r w:rsidR="00775D2D">
        <w:t>’</w:t>
      </w:r>
      <w:r w:rsidR="002A1EDA">
        <w:t xml:space="preserve"> (</w:t>
      </w:r>
      <w:proofErr w:type="spellStart"/>
      <w:r w:rsidR="002A1EDA">
        <w:t>AEMC</w:t>
      </w:r>
      <w:proofErr w:type="spellEnd"/>
      <w:r w:rsidR="002A1EDA">
        <w:t> 2011</w:t>
      </w:r>
      <w:r w:rsidR="00695F24">
        <w:t>f</w:t>
      </w:r>
      <w:r w:rsidR="002A1EDA">
        <w:t>, p. 41).</w:t>
      </w:r>
    </w:p>
    <w:p w:rsidR="007F70BD" w:rsidRPr="007F70BD" w:rsidRDefault="002A1EDA" w:rsidP="007F70BD">
      <w:pPr>
        <w:pStyle w:val="BodyText"/>
      </w:pPr>
      <w:r>
        <w:t>I</w:t>
      </w:r>
      <w:r w:rsidR="007F70BD">
        <w:t>n 2007, the Energy Reform Implementation Group (</w:t>
      </w:r>
      <w:proofErr w:type="spellStart"/>
      <w:r w:rsidR="007F70BD">
        <w:t>ERIG</w:t>
      </w:r>
      <w:proofErr w:type="spellEnd"/>
      <w:r w:rsidR="007F70BD">
        <w:t xml:space="preserve">) </w:t>
      </w:r>
      <w:r w:rsidR="009F3724">
        <w:t xml:space="preserve">observed </w:t>
      </w:r>
      <w:r w:rsidR="007F70BD">
        <w:t>that the level of interconnection had ‘increased significantly between the state grids over the past five years’ (</w:t>
      </w:r>
      <w:proofErr w:type="spellStart"/>
      <w:r w:rsidR="007F70BD">
        <w:t>ERIG</w:t>
      </w:r>
      <w:proofErr w:type="spellEnd"/>
      <w:r w:rsidR="007F70BD">
        <w:t xml:space="preserve"> 2007, p. 168), and came to the view that</w:t>
      </w:r>
      <w:r w:rsidR="007B4E9C">
        <w:t>,</w:t>
      </w:r>
      <w:r w:rsidR="007F70BD">
        <w:t xml:space="preserve"> overall: </w:t>
      </w:r>
    </w:p>
    <w:p w:rsidR="007F70BD" w:rsidRDefault="007F70BD" w:rsidP="007F70BD">
      <w:pPr>
        <w:pStyle w:val="Quote"/>
      </w:pPr>
      <w:r>
        <w:t>… the current level of transmission and interconnection investment is reasonably appropriate for the installed generation capacity and peak demand. However, failure to ensure efficient investment in generation and transmission on a system wide basis into the future puts at risk the efficiency gains achieved as a result of previous energy market reforms. (</w:t>
      </w:r>
      <w:proofErr w:type="spellStart"/>
      <w:r>
        <w:t>ERIG</w:t>
      </w:r>
      <w:proofErr w:type="spellEnd"/>
      <w:r>
        <w:t xml:space="preserve"> 2007, p. 145)</w:t>
      </w:r>
    </w:p>
    <w:p w:rsidR="007B4E9C" w:rsidRDefault="007B4E9C" w:rsidP="007F70BD">
      <w:pPr>
        <w:pStyle w:val="BodyText"/>
      </w:pPr>
      <w:r>
        <w:t xml:space="preserve">In its 2008 Congestion Management Review, the </w:t>
      </w:r>
      <w:proofErr w:type="spellStart"/>
      <w:r>
        <w:t>AEMC</w:t>
      </w:r>
      <w:proofErr w:type="spellEnd"/>
      <w:r>
        <w:t xml:space="preserve"> concluded that congestion in the </w:t>
      </w:r>
      <w:proofErr w:type="spellStart"/>
      <w:r>
        <w:t>NEM</w:t>
      </w:r>
      <w:proofErr w:type="spellEnd"/>
      <w:r>
        <w:t xml:space="preserve"> was ‘unpredictable’ and typically only caused </w:t>
      </w:r>
      <w:proofErr w:type="spellStart"/>
      <w:r>
        <w:t>mis</w:t>
      </w:r>
      <w:proofErr w:type="spellEnd"/>
      <w:r>
        <w:t>-pricing for short periods before</w:t>
      </w:r>
      <w:r w:rsidR="00CD178C">
        <w:t xml:space="preserve"> additional</w:t>
      </w:r>
      <w:r>
        <w:t xml:space="preserve"> transmission or generation investment resolved the issue:</w:t>
      </w:r>
    </w:p>
    <w:p w:rsidR="007F70BD" w:rsidRDefault="007B4E9C" w:rsidP="007B4E9C">
      <w:pPr>
        <w:pStyle w:val="Quote"/>
      </w:pPr>
      <w:r>
        <w:t xml:space="preserve">Overall, with the exception of the Snowy region, congestion did not appear to be a major problem in the </w:t>
      </w:r>
      <w:proofErr w:type="spellStart"/>
      <w:r>
        <w:t>NEM</w:t>
      </w:r>
      <w:proofErr w:type="spellEnd"/>
      <w:r>
        <w:t>. (</w:t>
      </w:r>
      <w:proofErr w:type="spellStart"/>
      <w:r>
        <w:t>AEMC</w:t>
      </w:r>
      <w:proofErr w:type="spellEnd"/>
      <w:r>
        <w:t xml:space="preserve"> 2008</w:t>
      </w:r>
      <w:r w:rsidR="00695F24">
        <w:t>b</w:t>
      </w:r>
      <w:r>
        <w:t>, p. 13)</w:t>
      </w:r>
    </w:p>
    <w:p w:rsidR="007B4E9C" w:rsidRPr="007B4E9C" w:rsidRDefault="007B4E9C" w:rsidP="007B4E9C">
      <w:pPr>
        <w:pStyle w:val="BodyText"/>
      </w:pPr>
      <w:r>
        <w:t xml:space="preserve">However, the </w:t>
      </w:r>
      <w:proofErr w:type="spellStart"/>
      <w:r>
        <w:t>AEMC</w:t>
      </w:r>
      <w:proofErr w:type="spellEnd"/>
      <w:r>
        <w:t xml:space="preserve"> </w:t>
      </w:r>
      <w:r w:rsidR="007E5B92">
        <w:t>went</w:t>
      </w:r>
      <w:r>
        <w:t xml:space="preserve"> on to note that in relation to interconnectors there had been:</w:t>
      </w:r>
    </w:p>
    <w:p w:rsidR="007B4E9C" w:rsidRDefault="007B4E9C" w:rsidP="007B4E9C">
      <w:pPr>
        <w:pStyle w:val="Quote"/>
      </w:pPr>
      <w:r>
        <w:t xml:space="preserve">… an increase in the total hours of binding constraints on interconnectors since </w:t>
      </w:r>
      <w:proofErr w:type="spellStart"/>
      <w:r>
        <w:t>NEM</w:t>
      </w:r>
      <w:proofErr w:type="spellEnd"/>
      <w:r>
        <w:t xml:space="preserve"> start. Hours rose steeply from 2139 hours in 1998/99 to 9925 hours in 2000/01. This was followed by a sharp fall to 2398 hours in 2001/02, which was caused by a reduction in outages hours binding on the Queensland-to- NSW interconnector (</w:t>
      </w:r>
      <w:proofErr w:type="spellStart"/>
      <w:r>
        <w:t>QNI</w:t>
      </w:r>
      <w:proofErr w:type="spellEnd"/>
      <w:r>
        <w:t>) of 6400 hours. Since then there has been a steady rise from 6781 hours in 2002/03 to 12</w:t>
      </w:r>
      <w:r w:rsidR="00BA1B37">
        <w:t> </w:t>
      </w:r>
      <w:r>
        <w:t>849 hours in 2006/07 (or 8242 hours excluding Tasmania). (</w:t>
      </w:r>
      <w:proofErr w:type="spellStart"/>
      <w:r>
        <w:t>AEMC</w:t>
      </w:r>
      <w:proofErr w:type="spellEnd"/>
      <w:r>
        <w:t xml:space="preserve"> 2008</w:t>
      </w:r>
      <w:r w:rsidR="00084A76">
        <w:t>b</w:t>
      </w:r>
      <w:r w:rsidR="00282726">
        <w:t>,</w:t>
      </w:r>
      <w:r>
        <w:t xml:space="preserve"> p. 72)</w:t>
      </w:r>
    </w:p>
    <w:p w:rsidR="004515A3" w:rsidRDefault="002A1EDA" w:rsidP="001827D1">
      <w:pPr>
        <w:pStyle w:val="BodyText"/>
      </w:pPr>
      <w:r>
        <w:t>The debate has not moved on much</w:t>
      </w:r>
      <w:r w:rsidR="00733B20">
        <w:t xml:space="preserve"> </w:t>
      </w:r>
      <w:r w:rsidR="001827D1">
        <w:t>—</w:t>
      </w:r>
      <w:r w:rsidR="009F3724">
        <w:t xml:space="preserve"> </w:t>
      </w:r>
      <w:r w:rsidR="00BA1B37">
        <w:t>i</w:t>
      </w:r>
      <w:r>
        <w:t>n this inquiry, p</w:t>
      </w:r>
      <w:r w:rsidR="004515A3">
        <w:t xml:space="preserve">articipants put forward </w:t>
      </w:r>
      <w:r w:rsidR="00F76381">
        <w:t xml:space="preserve">similarly divergent </w:t>
      </w:r>
      <w:r w:rsidR="004515A3">
        <w:t xml:space="preserve">views </w:t>
      </w:r>
      <w:r w:rsidR="00F76381">
        <w:t xml:space="preserve">about </w:t>
      </w:r>
      <w:r w:rsidR="004515A3">
        <w:t xml:space="preserve">the </w:t>
      </w:r>
      <w:r w:rsidR="00F76381">
        <w:t xml:space="preserve">adequacy </w:t>
      </w:r>
      <w:r w:rsidR="004515A3">
        <w:t xml:space="preserve">of </w:t>
      </w:r>
      <w:r w:rsidR="00BA1B37">
        <w:t xml:space="preserve">current </w:t>
      </w:r>
      <w:r w:rsidR="004515A3">
        <w:t xml:space="preserve">interconnection and the ability of the regulatory framework to deliver efficient levels of interconnection into the future. </w:t>
      </w:r>
    </w:p>
    <w:p w:rsidR="004515A3" w:rsidRDefault="004515A3" w:rsidP="007B4E9C">
      <w:pPr>
        <w:pStyle w:val="BodyText"/>
      </w:pPr>
      <w:r>
        <w:t xml:space="preserve">Some, such as </w:t>
      </w:r>
      <w:proofErr w:type="spellStart"/>
      <w:r>
        <w:t>AEMO</w:t>
      </w:r>
      <w:proofErr w:type="spellEnd"/>
      <w:r>
        <w:t>, argued that the current regulatory (and planning) framework could not deliver a truly ‘national’ system:</w:t>
      </w:r>
    </w:p>
    <w:p w:rsidR="004515A3" w:rsidRDefault="009F3724" w:rsidP="004515A3">
      <w:pPr>
        <w:pStyle w:val="Quote"/>
      </w:pPr>
      <w:r>
        <w:t>…</w:t>
      </w:r>
      <w:r w:rsidR="004515A3">
        <w:t xml:space="preserve"> the manner in which assessments for </w:t>
      </w:r>
      <w:r w:rsidR="00175021">
        <w:t xml:space="preserve">[transmission] </w:t>
      </w:r>
      <w:r w:rsidR="004515A3">
        <w:t>investment are undertaken, the analysis, public consultation and transparency of decisions is questionable.</w:t>
      </w:r>
    </w:p>
    <w:p w:rsidR="004515A3" w:rsidRDefault="004515A3" w:rsidP="004515A3">
      <w:pPr>
        <w:pStyle w:val="Quote"/>
      </w:pPr>
      <w:r>
        <w:t>There are many examples of the state-by-state approach to transmission planning which inhibits the development of a national grid. (sub. 32, p. 31)</w:t>
      </w:r>
    </w:p>
    <w:p w:rsidR="006648BB" w:rsidRDefault="006648BB" w:rsidP="006648BB">
      <w:pPr>
        <w:pStyle w:val="BodyText"/>
      </w:pPr>
      <w:r>
        <w:t xml:space="preserve">Similarly, while the </w:t>
      </w:r>
      <w:r w:rsidR="00BA1B37">
        <w:t>Australian Energy Regulator (</w:t>
      </w:r>
      <w:proofErr w:type="spellStart"/>
      <w:r>
        <w:t>AER</w:t>
      </w:r>
      <w:proofErr w:type="spellEnd"/>
      <w:r w:rsidR="00BA1B37">
        <w:t>)</w:t>
      </w:r>
      <w:r>
        <w:t xml:space="preserve"> considered </w:t>
      </w:r>
      <w:r w:rsidRPr="00694476">
        <w:t xml:space="preserve">‘there are signs the framework is providing increased incentives to review the level of transmission </w:t>
      </w:r>
      <w:r w:rsidRPr="00694476">
        <w:lastRenderedPageBreak/>
        <w:t>interconnection between regions’ (sub. 13, p. 25)</w:t>
      </w:r>
      <w:r w:rsidR="00F76381">
        <w:t>,</w:t>
      </w:r>
      <w:r>
        <w:t xml:space="preserve"> it also noted concerns that</w:t>
      </w:r>
      <w:r w:rsidR="00CC4A66">
        <w:t xml:space="preserve"> the framework could ‘promote reliability-driven region</w:t>
      </w:r>
      <w:r w:rsidR="00244F0C">
        <w:t>-centric’ investment (sub. 13, p. 28)</w:t>
      </w:r>
      <w:r w:rsidR="00A72097">
        <w:t>.</w:t>
      </w:r>
    </w:p>
    <w:p w:rsidR="006648BB" w:rsidRDefault="006648BB" w:rsidP="006648BB">
      <w:pPr>
        <w:pStyle w:val="BodyText"/>
      </w:pPr>
      <w:r>
        <w:t xml:space="preserve">On the other hand, the </w:t>
      </w:r>
      <w:proofErr w:type="spellStart"/>
      <w:r>
        <w:t>AEMC</w:t>
      </w:r>
      <w:proofErr w:type="spellEnd"/>
      <w:r>
        <w:t xml:space="preserve"> submitted that there </w:t>
      </w:r>
      <w:r w:rsidR="009F3724">
        <w:t xml:space="preserve">is </w:t>
      </w:r>
      <w:r>
        <w:t xml:space="preserve">little evidence of any material problem: </w:t>
      </w:r>
    </w:p>
    <w:p w:rsidR="006648BB" w:rsidRDefault="006648BB" w:rsidP="006648BB">
      <w:pPr>
        <w:pStyle w:val="Quote"/>
      </w:pPr>
      <w:r>
        <w:t xml:space="preserve">It is not immediately obvious that the level of price separation between regions within the </w:t>
      </w:r>
      <w:proofErr w:type="spellStart"/>
      <w:r>
        <w:t>NEM</w:t>
      </w:r>
      <w:proofErr w:type="spellEnd"/>
      <w:r>
        <w:t xml:space="preserve"> would suggest that there is a clearly insufficient level of interregional transmission capacity between the regions. While the absence of significant and sustained price separation between regions is not necessarily determinative of sufficient inter-regional investment, we consider that it provides a useful indicator.</w:t>
      </w:r>
    </w:p>
    <w:p w:rsidR="006648BB" w:rsidRDefault="006648BB" w:rsidP="006648BB">
      <w:pPr>
        <w:pStyle w:val="Quote"/>
      </w:pPr>
      <w:r>
        <w:t>While it is not clear to the [</w:t>
      </w:r>
      <w:proofErr w:type="spellStart"/>
      <w:r>
        <w:t>AEMC</w:t>
      </w:r>
      <w:proofErr w:type="spellEnd"/>
      <w:r>
        <w:t xml:space="preserve">] that the current arrangements are failing to deliver an efficient level of inter-regional investment or that options for additional inter-regional investment are not being considered by </w:t>
      </w:r>
      <w:r w:rsidR="00846694">
        <w:t>[</w:t>
      </w:r>
      <w:r w:rsidR="00BD329D">
        <w:t>t</w:t>
      </w:r>
      <w:r w:rsidR="00846694">
        <w:t xml:space="preserve">ransmission </w:t>
      </w:r>
      <w:r w:rsidR="00BD329D">
        <w:t>n</w:t>
      </w:r>
      <w:r w:rsidR="00846694">
        <w:t xml:space="preserve">etwork </w:t>
      </w:r>
      <w:r w:rsidR="00BD329D">
        <w:t>s</w:t>
      </w:r>
      <w:r w:rsidR="00846694">
        <w:t xml:space="preserve">ervice </w:t>
      </w:r>
      <w:r w:rsidR="00BD329D">
        <w:t>p</w:t>
      </w:r>
      <w:r w:rsidR="00846694">
        <w:t>roviders]</w:t>
      </w:r>
      <w:r>
        <w:t xml:space="preserve">, this is not to say that there is no scope for enhancing transmission planning arrangements in the </w:t>
      </w:r>
      <w:proofErr w:type="spellStart"/>
      <w:r>
        <w:t>NEM</w:t>
      </w:r>
      <w:proofErr w:type="spellEnd"/>
      <w:r>
        <w:t>. (sub. 16, p. 7)</w:t>
      </w:r>
    </w:p>
    <w:p w:rsidR="006648BB" w:rsidRDefault="006648BB" w:rsidP="006648BB">
      <w:pPr>
        <w:pStyle w:val="BodyText"/>
      </w:pPr>
      <w:r>
        <w:t xml:space="preserve">Grid Australia </w:t>
      </w:r>
      <w:r w:rsidR="002A1EDA">
        <w:t>reiterated its previous view, remarking that:</w:t>
      </w:r>
    </w:p>
    <w:p w:rsidR="006648BB" w:rsidRDefault="006648BB" w:rsidP="006648BB">
      <w:pPr>
        <w:pStyle w:val="Quote"/>
      </w:pPr>
      <w:r>
        <w:t>… the evidence suggests that current transmission planning and investment arrangements are delivering efficient outcomes. Put simply, where interconnection development is economically efficient it has, and is, occurring in a timely manner. (sub. 22, p. 1)</w:t>
      </w:r>
    </w:p>
    <w:p w:rsidR="006648BB" w:rsidRDefault="009F3724" w:rsidP="006648BB">
      <w:pPr>
        <w:pStyle w:val="BodyText"/>
      </w:pPr>
      <w:r>
        <w:t>It</w:t>
      </w:r>
      <w:r w:rsidR="006648BB">
        <w:t xml:space="preserve"> went on to note that a lack of major new interconnector projects is not necessarily inefficient and can in fact indicate that the regulatory framework is working as intended, to ensure that only efficient investments are built: </w:t>
      </w:r>
    </w:p>
    <w:p w:rsidR="006648BB" w:rsidRDefault="006648BB" w:rsidP="006648BB">
      <w:pPr>
        <w:pStyle w:val="Quote"/>
      </w:pPr>
      <w:r>
        <w:t xml:space="preserve">Regular analysis </w:t>
      </w:r>
      <w:r w:rsidR="006136D7">
        <w:t xml:space="preserve">… </w:t>
      </w:r>
      <w:r>
        <w:t>has shown that in most cases the benefits of building additional interconnection capacity would not outweigh the costs. Given an environment of concern about rising electricity prices, it is important that the framework ensures that interconnection investment is undertaken only in the circumstance where it provides a net benefit. (sub. 22, p. 2)</w:t>
      </w:r>
    </w:p>
    <w:p w:rsidR="00D71ED3" w:rsidRDefault="006648BB" w:rsidP="00D71ED3">
      <w:pPr>
        <w:pStyle w:val="BodyText"/>
      </w:pPr>
      <w:r>
        <w:t xml:space="preserve">Several generators also submitted views regarding the level of interconnection (box </w:t>
      </w:r>
      <w:r w:rsidR="005D50A5">
        <w:t>17.1</w:t>
      </w:r>
      <w:r>
        <w:t>).</w:t>
      </w:r>
    </w:p>
    <w:p w:rsidR="00FE0E89" w:rsidRPr="001B0FBB" w:rsidRDefault="00FE0E89" w:rsidP="00FE0E89">
      <w:pPr>
        <w:pStyle w:val="BodyText"/>
      </w:pPr>
    </w:p>
    <w:p w:rsidR="00FE0E89" w:rsidRDefault="00FE0E89" w:rsidP="00D71ED3">
      <w:pPr>
        <w:pStyle w:val="BodyText"/>
      </w:pPr>
    </w:p>
    <w:p w:rsidR="00E5508C" w:rsidRDefault="00E5508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508C">
        <w:tc>
          <w:tcPr>
            <w:tcW w:w="8771" w:type="dxa"/>
            <w:tcBorders>
              <w:top w:val="single" w:sz="6" w:space="0" w:color="auto"/>
              <w:bottom w:val="nil"/>
            </w:tcBorders>
          </w:tcPr>
          <w:p w:rsidR="00E5508C" w:rsidRDefault="00E5508C" w:rsidP="00E5508C">
            <w:pPr>
              <w:pStyle w:val="BoxTitle"/>
            </w:pPr>
            <w:r>
              <w:rPr>
                <w:b w:val="0"/>
              </w:rPr>
              <w:t xml:space="preserve">Box </w:t>
            </w:r>
            <w:bookmarkStart w:id="12" w:name="OLE_LINK5"/>
            <w:r w:rsidR="0004360F">
              <w:rPr>
                <w:b w:val="0"/>
              </w:rPr>
              <w:t>17.</w:t>
            </w:r>
            <w:r w:rsidR="00E92B84">
              <w:rPr>
                <w:b w:val="0"/>
                <w:noProof/>
              </w:rPr>
              <w:t>1</w:t>
            </w:r>
            <w:bookmarkEnd w:id="12"/>
            <w:r>
              <w:tab/>
              <w:t xml:space="preserve">Generators’ views on interconnectors </w:t>
            </w:r>
          </w:p>
        </w:tc>
      </w:tr>
      <w:tr w:rsidR="00E5508C">
        <w:trPr>
          <w:cantSplit/>
        </w:trPr>
        <w:tc>
          <w:tcPr>
            <w:tcW w:w="8771" w:type="dxa"/>
            <w:tcBorders>
              <w:top w:val="nil"/>
              <w:left w:val="single" w:sz="6" w:space="0" w:color="auto"/>
              <w:bottom w:val="nil"/>
              <w:right w:val="single" w:sz="6" w:space="0" w:color="auto"/>
            </w:tcBorders>
          </w:tcPr>
          <w:p w:rsidR="00E5508C" w:rsidRDefault="00E5508C" w:rsidP="00E5508C">
            <w:pPr>
              <w:pStyle w:val="Box"/>
            </w:pPr>
            <w:r w:rsidRPr="00D71ED3">
              <w:t>Loy Yang Marketing Management Company highlighted</w:t>
            </w:r>
            <w:r>
              <w:t xml:space="preserve"> the</w:t>
            </w:r>
            <w:r w:rsidRPr="00D71ED3">
              <w:t xml:space="preserve"> ‘uncertainty that currently exists</w:t>
            </w:r>
            <w:r w:rsidR="002A1EDA">
              <w:t xml:space="preserve"> </w:t>
            </w:r>
            <w:r w:rsidRPr="00D71ED3">
              <w:t>with regard to future interconnector carrying capacity for market participants’</w:t>
            </w:r>
            <w:r w:rsidR="002A1EDA">
              <w:t>. It</w:t>
            </w:r>
            <w:r>
              <w:t xml:space="preserve"> </w:t>
            </w:r>
            <w:r w:rsidR="00D415ED">
              <w:t xml:space="preserve">argued that </w:t>
            </w:r>
            <w:r>
              <w:t xml:space="preserve">this </w:t>
            </w:r>
            <w:r w:rsidR="001117ED">
              <w:t xml:space="preserve">warrants </w:t>
            </w:r>
            <w:r>
              <w:t xml:space="preserve">the </w:t>
            </w:r>
            <w:r w:rsidR="00D415ED">
              <w:t xml:space="preserve">adoption </w:t>
            </w:r>
            <w:r>
              <w:t xml:space="preserve">of interconnector reliability standards to ensure that interconnector capacity </w:t>
            </w:r>
            <w:r w:rsidR="001117ED">
              <w:t xml:space="preserve">is </w:t>
            </w:r>
            <w:r>
              <w:t>not eroded over time by, for example, new generation investments (sub. 25, p. 2).</w:t>
            </w:r>
          </w:p>
          <w:p w:rsidR="00E5508C" w:rsidRDefault="00E5508C" w:rsidP="00E5508C">
            <w:pPr>
              <w:pStyle w:val="Box"/>
            </w:pPr>
            <w:r>
              <w:t>International Power-</w:t>
            </w:r>
            <w:proofErr w:type="spellStart"/>
            <w:r>
              <w:t>GDF</w:t>
            </w:r>
            <w:proofErr w:type="spellEnd"/>
            <w:r>
              <w:t xml:space="preserve"> Suez Australia stated that it only supported ‘rational interconnector investment that is underpinned by sound economic cost-benefit analyses’ (sub. 36, p. 9), but also noted that developments in the market </w:t>
            </w:r>
            <w:r w:rsidR="008E58ED">
              <w:t xml:space="preserve">might </w:t>
            </w:r>
            <w:r>
              <w:t xml:space="preserve">heighten the impact of congestion and increase the </w:t>
            </w:r>
            <w:r w:rsidR="008E58ED">
              <w:t xml:space="preserve">future </w:t>
            </w:r>
            <w:r>
              <w:t xml:space="preserve">importance of interconnection: </w:t>
            </w:r>
          </w:p>
          <w:p w:rsidR="00E5508C" w:rsidRDefault="00E5508C" w:rsidP="00E5508C">
            <w:pPr>
              <w:pStyle w:val="BoxQuote"/>
            </w:pPr>
            <w:r>
              <w:t xml:space="preserve">The </w:t>
            </w:r>
            <w:proofErr w:type="spellStart"/>
            <w:r>
              <w:t>NEM</w:t>
            </w:r>
            <w:proofErr w:type="spellEnd"/>
            <w:r>
              <w:t xml:space="preserve"> and the external environment have evolved to the point where we now see the progressively increasing impact of transmission issues on generator connection, network access, congestion and inter-regional trading. These issues have become even more critical as the market attempts to respond to the transformational challenges arising from the shift to clean energy. (sub. 36, pp. 8</w:t>
            </w:r>
            <w:r w:rsidR="000C3E97">
              <w:t>–</w:t>
            </w:r>
            <w:r>
              <w:t>9)</w:t>
            </w:r>
          </w:p>
          <w:p w:rsidR="00E5508C" w:rsidRDefault="001117ED" w:rsidP="00E5508C">
            <w:pPr>
              <w:pStyle w:val="Box"/>
            </w:pPr>
            <w:r>
              <w:t>The company</w:t>
            </w:r>
            <w:r w:rsidR="00E5508C">
              <w:t xml:space="preserve"> also </w:t>
            </w:r>
            <w:r>
              <w:t xml:space="preserve">referred to the link between </w:t>
            </w:r>
            <w:r w:rsidR="00E5508C">
              <w:t>congestion</w:t>
            </w:r>
            <w:r w:rsidR="00C220F3">
              <w:t xml:space="preserve"> </w:t>
            </w:r>
            <w:r>
              <w:t>and</w:t>
            </w:r>
            <w:r w:rsidR="00E5508C">
              <w:t xml:space="preserve"> price volatility</w:t>
            </w:r>
            <w:r w:rsidR="00C220F3">
              <w:t xml:space="preserve">, </w:t>
            </w:r>
            <w:r>
              <w:t>and hence on the risks of</w:t>
            </w:r>
            <w:r w:rsidR="00C220F3">
              <w:t xml:space="preserve"> </w:t>
            </w:r>
            <w:r w:rsidR="00E5508C">
              <w:t xml:space="preserve">trading between regions in the </w:t>
            </w:r>
            <w:proofErr w:type="spellStart"/>
            <w:r w:rsidR="00E5508C">
              <w:t>NEM</w:t>
            </w:r>
            <w:proofErr w:type="spellEnd"/>
            <w:r w:rsidR="00E5508C">
              <w:t>:</w:t>
            </w:r>
          </w:p>
          <w:p w:rsidR="00E5508C" w:rsidRDefault="00E5508C" w:rsidP="00E5508C">
            <w:pPr>
              <w:pStyle w:val="BoxQuote"/>
            </w:pPr>
            <w:r>
              <w:t xml:space="preserve">The ability to trade power contracts between regions with confidence is a highly desirable outcome for the </w:t>
            </w:r>
            <w:proofErr w:type="spellStart"/>
            <w:r>
              <w:t>NEM</w:t>
            </w:r>
            <w:proofErr w:type="spellEnd"/>
            <w:r>
              <w:t xml:space="preserve">. To do so currently requires a market participant to bear significant inter-regional price risk. … </w:t>
            </w:r>
          </w:p>
          <w:p w:rsidR="00E5508C" w:rsidRDefault="00E5508C" w:rsidP="00E5508C">
            <w:pPr>
              <w:pStyle w:val="BoxQuote"/>
            </w:pPr>
            <w:r>
              <w:t xml:space="preserve">Price differences themselves are not a problem, but rather their highly volatile nature. A major component of this volatility is introduced by transmission congestion – both within regions and between regions. </w:t>
            </w:r>
          </w:p>
          <w:p w:rsidR="00E5508C" w:rsidRPr="009F2747" w:rsidRDefault="00E5508C" w:rsidP="00E5508C">
            <w:pPr>
              <w:pStyle w:val="BoxQuote"/>
              <w:rPr>
                <w:b/>
              </w:rPr>
            </w:pPr>
            <w:r>
              <w:t>This overall price difference volatility is a deterrent to inter-regional trading. A generator or retailer that seeks to contract in a region outside its own faces significant risks if it is left unable to defend these contracts in the event of transmission congestion or inter-regional separation.</w:t>
            </w:r>
            <w:r w:rsidR="002617EE">
              <w:t xml:space="preserve"> </w:t>
            </w:r>
            <w:r>
              <w:t>(sub. 36, p. 9)</w:t>
            </w:r>
            <w:r w:rsidR="009F2747">
              <w:t xml:space="preserve"> </w:t>
            </w:r>
          </w:p>
          <w:p w:rsidR="00E5508C" w:rsidRDefault="00E5508C" w:rsidP="00E5508C">
            <w:pPr>
              <w:pStyle w:val="Box"/>
            </w:pPr>
            <w:r>
              <w:t xml:space="preserve">The National Generators Form cautioned against the introduction of any requirements for </w:t>
            </w:r>
            <w:r w:rsidR="00BD329D">
              <w:t xml:space="preserve">transmission network service providers </w:t>
            </w:r>
            <w:r>
              <w:t xml:space="preserve">to undertake particular (interconnector) investment. The </w:t>
            </w:r>
            <w:r w:rsidR="007C3EE1">
              <w:t xml:space="preserve">forum </w:t>
            </w:r>
            <w:r>
              <w:t>also considered that recent changes to the regulatory framework, particularly through the (new) Regulatory Investment Test for Transmission (</w:t>
            </w:r>
            <w:proofErr w:type="spellStart"/>
            <w:r>
              <w:t>RIT</w:t>
            </w:r>
            <w:proofErr w:type="spellEnd"/>
            <w:r>
              <w:t xml:space="preserve">-T) </w:t>
            </w:r>
            <w:r w:rsidR="001117ED">
              <w:t xml:space="preserve">mean </w:t>
            </w:r>
            <w:r>
              <w:t>that</w:t>
            </w:r>
            <w:r w:rsidR="001117ED">
              <w:t xml:space="preserve"> there is now</w:t>
            </w:r>
            <w:r>
              <w:t xml:space="preserve">: </w:t>
            </w:r>
          </w:p>
          <w:p w:rsidR="00E5508C" w:rsidRDefault="00E5508C" w:rsidP="00E5508C">
            <w:pPr>
              <w:pStyle w:val="BoxQuote"/>
            </w:pPr>
            <w:r>
              <w:t>… a robust and thorough assessment process to consider and measure the net efficiency gains from any interconnector project.</w:t>
            </w:r>
          </w:p>
          <w:p w:rsidR="00E5508C" w:rsidRDefault="00E5508C" w:rsidP="007C3EE1">
            <w:pPr>
              <w:pStyle w:val="BoxQuote"/>
            </w:pPr>
            <w:r w:rsidRPr="000C3E97">
              <w:t xml:space="preserve">… </w:t>
            </w:r>
            <w:r w:rsidRPr="002A447E">
              <w:t xml:space="preserve">the </w:t>
            </w:r>
            <w:proofErr w:type="spellStart"/>
            <w:r w:rsidRPr="002A447E">
              <w:t>RIT</w:t>
            </w:r>
            <w:proofErr w:type="spellEnd"/>
            <w:r w:rsidRPr="002A447E">
              <w:t>-T, in combination with the incentives provided by the transmission building block regulatory regime, is capable of promoting timely and net beneficial transmission investment.</w:t>
            </w:r>
            <w:r>
              <w:rPr>
                <w:sz w:val="23"/>
                <w:szCs w:val="23"/>
              </w:rPr>
              <w:t xml:space="preserve"> </w:t>
            </w:r>
            <w:r>
              <w:t xml:space="preserve">(sub. 33, pp. 3, 5) </w:t>
            </w:r>
          </w:p>
        </w:tc>
      </w:tr>
      <w:tr w:rsidR="00E5508C">
        <w:trPr>
          <w:cantSplit/>
        </w:trPr>
        <w:tc>
          <w:tcPr>
            <w:tcW w:w="8771" w:type="dxa"/>
            <w:tcBorders>
              <w:top w:val="nil"/>
              <w:left w:val="single" w:sz="6" w:space="0" w:color="auto"/>
              <w:bottom w:val="single" w:sz="6" w:space="0" w:color="auto"/>
              <w:right w:val="single" w:sz="6" w:space="0" w:color="auto"/>
            </w:tcBorders>
          </w:tcPr>
          <w:p w:rsidR="00E5508C" w:rsidRDefault="00E5508C">
            <w:pPr>
              <w:pStyle w:val="Box"/>
              <w:spacing w:before="0" w:line="120" w:lineRule="exact"/>
            </w:pPr>
          </w:p>
        </w:tc>
      </w:tr>
      <w:tr w:rsidR="00E5508C">
        <w:tc>
          <w:tcPr>
            <w:tcW w:w="8771" w:type="dxa"/>
            <w:tcBorders>
              <w:top w:val="nil"/>
              <w:left w:val="nil"/>
              <w:bottom w:val="nil"/>
              <w:right w:val="nil"/>
            </w:tcBorders>
          </w:tcPr>
          <w:p w:rsidR="00E5508C" w:rsidRDefault="00E5508C">
            <w:pPr>
              <w:pStyle w:val="Box"/>
              <w:keepNext w:val="0"/>
              <w:spacing w:before="60" w:after="60" w:line="80" w:lineRule="exact"/>
              <w:rPr>
                <w:b/>
                <w:color w:val="FF00FF"/>
                <w:sz w:val="14"/>
              </w:rPr>
            </w:pPr>
          </w:p>
        </w:tc>
      </w:tr>
    </w:tbl>
    <w:p w:rsidR="00AB7B5B" w:rsidRDefault="0061110F" w:rsidP="00AB7B5B">
      <w:pPr>
        <w:pStyle w:val="BodyText"/>
      </w:pPr>
      <w:r>
        <w:t>A divergence of views was similarly evident amongst</w:t>
      </w:r>
      <w:r w:rsidR="00AB7B5B">
        <w:t xml:space="preserve"> energy user groups. The Major Energy Users highlighted the </w:t>
      </w:r>
      <w:r>
        <w:t xml:space="preserve">low </w:t>
      </w:r>
      <w:r w:rsidR="00AB7B5B">
        <w:t xml:space="preserve">level of </w:t>
      </w:r>
      <w:r>
        <w:t xml:space="preserve">recent </w:t>
      </w:r>
      <w:r w:rsidR="00AB7B5B">
        <w:t xml:space="preserve">investment </w:t>
      </w:r>
      <w:r>
        <w:t xml:space="preserve">in interconnectors, noting </w:t>
      </w:r>
      <w:r w:rsidR="00AB7B5B">
        <w:t xml:space="preserve">that, with the exception of </w:t>
      </w:r>
      <w:proofErr w:type="spellStart"/>
      <w:r w:rsidR="00AB7B5B">
        <w:t>Basslink</w:t>
      </w:r>
      <w:proofErr w:type="spellEnd"/>
      <w:r w:rsidR="00AB7B5B">
        <w:t>:</w:t>
      </w:r>
    </w:p>
    <w:p w:rsidR="00AB7B5B" w:rsidRDefault="00AB7B5B" w:rsidP="00AB7B5B">
      <w:pPr>
        <w:pStyle w:val="Quote"/>
      </w:pPr>
      <w:r>
        <w:lastRenderedPageBreak/>
        <w:t xml:space="preserve">Since the beginning of the </w:t>
      </w:r>
      <w:proofErr w:type="spellStart"/>
      <w:r>
        <w:t>NEM</w:t>
      </w:r>
      <w:proofErr w:type="spellEnd"/>
      <w:r>
        <w:t>, there has been no significant investment in interconnection yet there has been massive investment (measured in $billions) in transmission networks as a whole. (sub. 11, p. 19)</w:t>
      </w:r>
    </w:p>
    <w:p w:rsidR="006648BB" w:rsidRDefault="006648BB" w:rsidP="006648BB">
      <w:pPr>
        <w:pStyle w:val="BodyText"/>
      </w:pPr>
      <w:r>
        <w:t xml:space="preserve">However the Energy Users Association of Australia submitted that there </w:t>
      </w:r>
      <w:r w:rsidR="0061110F">
        <w:t xml:space="preserve">is </w:t>
      </w:r>
      <w:r>
        <w:t>‘little evidence’ to suggest a need for greater interconnection (capacity)</w:t>
      </w:r>
      <w:r w:rsidR="0061110F">
        <w:t xml:space="preserve"> — though it</w:t>
      </w:r>
      <w:r>
        <w:t xml:space="preserve"> stressed that </w:t>
      </w:r>
      <w:r w:rsidR="0061110F">
        <w:t>this did not obviate the need to look more generally at the reasons for significant differences in regional electricity prices</w:t>
      </w:r>
      <w:r>
        <w:t>:</w:t>
      </w:r>
    </w:p>
    <w:p w:rsidR="006648BB" w:rsidRDefault="006648BB" w:rsidP="006648BB">
      <w:pPr>
        <w:pStyle w:val="Quote"/>
      </w:pPr>
      <w:r>
        <w:t xml:space="preserve">Significant and sustained price differences between </w:t>
      </w:r>
      <w:proofErr w:type="spellStart"/>
      <w:r>
        <w:t>NEM</w:t>
      </w:r>
      <w:proofErr w:type="spellEnd"/>
      <w:r>
        <w:t xml:space="preserve"> regions are not, in our view, necessarily indicative of insufficient interconnection. There might be many reasons for high prices in individual </w:t>
      </w:r>
      <w:proofErr w:type="spellStart"/>
      <w:r>
        <w:t>NEM</w:t>
      </w:r>
      <w:proofErr w:type="spellEnd"/>
      <w:r>
        <w:t xml:space="preserve"> regions, such as the exercise of market power, market design features, inadequate demand-side participation, poor price signalling to consumers, amongst other factors. Significant price differentials between </w:t>
      </w:r>
      <w:proofErr w:type="spellStart"/>
      <w:r>
        <w:t>NEM</w:t>
      </w:r>
      <w:proofErr w:type="spellEnd"/>
      <w:r>
        <w:t xml:space="preserve"> regions might be more efficiently dealt with through changes in these areas, [rather] than through greater interconnection. (sub. 24, p. 13)</w:t>
      </w:r>
    </w:p>
    <w:p w:rsidR="0061110F" w:rsidRDefault="00B85D79" w:rsidP="00415325">
      <w:pPr>
        <w:pStyle w:val="BodyText"/>
      </w:pPr>
      <w:r>
        <w:t xml:space="preserve">Finally, and in line with </w:t>
      </w:r>
      <w:proofErr w:type="spellStart"/>
      <w:r>
        <w:t>Garnaut’s</w:t>
      </w:r>
      <w:proofErr w:type="spellEnd"/>
      <w:r>
        <w:t xml:space="preserve"> comments, some participants (such as the Clean Energy Council</w:t>
      </w:r>
      <w:r w:rsidR="006F6ED3">
        <w:t>,</w:t>
      </w:r>
      <w:r>
        <w:t xml:space="preserve"> sub. 31), focussed on the particular role of interconnectors in transporting low-emissions energy between jurisdictions, and the need for greater coordination in investment planning to facilitate this.</w:t>
      </w:r>
    </w:p>
    <w:p w:rsidR="00B85D79" w:rsidRPr="00415325" w:rsidRDefault="00967400" w:rsidP="00415325">
      <w:pPr>
        <w:pStyle w:val="BodyText"/>
      </w:pPr>
      <w:r>
        <w:t>As</w:t>
      </w:r>
      <w:r w:rsidR="00F801C0">
        <w:t xml:space="preserve"> the subsequent sections make clear, a</w:t>
      </w:r>
      <w:r>
        <w:t>s</w:t>
      </w:r>
      <w:r w:rsidR="00F801C0">
        <w:t>s</w:t>
      </w:r>
      <w:r>
        <w:t xml:space="preserve">essing the validity of these </w:t>
      </w:r>
      <w:r w:rsidR="00F801C0">
        <w:t xml:space="preserve">claims </w:t>
      </w:r>
      <w:r>
        <w:t xml:space="preserve">is not straightforward. </w:t>
      </w:r>
      <w:r w:rsidR="00F801C0">
        <w:t>Thus before reviewing the evidence regarding the adequacy of current interconnection, the</w:t>
      </w:r>
      <w:r>
        <w:t xml:space="preserve"> Commission has sought to </w:t>
      </w:r>
      <w:r w:rsidR="00F32C86">
        <w:t>outline</w:t>
      </w:r>
      <w:r w:rsidR="00F801C0">
        <w:t xml:space="preserve"> some important conceptual considerations that bear upon such an assessment.</w:t>
      </w:r>
    </w:p>
    <w:p w:rsidR="00C72124" w:rsidRDefault="0004360F" w:rsidP="00C72124">
      <w:pPr>
        <w:pStyle w:val="Heading2"/>
      </w:pPr>
      <w:r>
        <w:t>17.</w:t>
      </w:r>
      <w:r w:rsidR="00E92B84">
        <w:rPr>
          <w:noProof/>
        </w:rPr>
        <w:t>2</w:t>
      </w:r>
      <w:r w:rsidR="00C72124">
        <w:tab/>
      </w:r>
      <w:r w:rsidR="000220FB">
        <w:t>Some c</w:t>
      </w:r>
      <w:r w:rsidR="00F801C0">
        <w:t>onceptual considerations</w:t>
      </w:r>
      <w:r w:rsidR="00C72124">
        <w:t xml:space="preserve"> </w:t>
      </w:r>
    </w:p>
    <w:p w:rsidR="001D63B7" w:rsidRDefault="00D7036A">
      <w:pPr>
        <w:pStyle w:val="BodyText"/>
      </w:pPr>
      <w:r>
        <w:t xml:space="preserve">The benefits of interconnectors </w:t>
      </w:r>
      <w:r w:rsidR="00F801C0">
        <w:t>must of course</w:t>
      </w:r>
      <w:r>
        <w:t xml:space="preserve"> </w:t>
      </w:r>
      <w:r w:rsidR="003C7E8D">
        <w:t xml:space="preserve">be </w:t>
      </w:r>
      <w:r>
        <w:t>weighed against their costs</w:t>
      </w:r>
      <w:r w:rsidR="003C7E8D">
        <w:t>.</w:t>
      </w:r>
      <w:r w:rsidR="005743E4">
        <w:t xml:space="preserve"> </w:t>
      </w:r>
      <w:r w:rsidR="00F801C0">
        <w:t>But</w:t>
      </w:r>
      <w:r w:rsidR="004C1EAD">
        <w:t xml:space="preserve"> </w:t>
      </w:r>
      <w:r w:rsidR="00F801C0">
        <w:t xml:space="preserve">while </w:t>
      </w:r>
      <w:r w:rsidR="007C3EE1">
        <w:t xml:space="preserve">it is easy to understand </w:t>
      </w:r>
      <w:r w:rsidR="005743E4">
        <w:t xml:space="preserve">the costs of an interconnector in engineering and financial terms, the benefits </w:t>
      </w:r>
      <w:r w:rsidR="006C0AE5">
        <w:t xml:space="preserve">from </w:t>
      </w:r>
      <w:r w:rsidR="0092066B">
        <w:t xml:space="preserve">greater interconnection are less tangible, and more varied. The </w:t>
      </w:r>
      <w:proofErr w:type="spellStart"/>
      <w:r w:rsidR="0092066B">
        <w:t>RIT</w:t>
      </w:r>
      <w:proofErr w:type="spellEnd"/>
      <w:r w:rsidR="0092066B">
        <w:t xml:space="preserve">-T (discussed in more detail in chapter </w:t>
      </w:r>
      <w:r w:rsidR="00596B56">
        <w:t>19</w:t>
      </w:r>
      <w:r w:rsidR="0092066B">
        <w:t>)</w:t>
      </w:r>
      <w:r w:rsidR="001D63B7">
        <w:t xml:space="preserve"> contemplates a range of benefits that </w:t>
      </w:r>
      <w:r w:rsidR="007C3EE1">
        <w:t xml:space="preserve">might </w:t>
      </w:r>
      <w:r w:rsidR="001D63B7">
        <w:t>arise from a new transmission investment (including interconnectors)</w:t>
      </w:r>
      <w:r w:rsidR="006C0AE5">
        <w:t xml:space="preserve">. These include </w:t>
      </w:r>
      <w:r w:rsidR="000220FB">
        <w:t>lower</w:t>
      </w:r>
      <w:r w:rsidR="001D63B7">
        <w:t xml:space="preserve"> fuel costs, </w:t>
      </w:r>
      <w:r w:rsidR="00214279">
        <w:t xml:space="preserve">reductions in unserved </w:t>
      </w:r>
      <w:r w:rsidR="002A447E">
        <w:t>demand</w:t>
      </w:r>
      <w:r w:rsidR="001D63B7">
        <w:t xml:space="preserve">, delayed </w:t>
      </w:r>
      <w:r w:rsidR="000220FB">
        <w:t xml:space="preserve">or avoided </w:t>
      </w:r>
      <w:r w:rsidR="001D63B7">
        <w:t xml:space="preserve">investment </w:t>
      </w:r>
      <w:r w:rsidR="000220FB">
        <w:t xml:space="preserve">in intra-regional transmission or generation assets </w:t>
      </w:r>
      <w:r w:rsidR="006C0AE5">
        <w:t xml:space="preserve">and the </w:t>
      </w:r>
      <w:r w:rsidR="001D63B7">
        <w:t>benefits</w:t>
      </w:r>
      <w:r w:rsidR="006C0AE5">
        <w:t xml:space="preserve"> from increased competition</w:t>
      </w:r>
      <w:r w:rsidR="001D63B7">
        <w:t xml:space="preserve">. </w:t>
      </w:r>
      <w:r w:rsidR="000220FB">
        <w:t xml:space="preserve">Also important is the role of interconnection in </w:t>
      </w:r>
      <w:r w:rsidR="001D63B7">
        <w:t>facilitating an efficient level of congestion</w:t>
      </w:r>
      <w:r w:rsidR="000220FB">
        <w:t xml:space="preserve"> across the network.</w:t>
      </w:r>
    </w:p>
    <w:p w:rsidR="001D63B7" w:rsidRDefault="005D7BBE" w:rsidP="001D63B7">
      <w:pPr>
        <w:pStyle w:val="Heading3"/>
      </w:pPr>
      <w:r>
        <w:lastRenderedPageBreak/>
        <w:t xml:space="preserve">Welfare </w:t>
      </w:r>
      <w:r w:rsidR="00214279">
        <w:t xml:space="preserve">effects from greater interconnection </w:t>
      </w:r>
    </w:p>
    <w:p w:rsidR="001D63B7" w:rsidRPr="001D63B7" w:rsidRDefault="00214279" w:rsidP="001D63B7">
      <w:pPr>
        <w:pStyle w:val="BodyText"/>
      </w:pPr>
      <w:r>
        <w:t>By allowing interconnection between regions, an interconnector project can</w:t>
      </w:r>
      <w:r w:rsidR="00AD4EE4">
        <w:t xml:space="preserve"> </w:t>
      </w:r>
      <w:r>
        <w:t>defer other transmission or generation investment</w:t>
      </w:r>
      <w:r w:rsidR="00AD4EE4">
        <w:t>.</w:t>
      </w:r>
      <w:r w:rsidR="002A447E">
        <w:t xml:space="preserve"> </w:t>
      </w:r>
      <w:r w:rsidR="00AD4EE4">
        <w:t>It</w:t>
      </w:r>
      <w:r>
        <w:t xml:space="preserve"> can also improve productive and </w:t>
      </w:r>
      <w:proofErr w:type="spellStart"/>
      <w:r>
        <w:t>allocative</w:t>
      </w:r>
      <w:proofErr w:type="spellEnd"/>
      <w:r>
        <w:t xml:space="preserve"> efficiency in the interconnected market, by introducing further competition for generators, and enabling consumers to access more (and potentially cheaper) sources of energy.</w:t>
      </w:r>
      <w:r>
        <w:rPr>
          <w:rStyle w:val="FootnoteReference"/>
        </w:rPr>
        <w:footnoteReference w:id="6"/>
      </w:r>
      <w:r>
        <w:t xml:space="preserve"> </w:t>
      </w:r>
    </w:p>
    <w:p w:rsidR="00C6058E" w:rsidRDefault="00C6058E" w:rsidP="00C72124">
      <w:pPr>
        <w:pStyle w:val="BodyText"/>
      </w:pPr>
      <w:r>
        <w:t xml:space="preserve">While many of the effects would be transfers (for example, consumers in </w:t>
      </w:r>
      <w:r w:rsidR="00176D7D">
        <w:t xml:space="preserve">an </w:t>
      </w:r>
      <w:r>
        <w:t xml:space="preserve">exporting jurisdiction would likely face higher prices, while those in the importing jurisdiction would see price falls), with sufficient interconnection, there is likely to be a net welfare gain across the jurisdictions. This is best illustrated by a simplified example </w:t>
      </w:r>
      <w:r w:rsidR="004E2175">
        <w:t xml:space="preserve">where </w:t>
      </w:r>
      <w:r>
        <w:t xml:space="preserve">a connection </w:t>
      </w:r>
      <w:r w:rsidR="004E2175">
        <w:t xml:space="preserve">is introduced </w:t>
      </w:r>
      <w:r>
        <w:t>between previously unconnected low cost (exporting) and high cost (importing) regions (</w:t>
      </w:r>
      <w:r w:rsidR="00F10535">
        <w:t xml:space="preserve">box </w:t>
      </w:r>
      <w:r w:rsidR="005D50A5">
        <w:t>17.2</w:t>
      </w:r>
      <w:r w:rsidR="00F173DB">
        <w:t>).</w:t>
      </w:r>
    </w:p>
    <w:p w:rsidR="00026E31" w:rsidRDefault="0064464F" w:rsidP="00026E31">
      <w:pPr>
        <w:pStyle w:val="BodyText"/>
      </w:pPr>
      <w:r>
        <w:t>At the same time,</w:t>
      </w:r>
      <w:r w:rsidR="00026E31">
        <w:t xml:space="preserve"> </w:t>
      </w:r>
      <w:r>
        <w:t xml:space="preserve">a welfare enhancing </w:t>
      </w:r>
      <w:r w:rsidR="00026E31">
        <w:t xml:space="preserve">interconnection can create ‘winners and losers’ through its redistributive effects. </w:t>
      </w:r>
      <w:r>
        <w:t xml:space="preserve">Although </w:t>
      </w:r>
      <w:r w:rsidR="00026E31">
        <w:t xml:space="preserve">these winners and losers ‘wash out’ in the assessment of a net benefit, their identification during the assessment process can </w:t>
      </w:r>
      <w:r>
        <w:t>be important</w:t>
      </w:r>
      <w:r w:rsidR="00026E31">
        <w:t xml:space="preserve">. For example, </w:t>
      </w:r>
      <w:r>
        <w:t xml:space="preserve">the </w:t>
      </w:r>
      <w:r w:rsidR="00026E31">
        <w:t xml:space="preserve">process of identifying beneficiaries </w:t>
      </w:r>
      <w:r>
        <w:t>is central to</w:t>
      </w:r>
      <w:r w:rsidR="00026E31">
        <w:t xml:space="preserve"> ‘beneficiary pays’ models of transmission expansion (see, for example, Hogan</w:t>
      </w:r>
      <w:r w:rsidR="00B35DF6">
        <w:t> </w:t>
      </w:r>
      <w:r w:rsidR="00026E31">
        <w:t>2012</w:t>
      </w:r>
      <w:r w:rsidR="00B35DF6">
        <w:t>a</w:t>
      </w:r>
      <w:r w:rsidR="00026E31">
        <w:t xml:space="preserve">). </w:t>
      </w:r>
    </w:p>
    <w:p w:rsidR="00FE0E89" w:rsidRDefault="0064464F" w:rsidP="00FE0E89">
      <w:pPr>
        <w:pStyle w:val="BodyText"/>
      </w:pPr>
      <w:r>
        <w:t>Net welfare effects (</w:t>
      </w:r>
      <w:r w:rsidR="002B2FFD">
        <w:t xml:space="preserve">the change in </w:t>
      </w:r>
      <w:r w:rsidR="00FE0E89">
        <w:t>consumer and producer surplus</w:t>
      </w:r>
      <w:r w:rsidR="002B2FFD">
        <w:t>)</w:t>
      </w:r>
      <w:r w:rsidR="00FE0E89">
        <w:t xml:space="preserve"> are typically </w:t>
      </w:r>
      <w:r w:rsidR="002B2FFD">
        <w:t>a reflection of</w:t>
      </w:r>
      <w:r w:rsidR="00FE0E89">
        <w:t xml:space="preserve"> movements in prices. In reality, </w:t>
      </w:r>
      <w:r w:rsidR="002B2FFD">
        <w:t xml:space="preserve">such movements </w:t>
      </w:r>
      <w:r w:rsidR="00FE0E89">
        <w:t xml:space="preserve">can </w:t>
      </w:r>
      <w:r w:rsidR="002B2FFD">
        <w:t>occur for a variety of reasons</w:t>
      </w:r>
      <w:r w:rsidR="00FE0E89">
        <w:t xml:space="preserve">. For example, if generation in neighbouring jurisdictions relies on fuel sources with different characteristics, price movements in those fuel sources can move in unrelated ways at different times. Connecting the regions can allow consumers to ‘smooth’ the costs, a point </w:t>
      </w:r>
      <w:proofErr w:type="spellStart"/>
      <w:r w:rsidR="00FE0E89">
        <w:t>Turvey</w:t>
      </w:r>
      <w:proofErr w:type="spellEnd"/>
      <w:r w:rsidR="00FE0E89">
        <w:t xml:space="preserve"> (2006) noted in commenting on a proposed interconnector between the largely hydro system of Norway and the largely thermal system of Britain:</w:t>
      </w:r>
    </w:p>
    <w:p w:rsidR="00FE0E89" w:rsidRPr="00EF6825" w:rsidRDefault="00FE0E89" w:rsidP="006E39CD">
      <w:pPr>
        <w:pStyle w:val="Quote"/>
      </w:pPr>
      <w:r>
        <w:t>In wet years such an interconnector would have added to total Norwegian export possibilities, so raising prices, while in dry years it would have extended the import possibilities, so reducing import costs; in other words there would have been a favourable terms of trade effect in some years. As regards daily variations on the other hand, the interconnector would have added to Norway’s capability for export using its hydro capacity, allowing it to earn more on peak power exports. (p. 1459)</w:t>
      </w:r>
    </w:p>
    <w:p w:rsidR="00F10535" w:rsidRDefault="00F1053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10535">
        <w:tc>
          <w:tcPr>
            <w:tcW w:w="8771" w:type="dxa"/>
            <w:tcBorders>
              <w:top w:val="single" w:sz="6" w:space="0" w:color="auto"/>
              <w:bottom w:val="nil"/>
            </w:tcBorders>
          </w:tcPr>
          <w:p w:rsidR="00F10535" w:rsidRDefault="00F10535">
            <w:pPr>
              <w:pStyle w:val="BoxTitle"/>
            </w:pPr>
            <w:r>
              <w:rPr>
                <w:b w:val="0"/>
              </w:rPr>
              <w:t xml:space="preserve">Box </w:t>
            </w:r>
            <w:bookmarkStart w:id="13" w:name="OLE_LINK7"/>
            <w:r w:rsidR="0004360F">
              <w:rPr>
                <w:b w:val="0"/>
              </w:rPr>
              <w:t>17.</w:t>
            </w:r>
            <w:r w:rsidR="00E92B84">
              <w:rPr>
                <w:b w:val="0"/>
                <w:noProof/>
              </w:rPr>
              <w:t>2</w:t>
            </w:r>
            <w:bookmarkEnd w:id="13"/>
            <w:r>
              <w:tab/>
              <w:t>Illustrative welfare effects from interconnection</w:t>
            </w:r>
          </w:p>
        </w:tc>
      </w:tr>
      <w:tr w:rsidR="00F10535">
        <w:trPr>
          <w:cantSplit/>
        </w:trPr>
        <w:tc>
          <w:tcPr>
            <w:tcW w:w="8771" w:type="dxa"/>
            <w:tcBorders>
              <w:top w:val="nil"/>
              <w:left w:val="single" w:sz="6" w:space="0" w:color="auto"/>
              <w:bottom w:val="nil"/>
              <w:right w:val="single" w:sz="6" w:space="0" w:color="auto"/>
            </w:tcBorders>
          </w:tcPr>
          <w:p w:rsidR="00F10535" w:rsidRDefault="00737744">
            <w:pPr>
              <w:pStyle w:val="Box"/>
            </w:pPr>
            <w:r>
              <w:rPr>
                <w:noProof/>
              </w:rPr>
              <w:drawing>
                <wp:inline distT="0" distB="0" distL="0" distR="0" wp14:anchorId="7A08E72B" wp14:editId="4299569B">
                  <wp:extent cx="5415526" cy="2886075"/>
                  <wp:effectExtent l="0" t="0" r="0" b="0"/>
                  <wp:docPr id="4" name="Picture 4" descr="Illustrative welfare effects from interconnection. This figure compares welfare effects from interconnection on an exporting and importing reg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7-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15526" cy="2886075"/>
                          </a:xfrm>
                          <a:prstGeom prst="rect">
                            <a:avLst/>
                          </a:prstGeom>
                        </pic:spPr>
                      </pic:pic>
                    </a:graphicData>
                  </a:graphic>
                </wp:inline>
              </w:drawing>
            </w:r>
          </w:p>
          <w:p w:rsidR="00F10535" w:rsidRDefault="00F10535" w:rsidP="00596B56">
            <w:pPr>
              <w:pStyle w:val="Box"/>
            </w:pPr>
            <w:r>
              <w:t xml:space="preserve">As the figure above illustrates, the introduction of an interconnector with a capacity of ‘K’ leads to some degree of price convergence, as the price rises to </w:t>
            </w:r>
            <w:r w:rsidRPr="00D2253E">
              <w:t>P</w:t>
            </w:r>
            <w:r w:rsidRPr="00D2253E">
              <w:rPr>
                <w:vertAlign w:val="subscript"/>
              </w:rPr>
              <w:t>A</w:t>
            </w:r>
            <w:r w:rsidRPr="00D2253E">
              <w:rPr>
                <w:vertAlign w:val="superscript"/>
              </w:rPr>
              <w:t>*</w:t>
            </w:r>
            <w:r>
              <w:rPr>
                <w:vertAlign w:val="superscript"/>
              </w:rPr>
              <w:t xml:space="preserve"> </w:t>
            </w:r>
            <w:r>
              <w:t xml:space="preserve">in the exporting region (region A) and falls to </w:t>
            </w:r>
            <w:proofErr w:type="spellStart"/>
            <w:r w:rsidRPr="00D2253E">
              <w:t>P</w:t>
            </w:r>
            <w:r w:rsidRPr="00D2253E">
              <w:rPr>
                <w:vertAlign w:val="subscript"/>
              </w:rPr>
              <w:t>B</w:t>
            </w:r>
            <w:proofErr w:type="spellEnd"/>
            <w:r w:rsidRPr="00D2253E">
              <w:rPr>
                <w:vertAlign w:val="superscript"/>
              </w:rPr>
              <w:t>*</w:t>
            </w:r>
            <w:r>
              <w:t xml:space="preserve"> in the importing region (region B). </w:t>
            </w:r>
          </w:p>
          <w:p w:rsidR="00F10535" w:rsidRDefault="00F10535" w:rsidP="00596B56">
            <w:pPr>
              <w:pStyle w:val="Box"/>
            </w:pPr>
            <w:r>
              <w:t>In terms of welfare effects, in the exporting region the higher price results in a loss to consumers (of surplus represented by the area ‘</w:t>
            </w:r>
            <w:proofErr w:type="spellStart"/>
            <w:r>
              <w:t>a+b</w:t>
            </w:r>
            <w:proofErr w:type="spellEnd"/>
            <w:r>
              <w:t>’) but a gain to producers (‘</w:t>
            </w:r>
            <w:proofErr w:type="spellStart"/>
            <w:r>
              <w:t>a+b+c</w:t>
            </w:r>
            <w:proofErr w:type="spellEnd"/>
            <w:r>
              <w:t xml:space="preserve">’), and a net welfare gain for the region (‘c’). </w:t>
            </w:r>
          </w:p>
          <w:p w:rsidR="00F10535" w:rsidRDefault="00F10535" w:rsidP="00596B56">
            <w:pPr>
              <w:pStyle w:val="Box"/>
            </w:pPr>
            <w:r>
              <w:t>For the importing region, consumers gain from lower prices and associated greater consumption (‘</w:t>
            </w:r>
            <w:proofErr w:type="spellStart"/>
            <w:r>
              <w:t>d+e+f</w:t>
            </w:r>
            <w:proofErr w:type="spellEnd"/>
            <w:r>
              <w:t>’), but the producers now receive a lower revenue through reductions in both quantity and ‘domestic production (the area ‘d’). Again, there is a net welfare gain to the importing region (‘</w:t>
            </w:r>
            <w:proofErr w:type="spellStart"/>
            <w:r>
              <w:t>e+f</w:t>
            </w:r>
            <w:proofErr w:type="spellEnd"/>
            <w:r>
              <w:t>’), and an overall gain to both regions (‘</w:t>
            </w:r>
            <w:proofErr w:type="spellStart"/>
            <w:r>
              <w:t>c+e+f</w:t>
            </w:r>
            <w:proofErr w:type="spellEnd"/>
            <w:r>
              <w:t xml:space="preserve">’). </w:t>
            </w:r>
          </w:p>
          <w:p w:rsidR="00C04300" w:rsidRDefault="00C04300" w:rsidP="00596B56">
            <w:pPr>
              <w:pStyle w:val="Box"/>
            </w:pPr>
            <w:r>
              <w:t xml:space="preserve">There </w:t>
            </w:r>
            <w:r w:rsidR="008E58ED">
              <w:t xml:space="preserve">might </w:t>
            </w:r>
            <w:r>
              <w:t xml:space="preserve">also be dynamic efficiency gains if generators in one location </w:t>
            </w:r>
            <w:r w:rsidR="00C823C9">
              <w:t>are</w:t>
            </w:r>
            <w:r>
              <w:t xml:space="preserve"> less costly (at least at some times) than generators in other locations. Those cost efficiencies might see the migration of investment to lower-cost generators, especially where the decisive factor is cheap fuel source availability. The point here is that ‘transfers’ can create rents (</w:t>
            </w:r>
            <w:r w:rsidR="00712776">
              <w:t xml:space="preserve">or </w:t>
            </w:r>
            <w:r>
              <w:t>losses) for generators that create incentives (</w:t>
            </w:r>
            <w:r w:rsidR="00712776">
              <w:t xml:space="preserve">or </w:t>
            </w:r>
            <w:r>
              <w:t>disincentives) for long-run investment</w:t>
            </w:r>
            <w:r w:rsidR="00C823C9">
              <w:t xml:space="preserve"> and attempts to encourage cost minim</w:t>
            </w:r>
            <w:r w:rsidR="00712776">
              <w:t>i</w:t>
            </w:r>
            <w:r w:rsidR="00C823C9">
              <w:t>sation</w:t>
            </w:r>
            <w:r>
              <w:t xml:space="preserve">. </w:t>
            </w:r>
            <w:r w:rsidR="00C823C9">
              <w:t>Much the same imperative underpins incentive regulations for electricity networks.</w:t>
            </w:r>
          </w:p>
        </w:tc>
      </w:tr>
      <w:tr w:rsidR="00F10535">
        <w:trPr>
          <w:cantSplit/>
        </w:trPr>
        <w:tc>
          <w:tcPr>
            <w:tcW w:w="8771" w:type="dxa"/>
            <w:tcBorders>
              <w:top w:val="nil"/>
              <w:left w:val="single" w:sz="6" w:space="0" w:color="auto"/>
              <w:bottom w:val="nil"/>
              <w:right w:val="single" w:sz="6" w:space="0" w:color="auto"/>
            </w:tcBorders>
          </w:tcPr>
          <w:p w:rsidR="00F10535" w:rsidRDefault="00F10535" w:rsidP="00F10535">
            <w:pPr>
              <w:pStyle w:val="BoxSource"/>
            </w:pPr>
            <w:r>
              <w:rPr>
                <w:i/>
              </w:rPr>
              <w:t>Source</w:t>
            </w:r>
            <w:r w:rsidRPr="00167F06">
              <w:t xml:space="preserve">: </w:t>
            </w:r>
            <w:r>
              <w:t xml:space="preserve">adapted from </w:t>
            </w:r>
            <w:proofErr w:type="spellStart"/>
            <w:r>
              <w:t>Kapff</w:t>
            </w:r>
            <w:proofErr w:type="spellEnd"/>
            <w:r>
              <w:t xml:space="preserve"> and </w:t>
            </w:r>
            <w:proofErr w:type="spellStart"/>
            <w:r>
              <w:t>Pelkmans</w:t>
            </w:r>
            <w:proofErr w:type="spellEnd"/>
            <w:r>
              <w:t xml:space="preserve"> </w:t>
            </w:r>
            <w:r w:rsidR="00C04300">
              <w:t>(</w:t>
            </w:r>
            <w:r>
              <w:t>2010</w:t>
            </w:r>
            <w:r w:rsidR="00C04300">
              <w:t>)</w:t>
            </w:r>
            <w:r>
              <w:t>.</w:t>
            </w:r>
          </w:p>
        </w:tc>
      </w:tr>
      <w:tr w:rsidR="00F10535">
        <w:trPr>
          <w:cantSplit/>
        </w:trPr>
        <w:tc>
          <w:tcPr>
            <w:tcW w:w="8771" w:type="dxa"/>
            <w:tcBorders>
              <w:top w:val="nil"/>
              <w:left w:val="single" w:sz="6" w:space="0" w:color="auto"/>
              <w:bottom w:val="single" w:sz="6" w:space="0" w:color="auto"/>
              <w:right w:val="single" w:sz="6" w:space="0" w:color="auto"/>
            </w:tcBorders>
          </w:tcPr>
          <w:p w:rsidR="00F10535" w:rsidRDefault="00F10535">
            <w:pPr>
              <w:pStyle w:val="Box"/>
              <w:spacing w:before="0" w:line="120" w:lineRule="exact"/>
            </w:pPr>
          </w:p>
        </w:tc>
      </w:tr>
      <w:tr w:rsidR="00F10535">
        <w:tc>
          <w:tcPr>
            <w:tcW w:w="8771" w:type="dxa"/>
            <w:tcBorders>
              <w:top w:val="nil"/>
              <w:left w:val="nil"/>
              <w:bottom w:val="nil"/>
              <w:right w:val="nil"/>
            </w:tcBorders>
          </w:tcPr>
          <w:p w:rsidR="00F10535" w:rsidRDefault="00F10535">
            <w:pPr>
              <w:pStyle w:val="Box"/>
              <w:keepNext w:val="0"/>
              <w:spacing w:before="60" w:after="60" w:line="80" w:lineRule="exact"/>
              <w:rPr>
                <w:b/>
                <w:color w:val="FF00FF"/>
                <w:sz w:val="14"/>
              </w:rPr>
            </w:pPr>
          </w:p>
        </w:tc>
      </w:tr>
    </w:tbl>
    <w:p w:rsidR="006E39CD" w:rsidRPr="004F02AF" w:rsidRDefault="006E39CD" w:rsidP="006E39CD">
      <w:pPr>
        <w:pStyle w:val="BodyText"/>
      </w:pPr>
      <w:r>
        <w:t xml:space="preserve">While many of these effects </w:t>
      </w:r>
      <w:r w:rsidR="002B2FFD">
        <w:t>will be reflected</w:t>
      </w:r>
      <w:r>
        <w:t xml:space="preserve"> in movements</w:t>
      </w:r>
      <w:r w:rsidR="002B2FFD">
        <w:t xml:space="preserve"> in electricity prices, there will be exceptions. For instance,</w:t>
      </w:r>
      <w:r>
        <w:t xml:space="preserve"> an interconnector might provide other benefits, such as avoiding generation investment required for security of supply (discussed below). </w:t>
      </w:r>
    </w:p>
    <w:p w:rsidR="003A2487" w:rsidRDefault="003A2487" w:rsidP="003A2487">
      <w:pPr>
        <w:pStyle w:val="Heading3"/>
      </w:pPr>
      <w:r>
        <w:lastRenderedPageBreak/>
        <w:t>An efficient level of congestion</w:t>
      </w:r>
    </w:p>
    <w:p w:rsidR="003A2487" w:rsidRDefault="003A2487" w:rsidP="003A2487">
      <w:pPr>
        <w:pStyle w:val="BodyText"/>
      </w:pPr>
      <w:r>
        <w:t>Congestion in a transmission system can lead to higher electricity prices as potentially cheaper sources of generation are effectively disconnected from the market and progressively more expensive sources must be relied on to meet demand. This can also result in transient (or ‘time-limited’) market power for</w:t>
      </w:r>
      <w:r w:rsidR="00104F23">
        <w:t xml:space="preserve"> some</w:t>
      </w:r>
      <w:r>
        <w:t xml:space="preserve"> generators. Should the generators respond to market incentives and decide to wield their market power, it could lead to further price spikes. Congestion can also </w:t>
      </w:r>
      <w:r w:rsidR="00C823C9">
        <w:t xml:space="preserve">affect </w:t>
      </w:r>
      <w:r>
        <w:t xml:space="preserve">reliability and result in load shedding if sufficient generation is not accessible in time to meet demand requirements. As such, reductions in congestion — through intra- or inter-regional transmission investment — can </w:t>
      </w:r>
      <w:r w:rsidR="00C823C9">
        <w:t>be beneficial</w:t>
      </w:r>
      <w:r>
        <w:t xml:space="preserve">. </w:t>
      </w:r>
    </w:p>
    <w:p w:rsidR="003A2487" w:rsidRDefault="003A2487" w:rsidP="003A2487">
      <w:pPr>
        <w:pStyle w:val="BodyText"/>
      </w:pPr>
      <w:r>
        <w:t xml:space="preserve">However, </w:t>
      </w:r>
      <w:r w:rsidR="005A3E6F">
        <w:t xml:space="preserve">the efficient level of congestion is not zero. </w:t>
      </w:r>
      <w:r w:rsidR="00526296">
        <w:t>The benefits of reduc</w:t>
      </w:r>
      <w:r w:rsidR="00596B56">
        <w:t>ing</w:t>
      </w:r>
      <w:r w:rsidR="00526296">
        <w:t xml:space="preserve"> congestion must be set against the investment and other costs of doing so</w:t>
      </w:r>
      <w:r w:rsidR="005A3E6F">
        <w:t xml:space="preserve">. </w:t>
      </w:r>
      <w:r w:rsidR="00526296">
        <w:t xml:space="preserve">As the </w:t>
      </w:r>
      <w:proofErr w:type="spellStart"/>
      <w:r>
        <w:t>AEMC</w:t>
      </w:r>
      <w:proofErr w:type="spellEnd"/>
      <w:r>
        <w:t xml:space="preserve"> stressed </w:t>
      </w:r>
      <w:r w:rsidR="000B0B52">
        <w:t>in</w:t>
      </w:r>
      <w:r>
        <w:t xml:space="preserve"> its Congestion Management review of 2008:</w:t>
      </w:r>
    </w:p>
    <w:p w:rsidR="003A2487" w:rsidRDefault="003A2487" w:rsidP="003A2487">
      <w:pPr>
        <w:pStyle w:val="Quote"/>
      </w:pPr>
      <w:r>
        <w:t xml:space="preserve">To eliminate </w:t>
      </w:r>
      <w:r>
        <w:rPr>
          <w:rFonts w:ascii="BookAntiqua,Italic" w:hAnsi="BookAntiqua,Italic" w:cs="BookAntiqua,Italic"/>
          <w:i/>
          <w:iCs/>
        </w:rPr>
        <w:t xml:space="preserve">all </w:t>
      </w:r>
      <w:r>
        <w:t xml:space="preserve">transmission congestion would be neither cost-effective nor efficient. It would lead to over-investment in transmission capacity. In the </w:t>
      </w:r>
      <w:proofErr w:type="spellStart"/>
      <w:r>
        <w:t>NEM’s</w:t>
      </w:r>
      <w:proofErr w:type="spellEnd"/>
      <w:r>
        <w:t xml:space="preserve"> radial network with dispersed sources of generation and centres of demand, the costs of building out all transmission congestion would be prohibitively high. There is, therefore, an </w:t>
      </w:r>
      <w:r>
        <w:rPr>
          <w:rFonts w:ascii="BookAntiqua,Italic" w:hAnsi="BookAntiqua,Italic" w:cs="BookAntiqua,Italic"/>
          <w:i/>
          <w:iCs/>
        </w:rPr>
        <w:t xml:space="preserve">efficient level </w:t>
      </w:r>
      <w:r>
        <w:t>of congestion … (</w:t>
      </w:r>
      <w:r w:rsidR="007C2378">
        <w:t xml:space="preserve">2008b, </w:t>
      </w:r>
      <w:r>
        <w:t>p. 10)</w:t>
      </w:r>
    </w:p>
    <w:p w:rsidR="003A2487" w:rsidRDefault="00526296" w:rsidP="003A2487">
      <w:pPr>
        <w:pStyle w:val="BodyText"/>
      </w:pPr>
      <w:r>
        <w:t xml:space="preserve"> The implication is that a lack of</w:t>
      </w:r>
      <w:r w:rsidR="003A2487">
        <w:t xml:space="preserve"> new investment in interconnectors </w:t>
      </w:r>
      <w:r w:rsidR="00A57A30">
        <w:t>does not</w:t>
      </w:r>
      <w:r w:rsidR="00947415">
        <w:t xml:space="preserve"> automatically</w:t>
      </w:r>
      <w:r w:rsidR="00A57A30">
        <w:t xml:space="preserve"> mean that the regulatory framework has ‘failed’</w:t>
      </w:r>
      <w:r w:rsidR="00947415">
        <w:t xml:space="preserve"> — it might simply be that</w:t>
      </w:r>
      <w:r w:rsidR="003A2487">
        <w:t xml:space="preserve"> the costs of </w:t>
      </w:r>
      <w:r w:rsidR="00947415">
        <w:t>alleviating</w:t>
      </w:r>
      <w:r w:rsidR="003A2487">
        <w:t xml:space="preserve"> identified congestion </w:t>
      </w:r>
      <w:r w:rsidR="00947415">
        <w:t xml:space="preserve">would </w:t>
      </w:r>
      <w:r w:rsidR="003A2487">
        <w:t xml:space="preserve">outweigh the benefits. This </w:t>
      </w:r>
      <w:r w:rsidR="00947415">
        <w:t xml:space="preserve">in turn </w:t>
      </w:r>
      <w:r w:rsidR="003A2487">
        <w:t xml:space="preserve">means that the regulatory framework should not be judged on the quantum of investment that </w:t>
      </w:r>
      <w:r w:rsidR="00947415">
        <w:t xml:space="preserve">does </w:t>
      </w:r>
      <w:r w:rsidR="003A2487">
        <w:t xml:space="preserve">(or </w:t>
      </w:r>
      <w:r w:rsidR="00947415">
        <w:t xml:space="preserve">does </w:t>
      </w:r>
      <w:r w:rsidR="003A2487">
        <w:t xml:space="preserve">not) go ahead. Rather, the pertinent questions are: </w:t>
      </w:r>
    </w:p>
    <w:p w:rsidR="003A2487" w:rsidRDefault="003A2487" w:rsidP="003A2487">
      <w:pPr>
        <w:pStyle w:val="ListBullet"/>
      </w:pPr>
      <w:r>
        <w:t>Were efficient investments correctly identified and evaluated?</w:t>
      </w:r>
    </w:p>
    <w:p w:rsidR="003A2487" w:rsidRDefault="003A2487" w:rsidP="003A2487">
      <w:pPr>
        <w:pStyle w:val="ListBullet"/>
      </w:pPr>
      <w:r>
        <w:t xml:space="preserve">Did only those investments that were judged as efficient go ahead? </w:t>
      </w:r>
    </w:p>
    <w:p w:rsidR="003A2487" w:rsidRDefault="003A2487" w:rsidP="003A2487">
      <w:pPr>
        <w:pStyle w:val="ListBullet"/>
      </w:pPr>
      <w:r>
        <w:t xml:space="preserve">Did any investments that were judged as efficient </w:t>
      </w:r>
      <w:r>
        <w:rPr>
          <w:i/>
        </w:rPr>
        <w:t>not</w:t>
      </w:r>
      <w:r>
        <w:t xml:space="preserve"> go ahead?</w:t>
      </w:r>
    </w:p>
    <w:p w:rsidR="003A2487" w:rsidRPr="003A2487" w:rsidRDefault="00A232D5" w:rsidP="003A2487">
      <w:pPr>
        <w:pStyle w:val="BodyText"/>
      </w:pPr>
      <w:r>
        <w:t>(</w:t>
      </w:r>
      <w:r w:rsidR="003B131E">
        <w:t>R</w:t>
      </w:r>
      <w:r>
        <w:t xml:space="preserve">elated issues </w:t>
      </w:r>
      <w:r w:rsidR="003B131E">
        <w:t>are</w:t>
      </w:r>
      <w:r>
        <w:t xml:space="preserve"> the </w:t>
      </w:r>
      <w:r w:rsidR="003A2487">
        <w:t>categories of benefit that should be included, and the method of reaching judgements about the level of efficiency</w:t>
      </w:r>
      <w:r w:rsidR="00596B56">
        <w:t xml:space="preserve"> of any given investment</w:t>
      </w:r>
      <w:r w:rsidR="003A2487">
        <w:t xml:space="preserve">. These questions are considered further in chapter </w:t>
      </w:r>
      <w:r w:rsidR="00674F47">
        <w:t>1</w:t>
      </w:r>
      <w:r w:rsidR="00596B56">
        <w:t>9</w:t>
      </w:r>
      <w:r w:rsidR="003A2487">
        <w:t>.</w:t>
      </w:r>
      <w:r>
        <w:t>)</w:t>
      </w:r>
    </w:p>
    <w:p w:rsidR="00797683" w:rsidRDefault="00797683" w:rsidP="00797683">
      <w:pPr>
        <w:pStyle w:val="Heading3"/>
      </w:pPr>
      <w:r>
        <w:t>Other potential benefits</w:t>
      </w:r>
      <w:r w:rsidR="00947415">
        <w:t xml:space="preserve"> from interconnection</w:t>
      </w:r>
    </w:p>
    <w:p w:rsidR="00797683" w:rsidRPr="00797683" w:rsidRDefault="00797683" w:rsidP="00797683">
      <w:pPr>
        <w:pStyle w:val="Heading4"/>
      </w:pPr>
      <w:r>
        <w:t>Encouraging financial trade in the energy market</w:t>
      </w:r>
    </w:p>
    <w:p w:rsidR="00154C65" w:rsidRDefault="003B131E" w:rsidP="00154C65">
      <w:pPr>
        <w:pStyle w:val="BodyText"/>
      </w:pPr>
      <w:r>
        <w:t xml:space="preserve">Wholesale electricity spot prices are volatile, exposing generators and retailers to risk. As </w:t>
      </w:r>
      <w:proofErr w:type="spellStart"/>
      <w:r>
        <w:t>Parer</w:t>
      </w:r>
      <w:proofErr w:type="spellEnd"/>
      <w:r>
        <w:t xml:space="preserve"> (2002, pp. 129</w:t>
      </w:r>
      <w:r w:rsidR="009E3C1D">
        <w:t>–</w:t>
      </w:r>
      <w:r>
        <w:t>30) observed</w:t>
      </w:r>
      <w:r w:rsidR="00DD32AE">
        <w:t xml:space="preserve">: </w:t>
      </w:r>
    </w:p>
    <w:p w:rsidR="00572AE0" w:rsidRDefault="00572AE0" w:rsidP="007B4E9C">
      <w:pPr>
        <w:pStyle w:val="Quote"/>
      </w:pPr>
      <w:r>
        <w:lastRenderedPageBreak/>
        <w:t xml:space="preserve">Irrespective of the level of interconnection, physical constraints between regions are of critical concern where they undermine the development of efficient levels of contracted interstate </w:t>
      </w:r>
      <w:r w:rsidRPr="007B4E9C">
        <w:t>trade towards a truly national and efficient energy market</w:t>
      </w:r>
      <w:r>
        <w:rPr>
          <w:rFonts w:ascii="ZeroTwos" w:hAnsi="ZeroTwos" w:cs="ZeroTwos"/>
          <w:sz w:val="18"/>
          <w:szCs w:val="18"/>
        </w:rPr>
        <w:t xml:space="preserve"> </w:t>
      </w:r>
      <w:r>
        <w:t xml:space="preserve">and efficient integration of the </w:t>
      </w:r>
      <w:proofErr w:type="spellStart"/>
      <w:r>
        <w:t>NEM</w:t>
      </w:r>
      <w:proofErr w:type="spellEnd"/>
      <w:r>
        <w:t xml:space="preserve"> at a wholesale and retail level. The key issue is the ability of market participants to manage the financial risks that result from the potential for interconnects to physically constrain or fail. </w:t>
      </w:r>
    </w:p>
    <w:p w:rsidR="00DD32AE" w:rsidRPr="008A1375" w:rsidRDefault="00947415" w:rsidP="00DD32AE">
      <w:pPr>
        <w:pStyle w:val="BodyText"/>
      </w:pPr>
      <w:r>
        <w:t>The Commission concurs that there could be benefits of this nature from</w:t>
      </w:r>
      <w:r w:rsidR="00165613">
        <w:t xml:space="preserve"> </w:t>
      </w:r>
      <w:r>
        <w:t xml:space="preserve">greater interconnector </w:t>
      </w:r>
      <w:r w:rsidR="00DD32AE">
        <w:t xml:space="preserve">capacity </w:t>
      </w:r>
      <w:r>
        <w:t xml:space="preserve">— though such capacity </w:t>
      </w:r>
      <w:r w:rsidR="003B131E">
        <w:t xml:space="preserve">is only </w:t>
      </w:r>
      <w:r w:rsidR="00DD32AE">
        <w:t>one factor affecting inter</w:t>
      </w:r>
      <w:r w:rsidR="00165613">
        <w:noBreakHyphen/>
      </w:r>
      <w:r w:rsidR="00DD32AE">
        <w:t>regional financial trading</w:t>
      </w:r>
      <w:r>
        <w:t xml:space="preserve">. Indeed, </w:t>
      </w:r>
      <w:r w:rsidR="00676985">
        <w:t xml:space="preserve">some </w:t>
      </w:r>
      <w:r w:rsidR="00DD32AE">
        <w:t xml:space="preserve">other factors (such as market rules and participant behaviour) </w:t>
      </w:r>
      <w:r w:rsidR="00676985">
        <w:t>seemingly have more frequent and adverse effects on trading risk</w:t>
      </w:r>
      <w:r w:rsidR="00DD32AE">
        <w:t xml:space="preserve"> than </w:t>
      </w:r>
      <w:r w:rsidR="00676985">
        <w:t>the</w:t>
      </w:r>
      <w:r w:rsidR="00DD32AE">
        <w:t xml:space="preserve"> </w:t>
      </w:r>
      <w:r w:rsidR="00676985">
        <w:t xml:space="preserve">current </w:t>
      </w:r>
      <w:r w:rsidR="00DD32AE">
        <w:t xml:space="preserve">capacity of interconnectors. These issues are further explored in chapter </w:t>
      </w:r>
      <w:r w:rsidR="00674F47">
        <w:t>1</w:t>
      </w:r>
      <w:r w:rsidR="008A1375">
        <w:t>8.</w:t>
      </w:r>
    </w:p>
    <w:p w:rsidR="00572AE0" w:rsidRDefault="00797683" w:rsidP="00797683">
      <w:pPr>
        <w:pStyle w:val="Heading4"/>
      </w:pPr>
      <w:r>
        <w:t>Accessing alternative fuel sources</w:t>
      </w:r>
    </w:p>
    <w:p w:rsidR="004365EA" w:rsidRDefault="00800925" w:rsidP="00797683">
      <w:pPr>
        <w:pStyle w:val="BodyText"/>
      </w:pPr>
      <w:proofErr w:type="spellStart"/>
      <w:r>
        <w:t>Garnaut</w:t>
      </w:r>
      <w:proofErr w:type="spellEnd"/>
      <w:r>
        <w:t xml:space="preserve"> and others </w:t>
      </w:r>
      <w:r w:rsidR="00C6058E">
        <w:t xml:space="preserve">suggest that </w:t>
      </w:r>
      <w:r>
        <w:t>greater investment in renewable generation</w:t>
      </w:r>
      <w:r w:rsidDel="00800925">
        <w:t xml:space="preserve"> </w:t>
      </w:r>
      <w:r>
        <w:t xml:space="preserve">will increase the importance of </w:t>
      </w:r>
      <w:r w:rsidR="00C6058E">
        <w:t>interconnector</w:t>
      </w:r>
      <w:r>
        <w:t>s</w:t>
      </w:r>
      <w:r w:rsidR="00C6058E">
        <w:t>. For example, the Clean Energy Council submitted that:</w:t>
      </w:r>
      <w:r w:rsidR="00797683">
        <w:t xml:space="preserve"> </w:t>
      </w:r>
    </w:p>
    <w:p w:rsidR="004365EA" w:rsidRDefault="004365EA" w:rsidP="004365EA">
      <w:pPr>
        <w:pStyle w:val="Quote"/>
      </w:pPr>
      <w:r>
        <w:t>High penetrations of renewable generation imply technology and geographic diversity. Under this condition cases are envisaged to arise where load and generation capacity will not always align within a region. In other words one region may have significant generation potential at a time when demand within that region is low and is exceeded by the generation capacity. To illustrate, if wind generation in South Australia exceeds overnight demand, the excess generation could be used in Victoria via interconnectors. (sub. 31, p. 5)</w:t>
      </w:r>
    </w:p>
    <w:p w:rsidR="00797683" w:rsidRDefault="00797683" w:rsidP="00797683">
      <w:pPr>
        <w:pStyle w:val="BodyText"/>
      </w:pPr>
      <w:proofErr w:type="spellStart"/>
      <w:r>
        <w:t>AEMO</w:t>
      </w:r>
      <w:proofErr w:type="spellEnd"/>
      <w:r w:rsidR="00C6058E">
        <w:t xml:space="preserve"> also pointed to the challenges that integrating renewable technologies, particularly wind energy can cause, and suggested that a national planner </w:t>
      </w:r>
      <w:r w:rsidR="005A3E6F">
        <w:t xml:space="preserve">(who is capable of planning and directing both intra- and inter-regional transmission investment) </w:t>
      </w:r>
      <w:r w:rsidR="00C6058E">
        <w:t xml:space="preserve">was best suited to integrate government energy policies with the existing </w:t>
      </w:r>
      <w:proofErr w:type="spellStart"/>
      <w:r w:rsidR="00C6058E">
        <w:t>NEM</w:t>
      </w:r>
      <w:proofErr w:type="spellEnd"/>
      <w:r w:rsidR="00C6058E">
        <w:t xml:space="preserve"> in an efficient manner (sub. 32, p. 33).</w:t>
      </w:r>
      <w:r>
        <w:t xml:space="preserve"> </w:t>
      </w:r>
    </w:p>
    <w:p w:rsidR="00AA0423" w:rsidRDefault="00DA7030" w:rsidP="004365EA">
      <w:pPr>
        <w:pStyle w:val="BodyText"/>
      </w:pPr>
      <w:r>
        <w:t>Absent policies mandating a certain level of renewable energy use</w:t>
      </w:r>
      <w:r w:rsidR="00AA0423">
        <w:t xml:space="preserve">, the benefits of facilitating inter-regional flows of renewable energy would simply be one component of the overall benefits of trade in electricity across the </w:t>
      </w:r>
      <w:proofErr w:type="spellStart"/>
      <w:r w:rsidR="00AA0423">
        <w:t>NEM</w:t>
      </w:r>
      <w:proofErr w:type="spellEnd"/>
      <w:r w:rsidR="00AA0423">
        <w:t xml:space="preserve">. </w:t>
      </w:r>
    </w:p>
    <w:p w:rsidR="00DA7030" w:rsidRDefault="00AA0423" w:rsidP="004365EA">
      <w:pPr>
        <w:pStyle w:val="BodyText"/>
      </w:pPr>
      <w:r>
        <w:t xml:space="preserve">However, access to renewable energy sources that are intrinsically efficient (that is, which do not require subsidies) are likely to increase the scope for welfare enhancing trade of this nature </w:t>
      </w:r>
      <w:r w:rsidR="00CD117E">
        <w:t>a</w:t>
      </w:r>
      <w:r>
        <w:t xml:space="preserve">s noted above, the benefits of interconnection are likely to be greater when neighbouring jurisdictions rely on different fuel sources. If fuel sources (and their associated costs) are largely the same, cost savings from greater interconnection might be smaller (but other impacts, such as mitigating any </w:t>
      </w:r>
      <w:r>
        <w:lastRenderedPageBreak/>
        <w:t>generator market power, benefits of scale of particular generators or reducing costs of meeting reliability requirements would still be present).</w:t>
      </w:r>
    </w:p>
    <w:p w:rsidR="004365EA" w:rsidRDefault="00FE419A" w:rsidP="004365EA">
      <w:pPr>
        <w:pStyle w:val="BodyText"/>
      </w:pPr>
      <w:r>
        <w:t>Moreover, in</w:t>
      </w:r>
      <w:r w:rsidR="004365EA">
        <w:t xml:space="preserve"> the presence of </w:t>
      </w:r>
      <w:r>
        <w:t xml:space="preserve">current </w:t>
      </w:r>
      <w:r w:rsidR="004365EA">
        <w:t xml:space="preserve">policies mandating a certain level of renewable energy, </w:t>
      </w:r>
      <w:r>
        <w:t xml:space="preserve">greater interconnection could have a more specific benefit through reducing the cost of meeting those requirements. </w:t>
      </w:r>
      <w:r w:rsidR="004365EA">
        <w:t xml:space="preserve">In effect, </w:t>
      </w:r>
      <w:r>
        <w:t xml:space="preserve">interconnection will </w:t>
      </w:r>
      <w:r w:rsidR="004365EA">
        <w:t xml:space="preserve">facilitate the use of the most cost-effective renewable resources across the </w:t>
      </w:r>
      <w:proofErr w:type="spellStart"/>
      <w:r w:rsidR="004365EA">
        <w:t>NEM</w:t>
      </w:r>
      <w:proofErr w:type="spellEnd"/>
      <w:r w:rsidR="004365EA">
        <w:t>, rather than within each jurisdiction</w:t>
      </w:r>
      <w:r w:rsidR="004365EA" w:rsidRPr="005B1230">
        <w:t>.</w:t>
      </w:r>
    </w:p>
    <w:p w:rsidR="00FE419A" w:rsidRPr="005B1230" w:rsidRDefault="00FE419A" w:rsidP="004365EA">
      <w:pPr>
        <w:pStyle w:val="BodyText"/>
        <w:rPr>
          <w:b/>
        </w:rPr>
      </w:pPr>
      <w:r>
        <w:t>But this would be very much a second best benefit. To the extent that mandatory renewable energy targets impos</w:t>
      </w:r>
      <w:r w:rsidR="007E1674">
        <w:t>e</w:t>
      </w:r>
      <w:r>
        <w:t xml:space="preserve"> net costs, the best policy is to remove them, not seek to alleviate that cost through further investment in interconnectors. </w:t>
      </w:r>
    </w:p>
    <w:p w:rsidR="00C6058E" w:rsidRDefault="0004360F" w:rsidP="001A71B6">
      <w:pPr>
        <w:pStyle w:val="Heading2"/>
      </w:pPr>
      <w:r>
        <w:t>17.</w:t>
      </w:r>
      <w:r w:rsidR="00E92B84">
        <w:rPr>
          <w:noProof/>
        </w:rPr>
        <w:t>3</w:t>
      </w:r>
      <w:r w:rsidR="001A71B6">
        <w:tab/>
        <w:t xml:space="preserve">Evidence of the efficiency of interconnection </w:t>
      </w:r>
    </w:p>
    <w:p w:rsidR="001A71B6" w:rsidRPr="007E1674" w:rsidRDefault="00800925" w:rsidP="001A71B6">
      <w:pPr>
        <w:pStyle w:val="BodyText"/>
      </w:pPr>
      <w:r>
        <w:t xml:space="preserve">There is </w:t>
      </w:r>
      <w:r w:rsidR="00A57A30">
        <w:t xml:space="preserve">no single, conclusive measure to determine if interconnection in the </w:t>
      </w:r>
      <w:proofErr w:type="spellStart"/>
      <w:r w:rsidR="00A57A30">
        <w:t>NEM</w:t>
      </w:r>
      <w:proofErr w:type="spellEnd"/>
      <w:r w:rsidR="00A57A30">
        <w:t xml:space="preserve"> has reached (</w:t>
      </w:r>
      <w:r w:rsidR="004A0F21">
        <w:t>or</w:t>
      </w:r>
      <w:r w:rsidR="00A57A30">
        <w:t xml:space="preserve"> is likely to remain at) an efficient level</w:t>
      </w:r>
      <w:r>
        <w:t xml:space="preserve">. Nevertheless, some </w:t>
      </w:r>
      <w:r w:rsidR="006C49F7">
        <w:t>indicators</w:t>
      </w:r>
      <w:r>
        <w:t xml:space="preserve">, in tandem, provide </w:t>
      </w:r>
      <w:r w:rsidRPr="007E1674">
        <w:t>evidence on efficiency:</w:t>
      </w:r>
    </w:p>
    <w:p w:rsidR="00A57A30" w:rsidRDefault="00800925" w:rsidP="00A57A30">
      <w:pPr>
        <w:pStyle w:val="ListBullet"/>
      </w:pPr>
      <w:r w:rsidRPr="007E1674">
        <w:t>cost</w:t>
      </w:r>
      <w:r w:rsidR="007D2449" w:rsidRPr="007E1674">
        <w:t>–</w:t>
      </w:r>
      <w:r w:rsidR="00A57A30" w:rsidRPr="007E1674">
        <w:t xml:space="preserve">benefit analyses </w:t>
      </w:r>
      <w:r w:rsidRPr="007E1674">
        <w:t>undertaken for</w:t>
      </w:r>
      <w:r>
        <w:t xml:space="preserve"> </w:t>
      </w:r>
      <w:r w:rsidR="00A57A30">
        <w:t xml:space="preserve">potential interconnectors as part of </w:t>
      </w:r>
      <w:proofErr w:type="spellStart"/>
      <w:r w:rsidR="00A57A30">
        <w:t>RIT</w:t>
      </w:r>
      <w:proofErr w:type="spellEnd"/>
      <w:r w:rsidR="00A57A30">
        <w:t>-T processes and in the National Transmission Network Development Plan</w:t>
      </w:r>
      <w:r w:rsidR="0065147A">
        <w:t xml:space="preserve"> (</w:t>
      </w:r>
      <w:proofErr w:type="spellStart"/>
      <w:r w:rsidR="0065147A">
        <w:t>NTNDP</w:t>
      </w:r>
      <w:proofErr w:type="spellEnd"/>
      <w:r w:rsidR="0065147A">
        <w:t>)</w:t>
      </w:r>
    </w:p>
    <w:p w:rsidR="00A57A30" w:rsidRDefault="00800925" w:rsidP="00A57A30">
      <w:pPr>
        <w:pStyle w:val="ListBullet"/>
      </w:pPr>
      <w:r>
        <w:t xml:space="preserve">measures </w:t>
      </w:r>
      <w:r w:rsidR="00A57A30">
        <w:t>of the cost of congestion</w:t>
      </w:r>
    </w:p>
    <w:p w:rsidR="00A57A30" w:rsidRDefault="00EA1EFB" w:rsidP="00A57A30">
      <w:pPr>
        <w:pStyle w:val="ListBullet"/>
      </w:pPr>
      <w:r>
        <w:t xml:space="preserve">the level </w:t>
      </w:r>
      <w:r w:rsidR="00A57A30">
        <w:t xml:space="preserve">of price separations between regions in the </w:t>
      </w:r>
      <w:proofErr w:type="spellStart"/>
      <w:r w:rsidR="00A57A30">
        <w:t>NEM</w:t>
      </w:r>
      <w:proofErr w:type="spellEnd"/>
    </w:p>
    <w:p w:rsidR="00A57A30" w:rsidRDefault="00EA1EFB" w:rsidP="00A57A30">
      <w:pPr>
        <w:pStyle w:val="ListBullet"/>
      </w:pPr>
      <w:r>
        <w:t>the</w:t>
      </w:r>
      <w:r w:rsidR="00144571">
        <w:t xml:space="preserve"> extent</w:t>
      </w:r>
      <w:r>
        <w:t xml:space="preserve"> </w:t>
      </w:r>
      <w:r w:rsidR="00A57A30">
        <w:t>of the utilisation of interconnector</w:t>
      </w:r>
      <w:r w:rsidR="00144571">
        <w:t xml:space="preserve"> capacity</w:t>
      </w:r>
      <w:r w:rsidR="00A57A30">
        <w:t>.</w:t>
      </w:r>
    </w:p>
    <w:p w:rsidR="00DA7DB5" w:rsidRDefault="00DA7DB5" w:rsidP="00DA7DB5">
      <w:pPr>
        <w:pStyle w:val="Heading3"/>
      </w:pPr>
      <w:r>
        <w:t>Cost</w:t>
      </w:r>
      <w:r w:rsidR="005B6E48">
        <w:t>–</w:t>
      </w:r>
      <w:r>
        <w:t xml:space="preserve">benefit analyses of potential interconnectors </w:t>
      </w:r>
    </w:p>
    <w:p w:rsidR="0065147A" w:rsidRDefault="007D470A" w:rsidP="00DA7DB5">
      <w:pPr>
        <w:pStyle w:val="BodyText"/>
      </w:pPr>
      <w:r>
        <w:t xml:space="preserve">Three interconnectors in the </w:t>
      </w:r>
      <w:proofErr w:type="spellStart"/>
      <w:r>
        <w:t>NEM</w:t>
      </w:r>
      <w:proofErr w:type="spellEnd"/>
      <w:r>
        <w:t xml:space="preserve"> (Heywood, </w:t>
      </w:r>
      <w:proofErr w:type="spellStart"/>
      <w:r>
        <w:t>QNI</w:t>
      </w:r>
      <w:proofErr w:type="spellEnd"/>
      <w:r>
        <w:t xml:space="preserve"> and Vic-NSW) </w:t>
      </w:r>
      <w:r w:rsidR="0065147A">
        <w:t xml:space="preserve">are undergoing some evaluation </w:t>
      </w:r>
      <w:r w:rsidR="00CD117E">
        <w:t xml:space="preserve">by the relevant </w:t>
      </w:r>
      <w:proofErr w:type="spellStart"/>
      <w:r w:rsidR="00CD117E">
        <w:t>TNSPs</w:t>
      </w:r>
      <w:proofErr w:type="spellEnd"/>
      <w:r w:rsidR="00CD117E">
        <w:t xml:space="preserve"> </w:t>
      </w:r>
      <w:r w:rsidR="009521D4">
        <w:t xml:space="preserve">(and </w:t>
      </w:r>
      <w:proofErr w:type="spellStart"/>
      <w:r w:rsidR="009521D4">
        <w:t>AEMO</w:t>
      </w:r>
      <w:proofErr w:type="spellEnd"/>
      <w:r w:rsidR="009521D4">
        <w:t xml:space="preserve"> in the case of Heywood) </w:t>
      </w:r>
      <w:r w:rsidR="0065147A">
        <w:t xml:space="preserve">to determine what, if any, upgrades would be efficient. </w:t>
      </w:r>
      <w:r w:rsidR="006C49F7">
        <w:t>While</w:t>
      </w:r>
      <w:r w:rsidR="0065147A">
        <w:t xml:space="preserve"> these analyses </w:t>
      </w:r>
      <w:r w:rsidR="006C49F7">
        <w:t xml:space="preserve">have </w:t>
      </w:r>
      <w:r w:rsidR="0065147A">
        <w:t xml:space="preserve">not </w:t>
      </w:r>
      <w:r w:rsidR="006C49F7">
        <w:t xml:space="preserve">been </w:t>
      </w:r>
      <w:r w:rsidR="0065147A">
        <w:t>finalised</w:t>
      </w:r>
      <w:r w:rsidR="006C49F7">
        <w:t xml:space="preserve">, </w:t>
      </w:r>
      <w:r w:rsidR="00232538">
        <w:t xml:space="preserve">the </w:t>
      </w:r>
      <w:r w:rsidR="006C49F7">
        <w:t xml:space="preserve">information </w:t>
      </w:r>
      <w:r w:rsidR="00232538">
        <w:t xml:space="preserve">that is </w:t>
      </w:r>
      <w:r w:rsidR="006C49F7">
        <w:t>available</w:t>
      </w:r>
      <w:r w:rsidR="00823083">
        <w:t xml:space="preserve"> </w:t>
      </w:r>
      <w:r w:rsidR="00232538">
        <w:t>provides insights on both the adequacy of current interconnection capacity, the relative merits of different forms of upg</w:t>
      </w:r>
      <w:r w:rsidR="00165613">
        <w:t>r</w:t>
      </w:r>
      <w:r w:rsidR="00232538">
        <w:t xml:space="preserve">ades (as well as on </w:t>
      </w:r>
      <w:r w:rsidR="00823083">
        <w:t xml:space="preserve">how </w:t>
      </w:r>
      <w:r w:rsidR="00232538">
        <w:t>the decision making process proceeds)</w:t>
      </w:r>
      <w:r w:rsidR="006C49F7">
        <w:t>.</w:t>
      </w:r>
      <w:r w:rsidR="00823083">
        <w:rPr>
          <w:rStyle w:val="FootnoteReference"/>
        </w:rPr>
        <w:footnoteReference w:id="7"/>
      </w:r>
      <w:r w:rsidR="006C49F7">
        <w:t xml:space="preserve"> </w:t>
      </w:r>
    </w:p>
    <w:p w:rsidR="0065147A" w:rsidRDefault="0065147A" w:rsidP="0065147A">
      <w:pPr>
        <w:pStyle w:val="Heading4"/>
      </w:pPr>
      <w:r>
        <w:lastRenderedPageBreak/>
        <w:t xml:space="preserve">The </w:t>
      </w:r>
      <w:proofErr w:type="spellStart"/>
      <w:r>
        <w:t>RIT</w:t>
      </w:r>
      <w:proofErr w:type="spellEnd"/>
      <w:r>
        <w:t xml:space="preserve">-T process for the Heywood interconnector </w:t>
      </w:r>
    </w:p>
    <w:p w:rsidR="0065147A" w:rsidRDefault="00A655D5" w:rsidP="00DA7DB5">
      <w:pPr>
        <w:pStyle w:val="BodyText"/>
      </w:pPr>
      <w:r>
        <w:t xml:space="preserve">As the transmission planners for Victoria and South Australia respectively, </w:t>
      </w:r>
      <w:proofErr w:type="spellStart"/>
      <w:r>
        <w:t>AEMO</w:t>
      </w:r>
      <w:proofErr w:type="spellEnd"/>
      <w:r>
        <w:t xml:space="preserve"> and </w:t>
      </w:r>
      <w:proofErr w:type="spellStart"/>
      <w:r>
        <w:t>ElectraNet</w:t>
      </w:r>
      <w:proofErr w:type="spellEnd"/>
      <w:r>
        <w:t xml:space="preserve"> initiated a </w:t>
      </w:r>
      <w:proofErr w:type="spellStart"/>
      <w:r>
        <w:t>RIT</w:t>
      </w:r>
      <w:proofErr w:type="spellEnd"/>
      <w:r>
        <w:t xml:space="preserve">-T for the Heywood interconnector following the identification of market benefits from such an expansion in the 2010 </w:t>
      </w:r>
      <w:proofErr w:type="spellStart"/>
      <w:r>
        <w:t>NTNDP</w:t>
      </w:r>
      <w:proofErr w:type="spellEnd"/>
      <w:r>
        <w:t xml:space="preserve">. </w:t>
      </w:r>
      <w:r w:rsidR="005A3E6F">
        <w:t xml:space="preserve">The first stage of the </w:t>
      </w:r>
      <w:proofErr w:type="spellStart"/>
      <w:r w:rsidR="005A3E6F">
        <w:t>RIT</w:t>
      </w:r>
      <w:proofErr w:type="spellEnd"/>
      <w:r w:rsidR="005A3E6F">
        <w:t>-T process is a</w:t>
      </w:r>
      <w:r w:rsidR="00EB6947">
        <w:t xml:space="preserve"> </w:t>
      </w:r>
      <w:r w:rsidR="00EB6947" w:rsidRPr="00EB6947">
        <w:t xml:space="preserve">Project Specification Consultation Report </w:t>
      </w:r>
      <w:r w:rsidR="00EB6947">
        <w:t>(</w:t>
      </w:r>
      <w:proofErr w:type="spellStart"/>
      <w:r w:rsidR="00257F17">
        <w:t>PSCR</w:t>
      </w:r>
      <w:proofErr w:type="spellEnd"/>
      <w:r w:rsidR="00EB6947">
        <w:t>)</w:t>
      </w:r>
      <w:r w:rsidR="005A3E6F">
        <w:t>.</w:t>
      </w:r>
      <w:r w:rsidR="00257F17">
        <w:t xml:space="preserve"> </w:t>
      </w:r>
      <w:r w:rsidR="005A3E6F">
        <w:t xml:space="preserve">This report </w:t>
      </w:r>
      <w:r w:rsidR="00DF54CF">
        <w:t>is designed</w:t>
      </w:r>
      <w:r w:rsidR="006C49F7" w:rsidRPr="006C49F7">
        <w:t xml:space="preserve"> </w:t>
      </w:r>
      <w:r w:rsidR="006C49F7">
        <w:t>primarily</w:t>
      </w:r>
      <w:r w:rsidR="00DF54CF">
        <w:t xml:space="preserve"> to </w:t>
      </w:r>
      <w:r w:rsidR="0058158E">
        <w:t xml:space="preserve">facilitate consultation from interested parties by </w:t>
      </w:r>
      <w:r w:rsidR="00DF54CF">
        <w:t>describ</w:t>
      </w:r>
      <w:r w:rsidR="0058158E">
        <w:t>ing</w:t>
      </w:r>
      <w:r w:rsidR="00DF54CF">
        <w:t xml:space="preserve"> the ‘identified need’ (reason for new </w:t>
      </w:r>
      <w:r w:rsidR="000A23A3">
        <w:t>investment</w:t>
      </w:r>
      <w:r w:rsidR="00DF54CF">
        <w:t xml:space="preserve">), ‘credible options’, and technical requirements for non-network solutions. </w:t>
      </w:r>
      <w:r w:rsidR="006C49F7">
        <w:t>Accordingly</w:t>
      </w:r>
      <w:r w:rsidR="0058158E">
        <w:t xml:space="preserve">, the </w:t>
      </w:r>
      <w:proofErr w:type="spellStart"/>
      <w:r w:rsidR="0058158E">
        <w:t>PSCR</w:t>
      </w:r>
      <w:proofErr w:type="spellEnd"/>
      <w:r w:rsidR="0058158E">
        <w:t xml:space="preserve"> for the Heywood interconnector (</w:t>
      </w:r>
      <w:proofErr w:type="spellStart"/>
      <w:r w:rsidR="0058158E">
        <w:t>AEMO</w:t>
      </w:r>
      <w:proofErr w:type="spellEnd"/>
      <w:r w:rsidR="0058158E">
        <w:t xml:space="preserve"> and </w:t>
      </w:r>
      <w:proofErr w:type="spellStart"/>
      <w:r w:rsidR="0058158E">
        <w:t>Electra</w:t>
      </w:r>
      <w:r w:rsidR="00DB6D62">
        <w:t>N</w:t>
      </w:r>
      <w:r w:rsidR="0058158E">
        <w:t>et</w:t>
      </w:r>
      <w:proofErr w:type="spellEnd"/>
      <w:r w:rsidR="0058158E">
        <w:t xml:space="preserve"> 2011a) </w:t>
      </w:r>
      <w:r w:rsidR="00324667">
        <w:t>does not provide detailed cost</w:t>
      </w:r>
      <w:r w:rsidR="004F7F08">
        <w:t>–</w:t>
      </w:r>
      <w:r w:rsidR="00324667">
        <w:t xml:space="preserve">benefit analysis of any of the </w:t>
      </w:r>
      <w:r w:rsidR="006C49F7">
        <w:t xml:space="preserve">two </w:t>
      </w:r>
      <w:r w:rsidR="00324667">
        <w:t xml:space="preserve">network or </w:t>
      </w:r>
      <w:r w:rsidR="006C49F7">
        <w:t xml:space="preserve">two </w:t>
      </w:r>
      <w:r w:rsidR="00324667">
        <w:t xml:space="preserve">non-network solutions it describes. </w:t>
      </w:r>
    </w:p>
    <w:p w:rsidR="00324667" w:rsidRDefault="00703161" w:rsidP="00DA7DB5">
      <w:pPr>
        <w:pStyle w:val="BodyText"/>
      </w:pPr>
      <w:r>
        <w:t>A</w:t>
      </w:r>
      <w:r w:rsidR="00324667">
        <w:t xml:space="preserve">n earlier feasibility study undertaken by </w:t>
      </w:r>
      <w:proofErr w:type="spellStart"/>
      <w:r w:rsidR="00324667">
        <w:t>AEMO</w:t>
      </w:r>
      <w:proofErr w:type="spellEnd"/>
      <w:r w:rsidR="00324667">
        <w:t xml:space="preserve"> and </w:t>
      </w:r>
      <w:proofErr w:type="spellStart"/>
      <w:r w:rsidR="00324667">
        <w:t>Electra</w:t>
      </w:r>
      <w:r w:rsidR="0083383B">
        <w:t>N</w:t>
      </w:r>
      <w:r w:rsidR="00324667">
        <w:t>et</w:t>
      </w:r>
      <w:proofErr w:type="spellEnd"/>
      <w:r w:rsidR="00324667">
        <w:t xml:space="preserve"> (2011b) </w:t>
      </w:r>
      <w:r>
        <w:t xml:space="preserve">did consider the net benefits of some upgrade options, and </w:t>
      </w:r>
      <w:r w:rsidR="00324667">
        <w:t>indicated that an incremental option (the addition of a third transformer at the Heywood terminal station, which would increase the interconnector’s capacity from 460 to 650</w:t>
      </w:r>
      <w:r w:rsidR="0049514B">
        <w:t> </w:t>
      </w:r>
      <w:r w:rsidR="00324667">
        <w:t xml:space="preserve">MW) would be most likely to provide economic benefits in the medium term. While the feasibility study represents ‘early estimates’ of </w:t>
      </w:r>
      <w:r w:rsidR="00324667" w:rsidRPr="00020A28">
        <w:t>bot</w:t>
      </w:r>
      <w:r w:rsidR="00827E37" w:rsidRPr="00020A28">
        <w:t>h</w:t>
      </w:r>
      <w:r w:rsidR="00324667" w:rsidRPr="00020A28">
        <w:t xml:space="preserve"> the costs and benefits, and has not been subject to stakeholder analysis, it </w:t>
      </w:r>
      <w:r w:rsidR="004F7F08" w:rsidRPr="00020A28">
        <w:t>illustrates</w:t>
      </w:r>
      <w:r w:rsidR="00324667" w:rsidRPr="00020A28">
        <w:t xml:space="preserve"> the potential net benefits</w:t>
      </w:r>
      <w:r w:rsidR="00324667">
        <w:t xml:space="preserve"> from interconnector augmentation. </w:t>
      </w:r>
      <w:r w:rsidR="009F472B">
        <w:t>T</w:t>
      </w:r>
      <w:r w:rsidR="00324667">
        <w:t>he study concluded that the incremental option:</w:t>
      </w:r>
    </w:p>
    <w:p w:rsidR="00324667" w:rsidRDefault="00324667" w:rsidP="00324667">
      <w:pPr>
        <w:pStyle w:val="Quote"/>
      </w:pPr>
      <w:r>
        <w:t>… was shown to be economically feasible as early as 2017</w:t>
      </w:r>
      <w:r w:rsidR="00FB32A3">
        <w:noBreakHyphen/>
      </w:r>
      <w:r>
        <w:t xml:space="preserve">18 under high growth and </w:t>
      </w:r>
      <w:r w:rsidR="00165613">
        <w:t xml:space="preserve">[then] </w:t>
      </w:r>
      <w:r>
        <w:t>carbon price conditions and with significant wind investment in South Australia. The optimal timing of the incremental option was delayed under less favourable conditions. … if other market benefits are taken into account (e.g. competition benefits) the timing could be advanced. (</w:t>
      </w:r>
      <w:proofErr w:type="spellStart"/>
      <w:r>
        <w:t>AEMO</w:t>
      </w:r>
      <w:proofErr w:type="spellEnd"/>
      <w:r>
        <w:t xml:space="preserve"> and </w:t>
      </w:r>
      <w:proofErr w:type="spellStart"/>
      <w:r>
        <w:t>Electranet</w:t>
      </w:r>
      <w:proofErr w:type="spellEnd"/>
      <w:r>
        <w:t xml:space="preserve"> 2011b, p. 11)</w:t>
      </w:r>
    </w:p>
    <w:p w:rsidR="00324667" w:rsidRDefault="00324667" w:rsidP="00324667">
      <w:pPr>
        <w:pStyle w:val="BodyText"/>
      </w:pPr>
      <w:r>
        <w:t>In relation to other, high capacity (2000</w:t>
      </w:r>
      <w:r w:rsidR="0049514B">
        <w:t> </w:t>
      </w:r>
      <w:r>
        <w:t>MW) augmentations, the study concluded</w:t>
      </w:r>
      <w:r>
        <w:rPr>
          <w:rStyle w:val="FootnoteReference"/>
        </w:rPr>
        <w:footnoteReference w:id="8"/>
      </w:r>
      <w:r>
        <w:t xml:space="preserve"> that such an option:</w:t>
      </w:r>
    </w:p>
    <w:p w:rsidR="00324667" w:rsidRPr="00324667" w:rsidRDefault="00324667" w:rsidP="00324667">
      <w:pPr>
        <w:pStyle w:val="Quote"/>
      </w:pPr>
      <w:r>
        <w:t>… could be justified under high growth and carbon price conditions and with significant committed wind investment in South Australia … as early as 2020 to 2025. (</w:t>
      </w:r>
      <w:proofErr w:type="spellStart"/>
      <w:r>
        <w:t>AEMO</w:t>
      </w:r>
      <w:proofErr w:type="spellEnd"/>
      <w:r>
        <w:t xml:space="preserve"> and </w:t>
      </w:r>
      <w:proofErr w:type="spellStart"/>
      <w:r>
        <w:t>Electranet</w:t>
      </w:r>
      <w:proofErr w:type="spellEnd"/>
      <w:r>
        <w:t xml:space="preserve"> 2011b, p.11)</w:t>
      </w:r>
    </w:p>
    <w:p w:rsidR="0083383B" w:rsidRDefault="007D470A" w:rsidP="00DA7DB5">
      <w:pPr>
        <w:pStyle w:val="BodyText"/>
      </w:pPr>
      <w:r>
        <w:t xml:space="preserve">In September 2012, </w:t>
      </w:r>
      <w:proofErr w:type="spellStart"/>
      <w:r>
        <w:t>AEMO</w:t>
      </w:r>
      <w:proofErr w:type="spellEnd"/>
      <w:r>
        <w:t xml:space="preserve"> and </w:t>
      </w:r>
      <w:proofErr w:type="spellStart"/>
      <w:r>
        <w:t>Electranet</w:t>
      </w:r>
      <w:proofErr w:type="spellEnd"/>
      <w:r>
        <w:t xml:space="preserve"> (2012) released the Project Assessment Draft Report (</w:t>
      </w:r>
      <w:proofErr w:type="spellStart"/>
      <w:r>
        <w:t>PADR</w:t>
      </w:r>
      <w:proofErr w:type="spellEnd"/>
      <w:r>
        <w:t xml:space="preserve">) for the Heywood </w:t>
      </w:r>
      <w:proofErr w:type="spellStart"/>
      <w:r>
        <w:t>RIT</w:t>
      </w:r>
      <w:proofErr w:type="spellEnd"/>
      <w:r>
        <w:t xml:space="preserve">-T. The </w:t>
      </w:r>
      <w:proofErr w:type="spellStart"/>
      <w:r>
        <w:t>PADR</w:t>
      </w:r>
      <w:proofErr w:type="spellEnd"/>
      <w:r>
        <w:t xml:space="preserve"> reported on cost</w:t>
      </w:r>
      <w:r>
        <w:noBreakHyphen/>
        <w:t xml:space="preserve">benefit analyses </w:t>
      </w:r>
      <w:r w:rsidR="0083383B">
        <w:t xml:space="preserve">of six main options (and two minor variants to those options). </w:t>
      </w:r>
      <w:r>
        <w:t xml:space="preserve">Broadly, the </w:t>
      </w:r>
      <w:proofErr w:type="spellStart"/>
      <w:r>
        <w:t>PADR</w:t>
      </w:r>
      <w:proofErr w:type="spellEnd"/>
      <w:r>
        <w:t xml:space="preserve"> confirmed the outcome of the earlier feasibility study and favoured the addition of third</w:t>
      </w:r>
      <w:r w:rsidR="0083383B">
        <w:t xml:space="preserve"> transformer at the Heywood terminal station. This option (‘1b’) </w:t>
      </w:r>
      <w:r w:rsidR="0083383B">
        <w:lastRenderedPageBreak/>
        <w:t>was assessed as providing a net market benefit of $190 million (</w:t>
      </w:r>
      <w:proofErr w:type="spellStart"/>
      <w:r w:rsidR="0083383B">
        <w:t>AEMO</w:t>
      </w:r>
      <w:proofErr w:type="spellEnd"/>
      <w:r w:rsidR="0083383B">
        <w:t xml:space="preserve"> and </w:t>
      </w:r>
      <w:proofErr w:type="spellStart"/>
      <w:r w:rsidR="0083383B">
        <w:t>ElectraNet</w:t>
      </w:r>
      <w:proofErr w:type="spellEnd"/>
      <w:r w:rsidR="0083383B">
        <w:t xml:space="preserve"> 2012, p. ix). </w:t>
      </w:r>
    </w:p>
    <w:p w:rsidR="007D470A" w:rsidRDefault="0083383B" w:rsidP="00DA7DB5">
      <w:pPr>
        <w:pStyle w:val="BodyText"/>
      </w:pPr>
      <w:r>
        <w:t>However, another option (option 6b — involving similar additional work to option 1b, but with control schemes used instead of adding a third transformer) was found to have net benefits of $189 million (</w:t>
      </w:r>
      <w:proofErr w:type="spellStart"/>
      <w:r>
        <w:t>AEMO</w:t>
      </w:r>
      <w:proofErr w:type="spellEnd"/>
      <w:r>
        <w:t xml:space="preserve"> and </w:t>
      </w:r>
      <w:proofErr w:type="spellStart"/>
      <w:r>
        <w:t>ElectraNet</w:t>
      </w:r>
      <w:proofErr w:type="spellEnd"/>
      <w:r>
        <w:t xml:space="preserve"> 2012, p. ix). </w:t>
      </w:r>
      <w:r w:rsidR="00292BF3">
        <w:t>A</w:t>
      </w:r>
      <w:r>
        <w:t>lthough this option showed smaller benefits ($253 million as against $270 million), it also involved smaller costs ($64 million as against $80 million).</w:t>
      </w:r>
      <w:r w:rsidR="00292BF3">
        <w:t xml:space="preserve"> </w:t>
      </w:r>
    </w:p>
    <w:p w:rsidR="0083383B" w:rsidRDefault="0083383B" w:rsidP="00DA7DB5">
      <w:pPr>
        <w:pStyle w:val="BodyText"/>
      </w:pPr>
      <w:r>
        <w:t xml:space="preserve">Although these options </w:t>
      </w:r>
      <w:r w:rsidR="00232538">
        <w:t xml:space="preserve">are estimated to have </w:t>
      </w:r>
      <w:r>
        <w:t xml:space="preserve">nearly identical net benefits, </w:t>
      </w:r>
      <w:proofErr w:type="spellStart"/>
      <w:r>
        <w:t>AEMO</w:t>
      </w:r>
      <w:proofErr w:type="spellEnd"/>
      <w:r>
        <w:t xml:space="preserve"> and </w:t>
      </w:r>
      <w:proofErr w:type="spellStart"/>
      <w:r>
        <w:t>ElectraNet</w:t>
      </w:r>
      <w:proofErr w:type="spellEnd"/>
      <w:r w:rsidR="00DB6D62">
        <w:t xml:space="preserve"> noted that the control schemes involve additional risks (relating to technical feasibility</w:t>
      </w:r>
      <w:r w:rsidR="00D84E2F">
        <w:t xml:space="preserve"> and commercial issues such as the assignment of liabilities, among other things</w:t>
      </w:r>
      <w:r w:rsidR="00367E77">
        <w:t>. In addition</w:t>
      </w:r>
      <w:r w:rsidR="00534DAC">
        <w:t>,</w:t>
      </w:r>
      <w:r w:rsidR="00D84E2F">
        <w:t xml:space="preserve"> the third transformer also provides benefits </w:t>
      </w:r>
      <w:r w:rsidR="00232538">
        <w:t>through limiting</w:t>
      </w:r>
      <w:r w:rsidR="00D84E2F">
        <w:t xml:space="preserve"> the reduction in the interconnector in the unlikely event of a failure of the existing transformers. Based on these additional considerations, </w:t>
      </w:r>
      <w:proofErr w:type="spellStart"/>
      <w:r w:rsidR="00D84E2F">
        <w:t>AEMO</w:t>
      </w:r>
      <w:proofErr w:type="spellEnd"/>
      <w:r w:rsidR="00D84E2F">
        <w:t xml:space="preserve"> and </w:t>
      </w:r>
      <w:proofErr w:type="spellStart"/>
      <w:r w:rsidR="00D84E2F">
        <w:t>ElectraNet</w:t>
      </w:r>
      <w:proofErr w:type="spellEnd"/>
      <w:r w:rsidR="00D84E2F">
        <w:t xml:space="preserve"> have identified the addition of a third transformer (option 1b) as the preferred option for increasing the capacity of the Heywood interconnector. </w:t>
      </w:r>
    </w:p>
    <w:p w:rsidR="00292BF3" w:rsidRPr="00D84E2F" w:rsidRDefault="00292BF3" w:rsidP="00DA7DB5">
      <w:pPr>
        <w:pStyle w:val="BodyText"/>
      </w:pPr>
      <w:r>
        <w:t xml:space="preserve">Importantly, the </w:t>
      </w:r>
      <w:proofErr w:type="spellStart"/>
      <w:r>
        <w:t>RIT</w:t>
      </w:r>
      <w:proofErr w:type="spellEnd"/>
      <w:r>
        <w:t xml:space="preserve">-T assessment </w:t>
      </w:r>
      <w:r w:rsidR="00232538">
        <w:t xml:space="preserve">found </w:t>
      </w:r>
      <w:r>
        <w:t xml:space="preserve">that a larger increase in the capacity of interconnection between Victoria and South Australia (a new </w:t>
      </w:r>
      <w:proofErr w:type="spellStart"/>
      <w:r>
        <w:t>Krongart</w:t>
      </w:r>
      <w:proofErr w:type="spellEnd"/>
      <w:r>
        <w:t xml:space="preserve">-Heywood interconnector which would increase </w:t>
      </w:r>
      <w:r w:rsidR="000A1D86">
        <w:t xml:space="preserve">overall </w:t>
      </w:r>
      <w:r>
        <w:t xml:space="preserve">capacity by 1940 MW) </w:t>
      </w:r>
      <w:r w:rsidR="00232538">
        <w:t xml:space="preserve">would be </w:t>
      </w:r>
      <w:r>
        <w:t xml:space="preserve">both costly ($212 million), and </w:t>
      </w:r>
      <w:r w:rsidR="00232538">
        <w:t xml:space="preserve">would </w:t>
      </w:r>
      <w:r>
        <w:t>not have substantially greater benefits ($303 million) than the preferred option</w:t>
      </w:r>
      <w:r w:rsidR="00755C4A">
        <w:t xml:space="preserve">. Accordingly, while still having a projected net benefit, the size of that benefit was </w:t>
      </w:r>
      <w:r>
        <w:t>less than half the preferred option (</w:t>
      </w:r>
      <w:proofErr w:type="spellStart"/>
      <w:r>
        <w:t>AEMO</w:t>
      </w:r>
      <w:proofErr w:type="spellEnd"/>
      <w:r>
        <w:t xml:space="preserve"> and </w:t>
      </w:r>
      <w:proofErr w:type="spellStart"/>
      <w:r>
        <w:t>ElectraNet</w:t>
      </w:r>
      <w:proofErr w:type="spellEnd"/>
      <w:r>
        <w:t xml:space="preserve"> 2012, pp. vii</w:t>
      </w:r>
      <w:r>
        <w:noBreakHyphen/>
        <w:t>ix).</w:t>
      </w:r>
    </w:p>
    <w:p w:rsidR="00324667" w:rsidRDefault="00907D55" w:rsidP="00DA7DB5">
      <w:pPr>
        <w:pStyle w:val="BodyText"/>
      </w:pPr>
      <w:r>
        <w:t>B</w:t>
      </w:r>
      <w:r w:rsidR="00B80542">
        <w:t xml:space="preserve">y </w:t>
      </w:r>
      <w:r w:rsidR="00232538">
        <w:t xml:space="preserve">indicating </w:t>
      </w:r>
      <w:r w:rsidR="00B80542">
        <w:t xml:space="preserve">that </w:t>
      </w:r>
      <w:r>
        <w:t xml:space="preserve">a relatively </w:t>
      </w:r>
      <w:r w:rsidR="00B80542">
        <w:t xml:space="preserve">incremental solution </w:t>
      </w:r>
      <w:r>
        <w:t xml:space="preserve">is </w:t>
      </w:r>
      <w:r w:rsidR="00B80542">
        <w:t xml:space="preserve">likely to be the best option, </w:t>
      </w:r>
      <w:r>
        <w:t xml:space="preserve">both </w:t>
      </w:r>
      <w:r w:rsidR="00324667">
        <w:t>the feasibility study</w:t>
      </w:r>
      <w:r>
        <w:t xml:space="preserve"> and the </w:t>
      </w:r>
      <w:proofErr w:type="spellStart"/>
      <w:r>
        <w:t>PADR</w:t>
      </w:r>
      <w:proofErr w:type="spellEnd"/>
      <w:r w:rsidR="00324667">
        <w:t xml:space="preserve"> </w:t>
      </w:r>
      <w:r w:rsidR="00B80542">
        <w:t xml:space="preserve">serve </w:t>
      </w:r>
      <w:r w:rsidR="00324667">
        <w:t xml:space="preserve">to illustrate that ‘bigger is not always better’, and </w:t>
      </w:r>
      <w:r w:rsidR="00B80542">
        <w:t xml:space="preserve">provide </w:t>
      </w:r>
      <w:r w:rsidR="00324667">
        <w:t xml:space="preserve">a reminder that the costs of augmentation play a significant role in determining the net benefits that arise. </w:t>
      </w:r>
    </w:p>
    <w:p w:rsidR="0065147A" w:rsidRDefault="00324667" w:rsidP="00324667">
      <w:pPr>
        <w:pStyle w:val="Heading4"/>
      </w:pPr>
      <w:r>
        <w:t xml:space="preserve">The </w:t>
      </w:r>
      <w:proofErr w:type="spellStart"/>
      <w:r>
        <w:t>RIT</w:t>
      </w:r>
      <w:proofErr w:type="spellEnd"/>
      <w:r>
        <w:t xml:space="preserve">-T process for </w:t>
      </w:r>
      <w:proofErr w:type="spellStart"/>
      <w:r w:rsidR="0069281A">
        <w:t>QNI</w:t>
      </w:r>
      <w:proofErr w:type="spellEnd"/>
    </w:p>
    <w:p w:rsidR="008039A2" w:rsidRDefault="00604948" w:rsidP="008039A2">
      <w:pPr>
        <w:pStyle w:val="BodyText"/>
      </w:pPr>
      <w:r>
        <w:t xml:space="preserve">As with the Heywood </w:t>
      </w:r>
      <w:proofErr w:type="spellStart"/>
      <w:r>
        <w:t>RIT</w:t>
      </w:r>
      <w:proofErr w:type="spellEnd"/>
      <w:r>
        <w:t xml:space="preserve">-T process, </w:t>
      </w:r>
      <w:proofErr w:type="spellStart"/>
      <w:r>
        <w:t>Powerlink</w:t>
      </w:r>
      <w:proofErr w:type="spellEnd"/>
      <w:r>
        <w:t xml:space="preserve"> and </w:t>
      </w:r>
      <w:proofErr w:type="spellStart"/>
      <w:r>
        <w:t>Transgrid</w:t>
      </w:r>
      <w:proofErr w:type="spellEnd"/>
      <w:r>
        <w:t xml:space="preserve"> recently published the </w:t>
      </w:r>
      <w:proofErr w:type="spellStart"/>
      <w:r>
        <w:t>PSCR</w:t>
      </w:r>
      <w:proofErr w:type="spellEnd"/>
      <w:r>
        <w:t xml:space="preserve"> for a potential upgrade to the </w:t>
      </w:r>
      <w:proofErr w:type="spellStart"/>
      <w:r>
        <w:t>QNI</w:t>
      </w:r>
      <w:proofErr w:type="spellEnd"/>
      <w:r>
        <w:t xml:space="preserve"> interconnector. The </w:t>
      </w:r>
      <w:proofErr w:type="spellStart"/>
      <w:r>
        <w:t>PSCR</w:t>
      </w:r>
      <w:proofErr w:type="spellEnd"/>
      <w:r>
        <w:t xml:space="preserve"> describes the identified credible options, </w:t>
      </w:r>
      <w:r w:rsidR="00B80542">
        <w:t xml:space="preserve">and </w:t>
      </w:r>
      <w:r>
        <w:t>provide</w:t>
      </w:r>
      <w:r w:rsidR="00B80542">
        <w:t>s</w:t>
      </w:r>
      <w:r>
        <w:t xml:space="preserve"> preliminary cost estimates and indicative figures for the increase in capacity associated with each option.</w:t>
      </w:r>
      <w:r w:rsidR="005A3E6F">
        <w:t xml:space="preserve"> They have not yet published c</w:t>
      </w:r>
      <w:r>
        <w:t>ost</w:t>
      </w:r>
      <w:r w:rsidR="009F472B">
        <w:t>–</w:t>
      </w:r>
      <w:r>
        <w:t xml:space="preserve">benefit analyses of the options. </w:t>
      </w:r>
    </w:p>
    <w:p w:rsidR="00E375EE" w:rsidRDefault="0069281A" w:rsidP="00E375EE">
      <w:pPr>
        <w:pStyle w:val="BodyText"/>
      </w:pPr>
      <w:r>
        <w:t xml:space="preserve">However, this current process is not the first consideration </w:t>
      </w:r>
      <w:r w:rsidR="00755C4A">
        <w:t>of an expansion to</w:t>
      </w:r>
      <w:r>
        <w:t xml:space="preserve"> the capacity of </w:t>
      </w:r>
      <w:proofErr w:type="spellStart"/>
      <w:r>
        <w:t>QNI</w:t>
      </w:r>
      <w:proofErr w:type="spellEnd"/>
      <w:r>
        <w:t xml:space="preserve">. </w:t>
      </w:r>
      <w:r w:rsidR="009D2AA9">
        <w:t xml:space="preserve">To date, the most significant increase in capacity on </w:t>
      </w:r>
      <w:r w:rsidR="00755C4A">
        <w:t xml:space="preserve">this interconnector </w:t>
      </w:r>
      <w:r w:rsidR="009D2AA9">
        <w:t xml:space="preserve">has come about not from additional built network infrastructure, but </w:t>
      </w:r>
      <w:r w:rsidR="009D2AA9">
        <w:lastRenderedPageBreak/>
        <w:t>rather from testing and refining control systems</w:t>
      </w:r>
      <w:r w:rsidR="00823083">
        <w:t xml:space="preserve"> to use </w:t>
      </w:r>
      <w:r w:rsidR="009D2AA9">
        <w:t>the existing infrastructure</w:t>
      </w:r>
      <w:r w:rsidR="00823083">
        <w:t xml:space="preserve"> more efficiently</w:t>
      </w:r>
      <w:r w:rsidR="009D2AA9">
        <w:t xml:space="preserve"> (</w:t>
      </w:r>
      <w:proofErr w:type="spellStart"/>
      <w:r w:rsidR="009D2AA9">
        <w:t>Powerlink</w:t>
      </w:r>
      <w:proofErr w:type="spellEnd"/>
      <w:r w:rsidR="009D2AA9">
        <w:t xml:space="preserve"> and </w:t>
      </w:r>
      <w:proofErr w:type="spellStart"/>
      <w:r w:rsidR="009D2AA9">
        <w:t>Transgrid</w:t>
      </w:r>
      <w:proofErr w:type="spellEnd"/>
      <w:r w:rsidR="009D2AA9">
        <w:t xml:space="preserve"> 2012, p. 8)</w:t>
      </w:r>
      <w:r w:rsidR="00823083">
        <w:t xml:space="preserve">. </w:t>
      </w:r>
      <w:r w:rsidR="009D2AA9">
        <w:t xml:space="preserve">A previous application of the (then) Regulatory Test in 2008 concluded that the optimal timing of upgrades to </w:t>
      </w:r>
      <w:proofErr w:type="spellStart"/>
      <w:r w:rsidR="009D2AA9">
        <w:t>QNI</w:t>
      </w:r>
      <w:proofErr w:type="spellEnd"/>
      <w:r w:rsidR="009D2AA9">
        <w:t xml:space="preserve"> was (then) well into the future</w:t>
      </w:r>
      <w:r w:rsidR="00823083">
        <w:t xml:space="preserve"> (</w:t>
      </w:r>
      <w:proofErr w:type="spellStart"/>
      <w:r w:rsidR="009D2AA9">
        <w:t>Powerlink</w:t>
      </w:r>
      <w:proofErr w:type="spellEnd"/>
      <w:r w:rsidR="009D2AA9">
        <w:t xml:space="preserve"> and </w:t>
      </w:r>
      <w:proofErr w:type="spellStart"/>
      <w:r w:rsidR="009D2AA9">
        <w:t>Transgrid</w:t>
      </w:r>
      <w:proofErr w:type="spellEnd"/>
      <w:r w:rsidR="009D2AA9">
        <w:t xml:space="preserve"> 2008, p. 3)</w:t>
      </w:r>
      <w:r w:rsidR="00823083">
        <w:t>.</w:t>
      </w:r>
      <w:r w:rsidR="009D2AA9">
        <w:t xml:space="preserve"> </w:t>
      </w:r>
      <w:r w:rsidR="00E375EE">
        <w:t xml:space="preserve">In the </w:t>
      </w:r>
      <w:proofErr w:type="spellStart"/>
      <w:r w:rsidR="00E375EE">
        <w:t>PSCR</w:t>
      </w:r>
      <w:proofErr w:type="spellEnd"/>
      <w:r w:rsidR="00E375EE">
        <w:t xml:space="preserve"> itself, </w:t>
      </w:r>
      <w:proofErr w:type="spellStart"/>
      <w:r w:rsidR="00E375EE">
        <w:t>Powerlink</w:t>
      </w:r>
      <w:proofErr w:type="spellEnd"/>
      <w:r w:rsidR="00E375EE">
        <w:t xml:space="preserve"> and </w:t>
      </w:r>
      <w:proofErr w:type="spellStart"/>
      <w:r w:rsidR="00E375EE">
        <w:t>Transgrid</w:t>
      </w:r>
      <w:proofErr w:type="spellEnd"/>
      <w:r w:rsidR="00E375EE">
        <w:t xml:space="preserve"> note that various factors, including generation and load developments (as well as the </w:t>
      </w:r>
      <w:proofErr w:type="spellStart"/>
      <w:r w:rsidR="00E375EE">
        <w:t>RIT</w:t>
      </w:r>
      <w:proofErr w:type="spellEnd"/>
      <w:r w:rsidR="00E375EE">
        <w:t>-T itself) have changed since the 2008 assessment, prompting a re-evaluation of potential upgrades (</w:t>
      </w:r>
      <w:proofErr w:type="spellStart"/>
      <w:r w:rsidR="00E375EE">
        <w:t>Powerlink</w:t>
      </w:r>
      <w:proofErr w:type="spellEnd"/>
      <w:r w:rsidR="00E375EE">
        <w:t xml:space="preserve"> and </w:t>
      </w:r>
      <w:proofErr w:type="spellStart"/>
      <w:r w:rsidR="00E375EE">
        <w:t>Transgrid</w:t>
      </w:r>
      <w:proofErr w:type="spellEnd"/>
      <w:r w:rsidR="00E375EE">
        <w:t xml:space="preserve"> 2012, p. 8). </w:t>
      </w:r>
    </w:p>
    <w:p w:rsidR="00E375EE" w:rsidRPr="00E375EE" w:rsidRDefault="00E375EE" w:rsidP="00E375EE">
      <w:pPr>
        <w:pStyle w:val="BodyText"/>
      </w:pPr>
      <w:r>
        <w:t xml:space="preserve">This example highlights the ongoing nature of transmission planning, as well as the necessity to re-examine past forecasts in the face of changing conditions. </w:t>
      </w:r>
    </w:p>
    <w:p w:rsidR="00604948" w:rsidRPr="008039A2" w:rsidRDefault="00604948" w:rsidP="00604948">
      <w:pPr>
        <w:pStyle w:val="Heading4"/>
      </w:pPr>
      <w:r>
        <w:t>Cost</w:t>
      </w:r>
      <w:r w:rsidR="00846694">
        <w:t>–</w:t>
      </w:r>
      <w:r>
        <w:t>benefit analysis of ‘</w:t>
      </w:r>
      <w:proofErr w:type="spellStart"/>
      <w:r>
        <w:t>NEMLink</w:t>
      </w:r>
      <w:proofErr w:type="spellEnd"/>
      <w:r>
        <w:t>’ in the</w:t>
      </w:r>
      <w:r w:rsidR="00846694" w:rsidRPr="00846694">
        <w:t xml:space="preserve"> National Transmission Network Development Plan</w:t>
      </w:r>
    </w:p>
    <w:p w:rsidR="00DA7DB5" w:rsidRDefault="0065147A" w:rsidP="00DA7DB5">
      <w:pPr>
        <w:pStyle w:val="BodyText"/>
      </w:pPr>
      <w:r>
        <w:t xml:space="preserve">In addition to analyses </w:t>
      </w:r>
      <w:r w:rsidR="00D874CE">
        <w:t xml:space="preserve">carried out by transmission businesses </w:t>
      </w:r>
      <w:r w:rsidR="00755C4A">
        <w:t xml:space="preserve">in relation to </w:t>
      </w:r>
      <w:r w:rsidR="00D874CE">
        <w:t xml:space="preserve">their planned upgrades, </w:t>
      </w:r>
      <w:proofErr w:type="spellStart"/>
      <w:r w:rsidR="00E61FB0">
        <w:t>AEMO</w:t>
      </w:r>
      <w:proofErr w:type="spellEnd"/>
      <w:r w:rsidR="00E61FB0">
        <w:t xml:space="preserve"> — </w:t>
      </w:r>
      <w:r>
        <w:t>in its role as National Transmission Planner</w:t>
      </w:r>
      <w:r w:rsidR="00E61FB0">
        <w:t xml:space="preserve"> —</w:t>
      </w:r>
      <w:r>
        <w:t xml:space="preserve"> </w:t>
      </w:r>
      <w:r w:rsidR="005A3E6F">
        <w:t xml:space="preserve">separately </w:t>
      </w:r>
      <w:r>
        <w:t xml:space="preserve">publishes the </w:t>
      </w:r>
      <w:proofErr w:type="spellStart"/>
      <w:r>
        <w:t>NTNDP</w:t>
      </w:r>
      <w:proofErr w:type="spellEnd"/>
      <w:r>
        <w:t xml:space="preserve"> on an annual basis. The </w:t>
      </w:r>
      <w:proofErr w:type="spellStart"/>
      <w:r>
        <w:t>NTNDP</w:t>
      </w:r>
      <w:proofErr w:type="spellEnd"/>
      <w:r>
        <w:t xml:space="preserve"> involves consideration of increasing interconnection in the </w:t>
      </w:r>
      <w:proofErr w:type="spellStart"/>
      <w:r>
        <w:t>NEM</w:t>
      </w:r>
      <w:proofErr w:type="spellEnd"/>
      <w:r>
        <w:t xml:space="preserve"> through a conceptual project called </w:t>
      </w:r>
      <w:proofErr w:type="spellStart"/>
      <w:r>
        <w:t>NEMLink</w:t>
      </w:r>
      <w:proofErr w:type="spellEnd"/>
      <w:r>
        <w:t xml:space="preserve">, which focusses on a high-capacity transmission ‘backbone’ through the </w:t>
      </w:r>
      <w:proofErr w:type="spellStart"/>
      <w:r>
        <w:t>NEM</w:t>
      </w:r>
      <w:proofErr w:type="spellEnd"/>
      <w:r>
        <w:t xml:space="preserve">. </w:t>
      </w:r>
    </w:p>
    <w:p w:rsidR="00925AAA" w:rsidRDefault="007939C7" w:rsidP="00DA7DB5">
      <w:pPr>
        <w:pStyle w:val="BodyText"/>
      </w:pPr>
      <w:proofErr w:type="spellStart"/>
      <w:r>
        <w:t>AEMO’s</w:t>
      </w:r>
      <w:proofErr w:type="spellEnd"/>
      <w:r>
        <w:t xml:space="preserve"> analysis suggests that</w:t>
      </w:r>
      <w:r w:rsidR="00823083">
        <w:t xml:space="preserve"> </w:t>
      </w:r>
      <w:r w:rsidR="00D874CE">
        <w:t xml:space="preserve">building </w:t>
      </w:r>
      <w:proofErr w:type="spellStart"/>
      <w:r w:rsidR="00D874CE">
        <w:t>NEMLink</w:t>
      </w:r>
      <w:proofErr w:type="spellEnd"/>
      <w:r w:rsidR="00D874CE">
        <w:t xml:space="preserve"> would not be </w:t>
      </w:r>
      <w:r>
        <w:t xml:space="preserve">economically viable </w:t>
      </w:r>
      <w:r w:rsidR="00D874CE">
        <w:t>at this time</w:t>
      </w:r>
      <w:r>
        <w:t xml:space="preserve">. Indeed, the most economic option </w:t>
      </w:r>
      <w:r w:rsidR="00755C4A">
        <w:t xml:space="preserve">for </w:t>
      </w:r>
      <w:proofErr w:type="spellStart"/>
      <w:r>
        <w:t>NEMLink</w:t>
      </w:r>
      <w:proofErr w:type="spellEnd"/>
      <w:r w:rsidR="00755C4A">
        <w:t xml:space="preserve"> — </w:t>
      </w:r>
      <w:r>
        <w:t>which defers the costly Victoria</w:t>
      </w:r>
      <w:r w:rsidR="00E61FB0">
        <w:t>–</w:t>
      </w:r>
      <w:r>
        <w:t>Tasmania component of the link</w:t>
      </w:r>
      <w:r w:rsidR="00755C4A">
        <w:t xml:space="preserve"> — </w:t>
      </w:r>
      <w:r>
        <w:t xml:space="preserve">is </w:t>
      </w:r>
      <w:r w:rsidR="00E32D66">
        <w:t xml:space="preserve">still </w:t>
      </w:r>
      <w:r>
        <w:t xml:space="preserve">judged to have a </w:t>
      </w:r>
      <w:r w:rsidR="00755C4A">
        <w:t xml:space="preserve">negative </w:t>
      </w:r>
      <w:r>
        <w:t xml:space="preserve">net present </w:t>
      </w:r>
      <w:r w:rsidR="00144571">
        <w:t>value</w:t>
      </w:r>
      <w:r>
        <w:t xml:space="preserve"> (in 2010-11 dollars) of </w:t>
      </w:r>
      <w:r w:rsidR="00E32D66">
        <w:noBreakHyphen/>
        <w:t>$</w:t>
      </w:r>
      <w:r>
        <w:t>400</w:t>
      </w:r>
      <w:r w:rsidR="00E61FB0">
        <w:t> </w:t>
      </w:r>
      <w:r>
        <w:t xml:space="preserve">million </w:t>
      </w:r>
      <w:r w:rsidR="0022390E">
        <w:t>(</w:t>
      </w:r>
      <w:proofErr w:type="spellStart"/>
      <w:r w:rsidR="0022390E">
        <w:t>AEMO</w:t>
      </w:r>
      <w:proofErr w:type="spellEnd"/>
      <w:r w:rsidR="0022390E">
        <w:t xml:space="preserve"> 2011</w:t>
      </w:r>
      <w:r w:rsidR="001B6C15">
        <w:t>d</w:t>
      </w:r>
      <w:r w:rsidR="0022390E">
        <w:t>, p. 6</w:t>
      </w:r>
      <w:r w:rsidR="00823083">
        <w:noBreakHyphen/>
      </w:r>
      <w:r w:rsidR="0022390E">
        <w:t>8).</w:t>
      </w:r>
    </w:p>
    <w:p w:rsidR="0022390E" w:rsidRDefault="0022390E" w:rsidP="005963E8">
      <w:pPr>
        <w:pStyle w:val="BodyText"/>
      </w:pPr>
      <w:proofErr w:type="spellStart"/>
      <w:r>
        <w:t>AEMO</w:t>
      </w:r>
      <w:proofErr w:type="spellEnd"/>
      <w:r>
        <w:t xml:space="preserve"> went on to note that with increasing demand, </w:t>
      </w:r>
      <w:proofErr w:type="spellStart"/>
      <w:r>
        <w:t>NEMLink</w:t>
      </w:r>
      <w:proofErr w:type="spellEnd"/>
      <w:r>
        <w:t xml:space="preserve"> </w:t>
      </w:r>
      <w:r w:rsidR="008E58ED">
        <w:t xml:space="preserve">might </w:t>
      </w:r>
      <w:r>
        <w:t>become viable</w:t>
      </w:r>
      <w:r w:rsidR="00823083">
        <w:t xml:space="preserve"> </w:t>
      </w:r>
      <w:r w:rsidR="00392E5A">
        <w:t xml:space="preserve">sooner </w:t>
      </w:r>
      <w:r w:rsidR="00823083">
        <w:t>under high demand and high carbon price conditions.</w:t>
      </w:r>
      <w:r w:rsidR="00392E5A">
        <w:t xml:space="preserve"> However, a more likely scenario is that </w:t>
      </w:r>
      <w:proofErr w:type="spellStart"/>
      <w:r w:rsidR="00392E5A">
        <w:t>NEMLink</w:t>
      </w:r>
      <w:proofErr w:type="spellEnd"/>
      <w:r w:rsidR="00392E5A">
        <w:t xml:space="preserve"> </w:t>
      </w:r>
      <w:r w:rsidR="003304A0">
        <w:t>would</w:t>
      </w:r>
      <w:r w:rsidR="00392E5A">
        <w:t xml:space="preserve"> only </w:t>
      </w:r>
      <w:r w:rsidR="003304A0">
        <w:t xml:space="preserve">be </w:t>
      </w:r>
      <w:r w:rsidR="00392E5A">
        <w:t xml:space="preserve">viable </w:t>
      </w:r>
      <w:r w:rsidR="00E61FB0">
        <w:t xml:space="preserve">in </w:t>
      </w:r>
      <w:r w:rsidR="00392E5A">
        <w:t>15 to 20 years from now</w:t>
      </w:r>
      <w:r>
        <w:t xml:space="preserve"> (</w:t>
      </w:r>
      <w:proofErr w:type="spellStart"/>
      <w:r>
        <w:t>AEMO</w:t>
      </w:r>
      <w:proofErr w:type="spellEnd"/>
      <w:r>
        <w:t xml:space="preserve"> 2011</w:t>
      </w:r>
      <w:r w:rsidR="001B6C15">
        <w:t>d</w:t>
      </w:r>
      <w:r>
        <w:t>, p. 6-1)</w:t>
      </w:r>
      <w:r w:rsidR="00AF484A">
        <w:t xml:space="preserve">. Indeed, </w:t>
      </w:r>
      <w:proofErr w:type="spellStart"/>
      <w:r w:rsidR="00AF484A">
        <w:t>AEMO</w:t>
      </w:r>
      <w:proofErr w:type="spellEnd"/>
      <w:r w:rsidR="00AF484A">
        <w:t xml:space="preserve"> was sceptical that the </w:t>
      </w:r>
      <w:proofErr w:type="spellStart"/>
      <w:r w:rsidR="00AF484A">
        <w:t>NEMLink</w:t>
      </w:r>
      <w:proofErr w:type="spellEnd"/>
      <w:r w:rsidR="00AF484A">
        <w:t xml:space="preserve"> could be realised at all in the current environment of jurisdiction-based planning</w:t>
      </w:r>
      <w:r w:rsidR="006D57A6">
        <w:t xml:space="preserve">, even if it </w:t>
      </w:r>
      <w:r w:rsidR="00367E77">
        <w:t>had a positive net present value:</w:t>
      </w:r>
    </w:p>
    <w:p w:rsidR="00B42FB1" w:rsidRDefault="00B42FB1" w:rsidP="00B42FB1">
      <w:pPr>
        <w:pStyle w:val="Quote"/>
      </w:pPr>
      <w:r>
        <w:t xml:space="preserve">The </w:t>
      </w:r>
      <w:proofErr w:type="spellStart"/>
      <w:r>
        <w:t>NEM</w:t>
      </w:r>
      <w:proofErr w:type="spellEnd"/>
      <w:r>
        <w:t xml:space="preserve"> framework is incapable of delivering projects like </w:t>
      </w:r>
      <w:proofErr w:type="spellStart"/>
      <w:r>
        <w:t>NEMlink</w:t>
      </w:r>
      <w:proofErr w:type="spellEnd"/>
      <w:r>
        <w:t xml:space="preserve">. </w:t>
      </w:r>
    </w:p>
    <w:p w:rsidR="00AF484A" w:rsidRDefault="00B42FB1" w:rsidP="00B42FB1">
      <w:pPr>
        <w:pStyle w:val="Quote"/>
      </w:pPr>
      <w:r>
        <w:t>It would require significant coordination and cooperation of five transmission planners, alignment between the allowances in the revenue resets of each of the regulated businesses. The history of Inter-Regional Planning Committee (</w:t>
      </w:r>
      <w:proofErr w:type="spellStart"/>
      <w:r>
        <w:t>IRPC</w:t>
      </w:r>
      <w:proofErr w:type="spellEnd"/>
      <w:r>
        <w:t>) suggests that such cooperation and coordination would not work in practice. (sub. 32, p. 32)</w:t>
      </w:r>
    </w:p>
    <w:p w:rsidR="00925AAA" w:rsidRPr="00925AAA" w:rsidRDefault="006D57A6" w:rsidP="00DA7DB5">
      <w:pPr>
        <w:pStyle w:val="BodyText"/>
      </w:pPr>
      <w:r>
        <w:t>Nonetheless, the analysis seems reasonably clear that, at this time, investment in this expensive project would not be economically efficient</w:t>
      </w:r>
      <w:r w:rsidR="005E7DCB">
        <w:t xml:space="preserve">. </w:t>
      </w:r>
      <w:r>
        <w:t>More generally</w:t>
      </w:r>
      <w:r w:rsidR="00367E77">
        <w:t>,</w:t>
      </w:r>
      <w:r>
        <w:t xml:space="preserve"> it </w:t>
      </w:r>
      <w:r>
        <w:lastRenderedPageBreak/>
        <w:t>illustrates</w:t>
      </w:r>
      <w:r w:rsidR="005E7DCB">
        <w:t xml:space="preserve"> that the regulatory framework is continuing to evaluate the need for further interconnection, </w:t>
      </w:r>
      <w:r w:rsidR="003304A0">
        <w:t xml:space="preserve">and </w:t>
      </w:r>
      <w:r w:rsidR="005E7DCB">
        <w:t xml:space="preserve">only responding with investment when it is efficient to do so. </w:t>
      </w:r>
    </w:p>
    <w:p w:rsidR="00DA7DB5" w:rsidRDefault="00DA7DB5" w:rsidP="00DA7DB5">
      <w:pPr>
        <w:pStyle w:val="Heading3"/>
      </w:pPr>
      <w:r>
        <w:t>The cost of congestion</w:t>
      </w:r>
    </w:p>
    <w:p w:rsidR="00DA7DB5" w:rsidRDefault="005E7DCB" w:rsidP="00DA7DB5">
      <w:pPr>
        <w:pStyle w:val="BodyText"/>
      </w:pPr>
      <w:r>
        <w:t xml:space="preserve">While it </w:t>
      </w:r>
      <w:r w:rsidR="008E58ED">
        <w:t>is</w:t>
      </w:r>
      <w:r>
        <w:t xml:space="preserve"> difficult to identify any single, efficient level of congestion, examining measures of congestion, and particularly their movement over time</w:t>
      </w:r>
      <w:r w:rsidR="00392E5A">
        <w:t>,</w:t>
      </w:r>
      <w:r>
        <w:t xml:space="preserve"> </w:t>
      </w:r>
      <w:r w:rsidR="00A5160C">
        <w:t>can</w:t>
      </w:r>
      <w:r w:rsidR="008E58ED">
        <w:t xml:space="preserve"> </w:t>
      </w:r>
      <w:r>
        <w:t xml:space="preserve">provide an indication of </w:t>
      </w:r>
      <w:r w:rsidR="00E73976">
        <w:t xml:space="preserve">how </w:t>
      </w:r>
      <w:r w:rsidR="00CA1DD8">
        <w:t xml:space="preserve">well </w:t>
      </w:r>
      <w:r>
        <w:t xml:space="preserve">the regulatory </w:t>
      </w:r>
      <w:r w:rsidR="00CA1DD8">
        <w:t xml:space="preserve">and investment </w:t>
      </w:r>
      <w:r>
        <w:t xml:space="preserve">framework </w:t>
      </w:r>
      <w:r w:rsidR="00CA1DD8">
        <w:t>is working</w:t>
      </w:r>
      <w:r>
        <w:t xml:space="preserve">. </w:t>
      </w:r>
    </w:p>
    <w:p w:rsidR="005E7DCB" w:rsidRDefault="005E7DCB" w:rsidP="005E7DCB">
      <w:pPr>
        <w:pStyle w:val="Heading4"/>
      </w:pPr>
      <w:r>
        <w:t>The ‘</w:t>
      </w:r>
      <w:r w:rsidR="00392E5A">
        <w:t xml:space="preserve">total </w:t>
      </w:r>
      <w:r>
        <w:t>cost of constraints’</w:t>
      </w:r>
    </w:p>
    <w:p w:rsidR="006D1ECD" w:rsidRPr="006D1ECD" w:rsidRDefault="005E7DCB" w:rsidP="006D1ECD">
      <w:pPr>
        <w:pStyle w:val="BodyText"/>
      </w:pPr>
      <w:r>
        <w:t>The ‘</w:t>
      </w:r>
      <w:r w:rsidR="00392E5A">
        <w:t xml:space="preserve">total </w:t>
      </w:r>
      <w:r>
        <w:t>cost of constraints’</w:t>
      </w:r>
      <w:r w:rsidR="006D1ECD">
        <w:t xml:space="preserve"> (</w:t>
      </w:r>
      <w:proofErr w:type="spellStart"/>
      <w:r w:rsidR="006D1ECD">
        <w:t>TCC</w:t>
      </w:r>
      <w:proofErr w:type="spellEnd"/>
      <w:r w:rsidR="006D1ECD">
        <w:t xml:space="preserve">) </w:t>
      </w:r>
      <w:r w:rsidR="00392E5A">
        <w:t xml:space="preserve">measures </w:t>
      </w:r>
      <w:r w:rsidR="006D1ECD">
        <w:t>the impact of congestion</w:t>
      </w:r>
      <w:r w:rsidR="00A579D1">
        <w:t xml:space="preserve"> in the </w:t>
      </w:r>
      <w:proofErr w:type="spellStart"/>
      <w:r w:rsidR="00A579D1">
        <w:t>NEM</w:t>
      </w:r>
      <w:proofErr w:type="spellEnd"/>
      <w:r w:rsidR="00A579D1">
        <w:t xml:space="preserve">-wide transmission network </w:t>
      </w:r>
      <w:r w:rsidR="00392E5A">
        <w:t>as the total increase in the cost of producing electricity due to transmission congestion (which includes outages and network design limits)</w:t>
      </w:r>
      <w:r w:rsidR="00392E5A" w:rsidRPr="00392E5A">
        <w:t xml:space="preserve"> </w:t>
      </w:r>
      <w:r w:rsidR="00392E5A">
        <w:t>(</w:t>
      </w:r>
      <w:proofErr w:type="spellStart"/>
      <w:r w:rsidR="00392E5A">
        <w:t>AER</w:t>
      </w:r>
      <w:proofErr w:type="spellEnd"/>
      <w:r w:rsidR="00392E5A">
        <w:t xml:space="preserve"> 2009</w:t>
      </w:r>
      <w:r w:rsidR="001B6C15">
        <w:t>a</w:t>
      </w:r>
      <w:r w:rsidR="00392E5A">
        <w:t>, p. 142).</w:t>
      </w:r>
      <w:r w:rsidR="00392E5A">
        <w:rPr>
          <w:rStyle w:val="FootnoteReference"/>
        </w:rPr>
        <w:footnoteReference w:id="9"/>
      </w:r>
      <w:r w:rsidR="00A94F29">
        <w:t xml:space="preserve"> </w:t>
      </w:r>
      <w:r w:rsidR="006D1ECD">
        <w:t xml:space="preserve">The </w:t>
      </w:r>
      <w:proofErr w:type="spellStart"/>
      <w:r w:rsidR="006D1ECD">
        <w:t>AER</w:t>
      </w:r>
      <w:proofErr w:type="spellEnd"/>
      <w:r w:rsidR="006D1ECD">
        <w:t xml:space="preserve"> </w:t>
      </w:r>
      <w:r w:rsidR="00392E5A">
        <w:t xml:space="preserve">has </w:t>
      </w:r>
      <w:r w:rsidR="006D1ECD">
        <w:t xml:space="preserve">also produced other estimates </w:t>
      </w:r>
      <w:r w:rsidR="00392E5A">
        <w:t xml:space="preserve">that </w:t>
      </w:r>
      <w:r w:rsidR="006D1ECD">
        <w:t xml:space="preserve">focus only on congestion caused by network outages (the ‘outage cost of constraint’) and the marginal cost of constraint (that is, the saving in production costs if congestion on a transmission line is alleviated by one marginal MW of capacity). </w:t>
      </w:r>
    </w:p>
    <w:p w:rsidR="001E6C35" w:rsidRDefault="00392E5A" w:rsidP="006D1ECD">
      <w:pPr>
        <w:pStyle w:val="BodyText"/>
      </w:pPr>
      <w:r>
        <w:t xml:space="preserve">The </w:t>
      </w:r>
      <w:proofErr w:type="spellStart"/>
      <w:r>
        <w:t>AER’s</w:t>
      </w:r>
      <w:proofErr w:type="spellEnd"/>
      <w:r>
        <w:t xml:space="preserve"> </w:t>
      </w:r>
      <w:r w:rsidR="00A94F29">
        <w:t xml:space="preserve">analysis </w:t>
      </w:r>
      <w:r>
        <w:t xml:space="preserve">suggested that </w:t>
      </w:r>
      <w:r w:rsidR="00BA31FC">
        <w:t xml:space="preserve">the </w:t>
      </w:r>
      <w:r w:rsidR="00BA31FC" w:rsidRPr="005963E8">
        <w:t>annual cost of congestion rose from $36 million in 2003</w:t>
      </w:r>
      <w:r w:rsidR="000E2175">
        <w:noBreakHyphen/>
      </w:r>
      <w:r w:rsidR="00BA31FC" w:rsidRPr="005963E8">
        <w:t>04 to $189</w:t>
      </w:r>
      <w:r w:rsidR="004A3418">
        <w:t> </w:t>
      </w:r>
      <w:r w:rsidR="00BA31FC" w:rsidRPr="005963E8">
        <w:t>million in 2007</w:t>
      </w:r>
      <w:r w:rsidR="000E2175">
        <w:noBreakHyphen/>
      </w:r>
      <w:r w:rsidR="00BA31FC" w:rsidRPr="005963E8">
        <w:t>08</w:t>
      </w:r>
      <w:r w:rsidR="00A94F29">
        <w:t>,</w:t>
      </w:r>
      <w:r w:rsidR="00BA31FC" w:rsidRPr="005963E8">
        <w:t xml:space="preserve"> but fell to $83</w:t>
      </w:r>
      <w:r w:rsidR="004A3418">
        <w:t> </w:t>
      </w:r>
      <w:r w:rsidR="00BA31FC" w:rsidRPr="005963E8">
        <w:t>million in 2008</w:t>
      </w:r>
      <w:r w:rsidR="000E2175">
        <w:noBreakHyphen/>
      </w:r>
      <w:r w:rsidR="00BA31FC" w:rsidRPr="005963E8">
        <w:t>09</w:t>
      </w:r>
      <w:r w:rsidR="004A3418">
        <w:t xml:space="preserve">. However, congestion was not uniform throughout any given year. </w:t>
      </w:r>
      <w:r w:rsidR="004A3418" w:rsidRPr="004A3418">
        <w:t>Around two thirds of the total cost for 2007</w:t>
      </w:r>
      <w:r w:rsidR="000E2175">
        <w:noBreakHyphen/>
      </w:r>
      <w:r w:rsidR="004A3418" w:rsidRPr="004A3418">
        <w:t xml:space="preserve">08 </w:t>
      </w:r>
      <w:r w:rsidR="004A3418">
        <w:t>was accounted for by just</w:t>
      </w:r>
      <w:r w:rsidR="004A3418" w:rsidRPr="004A3418">
        <w:t xml:space="preserve"> 26</w:t>
      </w:r>
      <w:r w:rsidR="000E2175">
        <w:t> </w:t>
      </w:r>
      <w:r w:rsidR="004A3418" w:rsidRPr="004A3418">
        <w:t xml:space="preserve">days, with </w:t>
      </w:r>
      <w:r w:rsidR="004A3418">
        <w:t>nearly 60 </w:t>
      </w:r>
      <w:r w:rsidR="004A3418" w:rsidRPr="004A3418">
        <w:t>per</w:t>
      </w:r>
      <w:r w:rsidR="004A3418">
        <w:t> </w:t>
      </w:r>
      <w:r w:rsidR="004A3418" w:rsidRPr="004A3418">
        <w:t>cent of the costs attributable to network outages. In 2008</w:t>
      </w:r>
      <w:r w:rsidR="000E2175">
        <w:noBreakHyphen/>
      </w:r>
      <w:r w:rsidR="004A3418" w:rsidRPr="004A3418">
        <w:t xml:space="preserve">09 around two thirds of the total cost accrued on 13 days, with </w:t>
      </w:r>
      <w:r w:rsidR="004A3418">
        <w:t xml:space="preserve">just over </w:t>
      </w:r>
      <w:r w:rsidR="004A3418" w:rsidRPr="004A3418">
        <w:t>4</w:t>
      </w:r>
      <w:r w:rsidR="004A3418">
        <w:t>0</w:t>
      </w:r>
      <w:r w:rsidR="000E2175">
        <w:t> </w:t>
      </w:r>
      <w:r w:rsidR="004A3418" w:rsidRPr="004A3418">
        <w:t>per</w:t>
      </w:r>
      <w:r w:rsidR="000E2175">
        <w:t> </w:t>
      </w:r>
      <w:r w:rsidR="004A3418" w:rsidRPr="004A3418">
        <w:t>cent of the costs attributable to network outages</w:t>
      </w:r>
      <w:r w:rsidR="004A3418">
        <w:t xml:space="preserve"> </w:t>
      </w:r>
      <w:r w:rsidR="004A3418">
        <w:rPr>
          <w:rFonts w:eastAsia="ACaslonPro-Regular"/>
        </w:rPr>
        <w:t>(</w:t>
      </w:r>
      <w:proofErr w:type="spellStart"/>
      <w:r w:rsidR="004A3418">
        <w:rPr>
          <w:rFonts w:eastAsia="ACaslonPro-Regular"/>
        </w:rPr>
        <w:t>AER</w:t>
      </w:r>
      <w:proofErr w:type="spellEnd"/>
      <w:r w:rsidR="004A3418">
        <w:rPr>
          <w:rFonts w:eastAsia="ACaslonPro-Regular"/>
        </w:rPr>
        <w:t xml:space="preserve"> 2009</w:t>
      </w:r>
      <w:r w:rsidR="00EA7CD5">
        <w:rPr>
          <w:rFonts w:eastAsia="ACaslonPro-Regular"/>
        </w:rPr>
        <w:t>a</w:t>
      </w:r>
      <w:r w:rsidR="004A3418">
        <w:rPr>
          <w:rFonts w:eastAsia="ACaslonPro-Regular"/>
        </w:rPr>
        <w:t>, p. 143)</w:t>
      </w:r>
      <w:r w:rsidR="004A3418">
        <w:t>.</w:t>
      </w:r>
      <w:r w:rsidR="001E6C35">
        <w:rPr>
          <w:rFonts w:eastAsia="ACaslonPro-Regular"/>
        </w:rPr>
        <w:t xml:space="preserve"> </w:t>
      </w:r>
      <w:r w:rsidR="006D1ECD">
        <w:t>While it is difficult to isolate a sole cause for the substantial drop in the impact of congestion in 2008</w:t>
      </w:r>
      <w:r w:rsidR="000E2175">
        <w:noBreakHyphen/>
      </w:r>
      <w:r w:rsidR="006D1ECD">
        <w:t xml:space="preserve">09, the </w:t>
      </w:r>
      <w:proofErr w:type="spellStart"/>
      <w:r w:rsidR="006D1ECD">
        <w:t>AER</w:t>
      </w:r>
      <w:proofErr w:type="spellEnd"/>
      <w:r w:rsidR="006D1ECD">
        <w:t xml:space="preserve"> considered that</w:t>
      </w:r>
      <w:r w:rsidR="001E6C35">
        <w:t xml:space="preserve"> recent regulatory changes had encouraged additional investment</w:t>
      </w:r>
      <w:r w:rsidR="001E6C35">
        <w:rPr>
          <w:rFonts w:eastAsia="ACaslonPro-Regular"/>
        </w:rPr>
        <w:t xml:space="preserve"> (</w:t>
      </w:r>
      <w:proofErr w:type="spellStart"/>
      <w:r w:rsidR="001E6C35">
        <w:rPr>
          <w:rFonts w:eastAsia="ACaslonPro-Regular"/>
        </w:rPr>
        <w:t>AER</w:t>
      </w:r>
      <w:proofErr w:type="spellEnd"/>
      <w:r w:rsidR="001E6C35">
        <w:rPr>
          <w:rFonts w:eastAsia="ACaslonPro-Regular"/>
        </w:rPr>
        <w:t xml:space="preserve"> 2009</w:t>
      </w:r>
      <w:r w:rsidR="00EA7CD5">
        <w:rPr>
          <w:rFonts w:eastAsia="ACaslonPro-Regular"/>
        </w:rPr>
        <w:t>a</w:t>
      </w:r>
      <w:r w:rsidR="001E6C35">
        <w:rPr>
          <w:rFonts w:eastAsia="ACaslonPro-Regular"/>
        </w:rPr>
        <w:t>, p. 143).</w:t>
      </w:r>
    </w:p>
    <w:p w:rsidR="001E6C35" w:rsidRDefault="001E6C35" w:rsidP="001E6C35">
      <w:pPr>
        <w:pStyle w:val="BodyText"/>
      </w:pPr>
      <w:r>
        <w:t xml:space="preserve">The </w:t>
      </w:r>
      <w:proofErr w:type="spellStart"/>
      <w:r>
        <w:t>AEMC</w:t>
      </w:r>
      <w:proofErr w:type="spellEnd"/>
      <w:r>
        <w:t xml:space="preserve"> also found little evidence of costly congestion</w:t>
      </w:r>
      <w:r w:rsidR="00A76791">
        <w:t xml:space="preserve">, with costs </w:t>
      </w:r>
      <w:r w:rsidR="00A94F29">
        <w:t xml:space="preserve">representing </w:t>
      </w:r>
      <w:r w:rsidR="00A76791">
        <w:t xml:space="preserve">less than 0.5 per cent of the </w:t>
      </w:r>
      <w:proofErr w:type="spellStart"/>
      <w:r w:rsidR="00A76791">
        <w:t>NEM’s</w:t>
      </w:r>
      <w:proofErr w:type="spellEnd"/>
      <w:r w:rsidR="00A76791">
        <w:t xml:space="preserve"> total production costs in 2007</w:t>
      </w:r>
      <w:r w:rsidR="00A76791">
        <w:noBreakHyphen/>
        <w:t>08 (box </w:t>
      </w:r>
      <w:r w:rsidR="007521E2">
        <w:t>17.3</w:t>
      </w:r>
      <w:r w:rsidR="00A76791">
        <w:t xml:space="preserve"> and </w:t>
      </w:r>
      <w:proofErr w:type="spellStart"/>
      <w:r w:rsidR="00A76791">
        <w:t>AEMC</w:t>
      </w:r>
      <w:proofErr w:type="spellEnd"/>
      <w:r w:rsidR="00A76791">
        <w:t xml:space="preserve"> 2008</w:t>
      </w:r>
      <w:r w:rsidR="00084A76">
        <w:t>b</w:t>
      </w:r>
      <w:r w:rsidR="00A76791">
        <w:t xml:space="preserve">, p. 15). </w:t>
      </w:r>
    </w:p>
    <w:p w:rsidR="00331F15" w:rsidRDefault="00331F1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31F15">
        <w:tc>
          <w:tcPr>
            <w:tcW w:w="8771" w:type="dxa"/>
            <w:tcBorders>
              <w:top w:val="single" w:sz="6" w:space="0" w:color="auto"/>
              <w:bottom w:val="nil"/>
            </w:tcBorders>
          </w:tcPr>
          <w:p w:rsidR="00331F15" w:rsidRDefault="00331F15" w:rsidP="00331F15">
            <w:pPr>
              <w:pStyle w:val="BoxTitle"/>
            </w:pPr>
            <w:r>
              <w:rPr>
                <w:b w:val="0"/>
              </w:rPr>
              <w:t xml:space="preserve">Box </w:t>
            </w:r>
            <w:bookmarkStart w:id="14" w:name="OLE_LINK6"/>
            <w:r w:rsidR="0004360F">
              <w:rPr>
                <w:b w:val="0"/>
              </w:rPr>
              <w:t>17.</w:t>
            </w:r>
            <w:r w:rsidR="00E92B84">
              <w:rPr>
                <w:b w:val="0"/>
                <w:noProof/>
              </w:rPr>
              <w:t>3</w:t>
            </w:r>
            <w:bookmarkEnd w:id="14"/>
            <w:r>
              <w:tab/>
              <w:t xml:space="preserve">Evidence in the </w:t>
            </w:r>
            <w:proofErr w:type="spellStart"/>
            <w:r>
              <w:t>AEMC’s</w:t>
            </w:r>
            <w:proofErr w:type="spellEnd"/>
            <w:r>
              <w:t xml:space="preserve"> 2008 Congestion Management Review</w:t>
            </w:r>
          </w:p>
        </w:tc>
      </w:tr>
      <w:tr w:rsidR="00331F15">
        <w:trPr>
          <w:cantSplit/>
        </w:trPr>
        <w:tc>
          <w:tcPr>
            <w:tcW w:w="8771" w:type="dxa"/>
            <w:tcBorders>
              <w:top w:val="nil"/>
              <w:left w:val="single" w:sz="6" w:space="0" w:color="auto"/>
              <w:bottom w:val="nil"/>
              <w:right w:val="single" w:sz="6" w:space="0" w:color="auto"/>
            </w:tcBorders>
          </w:tcPr>
          <w:p w:rsidR="00331F15" w:rsidRPr="006259DA" w:rsidRDefault="00F8489D" w:rsidP="006259DA">
            <w:pPr>
              <w:pStyle w:val="Box"/>
            </w:pPr>
            <w:r>
              <w:t xml:space="preserve">As part of its Congestion Management Review, the </w:t>
            </w:r>
            <w:proofErr w:type="spellStart"/>
            <w:r>
              <w:t>AEMC</w:t>
            </w:r>
            <w:proofErr w:type="spellEnd"/>
            <w:r>
              <w:t xml:space="preserve"> considered evidence from several sources</w:t>
            </w:r>
            <w:r w:rsidR="005A7574">
              <w:t xml:space="preserve"> on the pattern of ‘</w:t>
            </w:r>
            <w:proofErr w:type="spellStart"/>
            <w:r w:rsidR="005A7574">
              <w:t>mis</w:t>
            </w:r>
            <w:proofErr w:type="spellEnd"/>
            <w:r w:rsidR="005A7574">
              <w:t>-pricing’</w:t>
            </w:r>
            <w:r>
              <w:t xml:space="preserve">, including </w:t>
            </w:r>
            <w:r w:rsidR="00D874CE">
              <w:t>the National Electricity Market Management Company Limited’s (</w:t>
            </w:r>
            <w:proofErr w:type="spellStart"/>
            <w:r>
              <w:t>NEMMCO</w:t>
            </w:r>
            <w:proofErr w:type="spellEnd"/>
            <w:r w:rsidR="00D874CE">
              <w:t>)</w:t>
            </w:r>
            <w:r>
              <w:t xml:space="preserve"> Statement of Opportunities – Annual National Transmission Statements, work conducted by Dr Darryl </w:t>
            </w:r>
            <w:proofErr w:type="spellStart"/>
            <w:r>
              <w:t>Biggar</w:t>
            </w:r>
            <w:proofErr w:type="spellEnd"/>
            <w:r>
              <w:t xml:space="preserve"> (an economic consultant to the </w:t>
            </w:r>
            <w:r w:rsidR="00D874CE">
              <w:t xml:space="preserve">Australian Competition and Consumer Commission </w:t>
            </w:r>
            <w:r>
              <w:t xml:space="preserve">and adviser to the </w:t>
            </w:r>
            <w:proofErr w:type="spellStart"/>
            <w:r>
              <w:t>AEMC</w:t>
            </w:r>
            <w:proofErr w:type="spellEnd"/>
            <w:r>
              <w:t xml:space="preserve"> for the review) and </w:t>
            </w:r>
            <w:proofErr w:type="spellStart"/>
            <w:r>
              <w:t>NEMMCO</w:t>
            </w:r>
            <w:proofErr w:type="spellEnd"/>
            <w:r>
              <w:t xml:space="preserve">. Some key findings </w:t>
            </w:r>
            <w:r w:rsidR="005A7574">
              <w:t>were</w:t>
            </w:r>
            <w:r>
              <w:t>:</w:t>
            </w:r>
          </w:p>
          <w:p w:rsidR="00331F15" w:rsidRDefault="00331F15" w:rsidP="00331F15">
            <w:pPr>
              <w:pStyle w:val="BoxListBullet"/>
            </w:pPr>
            <w:proofErr w:type="spellStart"/>
            <w:r>
              <w:t>Biggar</w:t>
            </w:r>
            <w:proofErr w:type="spellEnd"/>
            <w:r>
              <w:t xml:space="preserve"> concluded that the </w:t>
            </w:r>
            <w:proofErr w:type="spellStart"/>
            <w:r>
              <w:t>NEM</w:t>
            </w:r>
            <w:proofErr w:type="spellEnd"/>
            <w:r>
              <w:t xml:space="preserve">-wide incidence of </w:t>
            </w:r>
            <w:proofErr w:type="spellStart"/>
            <w:r>
              <w:t>mis</w:t>
            </w:r>
            <w:proofErr w:type="spellEnd"/>
            <w:r>
              <w:t xml:space="preserve">-pricing </w:t>
            </w:r>
            <w:r w:rsidR="005A7574">
              <w:t xml:space="preserve">has </w:t>
            </w:r>
            <w:r>
              <w:t>increased since 2003</w:t>
            </w:r>
            <w:r w:rsidR="001E6C35">
              <w:noBreakHyphen/>
            </w:r>
            <w:r>
              <w:t xml:space="preserve">04. He found that </w:t>
            </w:r>
            <w:proofErr w:type="spellStart"/>
            <w:r>
              <w:t>mis</w:t>
            </w:r>
            <w:proofErr w:type="spellEnd"/>
            <w:r>
              <w:t xml:space="preserve">-pricing was a frequent and enduring issue at a relatively large number of connection points, stating that some 95 connection points were </w:t>
            </w:r>
            <w:proofErr w:type="spellStart"/>
            <w:r>
              <w:t>mis</w:t>
            </w:r>
            <w:proofErr w:type="spellEnd"/>
            <w:r>
              <w:t>-priced for an average of more than 100 hours per annum over the three years of his study (2003</w:t>
            </w:r>
            <w:r w:rsidR="001E6C35">
              <w:noBreakHyphen/>
            </w:r>
            <w:r>
              <w:t>04 to 2005</w:t>
            </w:r>
            <w:r w:rsidR="001E6C35">
              <w:noBreakHyphen/>
            </w:r>
            <w:r>
              <w:t>06).</w:t>
            </w:r>
            <w:r w:rsidR="00741B68">
              <w:rPr>
                <w:rStyle w:val="FootnoteReference"/>
              </w:rPr>
              <w:footnoteReference w:id="10"/>
            </w:r>
          </w:p>
          <w:p w:rsidR="00331F15" w:rsidRDefault="00331F15" w:rsidP="00331F15">
            <w:pPr>
              <w:pStyle w:val="BoxListBullet"/>
            </w:pPr>
            <w:proofErr w:type="spellStart"/>
            <w:r>
              <w:t>NEMMCO’s</w:t>
            </w:r>
            <w:proofErr w:type="spellEnd"/>
            <w:r>
              <w:t xml:space="preserve"> preliminary study confirmed </w:t>
            </w:r>
            <w:proofErr w:type="spellStart"/>
            <w:r>
              <w:t>Biggar’s</w:t>
            </w:r>
            <w:proofErr w:type="spellEnd"/>
            <w:r>
              <w:t xml:space="preserve"> finding that there had been an increasing trend in </w:t>
            </w:r>
            <w:proofErr w:type="spellStart"/>
            <w:r>
              <w:t>mis</w:t>
            </w:r>
            <w:proofErr w:type="spellEnd"/>
            <w:r>
              <w:t>-pricing from 2003</w:t>
            </w:r>
            <w:r w:rsidR="001E6C35">
              <w:noBreakHyphen/>
            </w:r>
            <w:r>
              <w:t>04 onwards. However, it also showed that over the study period (2001</w:t>
            </w:r>
            <w:r w:rsidR="001E6C35">
              <w:noBreakHyphen/>
            </w:r>
            <w:r>
              <w:t>02 to 2005</w:t>
            </w:r>
            <w:r w:rsidR="001E6C35">
              <w:noBreakHyphen/>
            </w:r>
            <w:r>
              <w:t xml:space="preserve">06) the number of connection points being </w:t>
            </w:r>
            <w:proofErr w:type="spellStart"/>
            <w:r>
              <w:t>mis</w:t>
            </w:r>
            <w:proofErr w:type="spellEnd"/>
            <w:r>
              <w:t xml:space="preserve">-priced was fairly steady. </w:t>
            </w:r>
            <w:proofErr w:type="spellStart"/>
            <w:r>
              <w:t>NEMMCO</w:t>
            </w:r>
            <w:proofErr w:type="spellEnd"/>
            <w:r>
              <w:t xml:space="preserve"> noted that the reasons for these trends were specific to the region and the situation at the time</w:t>
            </w:r>
            <w:r w:rsidR="001E6C35">
              <w:t>.</w:t>
            </w:r>
          </w:p>
          <w:p w:rsidR="00331F15" w:rsidRDefault="00331F15" w:rsidP="00331F15">
            <w:pPr>
              <w:pStyle w:val="BoxListBullet"/>
            </w:pPr>
            <w:r>
              <w:t xml:space="preserve">Generators were significantly more likely to be positively </w:t>
            </w:r>
            <w:proofErr w:type="spellStart"/>
            <w:r>
              <w:t>mis</w:t>
            </w:r>
            <w:proofErr w:type="spellEnd"/>
            <w:r>
              <w:t xml:space="preserve">-priced (constrained-off) than negatively </w:t>
            </w:r>
            <w:proofErr w:type="spellStart"/>
            <w:r>
              <w:t>mis</w:t>
            </w:r>
            <w:proofErr w:type="spellEnd"/>
            <w:r>
              <w:t>-priced (constrained-on). In 2005</w:t>
            </w:r>
            <w:r w:rsidR="001E6C35">
              <w:noBreakHyphen/>
            </w:r>
            <w:r>
              <w:t>06</w:t>
            </w:r>
            <w:r w:rsidR="005A7574">
              <w:t>,</w:t>
            </w:r>
            <w:r>
              <w:t xml:space="preserve"> the ratio between the two forms of </w:t>
            </w:r>
            <w:proofErr w:type="spellStart"/>
            <w:r>
              <w:t>mis</w:t>
            </w:r>
            <w:proofErr w:type="spellEnd"/>
            <w:r>
              <w:t xml:space="preserve">-pricing was </w:t>
            </w:r>
            <w:r w:rsidR="001E6C35">
              <w:t xml:space="preserve">three </w:t>
            </w:r>
            <w:r>
              <w:t xml:space="preserve">to </w:t>
            </w:r>
            <w:r w:rsidR="001E6C35">
              <w:t>one</w:t>
            </w:r>
            <w:r>
              <w:t>.</w:t>
            </w:r>
          </w:p>
          <w:p w:rsidR="00331F15" w:rsidRDefault="00331F15" w:rsidP="00331F15">
            <w:pPr>
              <w:pStyle w:val="BoxListBullet"/>
            </w:pPr>
            <w:r>
              <w:t xml:space="preserve">The average </w:t>
            </w:r>
            <w:proofErr w:type="spellStart"/>
            <w:r>
              <w:t>mis</w:t>
            </w:r>
            <w:proofErr w:type="spellEnd"/>
            <w:r>
              <w:t xml:space="preserve">-priced amount per </w:t>
            </w:r>
            <w:proofErr w:type="spellStart"/>
            <w:r>
              <w:t>mis</w:t>
            </w:r>
            <w:proofErr w:type="spellEnd"/>
            <w:r>
              <w:t>-priced dispatch interval was very high, ranging from around $500 to $1000</w:t>
            </w:r>
            <w:r w:rsidR="001E6C35">
              <w:t> per </w:t>
            </w:r>
            <w:proofErr w:type="spellStart"/>
            <w:r>
              <w:t>MWh</w:t>
            </w:r>
            <w:proofErr w:type="spellEnd"/>
            <w:r>
              <w:t xml:space="preserve"> for generators that were positively </w:t>
            </w:r>
            <w:proofErr w:type="spellStart"/>
            <w:r>
              <w:t>mis</w:t>
            </w:r>
            <w:proofErr w:type="spellEnd"/>
            <w:r>
              <w:t>-priced and from around -$300 to -$</w:t>
            </w:r>
            <w:r w:rsidR="001E6C35">
              <w:t>6</w:t>
            </w:r>
            <w:r>
              <w:t>000</w:t>
            </w:r>
            <w:r w:rsidR="001E6C35">
              <w:t> per </w:t>
            </w:r>
            <w:proofErr w:type="spellStart"/>
            <w:r>
              <w:t>MWh</w:t>
            </w:r>
            <w:proofErr w:type="spellEnd"/>
            <w:r>
              <w:t xml:space="preserve"> for generators that were negatively </w:t>
            </w:r>
            <w:proofErr w:type="spellStart"/>
            <w:r>
              <w:t>mis</w:t>
            </w:r>
            <w:proofErr w:type="spellEnd"/>
            <w:r>
              <w:t>-priced. These results suggest there is a high probability that disorderly bidding occurred when a constraint bound.</w:t>
            </w:r>
          </w:p>
          <w:p w:rsidR="008E313C" w:rsidRDefault="00331F15" w:rsidP="00331F15">
            <w:pPr>
              <w:pStyle w:val="BoxListBullet"/>
            </w:pPr>
            <w:proofErr w:type="spellStart"/>
            <w:r>
              <w:t>Biggar</w:t>
            </w:r>
            <w:proofErr w:type="spellEnd"/>
            <w:r>
              <w:t xml:space="preserve"> found that only a small number of connection points were </w:t>
            </w:r>
            <w:proofErr w:type="spellStart"/>
            <w:r>
              <w:t>mis</w:t>
            </w:r>
            <w:proofErr w:type="spellEnd"/>
            <w:r>
              <w:t>-priced by more than $5/</w:t>
            </w:r>
            <w:proofErr w:type="spellStart"/>
            <w:r>
              <w:t>MWh</w:t>
            </w:r>
            <w:proofErr w:type="spellEnd"/>
            <w:r>
              <w:t xml:space="preserve"> for all three years of his study. These connection points all related to small gas or hydro plants in Queensland. </w:t>
            </w:r>
          </w:p>
          <w:p w:rsidR="00331F15" w:rsidRDefault="00331F15" w:rsidP="00E73976">
            <w:pPr>
              <w:pStyle w:val="BoxListBullet"/>
            </w:pPr>
            <w:proofErr w:type="spellStart"/>
            <w:r>
              <w:t>Biggar</w:t>
            </w:r>
            <w:proofErr w:type="spellEnd"/>
            <w:r>
              <w:t xml:space="preserve"> also found that average hours of </w:t>
            </w:r>
            <w:proofErr w:type="spellStart"/>
            <w:r>
              <w:t>mis</w:t>
            </w:r>
            <w:proofErr w:type="spellEnd"/>
            <w:r>
              <w:t xml:space="preserve">-pricing due to system normal events were fairly constant over the three years, at around 50 hours per year. However, there was an increasing trend in the duration of </w:t>
            </w:r>
            <w:proofErr w:type="spellStart"/>
            <w:r>
              <w:t>mis</w:t>
            </w:r>
            <w:proofErr w:type="spellEnd"/>
            <w:r>
              <w:t xml:space="preserve">-pricing due to transmission outages, from </w:t>
            </w:r>
            <w:r w:rsidR="001E6C35">
              <w:t>20 </w:t>
            </w:r>
            <w:r>
              <w:t>hours in 2003</w:t>
            </w:r>
            <w:r w:rsidR="001E6C35">
              <w:noBreakHyphen/>
            </w:r>
            <w:r>
              <w:t xml:space="preserve">04 to over </w:t>
            </w:r>
            <w:r w:rsidR="001E6C35">
              <w:t>120 </w:t>
            </w:r>
            <w:r>
              <w:t>hours in 2005</w:t>
            </w:r>
            <w:r w:rsidR="001E6C35">
              <w:noBreakHyphen/>
            </w:r>
            <w:r>
              <w:t xml:space="preserve">06. This was mainly due to the increased incidence of outage-caused congestion in both the Snowy and Queensland regions. The Queensland increase was due to lightning events affecting flows between Central and South Queensland and an outage at the Gladstone transformer. </w:t>
            </w:r>
          </w:p>
        </w:tc>
      </w:tr>
      <w:tr w:rsidR="00331F15">
        <w:trPr>
          <w:cantSplit/>
        </w:trPr>
        <w:tc>
          <w:tcPr>
            <w:tcW w:w="8771" w:type="dxa"/>
            <w:tcBorders>
              <w:top w:val="nil"/>
              <w:left w:val="single" w:sz="6" w:space="0" w:color="auto"/>
              <w:bottom w:val="nil"/>
              <w:right w:val="single" w:sz="6" w:space="0" w:color="auto"/>
            </w:tcBorders>
          </w:tcPr>
          <w:p w:rsidR="00331F15" w:rsidRDefault="00331F15" w:rsidP="00084A76">
            <w:pPr>
              <w:pStyle w:val="BoxSource"/>
            </w:pPr>
            <w:r>
              <w:rPr>
                <w:i/>
              </w:rPr>
              <w:t>Source</w:t>
            </w:r>
            <w:r w:rsidRPr="00167F06">
              <w:t xml:space="preserve">: </w:t>
            </w:r>
            <w:proofErr w:type="spellStart"/>
            <w:r w:rsidR="00FE0E89">
              <w:t>AEMC</w:t>
            </w:r>
            <w:proofErr w:type="spellEnd"/>
            <w:r w:rsidR="00FE0E89">
              <w:t xml:space="preserve"> (2008</w:t>
            </w:r>
            <w:r w:rsidR="00084A76">
              <w:t>b</w:t>
            </w:r>
            <w:r w:rsidR="00FE0E89">
              <w:t>)</w:t>
            </w:r>
            <w:r>
              <w:t>.</w:t>
            </w:r>
          </w:p>
        </w:tc>
      </w:tr>
      <w:tr w:rsidR="00331F15">
        <w:trPr>
          <w:cantSplit/>
        </w:trPr>
        <w:tc>
          <w:tcPr>
            <w:tcW w:w="8771" w:type="dxa"/>
            <w:tcBorders>
              <w:top w:val="nil"/>
              <w:left w:val="single" w:sz="6" w:space="0" w:color="auto"/>
              <w:bottom w:val="single" w:sz="6" w:space="0" w:color="auto"/>
              <w:right w:val="single" w:sz="6" w:space="0" w:color="auto"/>
            </w:tcBorders>
          </w:tcPr>
          <w:p w:rsidR="00331F15" w:rsidRDefault="00331F15">
            <w:pPr>
              <w:pStyle w:val="Box"/>
              <w:spacing w:before="0" w:line="120" w:lineRule="exact"/>
            </w:pPr>
          </w:p>
        </w:tc>
      </w:tr>
      <w:tr w:rsidR="00331F15">
        <w:tc>
          <w:tcPr>
            <w:tcW w:w="8771" w:type="dxa"/>
            <w:tcBorders>
              <w:top w:val="nil"/>
              <w:left w:val="nil"/>
              <w:bottom w:val="nil"/>
              <w:right w:val="nil"/>
            </w:tcBorders>
          </w:tcPr>
          <w:p w:rsidR="00331F15" w:rsidRDefault="00331F15">
            <w:pPr>
              <w:pStyle w:val="Box"/>
              <w:keepNext w:val="0"/>
              <w:spacing w:before="60" w:after="60" w:line="80" w:lineRule="exact"/>
              <w:rPr>
                <w:b/>
                <w:color w:val="FF00FF"/>
                <w:sz w:val="14"/>
              </w:rPr>
            </w:pPr>
          </w:p>
        </w:tc>
      </w:tr>
    </w:tbl>
    <w:p w:rsidR="00DA7DB5" w:rsidRDefault="00DA7DB5" w:rsidP="00DA7DB5">
      <w:pPr>
        <w:pStyle w:val="Heading3"/>
      </w:pPr>
      <w:r>
        <w:lastRenderedPageBreak/>
        <w:t>Price separations in the N</w:t>
      </w:r>
      <w:r w:rsidR="002E56E8">
        <w:t xml:space="preserve">ational </w:t>
      </w:r>
      <w:r>
        <w:t>E</w:t>
      </w:r>
      <w:r w:rsidR="002E56E8">
        <w:t xml:space="preserve">lectricity </w:t>
      </w:r>
      <w:r>
        <w:t>M</w:t>
      </w:r>
      <w:r w:rsidR="002E56E8">
        <w:t>arket</w:t>
      </w:r>
    </w:p>
    <w:p w:rsidR="00A11587" w:rsidRDefault="00A11587" w:rsidP="00DA7DB5">
      <w:pPr>
        <w:pStyle w:val="BodyText"/>
      </w:pPr>
      <w:r>
        <w:t xml:space="preserve">In theory, </w:t>
      </w:r>
      <w:r w:rsidR="00A76791">
        <w:t xml:space="preserve">complete integration of </w:t>
      </w:r>
      <w:r>
        <w:t xml:space="preserve">the regions in the </w:t>
      </w:r>
      <w:proofErr w:type="spellStart"/>
      <w:r>
        <w:t>NEM</w:t>
      </w:r>
      <w:proofErr w:type="spellEnd"/>
      <w:r>
        <w:t xml:space="preserve"> would result in </w:t>
      </w:r>
      <w:r w:rsidR="00A76791">
        <w:t xml:space="preserve">equal </w:t>
      </w:r>
      <w:r>
        <w:t xml:space="preserve">prices across the </w:t>
      </w:r>
      <w:proofErr w:type="spellStart"/>
      <w:r>
        <w:t>NEM</w:t>
      </w:r>
      <w:proofErr w:type="spellEnd"/>
      <w:r>
        <w:t xml:space="preserve"> (allowing for differences in transmission losses). However, </w:t>
      </w:r>
      <w:r w:rsidR="00A76791">
        <w:t xml:space="preserve">because some congestion is optimal, sporadic interregional price differences (or </w:t>
      </w:r>
      <w:r>
        <w:t>‘price separations’</w:t>
      </w:r>
      <w:r w:rsidR="00A76791">
        <w:t>)</w:t>
      </w:r>
      <w:r w:rsidR="001264F9">
        <w:t xml:space="preserve"> </w:t>
      </w:r>
      <w:r w:rsidR="00E73976">
        <w:t>are not necessarily inefficient</w:t>
      </w:r>
      <w:r>
        <w:t xml:space="preserve">. </w:t>
      </w:r>
    </w:p>
    <w:p w:rsidR="00A11587" w:rsidRDefault="00750E9B" w:rsidP="00DA7DB5">
      <w:pPr>
        <w:pStyle w:val="BodyText"/>
      </w:pPr>
      <w:r>
        <w:t xml:space="preserve">Indeed, evidence provided by the </w:t>
      </w:r>
      <w:r w:rsidR="000E09A8">
        <w:t xml:space="preserve">National Generators Forum </w:t>
      </w:r>
      <w:r w:rsidR="009952BA">
        <w:t>(</w:t>
      </w:r>
      <w:proofErr w:type="spellStart"/>
      <w:r w:rsidR="009952BA">
        <w:t>NGF</w:t>
      </w:r>
      <w:proofErr w:type="spellEnd"/>
      <w:r>
        <w:t>, sub. 33</w:t>
      </w:r>
      <w:r w:rsidR="009952BA">
        <w:t xml:space="preserve">) </w:t>
      </w:r>
      <w:r>
        <w:t xml:space="preserve">suggests that in the relatively infrequent number of cases where interconnector </w:t>
      </w:r>
      <w:r w:rsidR="001264F9">
        <w:t xml:space="preserve">congestion </w:t>
      </w:r>
      <w:r>
        <w:t>is</w:t>
      </w:r>
      <w:r w:rsidR="001264F9">
        <w:t xml:space="preserve"> encountered</w:t>
      </w:r>
      <w:r w:rsidR="00336DA6">
        <w:t xml:space="preserve"> (figure </w:t>
      </w:r>
      <w:r w:rsidR="007521E2">
        <w:t>17.4</w:t>
      </w:r>
      <w:r>
        <w:t>), the resulting price difference</w:t>
      </w:r>
      <w:r w:rsidR="00991EC4">
        <w:t>s</w:t>
      </w:r>
      <w:r>
        <w:t xml:space="preserve"> </w:t>
      </w:r>
      <w:r w:rsidR="00991EC4">
        <w:t>are</w:t>
      </w:r>
      <w:r>
        <w:t xml:space="preserve"> typically small. Specifically, in more than 90 per cent of such congestion events </w:t>
      </w:r>
      <w:r w:rsidR="00991EC4">
        <w:t>in 2010-11,</w:t>
      </w:r>
      <w:r>
        <w:t xml:space="preserve"> the price difference</w:t>
      </w:r>
      <w:r w:rsidR="00991EC4">
        <w:t xml:space="preserve"> was less than $50 per </w:t>
      </w:r>
      <w:proofErr w:type="spellStart"/>
      <w:r w:rsidR="00991EC4">
        <w:t>MWh</w:t>
      </w:r>
      <w:proofErr w:type="spellEnd"/>
      <w:r>
        <w:t xml:space="preserve"> </w:t>
      </w:r>
      <w:r w:rsidR="00991EC4">
        <w:t>(</w:t>
      </w:r>
      <w:r w:rsidR="00175C37">
        <w:t xml:space="preserve">table </w:t>
      </w:r>
      <w:r w:rsidR="007521E2">
        <w:t>17.2</w:t>
      </w:r>
      <w:r w:rsidR="00175C37">
        <w:t>)</w:t>
      </w:r>
      <w:r w:rsidR="007521E2">
        <w:t>.</w:t>
      </w:r>
    </w:p>
    <w:p w:rsidR="00A579D1" w:rsidRDefault="00A579D1" w:rsidP="00A579D1">
      <w:pPr>
        <w:pStyle w:val="FigureTitle"/>
      </w:pPr>
      <w:r>
        <w:rPr>
          <w:b w:val="0"/>
        </w:rPr>
        <w:t xml:space="preserve">Figure </w:t>
      </w:r>
      <w:bookmarkStart w:id="15" w:name="OLE_LINK8"/>
      <w:r w:rsidR="0004360F">
        <w:rPr>
          <w:b w:val="0"/>
        </w:rPr>
        <w:t>17.</w:t>
      </w:r>
      <w:r w:rsidR="00E92B84">
        <w:rPr>
          <w:b w:val="0"/>
          <w:noProof/>
        </w:rPr>
        <w:t>4</w:t>
      </w:r>
      <w:bookmarkEnd w:id="15"/>
      <w:r>
        <w:tab/>
        <w:t>Percentage of interconnector time constrained, 2010-11</w:t>
      </w:r>
    </w:p>
    <w:p w:rsidR="00A579D1" w:rsidRDefault="00A579D1" w:rsidP="00A579D1">
      <w:pPr>
        <w:pStyle w:val="Subtitle"/>
      </w:pPr>
      <w:r>
        <w:t>Per cent of half hour periods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579D1" w:rsidTr="00F757E9">
        <w:tc>
          <w:tcPr>
            <w:tcW w:w="8777" w:type="dxa"/>
          </w:tcPr>
          <w:p w:rsidR="00A579D1" w:rsidRDefault="00A579D1" w:rsidP="00F757E9">
            <w:pPr>
              <w:pStyle w:val="Figure"/>
            </w:pPr>
            <w:r>
              <w:rPr>
                <w:noProof/>
              </w:rPr>
              <w:drawing>
                <wp:inline distT="0" distB="0" distL="0" distR="0" wp14:anchorId="0F9C4710" wp14:editId="795EE09D">
                  <wp:extent cx="5638800" cy="4524375"/>
                  <wp:effectExtent l="0" t="0" r="0" b="9525"/>
                  <wp:docPr id="7" name="Picture 7" descr="Percentage of interconnector time constrained, 2010-11. This figure comprises of four charts which show the percentage of time constrained and unconstrained for Queensland and New South Wales, Victoria and South Australia, New South Wales and Victoria and Victoria and Tasmania. Mostly, interconnectors are unconstrained. The link between Tasmania and Victoria is most often constrained (but is still unconstrained around two thirds of the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42142" cy="4527057"/>
                          </a:xfrm>
                          <a:prstGeom prst="rect">
                            <a:avLst/>
                          </a:prstGeom>
                        </pic:spPr>
                      </pic:pic>
                    </a:graphicData>
                  </a:graphic>
                </wp:inline>
              </w:drawing>
            </w:r>
          </w:p>
        </w:tc>
      </w:tr>
    </w:tbl>
    <w:p w:rsidR="00A579D1" w:rsidRDefault="00A579D1" w:rsidP="00A579D1">
      <w:pPr>
        <w:pStyle w:val="Source"/>
      </w:pPr>
      <w:r>
        <w:rPr>
          <w:i/>
        </w:rPr>
        <w:t>Data source</w:t>
      </w:r>
      <w:r w:rsidRPr="00167F06">
        <w:t xml:space="preserve">: </w:t>
      </w:r>
      <w:proofErr w:type="spellStart"/>
      <w:r>
        <w:t>NGF</w:t>
      </w:r>
      <w:proofErr w:type="spellEnd"/>
      <w:r>
        <w:t xml:space="preserve"> (sub. 33, p. 6)</w:t>
      </w:r>
      <w:r w:rsidR="00456902">
        <w:t>.</w:t>
      </w:r>
    </w:p>
    <w:p w:rsidR="009952BA" w:rsidRDefault="009952BA" w:rsidP="009952BA">
      <w:pPr>
        <w:pStyle w:val="TableTitle"/>
      </w:pPr>
      <w:r>
        <w:rPr>
          <w:b w:val="0"/>
        </w:rPr>
        <w:lastRenderedPageBreak/>
        <w:t xml:space="preserve">Table </w:t>
      </w:r>
      <w:bookmarkStart w:id="16" w:name="OLE_LINK9"/>
      <w:r w:rsidR="0004360F">
        <w:rPr>
          <w:b w:val="0"/>
        </w:rPr>
        <w:t>17.</w:t>
      </w:r>
      <w:r w:rsidR="00E92B84">
        <w:rPr>
          <w:b w:val="0"/>
          <w:noProof/>
        </w:rPr>
        <w:t>2</w:t>
      </w:r>
      <w:bookmarkEnd w:id="16"/>
      <w:r>
        <w:tab/>
      </w:r>
      <w:r w:rsidR="00873FB3">
        <w:t>P</w:t>
      </w:r>
      <w:r>
        <w:t>rice separation</w:t>
      </w:r>
      <w:r w:rsidR="00873FB3">
        <w:t>s</w:t>
      </w:r>
      <w:r>
        <w:t xml:space="preserve"> by interconnector, 2010</w:t>
      </w:r>
      <w:r w:rsidR="00336DA6">
        <w:noBreakHyphen/>
      </w:r>
      <w:r>
        <w:t>11</w:t>
      </w:r>
    </w:p>
    <w:p w:rsidR="009952BA" w:rsidRDefault="00705D1D" w:rsidP="009952BA">
      <w:pPr>
        <w:pStyle w:val="Subtitle"/>
      </w:pPr>
      <w:r>
        <w:t xml:space="preserve">Share </w:t>
      </w:r>
      <w:r w:rsidR="009952BA">
        <w:t>of separations</w:t>
      </w:r>
      <w:r w:rsidR="00873FB3">
        <w:t xml:space="preserve"> (%)</w:t>
      </w:r>
      <w:r w:rsidR="0073551F" w:rsidRPr="008E77FE">
        <w:rPr>
          <w:rStyle w:val="NoteLabel"/>
        </w:rPr>
        <w:t>a</w:t>
      </w:r>
      <w:r w:rsidR="009952BA">
        <w:t>, by price category</w:t>
      </w:r>
    </w:p>
    <w:tbl>
      <w:tblPr>
        <w:tblW w:w="5000" w:type="pct"/>
        <w:tblLayout w:type="fixed"/>
        <w:tblCellMar>
          <w:left w:w="0" w:type="dxa"/>
          <w:right w:w="0" w:type="dxa"/>
        </w:tblCellMar>
        <w:tblLook w:val="0000" w:firstRow="0" w:lastRow="0" w:firstColumn="0" w:lastColumn="0" w:noHBand="0" w:noVBand="0"/>
      </w:tblPr>
      <w:tblGrid>
        <w:gridCol w:w="1730"/>
        <w:gridCol w:w="594"/>
        <w:gridCol w:w="742"/>
        <w:gridCol w:w="981"/>
        <w:gridCol w:w="1063"/>
        <w:gridCol w:w="1048"/>
        <w:gridCol w:w="1176"/>
        <w:gridCol w:w="1455"/>
      </w:tblGrid>
      <w:tr w:rsidR="009952BA" w:rsidTr="0073551F">
        <w:tc>
          <w:tcPr>
            <w:tcW w:w="984" w:type="pct"/>
            <w:tcBorders>
              <w:top w:val="single" w:sz="6" w:space="0" w:color="auto"/>
              <w:bottom w:val="single" w:sz="6" w:space="0" w:color="auto"/>
            </w:tcBorders>
            <w:shd w:val="clear" w:color="auto" w:fill="auto"/>
          </w:tcPr>
          <w:p w:rsidR="009952BA" w:rsidRDefault="009952BA" w:rsidP="009952BA">
            <w:pPr>
              <w:pStyle w:val="TableColumnHeading"/>
              <w:jc w:val="left"/>
            </w:pPr>
            <w:r>
              <w:t>Line/direction</w:t>
            </w:r>
          </w:p>
        </w:tc>
        <w:tc>
          <w:tcPr>
            <w:tcW w:w="338" w:type="pct"/>
            <w:tcBorders>
              <w:top w:val="single" w:sz="6" w:space="0" w:color="auto"/>
              <w:bottom w:val="single" w:sz="6" w:space="0" w:color="auto"/>
            </w:tcBorders>
            <w:shd w:val="clear" w:color="auto" w:fill="auto"/>
          </w:tcPr>
          <w:p w:rsidR="009952BA" w:rsidRDefault="009952BA" w:rsidP="009952BA">
            <w:pPr>
              <w:pStyle w:val="TableColumnHeading"/>
            </w:pPr>
            <w:r>
              <w:t>&lt;$0</w:t>
            </w:r>
          </w:p>
        </w:tc>
        <w:tc>
          <w:tcPr>
            <w:tcW w:w="422" w:type="pct"/>
            <w:tcBorders>
              <w:top w:val="single" w:sz="6" w:space="0" w:color="auto"/>
              <w:bottom w:val="single" w:sz="6" w:space="0" w:color="auto"/>
            </w:tcBorders>
            <w:shd w:val="clear" w:color="auto" w:fill="auto"/>
          </w:tcPr>
          <w:p w:rsidR="009952BA" w:rsidRDefault="009952BA" w:rsidP="009952BA">
            <w:pPr>
              <w:pStyle w:val="TableColumnHeading"/>
              <w:ind w:right="28"/>
            </w:pPr>
            <w:r>
              <w:t>$0&lt;$50</w:t>
            </w:r>
          </w:p>
        </w:tc>
        <w:tc>
          <w:tcPr>
            <w:tcW w:w="558" w:type="pct"/>
            <w:tcBorders>
              <w:top w:val="single" w:sz="6" w:space="0" w:color="auto"/>
              <w:bottom w:val="single" w:sz="6" w:space="0" w:color="auto"/>
            </w:tcBorders>
          </w:tcPr>
          <w:p w:rsidR="009952BA" w:rsidRDefault="009952BA" w:rsidP="009952BA">
            <w:pPr>
              <w:pStyle w:val="TableColumnHeading"/>
              <w:ind w:right="28"/>
            </w:pPr>
            <w:r>
              <w:t>$50&lt;$100</w:t>
            </w:r>
          </w:p>
        </w:tc>
        <w:tc>
          <w:tcPr>
            <w:tcW w:w="605" w:type="pct"/>
            <w:tcBorders>
              <w:top w:val="single" w:sz="6" w:space="0" w:color="auto"/>
              <w:bottom w:val="single" w:sz="6" w:space="0" w:color="auto"/>
            </w:tcBorders>
          </w:tcPr>
          <w:p w:rsidR="009952BA" w:rsidRDefault="009952BA" w:rsidP="009952BA">
            <w:pPr>
              <w:pStyle w:val="TableColumnHeading"/>
              <w:ind w:right="28"/>
            </w:pPr>
            <w:r>
              <w:t>$100&lt;$200</w:t>
            </w:r>
          </w:p>
        </w:tc>
        <w:tc>
          <w:tcPr>
            <w:tcW w:w="596" w:type="pct"/>
            <w:tcBorders>
              <w:top w:val="single" w:sz="6" w:space="0" w:color="auto"/>
              <w:bottom w:val="single" w:sz="6" w:space="0" w:color="auto"/>
            </w:tcBorders>
          </w:tcPr>
          <w:p w:rsidR="009952BA" w:rsidRDefault="009952BA" w:rsidP="009952BA">
            <w:pPr>
              <w:pStyle w:val="TableColumnHeading"/>
              <w:ind w:right="28"/>
            </w:pPr>
            <w:r>
              <w:t>$200&lt;$500</w:t>
            </w:r>
          </w:p>
        </w:tc>
        <w:tc>
          <w:tcPr>
            <w:tcW w:w="669" w:type="pct"/>
            <w:tcBorders>
              <w:top w:val="single" w:sz="6" w:space="0" w:color="auto"/>
              <w:bottom w:val="single" w:sz="6" w:space="0" w:color="auto"/>
            </w:tcBorders>
          </w:tcPr>
          <w:p w:rsidR="009952BA" w:rsidRDefault="009952BA" w:rsidP="009952BA">
            <w:pPr>
              <w:pStyle w:val="TableColumnHeading"/>
              <w:ind w:right="28"/>
            </w:pPr>
            <w:r>
              <w:t>$500&lt;$1000</w:t>
            </w:r>
          </w:p>
        </w:tc>
        <w:tc>
          <w:tcPr>
            <w:tcW w:w="828" w:type="pct"/>
            <w:tcBorders>
              <w:top w:val="single" w:sz="6" w:space="0" w:color="auto"/>
              <w:bottom w:val="single" w:sz="6" w:space="0" w:color="auto"/>
            </w:tcBorders>
          </w:tcPr>
          <w:p w:rsidR="009952BA" w:rsidRDefault="009952BA" w:rsidP="009952BA">
            <w:pPr>
              <w:pStyle w:val="TableColumnHeading"/>
              <w:ind w:right="28"/>
            </w:pPr>
            <w:r>
              <w:t>$1000&lt;$12,500</w:t>
            </w:r>
          </w:p>
        </w:tc>
      </w:tr>
      <w:tr w:rsidR="009952BA" w:rsidTr="0073551F">
        <w:tc>
          <w:tcPr>
            <w:tcW w:w="984" w:type="pct"/>
            <w:tcBorders>
              <w:top w:val="single" w:sz="6" w:space="0" w:color="auto"/>
            </w:tcBorders>
          </w:tcPr>
          <w:p w:rsidR="009952BA" w:rsidRPr="0073551F" w:rsidRDefault="009952BA" w:rsidP="005015E3">
            <w:pPr>
              <w:pStyle w:val="TableUnitsRow"/>
              <w:spacing w:after="40"/>
              <w:jc w:val="left"/>
              <w:rPr>
                <w:sz w:val="19"/>
                <w:szCs w:val="19"/>
              </w:rPr>
            </w:pPr>
            <w:proofErr w:type="spellStart"/>
            <w:r w:rsidRPr="0073551F">
              <w:rPr>
                <w:sz w:val="19"/>
                <w:szCs w:val="19"/>
              </w:rPr>
              <w:t>QNI</w:t>
            </w:r>
            <w:proofErr w:type="spellEnd"/>
            <w:r w:rsidRPr="0073551F">
              <w:rPr>
                <w:sz w:val="19"/>
                <w:szCs w:val="19"/>
              </w:rPr>
              <w:t xml:space="preserve"> - to Qld</w:t>
            </w:r>
          </w:p>
        </w:tc>
        <w:tc>
          <w:tcPr>
            <w:tcW w:w="338" w:type="pct"/>
            <w:tcBorders>
              <w:top w:val="single" w:sz="6" w:space="0" w:color="auto"/>
            </w:tcBorders>
          </w:tcPr>
          <w:p w:rsidR="009952BA" w:rsidRDefault="009952BA" w:rsidP="0073551F">
            <w:pPr>
              <w:pStyle w:val="TableUnitsRow"/>
              <w:spacing w:after="40"/>
            </w:pPr>
            <w:r>
              <w:t>0.8</w:t>
            </w:r>
          </w:p>
        </w:tc>
        <w:tc>
          <w:tcPr>
            <w:tcW w:w="422" w:type="pct"/>
            <w:tcBorders>
              <w:top w:val="single" w:sz="6" w:space="0" w:color="auto"/>
            </w:tcBorders>
          </w:tcPr>
          <w:p w:rsidR="009952BA" w:rsidRDefault="009952BA" w:rsidP="0073551F">
            <w:pPr>
              <w:pStyle w:val="TableUnitsRow"/>
              <w:spacing w:after="40"/>
              <w:ind w:right="28"/>
            </w:pPr>
            <w:r>
              <w:t>95.</w:t>
            </w:r>
            <w:r w:rsidR="0073551F">
              <w:t>8</w:t>
            </w:r>
          </w:p>
        </w:tc>
        <w:tc>
          <w:tcPr>
            <w:tcW w:w="558" w:type="pct"/>
            <w:tcBorders>
              <w:top w:val="single" w:sz="6" w:space="0" w:color="auto"/>
            </w:tcBorders>
          </w:tcPr>
          <w:p w:rsidR="009952BA" w:rsidRDefault="009952BA" w:rsidP="0073551F">
            <w:pPr>
              <w:pStyle w:val="TableUnitsRow"/>
              <w:spacing w:after="40"/>
              <w:ind w:right="28"/>
            </w:pPr>
            <w:r>
              <w:t>1.</w:t>
            </w:r>
            <w:r w:rsidR="0073551F">
              <w:t>3</w:t>
            </w:r>
          </w:p>
        </w:tc>
        <w:tc>
          <w:tcPr>
            <w:tcW w:w="605" w:type="pct"/>
            <w:tcBorders>
              <w:top w:val="single" w:sz="6" w:space="0" w:color="auto"/>
            </w:tcBorders>
          </w:tcPr>
          <w:p w:rsidR="009952BA" w:rsidRDefault="009952BA" w:rsidP="0073551F">
            <w:pPr>
              <w:pStyle w:val="TableUnitsRow"/>
              <w:spacing w:after="40"/>
              <w:ind w:right="28"/>
            </w:pPr>
            <w:r>
              <w:t>0.</w:t>
            </w:r>
            <w:r w:rsidR="0073551F">
              <w:t>3</w:t>
            </w:r>
          </w:p>
        </w:tc>
        <w:tc>
          <w:tcPr>
            <w:tcW w:w="596" w:type="pct"/>
            <w:tcBorders>
              <w:top w:val="single" w:sz="6" w:space="0" w:color="auto"/>
            </w:tcBorders>
          </w:tcPr>
          <w:p w:rsidR="009952BA" w:rsidRDefault="009952BA" w:rsidP="0073551F">
            <w:pPr>
              <w:pStyle w:val="TableUnitsRow"/>
              <w:spacing w:after="40"/>
              <w:ind w:right="28"/>
            </w:pPr>
            <w:r>
              <w:t>0.3</w:t>
            </w:r>
          </w:p>
        </w:tc>
        <w:tc>
          <w:tcPr>
            <w:tcW w:w="669" w:type="pct"/>
            <w:tcBorders>
              <w:top w:val="single" w:sz="6" w:space="0" w:color="auto"/>
            </w:tcBorders>
          </w:tcPr>
          <w:p w:rsidR="009952BA" w:rsidRDefault="009952BA" w:rsidP="0073551F">
            <w:pPr>
              <w:pStyle w:val="TableUnitsRow"/>
              <w:spacing w:after="40"/>
              <w:ind w:right="28"/>
            </w:pPr>
            <w:r>
              <w:t>1.</w:t>
            </w:r>
            <w:r w:rsidR="0073551F">
              <w:t>3</w:t>
            </w:r>
          </w:p>
        </w:tc>
        <w:tc>
          <w:tcPr>
            <w:tcW w:w="828" w:type="pct"/>
            <w:tcBorders>
              <w:top w:val="single" w:sz="6" w:space="0" w:color="auto"/>
            </w:tcBorders>
          </w:tcPr>
          <w:p w:rsidR="009952BA" w:rsidRDefault="009952BA" w:rsidP="0073551F">
            <w:pPr>
              <w:pStyle w:val="TableUnitsRow"/>
              <w:spacing w:after="40"/>
              <w:ind w:right="28"/>
            </w:pPr>
            <w:r>
              <w:t>0.3</w:t>
            </w:r>
          </w:p>
        </w:tc>
      </w:tr>
      <w:tr w:rsidR="009952BA" w:rsidTr="0073551F">
        <w:tc>
          <w:tcPr>
            <w:tcW w:w="984" w:type="pct"/>
          </w:tcPr>
          <w:p w:rsidR="009952BA" w:rsidRPr="0073551F" w:rsidRDefault="009952BA" w:rsidP="00B11054">
            <w:pPr>
              <w:pStyle w:val="TableBodyText"/>
              <w:spacing w:before="20"/>
              <w:jc w:val="left"/>
              <w:rPr>
                <w:sz w:val="19"/>
                <w:szCs w:val="19"/>
              </w:rPr>
            </w:pPr>
            <w:r w:rsidRPr="0073551F">
              <w:rPr>
                <w:sz w:val="19"/>
                <w:szCs w:val="19"/>
              </w:rPr>
              <w:t xml:space="preserve">       - to NSW</w:t>
            </w:r>
          </w:p>
        </w:tc>
        <w:tc>
          <w:tcPr>
            <w:tcW w:w="338" w:type="pct"/>
          </w:tcPr>
          <w:p w:rsidR="009952BA" w:rsidRDefault="009952BA" w:rsidP="0073551F">
            <w:pPr>
              <w:pStyle w:val="TableBodyText"/>
              <w:spacing w:before="20"/>
            </w:pPr>
            <w:r>
              <w:t>0.</w:t>
            </w:r>
            <w:r w:rsidR="0073551F">
              <w:t>8</w:t>
            </w:r>
          </w:p>
        </w:tc>
        <w:tc>
          <w:tcPr>
            <w:tcW w:w="422" w:type="pct"/>
          </w:tcPr>
          <w:p w:rsidR="009952BA" w:rsidRDefault="009952BA" w:rsidP="0073551F">
            <w:pPr>
              <w:pStyle w:val="TableBodyText"/>
              <w:spacing w:before="20"/>
              <w:ind w:right="28"/>
            </w:pPr>
            <w:r>
              <w:t>97.</w:t>
            </w:r>
            <w:r w:rsidR="0073551F">
              <w:t>9</w:t>
            </w:r>
          </w:p>
        </w:tc>
        <w:tc>
          <w:tcPr>
            <w:tcW w:w="558" w:type="pct"/>
          </w:tcPr>
          <w:p w:rsidR="009952BA" w:rsidRDefault="009952BA" w:rsidP="0073551F">
            <w:pPr>
              <w:pStyle w:val="TableBodyText"/>
              <w:spacing w:before="20"/>
              <w:ind w:right="28"/>
            </w:pPr>
            <w:r>
              <w:t>0.</w:t>
            </w:r>
            <w:r w:rsidR="0073551F">
              <w:t>5</w:t>
            </w:r>
          </w:p>
        </w:tc>
        <w:tc>
          <w:tcPr>
            <w:tcW w:w="605" w:type="pct"/>
          </w:tcPr>
          <w:p w:rsidR="009952BA" w:rsidRDefault="009952BA" w:rsidP="0073551F">
            <w:pPr>
              <w:pStyle w:val="TableBodyText"/>
              <w:spacing w:before="20"/>
              <w:ind w:right="28"/>
            </w:pPr>
            <w:r>
              <w:t>0.2</w:t>
            </w:r>
          </w:p>
        </w:tc>
        <w:tc>
          <w:tcPr>
            <w:tcW w:w="596" w:type="pct"/>
          </w:tcPr>
          <w:p w:rsidR="009952BA" w:rsidRDefault="009952BA" w:rsidP="0073551F">
            <w:pPr>
              <w:pStyle w:val="TableBodyText"/>
              <w:spacing w:before="20"/>
              <w:ind w:right="28"/>
            </w:pPr>
            <w:r>
              <w:t>0.</w:t>
            </w:r>
            <w:r w:rsidR="0073551F">
              <w:t>1</w:t>
            </w:r>
          </w:p>
        </w:tc>
        <w:tc>
          <w:tcPr>
            <w:tcW w:w="669" w:type="pct"/>
          </w:tcPr>
          <w:p w:rsidR="009952BA" w:rsidRDefault="009952BA" w:rsidP="0073551F">
            <w:pPr>
              <w:pStyle w:val="TableBodyText"/>
              <w:spacing w:before="20"/>
              <w:ind w:right="28"/>
            </w:pPr>
            <w:r>
              <w:t>0.</w:t>
            </w:r>
            <w:r w:rsidR="0073551F">
              <w:t>1</w:t>
            </w:r>
          </w:p>
        </w:tc>
        <w:tc>
          <w:tcPr>
            <w:tcW w:w="828" w:type="pct"/>
          </w:tcPr>
          <w:p w:rsidR="009952BA" w:rsidRDefault="009952BA" w:rsidP="0073551F">
            <w:pPr>
              <w:pStyle w:val="TableBodyText"/>
              <w:spacing w:before="20"/>
              <w:ind w:right="28"/>
            </w:pPr>
            <w:r>
              <w:t>0.4</w:t>
            </w:r>
          </w:p>
        </w:tc>
      </w:tr>
      <w:tr w:rsidR="009952BA" w:rsidTr="0073551F">
        <w:tc>
          <w:tcPr>
            <w:tcW w:w="984" w:type="pct"/>
            <w:shd w:val="clear" w:color="auto" w:fill="auto"/>
          </w:tcPr>
          <w:p w:rsidR="009952BA" w:rsidRPr="0073551F" w:rsidRDefault="009952BA" w:rsidP="0073551F">
            <w:pPr>
              <w:pStyle w:val="TableBodyText"/>
              <w:spacing w:before="80"/>
              <w:jc w:val="left"/>
              <w:rPr>
                <w:sz w:val="19"/>
                <w:szCs w:val="19"/>
              </w:rPr>
            </w:pPr>
            <w:r w:rsidRPr="0073551F">
              <w:rPr>
                <w:sz w:val="19"/>
                <w:szCs w:val="19"/>
              </w:rPr>
              <w:t>Vic-SA - to SA</w:t>
            </w:r>
          </w:p>
        </w:tc>
        <w:tc>
          <w:tcPr>
            <w:tcW w:w="338" w:type="pct"/>
            <w:shd w:val="clear" w:color="auto" w:fill="auto"/>
          </w:tcPr>
          <w:p w:rsidR="009952BA" w:rsidRDefault="009952BA" w:rsidP="0073551F">
            <w:pPr>
              <w:pStyle w:val="TableBodyText"/>
              <w:spacing w:before="80"/>
            </w:pPr>
            <w:r>
              <w:t>70.</w:t>
            </w:r>
            <w:r w:rsidR="0073551F">
              <w:t>7</w:t>
            </w:r>
          </w:p>
        </w:tc>
        <w:tc>
          <w:tcPr>
            <w:tcW w:w="422" w:type="pct"/>
            <w:shd w:val="clear" w:color="auto" w:fill="auto"/>
          </w:tcPr>
          <w:p w:rsidR="009952BA" w:rsidRDefault="009952BA" w:rsidP="0073551F">
            <w:pPr>
              <w:pStyle w:val="TableBodyText"/>
              <w:spacing w:before="80"/>
              <w:ind w:right="28"/>
            </w:pPr>
            <w:r>
              <w:t>27.</w:t>
            </w:r>
            <w:r w:rsidR="0073551F">
              <w:t>9</w:t>
            </w:r>
          </w:p>
        </w:tc>
        <w:tc>
          <w:tcPr>
            <w:tcW w:w="558" w:type="pct"/>
          </w:tcPr>
          <w:p w:rsidR="009952BA" w:rsidRDefault="009952BA" w:rsidP="0073551F">
            <w:pPr>
              <w:pStyle w:val="TableBodyText"/>
              <w:spacing w:before="80"/>
              <w:ind w:right="28"/>
            </w:pPr>
            <w:r>
              <w:t>0.</w:t>
            </w:r>
            <w:r w:rsidR="0073551F">
              <w:t>3</w:t>
            </w:r>
          </w:p>
        </w:tc>
        <w:tc>
          <w:tcPr>
            <w:tcW w:w="605" w:type="pct"/>
          </w:tcPr>
          <w:p w:rsidR="009952BA" w:rsidRDefault="009952BA" w:rsidP="0073551F">
            <w:pPr>
              <w:pStyle w:val="TableBodyText"/>
              <w:spacing w:before="80"/>
              <w:ind w:right="28"/>
            </w:pPr>
            <w:r>
              <w:t>0.2</w:t>
            </w:r>
          </w:p>
        </w:tc>
        <w:tc>
          <w:tcPr>
            <w:tcW w:w="596" w:type="pct"/>
          </w:tcPr>
          <w:p w:rsidR="009952BA" w:rsidRDefault="009952BA" w:rsidP="0073551F">
            <w:pPr>
              <w:pStyle w:val="TableBodyText"/>
              <w:spacing w:before="80"/>
              <w:ind w:right="28"/>
            </w:pPr>
            <w:r>
              <w:t>0.</w:t>
            </w:r>
            <w:r w:rsidR="0073551F">
              <w:t>5</w:t>
            </w:r>
          </w:p>
        </w:tc>
        <w:tc>
          <w:tcPr>
            <w:tcW w:w="669" w:type="pct"/>
          </w:tcPr>
          <w:p w:rsidR="009952BA" w:rsidRDefault="009952BA" w:rsidP="0073551F">
            <w:pPr>
              <w:pStyle w:val="TableBodyText"/>
              <w:spacing w:before="80"/>
              <w:ind w:right="28"/>
            </w:pPr>
            <w:r>
              <w:t>0.</w:t>
            </w:r>
            <w:r w:rsidR="0073551F">
              <w:t>1</w:t>
            </w:r>
          </w:p>
        </w:tc>
        <w:tc>
          <w:tcPr>
            <w:tcW w:w="828" w:type="pct"/>
          </w:tcPr>
          <w:p w:rsidR="009952BA" w:rsidRDefault="009952BA" w:rsidP="0073551F">
            <w:pPr>
              <w:pStyle w:val="TableBodyText"/>
              <w:spacing w:before="80"/>
              <w:ind w:right="28"/>
            </w:pPr>
            <w:r>
              <w:t>0.</w:t>
            </w:r>
            <w:r w:rsidR="0073551F">
              <w:t>3</w:t>
            </w:r>
          </w:p>
        </w:tc>
      </w:tr>
      <w:tr w:rsidR="009952BA" w:rsidTr="0073551F">
        <w:tc>
          <w:tcPr>
            <w:tcW w:w="984" w:type="pct"/>
            <w:shd w:val="clear" w:color="auto" w:fill="auto"/>
          </w:tcPr>
          <w:p w:rsidR="009952BA" w:rsidRPr="0073551F" w:rsidRDefault="009952BA" w:rsidP="0073551F">
            <w:pPr>
              <w:pStyle w:val="TableBodyText"/>
              <w:spacing w:before="20"/>
              <w:jc w:val="left"/>
              <w:rPr>
                <w:sz w:val="19"/>
                <w:szCs w:val="19"/>
              </w:rPr>
            </w:pPr>
            <w:r w:rsidRPr="0073551F">
              <w:rPr>
                <w:sz w:val="19"/>
                <w:szCs w:val="19"/>
              </w:rPr>
              <w:t xml:space="preserve">            - to Vic</w:t>
            </w:r>
          </w:p>
        </w:tc>
        <w:tc>
          <w:tcPr>
            <w:tcW w:w="338" w:type="pct"/>
            <w:shd w:val="clear" w:color="auto" w:fill="auto"/>
          </w:tcPr>
          <w:p w:rsidR="009952BA" w:rsidRDefault="009952BA" w:rsidP="0073551F">
            <w:pPr>
              <w:pStyle w:val="TableBodyText"/>
              <w:spacing w:before="20"/>
            </w:pPr>
            <w:r>
              <w:t>1.</w:t>
            </w:r>
            <w:r w:rsidR="0073551F">
              <w:t>9</w:t>
            </w:r>
          </w:p>
        </w:tc>
        <w:tc>
          <w:tcPr>
            <w:tcW w:w="422" w:type="pct"/>
            <w:shd w:val="clear" w:color="auto" w:fill="auto"/>
          </w:tcPr>
          <w:p w:rsidR="009952BA" w:rsidRDefault="0073551F" w:rsidP="0073551F">
            <w:pPr>
              <w:pStyle w:val="TableBodyText"/>
              <w:spacing w:before="20"/>
              <w:ind w:right="28"/>
            </w:pPr>
            <w:r>
              <w:t>93.0</w:t>
            </w:r>
          </w:p>
        </w:tc>
        <w:tc>
          <w:tcPr>
            <w:tcW w:w="558" w:type="pct"/>
          </w:tcPr>
          <w:p w:rsidR="009952BA" w:rsidRDefault="0073551F" w:rsidP="00B11054">
            <w:pPr>
              <w:pStyle w:val="TableBodyText"/>
              <w:spacing w:before="20"/>
              <w:ind w:right="28"/>
            </w:pPr>
            <w:r>
              <w:t>3.0</w:t>
            </w:r>
          </w:p>
        </w:tc>
        <w:tc>
          <w:tcPr>
            <w:tcW w:w="605" w:type="pct"/>
          </w:tcPr>
          <w:p w:rsidR="009952BA" w:rsidRDefault="009952BA" w:rsidP="0073551F">
            <w:pPr>
              <w:pStyle w:val="TableBodyText"/>
              <w:spacing w:before="20"/>
              <w:ind w:right="28"/>
            </w:pPr>
            <w:r>
              <w:t>0.</w:t>
            </w:r>
            <w:r w:rsidR="0073551F">
              <w:t>5</w:t>
            </w:r>
          </w:p>
        </w:tc>
        <w:tc>
          <w:tcPr>
            <w:tcW w:w="596" w:type="pct"/>
          </w:tcPr>
          <w:p w:rsidR="009952BA" w:rsidRDefault="009952BA" w:rsidP="0073551F">
            <w:pPr>
              <w:pStyle w:val="TableBodyText"/>
              <w:spacing w:before="20"/>
              <w:ind w:right="28"/>
            </w:pPr>
            <w:r>
              <w:t>0.4</w:t>
            </w:r>
          </w:p>
        </w:tc>
        <w:tc>
          <w:tcPr>
            <w:tcW w:w="669" w:type="pct"/>
          </w:tcPr>
          <w:p w:rsidR="009952BA" w:rsidRDefault="009952BA" w:rsidP="0073551F">
            <w:pPr>
              <w:pStyle w:val="TableBodyText"/>
              <w:spacing w:before="20"/>
              <w:ind w:right="28"/>
            </w:pPr>
            <w:r>
              <w:t>0.3</w:t>
            </w:r>
          </w:p>
        </w:tc>
        <w:tc>
          <w:tcPr>
            <w:tcW w:w="828" w:type="pct"/>
          </w:tcPr>
          <w:p w:rsidR="009952BA" w:rsidRDefault="0073551F" w:rsidP="00B11054">
            <w:pPr>
              <w:pStyle w:val="TableBodyText"/>
              <w:spacing w:before="20"/>
              <w:ind w:right="28"/>
            </w:pPr>
            <w:r>
              <w:t>1.0</w:t>
            </w:r>
          </w:p>
        </w:tc>
      </w:tr>
      <w:tr w:rsidR="009952BA" w:rsidTr="0073551F">
        <w:tc>
          <w:tcPr>
            <w:tcW w:w="984" w:type="pct"/>
            <w:shd w:val="clear" w:color="auto" w:fill="auto"/>
          </w:tcPr>
          <w:p w:rsidR="009952BA" w:rsidRPr="0073551F" w:rsidRDefault="009952BA" w:rsidP="005015E3">
            <w:pPr>
              <w:pStyle w:val="TableBodyText"/>
              <w:spacing w:before="80"/>
              <w:jc w:val="left"/>
              <w:rPr>
                <w:sz w:val="19"/>
                <w:szCs w:val="19"/>
              </w:rPr>
            </w:pPr>
            <w:r w:rsidRPr="0073551F">
              <w:rPr>
                <w:sz w:val="19"/>
                <w:szCs w:val="19"/>
              </w:rPr>
              <w:t>Vic-NSW - to NSW</w:t>
            </w:r>
          </w:p>
        </w:tc>
        <w:tc>
          <w:tcPr>
            <w:tcW w:w="338" w:type="pct"/>
            <w:shd w:val="clear" w:color="auto" w:fill="auto"/>
          </w:tcPr>
          <w:p w:rsidR="009952BA" w:rsidRDefault="009952BA" w:rsidP="0073551F">
            <w:pPr>
              <w:pStyle w:val="TableBodyText"/>
              <w:spacing w:before="80"/>
            </w:pPr>
            <w:r>
              <w:t>0.9</w:t>
            </w:r>
          </w:p>
        </w:tc>
        <w:tc>
          <w:tcPr>
            <w:tcW w:w="422" w:type="pct"/>
            <w:shd w:val="clear" w:color="auto" w:fill="auto"/>
          </w:tcPr>
          <w:p w:rsidR="009952BA" w:rsidRDefault="009952BA" w:rsidP="0073551F">
            <w:pPr>
              <w:pStyle w:val="TableBodyText"/>
              <w:spacing w:before="80"/>
              <w:ind w:right="28"/>
            </w:pPr>
            <w:r>
              <w:t>94.1</w:t>
            </w:r>
          </w:p>
        </w:tc>
        <w:tc>
          <w:tcPr>
            <w:tcW w:w="558" w:type="pct"/>
          </w:tcPr>
          <w:p w:rsidR="009952BA" w:rsidRDefault="009952BA" w:rsidP="0073551F">
            <w:pPr>
              <w:pStyle w:val="TableBodyText"/>
              <w:spacing w:before="80"/>
              <w:ind w:right="28"/>
            </w:pPr>
            <w:r>
              <w:t>1.8</w:t>
            </w:r>
          </w:p>
        </w:tc>
        <w:tc>
          <w:tcPr>
            <w:tcW w:w="605" w:type="pct"/>
          </w:tcPr>
          <w:p w:rsidR="009952BA" w:rsidRDefault="009952BA" w:rsidP="0073551F">
            <w:pPr>
              <w:pStyle w:val="TableBodyText"/>
              <w:spacing w:before="80"/>
              <w:ind w:right="28"/>
            </w:pPr>
            <w:r>
              <w:t>0.9</w:t>
            </w:r>
          </w:p>
        </w:tc>
        <w:tc>
          <w:tcPr>
            <w:tcW w:w="596" w:type="pct"/>
          </w:tcPr>
          <w:p w:rsidR="009952BA" w:rsidRDefault="009952BA" w:rsidP="0073551F">
            <w:pPr>
              <w:pStyle w:val="TableBodyText"/>
              <w:spacing w:before="80"/>
              <w:ind w:right="28"/>
            </w:pPr>
            <w:r>
              <w:t>1.5</w:t>
            </w:r>
          </w:p>
        </w:tc>
        <w:tc>
          <w:tcPr>
            <w:tcW w:w="669" w:type="pct"/>
          </w:tcPr>
          <w:p w:rsidR="009952BA" w:rsidRDefault="009952BA" w:rsidP="0073551F">
            <w:pPr>
              <w:pStyle w:val="TableBodyText"/>
              <w:spacing w:before="80"/>
              <w:ind w:right="28"/>
            </w:pPr>
            <w:r>
              <w:t>0.</w:t>
            </w:r>
            <w:r w:rsidR="0073551F">
              <w:t>1</w:t>
            </w:r>
          </w:p>
        </w:tc>
        <w:tc>
          <w:tcPr>
            <w:tcW w:w="828" w:type="pct"/>
          </w:tcPr>
          <w:p w:rsidR="009952BA" w:rsidRDefault="009952BA" w:rsidP="0073551F">
            <w:pPr>
              <w:pStyle w:val="TableBodyText"/>
              <w:spacing w:before="80"/>
              <w:ind w:right="28"/>
            </w:pPr>
            <w:r>
              <w:t>0.6</w:t>
            </w:r>
          </w:p>
        </w:tc>
      </w:tr>
      <w:tr w:rsidR="009952BA" w:rsidTr="0073551F">
        <w:tc>
          <w:tcPr>
            <w:tcW w:w="984" w:type="pct"/>
            <w:shd w:val="clear" w:color="auto" w:fill="auto"/>
          </w:tcPr>
          <w:p w:rsidR="009952BA" w:rsidRPr="0073551F" w:rsidRDefault="009952BA" w:rsidP="00B11054">
            <w:pPr>
              <w:pStyle w:val="TableBodyText"/>
              <w:spacing w:before="20"/>
              <w:jc w:val="left"/>
              <w:rPr>
                <w:sz w:val="19"/>
                <w:szCs w:val="19"/>
              </w:rPr>
            </w:pPr>
            <w:r w:rsidRPr="0073551F">
              <w:rPr>
                <w:sz w:val="19"/>
                <w:szCs w:val="19"/>
              </w:rPr>
              <w:t xml:space="preserve">              </w:t>
            </w:r>
            <w:r w:rsidR="0073551F">
              <w:rPr>
                <w:sz w:val="19"/>
                <w:szCs w:val="19"/>
              </w:rPr>
              <w:t xml:space="preserve">  </w:t>
            </w:r>
            <w:r w:rsidRPr="0073551F">
              <w:rPr>
                <w:sz w:val="19"/>
                <w:szCs w:val="19"/>
              </w:rPr>
              <w:t>- to Vic</w:t>
            </w:r>
          </w:p>
        </w:tc>
        <w:tc>
          <w:tcPr>
            <w:tcW w:w="338" w:type="pct"/>
            <w:shd w:val="clear" w:color="auto" w:fill="auto"/>
          </w:tcPr>
          <w:p w:rsidR="009952BA" w:rsidRDefault="009952BA" w:rsidP="0073551F">
            <w:pPr>
              <w:pStyle w:val="TableBodyText"/>
              <w:spacing w:before="20"/>
            </w:pPr>
            <w:r>
              <w:t>0.0</w:t>
            </w:r>
          </w:p>
        </w:tc>
        <w:tc>
          <w:tcPr>
            <w:tcW w:w="422" w:type="pct"/>
            <w:shd w:val="clear" w:color="auto" w:fill="auto"/>
          </w:tcPr>
          <w:p w:rsidR="009952BA" w:rsidRDefault="009952BA" w:rsidP="0073551F">
            <w:pPr>
              <w:pStyle w:val="TableBodyText"/>
              <w:spacing w:before="20"/>
              <w:ind w:right="28"/>
            </w:pPr>
            <w:r>
              <w:t>99.5</w:t>
            </w:r>
          </w:p>
        </w:tc>
        <w:tc>
          <w:tcPr>
            <w:tcW w:w="558" w:type="pct"/>
          </w:tcPr>
          <w:p w:rsidR="009952BA" w:rsidRDefault="009952BA" w:rsidP="0073551F">
            <w:pPr>
              <w:pStyle w:val="TableBodyText"/>
              <w:spacing w:before="20"/>
              <w:ind w:right="28"/>
            </w:pPr>
            <w:r>
              <w:t>0.</w:t>
            </w:r>
            <w:r w:rsidR="0073551F">
              <w:t>4</w:t>
            </w:r>
          </w:p>
        </w:tc>
        <w:tc>
          <w:tcPr>
            <w:tcW w:w="605" w:type="pct"/>
          </w:tcPr>
          <w:p w:rsidR="009952BA" w:rsidRDefault="009952BA" w:rsidP="0073551F">
            <w:pPr>
              <w:pStyle w:val="TableBodyText"/>
              <w:spacing w:before="20"/>
              <w:ind w:right="28"/>
            </w:pPr>
            <w:r>
              <w:t>0.0</w:t>
            </w:r>
          </w:p>
        </w:tc>
        <w:tc>
          <w:tcPr>
            <w:tcW w:w="596" w:type="pct"/>
          </w:tcPr>
          <w:p w:rsidR="009952BA" w:rsidRDefault="009952BA" w:rsidP="0073551F">
            <w:pPr>
              <w:pStyle w:val="TableBodyText"/>
              <w:spacing w:before="20"/>
              <w:ind w:right="28"/>
            </w:pPr>
            <w:r>
              <w:t>0.</w:t>
            </w:r>
            <w:r w:rsidR="0073551F">
              <w:t>1</w:t>
            </w:r>
          </w:p>
        </w:tc>
        <w:tc>
          <w:tcPr>
            <w:tcW w:w="669" w:type="pct"/>
          </w:tcPr>
          <w:p w:rsidR="009952BA" w:rsidRDefault="009952BA" w:rsidP="0073551F">
            <w:pPr>
              <w:pStyle w:val="TableBodyText"/>
              <w:spacing w:before="20"/>
              <w:ind w:right="28"/>
            </w:pPr>
            <w:r>
              <w:t>0.0</w:t>
            </w:r>
          </w:p>
        </w:tc>
        <w:tc>
          <w:tcPr>
            <w:tcW w:w="828" w:type="pct"/>
          </w:tcPr>
          <w:p w:rsidR="009952BA" w:rsidRDefault="009952BA" w:rsidP="0073551F">
            <w:pPr>
              <w:pStyle w:val="TableBodyText"/>
              <w:spacing w:before="20"/>
              <w:ind w:right="28"/>
            </w:pPr>
            <w:r>
              <w:t>0.</w:t>
            </w:r>
            <w:r w:rsidR="0073551F">
              <w:t>1</w:t>
            </w:r>
          </w:p>
        </w:tc>
      </w:tr>
      <w:tr w:rsidR="009952BA" w:rsidTr="0073551F">
        <w:tc>
          <w:tcPr>
            <w:tcW w:w="984" w:type="pct"/>
            <w:shd w:val="clear" w:color="auto" w:fill="auto"/>
          </w:tcPr>
          <w:p w:rsidR="009952BA" w:rsidRPr="0073551F" w:rsidRDefault="009952BA" w:rsidP="005015E3">
            <w:pPr>
              <w:pStyle w:val="TableBodyText"/>
              <w:spacing w:before="80"/>
              <w:jc w:val="left"/>
              <w:rPr>
                <w:sz w:val="19"/>
                <w:szCs w:val="19"/>
              </w:rPr>
            </w:pPr>
            <w:proofErr w:type="spellStart"/>
            <w:r w:rsidRPr="0073551F">
              <w:rPr>
                <w:sz w:val="19"/>
                <w:szCs w:val="19"/>
              </w:rPr>
              <w:t>Basslink</w:t>
            </w:r>
            <w:proofErr w:type="spellEnd"/>
            <w:r w:rsidRPr="0073551F">
              <w:rPr>
                <w:sz w:val="19"/>
                <w:szCs w:val="19"/>
              </w:rPr>
              <w:t xml:space="preserve"> - to Vic</w:t>
            </w:r>
          </w:p>
        </w:tc>
        <w:tc>
          <w:tcPr>
            <w:tcW w:w="338" w:type="pct"/>
            <w:shd w:val="clear" w:color="auto" w:fill="auto"/>
          </w:tcPr>
          <w:p w:rsidR="009952BA" w:rsidRDefault="009952BA" w:rsidP="0073551F">
            <w:pPr>
              <w:pStyle w:val="TableBodyText"/>
              <w:spacing w:before="80"/>
            </w:pPr>
            <w:r>
              <w:t>2.</w:t>
            </w:r>
            <w:r w:rsidR="0073551F">
              <w:t>9</w:t>
            </w:r>
          </w:p>
        </w:tc>
        <w:tc>
          <w:tcPr>
            <w:tcW w:w="422" w:type="pct"/>
            <w:shd w:val="clear" w:color="auto" w:fill="auto"/>
          </w:tcPr>
          <w:p w:rsidR="009952BA" w:rsidRDefault="009952BA" w:rsidP="0073551F">
            <w:pPr>
              <w:pStyle w:val="TableBodyText"/>
              <w:spacing w:before="80"/>
              <w:ind w:right="28"/>
            </w:pPr>
            <w:r>
              <w:t>94.9</w:t>
            </w:r>
          </w:p>
        </w:tc>
        <w:tc>
          <w:tcPr>
            <w:tcW w:w="558" w:type="pct"/>
          </w:tcPr>
          <w:p w:rsidR="009952BA" w:rsidRDefault="009952BA" w:rsidP="0073551F">
            <w:pPr>
              <w:pStyle w:val="TableBodyText"/>
              <w:spacing w:before="80"/>
              <w:ind w:right="28"/>
            </w:pPr>
            <w:r>
              <w:t>0.9</w:t>
            </w:r>
          </w:p>
        </w:tc>
        <w:tc>
          <w:tcPr>
            <w:tcW w:w="605" w:type="pct"/>
          </w:tcPr>
          <w:p w:rsidR="009952BA" w:rsidRDefault="009952BA" w:rsidP="0073551F">
            <w:pPr>
              <w:pStyle w:val="TableBodyText"/>
              <w:spacing w:before="80"/>
              <w:ind w:right="28"/>
            </w:pPr>
            <w:r>
              <w:t>0.</w:t>
            </w:r>
            <w:r w:rsidR="0073551F">
              <w:t>4</w:t>
            </w:r>
          </w:p>
        </w:tc>
        <w:tc>
          <w:tcPr>
            <w:tcW w:w="596" w:type="pct"/>
          </w:tcPr>
          <w:p w:rsidR="009952BA" w:rsidRDefault="009952BA" w:rsidP="0073551F">
            <w:pPr>
              <w:pStyle w:val="TableBodyText"/>
              <w:spacing w:before="80"/>
              <w:ind w:right="28"/>
            </w:pPr>
            <w:r>
              <w:t>0.</w:t>
            </w:r>
            <w:r w:rsidR="0073551F">
              <w:t>7</w:t>
            </w:r>
          </w:p>
        </w:tc>
        <w:tc>
          <w:tcPr>
            <w:tcW w:w="669" w:type="pct"/>
          </w:tcPr>
          <w:p w:rsidR="009952BA" w:rsidRDefault="009952BA" w:rsidP="0073551F">
            <w:pPr>
              <w:pStyle w:val="TableBodyText"/>
              <w:spacing w:before="80"/>
              <w:ind w:right="28"/>
            </w:pPr>
            <w:r>
              <w:t>0.1</w:t>
            </w:r>
          </w:p>
        </w:tc>
        <w:tc>
          <w:tcPr>
            <w:tcW w:w="828" w:type="pct"/>
          </w:tcPr>
          <w:p w:rsidR="009952BA" w:rsidRDefault="009952BA" w:rsidP="0073551F">
            <w:pPr>
              <w:pStyle w:val="TableBodyText"/>
              <w:spacing w:before="80"/>
              <w:ind w:right="28"/>
            </w:pPr>
            <w:r>
              <w:t>0.2</w:t>
            </w:r>
          </w:p>
        </w:tc>
      </w:tr>
      <w:tr w:rsidR="009952BA" w:rsidTr="0073551F">
        <w:tc>
          <w:tcPr>
            <w:tcW w:w="984" w:type="pct"/>
            <w:tcBorders>
              <w:bottom w:val="single" w:sz="4" w:space="0" w:color="auto"/>
            </w:tcBorders>
            <w:shd w:val="clear" w:color="auto" w:fill="auto"/>
          </w:tcPr>
          <w:p w:rsidR="009952BA" w:rsidRPr="0073551F" w:rsidRDefault="009952BA" w:rsidP="00B11054">
            <w:pPr>
              <w:pStyle w:val="TableBodyText"/>
              <w:spacing w:before="20"/>
              <w:jc w:val="left"/>
              <w:rPr>
                <w:sz w:val="19"/>
                <w:szCs w:val="19"/>
              </w:rPr>
            </w:pPr>
            <w:r w:rsidRPr="0073551F">
              <w:rPr>
                <w:sz w:val="19"/>
                <w:szCs w:val="19"/>
              </w:rPr>
              <w:t xml:space="preserve">              - to </w:t>
            </w:r>
            <w:proofErr w:type="spellStart"/>
            <w:r w:rsidRPr="0073551F">
              <w:rPr>
                <w:sz w:val="19"/>
                <w:szCs w:val="19"/>
              </w:rPr>
              <w:t>Tas</w:t>
            </w:r>
            <w:proofErr w:type="spellEnd"/>
          </w:p>
        </w:tc>
        <w:tc>
          <w:tcPr>
            <w:tcW w:w="338" w:type="pct"/>
            <w:tcBorders>
              <w:bottom w:val="single" w:sz="4" w:space="0" w:color="auto"/>
            </w:tcBorders>
            <w:shd w:val="clear" w:color="auto" w:fill="auto"/>
          </w:tcPr>
          <w:p w:rsidR="009952BA" w:rsidRDefault="009952BA" w:rsidP="0073551F">
            <w:pPr>
              <w:pStyle w:val="TableBodyText"/>
              <w:spacing w:before="20"/>
            </w:pPr>
            <w:r>
              <w:t>2.5</w:t>
            </w:r>
          </w:p>
        </w:tc>
        <w:tc>
          <w:tcPr>
            <w:tcW w:w="422" w:type="pct"/>
            <w:tcBorders>
              <w:bottom w:val="single" w:sz="4" w:space="0" w:color="auto"/>
            </w:tcBorders>
            <w:shd w:val="clear" w:color="auto" w:fill="auto"/>
          </w:tcPr>
          <w:p w:rsidR="009952BA" w:rsidRDefault="009952BA" w:rsidP="0073551F">
            <w:pPr>
              <w:pStyle w:val="TableBodyText"/>
              <w:spacing w:before="20"/>
              <w:ind w:right="28"/>
            </w:pPr>
            <w:r>
              <w:t>94.</w:t>
            </w:r>
            <w:r w:rsidR="0073551F">
              <w:t>9</w:t>
            </w:r>
          </w:p>
        </w:tc>
        <w:tc>
          <w:tcPr>
            <w:tcW w:w="558" w:type="pct"/>
            <w:tcBorders>
              <w:bottom w:val="single" w:sz="4" w:space="0" w:color="auto"/>
            </w:tcBorders>
          </w:tcPr>
          <w:p w:rsidR="009952BA" w:rsidRDefault="009952BA" w:rsidP="0073551F">
            <w:pPr>
              <w:pStyle w:val="TableBodyText"/>
              <w:spacing w:before="20"/>
              <w:ind w:right="28"/>
            </w:pPr>
            <w:r>
              <w:t>2.</w:t>
            </w:r>
            <w:r w:rsidR="0073551F">
              <w:t>1</w:t>
            </w:r>
          </w:p>
        </w:tc>
        <w:tc>
          <w:tcPr>
            <w:tcW w:w="605" w:type="pct"/>
            <w:tcBorders>
              <w:bottom w:val="single" w:sz="4" w:space="0" w:color="auto"/>
            </w:tcBorders>
          </w:tcPr>
          <w:p w:rsidR="009952BA" w:rsidRDefault="009952BA" w:rsidP="0073551F">
            <w:pPr>
              <w:pStyle w:val="TableBodyText"/>
              <w:spacing w:before="20"/>
              <w:ind w:right="28"/>
            </w:pPr>
            <w:r>
              <w:t>0.</w:t>
            </w:r>
            <w:r w:rsidR="0073551F">
              <w:t>1</w:t>
            </w:r>
          </w:p>
        </w:tc>
        <w:tc>
          <w:tcPr>
            <w:tcW w:w="596" w:type="pct"/>
            <w:tcBorders>
              <w:bottom w:val="single" w:sz="4" w:space="0" w:color="auto"/>
            </w:tcBorders>
          </w:tcPr>
          <w:p w:rsidR="009952BA" w:rsidRDefault="009952BA" w:rsidP="0073551F">
            <w:pPr>
              <w:pStyle w:val="TableBodyText"/>
              <w:spacing w:before="20"/>
              <w:ind w:right="28"/>
            </w:pPr>
            <w:r>
              <w:t>0.3</w:t>
            </w:r>
          </w:p>
        </w:tc>
        <w:tc>
          <w:tcPr>
            <w:tcW w:w="669" w:type="pct"/>
            <w:tcBorders>
              <w:bottom w:val="single" w:sz="4" w:space="0" w:color="auto"/>
            </w:tcBorders>
          </w:tcPr>
          <w:p w:rsidR="009952BA" w:rsidRDefault="009952BA" w:rsidP="0073551F">
            <w:pPr>
              <w:pStyle w:val="TableBodyText"/>
              <w:spacing w:before="20"/>
              <w:ind w:right="28"/>
            </w:pPr>
            <w:r>
              <w:t>0.0</w:t>
            </w:r>
          </w:p>
        </w:tc>
        <w:tc>
          <w:tcPr>
            <w:tcW w:w="828" w:type="pct"/>
            <w:tcBorders>
              <w:bottom w:val="single" w:sz="4" w:space="0" w:color="auto"/>
            </w:tcBorders>
          </w:tcPr>
          <w:p w:rsidR="009952BA" w:rsidRDefault="009952BA" w:rsidP="0073551F">
            <w:pPr>
              <w:pStyle w:val="TableBodyText"/>
              <w:spacing w:before="20"/>
              <w:ind w:right="28"/>
            </w:pPr>
            <w:r>
              <w:t>0.</w:t>
            </w:r>
            <w:r w:rsidR="0073551F">
              <w:t>2</w:t>
            </w:r>
          </w:p>
        </w:tc>
      </w:tr>
    </w:tbl>
    <w:p w:rsidR="0073551F" w:rsidRPr="0073551F" w:rsidRDefault="0073551F" w:rsidP="0073551F">
      <w:pPr>
        <w:pStyle w:val="Note"/>
      </w:pPr>
      <w:r w:rsidRPr="008E77FE">
        <w:rPr>
          <w:rStyle w:val="NoteLabel"/>
        </w:rPr>
        <w:t>a</w:t>
      </w:r>
      <w:r>
        <w:rPr>
          <w:rStyle w:val="NoteLabel"/>
        </w:rPr>
        <w:t xml:space="preserve"> </w:t>
      </w:r>
      <w:r w:rsidRPr="0073551F">
        <w:t>Shares have been rounded to one decimal place</w:t>
      </w:r>
      <w:r>
        <w:t>.</w:t>
      </w:r>
    </w:p>
    <w:p w:rsidR="009952BA" w:rsidRPr="008E77FE" w:rsidRDefault="009952BA" w:rsidP="009952BA">
      <w:pPr>
        <w:pStyle w:val="Source"/>
      </w:pPr>
      <w:r>
        <w:rPr>
          <w:i/>
        </w:rPr>
        <w:t>Source</w:t>
      </w:r>
      <w:r>
        <w:t xml:space="preserve">: adapted from </w:t>
      </w:r>
      <w:proofErr w:type="spellStart"/>
      <w:r>
        <w:t>NGF</w:t>
      </w:r>
      <w:proofErr w:type="spellEnd"/>
      <w:r>
        <w:t xml:space="preserve"> (sub. 33, pp. </w:t>
      </w:r>
      <w:r w:rsidR="00336DA6">
        <w:t>9</w:t>
      </w:r>
      <w:r w:rsidR="00336DA6">
        <w:noBreakHyphen/>
        <w:t>10</w:t>
      </w:r>
      <w:r>
        <w:t>)</w:t>
      </w:r>
      <w:r w:rsidR="00336DA6">
        <w:t>.</w:t>
      </w:r>
    </w:p>
    <w:p w:rsidR="009952BA" w:rsidRPr="009952BA" w:rsidRDefault="009952BA" w:rsidP="00175C37">
      <w:pPr>
        <w:pStyle w:val="BodyText"/>
      </w:pPr>
      <w:r>
        <w:t xml:space="preserve">The </w:t>
      </w:r>
      <w:proofErr w:type="spellStart"/>
      <w:r>
        <w:t>NGF</w:t>
      </w:r>
      <w:proofErr w:type="spellEnd"/>
      <w:r>
        <w:t xml:space="preserve"> also reported</w:t>
      </w:r>
      <w:r w:rsidR="006A7DF2">
        <w:t xml:space="preserve"> that</w:t>
      </w:r>
      <w:r>
        <w:t xml:space="preserve"> the percentage of half hours when price separation was less than $10</w:t>
      </w:r>
      <w:r w:rsidR="00175C37">
        <w:t xml:space="preserve"> ranged from 95 per</w:t>
      </w:r>
      <w:r w:rsidR="00456902">
        <w:t> </w:t>
      </w:r>
      <w:r w:rsidR="00175C37">
        <w:t xml:space="preserve">cent on </w:t>
      </w:r>
      <w:proofErr w:type="spellStart"/>
      <w:r w:rsidR="00175C37">
        <w:t>Basslink</w:t>
      </w:r>
      <w:proofErr w:type="spellEnd"/>
      <w:r w:rsidR="00175C37">
        <w:t>, to 62</w:t>
      </w:r>
      <w:r w:rsidR="00456902">
        <w:t> </w:t>
      </w:r>
      <w:r w:rsidR="00175C37">
        <w:t>per cent from N</w:t>
      </w:r>
      <w:r w:rsidR="00456902">
        <w:t xml:space="preserve">ew </w:t>
      </w:r>
      <w:r w:rsidR="00175C37">
        <w:t>S</w:t>
      </w:r>
      <w:r w:rsidR="00456902">
        <w:t xml:space="preserve">outh </w:t>
      </w:r>
      <w:r w:rsidR="00175C37">
        <w:t>W</w:t>
      </w:r>
      <w:r w:rsidR="00456902">
        <w:t>ales</w:t>
      </w:r>
      <w:r w:rsidR="00175C37">
        <w:t xml:space="preserve"> to Victoria (sub. 33, p. 7). </w:t>
      </w:r>
    </w:p>
    <w:p w:rsidR="00280549" w:rsidRPr="00996675" w:rsidRDefault="00996675" w:rsidP="00A579D1">
      <w:pPr>
        <w:pStyle w:val="BodyText"/>
      </w:pPr>
      <w:r>
        <w:t xml:space="preserve">The Commission notes that </w:t>
      </w:r>
      <w:r w:rsidR="006A7DF2">
        <w:t xml:space="preserve">while </w:t>
      </w:r>
      <w:r>
        <w:t xml:space="preserve">the figures submitted by the </w:t>
      </w:r>
      <w:proofErr w:type="spellStart"/>
      <w:r>
        <w:t>NGF</w:t>
      </w:r>
      <w:proofErr w:type="spellEnd"/>
      <w:r>
        <w:t xml:space="preserve"> report a low </w:t>
      </w:r>
      <w:r>
        <w:rPr>
          <w:i/>
        </w:rPr>
        <w:t>frequency</w:t>
      </w:r>
      <w:r>
        <w:t xml:space="preserve"> of price separations, </w:t>
      </w:r>
      <w:r w:rsidR="006A7DF2">
        <w:t xml:space="preserve">and </w:t>
      </w:r>
      <w:r>
        <w:t>particularly of incidents of greater separation</w:t>
      </w:r>
      <w:r w:rsidR="003962D8">
        <w:t xml:space="preserve">, </w:t>
      </w:r>
      <w:r>
        <w:t xml:space="preserve">the information submitted does not (nor does it attempt to) reflect the </w:t>
      </w:r>
      <w:r w:rsidR="00456902">
        <w:rPr>
          <w:i/>
        </w:rPr>
        <w:t>effect</w:t>
      </w:r>
      <w:r w:rsidR="00456902">
        <w:t xml:space="preserve"> </w:t>
      </w:r>
      <w:r>
        <w:t xml:space="preserve">of </w:t>
      </w:r>
      <w:r w:rsidR="006A7DF2">
        <w:t xml:space="preserve">those </w:t>
      </w:r>
      <w:r>
        <w:t>separations.</w:t>
      </w:r>
      <w:r>
        <w:rPr>
          <w:rStyle w:val="FootnoteReference"/>
        </w:rPr>
        <w:footnoteReference w:id="11"/>
      </w:r>
      <w:r>
        <w:t xml:space="preserve"> Further, </w:t>
      </w:r>
      <w:r w:rsidR="00D175DE">
        <w:t xml:space="preserve">these </w:t>
      </w:r>
      <w:r>
        <w:t xml:space="preserve">data represent a ‘snapshot’ of separations. </w:t>
      </w:r>
      <w:r w:rsidR="00D175DE">
        <w:t>Price separations are becoming more frequent, occurring 20 per cent of the time in 2001</w:t>
      </w:r>
      <w:r w:rsidR="00D175DE">
        <w:noBreakHyphen/>
        <w:t>02, 33 per cent in 2009</w:t>
      </w:r>
      <w:r w:rsidR="00D175DE">
        <w:noBreakHyphen/>
        <w:t>10 and 39 per cent in 2010</w:t>
      </w:r>
      <w:r w:rsidR="00D175DE">
        <w:noBreakHyphen/>
        <w:t>11 (</w:t>
      </w:r>
      <w:proofErr w:type="spellStart"/>
      <w:r w:rsidR="00D175DE">
        <w:t>AER</w:t>
      </w:r>
      <w:proofErr w:type="spellEnd"/>
      <w:r w:rsidR="00456902">
        <w:t> </w:t>
      </w:r>
      <w:r w:rsidR="00D175DE">
        <w:t>2011</w:t>
      </w:r>
      <w:r w:rsidR="004D76AE">
        <w:t>b</w:t>
      </w:r>
      <w:r w:rsidR="00D175DE">
        <w:t xml:space="preserve">, p. 34). </w:t>
      </w:r>
      <w:r w:rsidR="006A7DF2">
        <w:t xml:space="preserve">Hence, caution is required in drawing overly strong conclusions from the sort of data submitted by the </w:t>
      </w:r>
      <w:proofErr w:type="spellStart"/>
      <w:r w:rsidR="006A7DF2">
        <w:t>NGF</w:t>
      </w:r>
      <w:proofErr w:type="spellEnd"/>
      <w:r w:rsidR="006A7DF2">
        <w:t>.</w:t>
      </w:r>
    </w:p>
    <w:p w:rsidR="00836B44" w:rsidRDefault="00963363" w:rsidP="00963363">
      <w:pPr>
        <w:pStyle w:val="InformationRequest"/>
      </w:pPr>
      <w:r>
        <w:t>The Commission seeks further evidence, and participants’ views, on the impact of price separations between regions in the N</w:t>
      </w:r>
      <w:r w:rsidR="00456902">
        <w:t xml:space="preserve">ational </w:t>
      </w:r>
      <w:r>
        <w:t>E</w:t>
      </w:r>
      <w:r w:rsidR="00456902">
        <w:t xml:space="preserve">lectricity </w:t>
      </w:r>
      <w:r>
        <w:t>M</w:t>
      </w:r>
      <w:r w:rsidR="00456902">
        <w:t>arket</w:t>
      </w:r>
      <w:r>
        <w:t>.</w:t>
      </w:r>
    </w:p>
    <w:p w:rsidR="00DA7DB5" w:rsidRDefault="00BD3F9E" w:rsidP="00DA7DB5">
      <w:pPr>
        <w:pStyle w:val="Heading3"/>
      </w:pPr>
      <w:r>
        <w:t xml:space="preserve">There are unusual patterns in the utilisation </w:t>
      </w:r>
      <w:r w:rsidR="00DA7DB5">
        <w:t xml:space="preserve">of interconnectors </w:t>
      </w:r>
    </w:p>
    <w:p w:rsidR="003434E4" w:rsidRDefault="009C56E3" w:rsidP="008339BB">
      <w:pPr>
        <w:pStyle w:val="BodyText"/>
      </w:pPr>
      <w:r>
        <w:t xml:space="preserve">The economic </w:t>
      </w:r>
      <w:r w:rsidR="00D874CE">
        <w:t xml:space="preserve">effects </w:t>
      </w:r>
      <w:r>
        <w:t xml:space="preserve">(including price </w:t>
      </w:r>
      <w:r w:rsidR="00A8076D">
        <w:t>impacts</w:t>
      </w:r>
      <w:r>
        <w:t>) of interconnectors are determined by the amount of power transported</w:t>
      </w:r>
      <w:r w:rsidRPr="009C56E3">
        <w:t xml:space="preserve"> </w:t>
      </w:r>
      <w:r>
        <w:t>across regions (utilisation), not t</w:t>
      </w:r>
      <w:r w:rsidR="000F1C8E">
        <w:t xml:space="preserve">he built capacity of interconnector. </w:t>
      </w:r>
      <w:r>
        <w:t xml:space="preserve">Utilisation often appears to be relatively low. </w:t>
      </w:r>
    </w:p>
    <w:p w:rsidR="008339BB" w:rsidRDefault="003434E4" w:rsidP="008339BB">
      <w:pPr>
        <w:pStyle w:val="BodyText"/>
      </w:pPr>
      <w:r>
        <w:lastRenderedPageBreak/>
        <w:t>One example of this was highlighted by the Energy Users Association of Australia (sub. 24). U</w:t>
      </w:r>
      <w:r w:rsidR="009C56E3">
        <w:t xml:space="preserve">p to 2006, the Heywood and </w:t>
      </w:r>
      <w:proofErr w:type="spellStart"/>
      <w:r w:rsidR="009C56E3">
        <w:t>Murraylink</w:t>
      </w:r>
      <w:proofErr w:type="spellEnd"/>
      <w:r w:rsidR="009C56E3">
        <w:t xml:space="preserve"> interconnectors supplied around </w:t>
      </w:r>
      <w:r w:rsidR="00AB7B5B">
        <w:t xml:space="preserve">a </w:t>
      </w:r>
      <w:r w:rsidR="009C56E3">
        <w:t>20 per cent</w:t>
      </w:r>
      <w:r w:rsidR="00100F18">
        <w:t xml:space="preserve"> </w:t>
      </w:r>
      <w:r w:rsidR="00EB7D1A">
        <w:t>(</w:t>
      </w:r>
      <w:r w:rsidR="00100F18">
        <w:t>aggregate annual</w:t>
      </w:r>
      <w:r w:rsidR="00EB7D1A">
        <w:t>)</w:t>
      </w:r>
      <w:r w:rsidR="00100F18">
        <w:t xml:space="preserve"> share</w:t>
      </w:r>
      <w:r w:rsidR="009C56E3">
        <w:t xml:space="preserve"> of South Australia’s electricity, </w:t>
      </w:r>
      <w:r w:rsidR="00100F18">
        <w:t>‘</w:t>
      </w:r>
      <w:r w:rsidR="009C56E3">
        <w:t>but since then it has ranged between almost no share and a 5 per cent share, although gradually increasing since 2007</w:t>
      </w:r>
      <w:r w:rsidR="00100F18">
        <w:t>’</w:t>
      </w:r>
      <w:r w:rsidR="009C56E3">
        <w:t xml:space="preserve"> (</w:t>
      </w:r>
      <w:proofErr w:type="spellStart"/>
      <w:r w:rsidR="009C56E3">
        <w:t>EUAA</w:t>
      </w:r>
      <w:proofErr w:type="spellEnd"/>
      <w:r w:rsidR="00230235">
        <w:t>,</w:t>
      </w:r>
      <w:r w:rsidR="009C56E3">
        <w:t xml:space="preserve"> sub. 24, p. 15)</w:t>
      </w:r>
      <w:r w:rsidR="00100F18">
        <w:t>.</w:t>
      </w:r>
      <w:r w:rsidR="009C56E3">
        <w:t xml:space="preserve"> Paradoxically, the share of power supplied</w:t>
      </w:r>
      <w:r w:rsidR="00BD3F9E">
        <w:t xml:space="preserve"> appeared to drop </w:t>
      </w:r>
      <w:r w:rsidR="008339BB">
        <w:t xml:space="preserve">at the times </w:t>
      </w:r>
      <w:r w:rsidR="009C56E3">
        <w:t>when the</w:t>
      </w:r>
      <w:r w:rsidR="008339BB">
        <w:t xml:space="preserve"> interconnector</w:t>
      </w:r>
      <w:r w:rsidR="009C56E3">
        <w:t>s</w:t>
      </w:r>
      <w:r w:rsidR="008339BB">
        <w:t xml:space="preserve"> would be expected to be flowing at capacity</w:t>
      </w:r>
      <w:r w:rsidR="00BD3F9E">
        <w:t>.</w:t>
      </w:r>
      <w:r w:rsidR="00BD3F9E" w:rsidRPr="00BD3F9E">
        <w:t xml:space="preserve"> </w:t>
      </w:r>
      <w:r w:rsidR="00BD3F9E">
        <w:t>The average share of the electricity supplied through the interconnectors,</w:t>
      </w:r>
      <w:r w:rsidR="00AB33E2">
        <w:t xml:space="preserve"> </w:t>
      </w:r>
      <w:r w:rsidR="00BD3F9E">
        <w:t>during the 72 highest price half-hourly settlement periods</w:t>
      </w:r>
      <w:r w:rsidR="00F757E9">
        <w:t xml:space="preserve"> (that is, peak times)</w:t>
      </w:r>
      <w:r w:rsidR="00BD3F9E">
        <w:t xml:space="preserve"> from 2008 to 2010, was around 10 per cent (</w:t>
      </w:r>
      <w:proofErr w:type="spellStart"/>
      <w:r w:rsidR="00230235">
        <w:t>EUAA</w:t>
      </w:r>
      <w:proofErr w:type="spellEnd"/>
      <w:r w:rsidR="00230235">
        <w:t xml:space="preserve">, </w:t>
      </w:r>
      <w:r w:rsidR="00BD3F9E">
        <w:t>sub. 24, p. 14).</w:t>
      </w:r>
    </w:p>
    <w:p w:rsidR="008339BB" w:rsidRDefault="00B7365D" w:rsidP="002E3716">
      <w:pPr>
        <w:pStyle w:val="BodyText"/>
      </w:pPr>
      <w:r>
        <w:t xml:space="preserve">The </w:t>
      </w:r>
      <w:proofErr w:type="spellStart"/>
      <w:r>
        <w:t>EUAA</w:t>
      </w:r>
      <w:proofErr w:type="spellEnd"/>
      <w:r>
        <w:t xml:space="preserve"> further examined the interconnector capacity in both peak and average annual terms (table</w:t>
      </w:r>
      <w:r w:rsidR="00AD6204">
        <w:t xml:space="preserve"> </w:t>
      </w:r>
      <w:r w:rsidR="007521E2">
        <w:t>17.3</w:t>
      </w:r>
      <w:r w:rsidR="00AD6204">
        <w:t xml:space="preserve">). </w:t>
      </w:r>
      <w:r w:rsidR="005D329F">
        <w:t>It found that even during the hot years of 2008 and 2009 the interconnectors</w:t>
      </w:r>
      <w:r w:rsidR="00100F18">
        <w:t>’</w:t>
      </w:r>
      <w:r w:rsidR="005D329F">
        <w:t xml:space="preserve"> utilisation </w:t>
      </w:r>
      <w:r w:rsidR="00100F18">
        <w:t>was only ‘</w:t>
      </w:r>
      <w:r w:rsidR="005D329F">
        <w:t>a little over half</w:t>
      </w:r>
      <w:r w:rsidR="00977F9E">
        <w:t>’</w:t>
      </w:r>
      <w:r w:rsidR="003E2DC8">
        <w:t xml:space="preserve"> of their capacity</w:t>
      </w:r>
      <w:r w:rsidR="00230235">
        <w:t xml:space="preserve"> </w:t>
      </w:r>
      <w:r w:rsidR="00100F18">
        <w:t>(sub. 24, p. 16).</w:t>
      </w:r>
      <w:r w:rsidR="00BE522D" w:rsidRPr="00BE522D">
        <w:t xml:space="preserve"> </w:t>
      </w:r>
      <w:r w:rsidR="00BE522D">
        <w:t>Yet, during these years, the highest 72 half-hourly settlement prices in South Australia were never less than $376 per </w:t>
      </w:r>
      <w:proofErr w:type="spellStart"/>
      <w:r w:rsidR="00BE522D">
        <w:t>MWh</w:t>
      </w:r>
      <w:proofErr w:type="spellEnd"/>
      <w:r w:rsidR="00BE522D">
        <w:t>, and averaged $7180 per </w:t>
      </w:r>
      <w:proofErr w:type="spellStart"/>
      <w:r w:rsidR="00BE522D">
        <w:t>MWh</w:t>
      </w:r>
      <w:proofErr w:type="spellEnd"/>
      <w:r w:rsidR="00BE522D">
        <w:t>.</w:t>
      </w:r>
    </w:p>
    <w:p w:rsidR="00B7365D" w:rsidRDefault="00B7365D">
      <w:pPr>
        <w:pStyle w:val="TableTitle"/>
      </w:pPr>
      <w:r>
        <w:rPr>
          <w:b w:val="0"/>
        </w:rPr>
        <w:t xml:space="preserve">Table </w:t>
      </w:r>
      <w:bookmarkStart w:id="17" w:name="OLE_LINK10"/>
      <w:r w:rsidR="0004360F">
        <w:rPr>
          <w:b w:val="0"/>
        </w:rPr>
        <w:t>17.</w:t>
      </w:r>
      <w:r w:rsidR="00E92B84">
        <w:rPr>
          <w:b w:val="0"/>
          <w:noProof/>
        </w:rPr>
        <w:t>3</w:t>
      </w:r>
      <w:bookmarkEnd w:id="17"/>
      <w:r>
        <w:tab/>
      </w:r>
      <w:r w:rsidR="00AD6204">
        <w:t>South Australian interconnector capacity factors</w:t>
      </w:r>
    </w:p>
    <w:p w:rsidR="00B7365D" w:rsidRDefault="005D329F">
      <w:pPr>
        <w:pStyle w:val="Subtitle"/>
      </w:pPr>
      <w:r>
        <w:t xml:space="preserve">Heywood and </w:t>
      </w:r>
      <w:proofErr w:type="spellStart"/>
      <w:r>
        <w:t>Murraylink</w:t>
      </w:r>
      <w:proofErr w:type="spellEnd"/>
      <w:r>
        <w:t xml:space="preserve">, shares </w:t>
      </w:r>
      <w:r w:rsidR="00AD6204">
        <w:t>of peak annual transfer capacity</w:t>
      </w:r>
      <w:r w:rsidR="005E6C56">
        <w:t>, per cent.</w:t>
      </w:r>
    </w:p>
    <w:tbl>
      <w:tblPr>
        <w:tblW w:w="5000" w:type="pct"/>
        <w:tblCellMar>
          <w:left w:w="0" w:type="dxa"/>
          <w:right w:w="0" w:type="dxa"/>
        </w:tblCellMar>
        <w:tblLook w:val="0000" w:firstRow="0" w:lastRow="0" w:firstColumn="0" w:lastColumn="0" w:noHBand="0" w:noVBand="0"/>
      </w:tblPr>
      <w:tblGrid>
        <w:gridCol w:w="1163"/>
        <w:gridCol w:w="1702"/>
        <w:gridCol w:w="2125"/>
        <w:gridCol w:w="2043"/>
        <w:gridCol w:w="1756"/>
      </w:tblGrid>
      <w:tr w:rsidR="00AD6204" w:rsidTr="00266823">
        <w:tc>
          <w:tcPr>
            <w:tcW w:w="662" w:type="pct"/>
            <w:tcBorders>
              <w:top w:val="single" w:sz="6" w:space="0" w:color="auto"/>
              <w:bottom w:val="single" w:sz="6" w:space="0" w:color="auto"/>
            </w:tcBorders>
            <w:shd w:val="clear" w:color="auto" w:fill="auto"/>
          </w:tcPr>
          <w:p w:rsidR="00AD6204" w:rsidRDefault="00AD6204" w:rsidP="00B7365D">
            <w:pPr>
              <w:pStyle w:val="TableColumnHeading"/>
              <w:jc w:val="left"/>
            </w:pPr>
            <w:r>
              <w:t>Year</w:t>
            </w:r>
          </w:p>
        </w:tc>
        <w:tc>
          <w:tcPr>
            <w:tcW w:w="2177" w:type="pct"/>
            <w:gridSpan w:val="2"/>
            <w:tcBorders>
              <w:top w:val="single" w:sz="6" w:space="0" w:color="auto"/>
              <w:bottom w:val="single" w:sz="6" w:space="0" w:color="auto"/>
              <w:right w:val="single" w:sz="6" w:space="0" w:color="auto"/>
            </w:tcBorders>
            <w:shd w:val="clear" w:color="auto" w:fill="auto"/>
          </w:tcPr>
          <w:p w:rsidR="00AD6204" w:rsidRDefault="00AD6204" w:rsidP="00266823">
            <w:pPr>
              <w:pStyle w:val="TableColumnHeading"/>
              <w:ind w:right="28"/>
              <w:jc w:val="center"/>
            </w:pPr>
            <w:r>
              <w:t>Capacity factor</w:t>
            </w:r>
            <w:r w:rsidR="00100F18" w:rsidRPr="008E77FE">
              <w:rPr>
                <w:rStyle w:val="NoteLabel"/>
              </w:rPr>
              <w:t xml:space="preserve"> a</w:t>
            </w:r>
            <w:r>
              <w:t xml:space="preserve"> in highest </w:t>
            </w:r>
            <w:r w:rsidR="00266823">
              <w:br/>
            </w:r>
            <w:r>
              <w:t>72 settlement periods</w:t>
            </w:r>
          </w:p>
        </w:tc>
        <w:tc>
          <w:tcPr>
            <w:tcW w:w="2161" w:type="pct"/>
            <w:gridSpan w:val="2"/>
            <w:tcBorders>
              <w:top w:val="single" w:sz="6" w:space="0" w:color="auto"/>
              <w:left w:val="single" w:sz="6" w:space="0" w:color="auto"/>
              <w:bottom w:val="single" w:sz="6" w:space="0" w:color="auto"/>
            </w:tcBorders>
          </w:tcPr>
          <w:p w:rsidR="00AD6204" w:rsidRDefault="00AD6204" w:rsidP="00266823">
            <w:pPr>
              <w:pStyle w:val="TableColumnHeading"/>
              <w:ind w:right="28"/>
              <w:jc w:val="center"/>
            </w:pPr>
            <w:r>
              <w:t>Average annual capacity factor</w:t>
            </w:r>
          </w:p>
        </w:tc>
      </w:tr>
      <w:tr w:rsidR="00B7365D" w:rsidRPr="00AD6204" w:rsidTr="00266823">
        <w:tc>
          <w:tcPr>
            <w:tcW w:w="662" w:type="pct"/>
            <w:tcBorders>
              <w:top w:val="single" w:sz="6" w:space="0" w:color="auto"/>
            </w:tcBorders>
          </w:tcPr>
          <w:p w:rsidR="00B7365D" w:rsidRPr="00AD6204" w:rsidRDefault="00B7365D" w:rsidP="00AD6204">
            <w:pPr>
              <w:pStyle w:val="TableUnitsRow"/>
            </w:pPr>
          </w:p>
        </w:tc>
        <w:tc>
          <w:tcPr>
            <w:tcW w:w="968" w:type="pct"/>
            <w:tcBorders>
              <w:top w:val="single" w:sz="6" w:space="0" w:color="auto"/>
            </w:tcBorders>
          </w:tcPr>
          <w:p w:rsidR="00B7365D" w:rsidRPr="00AD6204" w:rsidRDefault="00AD6204" w:rsidP="00AD6204">
            <w:pPr>
              <w:pStyle w:val="TableUnitsRow"/>
              <w:rPr>
                <w:i/>
              </w:rPr>
            </w:pPr>
            <w:r w:rsidRPr="00AD6204">
              <w:rPr>
                <w:i/>
              </w:rPr>
              <w:t>Vic to SA</w:t>
            </w:r>
          </w:p>
        </w:tc>
        <w:tc>
          <w:tcPr>
            <w:tcW w:w="1209" w:type="pct"/>
            <w:tcBorders>
              <w:top w:val="single" w:sz="6" w:space="0" w:color="auto"/>
              <w:right w:val="single" w:sz="6" w:space="0" w:color="auto"/>
            </w:tcBorders>
          </w:tcPr>
          <w:p w:rsidR="00B7365D" w:rsidRPr="00AD6204" w:rsidRDefault="00AD6204" w:rsidP="00AD6204">
            <w:pPr>
              <w:pStyle w:val="TableUnitsRow"/>
              <w:rPr>
                <w:i/>
              </w:rPr>
            </w:pPr>
            <w:r w:rsidRPr="00AD6204">
              <w:rPr>
                <w:i/>
              </w:rPr>
              <w:t>SA to Vic</w:t>
            </w:r>
          </w:p>
        </w:tc>
        <w:tc>
          <w:tcPr>
            <w:tcW w:w="1162" w:type="pct"/>
            <w:tcBorders>
              <w:top w:val="single" w:sz="6" w:space="0" w:color="auto"/>
              <w:left w:val="single" w:sz="6" w:space="0" w:color="auto"/>
            </w:tcBorders>
          </w:tcPr>
          <w:p w:rsidR="00B7365D" w:rsidRPr="00AD6204" w:rsidRDefault="00AD6204" w:rsidP="00AD6204">
            <w:pPr>
              <w:pStyle w:val="TableUnitsRow"/>
              <w:rPr>
                <w:i/>
              </w:rPr>
            </w:pPr>
            <w:r w:rsidRPr="00AD6204">
              <w:rPr>
                <w:i/>
              </w:rPr>
              <w:t>Vic to SA</w:t>
            </w:r>
          </w:p>
        </w:tc>
        <w:tc>
          <w:tcPr>
            <w:tcW w:w="999" w:type="pct"/>
            <w:tcBorders>
              <w:top w:val="single" w:sz="6" w:space="0" w:color="auto"/>
            </w:tcBorders>
          </w:tcPr>
          <w:p w:rsidR="00B7365D" w:rsidRPr="00AD6204" w:rsidRDefault="00AD6204" w:rsidP="00AD6204">
            <w:pPr>
              <w:pStyle w:val="TableUnitsRow"/>
              <w:rPr>
                <w:i/>
              </w:rPr>
            </w:pPr>
            <w:r w:rsidRPr="00AD6204">
              <w:rPr>
                <w:i/>
              </w:rPr>
              <w:t>SA to Vic</w:t>
            </w:r>
          </w:p>
        </w:tc>
      </w:tr>
      <w:tr w:rsidR="00B7365D" w:rsidTr="00266823">
        <w:tc>
          <w:tcPr>
            <w:tcW w:w="662" w:type="pct"/>
          </w:tcPr>
          <w:p w:rsidR="00B7365D" w:rsidRDefault="00AD6204" w:rsidP="00B7365D">
            <w:pPr>
              <w:pStyle w:val="TableBodyText"/>
              <w:jc w:val="left"/>
            </w:pPr>
            <w:r>
              <w:t>2005</w:t>
            </w:r>
          </w:p>
        </w:tc>
        <w:tc>
          <w:tcPr>
            <w:tcW w:w="968" w:type="pct"/>
          </w:tcPr>
          <w:p w:rsidR="00B7365D" w:rsidRDefault="00AD6204" w:rsidP="00B7365D">
            <w:pPr>
              <w:pStyle w:val="TableBodyText"/>
            </w:pPr>
            <w:r>
              <w:t>39</w:t>
            </w:r>
          </w:p>
        </w:tc>
        <w:tc>
          <w:tcPr>
            <w:tcW w:w="1209" w:type="pct"/>
            <w:tcBorders>
              <w:right w:val="single" w:sz="6" w:space="0" w:color="auto"/>
            </w:tcBorders>
          </w:tcPr>
          <w:p w:rsidR="00B7365D" w:rsidRDefault="00AD6204" w:rsidP="00B7365D">
            <w:pPr>
              <w:pStyle w:val="TableBodyText"/>
              <w:ind w:right="28"/>
            </w:pPr>
            <w:r>
              <w:t>33</w:t>
            </w:r>
          </w:p>
        </w:tc>
        <w:tc>
          <w:tcPr>
            <w:tcW w:w="1162" w:type="pct"/>
            <w:tcBorders>
              <w:left w:val="single" w:sz="6" w:space="0" w:color="auto"/>
            </w:tcBorders>
          </w:tcPr>
          <w:p w:rsidR="00B7365D" w:rsidRDefault="00AD6204" w:rsidP="00B7365D">
            <w:pPr>
              <w:pStyle w:val="TableBodyText"/>
              <w:ind w:right="28"/>
            </w:pPr>
            <w:r>
              <w:t>41</w:t>
            </w:r>
          </w:p>
        </w:tc>
        <w:tc>
          <w:tcPr>
            <w:tcW w:w="999" w:type="pct"/>
          </w:tcPr>
          <w:p w:rsidR="00B7365D" w:rsidRDefault="00AD6204" w:rsidP="00B7365D">
            <w:pPr>
              <w:pStyle w:val="TableBodyText"/>
              <w:ind w:right="28"/>
            </w:pPr>
            <w:r>
              <w:t>2</w:t>
            </w:r>
          </w:p>
        </w:tc>
      </w:tr>
      <w:tr w:rsidR="00B7365D" w:rsidTr="00266823">
        <w:tc>
          <w:tcPr>
            <w:tcW w:w="662" w:type="pct"/>
            <w:shd w:val="clear" w:color="auto" w:fill="auto"/>
          </w:tcPr>
          <w:p w:rsidR="00B7365D" w:rsidRDefault="00AD6204" w:rsidP="00B11054">
            <w:pPr>
              <w:pStyle w:val="TableBodyText"/>
              <w:spacing w:before="20"/>
              <w:jc w:val="left"/>
            </w:pPr>
            <w:r>
              <w:t>2006</w:t>
            </w:r>
          </w:p>
        </w:tc>
        <w:tc>
          <w:tcPr>
            <w:tcW w:w="968" w:type="pct"/>
            <w:shd w:val="clear" w:color="auto" w:fill="auto"/>
          </w:tcPr>
          <w:p w:rsidR="00B7365D" w:rsidRDefault="00AD6204" w:rsidP="00B11054">
            <w:pPr>
              <w:pStyle w:val="TableBodyText"/>
              <w:spacing w:before="20"/>
            </w:pPr>
            <w:r>
              <w:t>46</w:t>
            </w:r>
          </w:p>
        </w:tc>
        <w:tc>
          <w:tcPr>
            <w:tcW w:w="1209" w:type="pct"/>
            <w:tcBorders>
              <w:right w:val="single" w:sz="6" w:space="0" w:color="auto"/>
            </w:tcBorders>
            <w:shd w:val="clear" w:color="auto" w:fill="auto"/>
          </w:tcPr>
          <w:p w:rsidR="00B7365D" w:rsidRDefault="00AD6204" w:rsidP="00B11054">
            <w:pPr>
              <w:pStyle w:val="TableBodyText"/>
              <w:spacing w:before="20"/>
              <w:ind w:right="28"/>
            </w:pPr>
            <w:r>
              <w:t>2</w:t>
            </w:r>
          </w:p>
        </w:tc>
        <w:tc>
          <w:tcPr>
            <w:tcW w:w="1162" w:type="pct"/>
            <w:tcBorders>
              <w:left w:val="single" w:sz="6" w:space="0" w:color="auto"/>
            </w:tcBorders>
          </w:tcPr>
          <w:p w:rsidR="00B7365D" w:rsidRDefault="00AD6204" w:rsidP="00B11054">
            <w:pPr>
              <w:pStyle w:val="TableBodyText"/>
              <w:spacing w:before="20"/>
              <w:ind w:right="28"/>
            </w:pPr>
            <w:r>
              <w:t>40</w:t>
            </w:r>
          </w:p>
        </w:tc>
        <w:tc>
          <w:tcPr>
            <w:tcW w:w="999" w:type="pct"/>
          </w:tcPr>
          <w:p w:rsidR="00B7365D" w:rsidRDefault="00AD6204" w:rsidP="00B11054">
            <w:pPr>
              <w:pStyle w:val="TableBodyText"/>
              <w:spacing w:before="20"/>
              <w:ind w:right="28"/>
            </w:pPr>
            <w:r>
              <w:t>3</w:t>
            </w:r>
          </w:p>
        </w:tc>
      </w:tr>
      <w:tr w:rsidR="00B7365D" w:rsidTr="00266823">
        <w:tc>
          <w:tcPr>
            <w:tcW w:w="662" w:type="pct"/>
            <w:shd w:val="clear" w:color="auto" w:fill="auto"/>
          </w:tcPr>
          <w:p w:rsidR="00B7365D" w:rsidRDefault="00AD6204" w:rsidP="00B11054">
            <w:pPr>
              <w:pStyle w:val="TableBodyText"/>
              <w:spacing w:before="20"/>
              <w:jc w:val="left"/>
            </w:pPr>
            <w:r>
              <w:t>2007</w:t>
            </w:r>
          </w:p>
        </w:tc>
        <w:tc>
          <w:tcPr>
            <w:tcW w:w="968" w:type="pct"/>
            <w:shd w:val="clear" w:color="auto" w:fill="auto"/>
          </w:tcPr>
          <w:p w:rsidR="00B7365D" w:rsidRDefault="00AD6204" w:rsidP="00B11054">
            <w:pPr>
              <w:pStyle w:val="TableBodyText"/>
              <w:spacing w:before="20"/>
            </w:pPr>
            <w:r>
              <w:t>8</w:t>
            </w:r>
          </w:p>
        </w:tc>
        <w:tc>
          <w:tcPr>
            <w:tcW w:w="1209" w:type="pct"/>
            <w:tcBorders>
              <w:right w:val="single" w:sz="6" w:space="0" w:color="auto"/>
            </w:tcBorders>
            <w:shd w:val="clear" w:color="auto" w:fill="auto"/>
          </w:tcPr>
          <w:p w:rsidR="00B7365D" w:rsidRDefault="00AD6204" w:rsidP="00B11054">
            <w:pPr>
              <w:pStyle w:val="TableBodyText"/>
              <w:spacing w:before="20"/>
              <w:ind w:right="28"/>
            </w:pPr>
            <w:r>
              <w:t>33</w:t>
            </w:r>
          </w:p>
        </w:tc>
        <w:tc>
          <w:tcPr>
            <w:tcW w:w="1162" w:type="pct"/>
            <w:tcBorders>
              <w:left w:val="single" w:sz="6" w:space="0" w:color="auto"/>
            </w:tcBorders>
          </w:tcPr>
          <w:p w:rsidR="00B7365D" w:rsidRDefault="00AD6204" w:rsidP="00B11054">
            <w:pPr>
              <w:pStyle w:val="TableBodyText"/>
              <w:spacing w:before="20"/>
              <w:ind w:right="28"/>
            </w:pPr>
            <w:r>
              <w:t>13</w:t>
            </w:r>
          </w:p>
        </w:tc>
        <w:tc>
          <w:tcPr>
            <w:tcW w:w="999" w:type="pct"/>
          </w:tcPr>
          <w:p w:rsidR="00B7365D" w:rsidRDefault="00AD6204" w:rsidP="00B11054">
            <w:pPr>
              <w:pStyle w:val="TableBodyText"/>
              <w:spacing w:before="20"/>
              <w:ind w:right="28"/>
            </w:pPr>
            <w:r>
              <w:t>19</w:t>
            </w:r>
          </w:p>
        </w:tc>
      </w:tr>
      <w:tr w:rsidR="00B7365D" w:rsidTr="00266823">
        <w:tc>
          <w:tcPr>
            <w:tcW w:w="662" w:type="pct"/>
            <w:shd w:val="clear" w:color="auto" w:fill="auto"/>
          </w:tcPr>
          <w:p w:rsidR="00B7365D" w:rsidRDefault="00AD6204" w:rsidP="00B11054">
            <w:pPr>
              <w:pStyle w:val="TableBodyText"/>
              <w:spacing w:before="20"/>
              <w:jc w:val="left"/>
            </w:pPr>
            <w:r>
              <w:t>2008</w:t>
            </w:r>
          </w:p>
        </w:tc>
        <w:tc>
          <w:tcPr>
            <w:tcW w:w="968" w:type="pct"/>
            <w:shd w:val="clear" w:color="auto" w:fill="auto"/>
          </w:tcPr>
          <w:p w:rsidR="00B7365D" w:rsidRDefault="00AD6204" w:rsidP="00B11054">
            <w:pPr>
              <w:pStyle w:val="TableBodyText"/>
              <w:spacing w:before="20"/>
            </w:pPr>
            <w:r>
              <w:t>54</w:t>
            </w:r>
          </w:p>
        </w:tc>
        <w:tc>
          <w:tcPr>
            <w:tcW w:w="1209" w:type="pct"/>
            <w:tcBorders>
              <w:right w:val="single" w:sz="6" w:space="0" w:color="auto"/>
            </w:tcBorders>
            <w:shd w:val="clear" w:color="auto" w:fill="auto"/>
          </w:tcPr>
          <w:p w:rsidR="00B7365D" w:rsidRDefault="00AD6204" w:rsidP="00B11054">
            <w:pPr>
              <w:pStyle w:val="TableBodyText"/>
              <w:spacing w:before="20"/>
              <w:ind w:right="28"/>
            </w:pPr>
            <w:r>
              <w:t>4</w:t>
            </w:r>
          </w:p>
        </w:tc>
        <w:tc>
          <w:tcPr>
            <w:tcW w:w="1162" w:type="pct"/>
            <w:tcBorders>
              <w:left w:val="single" w:sz="6" w:space="0" w:color="auto"/>
            </w:tcBorders>
          </w:tcPr>
          <w:p w:rsidR="00B7365D" w:rsidRDefault="00AD6204" w:rsidP="00B11054">
            <w:pPr>
              <w:pStyle w:val="TableBodyText"/>
              <w:spacing w:before="20"/>
              <w:ind w:right="28"/>
            </w:pPr>
            <w:r>
              <w:t>14</w:t>
            </w:r>
          </w:p>
        </w:tc>
        <w:tc>
          <w:tcPr>
            <w:tcW w:w="999" w:type="pct"/>
          </w:tcPr>
          <w:p w:rsidR="00B7365D" w:rsidRDefault="00AD6204" w:rsidP="00B11054">
            <w:pPr>
              <w:pStyle w:val="TableBodyText"/>
              <w:spacing w:before="20"/>
              <w:ind w:right="28"/>
            </w:pPr>
            <w:r>
              <w:t>18</w:t>
            </w:r>
          </w:p>
        </w:tc>
      </w:tr>
      <w:tr w:rsidR="00B7365D" w:rsidTr="00266823">
        <w:tc>
          <w:tcPr>
            <w:tcW w:w="662" w:type="pct"/>
            <w:shd w:val="clear" w:color="auto" w:fill="auto"/>
          </w:tcPr>
          <w:p w:rsidR="00B7365D" w:rsidRDefault="00AD6204" w:rsidP="00B11054">
            <w:pPr>
              <w:pStyle w:val="TableBodyText"/>
              <w:spacing w:before="20"/>
              <w:jc w:val="left"/>
            </w:pPr>
            <w:r>
              <w:t>2009</w:t>
            </w:r>
          </w:p>
        </w:tc>
        <w:tc>
          <w:tcPr>
            <w:tcW w:w="968" w:type="pct"/>
            <w:shd w:val="clear" w:color="auto" w:fill="auto"/>
          </w:tcPr>
          <w:p w:rsidR="00B7365D" w:rsidRDefault="00AD6204" w:rsidP="00B11054">
            <w:pPr>
              <w:pStyle w:val="TableBodyText"/>
              <w:spacing w:before="20"/>
            </w:pPr>
            <w:r>
              <w:t>52</w:t>
            </w:r>
          </w:p>
        </w:tc>
        <w:tc>
          <w:tcPr>
            <w:tcW w:w="1209" w:type="pct"/>
            <w:tcBorders>
              <w:right w:val="single" w:sz="6" w:space="0" w:color="auto"/>
            </w:tcBorders>
            <w:shd w:val="clear" w:color="auto" w:fill="auto"/>
          </w:tcPr>
          <w:p w:rsidR="00B7365D" w:rsidRDefault="00AD6204" w:rsidP="00B11054">
            <w:pPr>
              <w:pStyle w:val="TableBodyText"/>
              <w:spacing w:before="20"/>
              <w:ind w:right="28"/>
            </w:pPr>
            <w:r>
              <w:t>6</w:t>
            </w:r>
          </w:p>
        </w:tc>
        <w:tc>
          <w:tcPr>
            <w:tcW w:w="1162" w:type="pct"/>
            <w:tcBorders>
              <w:left w:val="single" w:sz="6" w:space="0" w:color="auto"/>
            </w:tcBorders>
          </w:tcPr>
          <w:p w:rsidR="00B7365D" w:rsidRDefault="00AD6204" w:rsidP="00B11054">
            <w:pPr>
              <w:pStyle w:val="TableBodyText"/>
              <w:spacing w:before="20"/>
              <w:ind w:right="28"/>
            </w:pPr>
            <w:r>
              <w:t>20</w:t>
            </w:r>
          </w:p>
        </w:tc>
        <w:tc>
          <w:tcPr>
            <w:tcW w:w="999" w:type="pct"/>
          </w:tcPr>
          <w:p w:rsidR="00B7365D" w:rsidRDefault="00AD6204" w:rsidP="00B11054">
            <w:pPr>
              <w:pStyle w:val="TableBodyText"/>
              <w:spacing w:before="20"/>
              <w:ind w:right="28"/>
            </w:pPr>
            <w:r>
              <w:t>16</w:t>
            </w:r>
          </w:p>
        </w:tc>
      </w:tr>
      <w:tr w:rsidR="00AD6204" w:rsidTr="00266823">
        <w:tc>
          <w:tcPr>
            <w:tcW w:w="662" w:type="pct"/>
            <w:shd w:val="clear" w:color="auto" w:fill="auto"/>
          </w:tcPr>
          <w:p w:rsidR="00AD6204" w:rsidRDefault="00AD6204" w:rsidP="00B11054">
            <w:pPr>
              <w:pStyle w:val="TableBodyText"/>
              <w:spacing w:before="20"/>
              <w:jc w:val="left"/>
            </w:pPr>
            <w:r>
              <w:t>2010</w:t>
            </w:r>
          </w:p>
        </w:tc>
        <w:tc>
          <w:tcPr>
            <w:tcW w:w="968" w:type="pct"/>
            <w:shd w:val="clear" w:color="auto" w:fill="auto"/>
          </w:tcPr>
          <w:p w:rsidR="00AD6204" w:rsidRDefault="00AD6204" w:rsidP="00B11054">
            <w:pPr>
              <w:pStyle w:val="TableBodyText"/>
              <w:spacing w:before="20"/>
            </w:pPr>
            <w:r>
              <w:t>41</w:t>
            </w:r>
          </w:p>
        </w:tc>
        <w:tc>
          <w:tcPr>
            <w:tcW w:w="1209" w:type="pct"/>
            <w:tcBorders>
              <w:right w:val="single" w:sz="6" w:space="0" w:color="auto"/>
            </w:tcBorders>
            <w:shd w:val="clear" w:color="auto" w:fill="auto"/>
          </w:tcPr>
          <w:p w:rsidR="00AD6204" w:rsidRDefault="00AD6204" w:rsidP="00B11054">
            <w:pPr>
              <w:pStyle w:val="TableBodyText"/>
              <w:spacing w:before="20"/>
              <w:ind w:right="28"/>
            </w:pPr>
            <w:r>
              <w:t>8</w:t>
            </w:r>
          </w:p>
        </w:tc>
        <w:tc>
          <w:tcPr>
            <w:tcW w:w="1162" w:type="pct"/>
            <w:tcBorders>
              <w:left w:val="single" w:sz="6" w:space="0" w:color="auto"/>
            </w:tcBorders>
          </w:tcPr>
          <w:p w:rsidR="00AD6204" w:rsidRDefault="00AD6204" w:rsidP="00B11054">
            <w:pPr>
              <w:pStyle w:val="TableBodyText"/>
              <w:spacing w:before="20"/>
              <w:ind w:right="28"/>
            </w:pPr>
            <w:r>
              <w:t>23</w:t>
            </w:r>
          </w:p>
        </w:tc>
        <w:tc>
          <w:tcPr>
            <w:tcW w:w="999" w:type="pct"/>
          </w:tcPr>
          <w:p w:rsidR="00AD6204" w:rsidRDefault="00AD6204" w:rsidP="00B11054">
            <w:pPr>
              <w:pStyle w:val="TableBodyText"/>
              <w:spacing w:before="20"/>
              <w:ind w:right="28"/>
            </w:pPr>
            <w:r>
              <w:t>14</w:t>
            </w:r>
          </w:p>
        </w:tc>
      </w:tr>
      <w:tr w:rsidR="00AD6204" w:rsidTr="00266823">
        <w:tc>
          <w:tcPr>
            <w:tcW w:w="662" w:type="pct"/>
            <w:shd w:val="clear" w:color="auto" w:fill="auto"/>
          </w:tcPr>
          <w:p w:rsidR="00AD6204" w:rsidRDefault="00AD6204" w:rsidP="00B11054">
            <w:pPr>
              <w:pStyle w:val="TableBodyText"/>
              <w:spacing w:before="20"/>
              <w:jc w:val="left"/>
            </w:pPr>
            <w:r>
              <w:t>2011</w:t>
            </w:r>
          </w:p>
        </w:tc>
        <w:tc>
          <w:tcPr>
            <w:tcW w:w="968" w:type="pct"/>
            <w:shd w:val="clear" w:color="auto" w:fill="auto"/>
          </w:tcPr>
          <w:p w:rsidR="00AD6204" w:rsidRDefault="00AD6204" w:rsidP="00B11054">
            <w:pPr>
              <w:pStyle w:val="TableBodyText"/>
              <w:spacing w:before="20"/>
            </w:pPr>
            <w:r>
              <w:t>55</w:t>
            </w:r>
          </w:p>
        </w:tc>
        <w:tc>
          <w:tcPr>
            <w:tcW w:w="1209" w:type="pct"/>
            <w:tcBorders>
              <w:right w:val="single" w:sz="6" w:space="0" w:color="auto"/>
            </w:tcBorders>
            <w:shd w:val="clear" w:color="auto" w:fill="auto"/>
          </w:tcPr>
          <w:p w:rsidR="00AD6204" w:rsidRDefault="00AD6204" w:rsidP="00B11054">
            <w:pPr>
              <w:pStyle w:val="TableBodyText"/>
              <w:spacing w:before="20"/>
              <w:ind w:right="28"/>
            </w:pPr>
            <w:r>
              <w:t>4</w:t>
            </w:r>
          </w:p>
        </w:tc>
        <w:tc>
          <w:tcPr>
            <w:tcW w:w="1162" w:type="pct"/>
            <w:tcBorders>
              <w:left w:val="single" w:sz="6" w:space="0" w:color="auto"/>
            </w:tcBorders>
          </w:tcPr>
          <w:p w:rsidR="00AD6204" w:rsidRDefault="00AD6204" w:rsidP="00B11054">
            <w:pPr>
              <w:pStyle w:val="TableBodyText"/>
              <w:spacing w:before="20"/>
              <w:ind w:right="28"/>
            </w:pPr>
            <w:r>
              <w:t>27</w:t>
            </w:r>
          </w:p>
        </w:tc>
        <w:tc>
          <w:tcPr>
            <w:tcW w:w="999" w:type="pct"/>
          </w:tcPr>
          <w:p w:rsidR="00AD6204" w:rsidRDefault="00AD6204" w:rsidP="00B11054">
            <w:pPr>
              <w:pStyle w:val="TableBodyText"/>
              <w:spacing w:before="20"/>
              <w:ind w:right="28"/>
            </w:pPr>
            <w:r>
              <w:t>11</w:t>
            </w:r>
          </w:p>
        </w:tc>
      </w:tr>
      <w:tr w:rsidR="00AD6204" w:rsidTr="00266823">
        <w:tc>
          <w:tcPr>
            <w:tcW w:w="662" w:type="pct"/>
            <w:tcBorders>
              <w:bottom w:val="single" w:sz="6" w:space="0" w:color="auto"/>
            </w:tcBorders>
            <w:shd w:val="clear" w:color="auto" w:fill="auto"/>
          </w:tcPr>
          <w:p w:rsidR="00AD6204" w:rsidRPr="00AD6204" w:rsidRDefault="00AD6204" w:rsidP="00B11054">
            <w:pPr>
              <w:pStyle w:val="TableBodyText"/>
              <w:spacing w:before="20"/>
              <w:jc w:val="left"/>
              <w:rPr>
                <w:b/>
              </w:rPr>
            </w:pPr>
            <w:r>
              <w:rPr>
                <w:b/>
              </w:rPr>
              <w:t>Average</w:t>
            </w:r>
          </w:p>
        </w:tc>
        <w:tc>
          <w:tcPr>
            <w:tcW w:w="968" w:type="pct"/>
            <w:tcBorders>
              <w:bottom w:val="single" w:sz="6" w:space="0" w:color="auto"/>
            </w:tcBorders>
            <w:shd w:val="clear" w:color="auto" w:fill="auto"/>
          </w:tcPr>
          <w:p w:rsidR="00AD6204" w:rsidRPr="00AD6204" w:rsidRDefault="00AD6204" w:rsidP="00B11054">
            <w:pPr>
              <w:pStyle w:val="TableBodyText"/>
              <w:spacing w:before="20"/>
              <w:rPr>
                <w:b/>
              </w:rPr>
            </w:pPr>
            <w:r w:rsidRPr="00AD6204">
              <w:rPr>
                <w:b/>
              </w:rPr>
              <w:t>42</w:t>
            </w:r>
          </w:p>
        </w:tc>
        <w:tc>
          <w:tcPr>
            <w:tcW w:w="1209" w:type="pct"/>
            <w:tcBorders>
              <w:bottom w:val="single" w:sz="6" w:space="0" w:color="auto"/>
              <w:right w:val="single" w:sz="6" w:space="0" w:color="auto"/>
            </w:tcBorders>
            <w:shd w:val="clear" w:color="auto" w:fill="auto"/>
          </w:tcPr>
          <w:p w:rsidR="00AD6204" w:rsidRPr="00AD6204" w:rsidRDefault="00AD6204" w:rsidP="00B11054">
            <w:pPr>
              <w:pStyle w:val="TableBodyText"/>
              <w:spacing w:before="20"/>
              <w:ind w:right="28"/>
              <w:rPr>
                <w:b/>
              </w:rPr>
            </w:pPr>
            <w:r w:rsidRPr="00AD6204">
              <w:rPr>
                <w:b/>
              </w:rPr>
              <w:t>13</w:t>
            </w:r>
          </w:p>
        </w:tc>
        <w:tc>
          <w:tcPr>
            <w:tcW w:w="1162" w:type="pct"/>
            <w:tcBorders>
              <w:left w:val="single" w:sz="6" w:space="0" w:color="auto"/>
              <w:bottom w:val="single" w:sz="6" w:space="0" w:color="auto"/>
            </w:tcBorders>
          </w:tcPr>
          <w:p w:rsidR="00AD6204" w:rsidRPr="00AD6204" w:rsidRDefault="00AD6204" w:rsidP="00B11054">
            <w:pPr>
              <w:pStyle w:val="TableBodyText"/>
              <w:spacing w:before="20"/>
              <w:ind w:right="28"/>
              <w:rPr>
                <w:b/>
              </w:rPr>
            </w:pPr>
            <w:r w:rsidRPr="00AD6204">
              <w:rPr>
                <w:b/>
              </w:rPr>
              <w:t>25</w:t>
            </w:r>
          </w:p>
        </w:tc>
        <w:tc>
          <w:tcPr>
            <w:tcW w:w="999" w:type="pct"/>
            <w:tcBorders>
              <w:bottom w:val="single" w:sz="6" w:space="0" w:color="auto"/>
            </w:tcBorders>
          </w:tcPr>
          <w:p w:rsidR="00AD6204" w:rsidRPr="00AD6204" w:rsidRDefault="00AD6204" w:rsidP="00B11054">
            <w:pPr>
              <w:pStyle w:val="TableBodyText"/>
              <w:spacing w:before="20"/>
              <w:ind w:right="28"/>
              <w:rPr>
                <w:b/>
              </w:rPr>
            </w:pPr>
            <w:r w:rsidRPr="00AD6204">
              <w:rPr>
                <w:b/>
              </w:rPr>
              <w:t>12</w:t>
            </w:r>
          </w:p>
        </w:tc>
      </w:tr>
    </w:tbl>
    <w:p w:rsidR="00100F18" w:rsidRDefault="00100F18" w:rsidP="00100F18">
      <w:pPr>
        <w:pStyle w:val="Note"/>
      </w:pPr>
      <w:r w:rsidRPr="008E77FE">
        <w:rPr>
          <w:rStyle w:val="NoteLabel"/>
        </w:rPr>
        <w:t>a</w:t>
      </w:r>
      <w:r>
        <w:t xml:space="preserve"> ‘Capacity factor’ refers to the utilisation of the </w:t>
      </w:r>
      <w:r w:rsidR="006136D7">
        <w:t>interconnectors as a</w:t>
      </w:r>
      <w:r w:rsidR="005E6C56">
        <w:t xml:space="preserve"> percentage</w:t>
      </w:r>
      <w:r w:rsidR="006136D7">
        <w:t xml:space="preserve"> share of their</w:t>
      </w:r>
      <w:r w:rsidR="00F757E9">
        <w:t xml:space="preserve"> listed</w:t>
      </w:r>
      <w:r w:rsidR="006136D7">
        <w:t xml:space="preserve"> capacity. </w:t>
      </w:r>
    </w:p>
    <w:p w:rsidR="00B7365D" w:rsidRPr="008E77FE" w:rsidRDefault="006136D7" w:rsidP="00B7365D">
      <w:pPr>
        <w:pStyle w:val="Source"/>
      </w:pPr>
      <w:r>
        <w:rPr>
          <w:i/>
        </w:rPr>
        <w:t>S</w:t>
      </w:r>
      <w:r w:rsidR="00B7365D">
        <w:rPr>
          <w:i/>
        </w:rPr>
        <w:t>ource</w:t>
      </w:r>
      <w:r w:rsidR="00B7365D">
        <w:t xml:space="preserve">: </w:t>
      </w:r>
      <w:proofErr w:type="spellStart"/>
      <w:r w:rsidR="00AD6204">
        <w:t>EUAA</w:t>
      </w:r>
      <w:proofErr w:type="spellEnd"/>
      <w:r w:rsidR="00AD6204">
        <w:t xml:space="preserve"> (sub. 24, p. 16)</w:t>
      </w:r>
      <w:r w:rsidR="00BD3F9E">
        <w:t>.</w:t>
      </w:r>
    </w:p>
    <w:p w:rsidR="005D329F" w:rsidRDefault="005D329F" w:rsidP="0086256F">
      <w:pPr>
        <w:pStyle w:val="BodyText"/>
      </w:pPr>
      <w:r>
        <w:t xml:space="preserve">Several </w:t>
      </w:r>
      <w:r w:rsidR="00E55789">
        <w:t>factors</w:t>
      </w:r>
      <w:r w:rsidR="00930593">
        <w:t xml:space="preserve"> might</w:t>
      </w:r>
      <w:r>
        <w:t xml:space="preserve"> explain these seemingly odd outcomes:</w:t>
      </w:r>
    </w:p>
    <w:p w:rsidR="005D329F" w:rsidRDefault="005D329F" w:rsidP="00100F18">
      <w:pPr>
        <w:pStyle w:val="ListBullet"/>
      </w:pPr>
      <w:r>
        <w:t>h</w:t>
      </w:r>
      <w:r w:rsidR="0086256F">
        <w:t xml:space="preserve">igh prices in South Australia </w:t>
      </w:r>
      <w:r w:rsidR="00930593">
        <w:t xml:space="preserve">might have </w:t>
      </w:r>
      <w:r w:rsidR="0086256F">
        <w:t>coincide</w:t>
      </w:r>
      <w:r w:rsidR="00930593">
        <w:t>d</w:t>
      </w:r>
      <w:r w:rsidR="0086256F">
        <w:t xml:space="preserve"> with high prices in Victoria, in which case below-capacity flow on the interconnector would be efficient</w:t>
      </w:r>
    </w:p>
    <w:p w:rsidR="00D52FE6" w:rsidRDefault="0086256F" w:rsidP="00100F18">
      <w:pPr>
        <w:pStyle w:val="ListBullet"/>
      </w:pPr>
      <w:r>
        <w:t>a physical constraint on the interconnectors themselves, or elsewhere in the transmission network</w:t>
      </w:r>
      <w:r w:rsidR="00230235">
        <w:t>,</w:t>
      </w:r>
      <w:r>
        <w:t xml:space="preserve"> </w:t>
      </w:r>
      <w:r w:rsidR="00F803A6">
        <w:t xml:space="preserve">might have </w:t>
      </w:r>
      <w:r>
        <w:t>constrain</w:t>
      </w:r>
      <w:r w:rsidR="00F803A6">
        <w:t>ed</w:t>
      </w:r>
      <w:r>
        <w:t xml:space="preserve"> the interconnector flow to below the listed capacity</w:t>
      </w:r>
    </w:p>
    <w:p w:rsidR="0086256F" w:rsidRDefault="00D52FE6" w:rsidP="00100F18">
      <w:pPr>
        <w:pStyle w:val="ListBullet"/>
      </w:pPr>
      <w:r>
        <w:lastRenderedPageBreak/>
        <w:t xml:space="preserve">generating capacity </w:t>
      </w:r>
      <w:r w:rsidR="00CC2D90">
        <w:t>might have</w:t>
      </w:r>
      <w:r>
        <w:t xml:space="preserve"> been withheld</w:t>
      </w:r>
      <w:r w:rsidR="00230235">
        <w:t xml:space="preserve"> (</w:t>
      </w:r>
      <w:r>
        <w:t xml:space="preserve">the view of the </w:t>
      </w:r>
      <w:proofErr w:type="spellStart"/>
      <w:r>
        <w:t>EUAA</w:t>
      </w:r>
      <w:proofErr w:type="spellEnd"/>
      <w:r>
        <w:t xml:space="preserve"> (sub. 24, p. 17)</w:t>
      </w:r>
      <w:r w:rsidR="00E55789">
        <w:t xml:space="preserve"> which </w:t>
      </w:r>
      <w:r>
        <w:t xml:space="preserve">found </w:t>
      </w:r>
      <w:r w:rsidR="00E55789">
        <w:t xml:space="preserve">that </w:t>
      </w:r>
      <w:r>
        <w:t xml:space="preserve">surplus </w:t>
      </w:r>
      <w:r w:rsidR="00E55789">
        <w:t xml:space="preserve">generation </w:t>
      </w:r>
      <w:r>
        <w:t xml:space="preserve">capacity was available at times of </w:t>
      </w:r>
      <w:r w:rsidR="00E55789">
        <w:t xml:space="preserve">very high </w:t>
      </w:r>
      <w:r>
        <w:t>prices</w:t>
      </w:r>
      <w:r w:rsidR="00230235">
        <w:t>)</w:t>
      </w:r>
      <w:r>
        <w:t>.</w:t>
      </w:r>
      <w:r w:rsidR="0086256F">
        <w:t xml:space="preserve"> </w:t>
      </w:r>
    </w:p>
    <w:p w:rsidR="00C67404" w:rsidRDefault="00C67404" w:rsidP="0086256F">
      <w:pPr>
        <w:pStyle w:val="BodyText"/>
      </w:pPr>
      <w:r>
        <w:t xml:space="preserve">The potential withholding of capacity was one of the issues examined by the </w:t>
      </w:r>
      <w:proofErr w:type="spellStart"/>
      <w:r>
        <w:t>AEMC</w:t>
      </w:r>
      <w:proofErr w:type="spellEnd"/>
      <w:r>
        <w:t xml:space="preserve"> in its rule change regarding potential generator market power in the </w:t>
      </w:r>
      <w:proofErr w:type="spellStart"/>
      <w:r>
        <w:t>NEM</w:t>
      </w:r>
      <w:proofErr w:type="spellEnd"/>
      <w:r>
        <w:t xml:space="preserve"> (</w:t>
      </w:r>
      <w:proofErr w:type="spellStart"/>
      <w:r>
        <w:t>AEMC</w:t>
      </w:r>
      <w:proofErr w:type="spellEnd"/>
      <w:r>
        <w:t xml:space="preserve"> 2012</w:t>
      </w:r>
      <w:r w:rsidR="00826B5C">
        <w:t>m</w:t>
      </w:r>
      <w:r>
        <w:t xml:space="preserve">). In its draft rule determination, the </w:t>
      </w:r>
      <w:proofErr w:type="spellStart"/>
      <w:r>
        <w:t>AEMC</w:t>
      </w:r>
      <w:proofErr w:type="spellEnd"/>
      <w:r>
        <w:t xml:space="preserve"> found that: </w:t>
      </w:r>
    </w:p>
    <w:p w:rsidR="00C67404" w:rsidRDefault="00C67404" w:rsidP="00A819BC">
      <w:pPr>
        <w:pStyle w:val="Quote"/>
      </w:pPr>
      <w:r>
        <w:t>… there is a noticeable reduction in capacity utilisation in South Australia at prices above $250/</w:t>
      </w:r>
      <w:proofErr w:type="spellStart"/>
      <w:r>
        <w:t>MWh</w:t>
      </w:r>
      <w:proofErr w:type="spellEnd"/>
      <w:r>
        <w:t xml:space="preserve">. This reduction contrasts with much smaller reductions or even increases in the other </w:t>
      </w:r>
      <w:proofErr w:type="spellStart"/>
      <w:r>
        <w:t>NEM</w:t>
      </w:r>
      <w:proofErr w:type="spellEnd"/>
      <w:r>
        <w:t xml:space="preserve"> regions. While there are myriad reasons as to why levels of capacity utilisation at high prices are lower in South Australia, including more frequent outages or the responsiveness of generation plant, it is of note that the primary driver of the fall in South Australian capacity utilisation when prices are above $250/</w:t>
      </w:r>
      <w:proofErr w:type="spellStart"/>
      <w:r>
        <w:t>MWh</w:t>
      </w:r>
      <w:proofErr w:type="spellEnd"/>
      <w:r>
        <w:t xml:space="preserve"> is </w:t>
      </w:r>
      <w:proofErr w:type="spellStart"/>
      <w:r>
        <w:t>AGL’s</w:t>
      </w:r>
      <w:proofErr w:type="spellEnd"/>
      <w:r>
        <w:t xml:space="preserve"> operation of the Torrens Island power station. (</w:t>
      </w:r>
      <w:proofErr w:type="spellStart"/>
      <w:r>
        <w:t>AEMC</w:t>
      </w:r>
      <w:proofErr w:type="spellEnd"/>
      <w:r>
        <w:t xml:space="preserve"> 2012</w:t>
      </w:r>
      <w:r w:rsidR="00826B5C">
        <w:t>m</w:t>
      </w:r>
      <w:r>
        <w:t>, pp. 41</w:t>
      </w:r>
      <w:r>
        <w:noBreakHyphen/>
        <w:t>2)</w:t>
      </w:r>
    </w:p>
    <w:p w:rsidR="00067479" w:rsidRDefault="00067479" w:rsidP="0086256F">
      <w:pPr>
        <w:pStyle w:val="BodyText"/>
      </w:pPr>
      <w:r>
        <w:t xml:space="preserve">The </w:t>
      </w:r>
      <w:proofErr w:type="spellStart"/>
      <w:r>
        <w:t>AER</w:t>
      </w:r>
      <w:proofErr w:type="spellEnd"/>
      <w:r>
        <w:t xml:space="preserve"> </w:t>
      </w:r>
      <w:r w:rsidR="000D1458">
        <w:t>likewise</w:t>
      </w:r>
      <w:r w:rsidR="00B875B5">
        <w:t xml:space="preserve"> </w:t>
      </w:r>
      <w:r w:rsidR="003434E4">
        <w:t>drew attention to the</w:t>
      </w:r>
      <w:r>
        <w:t xml:space="preserve"> </w:t>
      </w:r>
      <w:r w:rsidR="000D1458">
        <w:t xml:space="preserve">behaviour of the </w:t>
      </w:r>
      <w:r>
        <w:t>Torrens Island Power Station:</w:t>
      </w:r>
    </w:p>
    <w:p w:rsidR="00067479" w:rsidRDefault="00067479" w:rsidP="00A819BC">
      <w:pPr>
        <w:pStyle w:val="Quote"/>
      </w:pPr>
      <w:r>
        <w:t>In only two of the 26 half hour periods where price exceeded $5,000/</w:t>
      </w:r>
      <w:proofErr w:type="spellStart"/>
      <w:r>
        <w:t>MWh</w:t>
      </w:r>
      <w:proofErr w:type="spellEnd"/>
      <w:r>
        <w:t xml:space="preserve"> was more than 700MW of the Torrens Island’s capacity dispatched (Torrens Island Power Station’s total capacity is 1</w:t>
      </w:r>
      <w:r w:rsidR="00B875B5">
        <w:t xml:space="preserve"> </w:t>
      </w:r>
      <w:r>
        <w:t xml:space="preserve">280MW). In over a third of these half hourly periods, </w:t>
      </w:r>
      <w:r>
        <w:rPr>
          <w:i/>
          <w:iCs/>
        </w:rPr>
        <w:t xml:space="preserve">under 300MW </w:t>
      </w:r>
      <w:r>
        <w:t>of the total capacity of Torrens Island was dispatched. (</w:t>
      </w:r>
      <w:proofErr w:type="spellStart"/>
      <w:r>
        <w:t>AER</w:t>
      </w:r>
      <w:proofErr w:type="spellEnd"/>
      <w:r>
        <w:t xml:space="preserve"> 2012</w:t>
      </w:r>
      <w:r w:rsidR="00826B5C">
        <w:t>i</w:t>
      </w:r>
      <w:r>
        <w:t>, p. 10)</w:t>
      </w:r>
    </w:p>
    <w:p w:rsidR="00067479" w:rsidRPr="00067479" w:rsidRDefault="00067479" w:rsidP="00A819BC">
      <w:pPr>
        <w:pStyle w:val="BodyText"/>
      </w:pPr>
      <w:r w:rsidRPr="00067479">
        <w:t xml:space="preserve">In his examination of the exercise of market power in the </w:t>
      </w:r>
      <w:proofErr w:type="spellStart"/>
      <w:r w:rsidRPr="00067479">
        <w:t>NEM</w:t>
      </w:r>
      <w:proofErr w:type="spellEnd"/>
      <w:r w:rsidRPr="00067479">
        <w:t xml:space="preserve">, </w:t>
      </w:r>
      <w:proofErr w:type="spellStart"/>
      <w:r w:rsidRPr="00067479">
        <w:t>Biggar</w:t>
      </w:r>
      <w:proofErr w:type="spellEnd"/>
      <w:r w:rsidRPr="00067479">
        <w:t xml:space="preserve"> also concluded that </w:t>
      </w:r>
      <w:r>
        <w:t>‘</w:t>
      </w:r>
      <w:r w:rsidRPr="00A819BC">
        <w:t xml:space="preserve">out of 57 high-demand days, on 30 occasions </w:t>
      </w:r>
      <w:r w:rsidR="000D1458">
        <w:t>[Torrens Island Power Station]</w:t>
      </w:r>
      <w:r w:rsidR="000D1458" w:rsidRPr="00A819BC">
        <w:t xml:space="preserve"> </w:t>
      </w:r>
      <w:r w:rsidRPr="00A819BC">
        <w:t>appears to have been directly exercising market power with withholding capacity</w:t>
      </w:r>
      <w:r>
        <w:t>’ (</w:t>
      </w:r>
      <w:proofErr w:type="spellStart"/>
      <w:r>
        <w:t>Biggar</w:t>
      </w:r>
      <w:proofErr w:type="spellEnd"/>
      <w:r>
        <w:t xml:space="preserve"> 2011</w:t>
      </w:r>
      <w:r w:rsidR="00693CC9">
        <w:t>c</w:t>
      </w:r>
      <w:r>
        <w:t>, p. 49).</w:t>
      </w:r>
    </w:p>
    <w:p w:rsidR="00636B8B" w:rsidRDefault="00F42C41" w:rsidP="0086256F">
      <w:pPr>
        <w:pStyle w:val="BodyText"/>
      </w:pPr>
      <w:r>
        <w:t xml:space="preserve">More generally, the issue of generator market power in South Australia has been the subject of substantial commentary, including as part of the </w:t>
      </w:r>
      <w:proofErr w:type="spellStart"/>
      <w:r>
        <w:t>AEMC’s</w:t>
      </w:r>
      <w:proofErr w:type="spellEnd"/>
      <w:r>
        <w:t xml:space="preserve"> rule change process (box </w:t>
      </w:r>
      <w:r w:rsidR="007521E2">
        <w:t>17.4</w:t>
      </w:r>
      <w:r>
        <w:t xml:space="preserve">). </w:t>
      </w:r>
      <w:r w:rsidR="00B875B5">
        <w:t xml:space="preserve">While the </w:t>
      </w:r>
      <w:proofErr w:type="spellStart"/>
      <w:r w:rsidR="00B875B5">
        <w:t>AEMC</w:t>
      </w:r>
      <w:proofErr w:type="spellEnd"/>
      <w:r w:rsidR="00B875B5">
        <w:t xml:space="preserve"> acknowledged factors that led to positions of market power, they concluded that any exercise of market power was </w:t>
      </w:r>
      <w:r w:rsidR="000D1458">
        <w:t xml:space="preserve">likely to be </w:t>
      </w:r>
      <w:r w:rsidR="00B875B5" w:rsidRPr="00A819BC">
        <w:rPr>
          <w:i/>
        </w:rPr>
        <w:t>transient</w:t>
      </w:r>
      <w:r w:rsidR="00B875B5">
        <w:rPr>
          <w:i/>
        </w:rPr>
        <w:t xml:space="preserve"> </w:t>
      </w:r>
      <w:r w:rsidR="00B875B5">
        <w:t xml:space="preserve">(that is, took advantage of temporary conditions), and not </w:t>
      </w:r>
      <w:r w:rsidR="00B875B5" w:rsidRPr="00A819BC">
        <w:t>substantial</w:t>
      </w:r>
      <w:r w:rsidR="00B875B5">
        <w:t>.</w:t>
      </w:r>
      <w:r w:rsidR="00B875B5">
        <w:rPr>
          <w:rStyle w:val="FootnoteReference"/>
        </w:rPr>
        <w:footnoteReference w:id="12"/>
      </w:r>
      <w:r w:rsidR="00B875B5">
        <w:t xml:space="preserve"> </w:t>
      </w:r>
      <w:r w:rsidR="000D1458">
        <w:t xml:space="preserve">However, some </w:t>
      </w:r>
      <w:r w:rsidR="00B875B5">
        <w:t>others were more concerned. For example, a</w:t>
      </w:r>
      <w:r w:rsidRPr="00B875B5">
        <w:t>s</w:t>
      </w:r>
      <w:r>
        <w:t xml:space="preserve"> part of the rule change process, the </w:t>
      </w:r>
      <w:proofErr w:type="spellStart"/>
      <w:r>
        <w:t>AER</w:t>
      </w:r>
      <w:proofErr w:type="spellEnd"/>
      <w:r>
        <w:t xml:space="preserve"> submitted that ‘it appears that there has been the exercise of substantial market power, particularly in South Australia’ (</w:t>
      </w:r>
      <w:proofErr w:type="spellStart"/>
      <w:r>
        <w:t>AER</w:t>
      </w:r>
      <w:proofErr w:type="spellEnd"/>
      <w:r>
        <w:t xml:space="preserve"> 2012</w:t>
      </w:r>
      <w:r w:rsidR="004D7209">
        <w:t>i</w:t>
      </w:r>
      <w:r>
        <w:t xml:space="preserve">, p. 1). </w:t>
      </w:r>
      <w:r w:rsidR="00B875B5">
        <w:t xml:space="preserve">And, in </w:t>
      </w:r>
      <w:proofErr w:type="spellStart"/>
      <w:r w:rsidR="00B875B5">
        <w:t>Biggar’s</w:t>
      </w:r>
      <w:proofErr w:type="spellEnd"/>
      <w:r w:rsidR="00B875B5">
        <w:t xml:space="preserve"> view, there had been a ‘significant’ exercise of market power that ‘persisted for three consecutive summers’ (</w:t>
      </w:r>
      <w:proofErr w:type="spellStart"/>
      <w:r w:rsidR="00B875B5">
        <w:t>Biggar</w:t>
      </w:r>
      <w:proofErr w:type="spellEnd"/>
      <w:r w:rsidR="00B875B5">
        <w:t xml:space="preserve"> 2011</w:t>
      </w:r>
      <w:r w:rsidR="004D7209">
        <w:t>c</w:t>
      </w:r>
      <w:r w:rsidR="00B875B5">
        <w:t xml:space="preserve">, p. 61). </w:t>
      </w:r>
    </w:p>
    <w:p w:rsidR="00F42C41" w:rsidRDefault="00F42C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2C41">
        <w:tc>
          <w:tcPr>
            <w:tcW w:w="8771" w:type="dxa"/>
            <w:tcBorders>
              <w:top w:val="single" w:sz="6" w:space="0" w:color="auto"/>
              <w:bottom w:val="nil"/>
            </w:tcBorders>
          </w:tcPr>
          <w:p w:rsidR="00F42C41" w:rsidRDefault="00F42C41" w:rsidP="00F42C41">
            <w:pPr>
              <w:pStyle w:val="BoxTitle"/>
            </w:pPr>
            <w:r>
              <w:rPr>
                <w:b w:val="0"/>
              </w:rPr>
              <w:t xml:space="preserve">Box </w:t>
            </w:r>
            <w:bookmarkStart w:id="18" w:name="OLE_LINK11"/>
            <w:r w:rsidR="0004360F">
              <w:rPr>
                <w:b w:val="0"/>
              </w:rPr>
              <w:t>17.</w:t>
            </w:r>
            <w:r w:rsidR="00E92B84">
              <w:rPr>
                <w:b w:val="0"/>
                <w:noProof/>
              </w:rPr>
              <w:t>4</w:t>
            </w:r>
            <w:bookmarkEnd w:id="18"/>
            <w:r>
              <w:tab/>
              <w:t xml:space="preserve">Generator market power in South Australia – the </w:t>
            </w:r>
            <w:proofErr w:type="spellStart"/>
            <w:r>
              <w:t>AEMC’s</w:t>
            </w:r>
            <w:proofErr w:type="spellEnd"/>
            <w:r>
              <w:t xml:space="preserve"> view</w:t>
            </w:r>
          </w:p>
        </w:tc>
      </w:tr>
      <w:tr w:rsidR="00F42C41">
        <w:trPr>
          <w:cantSplit/>
        </w:trPr>
        <w:tc>
          <w:tcPr>
            <w:tcW w:w="8771" w:type="dxa"/>
            <w:tcBorders>
              <w:top w:val="nil"/>
              <w:left w:val="single" w:sz="6" w:space="0" w:color="auto"/>
              <w:bottom w:val="nil"/>
              <w:right w:val="single" w:sz="6" w:space="0" w:color="auto"/>
            </w:tcBorders>
          </w:tcPr>
          <w:p w:rsidR="00F42C41" w:rsidRDefault="00F42C41" w:rsidP="00B875B5">
            <w:pPr>
              <w:pStyle w:val="Box"/>
            </w:pPr>
            <w:r>
              <w:t xml:space="preserve">In examining the issue of generator market power in the </w:t>
            </w:r>
            <w:proofErr w:type="spellStart"/>
            <w:r>
              <w:t>NEM</w:t>
            </w:r>
            <w:proofErr w:type="spellEnd"/>
            <w:r>
              <w:t xml:space="preserve">, the </w:t>
            </w:r>
            <w:proofErr w:type="spellStart"/>
            <w:r>
              <w:t>AEMC</w:t>
            </w:r>
            <w:proofErr w:type="spellEnd"/>
            <w:r>
              <w:t xml:space="preserve"> (2012b) found that in South Australia there was:</w:t>
            </w:r>
          </w:p>
          <w:p w:rsidR="00F42C41" w:rsidRDefault="00F42C41" w:rsidP="00B875B5">
            <w:pPr>
              <w:pStyle w:val="BoxListBullet"/>
            </w:pPr>
            <w:r>
              <w:t xml:space="preserve">some evidence of barriers to entry — one pre-condition for firms to </w:t>
            </w:r>
            <w:r>
              <w:rPr>
                <w:i/>
              </w:rPr>
              <w:t>possess</w:t>
            </w:r>
            <w:r>
              <w:t xml:space="preserve"> market power, itself a pre-condition to </w:t>
            </w:r>
            <w:r>
              <w:rPr>
                <w:i/>
              </w:rPr>
              <w:t xml:space="preserve">using </w:t>
            </w:r>
            <w:r>
              <w:t>that market power (p. 42)</w:t>
            </w:r>
          </w:p>
          <w:p w:rsidR="00F42C41" w:rsidRDefault="00F42C41" w:rsidP="00B875B5">
            <w:pPr>
              <w:pStyle w:val="BoxListBullet"/>
            </w:pPr>
            <w:r>
              <w:t>some concern regarding the level of market concentration (p. 41)</w:t>
            </w:r>
          </w:p>
          <w:p w:rsidR="00F42C41" w:rsidRDefault="00F42C41" w:rsidP="00B875B5">
            <w:pPr>
              <w:pStyle w:val="BoxListBullet"/>
            </w:pPr>
            <w:r>
              <w:t xml:space="preserve">a lower level of contract (or hedge) market liquidity than </w:t>
            </w:r>
            <w:r w:rsidR="000D1458">
              <w:t xml:space="preserve">in </w:t>
            </w:r>
            <w:r>
              <w:t xml:space="preserve">other </w:t>
            </w:r>
            <w:proofErr w:type="spellStart"/>
            <w:r>
              <w:t>NEM</w:t>
            </w:r>
            <w:proofErr w:type="spellEnd"/>
            <w:r>
              <w:t xml:space="preserve"> regions (p. 43), and limited transparency with regard to prices and volumes of trade in the contract market due to vertical integration (p. 21)</w:t>
            </w:r>
          </w:p>
          <w:p w:rsidR="00F42C41" w:rsidRDefault="00F42C41" w:rsidP="00B875B5">
            <w:pPr>
              <w:pStyle w:val="BoxListBullet"/>
            </w:pPr>
            <w:r>
              <w:t>wholesale annual average spot prices above a range of long run marginal costs estimates in 2007-08, attributed to restricted interconnector flow. Prices fell just below the ‘high’ end of long run marginal cost estimates, before falling below the range in 2010-11 (p. 28)</w:t>
            </w:r>
            <w:r w:rsidR="000D1458">
              <w:t>.</w:t>
            </w:r>
          </w:p>
          <w:p w:rsidR="00F42C41" w:rsidRDefault="00F42C41" w:rsidP="004D7209">
            <w:pPr>
              <w:pStyle w:val="Box"/>
            </w:pPr>
            <w:r>
              <w:t xml:space="preserve">Overall, the </w:t>
            </w:r>
            <w:proofErr w:type="spellStart"/>
            <w:r>
              <w:t>AEMC</w:t>
            </w:r>
            <w:proofErr w:type="spellEnd"/>
            <w:r>
              <w:t xml:space="preserve"> concluded that there was insufficient evidence of </w:t>
            </w:r>
            <w:r w:rsidRPr="007C3823">
              <w:rPr>
                <w:i/>
              </w:rPr>
              <w:t>substantial</w:t>
            </w:r>
            <w:r>
              <w:t xml:space="preserve"> (as distinct from ‘transient’) market power in the </w:t>
            </w:r>
            <w:proofErr w:type="spellStart"/>
            <w:r>
              <w:t>NEM</w:t>
            </w:r>
            <w:proofErr w:type="spellEnd"/>
            <w:r>
              <w:t>, and (at the draft stage) did not agree with the proposed rule. They did note</w:t>
            </w:r>
            <w:r w:rsidR="000D1458">
              <w:t>,</w:t>
            </w:r>
            <w:r>
              <w:t xml:space="preserve"> however, that work undertaken on their behalf by the Competition Economists Group suggested that in South Australia ‘</w:t>
            </w:r>
            <w:r w:rsidRPr="00636B8B">
              <w:t>there was evidence that meant that ongoing monitoring prices against the long run efficient level may be warranted</w:t>
            </w:r>
            <w:r>
              <w:t>’ (</w:t>
            </w:r>
            <w:proofErr w:type="spellStart"/>
            <w:r>
              <w:t>AEMC</w:t>
            </w:r>
            <w:proofErr w:type="spellEnd"/>
            <w:r>
              <w:t xml:space="preserve"> 2012</w:t>
            </w:r>
            <w:r w:rsidR="004D7209">
              <w:t>m</w:t>
            </w:r>
            <w:r>
              <w:t>, pp. ii</w:t>
            </w:r>
            <w:r>
              <w:noBreakHyphen/>
              <w:t>iii)</w:t>
            </w:r>
            <w:r w:rsidRPr="00636B8B">
              <w:t xml:space="preserve">. </w:t>
            </w:r>
          </w:p>
        </w:tc>
      </w:tr>
      <w:tr w:rsidR="00F42C41">
        <w:trPr>
          <w:cantSplit/>
        </w:trPr>
        <w:tc>
          <w:tcPr>
            <w:tcW w:w="8771" w:type="dxa"/>
            <w:tcBorders>
              <w:top w:val="nil"/>
              <w:left w:val="single" w:sz="6" w:space="0" w:color="auto"/>
              <w:bottom w:val="nil"/>
              <w:right w:val="single" w:sz="6" w:space="0" w:color="auto"/>
            </w:tcBorders>
          </w:tcPr>
          <w:p w:rsidR="00F42C41" w:rsidRDefault="00F42C41" w:rsidP="004D7209">
            <w:pPr>
              <w:pStyle w:val="BoxSource"/>
            </w:pPr>
            <w:r>
              <w:rPr>
                <w:i/>
              </w:rPr>
              <w:t>Source</w:t>
            </w:r>
            <w:r w:rsidRPr="00167F06">
              <w:t xml:space="preserve">: </w:t>
            </w:r>
            <w:proofErr w:type="spellStart"/>
            <w:r w:rsidR="008D6027">
              <w:t>AEMC</w:t>
            </w:r>
            <w:proofErr w:type="spellEnd"/>
            <w:r w:rsidR="008D6027">
              <w:t xml:space="preserve"> (2012</w:t>
            </w:r>
            <w:r w:rsidR="004D7209">
              <w:t>m</w:t>
            </w:r>
            <w:r w:rsidR="008D6027">
              <w:t>)</w:t>
            </w:r>
            <w:r>
              <w:t>.</w:t>
            </w:r>
          </w:p>
        </w:tc>
      </w:tr>
      <w:tr w:rsidR="00F42C41">
        <w:trPr>
          <w:cantSplit/>
        </w:trPr>
        <w:tc>
          <w:tcPr>
            <w:tcW w:w="8771" w:type="dxa"/>
            <w:tcBorders>
              <w:top w:val="nil"/>
              <w:left w:val="single" w:sz="6" w:space="0" w:color="auto"/>
              <w:bottom w:val="single" w:sz="6" w:space="0" w:color="auto"/>
              <w:right w:val="single" w:sz="6" w:space="0" w:color="auto"/>
            </w:tcBorders>
          </w:tcPr>
          <w:p w:rsidR="00F42C41" w:rsidRDefault="00F42C41">
            <w:pPr>
              <w:pStyle w:val="Box"/>
              <w:spacing w:before="0" w:line="120" w:lineRule="exact"/>
            </w:pPr>
          </w:p>
        </w:tc>
      </w:tr>
      <w:tr w:rsidR="00F42C41" w:rsidRPr="000863A5">
        <w:tc>
          <w:tcPr>
            <w:tcW w:w="8771" w:type="dxa"/>
            <w:tcBorders>
              <w:top w:val="nil"/>
              <w:left w:val="nil"/>
              <w:bottom w:val="nil"/>
              <w:right w:val="nil"/>
            </w:tcBorders>
          </w:tcPr>
          <w:p w:rsidR="00F42C41" w:rsidRPr="000863A5" w:rsidRDefault="00F42C41" w:rsidP="00F42C41">
            <w:pPr>
              <w:pStyle w:val="Box"/>
              <w:keepNext w:val="0"/>
              <w:spacing w:before="60" w:after="60" w:line="80" w:lineRule="exact"/>
              <w:rPr>
                <w:b/>
                <w:sz w:val="14"/>
              </w:rPr>
            </w:pPr>
          </w:p>
        </w:tc>
      </w:tr>
    </w:tbl>
    <w:p w:rsidR="00B875B5" w:rsidRDefault="000D1458" w:rsidP="00B875B5">
      <w:pPr>
        <w:pStyle w:val="BodyText"/>
      </w:pPr>
      <w:r>
        <w:t xml:space="preserve">In its submission to this inquiry the </w:t>
      </w:r>
      <w:proofErr w:type="spellStart"/>
      <w:r w:rsidR="00B875B5">
        <w:t>EUAA</w:t>
      </w:r>
      <w:proofErr w:type="spellEnd"/>
      <w:r w:rsidR="00B875B5">
        <w:t xml:space="preserve"> </w:t>
      </w:r>
      <w:r>
        <w:t xml:space="preserve">(sub. 24) </w:t>
      </w:r>
      <w:r w:rsidR="00B875B5">
        <w:t xml:space="preserve">argued that a benefit of expanding interconnector capacity would be to promote competition between generators, eroding </w:t>
      </w:r>
      <w:r w:rsidR="005F18B1">
        <w:t>potential</w:t>
      </w:r>
      <w:r w:rsidR="00B875B5">
        <w:t xml:space="preserve"> positions of market power. </w:t>
      </w:r>
      <w:r>
        <w:t>Clearly</w:t>
      </w:r>
      <w:r w:rsidR="00B875B5">
        <w:t xml:space="preserve">, a base level of interconnector capacity is necessary to facilitate </w:t>
      </w:r>
      <w:r w:rsidR="00135D69">
        <w:t>inter</w:t>
      </w:r>
      <w:r w:rsidR="00AB33E2">
        <w:noBreakHyphen/>
      </w:r>
      <w:r w:rsidR="00135D69">
        <w:t>regional</w:t>
      </w:r>
      <w:r w:rsidR="00B875B5">
        <w:t xml:space="preserve"> competition. However, given that </w:t>
      </w:r>
      <w:r w:rsidR="000A69A4">
        <w:t xml:space="preserve">in </w:t>
      </w:r>
      <w:r w:rsidR="00135D69">
        <w:t xml:space="preserve">the particular </w:t>
      </w:r>
      <w:r w:rsidR="000A69A4">
        <w:t>circumstances</w:t>
      </w:r>
      <w:r w:rsidR="00135D69">
        <w:t xml:space="preserve"> of concern to the </w:t>
      </w:r>
      <w:proofErr w:type="spellStart"/>
      <w:r w:rsidR="00135D69">
        <w:t>EUAA</w:t>
      </w:r>
      <w:proofErr w:type="spellEnd"/>
      <w:r w:rsidR="00135D69">
        <w:t xml:space="preserve"> and others</w:t>
      </w:r>
      <w:r w:rsidR="00F22D90">
        <w:t xml:space="preserve"> there is currently</w:t>
      </w:r>
      <w:r w:rsidR="00135D69">
        <w:t xml:space="preserve"> </w:t>
      </w:r>
      <w:r w:rsidR="00B875B5">
        <w:t>spare interconnector capacity</w:t>
      </w:r>
      <w:r w:rsidR="00F22D90">
        <w:t>, it seems unlikely that</w:t>
      </w:r>
      <w:r w:rsidR="00B875B5">
        <w:t xml:space="preserve"> upgrading </w:t>
      </w:r>
      <w:r w:rsidR="00135D69">
        <w:t xml:space="preserve">those interconnectors </w:t>
      </w:r>
      <w:r w:rsidR="00F22D90">
        <w:t>would</w:t>
      </w:r>
      <w:r w:rsidR="00135D69">
        <w:t xml:space="preserve"> be </w:t>
      </w:r>
      <w:r w:rsidR="00AB33E2">
        <w:t>the sole</w:t>
      </w:r>
      <w:r w:rsidR="00135D69">
        <w:t xml:space="preserve"> solution</w:t>
      </w:r>
      <w:r w:rsidR="00AB33E2">
        <w:t xml:space="preserve"> (that is not to say that upgrading the interconnectors cannot be beneficial, as identified in the </w:t>
      </w:r>
      <w:proofErr w:type="spellStart"/>
      <w:r w:rsidR="00AB33E2">
        <w:t>RIT</w:t>
      </w:r>
      <w:proofErr w:type="spellEnd"/>
      <w:r w:rsidR="00AB33E2">
        <w:t>-T analyses discussed above)</w:t>
      </w:r>
      <w:r w:rsidR="00B875B5">
        <w:t xml:space="preserve">. </w:t>
      </w:r>
      <w:r w:rsidR="00F22D90">
        <w:t>A potentially more fruitful approach would involve</w:t>
      </w:r>
      <w:r w:rsidR="00B875B5">
        <w:t xml:space="preserve"> reforms </w:t>
      </w:r>
      <w:r w:rsidR="00F22D90">
        <w:t>to</w:t>
      </w:r>
      <w:r w:rsidR="00B875B5">
        <w:t xml:space="preserve"> market design to encourage more efficient bidding behaviour by market participants</w:t>
      </w:r>
      <w:r w:rsidR="000A69A4">
        <w:t xml:space="preserve"> (chapter 1</w:t>
      </w:r>
      <w:r w:rsidR="00142363">
        <w:t>8</w:t>
      </w:r>
      <w:r w:rsidR="000A69A4">
        <w:t>)</w:t>
      </w:r>
      <w:r w:rsidR="00B875B5">
        <w:t xml:space="preserve">. This would in turn facilitate more efficient interconnector utilisation, and allow for more accurate decisions about the necessity of any interconnector expansion. </w:t>
      </w:r>
    </w:p>
    <w:p w:rsidR="002E3716" w:rsidRPr="002E3716" w:rsidRDefault="002E3716" w:rsidP="002E3716">
      <w:pPr>
        <w:pStyle w:val="Heading3"/>
      </w:pPr>
      <w:r>
        <w:t>Conclusion</w:t>
      </w:r>
    </w:p>
    <w:p w:rsidR="00C6058E" w:rsidRDefault="00D52FE6" w:rsidP="00C6058E">
      <w:pPr>
        <w:pStyle w:val="BodyText"/>
      </w:pPr>
      <w:r>
        <w:t>I</w:t>
      </w:r>
      <w:r w:rsidR="00AA286B">
        <w:t>nvestment in interconnectors</w:t>
      </w:r>
      <w:r w:rsidR="000A69A4">
        <w:t xml:space="preserve"> to date appears to have</w:t>
      </w:r>
      <w:r w:rsidR="00AA286B">
        <w:t xml:space="preserve"> provided a </w:t>
      </w:r>
      <w:r w:rsidR="000A69A4">
        <w:t>reasonably appropriate</w:t>
      </w:r>
      <w:r w:rsidR="00AA286B">
        <w:t xml:space="preserve"> level of physical capacity to </w:t>
      </w:r>
      <w:r>
        <w:t>enable</w:t>
      </w:r>
      <w:r w:rsidR="00AA286B">
        <w:t xml:space="preserve"> </w:t>
      </w:r>
      <w:r>
        <w:t>trading in power between regions</w:t>
      </w:r>
      <w:r w:rsidR="003C6D2C">
        <w:t xml:space="preserve"> </w:t>
      </w:r>
      <w:r w:rsidR="003C6D2C">
        <w:lastRenderedPageBreak/>
        <w:t>(given current network, generation and demand profiles)</w:t>
      </w:r>
      <w:r w:rsidR="00AA286B">
        <w:t xml:space="preserve">. </w:t>
      </w:r>
      <w:r>
        <w:t xml:space="preserve">That conclusion can be reconciled with the existence of congestion </w:t>
      </w:r>
      <w:r w:rsidR="000A69A4">
        <w:t xml:space="preserve">at times </w:t>
      </w:r>
      <w:r>
        <w:t xml:space="preserve">because </w:t>
      </w:r>
      <w:r w:rsidR="000A69A4">
        <w:t>— as the cost</w:t>
      </w:r>
      <w:r w:rsidR="000A69A4">
        <w:noBreakHyphen/>
        <w:t xml:space="preserve">benefit analyses that have been done suggest — </w:t>
      </w:r>
      <w:r w:rsidR="000B5E26">
        <w:t xml:space="preserve">that in most cases </w:t>
      </w:r>
      <w:r>
        <w:t>there would be significant net costs from eliminating</w:t>
      </w:r>
      <w:r w:rsidR="000A69A4">
        <w:t xml:space="preserve"> this</w:t>
      </w:r>
      <w:r>
        <w:t xml:space="preserve"> congestion</w:t>
      </w:r>
      <w:r w:rsidR="00C14A5F">
        <w:t>.</w:t>
      </w:r>
      <w:r w:rsidR="00C6043C">
        <w:t xml:space="preserve"> And where net benefits</w:t>
      </w:r>
      <w:r w:rsidR="001F79E3">
        <w:t xml:space="preserve"> have been identified</w:t>
      </w:r>
      <w:r w:rsidR="00C6043C">
        <w:t xml:space="preserve">, such as in an expansion of the Heywood interconnector, the relevant stakeholders are acting to initiate further investment. </w:t>
      </w:r>
    </w:p>
    <w:p w:rsidR="00AA286B" w:rsidRDefault="007C31C9" w:rsidP="00AA286B">
      <w:pPr>
        <w:pStyle w:val="FindingTitle"/>
        <w:framePr w:wrap="auto"/>
      </w:pPr>
      <w:r>
        <w:t xml:space="preserve">draft </w:t>
      </w:r>
      <w:r w:rsidR="00AA286B">
        <w:t xml:space="preserve">Finding </w:t>
      </w:r>
      <w:r w:rsidR="0004360F">
        <w:t>17.</w:t>
      </w:r>
      <w:r w:rsidR="00E92B84">
        <w:rPr>
          <w:noProof/>
        </w:rPr>
        <w:t>1</w:t>
      </w:r>
    </w:p>
    <w:p w:rsidR="00AA286B" w:rsidRDefault="003C6D2C" w:rsidP="00AA286B">
      <w:pPr>
        <w:pStyle w:val="Finding"/>
      </w:pPr>
      <w:r>
        <w:t>The available evidence suggests that, given the existing network condition</w:t>
      </w:r>
      <w:r w:rsidR="00262C2D">
        <w:t>s</w:t>
      </w:r>
      <w:r>
        <w:t xml:space="preserve">, the current physical capacity of interconnectors is </w:t>
      </w:r>
      <w:r w:rsidR="00C6043C">
        <w:t>reasonably appropriate</w:t>
      </w:r>
      <w:r>
        <w:t xml:space="preserve">. </w:t>
      </w:r>
    </w:p>
    <w:p w:rsidR="003C6D2C" w:rsidRDefault="003C6D2C" w:rsidP="003C6D2C">
      <w:pPr>
        <w:pStyle w:val="BodyText"/>
      </w:pPr>
      <w:r>
        <w:t xml:space="preserve">However, </w:t>
      </w:r>
      <w:r w:rsidR="00C14A5F">
        <w:t xml:space="preserve">price separations </w:t>
      </w:r>
      <w:r w:rsidR="008E58ED">
        <w:t xml:space="preserve">can </w:t>
      </w:r>
      <w:r w:rsidR="00C14A5F">
        <w:t>pose a problem. S</w:t>
      </w:r>
      <w:r>
        <w:t xml:space="preserve">ubstantial price differences between regions </w:t>
      </w:r>
      <w:r w:rsidR="00C14A5F">
        <w:t xml:space="preserve">are </w:t>
      </w:r>
      <w:r>
        <w:t xml:space="preserve">infrequent, but separations as a whole </w:t>
      </w:r>
      <w:r w:rsidR="00C14A5F">
        <w:t xml:space="preserve">are </w:t>
      </w:r>
      <w:r>
        <w:t xml:space="preserve">increasing over time (and </w:t>
      </w:r>
      <w:r w:rsidR="008E58ED">
        <w:t xml:space="preserve">can </w:t>
      </w:r>
      <w:r w:rsidR="00C14A5F">
        <w:t xml:space="preserve">still have significant adverse </w:t>
      </w:r>
      <w:r w:rsidR="00230235">
        <w:t xml:space="preserve">effects </w:t>
      </w:r>
      <w:r w:rsidR="00C14A5F">
        <w:t>even if infrequent</w:t>
      </w:r>
      <w:r>
        <w:t xml:space="preserve">). </w:t>
      </w:r>
    </w:p>
    <w:p w:rsidR="003C6D2C" w:rsidRDefault="003C6D2C" w:rsidP="003C6D2C">
      <w:pPr>
        <w:pStyle w:val="BodyText"/>
      </w:pPr>
      <w:r>
        <w:t xml:space="preserve">Moreover, the physical capacity of interconnectors is not the sole determinant of the actual flows of power between regions in the </w:t>
      </w:r>
      <w:proofErr w:type="spellStart"/>
      <w:r>
        <w:t>NEM</w:t>
      </w:r>
      <w:proofErr w:type="spellEnd"/>
      <w:r w:rsidR="00FD1ED6">
        <w:t>.</w:t>
      </w:r>
      <w:r w:rsidR="00C14A5F">
        <w:t xml:space="preserve"> Accordingly, </w:t>
      </w:r>
      <w:r>
        <w:t xml:space="preserve">the apparent under-utilisation of some interconnectors is not necessarily an indication of current excess capacity. Market design (including rules governing bidding), and participant behaviour in response to the incentives created by the market rules, </w:t>
      </w:r>
      <w:r w:rsidR="00A85B0F">
        <w:t xml:space="preserve">can </w:t>
      </w:r>
      <w:r>
        <w:t xml:space="preserve">affect the use of interconnectors. </w:t>
      </w:r>
      <w:r w:rsidR="00C14A5F">
        <w:t>Current under</w:t>
      </w:r>
      <w:r>
        <w:t xml:space="preserve">utilisation </w:t>
      </w:r>
      <w:r w:rsidR="002432D1">
        <w:t>may</w:t>
      </w:r>
      <w:r>
        <w:t xml:space="preserve"> create a distorted base for future projections of interconnection needs. </w:t>
      </w:r>
    </w:p>
    <w:p w:rsidR="003C6D2C" w:rsidRPr="00142363" w:rsidRDefault="003C6D2C" w:rsidP="003C6D2C">
      <w:pPr>
        <w:pStyle w:val="BodyText"/>
      </w:pPr>
      <w:r w:rsidRPr="00142363">
        <w:t xml:space="preserve">Further, an assessment that the current level of interconnection is </w:t>
      </w:r>
      <w:r w:rsidR="002432D1" w:rsidRPr="00142363">
        <w:t xml:space="preserve">reasonably </w:t>
      </w:r>
      <w:r w:rsidRPr="00142363">
        <w:t xml:space="preserve">satisfactory does not necessarily mean that the </w:t>
      </w:r>
      <w:r w:rsidR="000F168A" w:rsidRPr="00142363">
        <w:t xml:space="preserve">existing </w:t>
      </w:r>
      <w:r w:rsidRPr="00142363">
        <w:t>regulatory framework will continue to deliver efficient interconnection into the future.</w:t>
      </w:r>
      <w:r w:rsidR="00026E31" w:rsidRPr="00142363">
        <w:t xml:space="preserve"> Making judgements of efficiency based on the application of the </w:t>
      </w:r>
      <w:proofErr w:type="spellStart"/>
      <w:r w:rsidR="00026E31" w:rsidRPr="00142363">
        <w:t>RIT</w:t>
      </w:r>
      <w:proofErr w:type="spellEnd"/>
      <w:r w:rsidR="00026E31" w:rsidRPr="00142363">
        <w:t xml:space="preserve">-T assumes that the test is an accurate and appropriate basis for making such decisions, an assumption that warrants examination. </w:t>
      </w:r>
    </w:p>
    <w:p w:rsidR="003C6D2C" w:rsidRDefault="003C6D2C" w:rsidP="003C6D2C">
      <w:pPr>
        <w:pStyle w:val="BodyText"/>
      </w:pPr>
      <w:r>
        <w:t>Therefore, in order to judge if the regulatory framework will continue to deliver efficient interconnection, the Commission considers that, beyond assessments of physical capacity, it is important to examine:</w:t>
      </w:r>
    </w:p>
    <w:p w:rsidR="003C6D2C" w:rsidRDefault="00026E31" w:rsidP="003C6D2C">
      <w:pPr>
        <w:pStyle w:val="ListBullet"/>
      </w:pPr>
      <w:r>
        <w:t>if the installed capacity is being used efficiently and if not, what could remedy this? (chapter 1</w:t>
      </w:r>
      <w:r w:rsidR="00473104">
        <w:t>7</w:t>
      </w:r>
      <w:r>
        <w:t>)</w:t>
      </w:r>
    </w:p>
    <w:p w:rsidR="00026E31" w:rsidRDefault="000F168A" w:rsidP="003C6D2C">
      <w:pPr>
        <w:pStyle w:val="ListBullet"/>
      </w:pPr>
      <w:r>
        <w:t xml:space="preserve">whether </w:t>
      </w:r>
      <w:r w:rsidR="00026E31">
        <w:t xml:space="preserve">the current regulatory settings for the planning and selection of future investment </w:t>
      </w:r>
      <w:r>
        <w:t>is appropriate</w:t>
      </w:r>
      <w:r w:rsidR="00897553">
        <w:t>?</w:t>
      </w:r>
      <w:r w:rsidR="00026E31">
        <w:t xml:space="preserve"> (chapter 1</w:t>
      </w:r>
      <w:r w:rsidR="00473104">
        <w:t>8</w:t>
      </w:r>
      <w:r w:rsidR="00026E31">
        <w:t>)</w:t>
      </w:r>
    </w:p>
    <w:p w:rsidR="00026E31" w:rsidRDefault="000F168A" w:rsidP="003C6D2C">
      <w:pPr>
        <w:pStyle w:val="ListBullet"/>
      </w:pPr>
      <w:r>
        <w:t xml:space="preserve">whether, </w:t>
      </w:r>
      <w:r w:rsidR="00026E31">
        <w:t xml:space="preserve">outside of the regulatory regime, there </w:t>
      </w:r>
      <w:r>
        <w:t xml:space="preserve">are </w:t>
      </w:r>
      <w:r w:rsidR="00026E31">
        <w:t>any barriers that prevent the future provision of privately initiated (or ‘merchant’) interconnection? (chapter</w:t>
      </w:r>
      <w:r w:rsidR="00BE5CA6">
        <w:t> </w:t>
      </w:r>
      <w:r w:rsidR="00473104">
        <w:t>19</w:t>
      </w:r>
      <w:r w:rsidR="00026E31">
        <w:t xml:space="preserve">) </w:t>
      </w:r>
    </w:p>
    <w:sectPr w:rsidR="00026E31" w:rsidSect="00C343FF">
      <w:headerReference w:type="even" r:id="rId14"/>
      <w:headerReference w:type="default" r:id="rId15"/>
      <w:footerReference w:type="even" r:id="rId16"/>
      <w:footerReference w:type="default" r:id="rId17"/>
      <w:pgSz w:w="11907" w:h="16840" w:code="9"/>
      <w:pgMar w:top="1985" w:right="1304" w:bottom="1418" w:left="1814" w:header="1701" w:footer="567" w:gutter="0"/>
      <w:pgNumType w:start="57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3CA" w:rsidRDefault="000833CA">
      <w:r>
        <w:separator/>
      </w:r>
    </w:p>
  </w:endnote>
  <w:endnote w:type="continuationSeparator" w:id="0">
    <w:p w:rsidR="000833CA" w:rsidRDefault="0008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Antiqua,Italic">
    <w:panose1 w:val="00000000000000000000"/>
    <w:charset w:val="00"/>
    <w:family w:val="roman"/>
    <w:notTrueType/>
    <w:pitch w:val="default"/>
    <w:sig w:usb0="00000003" w:usb1="00000000" w:usb2="00000000" w:usb3="00000000" w:csb0="00000001" w:csb1="00000000"/>
  </w:font>
  <w:font w:name="ZeroTwos">
    <w:panose1 w:val="00000000000000000000"/>
    <w:charset w:val="00"/>
    <w:family w:val="auto"/>
    <w:notTrueType/>
    <w:pitch w:val="default"/>
    <w:sig w:usb0="00000003" w:usb1="00000000" w:usb2="00000000" w:usb3="00000000" w:csb0="00000001" w:csb1="00000000"/>
  </w:font>
  <w:font w:name="ACasl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833CA">
      <w:trPr>
        <w:trHeight w:hRule="exact" w:val="740"/>
      </w:trPr>
      <w:tc>
        <w:tcPr>
          <w:tcW w:w="510" w:type="dxa"/>
          <w:tcBorders>
            <w:top w:val="single" w:sz="6" w:space="0" w:color="auto"/>
          </w:tcBorders>
        </w:tcPr>
        <w:p w:rsidR="000833CA" w:rsidRDefault="000833C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52517">
            <w:rPr>
              <w:rStyle w:val="PageNumber"/>
              <w:noProof/>
            </w:rPr>
            <w:t>598</w:t>
          </w:r>
          <w:r>
            <w:rPr>
              <w:rStyle w:val="PageNumber"/>
            </w:rPr>
            <w:fldChar w:fldCharType="end"/>
          </w:r>
        </w:p>
      </w:tc>
      <w:tc>
        <w:tcPr>
          <w:tcW w:w="1644" w:type="dxa"/>
          <w:tcBorders>
            <w:top w:val="single" w:sz="6" w:space="0" w:color="auto"/>
          </w:tcBorders>
        </w:tcPr>
        <w:p w:rsidR="000833CA" w:rsidRDefault="00952517" w:rsidP="0019293B">
          <w:pPr>
            <w:pStyle w:val="Footer"/>
          </w:pPr>
          <w:r>
            <w:fldChar w:fldCharType="begin"/>
          </w:r>
          <w:r>
            <w:instrText xml:space="preserve"> SUBJECT  \* MERGEFORMAT </w:instrText>
          </w:r>
          <w:r>
            <w:fldChar w:fldCharType="separate"/>
          </w:r>
          <w:r w:rsidR="00E92B84">
            <w:t>Electricity network regulation</w:t>
          </w:r>
          <w:r>
            <w:fldChar w:fldCharType="end"/>
          </w:r>
        </w:p>
      </w:tc>
      <w:tc>
        <w:tcPr>
          <w:tcW w:w="6634" w:type="dxa"/>
        </w:tcPr>
        <w:p w:rsidR="000833CA" w:rsidRDefault="000833CA" w:rsidP="0019293B">
          <w:pPr>
            <w:pStyle w:val="Footer"/>
          </w:pPr>
        </w:p>
      </w:tc>
    </w:tr>
  </w:tbl>
  <w:p w:rsidR="000833CA" w:rsidRDefault="000833C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833CA">
      <w:trPr>
        <w:trHeight w:hRule="exact" w:val="740"/>
      </w:trPr>
      <w:tc>
        <w:tcPr>
          <w:tcW w:w="6634" w:type="dxa"/>
        </w:tcPr>
        <w:p w:rsidR="000833CA" w:rsidRDefault="000833CA">
          <w:pPr>
            <w:pStyle w:val="Footer"/>
            <w:ind w:right="360" w:firstLine="360"/>
          </w:pPr>
        </w:p>
      </w:tc>
      <w:tc>
        <w:tcPr>
          <w:tcW w:w="1644" w:type="dxa"/>
          <w:tcBorders>
            <w:top w:val="single" w:sz="6" w:space="0" w:color="auto"/>
          </w:tcBorders>
        </w:tcPr>
        <w:p w:rsidR="000833CA" w:rsidRDefault="00952517">
          <w:pPr>
            <w:pStyle w:val="Footer"/>
          </w:pPr>
          <w:r>
            <w:fldChar w:fldCharType="begin"/>
          </w:r>
          <w:r>
            <w:instrText xml:space="preserve"> TITLE  \* MERGEFORMAT </w:instrText>
          </w:r>
          <w:r>
            <w:fldChar w:fldCharType="separate"/>
          </w:r>
          <w:r w:rsidR="00E92B84">
            <w:t>The role of interconnectors</w:t>
          </w:r>
          <w:r>
            <w:fldChar w:fldCharType="end"/>
          </w:r>
        </w:p>
      </w:tc>
      <w:tc>
        <w:tcPr>
          <w:tcW w:w="510" w:type="dxa"/>
          <w:tcBorders>
            <w:top w:val="single" w:sz="6" w:space="0" w:color="auto"/>
          </w:tcBorders>
        </w:tcPr>
        <w:p w:rsidR="000833CA" w:rsidRDefault="000833CA">
          <w:pPr>
            <w:pStyle w:val="Footer"/>
            <w:jc w:val="right"/>
          </w:pPr>
          <w:r>
            <w:rPr>
              <w:rStyle w:val="PageNumber"/>
            </w:rPr>
            <w:fldChar w:fldCharType="begin"/>
          </w:r>
          <w:r>
            <w:rPr>
              <w:rStyle w:val="PageNumber"/>
            </w:rPr>
            <w:instrText xml:space="preserve">PAGE  </w:instrText>
          </w:r>
          <w:r>
            <w:rPr>
              <w:rStyle w:val="PageNumber"/>
            </w:rPr>
            <w:fldChar w:fldCharType="separate"/>
          </w:r>
          <w:r w:rsidR="00952517">
            <w:rPr>
              <w:rStyle w:val="PageNumber"/>
              <w:noProof/>
            </w:rPr>
            <w:t>597</w:t>
          </w:r>
          <w:r>
            <w:rPr>
              <w:rStyle w:val="PageNumber"/>
            </w:rPr>
            <w:fldChar w:fldCharType="end"/>
          </w:r>
        </w:p>
      </w:tc>
    </w:tr>
  </w:tbl>
  <w:p w:rsidR="000833CA" w:rsidRDefault="000833C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3CA" w:rsidRDefault="000833CA">
      <w:r>
        <w:separator/>
      </w:r>
    </w:p>
  </w:footnote>
  <w:footnote w:type="continuationSeparator" w:id="0">
    <w:p w:rsidR="000833CA" w:rsidRDefault="000833CA">
      <w:r>
        <w:continuationSeparator/>
      </w:r>
    </w:p>
  </w:footnote>
  <w:footnote w:id="1">
    <w:p w:rsidR="000833CA" w:rsidRPr="00E92B84" w:rsidRDefault="000833CA" w:rsidP="00C831B4">
      <w:pPr>
        <w:pStyle w:val="FootnoteText"/>
      </w:pPr>
      <w:r>
        <w:rPr>
          <w:rStyle w:val="FootnoteReference"/>
        </w:rPr>
        <w:footnoteRef/>
      </w:r>
      <w:r>
        <w:t xml:space="preserve"> </w:t>
      </w:r>
      <w:r>
        <w:tab/>
      </w:r>
      <w:r w:rsidRPr="00E92B84">
        <w:t>Which states that ‘if parallel paths exist in an AC electricity network, the total flow between A and B will be distributed among the parallel paths from A to B in inverse proportion to the</w:t>
      </w:r>
      <w:r w:rsidRPr="00E92B84">
        <w:rPr>
          <w:rFonts w:ascii="Calibri" w:hAnsi="Calibri"/>
          <w:szCs w:val="22"/>
          <w:lang w:eastAsia="en-US"/>
        </w:rPr>
        <w:t xml:space="preserve"> </w:t>
      </w:r>
      <w:r w:rsidRPr="00E92B84">
        <w:t xml:space="preserve">resistance along those paths’ (Pollitt 2011, p. 9). In effect, if there are multiple paths for electricity to travel along between two points, then the electricity will take all the paths (in differing shares), rather than any single path. This increases the likelihood that congestion on any one line will affect other lines in the network. </w:t>
      </w:r>
    </w:p>
  </w:footnote>
  <w:footnote w:id="2">
    <w:p w:rsidR="000833CA" w:rsidRPr="003A1CE9" w:rsidRDefault="000833CA">
      <w:pPr>
        <w:pStyle w:val="FootnoteText"/>
        <w:rPr>
          <w:color w:val="000000" w:themeColor="text1"/>
        </w:rPr>
      </w:pPr>
      <w:r w:rsidRPr="00E92B84">
        <w:rPr>
          <w:rStyle w:val="FootnoteReference"/>
        </w:rPr>
        <w:footnoteRef/>
      </w:r>
      <w:r w:rsidRPr="00E92B84">
        <w:t xml:space="preserve"> </w:t>
      </w:r>
      <w:r w:rsidRPr="00E92B84">
        <w:tab/>
      </w:r>
      <w:r w:rsidRPr="00E92B84">
        <w:rPr>
          <w:i/>
          <w:color w:val="000000" w:themeColor="text1"/>
        </w:rPr>
        <w:t>Radial</w:t>
      </w:r>
      <w:r w:rsidRPr="00E92B84">
        <w:rPr>
          <w:color w:val="000000" w:themeColor="text1"/>
        </w:rPr>
        <w:t xml:space="preserve"> networks are characterised by power travelling in one direction from supply to load along a large ‘trunk’ line, with lower voltage lines branching out from the central line. </w:t>
      </w:r>
      <w:r w:rsidRPr="00E92B84">
        <w:rPr>
          <w:i/>
          <w:color w:val="000000" w:themeColor="text1"/>
        </w:rPr>
        <w:t>Meshed</w:t>
      </w:r>
      <w:r w:rsidRPr="00E92B84">
        <w:rPr>
          <w:color w:val="000000" w:themeColor="text1"/>
        </w:rPr>
        <w:t xml:space="preserve"> networks contain additional lines, creating a ‘web’ of several different routes, so that power can travel between any two points, forming some loops within the system (von Meier 2006, p. 150).</w:t>
      </w:r>
      <w:r w:rsidRPr="003A1CE9">
        <w:rPr>
          <w:color w:val="000000" w:themeColor="text1"/>
        </w:rPr>
        <w:t xml:space="preserve"> </w:t>
      </w:r>
    </w:p>
  </w:footnote>
  <w:footnote w:id="3">
    <w:p w:rsidR="000833CA" w:rsidRDefault="000833CA" w:rsidP="00596B56">
      <w:pPr>
        <w:pStyle w:val="FootnoteText"/>
      </w:pPr>
      <w:r>
        <w:rPr>
          <w:rStyle w:val="FootnoteReference"/>
        </w:rPr>
        <w:footnoteRef/>
      </w:r>
      <w:r>
        <w:t xml:space="preserve"> </w:t>
      </w:r>
      <w:r>
        <w:tab/>
        <w:t>That is, the amount of power that can be transferred on interconnector infrastructure before that interconnector is constrained.</w:t>
      </w:r>
    </w:p>
  </w:footnote>
  <w:footnote w:id="4">
    <w:p w:rsidR="000833CA" w:rsidRDefault="000833CA" w:rsidP="00C831B4">
      <w:pPr>
        <w:pStyle w:val="FootnoteText"/>
      </w:pPr>
      <w:r>
        <w:rPr>
          <w:rStyle w:val="FootnoteReference"/>
        </w:rPr>
        <w:footnoteRef/>
      </w:r>
      <w:r>
        <w:t xml:space="preserve"> </w:t>
      </w:r>
      <w:r>
        <w:tab/>
        <w:t xml:space="preserve">The capacity of DC interconnectors (such as </w:t>
      </w:r>
      <w:proofErr w:type="spellStart"/>
      <w:r>
        <w:t>Basslink</w:t>
      </w:r>
      <w:proofErr w:type="spellEnd"/>
      <w:r>
        <w:t xml:space="preserve">) in an AC system can be more easily determined, as power must be converted from, and back to, AC in order to travel along the DC link. As the amount of power that needs to be converted is known, and controlled, it is simpler to determine the amount that flows along the DC component of the line. </w:t>
      </w:r>
    </w:p>
  </w:footnote>
  <w:footnote w:id="5">
    <w:p w:rsidR="008E2F49" w:rsidRDefault="008E2F49">
      <w:pPr>
        <w:pStyle w:val="FootnoteText"/>
      </w:pPr>
      <w:r>
        <w:rPr>
          <w:rStyle w:val="FootnoteReference"/>
        </w:rPr>
        <w:footnoteRef/>
      </w:r>
      <w:r>
        <w:t xml:space="preserve"> </w:t>
      </w:r>
      <w:r>
        <w:tab/>
        <w:t>Settlement residue auctions are described in chapter 18.</w:t>
      </w:r>
    </w:p>
  </w:footnote>
  <w:footnote w:id="6">
    <w:p w:rsidR="000833CA" w:rsidRDefault="000833CA">
      <w:pPr>
        <w:pStyle w:val="FootnoteText"/>
      </w:pPr>
      <w:r>
        <w:rPr>
          <w:rStyle w:val="FootnoteReference"/>
        </w:rPr>
        <w:footnoteRef/>
      </w:r>
      <w:r>
        <w:t xml:space="preserve"> </w:t>
      </w:r>
      <w:r>
        <w:tab/>
        <w:t>‘Cheaper’ in this instance refers to savings in fuel and other variable operating costs. Greater interconnection can also allow for more flexibility of choice in regard to generators, potentially avoiding or reducing ‘start up’ costs incurred from bringing additional peak generators online.</w:t>
      </w:r>
    </w:p>
  </w:footnote>
  <w:footnote w:id="7">
    <w:p w:rsidR="000833CA" w:rsidRDefault="000833CA">
      <w:pPr>
        <w:pStyle w:val="FootnoteText"/>
      </w:pPr>
      <w:r>
        <w:rPr>
          <w:rStyle w:val="FootnoteReference"/>
        </w:rPr>
        <w:footnoteRef/>
      </w:r>
      <w:r>
        <w:t xml:space="preserve"> </w:t>
      </w:r>
      <w:r>
        <w:tab/>
      </w:r>
      <w:proofErr w:type="spellStart"/>
      <w:r>
        <w:t>Electranet</w:t>
      </w:r>
      <w:proofErr w:type="spellEnd"/>
      <w:r>
        <w:t xml:space="preserve"> and </w:t>
      </w:r>
      <w:proofErr w:type="spellStart"/>
      <w:r>
        <w:t>AEMO</w:t>
      </w:r>
      <w:proofErr w:type="spellEnd"/>
      <w:r>
        <w:t xml:space="preserve"> published a Project Specification Consultation Report (</w:t>
      </w:r>
      <w:proofErr w:type="spellStart"/>
      <w:r>
        <w:t>PSCR</w:t>
      </w:r>
      <w:proofErr w:type="spellEnd"/>
      <w:r>
        <w:t>) examining potential upgrades to the Heywood interconnector in October 2011, and a Project Assessment Draft Report in September 2012</w:t>
      </w:r>
      <w:r>
        <w:rPr>
          <w:b/>
        </w:rPr>
        <w:t xml:space="preserve">. </w:t>
      </w:r>
      <w:proofErr w:type="spellStart"/>
      <w:r>
        <w:t>Powerlink</w:t>
      </w:r>
      <w:proofErr w:type="spellEnd"/>
      <w:r>
        <w:t xml:space="preserve"> and </w:t>
      </w:r>
      <w:proofErr w:type="spellStart"/>
      <w:r>
        <w:t>Transgrid</w:t>
      </w:r>
      <w:proofErr w:type="spellEnd"/>
      <w:r>
        <w:t xml:space="preserve"> published a </w:t>
      </w:r>
      <w:proofErr w:type="spellStart"/>
      <w:r>
        <w:t>PSCR</w:t>
      </w:r>
      <w:proofErr w:type="spellEnd"/>
      <w:r>
        <w:t xml:space="preserve"> examining </w:t>
      </w:r>
      <w:proofErr w:type="spellStart"/>
      <w:r>
        <w:t>QNI</w:t>
      </w:r>
      <w:proofErr w:type="spellEnd"/>
      <w:r>
        <w:t xml:space="preserve"> (the Queensland –New South Wales Interconnector) in June 2012, and the </w:t>
      </w:r>
      <w:proofErr w:type="spellStart"/>
      <w:r>
        <w:t>AER</w:t>
      </w:r>
      <w:proofErr w:type="spellEnd"/>
      <w:r>
        <w:t xml:space="preserve"> (sub. 13, p. 25) advised that </w:t>
      </w:r>
      <w:proofErr w:type="spellStart"/>
      <w:r>
        <w:t>AEMO</w:t>
      </w:r>
      <w:proofErr w:type="spellEnd"/>
      <w:r>
        <w:t xml:space="preserve"> and </w:t>
      </w:r>
      <w:proofErr w:type="spellStart"/>
      <w:r>
        <w:t>Transgrid</w:t>
      </w:r>
      <w:proofErr w:type="spellEnd"/>
      <w:r>
        <w:t xml:space="preserve"> have ‘indicated they intend to investigate the benefits of upgrading the Victoria to New South Wales interconnector. The analysis for this investigation is not yet public’.</w:t>
      </w:r>
    </w:p>
  </w:footnote>
  <w:footnote w:id="8">
    <w:p w:rsidR="000833CA" w:rsidRDefault="000833CA">
      <w:pPr>
        <w:pStyle w:val="FootnoteText"/>
      </w:pPr>
      <w:r>
        <w:rPr>
          <w:rStyle w:val="FootnoteReference"/>
        </w:rPr>
        <w:footnoteRef/>
      </w:r>
      <w:r>
        <w:t xml:space="preserve"> The study also noted that the timing for the high capacity option could be brought forward in the presence of additional incentives for renewable power (</w:t>
      </w:r>
      <w:proofErr w:type="spellStart"/>
      <w:r>
        <w:t>AEMO</w:t>
      </w:r>
      <w:proofErr w:type="spellEnd"/>
      <w:r>
        <w:t xml:space="preserve"> and </w:t>
      </w:r>
      <w:proofErr w:type="spellStart"/>
      <w:r>
        <w:t>Electranet</w:t>
      </w:r>
      <w:proofErr w:type="spellEnd"/>
      <w:r>
        <w:t xml:space="preserve"> 2011b, p. 11).</w:t>
      </w:r>
    </w:p>
  </w:footnote>
  <w:footnote w:id="9">
    <w:p w:rsidR="000833CA" w:rsidRDefault="000833CA" w:rsidP="00392E5A">
      <w:pPr>
        <w:pStyle w:val="FootnoteText"/>
      </w:pPr>
      <w:r>
        <w:rPr>
          <w:rStyle w:val="FootnoteReference"/>
        </w:rPr>
        <w:footnoteRef/>
      </w:r>
      <w:r>
        <w:t xml:space="preserve"> </w:t>
      </w:r>
      <w:r>
        <w:tab/>
        <w:t xml:space="preserve">The </w:t>
      </w:r>
      <w:proofErr w:type="spellStart"/>
      <w:r>
        <w:t>AER</w:t>
      </w:r>
      <w:proofErr w:type="spellEnd"/>
      <w:r>
        <w:t xml:space="preserve"> published four annual reports on congestion from 2003-04 to 2006-07. The reports were an input into the development of a new parameter in the service target performance incentive scheme for transmission companies. The parameter was first applied in 2009 (</w:t>
      </w:r>
      <w:proofErr w:type="spellStart"/>
      <w:r>
        <w:t>AER</w:t>
      </w:r>
      <w:proofErr w:type="spellEnd"/>
      <w:r>
        <w:t xml:space="preserve"> 2009, p. 143).</w:t>
      </w:r>
    </w:p>
  </w:footnote>
  <w:footnote w:id="10">
    <w:p w:rsidR="000833CA" w:rsidRDefault="000833CA">
      <w:pPr>
        <w:pStyle w:val="FootnoteText"/>
      </w:pPr>
      <w:r>
        <w:rPr>
          <w:rStyle w:val="FootnoteReference"/>
        </w:rPr>
        <w:footnoteRef/>
      </w:r>
      <w:r>
        <w:t xml:space="preserve"> The </w:t>
      </w:r>
      <w:proofErr w:type="spellStart"/>
      <w:r>
        <w:t>AEMC</w:t>
      </w:r>
      <w:proofErr w:type="spellEnd"/>
      <w:r>
        <w:t xml:space="preserve"> note that, in the presence of congestion, the (implied) local price of a generator and the regional price can diverge. They term this phenomenon ‘</w:t>
      </w:r>
      <w:proofErr w:type="spellStart"/>
      <w:r>
        <w:t>mis</w:t>
      </w:r>
      <w:proofErr w:type="spellEnd"/>
      <w:r>
        <w:t>-pricing’, which creates dispatch risk and leads to disorderly bidding (</w:t>
      </w:r>
      <w:proofErr w:type="spellStart"/>
      <w:r>
        <w:t>AEMC</w:t>
      </w:r>
      <w:proofErr w:type="spellEnd"/>
      <w:r>
        <w:t xml:space="preserve"> 2008</w:t>
      </w:r>
      <w:r w:rsidR="00EA7CD5">
        <w:t>b</w:t>
      </w:r>
      <w:r>
        <w:t>, p. 8).</w:t>
      </w:r>
    </w:p>
  </w:footnote>
  <w:footnote w:id="11">
    <w:p w:rsidR="000833CA" w:rsidRDefault="000833CA">
      <w:pPr>
        <w:pStyle w:val="FootnoteText"/>
      </w:pPr>
      <w:r>
        <w:rPr>
          <w:rStyle w:val="FootnoteReference"/>
        </w:rPr>
        <w:footnoteRef/>
      </w:r>
      <w:r>
        <w:t xml:space="preserve"> For example, while a separation of up to $12 500 for flows into New South Wales on the Victoria–New South Wales interconnector appears to be roughly 150 times less frequent than those under $50, if the difference in price on those occasions is, say $12 450 as against $49 (250 times larger), then the economic impact would be considerably higher. </w:t>
      </w:r>
      <w:r w:rsidRPr="004F2602">
        <w:t>It may also be</w:t>
      </w:r>
      <w:r w:rsidR="0004250E">
        <w:t xml:space="preserve"> the case</w:t>
      </w:r>
      <w:r w:rsidRPr="004F2602">
        <w:t xml:space="preserve"> that larger price differences tend to occur more </w:t>
      </w:r>
      <w:r>
        <w:t xml:space="preserve">often </w:t>
      </w:r>
      <w:r w:rsidRPr="004F2602">
        <w:t>at peak times, increasing the quantity of power involved and thus exacerbating the impact of a given price difference.</w:t>
      </w:r>
      <w:r>
        <w:t xml:space="preserve"> </w:t>
      </w:r>
    </w:p>
  </w:footnote>
  <w:footnote w:id="12">
    <w:p w:rsidR="000833CA" w:rsidRPr="00B875B5" w:rsidRDefault="000833CA">
      <w:pPr>
        <w:pStyle w:val="FootnoteText"/>
      </w:pPr>
      <w:r>
        <w:rPr>
          <w:rStyle w:val="FootnoteReference"/>
        </w:rPr>
        <w:footnoteRef/>
      </w:r>
      <w:r>
        <w:t xml:space="preserve"> Importantly, this discussion considers only the </w:t>
      </w:r>
      <w:r>
        <w:rPr>
          <w:i/>
        </w:rPr>
        <w:t>exercise</w:t>
      </w:r>
      <w:r>
        <w:t xml:space="preserve"> of market power, not its </w:t>
      </w:r>
      <w:r>
        <w:rPr>
          <w:i/>
        </w:rPr>
        <w:t>misuse</w:t>
      </w:r>
      <w:r>
        <w:t xml:space="preserve">. As such, the discussion here (and in the sources referred to) is not concerned with proving an offence under the </w:t>
      </w:r>
      <w:r>
        <w:rPr>
          <w:i/>
        </w:rPr>
        <w:t>Competition and Consumer Act 2010</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833CA">
      <w:tc>
        <w:tcPr>
          <w:tcW w:w="2155" w:type="dxa"/>
          <w:tcBorders>
            <w:top w:val="single" w:sz="24" w:space="0" w:color="auto"/>
          </w:tcBorders>
        </w:tcPr>
        <w:p w:rsidR="000833CA" w:rsidRDefault="000833CA" w:rsidP="0019293B">
          <w:pPr>
            <w:pStyle w:val="HeaderEven"/>
          </w:pPr>
        </w:p>
      </w:tc>
      <w:tc>
        <w:tcPr>
          <w:tcW w:w="6634" w:type="dxa"/>
          <w:tcBorders>
            <w:top w:val="single" w:sz="6" w:space="0" w:color="auto"/>
          </w:tcBorders>
        </w:tcPr>
        <w:p w:rsidR="000833CA" w:rsidRDefault="000833CA" w:rsidP="0019293B">
          <w:pPr>
            <w:pStyle w:val="HeaderEven"/>
          </w:pPr>
        </w:p>
      </w:tc>
    </w:tr>
  </w:tbl>
  <w:p w:rsidR="000833CA" w:rsidRDefault="000833C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833CA">
      <w:tc>
        <w:tcPr>
          <w:tcW w:w="6634" w:type="dxa"/>
          <w:tcBorders>
            <w:top w:val="single" w:sz="6" w:space="0" w:color="auto"/>
          </w:tcBorders>
        </w:tcPr>
        <w:p w:rsidR="000833CA" w:rsidRDefault="000833CA" w:rsidP="00E669E2">
          <w:pPr>
            <w:pStyle w:val="HeaderOdd"/>
          </w:pPr>
        </w:p>
      </w:tc>
      <w:tc>
        <w:tcPr>
          <w:tcW w:w="2155" w:type="dxa"/>
          <w:tcBorders>
            <w:top w:val="single" w:sz="24" w:space="0" w:color="auto"/>
          </w:tcBorders>
        </w:tcPr>
        <w:p w:rsidR="000833CA" w:rsidRDefault="000833CA" w:rsidP="00E669E2">
          <w:pPr>
            <w:pStyle w:val="HeaderOdd"/>
          </w:pPr>
        </w:p>
      </w:tc>
    </w:tr>
  </w:tbl>
  <w:p w:rsidR="000833CA" w:rsidRDefault="000833C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The role of interconnectors"/>
    <w:docVar w:name="ShortReportTitle" w:val="Electricity network regulation"/>
  </w:docVars>
  <w:rsids>
    <w:rsidRoot w:val="007F2066"/>
    <w:rsid w:val="000017B2"/>
    <w:rsid w:val="00005554"/>
    <w:rsid w:val="000064A2"/>
    <w:rsid w:val="000108C7"/>
    <w:rsid w:val="00020A28"/>
    <w:rsid w:val="00021E45"/>
    <w:rsid w:val="000220FB"/>
    <w:rsid w:val="000243D1"/>
    <w:rsid w:val="000245AA"/>
    <w:rsid w:val="000263CB"/>
    <w:rsid w:val="00026E31"/>
    <w:rsid w:val="0003664B"/>
    <w:rsid w:val="000368FE"/>
    <w:rsid w:val="0004111F"/>
    <w:rsid w:val="0004250E"/>
    <w:rsid w:val="0004360F"/>
    <w:rsid w:val="00044DB6"/>
    <w:rsid w:val="000554A1"/>
    <w:rsid w:val="000565B3"/>
    <w:rsid w:val="00062299"/>
    <w:rsid w:val="00067479"/>
    <w:rsid w:val="0007150B"/>
    <w:rsid w:val="00077FBB"/>
    <w:rsid w:val="000833CA"/>
    <w:rsid w:val="00084A76"/>
    <w:rsid w:val="000938F5"/>
    <w:rsid w:val="000A0215"/>
    <w:rsid w:val="000A1D86"/>
    <w:rsid w:val="000A23A3"/>
    <w:rsid w:val="000A53A4"/>
    <w:rsid w:val="000A69A4"/>
    <w:rsid w:val="000B0B52"/>
    <w:rsid w:val="000B1228"/>
    <w:rsid w:val="000B442B"/>
    <w:rsid w:val="000B4E5B"/>
    <w:rsid w:val="000B5E26"/>
    <w:rsid w:val="000B601B"/>
    <w:rsid w:val="000C207E"/>
    <w:rsid w:val="000C3E97"/>
    <w:rsid w:val="000C7593"/>
    <w:rsid w:val="000D1458"/>
    <w:rsid w:val="000D6687"/>
    <w:rsid w:val="000E09A8"/>
    <w:rsid w:val="000E2175"/>
    <w:rsid w:val="000F168A"/>
    <w:rsid w:val="000F1C8E"/>
    <w:rsid w:val="000F3B7A"/>
    <w:rsid w:val="000F40B8"/>
    <w:rsid w:val="000F420B"/>
    <w:rsid w:val="000F6F1C"/>
    <w:rsid w:val="000F739F"/>
    <w:rsid w:val="00100F18"/>
    <w:rsid w:val="00104F23"/>
    <w:rsid w:val="00105081"/>
    <w:rsid w:val="001052B6"/>
    <w:rsid w:val="00110116"/>
    <w:rsid w:val="001117ED"/>
    <w:rsid w:val="00120072"/>
    <w:rsid w:val="00120359"/>
    <w:rsid w:val="001264F9"/>
    <w:rsid w:val="00126EB8"/>
    <w:rsid w:val="001274D4"/>
    <w:rsid w:val="00133110"/>
    <w:rsid w:val="00135D69"/>
    <w:rsid w:val="001363AA"/>
    <w:rsid w:val="00142363"/>
    <w:rsid w:val="00144571"/>
    <w:rsid w:val="00153697"/>
    <w:rsid w:val="00154C65"/>
    <w:rsid w:val="00157E32"/>
    <w:rsid w:val="00165613"/>
    <w:rsid w:val="00175021"/>
    <w:rsid w:val="00175C37"/>
    <w:rsid w:val="00176D7D"/>
    <w:rsid w:val="00176DC3"/>
    <w:rsid w:val="001827D1"/>
    <w:rsid w:val="00183E82"/>
    <w:rsid w:val="001878BB"/>
    <w:rsid w:val="00190E92"/>
    <w:rsid w:val="00191AE0"/>
    <w:rsid w:val="0019293B"/>
    <w:rsid w:val="001A21E4"/>
    <w:rsid w:val="001A40AE"/>
    <w:rsid w:val="001A655D"/>
    <w:rsid w:val="001A68B1"/>
    <w:rsid w:val="001A71B6"/>
    <w:rsid w:val="001B0FBB"/>
    <w:rsid w:val="001B6C15"/>
    <w:rsid w:val="001C0865"/>
    <w:rsid w:val="001C3ABA"/>
    <w:rsid w:val="001C3AF8"/>
    <w:rsid w:val="001D0962"/>
    <w:rsid w:val="001D63B7"/>
    <w:rsid w:val="001E0120"/>
    <w:rsid w:val="001E2348"/>
    <w:rsid w:val="001E50A8"/>
    <w:rsid w:val="001E6C35"/>
    <w:rsid w:val="001E7BE8"/>
    <w:rsid w:val="001F0248"/>
    <w:rsid w:val="001F3789"/>
    <w:rsid w:val="001F3EB3"/>
    <w:rsid w:val="001F7003"/>
    <w:rsid w:val="001F79E3"/>
    <w:rsid w:val="00202C2C"/>
    <w:rsid w:val="002044DC"/>
    <w:rsid w:val="00214279"/>
    <w:rsid w:val="002207FA"/>
    <w:rsid w:val="0022307E"/>
    <w:rsid w:val="0022390E"/>
    <w:rsid w:val="00230235"/>
    <w:rsid w:val="00232538"/>
    <w:rsid w:val="00234911"/>
    <w:rsid w:val="00236E68"/>
    <w:rsid w:val="00242279"/>
    <w:rsid w:val="002432D1"/>
    <w:rsid w:val="00244F0C"/>
    <w:rsid w:val="00245C82"/>
    <w:rsid w:val="00246354"/>
    <w:rsid w:val="00247C0B"/>
    <w:rsid w:val="00257F17"/>
    <w:rsid w:val="002617EE"/>
    <w:rsid w:val="00262C2D"/>
    <w:rsid w:val="0026630F"/>
    <w:rsid w:val="00266823"/>
    <w:rsid w:val="0027007A"/>
    <w:rsid w:val="002755B5"/>
    <w:rsid w:val="00280549"/>
    <w:rsid w:val="00282726"/>
    <w:rsid w:val="00291B40"/>
    <w:rsid w:val="00292BF3"/>
    <w:rsid w:val="002A1EDA"/>
    <w:rsid w:val="002A447E"/>
    <w:rsid w:val="002B10D2"/>
    <w:rsid w:val="002B2FFD"/>
    <w:rsid w:val="002B4008"/>
    <w:rsid w:val="002B4A0A"/>
    <w:rsid w:val="002B5F1B"/>
    <w:rsid w:val="002C3E04"/>
    <w:rsid w:val="002D0126"/>
    <w:rsid w:val="002D0E8E"/>
    <w:rsid w:val="002D7D4A"/>
    <w:rsid w:val="002E1819"/>
    <w:rsid w:val="002E3716"/>
    <w:rsid w:val="002E3DEA"/>
    <w:rsid w:val="002E56E8"/>
    <w:rsid w:val="002E6FD2"/>
    <w:rsid w:val="00301189"/>
    <w:rsid w:val="0030197C"/>
    <w:rsid w:val="003156A0"/>
    <w:rsid w:val="0032087A"/>
    <w:rsid w:val="00323E09"/>
    <w:rsid w:val="00324667"/>
    <w:rsid w:val="003256CC"/>
    <w:rsid w:val="003304A0"/>
    <w:rsid w:val="00331F15"/>
    <w:rsid w:val="00333932"/>
    <w:rsid w:val="0033453C"/>
    <w:rsid w:val="00336794"/>
    <w:rsid w:val="00336DA6"/>
    <w:rsid w:val="00342A89"/>
    <w:rsid w:val="00342AAF"/>
    <w:rsid w:val="003434E4"/>
    <w:rsid w:val="003518AA"/>
    <w:rsid w:val="00352165"/>
    <w:rsid w:val="00353182"/>
    <w:rsid w:val="003565D9"/>
    <w:rsid w:val="003602E1"/>
    <w:rsid w:val="0036763E"/>
    <w:rsid w:val="00367E77"/>
    <w:rsid w:val="0037026F"/>
    <w:rsid w:val="00371240"/>
    <w:rsid w:val="00373FC4"/>
    <w:rsid w:val="00374731"/>
    <w:rsid w:val="003766CD"/>
    <w:rsid w:val="003919F9"/>
    <w:rsid w:val="00392E5A"/>
    <w:rsid w:val="003962D8"/>
    <w:rsid w:val="003A0548"/>
    <w:rsid w:val="003A1CE9"/>
    <w:rsid w:val="003A2487"/>
    <w:rsid w:val="003A5A02"/>
    <w:rsid w:val="003B131E"/>
    <w:rsid w:val="003B4D03"/>
    <w:rsid w:val="003C2844"/>
    <w:rsid w:val="003C38B5"/>
    <w:rsid w:val="003C5D99"/>
    <w:rsid w:val="003C6D2C"/>
    <w:rsid w:val="003C7E8D"/>
    <w:rsid w:val="003D09DB"/>
    <w:rsid w:val="003E218B"/>
    <w:rsid w:val="003E28B0"/>
    <w:rsid w:val="003E2DC8"/>
    <w:rsid w:val="003E2F59"/>
    <w:rsid w:val="003F0789"/>
    <w:rsid w:val="00401882"/>
    <w:rsid w:val="004100C8"/>
    <w:rsid w:val="00411DBD"/>
    <w:rsid w:val="004122C8"/>
    <w:rsid w:val="00412ACE"/>
    <w:rsid w:val="00415325"/>
    <w:rsid w:val="00431249"/>
    <w:rsid w:val="00431C9A"/>
    <w:rsid w:val="00434C19"/>
    <w:rsid w:val="004365EA"/>
    <w:rsid w:val="00436C39"/>
    <w:rsid w:val="004377E7"/>
    <w:rsid w:val="00450810"/>
    <w:rsid w:val="004515A3"/>
    <w:rsid w:val="00453E67"/>
    <w:rsid w:val="00455B85"/>
    <w:rsid w:val="00456902"/>
    <w:rsid w:val="004569C1"/>
    <w:rsid w:val="00473104"/>
    <w:rsid w:val="00477144"/>
    <w:rsid w:val="0049459F"/>
    <w:rsid w:val="0049514B"/>
    <w:rsid w:val="004A0491"/>
    <w:rsid w:val="004A056A"/>
    <w:rsid w:val="004A06EE"/>
    <w:rsid w:val="004A0F21"/>
    <w:rsid w:val="004A143E"/>
    <w:rsid w:val="004A210A"/>
    <w:rsid w:val="004A3418"/>
    <w:rsid w:val="004A38DD"/>
    <w:rsid w:val="004A6BEA"/>
    <w:rsid w:val="004A6F26"/>
    <w:rsid w:val="004B43AE"/>
    <w:rsid w:val="004C13CA"/>
    <w:rsid w:val="004C1EAD"/>
    <w:rsid w:val="004C30ED"/>
    <w:rsid w:val="004D5675"/>
    <w:rsid w:val="004D7209"/>
    <w:rsid w:val="004D76AE"/>
    <w:rsid w:val="004E2175"/>
    <w:rsid w:val="004E2E15"/>
    <w:rsid w:val="004E727A"/>
    <w:rsid w:val="004F02AF"/>
    <w:rsid w:val="004F1966"/>
    <w:rsid w:val="004F2602"/>
    <w:rsid w:val="004F7F08"/>
    <w:rsid w:val="005015E3"/>
    <w:rsid w:val="00523639"/>
    <w:rsid w:val="00524C33"/>
    <w:rsid w:val="00526296"/>
    <w:rsid w:val="0053182E"/>
    <w:rsid w:val="00531FE5"/>
    <w:rsid w:val="00534DAC"/>
    <w:rsid w:val="00535F59"/>
    <w:rsid w:val="00537359"/>
    <w:rsid w:val="00543DB8"/>
    <w:rsid w:val="00562A1F"/>
    <w:rsid w:val="00567AD6"/>
    <w:rsid w:val="00572AE0"/>
    <w:rsid w:val="005743E4"/>
    <w:rsid w:val="0058158E"/>
    <w:rsid w:val="00583C39"/>
    <w:rsid w:val="005909CF"/>
    <w:rsid w:val="00591E71"/>
    <w:rsid w:val="005963E8"/>
    <w:rsid w:val="00596B56"/>
    <w:rsid w:val="005A0D41"/>
    <w:rsid w:val="005A378A"/>
    <w:rsid w:val="005A3E6F"/>
    <w:rsid w:val="005A4CD5"/>
    <w:rsid w:val="005A7574"/>
    <w:rsid w:val="005B1230"/>
    <w:rsid w:val="005B2BBE"/>
    <w:rsid w:val="005B312A"/>
    <w:rsid w:val="005B5065"/>
    <w:rsid w:val="005B6E48"/>
    <w:rsid w:val="005D2837"/>
    <w:rsid w:val="005D329F"/>
    <w:rsid w:val="005D4D0F"/>
    <w:rsid w:val="005D50A5"/>
    <w:rsid w:val="005D7BBE"/>
    <w:rsid w:val="005D7F50"/>
    <w:rsid w:val="005E685F"/>
    <w:rsid w:val="005E6C56"/>
    <w:rsid w:val="005E7DCB"/>
    <w:rsid w:val="005F18B1"/>
    <w:rsid w:val="00604948"/>
    <w:rsid w:val="00607BF1"/>
    <w:rsid w:val="0061110F"/>
    <w:rsid w:val="006136B5"/>
    <w:rsid w:val="006136D7"/>
    <w:rsid w:val="00614782"/>
    <w:rsid w:val="0062584E"/>
    <w:rsid w:val="006259DA"/>
    <w:rsid w:val="00630D4D"/>
    <w:rsid w:val="00631633"/>
    <w:rsid w:val="00632A74"/>
    <w:rsid w:val="00632D1E"/>
    <w:rsid w:val="00636B8B"/>
    <w:rsid w:val="0064464F"/>
    <w:rsid w:val="00644D04"/>
    <w:rsid w:val="0065147A"/>
    <w:rsid w:val="00656F01"/>
    <w:rsid w:val="006648BB"/>
    <w:rsid w:val="00674CB2"/>
    <w:rsid w:val="00674F47"/>
    <w:rsid w:val="00676985"/>
    <w:rsid w:val="0069281A"/>
    <w:rsid w:val="00693CC9"/>
    <w:rsid w:val="00694476"/>
    <w:rsid w:val="00694ADD"/>
    <w:rsid w:val="00695F24"/>
    <w:rsid w:val="006A4655"/>
    <w:rsid w:val="006A5FB6"/>
    <w:rsid w:val="006A7DF2"/>
    <w:rsid w:val="006B2B3C"/>
    <w:rsid w:val="006B339B"/>
    <w:rsid w:val="006C0AE5"/>
    <w:rsid w:val="006C1D81"/>
    <w:rsid w:val="006C49F7"/>
    <w:rsid w:val="006C7038"/>
    <w:rsid w:val="006D1ECD"/>
    <w:rsid w:val="006D57A6"/>
    <w:rsid w:val="006D7592"/>
    <w:rsid w:val="006E0F98"/>
    <w:rsid w:val="006E114B"/>
    <w:rsid w:val="006E2ACF"/>
    <w:rsid w:val="006E39CD"/>
    <w:rsid w:val="006E472D"/>
    <w:rsid w:val="006E5739"/>
    <w:rsid w:val="006E58D7"/>
    <w:rsid w:val="006E5A64"/>
    <w:rsid w:val="006E73EF"/>
    <w:rsid w:val="006F6ED3"/>
    <w:rsid w:val="00700292"/>
    <w:rsid w:val="00703161"/>
    <w:rsid w:val="00705D1D"/>
    <w:rsid w:val="007076FB"/>
    <w:rsid w:val="007100C1"/>
    <w:rsid w:val="00710591"/>
    <w:rsid w:val="00711128"/>
    <w:rsid w:val="00712776"/>
    <w:rsid w:val="00714D4D"/>
    <w:rsid w:val="0072288D"/>
    <w:rsid w:val="00724FDF"/>
    <w:rsid w:val="00733B20"/>
    <w:rsid w:val="0073551F"/>
    <w:rsid w:val="00737744"/>
    <w:rsid w:val="00741B68"/>
    <w:rsid w:val="00744B8E"/>
    <w:rsid w:val="00750E9B"/>
    <w:rsid w:val="007521E2"/>
    <w:rsid w:val="00753AC4"/>
    <w:rsid w:val="00755C4A"/>
    <w:rsid w:val="007604BB"/>
    <w:rsid w:val="00765171"/>
    <w:rsid w:val="00775D2D"/>
    <w:rsid w:val="0078263C"/>
    <w:rsid w:val="00785232"/>
    <w:rsid w:val="00787C91"/>
    <w:rsid w:val="007939C7"/>
    <w:rsid w:val="00797683"/>
    <w:rsid w:val="007A12A6"/>
    <w:rsid w:val="007A21EB"/>
    <w:rsid w:val="007B1A93"/>
    <w:rsid w:val="007B4E9C"/>
    <w:rsid w:val="007B5B44"/>
    <w:rsid w:val="007C2378"/>
    <w:rsid w:val="007C31C9"/>
    <w:rsid w:val="007C36C9"/>
    <w:rsid w:val="007C3CA0"/>
    <w:rsid w:val="007C3EE1"/>
    <w:rsid w:val="007D1D33"/>
    <w:rsid w:val="007D2449"/>
    <w:rsid w:val="007D470A"/>
    <w:rsid w:val="007D5CAC"/>
    <w:rsid w:val="007D6401"/>
    <w:rsid w:val="007E01E4"/>
    <w:rsid w:val="007E1674"/>
    <w:rsid w:val="007E5B92"/>
    <w:rsid w:val="007F2066"/>
    <w:rsid w:val="007F70BD"/>
    <w:rsid w:val="007F7107"/>
    <w:rsid w:val="00800925"/>
    <w:rsid w:val="008039A2"/>
    <w:rsid w:val="0081030F"/>
    <w:rsid w:val="0082087D"/>
    <w:rsid w:val="00823083"/>
    <w:rsid w:val="008262A8"/>
    <w:rsid w:val="00826B5C"/>
    <w:rsid w:val="00827E37"/>
    <w:rsid w:val="0083383B"/>
    <w:rsid w:val="008339BB"/>
    <w:rsid w:val="00836B44"/>
    <w:rsid w:val="00842933"/>
    <w:rsid w:val="00846694"/>
    <w:rsid w:val="00857A89"/>
    <w:rsid w:val="0086082C"/>
    <w:rsid w:val="00860955"/>
    <w:rsid w:val="0086256F"/>
    <w:rsid w:val="00864ADC"/>
    <w:rsid w:val="00873FB3"/>
    <w:rsid w:val="00875C8B"/>
    <w:rsid w:val="00880153"/>
    <w:rsid w:val="00880F97"/>
    <w:rsid w:val="0088133A"/>
    <w:rsid w:val="0089285E"/>
    <w:rsid w:val="008932AE"/>
    <w:rsid w:val="00893850"/>
    <w:rsid w:val="0089436C"/>
    <w:rsid w:val="00897553"/>
    <w:rsid w:val="008A07A9"/>
    <w:rsid w:val="008A1375"/>
    <w:rsid w:val="008A6F00"/>
    <w:rsid w:val="008B156A"/>
    <w:rsid w:val="008B3E71"/>
    <w:rsid w:val="008B7090"/>
    <w:rsid w:val="008C1872"/>
    <w:rsid w:val="008C48EB"/>
    <w:rsid w:val="008C598C"/>
    <w:rsid w:val="008D365C"/>
    <w:rsid w:val="008D6027"/>
    <w:rsid w:val="008D7780"/>
    <w:rsid w:val="008E2F49"/>
    <w:rsid w:val="008E313C"/>
    <w:rsid w:val="008E354A"/>
    <w:rsid w:val="008E58ED"/>
    <w:rsid w:val="009030BF"/>
    <w:rsid w:val="0090434B"/>
    <w:rsid w:val="00907172"/>
    <w:rsid w:val="00907D55"/>
    <w:rsid w:val="0091032F"/>
    <w:rsid w:val="00914368"/>
    <w:rsid w:val="00916626"/>
    <w:rsid w:val="0092066B"/>
    <w:rsid w:val="00920F1E"/>
    <w:rsid w:val="00925AAA"/>
    <w:rsid w:val="00930593"/>
    <w:rsid w:val="00931076"/>
    <w:rsid w:val="009345D9"/>
    <w:rsid w:val="00934B15"/>
    <w:rsid w:val="00942B62"/>
    <w:rsid w:val="009467E6"/>
    <w:rsid w:val="00947415"/>
    <w:rsid w:val="009521D4"/>
    <w:rsid w:val="00952517"/>
    <w:rsid w:val="009549B6"/>
    <w:rsid w:val="00956A0C"/>
    <w:rsid w:val="00956BD9"/>
    <w:rsid w:val="00960E5D"/>
    <w:rsid w:val="00962489"/>
    <w:rsid w:val="00963363"/>
    <w:rsid w:val="009644A5"/>
    <w:rsid w:val="00967400"/>
    <w:rsid w:val="00967F5B"/>
    <w:rsid w:val="00975055"/>
    <w:rsid w:val="00977F9E"/>
    <w:rsid w:val="00980AD8"/>
    <w:rsid w:val="00990C2C"/>
    <w:rsid w:val="00991EC4"/>
    <w:rsid w:val="00993A0A"/>
    <w:rsid w:val="009952BA"/>
    <w:rsid w:val="00996675"/>
    <w:rsid w:val="00997621"/>
    <w:rsid w:val="009B26F4"/>
    <w:rsid w:val="009B2970"/>
    <w:rsid w:val="009C0ECF"/>
    <w:rsid w:val="009C3BAE"/>
    <w:rsid w:val="009C56E3"/>
    <w:rsid w:val="009D004E"/>
    <w:rsid w:val="009D1E61"/>
    <w:rsid w:val="009D2AA9"/>
    <w:rsid w:val="009D4105"/>
    <w:rsid w:val="009E26DB"/>
    <w:rsid w:val="009E3C1D"/>
    <w:rsid w:val="009E647F"/>
    <w:rsid w:val="009E70B7"/>
    <w:rsid w:val="009F2747"/>
    <w:rsid w:val="009F3724"/>
    <w:rsid w:val="009F472B"/>
    <w:rsid w:val="009F5C67"/>
    <w:rsid w:val="009F696D"/>
    <w:rsid w:val="009F6B19"/>
    <w:rsid w:val="009F6BC6"/>
    <w:rsid w:val="00A11587"/>
    <w:rsid w:val="00A17328"/>
    <w:rsid w:val="00A178EE"/>
    <w:rsid w:val="00A232D5"/>
    <w:rsid w:val="00A23A20"/>
    <w:rsid w:val="00A268B9"/>
    <w:rsid w:val="00A2703A"/>
    <w:rsid w:val="00A3070F"/>
    <w:rsid w:val="00A33DFF"/>
    <w:rsid w:val="00A35115"/>
    <w:rsid w:val="00A36D9A"/>
    <w:rsid w:val="00A4128F"/>
    <w:rsid w:val="00A5160C"/>
    <w:rsid w:val="00A554AB"/>
    <w:rsid w:val="00A579D1"/>
    <w:rsid w:val="00A57A30"/>
    <w:rsid w:val="00A655D5"/>
    <w:rsid w:val="00A71865"/>
    <w:rsid w:val="00A72097"/>
    <w:rsid w:val="00A76791"/>
    <w:rsid w:val="00A7711C"/>
    <w:rsid w:val="00A8076D"/>
    <w:rsid w:val="00A819BC"/>
    <w:rsid w:val="00A84284"/>
    <w:rsid w:val="00A85733"/>
    <w:rsid w:val="00A85B0F"/>
    <w:rsid w:val="00A90FB7"/>
    <w:rsid w:val="00A92B53"/>
    <w:rsid w:val="00A94F29"/>
    <w:rsid w:val="00A94FA6"/>
    <w:rsid w:val="00AA0423"/>
    <w:rsid w:val="00AA1316"/>
    <w:rsid w:val="00AA286B"/>
    <w:rsid w:val="00AA49A0"/>
    <w:rsid w:val="00AA6710"/>
    <w:rsid w:val="00AB0681"/>
    <w:rsid w:val="00AB33E2"/>
    <w:rsid w:val="00AB79FB"/>
    <w:rsid w:val="00AB7B5B"/>
    <w:rsid w:val="00AC3E0B"/>
    <w:rsid w:val="00AD4EE4"/>
    <w:rsid w:val="00AD520B"/>
    <w:rsid w:val="00AD6204"/>
    <w:rsid w:val="00AE3AEF"/>
    <w:rsid w:val="00AE4828"/>
    <w:rsid w:val="00AF484A"/>
    <w:rsid w:val="00AF5513"/>
    <w:rsid w:val="00B03EDF"/>
    <w:rsid w:val="00B11054"/>
    <w:rsid w:val="00B21706"/>
    <w:rsid w:val="00B25338"/>
    <w:rsid w:val="00B35DF6"/>
    <w:rsid w:val="00B42543"/>
    <w:rsid w:val="00B42FB1"/>
    <w:rsid w:val="00B440AD"/>
    <w:rsid w:val="00B47E17"/>
    <w:rsid w:val="00B52207"/>
    <w:rsid w:val="00B53E7E"/>
    <w:rsid w:val="00B54CFD"/>
    <w:rsid w:val="00B63362"/>
    <w:rsid w:val="00B6342E"/>
    <w:rsid w:val="00B638B0"/>
    <w:rsid w:val="00B7113F"/>
    <w:rsid w:val="00B7365D"/>
    <w:rsid w:val="00B80542"/>
    <w:rsid w:val="00B80D5F"/>
    <w:rsid w:val="00B81B79"/>
    <w:rsid w:val="00B85D79"/>
    <w:rsid w:val="00B875B5"/>
    <w:rsid w:val="00BA1B37"/>
    <w:rsid w:val="00BA207D"/>
    <w:rsid w:val="00BA31FC"/>
    <w:rsid w:val="00BA4081"/>
    <w:rsid w:val="00BA73B6"/>
    <w:rsid w:val="00BA7E27"/>
    <w:rsid w:val="00BB2603"/>
    <w:rsid w:val="00BB4FCD"/>
    <w:rsid w:val="00BC0031"/>
    <w:rsid w:val="00BC469B"/>
    <w:rsid w:val="00BC5474"/>
    <w:rsid w:val="00BD13EA"/>
    <w:rsid w:val="00BD329D"/>
    <w:rsid w:val="00BD3F9E"/>
    <w:rsid w:val="00BE008E"/>
    <w:rsid w:val="00BE14E6"/>
    <w:rsid w:val="00BE3808"/>
    <w:rsid w:val="00BE3D8A"/>
    <w:rsid w:val="00BE522D"/>
    <w:rsid w:val="00BE5CA6"/>
    <w:rsid w:val="00BF1C2E"/>
    <w:rsid w:val="00BF1C84"/>
    <w:rsid w:val="00C03047"/>
    <w:rsid w:val="00C04300"/>
    <w:rsid w:val="00C0532C"/>
    <w:rsid w:val="00C062E9"/>
    <w:rsid w:val="00C07B64"/>
    <w:rsid w:val="00C11B36"/>
    <w:rsid w:val="00C13721"/>
    <w:rsid w:val="00C14A5F"/>
    <w:rsid w:val="00C21146"/>
    <w:rsid w:val="00C220F3"/>
    <w:rsid w:val="00C26928"/>
    <w:rsid w:val="00C3066D"/>
    <w:rsid w:val="00C343FF"/>
    <w:rsid w:val="00C354D9"/>
    <w:rsid w:val="00C4090B"/>
    <w:rsid w:val="00C52376"/>
    <w:rsid w:val="00C53CDE"/>
    <w:rsid w:val="00C543F4"/>
    <w:rsid w:val="00C6043C"/>
    <w:rsid w:val="00C6058E"/>
    <w:rsid w:val="00C6257A"/>
    <w:rsid w:val="00C6291C"/>
    <w:rsid w:val="00C633CB"/>
    <w:rsid w:val="00C64676"/>
    <w:rsid w:val="00C67404"/>
    <w:rsid w:val="00C71390"/>
    <w:rsid w:val="00C72124"/>
    <w:rsid w:val="00C73C5A"/>
    <w:rsid w:val="00C81D4A"/>
    <w:rsid w:val="00C823C9"/>
    <w:rsid w:val="00C82C28"/>
    <w:rsid w:val="00C831B4"/>
    <w:rsid w:val="00C8762C"/>
    <w:rsid w:val="00CA00F9"/>
    <w:rsid w:val="00CA1DD8"/>
    <w:rsid w:val="00CA2961"/>
    <w:rsid w:val="00CB50D7"/>
    <w:rsid w:val="00CB7177"/>
    <w:rsid w:val="00CC1998"/>
    <w:rsid w:val="00CC2D90"/>
    <w:rsid w:val="00CC4946"/>
    <w:rsid w:val="00CC4A66"/>
    <w:rsid w:val="00CC721E"/>
    <w:rsid w:val="00CD0DC6"/>
    <w:rsid w:val="00CD117E"/>
    <w:rsid w:val="00CD178C"/>
    <w:rsid w:val="00CD27FE"/>
    <w:rsid w:val="00CE15FB"/>
    <w:rsid w:val="00D055B7"/>
    <w:rsid w:val="00D07A63"/>
    <w:rsid w:val="00D16F37"/>
    <w:rsid w:val="00D175DE"/>
    <w:rsid w:val="00D2253E"/>
    <w:rsid w:val="00D270A4"/>
    <w:rsid w:val="00D31FE9"/>
    <w:rsid w:val="00D34E1B"/>
    <w:rsid w:val="00D376BA"/>
    <w:rsid w:val="00D415ED"/>
    <w:rsid w:val="00D52A1F"/>
    <w:rsid w:val="00D52FE6"/>
    <w:rsid w:val="00D5568A"/>
    <w:rsid w:val="00D63D73"/>
    <w:rsid w:val="00D64452"/>
    <w:rsid w:val="00D66E1E"/>
    <w:rsid w:val="00D6702A"/>
    <w:rsid w:val="00D7036A"/>
    <w:rsid w:val="00D71ED3"/>
    <w:rsid w:val="00D75722"/>
    <w:rsid w:val="00D80CF5"/>
    <w:rsid w:val="00D8172D"/>
    <w:rsid w:val="00D84E2F"/>
    <w:rsid w:val="00D874CE"/>
    <w:rsid w:val="00D92EF1"/>
    <w:rsid w:val="00D96F15"/>
    <w:rsid w:val="00DA08F8"/>
    <w:rsid w:val="00DA5BBA"/>
    <w:rsid w:val="00DA7030"/>
    <w:rsid w:val="00DA7DB5"/>
    <w:rsid w:val="00DB67C9"/>
    <w:rsid w:val="00DB6C11"/>
    <w:rsid w:val="00DB6D62"/>
    <w:rsid w:val="00DC0C95"/>
    <w:rsid w:val="00DD32AE"/>
    <w:rsid w:val="00DD6580"/>
    <w:rsid w:val="00DE010E"/>
    <w:rsid w:val="00DE56E7"/>
    <w:rsid w:val="00DF54CF"/>
    <w:rsid w:val="00DF7C9C"/>
    <w:rsid w:val="00E17C72"/>
    <w:rsid w:val="00E21FC6"/>
    <w:rsid w:val="00E25AAE"/>
    <w:rsid w:val="00E30900"/>
    <w:rsid w:val="00E32D66"/>
    <w:rsid w:val="00E3648F"/>
    <w:rsid w:val="00E375EE"/>
    <w:rsid w:val="00E40F97"/>
    <w:rsid w:val="00E431A9"/>
    <w:rsid w:val="00E47C44"/>
    <w:rsid w:val="00E5508C"/>
    <w:rsid w:val="00E55789"/>
    <w:rsid w:val="00E57A55"/>
    <w:rsid w:val="00E61FB0"/>
    <w:rsid w:val="00E62A2C"/>
    <w:rsid w:val="00E669E2"/>
    <w:rsid w:val="00E73976"/>
    <w:rsid w:val="00E76135"/>
    <w:rsid w:val="00E821DD"/>
    <w:rsid w:val="00E82F4F"/>
    <w:rsid w:val="00E83DB5"/>
    <w:rsid w:val="00E92B84"/>
    <w:rsid w:val="00E93038"/>
    <w:rsid w:val="00EA1EFB"/>
    <w:rsid w:val="00EA7CD5"/>
    <w:rsid w:val="00EB2340"/>
    <w:rsid w:val="00EB55F7"/>
    <w:rsid w:val="00EB6947"/>
    <w:rsid w:val="00EB7D1A"/>
    <w:rsid w:val="00EC2844"/>
    <w:rsid w:val="00EC7893"/>
    <w:rsid w:val="00EC7B96"/>
    <w:rsid w:val="00EE37FD"/>
    <w:rsid w:val="00EF6825"/>
    <w:rsid w:val="00EF6C6C"/>
    <w:rsid w:val="00F00F65"/>
    <w:rsid w:val="00F05278"/>
    <w:rsid w:val="00F056FC"/>
    <w:rsid w:val="00F10476"/>
    <w:rsid w:val="00F10535"/>
    <w:rsid w:val="00F135D8"/>
    <w:rsid w:val="00F173DB"/>
    <w:rsid w:val="00F22D90"/>
    <w:rsid w:val="00F24D06"/>
    <w:rsid w:val="00F31299"/>
    <w:rsid w:val="00F32C86"/>
    <w:rsid w:val="00F34D94"/>
    <w:rsid w:val="00F3534A"/>
    <w:rsid w:val="00F42C41"/>
    <w:rsid w:val="00F55BD0"/>
    <w:rsid w:val="00F64556"/>
    <w:rsid w:val="00F650B7"/>
    <w:rsid w:val="00F70B5E"/>
    <w:rsid w:val="00F757E9"/>
    <w:rsid w:val="00F76381"/>
    <w:rsid w:val="00F764DD"/>
    <w:rsid w:val="00F801C0"/>
    <w:rsid w:val="00F803A6"/>
    <w:rsid w:val="00F8489D"/>
    <w:rsid w:val="00F85325"/>
    <w:rsid w:val="00F85911"/>
    <w:rsid w:val="00F8601C"/>
    <w:rsid w:val="00F9091D"/>
    <w:rsid w:val="00F9332A"/>
    <w:rsid w:val="00F956E3"/>
    <w:rsid w:val="00FA720E"/>
    <w:rsid w:val="00FA77EE"/>
    <w:rsid w:val="00FB04B5"/>
    <w:rsid w:val="00FB0BD5"/>
    <w:rsid w:val="00FB214C"/>
    <w:rsid w:val="00FB32A3"/>
    <w:rsid w:val="00FB4085"/>
    <w:rsid w:val="00FD1ED6"/>
    <w:rsid w:val="00FD22B1"/>
    <w:rsid w:val="00FE0C5C"/>
    <w:rsid w:val="00FE0E89"/>
    <w:rsid w:val="00FE419A"/>
    <w:rsid w:val="00FF0FBD"/>
    <w:rsid w:val="00FF35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21146"/>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styleId="Hyperlink">
    <w:name w:val="Hyperlink"/>
    <w:basedOn w:val="DefaultParagraphFont"/>
    <w:rsid w:val="007B4E9C"/>
    <w:rPr>
      <w:color w:val="0000FF" w:themeColor="hyperlink"/>
      <w:u w:val="single"/>
    </w:rPr>
  </w:style>
  <w:style w:type="paragraph" w:customStyle="1" w:styleId="Default">
    <w:name w:val="Default"/>
    <w:rsid w:val="00247C0B"/>
    <w:pPr>
      <w:autoSpaceDE w:val="0"/>
      <w:autoSpaceDN w:val="0"/>
      <w:adjustRightInd w:val="0"/>
    </w:pPr>
    <w:rPr>
      <w:rFonts w:ascii="Tahoma" w:hAnsi="Tahoma" w:cs="Tahoma"/>
      <w:color w:val="000000"/>
      <w:sz w:val="24"/>
      <w:szCs w:val="24"/>
    </w:rPr>
  </w:style>
  <w:style w:type="paragraph" w:styleId="CommentSubject">
    <w:name w:val="annotation subject"/>
    <w:basedOn w:val="CommentText"/>
    <w:next w:val="CommentText"/>
    <w:link w:val="CommentSubjectChar"/>
    <w:rsid w:val="00A8428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84284"/>
    <w:rPr>
      <w:rFonts w:ascii="Calibri" w:hAnsi="Calibri"/>
      <w:szCs w:val="22"/>
      <w:lang w:eastAsia="en-US"/>
    </w:rPr>
  </w:style>
  <w:style w:type="character" w:customStyle="1" w:styleId="CommentSubjectChar">
    <w:name w:val="Comment Subject Char"/>
    <w:basedOn w:val="CommentTextChar"/>
    <w:link w:val="CommentSubject"/>
    <w:rsid w:val="00A84284"/>
    <w:rPr>
      <w:rFonts w:ascii="Calibri" w:hAnsi="Calibri"/>
      <w:b/>
      <w:bCs/>
      <w:szCs w:val="22"/>
      <w:lang w:eastAsia="en-US"/>
    </w:rPr>
  </w:style>
  <w:style w:type="paragraph" w:styleId="Revision">
    <w:name w:val="Revision"/>
    <w:hidden/>
    <w:uiPriority w:val="99"/>
    <w:semiHidden/>
    <w:rsid w:val="005D329F"/>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21146"/>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styleId="Hyperlink">
    <w:name w:val="Hyperlink"/>
    <w:basedOn w:val="DefaultParagraphFont"/>
    <w:rsid w:val="007B4E9C"/>
    <w:rPr>
      <w:color w:val="0000FF" w:themeColor="hyperlink"/>
      <w:u w:val="single"/>
    </w:rPr>
  </w:style>
  <w:style w:type="paragraph" w:customStyle="1" w:styleId="Default">
    <w:name w:val="Default"/>
    <w:rsid w:val="00247C0B"/>
    <w:pPr>
      <w:autoSpaceDE w:val="0"/>
      <w:autoSpaceDN w:val="0"/>
      <w:adjustRightInd w:val="0"/>
    </w:pPr>
    <w:rPr>
      <w:rFonts w:ascii="Tahoma" w:hAnsi="Tahoma" w:cs="Tahoma"/>
      <w:color w:val="000000"/>
      <w:sz w:val="24"/>
      <w:szCs w:val="24"/>
    </w:rPr>
  </w:style>
  <w:style w:type="paragraph" w:styleId="CommentSubject">
    <w:name w:val="annotation subject"/>
    <w:basedOn w:val="CommentText"/>
    <w:next w:val="CommentText"/>
    <w:link w:val="CommentSubjectChar"/>
    <w:rsid w:val="00A84284"/>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84284"/>
    <w:rPr>
      <w:rFonts w:ascii="Calibri" w:hAnsi="Calibri"/>
      <w:szCs w:val="22"/>
      <w:lang w:eastAsia="en-US"/>
    </w:rPr>
  </w:style>
  <w:style w:type="character" w:customStyle="1" w:styleId="CommentSubjectChar">
    <w:name w:val="Comment Subject Char"/>
    <w:basedOn w:val="CommentTextChar"/>
    <w:link w:val="CommentSubject"/>
    <w:rsid w:val="00A84284"/>
    <w:rPr>
      <w:rFonts w:ascii="Calibri" w:hAnsi="Calibri"/>
      <w:b/>
      <w:bCs/>
      <w:szCs w:val="22"/>
      <w:lang w:eastAsia="en-US"/>
    </w:rPr>
  </w:style>
  <w:style w:type="paragraph" w:styleId="Revision">
    <w:name w:val="Revision"/>
    <w:hidden/>
    <w:uiPriority w:val="99"/>
    <w:semiHidden/>
    <w:rsid w:val="005D329F"/>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656378">
      <w:bodyDiv w:val="1"/>
      <w:marLeft w:val="0"/>
      <w:marRight w:val="0"/>
      <w:marTop w:val="0"/>
      <w:marBottom w:val="0"/>
      <w:divBdr>
        <w:top w:val="none" w:sz="0" w:space="0" w:color="auto"/>
        <w:left w:val="none" w:sz="0" w:space="0" w:color="auto"/>
        <w:bottom w:val="none" w:sz="0" w:space="0" w:color="auto"/>
        <w:right w:val="none" w:sz="0" w:space="0" w:color="auto"/>
      </w:divBdr>
    </w:div>
    <w:div w:id="157280735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CF8C3-DCE4-4979-99F9-F000B2CBC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1406</TotalTime>
  <Pages>28</Pages>
  <Words>9213</Words>
  <Characters>51731</Characters>
  <Application>Microsoft Office Word</Application>
  <DocSecurity>0</DocSecurity>
  <Lines>1034</Lines>
  <Paragraphs>458</Paragraphs>
  <ScaleCrop>false</ScaleCrop>
  <HeadingPairs>
    <vt:vector size="2" baseType="variant">
      <vt:variant>
        <vt:lpstr>Title</vt:lpstr>
      </vt:variant>
      <vt:variant>
        <vt:i4>1</vt:i4>
      </vt:variant>
    </vt:vector>
  </HeadingPairs>
  <TitlesOfParts>
    <vt:vector size="1" baseType="lpstr">
      <vt:lpstr>The role of interconnectors</vt:lpstr>
    </vt:vector>
  </TitlesOfParts>
  <Company>Productivity Commission</Company>
  <LinksUpToDate>false</LinksUpToDate>
  <CharactersWithSpaces>60486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role of interconnectors</dc:title>
  <dc:subject>Electricity network regulation</dc:subject>
  <dc:creator>Productivity Commission</dc:creator>
  <cp:keywords/>
  <dc:description>17.</dc:description>
  <cp:lastModifiedBy>Productivity Commission</cp:lastModifiedBy>
  <cp:revision>101</cp:revision>
  <cp:lastPrinted>2012-10-09T03:57:00Z</cp:lastPrinted>
  <dcterms:created xsi:type="dcterms:W3CDTF">2012-09-28T06:11:00Z</dcterms:created>
  <dcterms:modified xsi:type="dcterms:W3CDTF">2012-10-15T00:59:00Z</dcterms:modified>
</cp:coreProperties>
</file>