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250036" w:rsidP="00250036">
      <w:pPr>
        <w:pStyle w:val="Chapter"/>
        <w:ind w:left="907" w:hanging="907"/>
      </w:pPr>
      <w:bookmarkStart w:id="0" w:name="_GoBack"/>
      <w:bookmarkEnd w:id="0"/>
      <w:r>
        <w:t>A</w:t>
      </w:r>
      <w:r>
        <w:tab/>
        <w:t>Conduct of the inquiry</w:t>
      </w:r>
    </w:p>
    <w:p w:rsidR="00A24953" w:rsidRDefault="00A24953" w:rsidP="00A24953">
      <w:pPr>
        <w:pStyle w:val="BodyText"/>
      </w:pPr>
      <w:r>
        <w:t xml:space="preserve">The Commission received the terms of reference for this inquiry on 9 January 2012. Notices were then placed in the press and on its website inviting public participation. Information about the inquiry was also circulated to parties identified as likely to have an interest.  </w:t>
      </w:r>
    </w:p>
    <w:p w:rsidR="00A24953" w:rsidRDefault="00A24953" w:rsidP="00A24953">
      <w:pPr>
        <w:pStyle w:val="BodyText"/>
      </w:pPr>
      <w:r>
        <w:t xml:space="preserve">The Commission released an issues paper on </w:t>
      </w:r>
      <w:r w:rsidR="00E25AD1">
        <w:t>23 February</w:t>
      </w:r>
      <w:r>
        <w:t xml:space="preserve"> to assist inquiry participants in preparing their submissions. </w:t>
      </w:r>
      <w:r w:rsidR="00135242">
        <w:t>Forty four</w:t>
      </w:r>
      <w:r>
        <w:t xml:space="preserve"> submissions were received prior to publication of this report.</w:t>
      </w:r>
      <w:r w:rsidR="00135242">
        <w:t xml:space="preserve"> A list of these submissions is provided below.</w:t>
      </w:r>
    </w:p>
    <w:p w:rsidR="00135242" w:rsidRPr="00C01D39" w:rsidRDefault="00135242" w:rsidP="00135242">
      <w:pPr>
        <w:pStyle w:val="BodyText"/>
      </w:pPr>
      <w:r w:rsidRPr="00C01D39">
        <w:t xml:space="preserve">The Commission has held informal consultations with governments, </w:t>
      </w:r>
      <w:r>
        <w:t xml:space="preserve">regulatory bodies, </w:t>
      </w:r>
      <w:r w:rsidRPr="00C01D39">
        <w:t xml:space="preserve">peak industry groups in the </w:t>
      </w:r>
      <w:r>
        <w:t xml:space="preserve">electricity </w:t>
      </w:r>
      <w:r w:rsidRPr="00C01D39">
        <w:t>sector</w:t>
      </w:r>
      <w:r>
        <w:t xml:space="preserve">, </w:t>
      </w:r>
      <w:r w:rsidRPr="00C01D39">
        <w:t>as well as with a number of companies and individual</w:t>
      </w:r>
      <w:r>
        <w:t>s</w:t>
      </w:r>
      <w:r w:rsidRPr="00C01D39">
        <w:t>. A list of the meetings and informal discussions undertaken is provided below.</w:t>
      </w:r>
    </w:p>
    <w:p w:rsidR="000E2493" w:rsidRPr="000E2493" w:rsidRDefault="00135242" w:rsidP="000E2493">
      <w:pPr>
        <w:pStyle w:val="BodyText"/>
      </w:pPr>
      <w:r>
        <w:t>The Commission would like to thank all those who contributed to the study.</w:t>
      </w:r>
    </w:p>
    <w:p w:rsidR="00C0242C" w:rsidRDefault="00C0242C" w:rsidP="00A95BD7">
      <w:pPr>
        <w:pStyle w:val="TableTitle"/>
      </w:pPr>
      <w:bookmarkStart w:id="1" w:name="begin"/>
      <w:bookmarkEnd w:id="1"/>
      <w:r>
        <w:rPr>
          <w:b w:val="0"/>
        </w:rPr>
        <w:lastRenderedPageBreak/>
        <w:t>Table A.</w:t>
      </w:r>
      <w:r w:rsidR="00CE15E8">
        <w:rPr>
          <w:b w:val="0"/>
          <w:noProof/>
        </w:rPr>
        <w:t>1</w:t>
      </w:r>
      <w:r w:rsidR="00A95BD7">
        <w:tab/>
        <w:t>Submissions received</w:t>
      </w:r>
    </w:p>
    <w:tbl>
      <w:tblPr>
        <w:tblW w:w="5000" w:type="pct"/>
        <w:tblCellMar>
          <w:left w:w="0" w:type="dxa"/>
          <w:right w:w="0" w:type="dxa"/>
        </w:tblCellMar>
        <w:tblLook w:val="0000" w:firstRow="0" w:lastRow="0" w:firstColumn="0" w:lastColumn="0" w:noHBand="0" w:noVBand="0"/>
      </w:tblPr>
      <w:tblGrid>
        <w:gridCol w:w="5811"/>
        <w:gridCol w:w="2978"/>
      </w:tblGrid>
      <w:tr w:rsidR="00C0242C" w:rsidTr="00C0242C">
        <w:tc>
          <w:tcPr>
            <w:tcW w:w="3306" w:type="pct"/>
            <w:tcBorders>
              <w:top w:val="single" w:sz="6" w:space="0" w:color="auto"/>
              <w:bottom w:val="single" w:sz="6" w:space="0" w:color="auto"/>
            </w:tcBorders>
            <w:shd w:val="clear" w:color="auto" w:fill="auto"/>
          </w:tcPr>
          <w:p w:rsidR="00C0242C" w:rsidRDefault="00C0242C" w:rsidP="00C0242C">
            <w:pPr>
              <w:pStyle w:val="TableColumnHeading"/>
              <w:jc w:val="left"/>
            </w:pPr>
            <w:r>
              <w:t>Participant</w:t>
            </w:r>
          </w:p>
        </w:tc>
        <w:tc>
          <w:tcPr>
            <w:tcW w:w="1694" w:type="pct"/>
            <w:tcBorders>
              <w:top w:val="single" w:sz="6" w:space="0" w:color="auto"/>
              <w:bottom w:val="single" w:sz="6" w:space="0" w:color="auto"/>
            </w:tcBorders>
            <w:shd w:val="clear" w:color="auto" w:fill="auto"/>
          </w:tcPr>
          <w:p w:rsidR="00C0242C" w:rsidRDefault="00C0242C" w:rsidP="00C0242C">
            <w:pPr>
              <w:pStyle w:val="TableColumnHeading"/>
              <w:ind w:right="28"/>
            </w:pPr>
            <w:r>
              <w:t>Submission No</w:t>
            </w:r>
          </w:p>
        </w:tc>
      </w:tr>
      <w:tr w:rsidR="00C0242C" w:rsidTr="00C0242C">
        <w:tc>
          <w:tcPr>
            <w:tcW w:w="3306" w:type="pct"/>
            <w:tcBorders>
              <w:top w:val="single" w:sz="6" w:space="0" w:color="auto"/>
            </w:tcBorders>
          </w:tcPr>
          <w:p w:rsidR="00C0242C" w:rsidRDefault="00C0242C" w:rsidP="00C0242C">
            <w:pPr>
              <w:pStyle w:val="TableUnitsRow"/>
              <w:jc w:val="left"/>
            </w:pPr>
            <w:r>
              <w:t>ActewAGL</w:t>
            </w:r>
          </w:p>
        </w:tc>
        <w:tc>
          <w:tcPr>
            <w:tcW w:w="1694" w:type="pct"/>
            <w:tcBorders>
              <w:top w:val="single" w:sz="6" w:space="0" w:color="auto"/>
            </w:tcBorders>
          </w:tcPr>
          <w:p w:rsidR="00C0242C" w:rsidRDefault="00C0242C" w:rsidP="00C0242C">
            <w:pPr>
              <w:pStyle w:val="TableUnitsRow"/>
              <w:ind w:right="28"/>
            </w:pPr>
            <w:r>
              <w:t>14</w:t>
            </w:r>
          </w:p>
        </w:tc>
      </w:tr>
      <w:tr w:rsidR="00C0242C" w:rsidTr="00C0242C">
        <w:tc>
          <w:tcPr>
            <w:tcW w:w="3306" w:type="pct"/>
          </w:tcPr>
          <w:p w:rsidR="00C0242C" w:rsidRDefault="00C0242C" w:rsidP="00C0242C">
            <w:pPr>
              <w:pStyle w:val="TableBodyText"/>
              <w:jc w:val="left"/>
            </w:pPr>
            <w:r>
              <w:t>AGL Energy Limited</w:t>
            </w:r>
          </w:p>
        </w:tc>
        <w:tc>
          <w:tcPr>
            <w:tcW w:w="1694" w:type="pct"/>
          </w:tcPr>
          <w:p w:rsidR="00C0242C" w:rsidRDefault="00C0242C" w:rsidP="00C0242C">
            <w:pPr>
              <w:pStyle w:val="TableBodyText"/>
              <w:ind w:right="28"/>
            </w:pPr>
            <w:r>
              <w:t>27</w:t>
            </w:r>
          </w:p>
        </w:tc>
      </w:tr>
      <w:tr w:rsidR="00C0242C" w:rsidTr="00C0242C">
        <w:tc>
          <w:tcPr>
            <w:tcW w:w="3306" w:type="pct"/>
            <w:shd w:val="clear" w:color="auto" w:fill="auto"/>
          </w:tcPr>
          <w:p w:rsidR="00C0242C" w:rsidRDefault="00C0242C" w:rsidP="00C0242C">
            <w:pPr>
              <w:pStyle w:val="TableBodyText"/>
              <w:jc w:val="left"/>
            </w:pPr>
            <w:r>
              <w:t>APA Group</w:t>
            </w:r>
          </w:p>
        </w:tc>
        <w:tc>
          <w:tcPr>
            <w:tcW w:w="1694" w:type="pct"/>
            <w:shd w:val="clear" w:color="auto" w:fill="auto"/>
          </w:tcPr>
          <w:p w:rsidR="00C0242C" w:rsidRDefault="00C0242C" w:rsidP="00C0242C">
            <w:pPr>
              <w:pStyle w:val="TableBodyText"/>
              <w:ind w:right="28"/>
            </w:pPr>
            <w:r>
              <w:t>2</w:t>
            </w:r>
          </w:p>
        </w:tc>
      </w:tr>
      <w:tr w:rsidR="00876CA7" w:rsidTr="00C0242C">
        <w:tc>
          <w:tcPr>
            <w:tcW w:w="3306" w:type="pct"/>
            <w:shd w:val="clear" w:color="auto" w:fill="auto"/>
          </w:tcPr>
          <w:p w:rsidR="00876CA7" w:rsidRDefault="00876CA7" w:rsidP="00876CA7">
            <w:pPr>
              <w:pStyle w:val="TableBodyText"/>
              <w:jc w:val="left"/>
            </w:pPr>
            <w:r>
              <w:t>Ausgrid</w:t>
            </w:r>
          </w:p>
        </w:tc>
        <w:tc>
          <w:tcPr>
            <w:tcW w:w="1694" w:type="pct"/>
            <w:shd w:val="clear" w:color="auto" w:fill="auto"/>
          </w:tcPr>
          <w:p w:rsidR="00876CA7" w:rsidRDefault="00876CA7" w:rsidP="00876CA7">
            <w:pPr>
              <w:pStyle w:val="TableBodyText"/>
              <w:ind w:right="28"/>
            </w:pPr>
            <w:r>
              <w:t>19</w:t>
            </w:r>
          </w:p>
        </w:tc>
      </w:tr>
      <w:tr w:rsidR="00876CA7" w:rsidTr="00C0242C">
        <w:tc>
          <w:tcPr>
            <w:tcW w:w="3306" w:type="pct"/>
            <w:shd w:val="clear" w:color="auto" w:fill="auto"/>
          </w:tcPr>
          <w:p w:rsidR="00876CA7" w:rsidRDefault="00876CA7" w:rsidP="00C0242C">
            <w:pPr>
              <w:pStyle w:val="TableBodyText"/>
              <w:jc w:val="left"/>
            </w:pPr>
            <w:r>
              <w:t>Australian Academy of Technological Sciences and Engineering (ATSE)</w:t>
            </w:r>
          </w:p>
        </w:tc>
        <w:tc>
          <w:tcPr>
            <w:tcW w:w="1694" w:type="pct"/>
            <w:shd w:val="clear" w:color="auto" w:fill="auto"/>
          </w:tcPr>
          <w:p w:rsidR="00876CA7" w:rsidRDefault="00876CA7" w:rsidP="00C0242C">
            <w:pPr>
              <w:pStyle w:val="TableBodyText"/>
              <w:ind w:right="28"/>
            </w:pPr>
            <w:r>
              <w:t>9</w:t>
            </w:r>
          </w:p>
        </w:tc>
      </w:tr>
      <w:tr w:rsidR="00876CA7" w:rsidTr="00C0242C">
        <w:tc>
          <w:tcPr>
            <w:tcW w:w="3306" w:type="pct"/>
            <w:shd w:val="clear" w:color="auto" w:fill="auto"/>
          </w:tcPr>
          <w:p w:rsidR="00876CA7" w:rsidRDefault="00876CA7" w:rsidP="00DF265B">
            <w:pPr>
              <w:pStyle w:val="TableBodyText"/>
              <w:jc w:val="left"/>
            </w:pPr>
            <w:r>
              <w:t>Australian Energy Market Commission</w:t>
            </w:r>
          </w:p>
        </w:tc>
        <w:tc>
          <w:tcPr>
            <w:tcW w:w="1694" w:type="pct"/>
            <w:shd w:val="clear" w:color="auto" w:fill="auto"/>
          </w:tcPr>
          <w:p w:rsidR="00876CA7" w:rsidRDefault="00876CA7" w:rsidP="00C0242C">
            <w:pPr>
              <w:pStyle w:val="TableBodyText"/>
              <w:ind w:right="28"/>
            </w:pPr>
            <w:r>
              <w:t>16</w:t>
            </w:r>
          </w:p>
        </w:tc>
      </w:tr>
      <w:tr w:rsidR="00876CA7" w:rsidTr="00C0242C">
        <w:tc>
          <w:tcPr>
            <w:tcW w:w="3306" w:type="pct"/>
            <w:shd w:val="clear" w:color="auto" w:fill="auto"/>
          </w:tcPr>
          <w:p w:rsidR="00876CA7" w:rsidRDefault="00876CA7" w:rsidP="00C0242C">
            <w:pPr>
              <w:pStyle w:val="TableBodyText"/>
              <w:jc w:val="left"/>
            </w:pPr>
            <w:r>
              <w:t>Australian Energy Market Operator</w:t>
            </w:r>
          </w:p>
        </w:tc>
        <w:tc>
          <w:tcPr>
            <w:tcW w:w="1694" w:type="pct"/>
            <w:shd w:val="clear" w:color="auto" w:fill="auto"/>
          </w:tcPr>
          <w:p w:rsidR="00876CA7" w:rsidRDefault="00876CA7" w:rsidP="00C0242C">
            <w:pPr>
              <w:pStyle w:val="TableBodyText"/>
              <w:ind w:right="28"/>
            </w:pPr>
            <w:r>
              <w:t>32, 42</w:t>
            </w:r>
          </w:p>
        </w:tc>
      </w:tr>
      <w:tr w:rsidR="00876CA7" w:rsidTr="00C0242C">
        <w:tc>
          <w:tcPr>
            <w:tcW w:w="3306" w:type="pct"/>
            <w:shd w:val="clear" w:color="auto" w:fill="auto"/>
          </w:tcPr>
          <w:p w:rsidR="00876CA7" w:rsidRDefault="00876CA7" w:rsidP="00C0242C">
            <w:pPr>
              <w:pStyle w:val="TableBodyText"/>
              <w:jc w:val="left"/>
            </w:pPr>
            <w:r>
              <w:t>Australian Energy Regulator</w:t>
            </w:r>
          </w:p>
        </w:tc>
        <w:tc>
          <w:tcPr>
            <w:tcW w:w="1694" w:type="pct"/>
            <w:shd w:val="clear" w:color="auto" w:fill="auto"/>
          </w:tcPr>
          <w:p w:rsidR="00876CA7" w:rsidRDefault="00876CA7" w:rsidP="00C0242C">
            <w:pPr>
              <w:pStyle w:val="TableBodyText"/>
              <w:ind w:right="28"/>
            </w:pPr>
            <w:r>
              <w:t>13</w:t>
            </w:r>
          </w:p>
        </w:tc>
      </w:tr>
      <w:tr w:rsidR="00876CA7" w:rsidTr="00C0242C">
        <w:tc>
          <w:tcPr>
            <w:tcW w:w="3306" w:type="pct"/>
            <w:shd w:val="clear" w:color="auto" w:fill="auto"/>
          </w:tcPr>
          <w:p w:rsidR="00876CA7" w:rsidRDefault="00876CA7" w:rsidP="00C0242C">
            <w:pPr>
              <w:pStyle w:val="TableBodyText"/>
              <w:jc w:val="left"/>
            </w:pPr>
            <w:r>
              <w:t>Business SA</w:t>
            </w:r>
          </w:p>
        </w:tc>
        <w:tc>
          <w:tcPr>
            <w:tcW w:w="1694" w:type="pct"/>
            <w:shd w:val="clear" w:color="auto" w:fill="auto"/>
          </w:tcPr>
          <w:p w:rsidR="00876CA7" w:rsidRDefault="00876CA7" w:rsidP="00C0242C">
            <w:pPr>
              <w:pStyle w:val="TableBodyText"/>
              <w:ind w:right="28"/>
            </w:pPr>
            <w:r>
              <w:t>1</w:t>
            </w:r>
          </w:p>
        </w:tc>
      </w:tr>
      <w:tr w:rsidR="00876CA7" w:rsidTr="005C0E20">
        <w:tc>
          <w:tcPr>
            <w:tcW w:w="3306" w:type="pct"/>
            <w:shd w:val="clear" w:color="auto" w:fill="auto"/>
          </w:tcPr>
          <w:p w:rsidR="00876CA7" w:rsidRDefault="00876CA7" w:rsidP="005C0E20">
            <w:pPr>
              <w:pStyle w:val="TableBodyText"/>
              <w:jc w:val="left"/>
            </w:pPr>
            <w:r>
              <w:t>City of Sydney</w:t>
            </w:r>
          </w:p>
        </w:tc>
        <w:tc>
          <w:tcPr>
            <w:tcW w:w="1694" w:type="pct"/>
            <w:shd w:val="clear" w:color="auto" w:fill="auto"/>
          </w:tcPr>
          <w:p w:rsidR="00876CA7" w:rsidRDefault="00876CA7" w:rsidP="005C0E20">
            <w:pPr>
              <w:pStyle w:val="TableBodyText"/>
              <w:ind w:right="28"/>
            </w:pPr>
            <w:r>
              <w:t>39</w:t>
            </w:r>
          </w:p>
        </w:tc>
      </w:tr>
      <w:tr w:rsidR="00876CA7" w:rsidTr="00C0242C">
        <w:tc>
          <w:tcPr>
            <w:tcW w:w="3306" w:type="pct"/>
            <w:shd w:val="clear" w:color="auto" w:fill="auto"/>
          </w:tcPr>
          <w:p w:rsidR="00876CA7" w:rsidRDefault="00876CA7" w:rsidP="00C0242C">
            <w:pPr>
              <w:pStyle w:val="TableBodyText"/>
              <w:jc w:val="left"/>
            </w:pPr>
            <w:r>
              <w:t>Clean Energy Council</w:t>
            </w:r>
          </w:p>
        </w:tc>
        <w:tc>
          <w:tcPr>
            <w:tcW w:w="1694" w:type="pct"/>
            <w:shd w:val="clear" w:color="auto" w:fill="auto"/>
          </w:tcPr>
          <w:p w:rsidR="00876CA7" w:rsidRDefault="00876CA7" w:rsidP="00C0242C">
            <w:pPr>
              <w:pStyle w:val="TableBodyText"/>
              <w:ind w:right="28"/>
            </w:pPr>
            <w:r>
              <w:t>31, 38</w:t>
            </w:r>
          </w:p>
        </w:tc>
      </w:tr>
      <w:tr w:rsidR="00876CA7" w:rsidTr="00C0242C">
        <w:tc>
          <w:tcPr>
            <w:tcW w:w="3306" w:type="pct"/>
            <w:shd w:val="clear" w:color="auto" w:fill="auto"/>
          </w:tcPr>
          <w:p w:rsidR="00876CA7" w:rsidRDefault="00876CA7" w:rsidP="00C0242C">
            <w:pPr>
              <w:pStyle w:val="TableBodyText"/>
              <w:jc w:val="left"/>
            </w:pPr>
            <w:r>
              <w:t>Consumer Action Law Centre</w:t>
            </w:r>
          </w:p>
        </w:tc>
        <w:tc>
          <w:tcPr>
            <w:tcW w:w="1694" w:type="pct"/>
            <w:shd w:val="clear" w:color="auto" w:fill="auto"/>
          </w:tcPr>
          <w:p w:rsidR="00876CA7" w:rsidRDefault="00876CA7" w:rsidP="00C0242C">
            <w:pPr>
              <w:pStyle w:val="TableBodyText"/>
              <w:ind w:right="28"/>
            </w:pPr>
            <w:r>
              <w:t>5</w:t>
            </w:r>
          </w:p>
        </w:tc>
      </w:tr>
      <w:tr w:rsidR="00876CA7" w:rsidTr="00C0242C">
        <w:tc>
          <w:tcPr>
            <w:tcW w:w="3306" w:type="pct"/>
            <w:shd w:val="clear" w:color="auto" w:fill="auto"/>
          </w:tcPr>
          <w:p w:rsidR="00876CA7" w:rsidRDefault="00876CA7" w:rsidP="00C0242C">
            <w:pPr>
              <w:pStyle w:val="TableBodyText"/>
              <w:jc w:val="left"/>
            </w:pPr>
            <w:r>
              <w:t>Copper Development Centre Australia Ltd</w:t>
            </w:r>
          </w:p>
        </w:tc>
        <w:tc>
          <w:tcPr>
            <w:tcW w:w="1694" w:type="pct"/>
            <w:shd w:val="clear" w:color="auto" w:fill="auto"/>
          </w:tcPr>
          <w:p w:rsidR="00876CA7" w:rsidRDefault="00876CA7" w:rsidP="00C0242C">
            <w:pPr>
              <w:pStyle w:val="TableBodyText"/>
              <w:ind w:right="28"/>
            </w:pPr>
            <w:r>
              <w:t>3</w:t>
            </w:r>
          </w:p>
        </w:tc>
      </w:tr>
      <w:tr w:rsidR="00876CA7" w:rsidTr="005C0E20">
        <w:tc>
          <w:tcPr>
            <w:tcW w:w="3306" w:type="pct"/>
            <w:shd w:val="clear" w:color="auto" w:fill="auto"/>
          </w:tcPr>
          <w:p w:rsidR="00876CA7" w:rsidRDefault="00876CA7" w:rsidP="00C338C5">
            <w:pPr>
              <w:pStyle w:val="TableBodyText"/>
              <w:jc w:val="left"/>
            </w:pPr>
            <w:r>
              <w:t>Credit, Commercial and Consumer Law Program (CCCL) QUT</w:t>
            </w:r>
          </w:p>
        </w:tc>
        <w:tc>
          <w:tcPr>
            <w:tcW w:w="1694" w:type="pct"/>
            <w:shd w:val="clear" w:color="auto" w:fill="auto"/>
          </w:tcPr>
          <w:p w:rsidR="00876CA7" w:rsidRDefault="00876CA7" w:rsidP="005C0E20">
            <w:pPr>
              <w:pStyle w:val="TableBodyText"/>
              <w:ind w:right="28"/>
            </w:pPr>
            <w:r>
              <w:t>10</w:t>
            </w:r>
          </w:p>
        </w:tc>
      </w:tr>
      <w:tr w:rsidR="00876CA7" w:rsidTr="00C0242C">
        <w:tc>
          <w:tcPr>
            <w:tcW w:w="3306" w:type="pct"/>
            <w:shd w:val="clear" w:color="auto" w:fill="auto"/>
          </w:tcPr>
          <w:p w:rsidR="00876CA7" w:rsidRDefault="00876CA7" w:rsidP="00C0242C">
            <w:pPr>
              <w:pStyle w:val="TableBodyText"/>
              <w:jc w:val="left"/>
            </w:pPr>
            <w:r>
              <w:t>Cunningham,  Michael</w:t>
            </w:r>
          </w:p>
        </w:tc>
        <w:tc>
          <w:tcPr>
            <w:tcW w:w="1694" w:type="pct"/>
            <w:shd w:val="clear" w:color="auto" w:fill="auto"/>
          </w:tcPr>
          <w:p w:rsidR="00876CA7" w:rsidRDefault="00876CA7" w:rsidP="00C0242C">
            <w:pPr>
              <w:pStyle w:val="TableBodyText"/>
              <w:ind w:right="28"/>
            </w:pPr>
            <w:r>
              <w:t>28</w:t>
            </w:r>
          </w:p>
        </w:tc>
      </w:tr>
      <w:tr w:rsidR="00876CA7" w:rsidTr="00C0242C">
        <w:tc>
          <w:tcPr>
            <w:tcW w:w="3306" w:type="pct"/>
            <w:shd w:val="clear" w:color="auto" w:fill="auto"/>
          </w:tcPr>
          <w:p w:rsidR="00876CA7" w:rsidRDefault="00876CA7" w:rsidP="00C0242C">
            <w:pPr>
              <w:pStyle w:val="TableBodyText"/>
              <w:jc w:val="left"/>
            </w:pPr>
            <w:r>
              <w:t>Energex Limited</w:t>
            </w:r>
          </w:p>
        </w:tc>
        <w:tc>
          <w:tcPr>
            <w:tcW w:w="1694" w:type="pct"/>
            <w:shd w:val="clear" w:color="auto" w:fill="auto"/>
          </w:tcPr>
          <w:p w:rsidR="00876CA7" w:rsidRDefault="00876CA7" w:rsidP="00C0242C">
            <w:pPr>
              <w:pStyle w:val="TableBodyText"/>
              <w:ind w:right="28"/>
            </w:pPr>
            <w:r>
              <w:t>20</w:t>
            </w:r>
          </w:p>
        </w:tc>
      </w:tr>
      <w:tr w:rsidR="00876CA7" w:rsidTr="00C0242C">
        <w:tc>
          <w:tcPr>
            <w:tcW w:w="3306" w:type="pct"/>
            <w:shd w:val="clear" w:color="auto" w:fill="auto"/>
          </w:tcPr>
          <w:p w:rsidR="00876CA7" w:rsidRDefault="00876CA7" w:rsidP="00C0242C">
            <w:pPr>
              <w:pStyle w:val="TableBodyText"/>
              <w:jc w:val="left"/>
            </w:pPr>
            <w:r>
              <w:t>Energy Networks Association</w:t>
            </w:r>
          </w:p>
        </w:tc>
        <w:tc>
          <w:tcPr>
            <w:tcW w:w="1694" w:type="pct"/>
            <w:shd w:val="clear" w:color="auto" w:fill="auto"/>
          </w:tcPr>
          <w:p w:rsidR="00876CA7" w:rsidRDefault="00876CA7" w:rsidP="00C0242C">
            <w:pPr>
              <w:pStyle w:val="TableBodyText"/>
              <w:ind w:right="28"/>
            </w:pPr>
            <w:r>
              <w:t>17, 40, 43</w:t>
            </w:r>
          </w:p>
        </w:tc>
      </w:tr>
      <w:tr w:rsidR="00876CA7" w:rsidTr="00C0242C">
        <w:tc>
          <w:tcPr>
            <w:tcW w:w="3306" w:type="pct"/>
            <w:shd w:val="clear" w:color="auto" w:fill="auto"/>
          </w:tcPr>
          <w:p w:rsidR="00876CA7" w:rsidRDefault="00876CA7" w:rsidP="00C0242C">
            <w:pPr>
              <w:pStyle w:val="TableBodyText"/>
              <w:jc w:val="left"/>
            </w:pPr>
            <w:r>
              <w:t>Energy Supply Association of Australia</w:t>
            </w:r>
          </w:p>
        </w:tc>
        <w:tc>
          <w:tcPr>
            <w:tcW w:w="1694" w:type="pct"/>
            <w:shd w:val="clear" w:color="auto" w:fill="auto"/>
          </w:tcPr>
          <w:p w:rsidR="00876CA7" w:rsidRDefault="00876CA7" w:rsidP="00C0242C">
            <w:pPr>
              <w:pStyle w:val="TableBodyText"/>
              <w:ind w:right="28"/>
            </w:pPr>
            <w:r>
              <w:t>23</w:t>
            </w:r>
          </w:p>
        </w:tc>
      </w:tr>
      <w:tr w:rsidR="00876CA7" w:rsidTr="00C0242C">
        <w:tc>
          <w:tcPr>
            <w:tcW w:w="3306" w:type="pct"/>
            <w:shd w:val="clear" w:color="auto" w:fill="auto"/>
          </w:tcPr>
          <w:p w:rsidR="00876CA7" w:rsidRDefault="00876CA7" w:rsidP="00C0242C">
            <w:pPr>
              <w:pStyle w:val="TableBodyText"/>
              <w:jc w:val="left"/>
            </w:pPr>
            <w:r>
              <w:t>Energy Users Association of Australia</w:t>
            </w:r>
          </w:p>
        </w:tc>
        <w:tc>
          <w:tcPr>
            <w:tcW w:w="1694" w:type="pct"/>
            <w:shd w:val="clear" w:color="auto" w:fill="auto"/>
          </w:tcPr>
          <w:p w:rsidR="00876CA7" w:rsidRDefault="00876CA7" w:rsidP="00C0242C">
            <w:pPr>
              <w:pStyle w:val="TableBodyText"/>
              <w:ind w:right="28"/>
            </w:pPr>
            <w:r>
              <w:t>24</w:t>
            </w:r>
          </w:p>
        </w:tc>
      </w:tr>
      <w:tr w:rsidR="00876CA7" w:rsidTr="00C0242C">
        <w:tc>
          <w:tcPr>
            <w:tcW w:w="3306" w:type="pct"/>
            <w:shd w:val="clear" w:color="auto" w:fill="auto"/>
          </w:tcPr>
          <w:p w:rsidR="00876CA7" w:rsidRDefault="00876CA7" w:rsidP="00C0242C">
            <w:pPr>
              <w:pStyle w:val="TableBodyText"/>
              <w:jc w:val="left"/>
            </w:pPr>
            <w:r>
              <w:t>EnerNOC Pty Ltd</w:t>
            </w:r>
          </w:p>
        </w:tc>
        <w:tc>
          <w:tcPr>
            <w:tcW w:w="1694" w:type="pct"/>
            <w:shd w:val="clear" w:color="auto" w:fill="auto"/>
          </w:tcPr>
          <w:p w:rsidR="00876CA7" w:rsidRDefault="00876CA7" w:rsidP="00C0242C">
            <w:pPr>
              <w:pStyle w:val="TableBodyText"/>
              <w:ind w:right="28"/>
            </w:pPr>
            <w:r>
              <w:t>7</w:t>
            </w:r>
          </w:p>
        </w:tc>
      </w:tr>
      <w:tr w:rsidR="00876CA7" w:rsidTr="00C0242C">
        <w:tc>
          <w:tcPr>
            <w:tcW w:w="3306" w:type="pct"/>
            <w:shd w:val="clear" w:color="auto" w:fill="auto"/>
          </w:tcPr>
          <w:p w:rsidR="00876CA7" w:rsidRDefault="00876CA7" w:rsidP="00C0242C">
            <w:pPr>
              <w:pStyle w:val="TableBodyText"/>
              <w:jc w:val="left"/>
            </w:pPr>
            <w:r>
              <w:t>Ergon Energy</w:t>
            </w:r>
          </w:p>
        </w:tc>
        <w:tc>
          <w:tcPr>
            <w:tcW w:w="1694" w:type="pct"/>
            <w:shd w:val="clear" w:color="auto" w:fill="auto"/>
          </w:tcPr>
          <w:p w:rsidR="00876CA7" w:rsidRDefault="00876CA7" w:rsidP="00C0242C">
            <w:pPr>
              <w:pStyle w:val="TableBodyText"/>
              <w:ind w:right="28"/>
            </w:pPr>
            <w:r>
              <w:t>8</w:t>
            </w:r>
          </w:p>
        </w:tc>
      </w:tr>
      <w:tr w:rsidR="00876CA7" w:rsidTr="00C0242C">
        <w:tc>
          <w:tcPr>
            <w:tcW w:w="3306" w:type="pct"/>
            <w:shd w:val="clear" w:color="auto" w:fill="auto"/>
          </w:tcPr>
          <w:p w:rsidR="00876CA7" w:rsidRDefault="00876CA7" w:rsidP="00C0242C">
            <w:pPr>
              <w:pStyle w:val="TableBodyText"/>
              <w:jc w:val="left"/>
            </w:pPr>
            <w:r>
              <w:t>Essential Energy</w:t>
            </w:r>
          </w:p>
        </w:tc>
        <w:tc>
          <w:tcPr>
            <w:tcW w:w="1694" w:type="pct"/>
            <w:shd w:val="clear" w:color="auto" w:fill="auto"/>
          </w:tcPr>
          <w:p w:rsidR="00876CA7" w:rsidRDefault="00876CA7" w:rsidP="00C0242C">
            <w:pPr>
              <w:pStyle w:val="TableBodyText"/>
              <w:ind w:right="28"/>
            </w:pPr>
            <w:r>
              <w:t>30</w:t>
            </w:r>
          </w:p>
        </w:tc>
      </w:tr>
      <w:tr w:rsidR="00876CA7" w:rsidTr="00C0242C">
        <w:tc>
          <w:tcPr>
            <w:tcW w:w="3306" w:type="pct"/>
            <w:shd w:val="clear" w:color="auto" w:fill="auto"/>
          </w:tcPr>
          <w:p w:rsidR="00876CA7" w:rsidRDefault="00876CA7" w:rsidP="00C338C5">
            <w:pPr>
              <w:pStyle w:val="TableBodyText"/>
              <w:jc w:val="left"/>
            </w:pPr>
            <w:r>
              <w:t>ETAS Utilities, CitiPower and Powercor Australia</w:t>
            </w:r>
          </w:p>
        </w:tc>
        <w:tc>
          <w:tcPr>
            <w:tcW w:w="1694" w:type="pct"/>
            <w:shd w:val="clear" w:color="auto" w:fill="auto"/>
          </w:tcPr>
          <w:p w:rsidR="00876CA7" w:rsidRDefault="00876CA7" w:rsidP="00C0242C">
            <w:pPr>
              <w:pStyle w:val="TableBodyText"/>
              <w:ind w:right="28"/>
            </w:pPr>
            <w:r>
              <w:t>6</w:t>
            </w:r>
          </w:p>
        </w:tc>
      </w:tr>
      <w:tr w:rsidR="00876CA7" w:rsidTr="00C0242C">
        <w:tc>
          <w:tcPr>
            <w:tcW w:w="3306" w:type="pct"/>
            <w:shd w:val="clear" w:color="auto" w:fill="auto"/>
          </w:tcPr>
          <w:p w:rsidR="00876CA7" w:rsidRDefault="00876CA7" w:rsidP="00C0242C">
            <w:pPr>
              <w:pStyle w:val="TableBodyText"/>
              <w:jc w:val="left"/>
            </w:pPr>
            <w:r>
              <w:t>Grid Australia</w:t>
            </w:r>
          </w:p>
        </w:tc>
        <w:tc>
          <w:tcPr>
            <w:tcW w:w="1694" w:type="pct"/>
            <w:shd w:val="clear" w:color="auto" w:fill="auto"/>
          </w:tcPr>
          <w:p w:rsidR="00876CA7" w:rsidRDefault="00876CA7" w:rsidP="00C0242C">
            <w:pPr>
              <w:pStyle w:val="TableBodyText"/>
              <w:ind w:right="28"/>
            </w:pPr>
            <w:r>
              <w:t>22, 37, 44</w:t>
            </w:r>
          </w:p>
        </w:tc>
      </w:tr>
      <w:tr w:rsidR="00876CA7" w:rsidTr="00C0242C">
        <w:tc>
          <w:tcPr>
            <w:tcW w:w="3306" w:type="pct"/>
            <w:shd w:val="clear" w:color="auto" w:fill="auto"/>
          </w:tcPr>
          <w:p w:rsidR="00876CA7" w:rsidRDefault="00876CA7" w:rsidP="00C0242C">
            <w:pPr>
              <w:pStyle w:val="TableBodyText"/>
              <w:jc w:val="left"/>
            </w:pPr>
            <w:r>
              <w:t>Hydro Tasmania</w:t>
            </w:r>
          </w:p>
        </w:tc>
        <w:tc>
          <w:tcPr>
            <w:tcW w:w="1694" w:type="pct"/>
            <w:shd w:val="clear" w:color="auto" w:fill="auto"/>
          </w:tcPr>
          <w:p w:rsidR="00876CA7" w:rsidRDefault="00876CA7" w:rsidP="00C0242C">
            <w:pPr>
              <w:pStyle w:val="TableBodyText"/>
              <w:ind w:right="28"/>
            </w:pPr>
            <w:r>
              <w:t>41</w:t>
            </w:r>
          </w:p>
        </w:tc>
      </w:tr>
      <w:tr w:rsidR="00876CA7" w:rsidTr="00C0242C">
        <w:tc>
          <w:tcPr>
            <w:tcW w:w="3306" w:type="pct"/>
            <w:shd w:val="clear" w:color="auto" w:fill="auto"/>
          </w:tcPr>
          <w:p w:rsidR="00876CA7" w:rsidRDefault="00876CA7" w:rsidP="00C0242C">
            <w:pPr>
              <w:pStyle w:val="TableBodyText"/>
              <w:jc w:val="left"/>
            </w:pPr>
            <w:r>
              <w:t>International Power – GDF Suez Australia (IPRA)</w:t>
            </w:r>
          </w:p>
        </w:tc>
        <w:tc>
          <w:tcPr>
            <w:tcW w:w="1694" w:type="pct"/>
            <w:shd w:val="clear" w:color="auto" w:fill="auto"/>
          </w:tcPr>
          <w:p w:rsidR="00876CA7" w:rsidRDefault="00876CA7" w:rsidP="00C0242C">
            <w:pPr>
              <w:pStyle w:val="TableBodyText"/>
              <w:ind w:right="28"/>
            </w:pPr>
            <w:r>
              <w:t>36</w:t>
            </w:r>
          </w:p>
        </w:tc>
      </w:tr>
      <w:tr w:rsidR="00876CA7" w:rsidTr="00C0242C">
        <w:tc>
          <w:tcPr>
            <w:tcW w:w="3306" w:type="pct"/>
            <w:shd w:val="clear" w:color="auto" w:fill="auto"/>
          </w:tcPr>
          <w:p w:rsidR="00876CA7" w:rsidRDefault="00876CA7" w:rsidP="00C0242C">
            <w:pPr>
              <w:pStyle w:val="TableBodyText"/>
              <w:jc w:val="left"/>
            </w:pPr>
            <w:r>
              <w:t>Jemena Limited</w:t>
            </w:r>
          </w:p>
        </w:tc>
        <w:tc>
          <w:tcPr>
            <w:tcW w:w="1694" w:type="pct"/>
            <w:shd w:val="clear" w:color="auto" w:fill="auto"/>
          </w:tcPr>
          <w:p w:rsidR="00876CA7" w:rsidRDefault="00876CA7" w:rsidP="00C0242C">
            <w:pPr>
              <w:pStyle w:val="TableBodyText"/>
              <w:ind w:right="28"/>
            </w:pPr>
            <w:r>
              <w:t>21</w:t>
            </w:r>
          </w:p>
        </w:tc>
      </w:tr>
      <w:tr w:rsidR="00876CA7" w:rsidTr="00C0242C">
        <w:tc>
          <w:tcPr>
            <w:tcW w:w="3306" w:type="pct"/>
            <w:shd w:val="clear" w:color="auto" w:fill="auto"/>
          </w:tcPr>
          <w:p w:rsidR="00876CA7" w:rsidRDefault="00876CA7" w:rsidP="00C0242C">
            <w:pPr>
              <w:pStyle w:val="TableBodyText"/>
              <w:jc w:val="left"/>
            </w:pPr>
            <w:r>
              <w:t>Loy Yang Marketing Management Company</w:t>
            </w:r>
          </w:p>
        </w:tc>
        <w:tc>
          <w:tcPr>
            <w:tcW w:w="1694" w:type="pct"/>
            <w:shd w:val="clear" w:color="auto" w:fill="auto"/>
          </w:tcPr>
          <w:p w:rsidR="00876CA7" w:rsidRDefault="00876CA7" w:rsidP="00C0242C">
            <w:pPr>
              <w:pStyle w:val="TableBodyText"/>
              <w:ind w:right="28"/>
            </w:pPr>
            <w:r>
              <w:t>25</w:t>
            </w:r>
          </w:p>
        </w:tc>
      </w:tr>
      <w:tr w:rsidR="00876CA7" w:rsidTr="00C0242C">
        <w:tc>
          <w:tcPr>
            <w:tcW w:w="3306" w:type="pct"/>
            <w:shd w:val="clear" w:color="auto" w:fill="auto"/>
          </w:tcPr>
          <w:p w:rsidR="00876CA7" w:rsidRDefault="00876CA7" w:rsidP="00C0242C">
            <w:pPr>
              <w:pStyle w:val="TableBodyText"/>
              <w:jc w:val="left"/>
            </w:pPr>
            <w:r>
              <w:t>Major Energy Users</w:t>
            </w:r>
          </w:p>
        </w:tc>
        <w:tc>
          <w:tcPr>
            <w:tcW w:w="1694" w:type="pct"/>
            <w:shd w:val="clear" w:color="auto" w:fill="auto"/>
          </w:tcPr>
          <w:p w:rsidR="00876CA7" w:rsidRDefault="00876CA7" w:rsidP="00C0242C">
            <w:pPr>
              <w:pStyle w:val="TableBodyText"/>
              <w:ind w:right="28"/>
            </w:pPr>
            <w:r>
              <w:t>11</w:t>
            </w:r>
          </w:p>
        </w:tc>
      </w:tr>
      <w:tr w:rsidR="00876CA7" w:rsidTr="00C0242C">
        <w:tc>
          <w:tcPr>
            <w:tcW w:w="3306" w:type="pct"/>
            <w:shd w:val="clear" w:color="auto" w:fill="auto"/>
          </w:tcPr>
          <w:p w:rsidR="00876CA7" w:rsidRDefault="00876CA7" w:rsidP="00C0242C">
            <w:pPr>
              <w:pStyle w:val="TableBodyText"/>
              <w:jc w:val="left"/>
            </w:pPr>
            <w:r>
              <w:t>National Generators Forum</w:t>
            </w:r>
          </w:p>
        </w:tc>
        <w:tc>
          <w:tcPr>
            <w:tcW w:w="1694" w:type="pct"/>
            <w:shd w:val="clear" w:color="auto" w:fill="auto"/>
          </w:tcPr>
          <w:p w:rsidR="00876CA7" w:rsidRDefault="00876CA7" w:rsidP="00C0242C">
            <w:pPr>
              <w:pStyle w:val="TableBodyText"/>
              <w:ind w:right="28"/>
            </w:pPr>
            <w:r>
              <w:t>33</w:t>
            </w:r>
          </w:p>
        </w:tc>
      </w:tr>
      <w:tr w:rsidR="00876CA7" w:rsidTr="00C0242C">
        <w:tc>
          <w:tcPr>
            <w:tcW w:w="3306" w:type="pct"/>
            <w:shd w:val="clear" w:color="auto" w:fill="auto"/>
          </w:tcPr>
          <w:p w:rsidR="00876CA7" w:rsidRDefault="00876CA7" w:rsidP="00C0242C">
            <w:pPr>
              <w:pStyle w:val="TableBodyText"/>
              <w:jc w:val="left"/>
            </w:pPr>
            <w:r>
              <w:t>Pacific Economics Group</w:t>
            </w:r>
          </w:p>
        </w:tc>
        <w:tc>
          <w:tcPr>
            <w:tcW w:w="1694" w:type="pct"/>
            <w:shd w:val="clear" w:color="auto" w:fill="auto"/>
          </w:tcPr>
          <w:p w:rsidR="00876CA7" w:rsidRDefault="00876CA7" w:rsidP="00C0242C">
            <w:pPr>
              <w:pStyle w:val="TableBodyText"/>
              <w:ind w:right="28"/>
            </w:pPr>
            <w:r>
              <w:t>35</w:t>
            </w:r>
          </w:p>
        </w:tc>
      </w:tr>
      <w:tr w:rsidR="00876CA7" w:rsidTr="00C0242C">
        <w:tc>
          <w:tcPr>
            <w:tcW w:w="3306" w:type="pct"/>
            <w:shd w:val="clear" w:color="auto" w:fill="auto"/>
          </w:tcPr>
          <w:p w:rsidR="00876CA7" w:rsidRDefault="00876CA7" w:rsidP="00C0242C">
            <w:pPr>
              <w:pStyle w:val="TableBodyText"/>
              <w:jc w:val="left"/>
            </w:pPr>
            <w:r>
              <w:t>Public Interest Advocacy Centre</w:t>
            </w:r>
          </w:p>
        </w:tc>
        <w:tc>
          <w:tcPr>
            <w:tcW w:w="1694" w:type="pct"/>
            <w:shd w:val="clear" w:color="auto" w:fill="auto"/>
          </w:tcPr>
          <w:p w:rsidR="00876CA7" w:rsidRDefault="00876CA7" w:rsidP="00C0242C">
            <w:pPr>
              <w:pStyle w:val="TableBodyText"/>
              <w:ind w:right="28"/>
            </w:pPr>
            <w:r>
              <w:t>26</w:t>
            </w:r>
          </w:p>
        </w:tc>
      </w:tr>
      <w:tr w:rsidR="00876CA7" w:rsidTr="00C0242C">
        <w:tc>
          <w:tcPr>
            <w:tcW w:w="3306" w:type="pct"/>
            <w:shd w:val="clear" w:color="auto" w:fill="auto"/>
          </w:tcPr>
          <w:p w:rsidR="00876CA7" w:rsidRDefault="00876CA7" w:rsidP="00C0242C">
            <w:pPr>
              <w:pStyle w:val="TableBodyText"/>
              <w:jc w:val="left"/>
            </w:pPr>
            <w:r>
              <w:t>Queensland Treasury Corporation</w:t>
            </w:r>
          </w:p>
        </w:tc>
        <w:tc>
          <w:tcPr>
            <w:tcW w:w="1694" w:type="pct"/>
            <w:shd w:val="clear" w:color="auto" w:fill="auto"/>
          </w:tcPr>
          <w:p w:rsidR="00876CA7" w:rsidRDefault="00876CA7" w:rsidP="00C0242C">
            <w:pPr>
              <w:pStyle w:val="TableBodyText"/>
              <w:ind w:right="28"/>
            </w:pPr>
            <w:r>
              <w:t>12</w:t>
            </w:r>
          </w:p>
        </w:tc>
      </w:tr>
      <w:tr w:rsidR="00876CA7" w:rsidTr="00C0242C">
        <w:tc>
          <w:tcPr>
            <w:tcW w:w="3306" w:type="pct"/>
            <w:shd w:val="clear" w:color="auto" w:fill="auto"/>
          </w:tcPr>
          <w:p w:rsidR="00876CA7" w:rsidRDefault="00876CA7" w:rsidP="00C0242C">
            <w:pPr>
              <w:pStyle w:val="TableBodyText"/>
              <w:jc w:val="left"/>
            </w:pPr>
            <w:r>
              <w:t>SP AusNet</w:t>
            </w:r>
          </w:p>
        </w:tc>
        <w:tc>
          <w:tcPr>
            <w:tcW w:w="1694" w:type="pct"/>
            <w:shd w:val="clear" w:color="auto" w:fill="auto"/>
          </w:tcPr>
          <w:p w:rsidR="00876CA7" w:rsidRDefault="00876CA7" w:rsidP="00C0242C">
            <w:pPr>
              <w:pStyle w:val="TableBodyText"/>
              <w:ind w:right="28"/>
            </w:pPr>
            <w:r>
              <w:t>18</w:t>
            </w:r>
          </w:p>
        </w:tc>
      </w:tr>
      <w:tr w:rsidR="00876CA7" w:rsidTr="00C0242C">
        <w:tc>
          <w:tcPr>
            <w:tcW w:w="3306" w:type="pct"/>
            <w:shd w:val="clear" w:color="auto" w:fill="auto"/>
          </w:tcPr>
          <w:p w:rsidR="00876CA7" w:rsidRDefault="00876CA7" w:rsidP="00C0242C">
            <w:pPr>
              <w:pStyle w:val="TableBodyText"/>
              <w:jc w:val="left"/>
            </w:pPr>
            <w:r>
              <w:t>Total Environment Centre Inc</w:t>
            </w:r>
          </w:p>
        </w:tc>
        <w:tc>
          <w:tcPr>
            <w:tcW w:w="1694" w:type="pct"/>
            <w:shd w:val="clear" w:color="auto" w:fill="auto"/>
          </w:tcPr>
          <w:p w:rsidR="00876CA7" w:rsidRDefault="00876CA7" w:rsidP="00C0242C">
            <w:pPr>
              <w:pStyle w:val="TableBodyText"/>
              <w:ind w:right="28"/>
            </w:pPr>
            <w:r>
              <w:t>15</w:t>
            </w:r>
          </w:p>
        </w:tc>
      </w:tr>
      <w:tr w:rsidR="00876CA7" w:rsidTr="00C0242C">
        <w:tc>
          <w:tcPr>
            <w:tcW w:w="3306" w:type="pct"/>
            <w:shd w:val="clear" w:color="auto" w:fill="auto"/>
          </w:tcPr>
          <w:p w:rsidR="00876CA7" w:rsidRDefault="00876CA7" w:rsidP="00C0242C">
            <w:pPr>
              <w:pStyle w:val="TableBodyText"/>
              <w:jc w:val="left"/>
            </w:pPr>
            <w:r>
              <w:t>TRU Energy</w:t>
            </w:r>
          </w:p>
        </w:tc>
        <w:tc>
          <w:tcPr>
            <w:tcW w:w="1694" w:type="pct"/>
            <w:shd w:val="clear" w:color="auto" w:fill="auto"/>
          </w:tcPr>
          <w:p w:rsidR="00876CA7" w:rsidRDefault="00876CA7" w:rsidP="00C0242C">
            <w:pPr>
              <w:pStyle w:val="TableBodyText"/>
              <w:ind w:right="28"/>
            </w:pPr>
            <w:r>
              <w:t>4</w:t>
            </w:r>
          </w:p>
        </w:tc>
      </w:tr>
      <w:tr w:rsidR="00876CA7" w:rsidTr="00876CA7">
        <w:tc>
          <w:tcPr>
            <w:tcW w:w="3306" w:type="pct"/>
            <w:shd w:val="clear" w:color="auto" w:fill="auto"/>
          </w:tcPr>
          <w:p w:rsidR="00876CA7" w:rsidRDefault="00876CA7" w:rsidP="00C0242C">
            <w:pPr>
              <w:pStyle w:val="TableBodyText"/>
              <w:jc w:val="left"/>
            </w:pPr>
            <w:r>
              <w:t>United Energy</w:t>
            </w:r>
          </w:p>
        </w:tc>
        <w:tc>
          <w:tcPr>
            <w:tcW w:w="1694" w:type="pct"/>
            <w:shd w:val="clear" w:color="auto" w:fill="auto"/>
          </w:tcPr>
          <w:p w:rsidR="00876CA7" w:rsidRDefault="00876CA7" w:rsidP="00C0242C">
            <w:pPr>
              <w:pStyle w:val="TableBodyText"/>
              <w:ind w:right="28"/>
            </w:pPr>
            <w:r>
              <w:t>29</w:t>
            </w:r>
          </w:p>
        </w:tc>
      </w:tr>
      <w:tr w:rsidR="00876CA7" w:rsidTr="00876CA7">
        <w:tc>
          <w:tcPr>
            <w:tcW w:w="3306" w:type="pct"/>
            <w:tcBorders>
              <w:bottom w:val="single" w:sz="4" w:space="0" w:color="auto"/>
            </w:tcBorders>
            <w:shd w:val="clear" w:color="auto" w:fill="auto"/>
          </w:tcPr>
          <w:p w:rsidR="00876CA7" w:rsidRDefault="00876CA7" w:rsidP="00C0242C">
            <w:pPr>
              <w:pStyle w:val="TableBodyText"/>
              <w:jc w:val="left"/>
            </w:pPr>
            <w:r>
              <w:t>Victorian Department of Primary Industries</w:t>
            </w:r>
          </w:p>
        </w:tc>
        <w:tc>
          <w:tcPr>
            <w:tcW w:w="1694" w:type="pct"/>
            <w:shd w:val="clear" w:color="auto" w:fill="auto"/>
          </w:tcPr>
          <w:p w:rsidR="00876CA7" w:rsidRDefault="00876CA7" w:rsidP="00C0242C">
            <w:pPr>
              <w:pStyle w:val="TableBodyText"/>
              <w:ind w:right="28"/>
            </w:pPr>
            <w:r>
              <w:t>34</w:t>
            </w:r>
          </w:p>
        </w:tc>
      </w:tr>
    </w:tbl>
    <w:p w:rsidR="00C0242C" w:rsidRDefault="00C0242C" w:rsidP="00A35115">
      <w:pPr>
        <w:pStyle w:val="BodyText"/>
      </w:pPr>
    </w:p>
    <w:p w:rsidR="006505E7" w:rsidRDefault="006505E7">
      <w:pPr>
        <w:rPr>
          <w:szCs w:val="20"/>
        </w:rPr>
      </w:pPr>
      <w:r>
        <w:rPr>
          <w:b/>
        </w:rPr>
        <w:br w:type="page"/>
      </w:r>
    </w:p>
    <w:p w:rsidR="00250036" w:rsidRDefault="00250036" w:rsidP="00250036">
      <w:pPr>
        <w:pStyle w:val="Heading2"/>
      </w:pPr>
      <w:r>
        <w:lastRenderedPageBreak/>
        <w:t>A.</w:t>
      </w:r>
      <w:r w:rsidR="00CE15E8">
        <w:rPr>
          <w:noProof/>
        </w:rPr>
        <w:t>1</w:t>
      </w:r>
      <w:r>
        <w:tab/>
        <w:t>Visit</w:t>
      </w:r>
      <w:r w:rsidR="00053145">
        <w:t>s</w:t>
      </w:r>
      <w:r>
        <w:t xml:space="preserve"> and meetings</w:t>
      </w:r>
    </w:p>
    <w:p w:rsidR="00D341EA" w:rsidRDefault="00D341EA" w:rsidP="00D341EA">
      <w:pPr>
        <w:pStyle w:val="Heading3"/>
      </w:pPr>
      <w:r>
        <w:t>Australia</w:t>
      </w:r>
    </w:p>
    <w:p w:rsidR="006A78F7" w:rsidRDefault="006A78F7" w:rsidP="00A7799A">
      <w:pPr>
        <w:pStyle w:val="BodyText"/>
        <w:spacing w:before="40" w:after="40"/>
      </w:pPr>
      <w:r>
        <w:t>ActewAGL</w:t>
      </w:r>
    </w:p>
    <w:p w:rsidR="006A78F7" w:rsidRDefault="006A78F7" w:rsidP="00A7799A">
      <w:pPr>
        <w:pStyle w:val="BodyText"/>
        <w:spacing w:before="40" w:after="40"/>
      </w:pPr>
      <w:r>
        <w:t>Ausgrid</w:t>
      </w:r>
    </w:p>
    <w:p w:rsidR="006A78F7" w:rsidRDefault="00F46622" w:rsidP="006A78F7">
      <w:pPr>
        <w:pStyle w:val="BodyText"/>
        <w:spacing w:before="40" w:after="40"/>
      </w:pPr>
      <w:r>
        <w:t>ACT</w:t>
      </w:r>
      <w:r w:rsidR="006A78F7">
        <w:t xml:space="preserve"> Environment and Sustainable Development Directorate</w:t>
      </w:r>
    </w:p>
    <w:p w:rsidR="006A78F7" w:rsidRDefault="00F46622" w:rsidP="006A78F7">
      <w:pPr>
        <w:pStyle w:val="BodyText"/>
        <w:spacing w:before="40" w:after="40"/>
      </w:pPr>
      <w:r>
        <w:t>ACT</w:t>
      </w:r>
      <w:r w:rsidR="006A78F7">
        <w:t xml:space="preserve"> Treasury Directorate</w:t>
      </w:r>
    </w:p>
    <w:p w:rsidR="006A78F7" w:rsidRDefault="00F46622" w:rsidP="006A78F7">
      <w:pPr>
        <w:pStyle w:val="BodyText"/>
        <w:spacing w:before="120" w:after="40"/>
      </w:pPr>
      <w:r>
        <w:t>Australian Competition and</w:t>
      </w:r>
      <w:r w:rsidR="006A78F7">
        <w:t xml:space="preserve"> Consumer Commission</w:t>
      </w:r>
    </w:p>
    <w:p w:rsidR="004278B6" w:rsidRDefault="005C0E20" w:rsidP="00A7799A">
      <w:pPr>
        <w:pStyle w:val="BodyText"/>
        <w:spacing w:before="40" w:after="40"/>
      </w:pPr>
      <w:r>
        <w:t xml:space="preserve">Australian Government </w:t>
      </w:r>
      <w:r w:rsidR="004278B6">
        <w:t>Department of Resources, Energy and Tourism</w:t>
      </w:r>
    </w:p>
    <w:p w:rsidR="005C0E20" w:rsidRDefault="005C0E20" w:rsidP="00A7799A">
      <w:pPr>
        <w:pStyle w:val="BodyText"/>
        <w:spacing w:before="40" w:after="40"/>
      </w:pPr>
      <w:r>
        <w:t>Australian Government, The Treasury</w:t>
      </w:r>
    </w:p>
    <w:p w:rsidR="006A78F7" w:rsidRDefault="006A78F7" w:rsidP="00A7799A">
      <w:pPr>
        <w:pStyle w:val="BodyText"/>
        <w:spacing w:before="120" w:after="40"/>
      </w:pPr>
      <w:r>
        <w:t>Australian Energy Market Commission</w:t>
      </w:r>
    </w:p>
    <w:p w:rsidR="003017A9" w:rsidRDefault="003017A9" w:rsidP="00A7799A">
      <w:pPr>
        <w:pStyle w:val="BodyText"/>
        <w:spacing w:before="120" w:after="40"/>
      </w:pPr>
      <w:r>
        <w:t>A</w:t>
      </w:r>
      <w:r w:rsidR="00E662E8">
        <w:t xml:space="preserve">ustralian </w:t>
      </w:r>
      <w:r>
        <w:t>E</w:t>
      </w:r>
      <w:r w:rsidR="00E662E8">
        <w:t xml:space="preserve">nergy </w:t>
      </w:r>
      <w:r>
        <w:t>M</w:t>
      </w:r>
      <w:r w:rsidR="00E662E8">
        <w:t xml:space="preserve">arket </w:t>
      </w:r>
      <w:r>
        <w:t>O</w:t>
      </w:r>
      <w:r w:rsidR="00E662E8">
        <w:t>perator</w:t>
      </w:r>
    </w:p>
    <w:p w:rsidR="00F74D2C" w:rsidRDefault="00F74D2C" w:rsidP="00D4037C">
      <w:pPr>
        <w:pStyle w:val="BodyText"/>
        <w:spacing w:before="40" w:after="40"/>
      </w:pPr>
      <w:r>
        <w:t>Australian Energy Regulator</w:t>
      </w:r>
    </w:p>
    <w:p w:rsidR="006A78F7" w:rsidRDefault="006A78F7" w:rsidP="00A7799A">
      <w:pPr>
        <w:pStyle w:val="BodyText"/>
        <w:spacing w:before="40" w:after="40"/>
      </w:pPr>
      <w:r>
        <w:t>Australian Power and Gas</w:t>
      </w:r>
    </w:p>
    <w:p w:rsidR="00051811" w:rsidRDefault="00051811" w:rsidP="00051811">
      <w:pPr>
        <w:pStyle w:val="BodyText"/>
        <w:spacing w:before="120" w:after="40"/>
      </w:pPr>
      <w:r>
        <w:t xml:space="preserve">Basslink </w:t>
      </w:r>
    </w:p>
    <w:p w:rsidR="00051811" w:rsidRPr="00051811" w:rsidRDefault="00051811" w:rsidP="00051811">
      <w:pPr>
        <w:pStyle w:val="BodyText"/>
        <w:spacing w:before="40" w:after="40"/>
      </w:pPr>
      <w:r>
        <w:t>CitiPower and Powercor Australia</w:t>
      </w:r>
    </w:p>
    <w:p w:rsidR="00051811" w:rsidRDefault="00051811" w:rsidP="00051811">
      <w:pPr>
        <w:pStyle w:val="BodyText"/>
        <w:spacing w:before="120" w:after="40"/>
      </w:pPr>
      <w:r w:rsidRPr="00876CA7">
        <w:t>Electranet</w:t>
      </w:r>
    </w:p>
    <w:p w:rsidR="00051811" w:rsidRDefault="00051811" w:rsidP="00051811">
      <w:pPr>
        <w:pStyle w:val="BodyText"/>
        <w:spacing w:before="40" w:after="40"/>
      </w:pPr>
      <w:r>
        <w:t>Energex</w:t>
      </w:r>
    </w:p>
    <w:p w:rsidR="00051811" w:rsidRDefault="00051811" w:rsidP="00051811">
      <w:pPr>
        <w:pStyle w:val="BodyText"/>
        <w:spacing w:before="40" w:after="40"/>
      </w:pPr>
      <w:r>
        <w:t>Energy Network Association</w:t>
      </w:r>
    </w:p>
    <w:p w:rsidR="00051811" w:rsidRDefault="00051811" w:rsidP="00051811">
      <w:pPr>
        <w:pStyle w:val="BodyText"/>
        <w:spacing w:before="40" w:after="40"/>
      </w:pPr>
      <w:r>
        <w:t>Energy Retailers Association of Australia</w:t>
      </w:r>
    </w:p>
    <w:p w:rsidR="00051811" w:rsidRDefault="00051811" w:rsidP="00051811">
      <w:pPr>
        <w:pStyle w:val="BodyText"/>
        <w:spacing w:before="40" w:after="40"/>
      </w:pPr>
      <w:r>
        <w:t>Energy Supply Association of Australia</w:t>
      </w:r>
    </w:p>
    <w:p w:rsidR="00051811" w:rsidRDefault="00051811" w:rsidP="00051811">
      <w:pPr>
        <w:pStyle w:val="BodyText"/>
        <w:spacing w:before="40" w:after="40"/>
      </w:pPr>
      <w:r>
        <w:t>Energy Users Association of Australia</w:t>
      </w:r>
    </w:p>
    <w:p w:rsidR="00051811" w:rsidRDefault="00051811" w:rsidP="00051811">
      <w:pPr>
        <w:pStyle w:val="BodyText"/>
        <w:spacing w:before="40" w:after="40"/>
      </w:pPr>
      <w:r>
        <w:t>EnerNOC</w:t>
      </w:r>
    </w:p>
    <w:p w:rsidR="00051811" w:rsidRDefault="00051811" w:rsidP="00051811">
      <w:pPr>
        <w:pStyle w:val="BodyText"/>
        <w:spacing w:before="40" w:after="40"/>
      </w:pPr>
      <w:r>
        <w:t>Ergon Energy</w:t>
      </w:r>
    </w:p>
    <w:p w:rsidR="00051811" w:rsidRPr="00876CA7" w:rsidRDefault="00051811" w:rsidP="00A7799A">
      <w:pPr>
        <w:pStyle w:val="BodyText"/>
        <w:spacing w:before="40" w:after="40"/>
      </w:pPr>
      <w:r w:rsidRPr="00876CA7">
        <w:t>ERM Power</w:t>
      </w:r>
    </w:p>
    <w:p w:rsidR="001A53B4" w:rsidRPr="00876CA7" w:rsidRDefault="001A53B4" w:rsidP="00A7799A">
      <w:pPr>
        <w:pStyle w:val="BodyText"/>
        <w:spacing w:before="40" w:after="40"/>
      </w:pPr>
      <w:r w:rsidRPr="00876CA7">
        <w:t>Essential Energy</w:t>
      </w:r>
    </w:p>
    <w:p w:rsidR="00051811" w:rsidRPr="00876CA7" w:rsidRDefault="00051811" w:rsidP="00A7799A">
      <w:pPr>
        <w:pStyle w:val="BodyText"/>
        <w:spacing w:before="40" w:after="40"/>
      </w:pPr>
      <w:r w:rsidRPr="00876CA7">
        <w:t>Essential Services Commission</w:t>
      </w:r>
    </w:p>
    <w:p w:rsidR="00051811" w:rsidRPr="00876CA7" w:rsidRDefault="00051811" w:rsidP="00051811">
      <w:pPr>
        <w:pStyle w:val="BodyText"/>
        <w:spacing w:before="120" w:after="40"/>
      </w:pPr>
      <w:r w:rsidRPr="00876CA7">
        <w:t>Essential Services Commission of South Australia</w:t>
      </w:r>
    </w:p>
    <w:p w:rsidR="00051811" w:rsidRPr="00876CA7" w:rsidRDefault="00051811" w:rsidP="00051811">
      <w:pPr>
        <w:pStyle w:val="BodyText"/>
        <w:spacing w:before="40" w:after="40"/>
      </w:pPr>
      <w:r w:rsidRPr="00876CA7">
        <w:t>Gerard Ledwich</w:t>
      </w:r>
    </w:p>
    <w:p w:rsidR="00051811" w:rsidRDefault="00051811" w:rsidP="00A7799A">
      <w:pPr>
        <w:pStyle w:val="BodyText"/>
        <w:spacing w:before="40" w:after="40"/>
      </w:pPr>
      <w:r w:rsidRPr="00876CA7">
        <w:t>Grattan Institute</w:t>
      </w:r>
    </w:p>
    <w:p w:rsidR="001A53B4" w:rsidRDefault="001A53B4" w:rsidP="00A7799A">
      <w:pPr>
        <w:pStyle w:val="BodyText"/>
        <w:spacing w:before="40" w:after="40"/>
      </w:pPr>
      <w:r>
        <w:t>Grid Australia</w:t>
      </w:r>
    </w:p>
    <w:p w:rsidR="006A78F7" w:rsidRDefault="006A78F7" w:rsidP="00A7799A">
      <w:pPr>
        <w:pStyle w:val="BodyText"/>
        <w:spacing w:before="40" w:after="40"/>
      </w:pPr>
      <w:r>
        <w:t>Henry Ergas</w:t>
      </w:r>
    </w:p>
    <w:p w:rsidR="00051811" w:rsidRDefault="00051811" w:rsidP="00A7799A">
      <w:pPr>
        <w:pStyle w:val="BodyText"/>
        <w:spacing w:before="40" w:after="40"/>
      </w:pPr>
      <w:r>
        <w:t>Hydro Tasmania</w:t>
      </w:r>
    </w:p>
    <w:p w:rsidR="000C0B7A" w:rsidRDefault="000C0B7A" w:rsidP="00A7799A">
      <w:pPr>
        <w:pStyle w:val="BodyText"/>
        <w:spacing w:before="40" w:after="40"/>
      </w:pPr>
      <w:r>
        <w:t>Independent Pricing and Regulatory Tribunal</w:t>
      </w:r>
    </w:p>
    <w:p w:rsidR="00051811" w:rsidRDefault="00051811" w:rsidP="00A7799A">
      <w:pPr>
        <w:pStyle w:val="BodyText"/>
        <w:spacing w:before="40" w:after="40"/>
      </w:pPr>
      <w:r>
        <w:t>Jemena</w:t>
      </w:r>
    </w:p>
    <w:p w:rsidR="00051811" w:rsidRDefault="00051811" w:rsidP="00A7799A">
      <w:pPr>
        <w:pStyle w:val="BodyText"/>
        <w:spacing w:before="40" w:after="40"/>
      </w:pPr>
      <w:r>
        <w:lastRenderedPageBreak/>
        <w:t>John Tamblyn</w:t>
      </w:r>
    </w:p>
    <w:p w:rsidR="001A53B4" w:rsidRDefault="001A53B4" w:rsidP="00A7799A">
      <w:pPr>
        <w:pStyle w:val="BodyText"/>
        <w:spacing w:before="40" w:after="40"/>
      </w:pPr>
      <w:r>
        <w:t>Landis and Gyr</w:t>
      </w:r>
    </w:p>
    <w:p w:rsidR="006A78F7" w:rsidRDefault="006A78F7" w:rsidP="006A78F7">
      <w:pPr>
        <w:pStyle w:val="BodyText"/>
        <w:spacing w:before="40" w:after="40"/>
      </w:pPr>
      <w:r>
        <w:t xml:space="preserve">New South Wales Department of Premier and Cabinet </w:t>
      </w:r>
    </w:p>
    <w:p w:rsidR="006A78F7" w:rsidRDefault="006A78F7" w:rsidP="006A78F7">
      <w:pPr>
        <w:pStyle w:val="BodyText"/>
        <w:spacing w:before="40" w:after="40"/>
      </w:pPr>
      <w:r>
        <w:t>New South Wales Department of Resources and Energy, Trade and Investment</w:t>
      </w:r>
    </w:p>
    <w:p w:rsidR="006A78F7" w:rsidRDefault="006A78F7" w:rsidP="00A7799A">
      <w:pPr>
        <w:pStyle w:val="BodyText"/>
        <w:spacing w:before="40" w:after="40"/>
      </w:pPr>
      <w:r>
        <w:t>New South Wales Department of Treasury</w:t>
      </w:r>
    </w:p>
    <w:p w:rsidR="00051811" w:rsidRDefault="00051811" w:rsidP="00A7799A">
      <w:pPr>
        <w:pStyle w:val="BodyText"/>
        <w:spacing w:before="40" w:after="40"/>
      </w:pPr>
      <w:r>
        <w:t xml:space="preserve">Nuttal Consulting </w:t>
      </w:r>
    </w:p>
    <w:p w:rsidR="00051811" w:rsidRDefault="00051811" w:rsidP="00051811">
      <w:pPr>
        <w:pStyle w:val="BodyText"/>
        <w:spacing w:before="40" w:after="40"/>
      </w:pPr>
      <w:r>
        <w:t>Office of the Tasmanian Economic Regulator</w:t>
      </w:r>
    </w:p>
    <w:p w:rsidR="00051811" w:rsidRDefault="00051811" w:rsidP="00051811">
      <w:pPr>
        <w:pStyle w:val="BodyText"/>
        <w:spacing w:before="40" w:after="40"/>
      </w:pPr>
      <w:r>
        <w:t xml:space="preserve">Powerlink </w:t>
      </w:r>
    </w:p>
    <w:p w:rsidR="00051811" w:rsidRDefault="00051811" w:rsidP="00051811">
      <w:pPr>
        <w:pStyle w:val="BodyText"/>
        <w:spacing w:before="40" w:after="40"/>
      </w:pPr>
      <w:r>
        <w:t>Q Energy</w:t>
      </w:r>
    </w:p>
    <w:p w:rsidR="00051811" w:rsidRDefault="00051811" w:rsidP="00051811">
      <w:pPr>
        <w:pStyle w:val="BodyText"/>
        <w:spacing w:before="40" w:after="40"/>
      </w:pPr>
      <w:r>
        <w:t>Queensland Department of Employment, Economic Development and Innovation</w:t>
      </w:r>
    </w:p>
    <w:p w:rsidR="006A78F7" w:rsidRDefault="006A78F7" w:rsidP="006A78F7">
      <w:pPr>
        <w:pStyle w:val="BodyText"/>
        <w:spacing w:before="120" w:after="40"/>
      </w:pPr>
      <w:r>
        <w:t>Queensland Department of Treasury and Trade</w:t>
      </w:r>
    </w:p>
    <w:p w:rsidR="006A78F7" w:rsidRPr="00876CA7" w:rsidRDefault="006A78F7" w:rsidP="00A7799A">
      <w:pPr>
        <w:pStyle w:val="BodyText"/>
        <w:spacing w:before="40" w:after="40"/>
      </w:pPr>
      <w:r w:rsidRPr="00876CA7">
        <w:t>Queensland Department of Premiers and Cabinet</w:t>
      </w:r>
    </w:p>
    <w:p w:rsidR="00051811" w:rsidRPr="00876CA7" w:rsidRDefault="00051811" w:rsidP="00051811">
      <w:pPr>
        <w:pStyle w:val="BodyText"/>
        <w:spacing w:before="120" w:after="40"/>
      </w:pPr>
      <w:r w:rsidRPr="00876CA7">
        <w:t>SA Power Networks</w:t>
      </w:r>
    </w:p>
    <w:p w:rsidR="00051811" w:rsidRPr="00EB18B1" w:rsidRDefault="00876CA7" w:rsidP="00051811">
      <w:pPr>
        <w:pStyle w:val="BodyText"/>
        <w:spacing w:before="120" w:after="40"/>
      </w:pPr>
      <w:r w:rsidRPr="00EB18B1">
        <w:t>South Australian Department for Manufacturing, Innovation, Trade, Resources and Energy</w:t>
      </w:r>
    </w:p>
    <w:p w:rsidR="00051811" w:rsidRDefault="00051811" w:rsidP="00051811">
      <w:pPr>
        <w:pStyle w:val="BodyText"/>
        <w:spacing w:before="40" w:after="40"/>
      </w:pPr>
      <w:r w:rsidRPr="00EB18B1">
        <w:t>SP AusNet</w:t>
      </w:r>
    </w:p>
    <w:p w:rsidR="00051811" w:rsidRDefault="00051811" w:rsidP="00051811">
      <w:pPr>
        <w:pStyle w:val="BodyText"/>
        <w:spacing w:before="120" w:after="40"/>
      </w:pPr>
      <w:r>
        <w:t>Tasmanian Department of Infrastructure, Energy and Resources</w:t>
      </w:r>
    </w:p>
    <w:p w:rsidR="00051811" w:rsidRDefault="00051811" w:rsidP="00A7799A">
      <w:pPr>
        <w:pStyle w:val="BodyText"/>
        <w:spacing w:before="40" w:after="40"/>
      </w:pPr>
      <w:r>
        <w:t>Tasmanian Department of Treasury and Finance</w:t>
      </w:r>
    </w:p>
    <w:p w:rsidR="001A53B4" w:rsidRPr="00250036" w:rsidRDefault="001A53B4" w:rsidP="00A7799A">
      <w:pPr>
        <w:pStyle w:val="BodyText"/>
        <w:spacing w:before="40" w:after="40"/>
      </w:pPr>
      <w:r>
        <w:t>TransGrid</w:t>
      </w:r>
    </w:p>
    <w:p w:rsidR="00856186" w:rsidRDefault="001A53B4" w:rsidP="00A7799A">
      <w:pPr>
        <w:pStyle w:val="BodyText"/>
        <w:spacing w:before="40" w:after="40"/>
      </w:pPr>
      <w:r>
        <w:t>Transend Networks</w:t>
      </w:r>
    </w:p>
    <w:p w:rsidR="00051811" w:rsidRDefault="00051811" w:rsidP="00A7799A">
      <w:pPr>
        <w:pStyle w:val="BodyText"/>
        <w:spacing w:before="40" w:after="40"/>
      </w:pPr>
      <w:r>
        <w:t>United Energy</w:t>
      </w:r>
    </w:p>
    <w:p w:rsidR="00051811" w:rsidRDefault="00051811" w:rsidP="00A7799A">
      <w:pPr>
        <w:pStyle w:val="BodyText"/>
        <w:spacing w:before="40" w:after="40"/>
      </w:pPr>
      <w:r>
        <w:t>Victorian Competition and Efficiency Commission</w:t>
      </w:r>
    </w:p>
    <w:p w:rsidR="004739E7" w:rsidRDefault="00214E52" w:rsidP="00A7799A">
      <w:pPr>
        <w:pStyle w:val="BodyText"/>
        <w:spacing w:before="40" w:after="40"/>
      </w:pPr>
      <w:r>
        <w:t xml:space="preserve">Victorian </w:t>
      </w:r>
      <w:r w:rsidR="004739E7">
        <w:t>Department of Premier</w:t>
      </w:r>
      <w:r w:rsidR="00CC441E">
        <w:t xml:space="preserve"> and Cabinet</w:t>
      </w:r>
      <w:r w:rsidR="004739E7">
        <w:t xml:space="preserve"> </w:t>
      </w:r>
    </w:p>
    <w:p w:rsidR="004739E7" w:rsidRDefault="00214E52" w:rsidP="00A7799A">
      <w:pPr>
        <w:pStyle w:val="BodyText"/>
        <w:spacing w:before="40" w:after="40"/>
      </w:pPr>
      <w:r>
        <w:t xml:space="preserve">Victorian </w:t>
      </w:r>
      <w:r w:rsidR="004739E7">
        <w:t>Department of Primary Industries</w:t>
      </w:r>
    </w:p>
    <w:p w:rsidR="001A53B4" w:rsidRDefault="00214E52" w:rsidP="00A7799A">
      <w:pPr>
        <w:pStyle w:val="BodyText"/>
        <w:spacing w:before="40" w:after="40"/>
      </w:pPr>
      <w:r>
        <w:t xml:space="preserve">Western Australian </w:t>
      </w:r>
      <w:r w:rsidR="001A53B4">
        <w:t>Department of Finance</w:t>
      </w:r>
      <w:r>
        <w:t xml:space="preserve"> — Office of Energy</w:t>
      </w:r>
    </w:p>
    <w:p w:rsidR="00214E52" w:rsidRDefault="00214E52" w:rsidP="00A7799A">
      <w:pPr>
        <w:pStyle w:val="BodyText"/>
        <w:spacing w:before="40" w:after="40"/>
      </w:pPr>
      <w:r>
        <w:t xml:space="preserve">Western Australian Department of Treasury </w:t>
      </w:r>
    </w:p>
    <w:p w:rsidR="00856186" w:rsidRDefault="004278B6" w:rsidP="004278B6">
      <w:pPr>
        <w:pStyle w:val="Heading3"/>
      </w:pPr>
      <w:r>
        <w:t>Overseas</w:t>
      </w:r>
    </w:p>
    <w:p w:rsidR="001A53B4" w:rsidRDefault="001A53B4" w:rsidP="004278B6">
      <w:pPr>
        <w:pStyle w:val="BodyText"/>
        <w:spacing w:before="120"/>
      </w:pPr>
      <w:r>
        <w:t>Federal E</w:t>
      </w:r>
      <w:r w:rsidR="00C8342C">
        <w:t>nergy Regulatory Commission (US</w:t>
      </w:r>
      <w:r>
        <w:t xml:space="preserve">) </w:t>
      </w:r>
      <w:r w:rsidR="00BE0E2D">
        <w:t>—</w:t>
      </w:r>
      <w:r>
        <w:t xml:space="preserve"> videoconference</w:t>
      </w:r>
    </w:p>
    <w:p w:rsidR="004278B6" w:rsidRDefault="001A53B4" w:rsidP="004278B6">
      <w:pPr>
        <w:pStyle w:val="BodyText"/>
        <w:spacing w:before="120"/>
      </w:pPr>
      <w:r>
        <w:t>O</w:t>
      </w:r>
      <w:r w:rsidR="004278B6">
        <w:t xml:space="preserve">fgem (UK) </w:t>
      </w:r>
      <w:r w:rsidR="00E662E8">
        <w:t>—</w:t>
      </w:r>
      <w:r w:rsidR="004278B6">
        <w:t xml:space="preserve"> videoconference</w:t>
      </w:r>
    </w:p>
    <w:p w:rsidR="001A53B4" w:rsidRDefault="001A53B4" w:rsidP="004278B6">
      <w:pPr>
        <w:pStyle w:val="BodyText"/>
        <w:spacing w:before="120"/>
      </w:pPr>
      <w:r>
        <w:t>Stephen Littlechild</w:t>
      </w:r>
    </w:p>
    <w:p w:rsidR="001A53B4" w:rsidRDefault="001A53B4" w:rsidP="004278B6">
      <w:pPr>
        <w:pStyle w:val="BodyText"/>
        <w:spacing w:before="120"/>
      </w:pPr>
      <w:r>
        <w:t>William Hogan</w:t>
      </w:r>
    </w:p>
    <w:sectPr w:rsidR="001A53B4" w:rsidSect="00434F80">
      <w:headerReference w:type="even" r:id="rId9"/>
      <w:headerReference w:type="default" r:id="rId10"/>
      <w:footerReference w:type="even" r:id="rId11"/>
      <w:footerReference w:type="default" r:id="rId12"/>
      <w:pgSz w:w="11907" w:h="16840" w:code="9"/>
      <w:pgMar w:top="1985" w:right="1304" w:bottom="1418" w:left="1814" w:header="1701" w:footer="567" w:gutter="0"/>
      <w:pgNumType w:start="725"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6CA7" w:rsidRDefault="00876CA7">
      <w:r>
        <w:separator/>
      </w:r>
    </w:p>
  </w:endnote>
  <w:endnote w:type="continuationSeparator" w:id="0">
    <w:p w:rsidR="00876CA7" w:rsidRDefault="00876C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876CA7">
      <w:trPr>
        <w:trHeight w:hRule="exact" w:val="740"/>
      </w:trPr>
      <w:tc>
        <w:tcPr>
          <w:tcW w:w="510" w:type="dxa"/>
          <w:tcBorders>
            <w:top w:val="single" w:sz="6" w:space="0" w:color="auto"/>
          </w:tcBorders>
        </w:tcPr>
        <w:p w:rsidR="00876CA7" w:rsidRDefault="00876CA7"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0C1B7D">
            <w:rPr>
              <w:rStyle w:val="PageNumber"/>
              <w:noProof/>
            </w:rPr>
            <w:t>728</w:t>
          </w:r>
          <w:r>
            <w:rPr>
              <w:rStyle w:val="PageNumber"/>
            </w:rPr>
            <w:fldChar w:fldCharType="end"/>
          </w:r>
        </w:p>
      </w:tc>
      <w:tc>
        <w:tcPr>
          <w:tcW w:w="1644" w:type="dxa"/>
          <w:tcBorders>
            <w:top w:val="single" w:sz="6" w:space="0" w:color="auto"/>
          </w:tcBorders>
        </w:tcPr>
        <w:p w:rsidR="00876CA7" w:rsidRDefault="000C1B7D" w:rsidP="0019293B">
          <w:pPr>
            <w:pStyle w:val="Footer"/>
          </w:pPr>
          <w:r>
            <w:fldChar w:fldCharType="begin"/>
          </w:r>
          <w:r>
            <w:instrText xml:space="preserve"> SUBJECT  \* MERGEFORMAT </w:instrText>
          </w:r>
          <w:r>
            <w:fldChar w:fldCharType="separate"/>
          </w:r>
          <w:r w:rsidR="00CE15E8">
            <w:t>Electricity</w:t>
          </w:r>
          <w:r>
            <w:fldChar w:fldCharType="end"/>
          </w:r>
          <w:r w:rsidR="00876CA7">
            <w:t xml:space="preserve"> network regulation</w:t>
          </w:r>
        </w:p>
      </w:tc>
      <w:tc>
        <w:tcPr>
          <w:tcW w:w="6634" w:type="dxa"/>
        </w:tcPr>
        <w:p w:rsidR="00876CA7" w:rsidRDefault="00876CA7" w:rsidP="0019293B">
          <w:pPr>
            <w:pStyle w:val="Footer"/>
          </w:pPr>
        </w:p>
      </w:tc>
    </w:tr>
  </w:tbl>
  <w:p w:rsidR="00876CA7" w:rsidRDefault="00876CA7"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876CA7">
      <w:trPr>
        <w:trHeight w:hRule="exact" w:val="740"/>
      </w:trPr>
      <w:tc>
        <w:tcPr>
          <w:tcW w:w="6634" w:type="dxa"/>
        </w:tcPr>
        <w:p w:rsidR="00876CA7" w:rsidRDefault="00876CA7">
          <w:pPr>
            <w:pStyle w:val="Footer"/>
            <w:ind w:right="360" w:firstLine="360"/>
          </w:pPr>
        </w:p>
      </w:tc>
      <w:tc>
        <w:tcPr>
          <w:tcW w:w="1644" w:type="dxa"/>
          <w:tcBorders>
            <w:top w:val="single" w:sz="6" w:space="0" w:color="auto"/>
          </w:tcBorders>
        </w:tcPr>
        <w:p w:rsidR="00876CA7" w:rsidRDefault="00876CA7">
          <w:pPr>
            <w:pStyle w:val="Footer"/>
          </w:pPr>
          <w:r>
            <w:t>conduct of the inquiry</w:t>
          </w:r>
        </w:p>
      </w:tc>
      <w:tc>
        <w:tcPr>
          <w:tcW w:w="510" w:type="dxa"/>
          <w:tcBorders>
            <w:top w:val="single" w:sz="6" w:space="0" w:color="auto"/>
          </w:tcBorders>
        </w:tcPr>
        <w:p w:rsidR="00876CA7" w:rsidRDefault="00876CA7">
          <w:pPr>
            <w:pStyle w:val="Footer"/>
            <w:jc w:val="right"/>
          </w:pPr>
          <w:r>
            <w:rPr>
              <w:rStyle w:val="PageNumber"/>
            </w:rPr>
            <w:fldChar w:fldCharType="begin"/>
          </w:r>
          <w:r>
            <w:rPr>
              <w:rStyle w:val="PageNumber"/>
            </w:rPr>
            <w:instrText xml:space="preserve">PAGE  </w:instrText>
          </w:r>
          <w:r>
            <w:rPr>
              <w:rStyle w:val="PageNumber"/>
            </w:rPr>
            <w:fldChar w:fldCharType="separate"/>
          </w:r>
          <w:r w:rsidR="000C1B7D">
            <w:rPr>
              <w:rStyle w:val="PageNumber"/>
              <w:noProof/>
            </w:rPr>
            <w:t>725</w:t>
          </w:r>
          <w:r>
            <w:rPr>
              <w:rStyle w:val="PageNumber"/>
            </w:rPr>
            <w:fldChar w:fldCharType="end"/>
          </w:r>
        </w:p>
      </w:tc>
    </w:tr>
  </w:tbl>
  <w:p w:rsidR="00876CA7" w:rsidRDefault="00876CA7">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6CA7" w:rsidRDefault="00876CA7">
      <w:r>
        <w:separator/>
      </w:r>
    </w:p>
  </w:footnote>
  <w:footnote w:type="continuationSeparator" w:id="0">
    <w:p w:rsidR="00876CA7" w:rsidRDefault="00876C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876CA7">
      <w:tc>
        <w:tcPr>
          <w:tcW w:w="2155" w:type="dxa"/>
          <w:tcBorders>
            <w:top w:val="single" w:sz="24" w:space="0" w:color="auto"/>
          </w:tcBorders>
        </w:tcPr>
        <w:p w:rsidR="00876CA7" w:rsidRDefault="00876CA7" w:rsidP="0019293B">
          <w:pPr>
            <w:pStyle w:val="HeaderEven"/>
          </w:pPr>
        </w:p>
      </w:tc>
      <w:tc>
        <w:tcPr>
          <w:tcW w:w="6634" w:type="dxa"/>
          <w:tcBorders>
            <w:top w:val="single" w:sz="6" w:space="0" w:color="auto"/>
          </w:tcBorders>
        </w:tcPr>
        <w:p w:rsidR="00876CA7" w:rsidRDefault="00876CA7" w:rsidP="0019293B">
          <w:pPr>
            <w:pStyle w:val="HeaderEven"/>
          </w:pPr>
        </w:p>
      </w:tc>
    </w:tr>
  </w:tbl>
  <w:p w:rsidR="00876CA7" w:rsidRDefault="00876CA7"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876CA7">
      <w:tc>
        <w:tcPr>
          <w:tcW w:w="6634" w:type="dxa"/>
          <w:tcBorders>
            <w:top w:val="single" w:sz="6" w:space="0" w:color="auto"/>
          </w:tcBorders>
        </w:tcPr>
        <w:p w:rsidR="00876CA7" w:rsidRDefault="00876CA7" w:rsidP="00E669E2">
          <w:pPr>
            <w:pStyle w:val="HeaderOdd"/>
          </w:pPr>
        </w:p>
      </w:tc>
      <w:tc>
        <w:tcPr>
          <w:tcW w:w="2155" w:type="dxa"/>
          <w:tcBorders>
            <w:top w:val="single" w:sz="24" w:space="0" w:color="auto"/>
          </w:tcBorders>
        </w:tcPr>
        <w:p w:rsidR="00876CA7" w:rsidRDefault="00876CA7" w:rsidP="00E669E2">
          <w:pPr>
            <w:pStyle w:val="HeaderOdd"/>
          </w:pPr>
        </w:p>
      </w:tc>
    </w:tr>
  </w:tbl>
  <w:p w:rsidR="00876CA7" w:rsidRDefault="00876CA7"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0">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1">
    <w:nsid w:val="3D72703C"/>
    <w:multiLevelType w:val="hybridMultilevel"/>
    <w:tmpl w:val="DD5E185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2">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3">
    <w:nsid w:val="51F74561"/>
    <w:multiLevelType w:val="singleLevel"/>
    <w:tmpl w:val="ED98921A"/>
    <w:lvl w:ilvl="0">
      <w:start w:val="1"/>
      <w:numFmt w:val="decimal"/>
      <w:lvlText w:val="%1."/>
      <w:legacy w:legacy="1" w:legacySpace="0" w:legacyIndent="340"/>
      <w:lvlJc w:val="left"/>
      <w:pPr>
        <w:ind w:left="340" w:hanging="340"/>
      </w:pPr>
    </w:lvl>
  </w:abstractNum>
  <w:abstractNum w:abstractNumId="24">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5">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6">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7">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8">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29">
    <w:nsid w:val="5A096576"/>
    <w:multiLevelType w:val="singleLevel"/>
    <w:tmpl w:val="ED98921A"/>
    <w:lvl w:ilvl="0">
      <w:start w:val="1"/>
      <w:numFmt w:val="decimal"/>
      <w:lvlText w:val="%1."/>
      <w:legacy w:legacy="1" w:legacySpace="0" w:legacyIndent="340"/>
      <w:lvlJc w:val="left"/>
      <w:pPr>
        <w:ind w:left="340" w:hanging="340"/>
      </w:pPr>
    </w:lvl>
  </w:abstractNum>
  <w:abstractNum w:abstractNumId="30">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nsid w:val="60055F7F"/>
    <w:multiLevelType w:val="singleLevel"/>
    <w:tmpl w:val="ED98921A"/>
    <w:lvl w:ilvl="0">
      <w:start w:val="1"/>
      <w:numFmt w:val="decimal"/>
      <w:lvlText w:val="%1."/>
      <w:legacy w:legacy="1" w:legacySpace="0" w:legacyIndent="340"/>
      <w:lvlJc w:val="left"/>
      <w:pPr>
        <w:ind w:left="340" w:hanging="340"/>
      </w:pPr>
    </w:lvl>
  </w:abstractNum>
  <w:abstractNum w:abstractNumId="32">
    <w:nsid w:val="608E741E"/>
    <w:multiLevelType w:val="singleLevel"/>
    <w:tmpl w:val="ED98921A"/>
    <w:lvl w:ilvl="0">
      <w:start w:val="1"/>
      <w:numFmt w:val="decimal"/>
      <w:lvlText w:val="%1."/>
      <w:legacy w:legacy="1" w:legacySpace="0" w:legacyIndent="340"/>
      <w:lvlJc w:val="left"/>
      <w:pPr>
        <w:ind w:left="340" w:hanging="340"/>
      </w:pPr>
    </w:lvl>
  </w:abstractNum>
  <w:abstractNum w:abstractNumId="33">
    <w:nsid w:val="61320C1E"/>
    <w:multiLevelType w:val="singleLevel"/>
    <w:tmpl w:val="C444122C"/>
    <w:lvl w:ilvl="0">
      <w:start w:val="1"/>
      <w:numFmt w:val="decimal"/>
      <w:lvlText w:val="%1."/>
      <w:legacy w:legacy="1" w:legacySpace="0" w:legacyIndent="284"/>
      <w:lvlJc w:val="left"/>
      <w:pPr>
        <w:ind w:left="284" w:hanging="284"/>
      </w:pPr>
    </w:lvl>
  </w:abstractNum>
  <w:abstractNum w:abstractNumId="34">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5">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6">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7">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38">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0">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1">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2">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9"/>
  </w:num>
  <w:num w:numId="2">
    <w:abstractNumId w:val="10"/>
  </w:num>
  <w:num w:numId="3">
    <w:abstractNumId w:val="40"/>
  </w:num>
  <w:num w:numId="4">
    <w:abstractNumId w:val="7"/>
  </w:num>
  <w:num w:numId="5">
    <w:abstractNumId w:val="5"/>
  </w:num>
  <w:num w:numId="6">
    <w:abstractNumId w:val="24"/>
  </w:num>
  <w:num w:numId="7">
    <w:abstractNumId w:val="3"/>
  </w:num>
  <w:num w:numId="8">
    <w:abstractNumId w:val="9"/>
  </w:num>
  <w:num w:numId="9">
    <w:abstractNumId w:val="2"/>
  </w:num>
  <w:num w:numId="10">
    <w:abstractNumId w:val="35"/>
  </w:num>
  <w:num w:numId="11">
    <w:abstractNumId w:val="4"/>
  </w:num>
  <w:num w:numId="12">
    <w:abstractNumId w:val="1"/>
  </w:num>
  <w:num w:numId="13">
    <w:abstractNumId w:val="0"/>
  </w:num>
  <w:num w:numId="14">
    <w:abstractNumId w:val="27"/>
  </w:num>
  <w:num w:numId="15">
    <w:abstractNumId w:val="41"/>
  </w:num>
  <w:num w:numId="16">
    <w:abstractNumId w:val="17"/>
  </w:num>
  <w:num w:numId="17">
    <w:abstractNumId w:val="16"/>
  </w:num>
  <w:num w:numId="18">
    <w:abstractNumId w:val="25"/>
  </w:num>
  <w:num w:numId="19">
    <w:abstractNumId w:val="12"/>
  </w:num>
  <w:num w:numId="20">
    <w:abstractNumId w:val="32"/>
  </w:num>
  <w:num w:numId="21">
    <w:abstractNumId w:val="34"/>
  </w:num>
  <w:num w:numId="22">
    <w:abstractNumId w:val="23"/>
  </w:num>
  <w:num w:numId="23">
    <w:abstractNumId w:val="26"/>
  </w:num>
  <w:num w:numId="24">
    <w:abstractNumId w:val="28"/>
  </w:num>
  <w:num w:numId="25">
    <w:abstractNumId w:val="39"/>
  </w:num>
  <w:num w:numId="26">
    <w:abstractNumId w:val="31"/>
  </w:num>
  <w:num w:numId="27">
    <w:abstractNumId w:val="36"/>
  </w:num>
  <w:num w:numId="28">
    <w:abstractNumId w:val="37"/>
  </w:num>
  <w:num w:numId="29">
    <w:abstractNumId w:val="29"/>
  </w:num>
  <w:num w:numId="30">
    <w:abstractNumId w:val="20"/>
  </w:num>
  <w:num w:numId="31">
    <w:abstractNumId w:val="42"/>
  </w:num>
  <w:num w:numId="32">
    <w:abstractNumId w:val="15"/>
  </w:num>
  <w:num w:numId="33">
    <w:abstractNumId w:val="8"/>
  </w:num>
  <w:num w:numId="34">
    <w:abstractNumId w:val="18"/>
  </w:num>
  <w:num w:numId="35">
    <w:abstractNumId w:val="38"/>
  </w:num>
  <w:num w:numId="36">
    <w:abstractNumId w:val="30"/>
  </w:num>
  <w:num w:numId="37">
    <w:abstractNumId w:val="13"/>
  </w:num>
  <w:num w:numId="38">
    <w:abstractNumId w:val="33"/>
  </w:num>
  <w:num w:numId="39">
    <w:abstractNumId w:val="14"/>
  </w:num>
  <w:num w:numId="40">
    <w:abstractNumId w:val="17"/>
  </w:num>
  <w:num w:numId="41">
    <w:abstractNumId w:val="9"/>
  </w:num>
  <w:num w:numId="42">
    <w:abstractNumId w:val="22"/>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 w:numId="4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A"/>
    <w:docVar w:name="FindingOptions" w:val="1"/>
    <w:docVar w:name="RecOptions" w:val="111"/>
    <w:docVar w:name="ShortChapterTitle" w:val="Appendix"/>
    <w:docVar w:name="ShortReportTitle" w:val="Electricity"/>
  </w:docVars>
  <w:rsids>
    <w:rsidRoot w:val="00250036"/>
    <w:rsid w:val="000245AA"/>
    <w:rsid w:val="0003664B"/>
    <w:rsid w:val="0004111F"/>
    <w:rsid w:val="00051811"/>
    <w:rsid w:val="00053145"/>
    <w:rsid w:val="000565B3"/>
    <w:rsid w:val="00067C6E"/>
    <w:rsid w:val="0007150B"/>
    <w:rsid w:val="000859CA"/>
    <w:rsid w:val="000938F5"/>
    <w:rsid w:val="000B601B"/>
    <w:rsid w:val="000C0B7A"/>
    <w:rsid w:val="000C1B7D"/>
    <w:rsid w:val="000C207E"/>
    <w:rsid w:val="000E2493"/>
    <w:rsid w:val="00110116"/>
    <w:rsid w:val="001244B2"/>
    <w:rsid w:val="00126EB8"/>
    <w:rsid w:val="00135242"/>
    <w:rsid w:val="001363AA"/>
    <w:rsid w:val="00183E82"/>
    <w:rsid w:val="0019293B"/>
    <w:rsid w:val="001A53B4"/>
    <w:rsid w:val="001C0865"/>
    <w:rsid w:val="001C3ABA"/>
    <w:rsid w:val="001E7BE8"/>
    <w:rsid w:val="001F0248"/>
    <w:rsid w:val="001F3EB3"/>
    <w:rsid w:val="00202C2C"/>
    <w:rsid w:val="00214E52"/>
    <w:rsid w:val="00242279"/>
    <w:rsid w:val="00245C82"/>
    <w:rsid w:val="00250036"/>
    <w:rsid w:val="00291B40"/>
    <w:rsid w:val="002A12E8"/>
    <w:rsid w:val="002B4008"/>
    <w:rsid w:val="002D0E8E"/>
    <w:rsid w:val="002E2885"/>
    <w:rsid w:val="00301189"/>
    <w:rsid w:val="003017A9"/>
    <w:rsid w:val="00323E09"/>
    <w:rsid w:val="00333932"/>
    <w:rsid w:val="003518AA"/>
    <w:rsid w:val="00352165"/>
    <w:rsid w:val="00353182"/>
    <w:rsid w:val="003565D9"/>
    <w:rsid w:val="003602E1"/>
    <w:rsid w:val="00360D2B"/>
    <w:rsid w:val="0037026F"/>
    <w:rsid w:val="00371240"/>
    <w:rsid w:val="00374731"/>
    <w:rsid w:val="003919F9"/>
    <w:rsid w:val="003C38B5"/>
    <w:rsid w:val="003C5D99"/>
    <w:rsid w:val="003F0789"/>
    <w:rsid w:val="00401882"/>
    <w:rsid w:val="004100C8"/>
    <w:rsid w:val="00412ACE"/>
    <w:rsid w:val="004278B6"/>
    <w:rsid w:val="00431249"/>
    <w:rsid w:val="00434C19"/>
    <w:rsid w:val="00434F80"/>
    <w:rsid w:val="00441A84"/>
    <w:rsid w:val="00450810"/>
    <w:rsid w:val="004739E7"/>
    <w:rsid w:val="00477144"/>
    <w:rsid w:val="00481B41"/>
    <w:rsid w:val="0049459F"/>
    <w:rsid w:val="004A38DD"/>
    <w:rsid w:val="004B43AE"/>
    <w:rsid w:val="004C30ED"/>
    <w:rsid w:val="004D5675"/>
    <w:rsid w:val="00523639"/>
    <w:rsid w:val="00541561"/>
    <w:rsid w:val="00583C39"/>
    <w:rsid w:val="005909CF"/>
    <w:rsid w:val="00591E71"/>
    <w:rsid w:val="005A0D41"/>
    <w:rsid w:val="005C0E20"/>
    <w:rsid w:val="00603F50"/>
    <w:rsid w:val="00607BF1"/>
    <w:rsid w:val="00630D4D"/>
    <w:rsid w:val="00632A74"/>
    <w:rsid w:val="006505E7"/>
    <w:rsid w:val="00687274"/>
    <w:rsid w:val="006A4655"/>
    <w:rsid w:val="006A78F7"/>
    <w:rsid w:val="006B2B3C"/>
    <w:rsid w:val="006C7038"/>
    <w:rsid w:val="006E73EF"/>
    <w:rsid w:val="00714D4D"/>
    <w:rsid w:val="00752883"/>
    <w:rsid w:val="007604BB"/>
    <w:rsid w:val="00785232"/>
    <w:rsid w:val="007A21EB"/>
    <w:rsid w:val="007C36C9"/>
    <w:rsid w:val="007E01E4"/>
    <w:rsid w:val="007F7107"/>
    <w:rsid w:val="0081030F"/>
    <w:rsid w:val="0082087D"/>
    <w:rsid w:val="00842933"/>
    <w:rsid w:val="00856186"/>
    <w:rsid w:val="0086082C"/>
    <w:rsid w:val="00864ADC"/>
    <w:rsid w:val="00876CA7"/>
    <w:rsid w:val="00880153"/>
    <w:rsid w:val="00880F97"/>
    <w:rsid w:val="0088133A"/>
    <w:rsid w:val="0089285E"/>
    <w:rsid w:val="0089436C"/>
    <w:rsid w:val="008D365C"/>
    <w:rsid w:val="009030BF"/>
    <w:rsid w:val="009053AF"/>
    <w:rsid w:val="00914368"/>
    <w:rsid w:val="00920AC9"/>
    <w:rsid w:val="00930C73"/>
    <w:rsid w:val="00931076"/>
    <w:rsid w:val="009345D9"/>
    <w:rsid w:val="00934B15"/>
    <w:rsid w:val="00942B62"/>
    <w:rsid w:val="00956A0C"/>
    <w:rsid w:val="00956BD9"/>
    <w:rsid w:val="00962489"/>
    <w:rsid w:val="00984103"/>
    <w:rsid w:val="00990C2C"/>
    <w:rsid w:val="009B35D7"/>
    <w:rsid w:val="009F696D"/>
    <w:rsid w:val="009F6BC6"/>
    <w:rsid w:val="00A11B7E"/>
    <w:rsid w:val="00A17328"/>
    <w:rsid w:val="00A23A20"/>
    <w:rsid w:val="00A24953"/>
    <w:rsid w:val="00A268B9"/>
    <w:rsid w:val="00A2703A"/>
    <w:rsid w:val="00A33DFF"/>
    <w:rsid w:val="00A35115"/>
    <w:rsid w:val="00A554AB"/>
    <w:rsid w:val="00A7799A"/>
    <w:rsid w:val="00A92B53"/>
    <w:rsid w:val="00A94FA6"/>
    <w:rsid w:val="00A95BD7"/>
    <w:rsid w:val="00AA49A0"/>
    <w:rsid w:val="00AA6710"/>
    <w:rsid w:val="00AB0681"/>
    <w:rsid w:val="00AF40FF"/>
    <w:rsid w:val="00B440AD"/>
    <w:rsid w:val="00B53E7E"/>
    <w:rsid w:val="00B6342E"/>
    <w:rsid w:val="00B7113F"/>
    <w:rsid w:val="00B975E4"/>
    <w:rsid w:val="00BA73B6"/>
    <w:rsid w:val="00BB4FCD"/>
    <w:rsid w:val="00BD13EA"/>
    <w:rsid w:val="00BE0E2D"/>
    <w:rsid w:val="00BE3808"/>
    <w:rsid w:val="00C0242C"/>
    <w:rsid w:val="00C062E9"/>
    <w:rsid w:val="00C07B64"/>
    <w:rsid w:val="00C13721"/>
    <w:rsid w:val="00C3066D"/>
    <w:rsid w:val="00C338C5"/>
    <w:rsid w:val="00C543F4"/>
    <w:rsid w:val="00C6291C"/>
    <w:rsid w:val="00C633CB"/>
    <w:rsid w:val="00C8342C"/>
    <w:rsid w:val="00C8371D"/>
    <w:rsid w:val="00C8762C"/>
    <w:rsid w:val="00CA00F9"/>
    <w:rsid w:val="00CA2961"/>
    <w:rsid w:val="00CB50D7"/>
    <w:rsid w:val="00CB7177"/>
    <w:rsid w:val="00CC1998"/>
    <w:rsid w:val="00CC441E"/>
    <w:rsid w:val="00CC4946"/>
    <w:rsid w:val="00CD0E39"/>
    <w:rsid w:val="00CE15E8"/>
    <w:rsid w:val="00CF544E"/>
    <w:rsid w:val="00CF5DE4"/>
    <w:rsid w:val="00D270A4"/>
    <w:rsid w:val="00D341EA"/>
    <w:rsid w:val="00D34E1B"/>
    <w:rsid w:val="00D376BA"/>
    <w:rsid w:val="00D4037C"/>
    <w:rsid w:val="00D5568A"/>
    <w:rsid w:val="00D63D73"/>
    <w:rsid w:val="00D66E1E"/>
    <w:rsid w:val="00D75722"/>
    <w:rsid w:val="00DA5BBA"/>
    <w:rsid w:val="00DB67C9"/>
    <w:rsid w:val="00DC0C95"/>
    <w:rsid w:val="00DD6580"/>
    <w:rsid w:val="00DF265B"/>
    <w:rsid w:val="00E17C72"/>
    <w:rsid w:val="00E21FC6"/>
    <w:rsid w:val="00E25AD1"/>
    <w:rsid w:val="00E662E8"/>
    <w:rsid w:val="00E669E2"/>
    <w:rsid w:val="00E76135"/>
    <w:rsid w:val="00EB18B1"/>
    <w:rsid w:val="00EC2844"/>
    <w:rsid w:val="00EE1A93"/>
    <w:rsid w:val="00EF6C6C"/>
    <w:rsid w:val="00F056FC"/>
    <w:rsid w:val="00F10476"/>
    <w:rsid w:val="00F135D8"/>
    <w:rsid w:val="00F31299"/>
    <w:rsid w:val="00F3534A"/>
    <w:rsid w:val="00F37B7E"/>
    <w:rsid w:val="00F46622"/>
    <w:rsid w:val="00F66FE2"/>
    <w:rsid w:val="00F74D2C"/>
    <w:rsid w:val="00F85325"/>
    <w:rsid w:val="00FD22B1"/>
    <w:rsid w:val="00FE53C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DA5BBA"/>
    <w:rPr>
      <w:sz w:val="26"/>
      <w:szCs w:val="24"/>
    </w:rPr>
  </w:style>
  <w:style w:type="paragraph" w:styleId="Heading1">
    <w:name w:val="heading 1"/>
    <w:basedOn w:val="Normal"/>
    <w:next w:val="BodyText"/>
    <w:rsid w:val="00FD22B1"/>
    <w:pPr>
      <w:keepNext/>
      <w:spacing w:before="160" w:after="1360" w:line="600" w:lineRule="exact"/>
      <w:ind w:left="907" w:hanging="907"/>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39"/>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A17328"/>
    <w:pPr>
      <w:spacing w:before="120" w:after="0"/>
      <w:ind w:left="1304" w:hanging="1304"/>
    </w:p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rPr>
      <w:szCs w:val="20"/>
    </w:rPr>
  </w:style>
  <w:style w:type="paragraph" w:customStyle="1" w:styleId="ChapterSummary">
    <w:name w:val="Chapter Summary"/>
    <w:basedOn w:val="BodyText"/>
    <w:semiHidden/>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A17328"/>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A17328"/>
    <w:pPr>
      <w:keepNext/>
      <w:framePr w:hSpace="181" w:wrap="notBeside" w:vAnchor="text" w:hAnchor="text" w:xAlign="outside" w:y="1"/>
    </w:pPr>
    <w:rPr>
      <w:caps/>
      <w:sz w:val="16"/>
    </w:rPr>
  </w:style>
  <w:style w:type="paragraph" w:customStyle="1" w:styleId="FindingTitle">
    <w:name w:val="Finding Title"/>
    <w:basedOn w:val="RecTitle"/>
    <w:next w:val="Finding"/>
    <w:rsid w:val="00A17328"/>
    <w:pPr>
      <w:framePr w:wrap="notBeside"/>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40"/>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A17328"/>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rFonts w:ascii="Arial" w:hAnsi="Arial"/>
      <w:sz w:val="22"/>
    </w:rPr>
  </w:style>
  <w:style w:type="character" w:styleId="Emphasis">
    <w:name w:val="Emphasis"/>
    <w:basedOn w:val="DefaultParagraphFont"/>
    <w:rsid w:val="00DA5BB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DA5BBA"/>
    <w:rPr>
      <w:sz w:val="26"/>
      <w:szCs w:val="24"/>
    </w:rPr>
  </w:style>
  <w:style w:type="paragraph" w:styleId="Heading1">
    <w:name w:val="heading 1"/>
    <w:basedOn w:val="Normal"/>
    <w:next w:val="BodyText"/>
    <w:rsid w:val="00FD22B1"/>
    <w:pPr>
      <w:keepNext/>
      <w:spacing w:before="160" w:after="1360" w:line="600" w:lineRule="exact"/>
      <w:ind w:left="907" w:hanging="907"/>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39"/>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A17328"/>
    <w:pPr>
      <w:spacing w:before="120" w:after="0"/>
      <w:ind w:left="1304" w:hanging="1304"/>
    </w:p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rPr>
      <w:szCs w:val="20"/>
    </w:rPr>
  </w:style>
  <w:style w:type="paragraph" w:customStyle="1" w:styleId="ChapterSummary">
    <w:name w:val="Chapter Summary"/>
    <w:basedOn w:val="BodyText"/>
    <w:semiHidden/>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A17328"/>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A17328"/>
    <w:pPr>
      <w:keepNext/>
      <w:framePr w:hSpace="181" w:wrap="notBeside" w:vAnchor="text" w:hAnchor="text" w:xAlign="outside" w:y="1"/>
    </w:pPr>
    <w:rPr>
      <w:caps/>
      <w:sz w:val="16"/>
    </w:rPr>
  </w:style>
  <w:style w:type="paragraph" w:customStyle="1" w:styleId="FindingTitle">
    <w:name w:val="Finding Title"/>
    <w:basedOn w:val="RecTitle"/>
    <w:next w:val="Finding"/>
    <w:rsid w:val="00A17328"/>
    <w:pPr>
      <w:framePr w:wrap="notBeside"/>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40"/>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A17328"/>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rFonts w:ascii="Arial" w:hAnsi="Arial"/>
      <w:sz w:val="22"/>
    </w:rPr>
  </w:style>
  <w:style w:type="character" w:styleId="Emphasis">
    <w:name w:val="Emphasis"/>
    <w:basedOn w:val="DefaultParagraphFont"/>
    <w:rsid w:val="00DA5BB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50B7C7-AF8D-4DE0-A637-DBF88195C8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4</TotalTime>
  <Pages>4</Pages>
  <Words>601</Words>
  <Characters>3432</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Appendix</vt:lpstr>
    </vt:vector>
  </TitlesOfParts>
  <Company>Productivity Commission</Company>
  <LinksUpToDate>false</LinksUpToDate>
  <CharactersWithSpaces>4025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dc:title>
  <dc:subject>Electricity</dc:subject>
  <dc:creator>Productivity Commission</dc:creator>
  <dc:description>A.</dc:description>
  <cp:lastModifiedBy>Productivity Commission</cp:lastModifiedBy>
  <cp:revision>9</cp:revision>
  <cp:lastPrinted>2012-10-10T16:52:00Z</cp:lastPrinted>
  <dcterms:created xsi:type="dcterms:W3CDTF">2012-10-10T16:33:00Z</dcterms:created>
  <dcterms:modified xsi:type="dcterms:W3CDTF">2012-10-15T01:37:00Z</dcterms:modified>
</cp:coreProperties>
</file>