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315762" w:rsidP="00315762">
      <w:pPr>
        <w:pStyle w:val="Chapter"/>
        <w:ind w:left="907" w:hanging="907"/>
      </w:pPr>
      <w:bookmarkStart w:id="0" w:name="_AppendixNotByChapter"/>
      <w:bookmarkStart w:id="1" w:name="ChapterNumber"/>
      <w:bookmarkEnd w:id="0"/>
      <w:r>
        <w:t>C</w:t>
      </w:r>
      <w:bookmarkEnd w:id="1"/>
      <w:r>
        <w:tab/>
      </w:r>
      <w:bookmarkStart w:id="2" w:name="ChapterTitle"/>
      <w:r>
        <w:t>Hedging</w:t>
      </w:r>
      <w:bookmarkEnd w:id="2"/>
      <w:r w:rsidR="001F3032">
        <w:t xml:space="preserve"> </w:t>
      </w:r>
      <w:r w:rsidR="00164D1E">
        <w:t>in the electricity market</w:t>
      </w:r>
    </w:p>
    <w:p w:rsidR="00600038" w:rsidRPr="00600038" w:rsidRDefault="00315762" w:rsidP="00172DAB">
      <w:pPr>
        <w:pStyle w:val="Heading2"/>
      </w:pPr>
      <w:proofErr w:type="spellStart"/>
      <w:r>
        <w:t>C.</w:t>
      </w:r>
      <w:r>
        <w:rPr>
          <w:noProof/>
        </w:rPr>
        <w:t>1</w:t>
      </w:r>
      <w:proofErr w:type="spellEnd"/>
      <w:r w:rsidR="00ED6656">
        <w:tab/>
      </w:r>
      <w:r w:rsidR="00D84A0C">
        <w:t>The role of hedging</w:t>
      </w:r>
    </w:p>
    <w:p w:rsidR="00985992" w:rsidRDefault="00600038" w:rsidP="00600038">
      <w:pPr>
        <w:spacing w:before="240" w:line="320" w:lineRule="atLeast"/>
        <w:jc w:val="both"/>
        <w:rPr>
          <w:szCs w:val="20"/>
        </w:rPr>
      </w:pPr>
      <w:r w:rsidRPr="00600038">
        <w:rPr>
          <w:szCs w:val="20"/>
        </w:rPr>
        <w:t>Electricity prices in the spot market are highly variable. The price, which usually sits between $0 and $100</w:t>
      </w:r>
      <w:r w:rsidR="00956EA9">
        <w:rPr>
          <w:szCs w:val="20"/>
        </w:rPr>
        <w:t xml:space="preserve"> per megawatt hour</w:t>
      </w:r>
      <w:r w:rsidRPr="00600038">
        <w:rPr>
          <w:szCs w:val="20"/>
        </w:rPr>
        <w:t>, can suddenly rise to $12</w:t>
      </w:r>
      <w:r w:rsidR="001F3032">
        <w:rPr>
          <w:szCs w:val="20"/>
        </w:rPr>
        <w:t> </w:t>
      </w:r>
      <w:r w:rsidR="008C3665">
        <w:rPr>
          <w:szCs w:val="20"/>
        </w:rPr>
        <w:t>9</w:t>
      </w:r>
      <w:r w:rsidRPr="00600038">
        <w:rPr>
          <w:szCs w:val="20"/>
        </w:rPr>
        <w:t xml:space="preserve">00 or </w:t>
      </w:r>
      <w:r w:rsidR="00164D1E">
        <w:rPr>
          <w:szCs w:val="20"/>
        </w:rPr>
        <w:t>fall</w:t>
      </w:r>
      <w:r w:rsidR="00164D1E" w:rsidRPr="00600038">
        <w:rPr>
          <w:szCs w:val="20"/>
        </w:rPr>
        <w:t xml:space="preserve"> </w:t>
      </w:r>
      <w:r w:rsidRPr="00600038">
        <w:rPr>
          <w:szCs w:val="20"/>
        </w:rPr>
        <w:t>to -$1000</w:t>
      </w:r>
      <w:r w:rsidR="00164D1E">
        <w:rPr>
          <w:szCs w:val="20"/>
        </w:rPr>
        <w:t xml:space="preserve"> per megawatt hour, depending on market conditions</w:t>
      </w:r>
      <w:r w:rsidRPr="00600038">
        <w:rPr>
          <w:szCs w:val="20"/>
        </w:rPr>
        <w:t xml:space="preserve">. </w:t>
      </w:r>
    </w:p>
    <w:p w:rsidR="001F662A" w:rsidRDefault="00DC1265" w:rsidP="00600038">
      <w:pPr>
        <w:spacing w:before="240" w:line="320" w:lineRule="atLeast"/>
        <w:jc w:val="both"/>
        <w:rPr>
          <w:szCs w:val="20"/>
        </w:rPr>
      </w:pPr>
      <w:r>
        <w:rPr>
          <w:szCs w:val="20"/>
        </w:rPr>
        <w:t xml:space="preserve">Such price fluctuations potentially expose both retailers and generators to significant risk. </w:t>
      </w:r>
      <w:r w:rsidR="00600038" w:rsidRPr="00600038">
        <w:rPr>
          <w:szCs w:val="20"/>
        </w:rPr>
        <w:t>Retailers make agreements with homes and businesses to deliver electricity at a</w:t>
      </w:r>
      <w:r w:rsidR="00B1246A">
        <w:rPr>
          <w:szCs w:val="20"/>
        </w:rPr>
        <w:t>n</w:t>
      </w:r>
      <w:r w:rsidR="00600038" w:rsidRPr="00600038">
        <w:rPr>
          <w:szCs w:val="20"/>
        </w:rPr>
        <w:t xml:space="preserve"> agreed </w:t>
      </w:r>
      <w:r w:rsidR="00985992">
        <w:rPr>
          <w:szCs w:val="20"/>
        </w:rPr>
        <w:t>price</w:t>
      </w:r>
      <w:r w:rsidR="000167AC">
        <w:rPr>
          <w:szCs w:val="20"/>
        </w:rPr>
        <w:t xml:space="preserve"> — agreements that must be met even if</w:t>
      </w:r>
      <w:r w:rsidR="00600038" w:rsidRPr="00600038">
        <w:rPr>
          <w:szCs w:val="20"/>
        </w:rPr>
        <w:t xml:space="preserve"> the price in the spot market </w:t>
      </w:r>
      <w:r w:rsidR="000167AC">
        <w:rPr>
          <w:szCs w:val="20"/>
        </w:rPr>
        <w:t>rises</w:t>
      </w:r>
      <w:r w:rsidR="000167AC" w:rsidRPr="00600038">
        <w:rPr>
          <w:szCs w:val="20"/>
        </w:rPr>
        <w:t xml:space="preserve"> </w:t>
      </w:r>
      <w:r w:rsidR="00600038" w:rsidRPr="00600038">
        <w:rPr>
          <w:szCs w:val="20"/>
        </w:rPr>
        <w:t>dramatically</w:t>
      </w:r>
      <w:r w:rsidR="000167AC">
        <w:rPr>
          <w:szCs w:val="20"/>
        </w:rPr>
        <w:t>.</w:t>
      </w:r>
      <w:r w:rsidR="00600038" w:rsidRPr="00600038">
        <w:rPr>
          <w:szCs w:val="20"/>
        </w:rPr>
        <w:t xml:space="preserve"> </w:t>
      </w:r>
    </w:p>
    <w:p w:rsidR="00600038" w:rsidRPr="00600038" w:rsidRDefault="000167AC" w:rsidP="00600038">
      <w:pPr>
        <w:spacing w:before="240" w:line="320" w:lineRule="atLeast"/>
        <w:jc w:val="both"/>
        <w:rPr>
          <w:szCs w:val="20"/>
        </w:rPr>
      </w:pPr>
      <w:r>
        <w:rPr>
          <w:szCs w:val="20"/>
        </w:rPr>
        <w:t>Likewise, the</w:t>
      </w:r>
      <w:r w:rsidR="00985992">
        <w:rPr>
          <w:szCs w:val="20"/>
        </w:rPr>
        <w:t xml:space="preserve"> volatile nature of electricity prices</w:t>
      </w:r>
      <w:r w:rsidR="001F662A">
        <w:rPr>
          <w:szCs w:val="20"/>
        </w:rPr>
        <w:t xml:space="preserve"> </w:t>
      </w:r>
      <w:r>
        <w:rPr>
          <w:szCs w:val="20"/>
        </w:rPr>
        <w:t xml:space="preserve">means that </w:t>
      </w:r>
      <w:r w:rsidR="00985992">
        <w:rPr>
          <w:szCs w:val="20"/>
        </w:rPr>
        <w:t>a large proportion of generator returns in the spot market come from a relatively small number of events.</w:t>
      </w:r>
      <w:r w:rsidR="00985992">
        <w:rPr>
          <w:rStyle w:val="FootnoteReference"/>
          <w:szCs w:val="20"/>
        </w:rPr>
        <w:footnoteReference w:id="1"/>
      </w:r>
      <w:r w:rsidR="00925E35" w:rsidRPr="00925E35">
        <w:rPr>
          <w:szCs w:val="20"/>
        </w:rPr>
        <w:t xml:space="preserve"> </w:t>
      </w:r>
      <w:r w:rsidR="00925E35" w:rsidRPr="00600038">
        <w:rPr>
          <w:szCs w:val="20"/>
        </w:rPr>
        <w:t>Were a generator to try to deal directly with the spot market</w:t>
      </w:r>
      <w:r w:rsidR="00925E35">
        <w:rPr>
          <w:szCs w:val="20"/>
        </w:rPr>
        <w:t>, and these events did</w:t>
      </w:r>
      <w:r w:rsidR="00313421">
        <w:rPr>
          <w:szCs w:val="20"/>
        </w:rPr>
        <w:t xml:space="preserve"> not</w:t>
      </w:r>
      <w:r w:rsidR="00925E35">
        <w:rPr>
          <w:szCs w:val="20"/>
        </w:rPr>
        <w:t xml:space="preserve"> eventuate (</w:t>
      </w:r>
      <w:r w:rsidR="00313421">
        <w:rPr>
          <w:szCs w:val="20"/>
        </w:rPr>
        <w:t xml:space="preserve">for example </w:t>
      </w:r>
      <w:r w:rsidR="00925E35">
        <w:rPr>
          <w:szCs w:val="20"/>
        </w:rPr>
        <w:t>there may be a series of mild summers)</w:t>
      </w:r>
      <w:r w:rsidR="00925E35" w:rsidRPr="00600038">
        <w:rPr>
          <w:szCs w:val="20"/>
        </w:rPr>
        <w:t xml:space="preserve"> the</w:t>
      </w:r>
      <w:r w:rsidR="007167A8">
        <w:rPr>
          <w:szCs w:val="20"/>
        </w:rPr>
        <w:t xml:space="preserve"> generator</w:t>
      </w:r>
      <w:r w:rsidR="00925E35" w:rsidRPr="00600038">
        <w:rPr>
          <w:szCs w:val="20"/>
        </w:rPr>
        <w:t xml:space="preserve"> may </w:t>
      </w:r>
      <w:r w:rsidR="007167A8">
        <w:rPr>
          <w:szCs w:val="20"/>
        </w:rPr>
        <w:t>not receive</w:t>
      </w:r>
      <w:r w:rsidR="00925E35" w:rsidRPr="00600038">
        <w:rPr>
          <w:szCs w:val="20"/>
        </w:rPr>
        <w:t xml:space="preserve"> </w:t>
      </w:r>
      <w:r w:rsidR="007167A8">
        <w:rPr>
          <w:szCs w:val="20"/>
        </w:rPr>
        <w:t xml:space="preserve">an adequate </w:t>
      </w:r>
      <w:r w:rsidR="00925E35" w:rsidRPr="00600038">
        <w:rPr>
          <w:szCs w:val="20"/>
        </w:rPr>
        <w:t xml:space="preserve">return on </w:t>
      </w:r>
      <w:r w:rsidR="007167A8">
        <w:rPr>
          <w:szCs w:val="20"/>
        </w:rPr>
        <w:t>its</w:t>
      </w:r>
      <w:r w:rsidR="007167A8" w:rsidRPr="00600038">
        <w:rPr>
          <w:szCs w:val="20"/>
        </w:rPr>
        <w:t xml:space="preserve"> </w:t>
      </w:r>
      <w:r w:rsidR="00925E35" w:rsidRPr="00600038">
        <w:rPr>
          <w:szCs w:val="20"/>
        </w:rPr>
        <w:t>investment.</w:t>
      </w:r>
    </w:p>
    <w:p w:rsidR="00600038" w:rsidRPr="00600038" w:rsidRDefault="007167A8" w:rsidP="00600038">
      <w:pPr>
        <w:spacing w:before="240" w:line="320" w:lineRule="atLeast"/>
        <w:jc w:val="both"/>
        <w:rPr>
          <w:szCs w:val="20"/>
        </w:rPr>
      </w:pPr>
      <w:r>
        <w:rPr>
          <w:szCs w:val="20"/>
        </w:rPr>
        <w:t>In practice</w:t>
      </w:r>
      <w:r w:rsidR="00600038" w:rsidRPr="00600038">
        <w:rPr>
          <w:szCs w:val="20"/>
        </w:rPr>
        <w:t xml:space="preserve">, often neither party has to bear the risk described above. This is because a high price event that is a </w:t>
      </w:r>
      <w:r>
        <w:rPr>
          <w:szCs w:val="20"/>
        </w:rPr>
        <w:t>‘</w:t>
      </w:r>
      <w:r w:rsidR="00600038" w:rsidRPr="00600038">
        <w:rPr>
          <w:szCs w:val="20"/>
        </w:rPr>
        <w:t>bad</w:t>
      </w:r>
      <w:r>
        <w:rPr>
          <w:szCs w:val="20"/>
        </w:rPr>
        <w:t>’</w:t>
      </w:r>
      <w:r w:rsidR="00600038" w:rsidRPr="00600038">
        <w:rPr>
          <w:szCs w:val="20"/>
        </w:rPr>
        <w:t xml:space="preserve"> </w:t>
      </w:r>
      <w:r w:rsidR="00925E35">
        <w:rPr>
          <w:szCs w:val="20"/>
        </w:rPr>
        <w:t>outcome</w:t>
      </w:r>
      <w:r w:rsidR="00600038" w:rsidRPr="00600038">
        <w:rPr>
          <w:szCs w:val="20"/>
        </w:rPr>
        <w:t xml:space="preserve"> for a retailer</w:t>
      </w:r>
      <w:r w:rsidR="00925E35">
        <w:rPr>
          <w:szCs w:val="20"/>
        </w:rPr>
        <w:t xml:space="preserve"> also happens to be a </w:t>
      </w:r>
      <w:r>
        <w:rPr>
          <w:szCs w:val="20"/>
        </w:rPr>
        <w:t>‘</w:t>
      </w:r>
      <w:r w:rsidR="00925E35">
        <w:rPr>
          <w:szCs w:val="20"/>
        </w:rPr>
        <w:t>good</w:t>
      </w:r>
      <w:r>
        <w:rPr>
          <w:szCs w:val="20"/>
        </w:rPr>
        <w:t>’</w:t>
      </w:r>
      <w:r w:rsidR="00925E35">
        <w:rPr>
          <w:szCs w:val="20"/>
        </w:rPr>
        <w:t xml:space="preserve"> outcome</w:t>
      </w:r>
      <w:r w:rsidR="00600038" w:rsidRPr="00600038">
        <w:rPr>
          <w:szCs w:val="20"/>
        </w:rPr>
        <w:t xml:space="preserve"> for a generator. These two parties can agree to a </w:t>
      </w:r>
      <w:r w:rsidR="00925E35">
        <w:rPr>
          <w:szCs w:val="20"/>
        </w:rPr>
        <w:t xml:space="preserve">hedging </w:t>
      </w:r>
      <w:r w:rsidR="00600038" w:rsidRPr="00600038">
        <w:rPr>
          <w:szCs w:val="20"/>
        </w:rPr>
        <w:t xml:space="preserve">contract that will effectively set the price in advance </w:t>
      </w:r>
      <w:r w:rsidR="00925E35">
        <w:rPr>
          <w:szCs w:val="20"/>
        </w:rPr>
        <w:t>(</w:t>
      </w:r>
      <w:r w:rsidR="00600038" w:rsidRPr="00600038">
        <w:rPr>
          <w:szCs w:val="20"/>
        </w:rPr>
        <w:t>box</w:t>
      </w:r>
      <w:r w:rsidR="00925E35">
        <w:rPr>
          <w:szCs w:val="20"/>
        </w:rPr>
        <w:t> </w:t>
      </w:r>
      <w:proofErr w:type="spellStart"/>
      <w:r w:rsidR="001F3032">
        <w:rPr>
          <w:szCs w:val="20"/>
        </w:rPr>
        <w:t>C</w:t>
      </w:r>
      <w:r w:rsidR="00797BEE">
        <w:rPr>
          <w:szCs w:val="20"/>
        </w:rPr>
        <w:t>.1</w:t>
      </w:r>
      <w:proofErr w:type="spellEnd"/>
      <w:r w:rsidR="00925E35">
        <w:rPr>
          <w:szCs w:val="20"/>
        </w:rPr>
        <w:t>)</w:t>
      </w:r>
      <w:r w:rsidR="00600038" w:rsidRPr="00600038">
        <w:rPr>
          <w:szCs w:val="20"/>
        </w:rPr>
        <w:t>.</w:t>
      </w:r>
    </w:p>
    <w:p w:rsidR="00600038" w:rsidRPr="00600038" w:rsidRDefault="00600038" w:rsidP="00600038">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00038" w:rsidRPr="00600038" w:rsidTr="0093738C">
        <w:tc>
          <w:tcPr>
            <w:tcW w:w="8771" w:type="dxa"/>
            <w:tcBorders>
              <w:top w:val="single" w:sz="6" w:space="0" w:color="auto"/>
              <w:bottom w:val="nil"/>
            </w:tcBorders>
          </w:tcPr>
          <w:p w:rsidR="00600038" w:rsidRPr="00600038" w:rsidRDefault="00600038" w:rsidP="00925E35">
            <w:pPr>
              <w:keepNext/>
              <w:keepLines/>
              <w:spacing w:before="120" w:line="280" w:lineRule="exact"/>
              <w:ind w:left="1304" w:hanging="1304"/>
              <w:rPr>
                <w:rFonts w:ascii="Arial" w:hAnsi="Arial"/>
                <w:b/>
              </w:rPr>
            </w:pPr>
            <w:r w:rsidRPr="00600038">
              <w:rPr>
                <w:rFonts w:ascii="Arial" w:hAnsi="Arial"/>
              </w:rPr>
              <w:t xml:space="preserve">Box </w:t>
            </w:r>
            <w:proofErr w:type="spellStart"/>
            <w:r w:rsidR="00315762">
              <w:rPr>
                <w:rFonts w:ascii="Arial" w:hAnsi="Arial"/>
              </w:rPr>
              <w:t>C.</w:t>
            </w:r>
            <w:r w:rsidR="00315762">
              <w:rPr>
                <w:rFonts w:ascii="Arial" w:hAnsi="Arial"/>
                <w:noProof/>
              </w:rPr>
              <w:t>1</w:t>
            </w:r>
            <w:proofErr w:type="spellEnd"/>
            <w:r w:rsidRPr="00600038">
              <w:rPr>
                <w:rFonts w:ascii="Arial" w:hAnsi="Arial"/>
                <w:b/>
              </w:rPr>
              <w:tab/>
              <w:t xml:space="preserve">A </w:t>
            </w:r>
            <w:r w:rsidR="00925E35">
              <w:rPr>
                <w:rFonts w:ascii="Arial" w:hAnsi="Arial"/>
                <w:b/>
              </w:rPr>
              <w:t>basic</w:t>
            </w:r>
            <w:r w:rsidRPr="00600038">
              <w:rPr>
                <w:rFonts w:ascii="Arial" w:hAnsi="Arial"/>
                <w:b/>
              </w:rPr>
              <w:t xml:space="preserve"> hedging contract</w:t>
            </w:r>
          </w:p>
        </w:tc>
      </w:tr>
      <w:tr w:rsidR="00600038" w:rsidRPr="00600038" w:rsidTr="0093738C">
        <w:trPr>
          <w:cantSplit/>
        </w:trPr>
        <w:tc>
          <w:tcPr>
            <w:tcW w:w="8771" w:type="dxa"/>
            <w:tcBorders>
              <w:top w:val="nil"/>
              <w:left w:val="single" w:sz="6" w:space="0" w:color="auto"/>
              <w:bottom w:val="nil"/>
              <w:right w:val="single" w:sz="6" w:space="0" w:color="auto"/>
            </w:tcBorders>
          </w:tcPr>
          <w:p w:rsidR="00600038" w:rsidRPr="00600038" w:rsidRDefault="00600038" w:rsidP="005A2F9C">
            <w:pPr>
              <w:pStyle w:val="Box"/>
              <w:rPr>
                <w:smallCaps/>
              </w:rPr>
            </w:pPr>
            <w:r w:rsidRPr="00600038">
              <w:t xml:space="preserve">It is </w:t>
            </w:r>
            <w:r w:rsidR="00EC3581">
              <w:t xml:space="preserve">not </w:t>
            </w:r>
            <w:r w:rsidR="00EC3581" w:rsidRPr="00600038">
              <w:t xml:space="preserve">possible </w:t>
            </w:r>
            <w:r w:rsidRPr="00600038">
              <w:t xml:space="preserve">for </w:t>
            </w:r>
            <w:r w:rsidR="001A45C5">
              <w:t>parties</w:t>
            </w:r>
            <w:r w:rsidRPr="00600038">
              <w:t xml:space="preserve"> to </w:t>
            </w:r>
            <w:r w:rsidR="001A45C5">
              <w:t>trade in</w:t>
            </w:r>
            <w:r w:rsidRPr="00600038">
              <w:t xml:space="preserve"> electricity directly because in the N</w:t>
            </w:r>
            <w:r w:rsidR="001A45C5">
              <w:t>ational Electricity Market (</w:t>
            </w:r>
            <w:proofErr w:type="spellStart"/>
            <w:r w:rsidR="001A45C5">
              <w:t>NEM</w:t>
            </w:r>
            <w:proofErr w:type="spellEnd"/>
            <w:r w:rsidR="001A45C5">
              <w:t>)</w:t>
            </w:r>
            <w:r w:rsidRPr="00600038">
              <w:t xml:space="preserve">, all electricity must be bought and sold through the central pool. </w:t>
            </w:r>
            <w:r w:rsidR="00EC3581">
              <w:t>H</w:t>
            </w:r>
            <w:r w:rsidRPr="00600038">
              <w:t>owever</w:t>
            </w:r>
            <w:r w:rsidR="00EC3581">
              <w:t>, it is</w:t>
            </w:r>
            <w:r w:rsidRPr="00600038">
              <w:t xml:space="preserve"> possible </w:t>
            </w:r>
            <w:r w:rsidR="00267C1D">
              <w:t xml:space="preserve">for generators and retailers </w:t>
            </w:r>
            <w:r w:rsidRPr="00600038">
              <w:t xml:space="preserve">to agree to a contract that </w:t>
            </w:r>
            <w:r w:rsidR="00267C1D">
              <w:t>effectively delivers the same outcome</w:t>
            </w:r>
            <w:r w:rsidRPr="00600038">
              <w:t xml:space="preserve">. </w:t>
            </w:r>
            <w:r w:rsidR="00267C1D">
              <w:t>That is,</w:t>
            </w:r>
            <w:r w:rsidRPr="00600038">
              <w:t xml:space="preserve"> if the </w:t>
            </w:r>
            <w:r w:rsidR="00E732B5">
              <w:t xml:space="preserve">spot </w:t>
            </w:r>
            <w:r w:rsidRPr="00600038">
              <w:t xml:space="preserve">price is </w:t>
            </w:r>
            <w:r w:rsidR="00EC3581">
              <w:t>‘</w:t>
            </w:r>
            <w:r w:rsidRPr="00600038">
              <w:t>high</w:t>
            </w:r>
            <w:r w:rsidR="00EC3581">
              <w:t>’</w:t>
            </w:r>
            <w:r w:rsidRPr="00600038">
              <w:t>, the generator agrees to pay the retailer</w:t>
            </w:r>
            <w:r w:rsidR="00EC3581">
              <w:t>;</w:t>
            </w:r>
            <w:r w:rsidRPr="00600038">
              <w:t xml:space="preserve"> and if the</w:t>
            </w:r>
            <w:r w:rsidR="00E732B5">
              <w:t xml:space="preserve"> spot</w:t>
            </w:r>
            <w:r w:rsidRPr="00600038">
              <w:t xml:space="preserve"> price is </w:t>
            </w:r>
            <w:r w:rsidR="00EC3581">
              <w:t>‘</w:t>
            </w:r>
            <w:r w:rsidRPr="00600038">
              <w:t>low</w:t>
            </w:r>
            <w:r w:rsidR="00EC3581">
              <w:t>’</w:t>
            </w:r>
            <w:r w:rsidRPr="00600038">
              <w:t xml:space="preserve">, the retailer agrees to pay the generator. </w:t>
            </w:r>
          </w:p>
          <w:p w:rsidR="00600038" w:rsidRPr="00600038" w:rsidRDefault="00600038" w:rsidP="00600038">
            <w:pPr>
              <w:spacing w:before="240" w:line="320" w:lineRule="atLeast"/>
              <w:jc w:val="both"/>
              <w:rPr>
                <w:szCs w:val="20"/>
              </w:rPr>
            </w:pPr>
            <w:r w:rsidRPr="00600038">
              <w:rPr>
                <w:noProof/>
                <w:szCs w:val="20"/>
              </w:rPr>
              <w:drawing>
                <wp:inline distT="0" distB="0" distL="0" distR="0" wp14:anchorId="19397FB3" wp14:editId="4DE4BC3C">
                  <wp:extent cx="5372100" cy="3771900"/>
                  <wp:effectExtent l="0" t="0" r="0" b="0"/>
                  <wp:docPr id="1" name="Picture 1" descr="A basic hedging contract. This figure shows the curve of price over time and at what points along the curve the spot price is high and 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78448" cy="3776357"/>
                          </a:xfrm>
                          <a:prstGeom prst="rect">
                            <a:avLst/>
                          </a:prstGeom>
                          <a:noFill/>
                        </pic:spPr>
                      </pic:pic>
                    </a:graphicData>
                  </a:graphic>
                </wp:inline>
              </w:drawing>
            </w:r>
          </w:p>
          <w:p w:rsidR="00600038" w:rsidRPr="00600038" w:rsidRDefault="00600038" w:rsidP="00600038">
            <w:pPr>
              <w:keepNext/>
              <w:spacing w:before="120" w:line="280" w:lineRule="atLeast"/>
              <w:jc w:val="both"/>
              <w:rPr>
                <w:rFonts w:ascii="Arial" w:hAnsi="Arial"/>
                <w:sz w:val="22"/>
                <w:szCs w:val="20"/>
              </w:rPr>
            </w:pPr>
          </w:p>
        </w:tc>
      </w:tr>
      <w:tr w:rsidR="00600038" w:rsidRPr="00600038" w:rsidTr="0093738C">
        <w:trPr>
          <w:cantSplit/>
        </w:trPr>
        <w:tc>
          <w:tcPr>
            <w:tcW w:w="8771" w:type="dxa"/>
            <w:tcBorders>
              <w:top w:val="nil"/>
              <w:left w:val="single" w:sz="6" w:space="0" w:color="auto"/>
              <w:bottom w:val="nil"/>
              <w:right w:val="single" w:sz="6" w:space="0" w:color="auto"/>
            </w:tcBorders>
          </w:tcPr>
          <w:p w:rsidR="00600038" w:rsidRPr="00600038" w:rsidRDefault="00600038" w:rsidP="00600038">
            <w:pPr>
              <w:keepLines/>
              <w:spacing w:before="180" w:line="220" w:lineRule="exact"/>
              <w:jc w:val="both"/>
              <w:rPr>
                <w:rFonts w:ascii="Arial" w:hAnsi="Arial"/>
                <w:sz w:val="18"/>
                <w:szCs w:val="20"/>
              </w:rPr>
            </w:pPr>
          </w:p>
        </w:tc>
      </w:tr>
      <w:tr w:rsidR="00600038" w:rsidRPr="00600038" w:rsidTr="0093738C">
        <w:trPr>
          <w:cantSplit/>
        </w:trPr>
        <w:tc>
          <w:tcPr>
            <w:tcW w:w="8771" w:type="dxa"/>
            <w:tcBorders>
              <w:top w:val="nil"/>
              <w:left w:val="single" w:sz="6" w:space="0" w:color="auto"/>
              <w:bottom w:val="single" w:sz="6" w:space="0" w:color="auto"/>
              <w:right w:val="single" w:sz="6" w:space="0" w:color="auto"/>
            </w:tcBorders>
          </w:tcPr>
          <w:p w:rsidR="00600038" w:rsidRPr="00600038" w:rsidRDefault="00600038" w:rsidP="00600038">
            <w:pPr>
              <w:keepNext/>
              <w:spacing w:line="120" w:lineRule="exact"/>
              <w:jc w:val="both"/>
              <w:rPr>
                <w:rFonts w:ascii="Arial" w:hAnsi="Arial"/>
                <w:sz w:val="22"/>
                <w:szCs w:val="20"/>
              </w:rPr>
            </w:pPr>
          </w:p>
        </w:tc>
      </w:tr>
      <w:tr w:rsidR="00600038" w:rsidRPr="00600038" w:rsidTr="0093738C">
        <w:tc>
          <w:tcPr>
            <w:tcW w:w="8771" w:type="dxa"/>
            <w:tcBorders>
              <w:top w:val="nil"/>
              <w:left w:val="nil"/>
              <w:bottom w:val="nil"/>
              <w:right w:val="nil"/>
            </w:tcBorders>
          </w:tcPr>
          <w:p w:rsidR="00600038" w:rsidRPr="00600038" w:rsidRDefault="00600038" w:rsidP="00600038">
            <w:pPr>
              <w:spacing w:before="60" w:after="60" w:line="80" w:lineRule="exact"/>
              <w:jc w:val="both"/>
              <w:rPr>
                <w:rFonts w:ascii="Arial" w:hAnsi="Arial"/>
                <w:b/>
                <w:color w:val="FF00FF"/>
                <w:sz w:val="14"/>
                <w:szCs w:val="20"/>
              </w:rPr>
            </w:pPr>
          </w:p>
        </w:tc>
      </w:tr>
    </w:tbl>
    <w:p w:rsidR="005A2F9C" w:rsidRDefault="00E732B5" w:rsidP="00B82227">
      <w:pPr>
        <w:spacing w:before="240" w:line="320" w:lineRule="atLeast"/>
        <w:jc w:val="both"/>
        <w:rPr>
          <w:szCs w:val="20"/>
        </w:rPr>
      </w:pPr>
      <w:r>
        <w:rPr>
          <w:szCs w:val="20"/>
        </w:rPr>
        <w:t>This type of contract</w:t>
      </w:r>
      <w:r w:rsidR="00600038" w:rsidRPr="00600038">
        <w:rPr>
          <w:szCs w:val="20"/>
        </w:rPr>
        <w:t xml:space="preserve"> allows a </w:t>
      </w:r>
      <w:r w:rsidR="001A45C5" w:rsidRPr="00600038">
        <w:rPr>
          <w:szCs w:val="20"/>
        </w:rPr>
        <w:t>retaile</w:t>
      </w:r>
      <w:r w:rsidR="001A45C5">
        <w:rPr>
          <w:szCs w:val="20"/>
        </w:rPr>
        <w:t xml:space="preserve">r </w:t>
      </w:r>
      <w:r w:rsidR="00600038" w:rsidRPr="00600038">
        <w:rPr>
          <w:szCs w:val="20"/>
        </w:rPr>
        <w:t xml:space="preserve">and a </w:t>
      </w:r>
      <w:r w:rsidR="001A45C5" w:rsidRPr="00600038">
        <w:rPr>
          <w:szCs w:val="20"/>
        </w:rPr>
        <w:t xml:space="preserve">generator </w:t>
      </w:r>
      <w:r w:rsidR="00600038" w:rsidRPr="00600038">
        <w:rPr>
          <w:szCs w:val="20"/>
        </w:rPr>
        <w:t xml:space="preserve">to deal in advance for a given </w:t>
      </w:r>
      <w:r w:rsidR="00600038" w:rsidRPr="00EC3581">
        <w:rPr>
          <w:szCs w:val="20"/>
        </w:rPr>
        <w:t>quantity</w:t>
      </w:r>
      <w:r w:rsidR="00600038" w:rsidRPr="00600038">
        <w:rPr>
          <w:szCs w:val="20"/>
        </w:rPr>
        <w:t xml:space="preserve"> of electricity. </w:t>
      </w:r>
      <w:r w:rsidR="005A2F9C">
        <w:rPr>
          <w:szCs w:val="20"/>
        </w:rPr>
        <w:t xml:space="preserve">However, in practice, </w:t>
      </w:r>
      <w:r w:rsidR="005A2F9C" w:rsidRPr="001A45C5">
        <w:rPr>
          <w:szCs w:val="20"/>
        </w:rPr>
        <w:t>neither the retailer nor the generator w</w:t>
      </w:r>
      <w:r w:rsidR="005A2F9C">
        <w:rPr>
          <w:szCs w:val="20"/>
        </w:rPr>
        <w:t>ill</w:t>
      </w:r>
      <w:r w:rsidR="005A2F9C" w:rsidRPr="001A45C5">
        <w:rPr>
          <w:szCs w:val="20"/>
        </w:rPr>
        <w:t xml:space="preserve"> </w:t>
      </w:r>
      <w:r w:rsidR="005A2F9C">
        <w:rPr>
          <w:szCs w:val="20"/>
        </w:rPr>
        <w:t xml:space="preserve">typically </w:t>
      </w:r>
      <w:r w:rsidR="005A2F9C" w:rsidRPr="001A45C5">
        <w:rPr>
          <w:szCs w:val="20"/>
        </w:rPr>
        <w:t>know how much electricity they need to trade</w:t>
      </w:r>
      <w:r w:rsidR="005A2F9C">
        <w:rPr>
          <w:szCs w:val="20"/>
        </w:rPr>
        <w:t>. Managing this quantity risk requires a variety of different hedging products.</w:t>
      </w:r>
      <w:r w:rsidR="005A2F9C" w:rsidRPr="005A2F9C">
        <w:rPr>
          <w:szCs w:val="20"/>
        </w:rPr>
        <w:t xml:space="preserve"> </w:t>
      </w:r>
      <w:r w:rsidR="005A2F9C" w:rsidRPr="00600038">
        <w:rPr>
          <w:szCs w:val="20"/>
        </w:rPr>
        <w:t>However, they are all based on the premise of managing exposure to the price risk in the spot market.</w:t>
      </w:r>
    </w:p>
    <w:p w:rsidR="00600038" w:rsidRPr="00600038" w:rsidRDefault="00315762" w:rsidP="00172DAB">
      <w:pPr>
        <w:pStyle w:val="Heading2"/>
      </w:pPr>
      <w:proofErr w:type="spellStart"/>
      <w:r>
        <w:lastRenderedPageBreak/>
        <w:t>C.</w:t>
      </w:r>
      <w:r>
        <w:rPr>
          <w:noProof/>
        </w:rPr>
        <w:t>2</w:t>
      </w:r>
      <w:proofErr w:type="spellEnd"/>
      <w:r w:rsidR="00ED6656">
        <w:tab/>
      </w:r>
      <w:r w:rsidR="00600038" w:rsidRPr="00600038">
        <w:t xml:space="preserve">Types of hedging </w:t>
      </w:r>
      <w:r w:rsidR="007756ED">
        <w:t>p</w:t>
      </w:r>
      <w:r w:rsidR="00600038" w:rsidRPr="00600038">
        <w:t xml:space="preserve">roduct </w:t>
      </w:r>
    </w:p>
    <w:p w:rsidR="00600038" w:rsidRPr="00600038" w:rsidRDefault="00B82227" w:rsidP="00600038">
      <w:pPr>
        <w:spacing w:before="240" w:line="320" w:lineRule="atLeast"/>
        <w:jc w:val="both"/>
        <w:rPr>
          <w:szCs w:val="20"/>
        </w:rPr>
      </w:pPr>
      <w:r>
        <w:rPr>
          <w:szCs w:val="20"/>
        </w:rPr>
        <w:t xml:space="preserve">A </w:t>
      </w:r>
      <w:r w:rsidR="00EC3581">
        <w:rPr>
          <w:szCs w:val="20"/>
        </w:rPr>
        <w:t>range</w:t>
      </w:r>
      <w:r w:rsidR="00EC3581" w:rsidRPr="00600038">
        <w:rPr>
          <w:szCs w:val="20"/>
        </w:rPr>
        <w:t xml:space="preserve"> </w:t>
      </w:r>
      <w:r w:rsidR="00600038" w:rsidRPr="00600038">
        <w:rPr>
          <w:szCs w:val="20"/>
        </w:rPr>
        <w:t xml:space="preserve">of products exist to allow retailers and generators to trade electricity in quantities that </w:t>
      </w:r>
      <w:r w:rsidR="00600038" w:rsidRPr="00EC3581">
        <w:rPr>
          <w:szCs w:val="20"/>
        </w:rPr>
        <w:t>vary</w:t>
      </w:r>
      <w:r w:rsidR="00600038" w:rsidRPr="00600038">
        <w:rPr>
          <w:szCs w:val="20"/>
        </w:rPr>
        <w:t xml:space="preserve"> throughout the day and</w:t>
      </w:r>
      <w:r>
        <w:rPr>
          <w:szCs w:val="20"/>
        </w:rPr>
        <w:t xml:space="preserve"> that</w:t>
      </w:r>
      <w:r w:rsidR="00600038" w:rsidRPr="00600038">
        <w:rPr>
          <w:szCs w:val="20"/>
        </w:rPr>
        <w:t xml:space="preserve"> are unpredictable. The basic products available are:</w:t>
      </w:r>
    </w:p>
    <w:p w:rsidR="00600038" w:rsidRPr="00600038" w:rsidRDefault="00600038" w:rsidP="00ED2A33">
      <w:pPr>
        <w:pStyle w:val="ListBullet"/>
      </w:pPr>
      <w:r w:rsidRPr="00313421">
        <w:rPr>
          <w:i/>
        </w:rPr>
        <w:t>A base load swap</w:t>
      </w:r>
      <w:r w:rsidRPr="00600038">
        <w:t xml:space="preserve"> </w:t>
      </w:r>
      <w:r w:rsidR="00B71741">
        <w:t xml:space="preserve">— </w:t>
      </w:r>
      <w:r w:rsidRPr="00600038">
        <w:t>a contract to trade a fixed amount of electricity for a certain price at all times in a day</w:t>
      </w:r>
      <w:r w:rsidR="007756ED">
        <w:t>.</w:t>
      </w:r>
    </w:p>
    <w:p w:rsidR="00600038" w:rsidRPr="00600038" w:rsidRDefault="00600038" w:rsidP="00ED2A33">
      <w:pPr>
        <w:pStyle w:val="ListBullet"/>
      </w:pPr>
      <w:r w:rsidRPr="00313421">
        <w:rPr>
          <w:i/>
        </w:rPr>
        <w:t>A peaking swap</w:t>
      </w:r>
      <w:r w:rsidRPr="00B71741">
        <w:t xml:space="preserve"> </w:t>
      </w:r>
      <w:r w:rsidR="00B71741" w:rsidRPr="00B71741">
        <w:t>— similar to a base load swap</w:t>
      </w:r>
      <w:r w:rsidRPr="00B71741">
        <w:t xml:space="preserve">, </w:t>
      </w:r>
      <w:r w:rsidR="006D47CD">
        <w:t>but applying to</w:t>
      </w:r>
      <w:r w:rsidR="006D47CD" w:rsidRPr="00B71741">
        <w:t xml:space="preserve"> </w:t>
      </w:r>
      <w:r w:rsidRPr="00600038">
        <w:t xml:space="preserve">trade only </w:t>
      </w:r>
      <w:r w:rsidR="006D47CD">
        <w:t>during</w:t>
      </w:r>
      <w:r w:rsidR="006D47CD" w:rsidRPr="00600038">
        <w:t xml:space="preserve"> </w:t>
      </w:r>
      <w:r w:rsidRPr="00600038">
        <w:t>a specific time of the day</w:t>
      </w:r>
      <w:r w:rsidR="006D47CD">
        <w:t xml:space="preserve"> —</w:t>
      </w:r>
      <w:r w:rsidR="006D47CD" w:rsidRPr="00600038">
        <w:t xml:space="preserve"> </w:t>
      </w:r>
      <w:r w:rsidRPr="00600038">
        <w:t xml:space="preserve">for example from </w:t>
      </w:r>
      <w:proofErr w:type="spellStart"/>
      <w:r w:rsidRPr="00600038">
        <w:t>7am</w:t>
      </w:r>
      <w:proofErr w:type="spellEnd"/>
      <w:r w:rsidRPr="00600038">
        <w:t xml:space="preserve"> to </w:t>
      </w:r>
      <w:proofErr w:type="spellStart"/>
      <w:r w:rsidRPr="00600038">
        <w:t>10pm</w:t>
      </w:r>
      <w:proofErr w:type="spellEnd"/>
      <w:r w:rsidR="006D47CD">
        <w:t xml:space="preserve"> —</w:t>
      </w:r>
      <w:r w:rsidR="006D47CD" w:rsidRPr="00600038">
        <w:t xml:space="preserve"> </w:t>
      </w:r>
      <w:r w:rsidRPr="00600038">
        <w:t>and only on working days</w:t>
      </w:r>
      <w:r w:rsidR="008B4617">
        <w:t>.</w:t>
      </w:r>
    </w:p>
    <w:p w:rsidR="00600038" w:rsidRPr="00600038" w:rsidRDefault="00600038" w:rsidP="00ED2A33">
      <w:pPr>
        <w:pStyle w:val="ListBullet"/>
      </w:pPr>
      <w:r w:rsidRPr="00313421">
        <w:rPr>
          <w:i/>
        </w:rPr>
        <w:t>A flat cap</w:t>
      </w:r>
      <w:r w:rsidRPr="00600038">
        <w:t xml:space="preserve"> </w:t>
      </w:r>
      <w:r w:rsidR="00B71741">
        <w:t>— a contract that gives</w:t>
      </w:r>
      <w:r w:rsidR="00B71741" w:rsidRPr="00600038">
        <w:t xml:space="preserve"> </w:t>
      </w:r>
      <w:r w:rsidRPr="00600038">
        <w:t xml:space="preserve">the </w:t>
      </w:r>
      <w:r w:rsidR="00956EA9">
        <w:t>holder</w:t>
      </w:r>
      <w:r w:rsidRPr="00600038">
        <w:t xml:space="preserve"> </w:t>
      </w:r>
      <w:r w:rsidR="00B71741">
        <w:t xml:space="preserve">the </w:t>
      </w:r>
      <w:r w:rsidR="006D47CD">
        <w:t xml:space="preserve">option to </w:t>
      </w:r>
      <w:r w:rsidRPr="00600038">
        <w:t>buy a given amount of electricity at a</w:t>
      </w:r>
      <w:r w:rsidR="00956EA9">
        <w:t>n</w:t>
      </w:r>
      <w:r w:rsidRPr="00600038">
        <w:t xml:space="preserve"> </w:t>
      </w:r>
      <w:r w:rsidR="00956EA9">
        <w:t>agreed</w:t>
      </w:r>
      <w:r w:rsidRPr="00600038">
        <w:t xml:space="preserve"> price. These are often set at a strike price of $300 in the </w:t>
      </w:r>
      <w:proofErr w:type="spellStart"/>
      <w:r w:rsidRPr="00600038">
        <w:t>NEM</w:t>
      </w:r>
      <w:proofErr w:type="spellEnd"/>
      <w:r w:rsidRPr="00600038">
        <w:t>.</w:t>
      </w:r>
    </w:p>
    <w:p w:rsidR="004A498C" w:rsidRDefault="00600038" w:rsidP="00ED2A33">
      <w:pPr>
        <w:pStyle w:val="ListBullet"/>
      </w:pPr>
      <w:r w:rsidRPr="00313421">
        <w:rPr>
          <w:i/>
        </w:rPr>
        <w:t xml:space="preserve">A peaking cap </w:t>
      </w:r>
      <w:r w:rsidR="00B71741">
        <w:t xml:space="preserve">— similar to a flat cap, </w:t>
      </w:r>
      <w:r w:rsidRPr="00B71741">
        <w:t xml:space="preserve">but </w:t>
      </w:r>
      <w:r w:rsidRPr="00600038">
        <w:t xml:space="preserve">can only be called </w:t>
      </w:r>
      <w:r w:rsidR="006D47CD">
        <w:t xml:space="preserve">on </w:t>
      </w:r>
      <w:r w:rsidRPr="00600038">
        <w:t>during peak hours.</w:t>
      </w:r>
    </w:p>
    <w:p w:rsidR="00683CED" w:rsidRDefault="00683CED" w:rsidP="000520E0">
      <w:pPr>
        <w:pStyle w:val="BodyText"/>
      </w:pPr>
      <w:r>
        <w:t>There are also a wide range of exotic contracts that are used by parties to manage risk, including:</w:t>
      </w:r>
    </w:p>
    <w:p w:rsidR="000520E0" w:rsidRDefault="000520E0" w:rsidP="00ED2A33">
      <w:pPr>
        <w:pStyle w:val="ListBullet"/>
      </w:pPr>
      <w:r w:rsidRPr="000520E0">
        <w:rPr>
          <w:i/>
        </w:rPr>
        <w:t>Weather contingent options</w:t>
      </w:r>
      <w:r w:rsidR="008B4617">
        <w:rPr>
          <w:i/>
        </w:rPr>
        <w:t>:</w:t>
      </w:r>
      <w:r>
        <w:t xml:space="preserve"> that can only be used if a particular weather outcome</w:t>
      </w:r>
      <w:r w:rsidR="008B4617" w:rsidRPr="008B4617">
        <w:t xml:space="preserve"> </w:t>
      </w:r>
      <w:r w:rsidR="008B4617">
        <w:t>occurs, such as above average temperatures over a given period.</w:t>
      </w:r>
    </w:p>
    <w:p w:rsidR="000520E0" w:rsidRDefault="000520E0" w:rsidP="00ED2A33">
      <w:pPr>
        <w:pStyle w:val="ListBullet"/>
      </w:pPr>
      <w:r w:rsidRPr="000520E0">
        <w:rPr>
          <w:i/>
        </w:rPr>
        <w:t>Asian option</w:t>
      </w:r>
      <w:r w:rsidR="00ED2A33">
        <w:rPr>
          <w:i/>
        </w:rPr>
        <w:t>s</w:t>
      </w:r>
      <w:r w:rsidRPr="000520E0">
        <w:rPr>
          <w:i/>
        </w:rPr>
        <w:t>:</w:t>
      </w:r>
      <w:r>
        <w:t xml:space="preserve"> an option contract </w:t>
      </w:r>
      <w:r w:rsidR="00762046">
        <w:t xml:space="preserve">that can be called on if the average </w:t>
      </w:r>
      <w:r w:rsidR="009D4DEC">
        <w:t>price</w:t>
      </w:r>
      <w:r w:rsidR="00762046">
        <w:t xml:space="preserve"> of electricity is high over a predetermined period</w:t>
      </w:r>
      <w:r w:rsidR="008B4617">
        <w:t>.</w:t>
      </w:r>
      <w:r>
        <w:t xml:space="preserve"> </w:t>
      </w:r>
    </w:p>
    <w:p w:rsidR="00683CED" w:rsidRDefault="00683CED" w:rsidP="00ED2A33">
      <w:pPr>
        <w:pStyle w:val="ListBullet"/>
      </w:pPr>
      <w:proofErr w:type="spellStart"/>
      <w:r>
        <w:rPr>
          <w:i/>
        </w:rPr>
        <w:t>Swaptions</w:t>
      </w:r>
      <w:proofErr w:type="spellEnd"/>
      <w:r>
        <w:rPr>
          <w:i/>
        </w:rPr>
        <w:t>:</w:t>
      </w:r>
      <w:r>
        <w:t xml:space="preserve"> an option contract that gives the holder the right to enter into a swap contract, if they choose to do so.</w:t>
      </w:r>
    </w:p>
    <w:p w:rsidR="006756C4" w:rsidRDefault="006756C4" w:rsidP="00ED2A33">
      <w:pPr>
        <w:pStyle w:val="ListBullet"/>
      </w:pPr>
      <w:r w:rsidRPr="004A498C">
        <w:rPr>
          <w:i/>
        </w:rPr>
        <w:t>Outage protection contract</w:t>
      </w:r>
      <w:r w:rsidR="00ED2A33">
        <w:rPr>
          <w:i/>
        </w:rPr>
        <w:t>s:</w:t>
      </w:r>
      <w:r>
        <w:t xml:space="preserve"> a product that allows generators to protect themselves against the risk of being unable to sell electricity in the spot market</w:t>
      </w:r>
      <w:r w:rsidR="008B4617">
        <w:t>.</w:t>
      </w:r>
    </w:p>
    <w:p w:rsidR="006756C4" w:rsidRDefault="006756C4" w:rsidP="00ED2A33">
      <w:pPr>
        <w:pStyle w:val="ListBullet"/>
      </w:pPr>
      <w:r w:rsidRPr="00ED2A33">
        <w:rPr>
          <w:i/>
        </w:rPr>
        <w:t>Load following contract</w:t>
      </w:r>
      <w:r w:rsidR="00762046" w:rsidRPr="00ED2A33">
        <w:rPr>
          <w:i/>
        </w:rPr>
        <w:t>s</w:t>
      </w:r>
      <w:r>
        <w:t xml:space="preserve"> </w:t>
      </w:r>
      <w:r w:rsidR="00762046">
        <w:t>a</w:t>
      </w:r>
      <w:r>
        <w:t xml:space="preserve"> hedging product that follows the usage of the electricity consumer.</w:t>
      </w:r>
      <w:r w:rsidR="005A2F9C">
        <w:t xml:space="preserve"> </w:t>
      </w:r>
    </w:p>
    <w:p w:rsidR="00600038" w:rsidRDefault="006756C4" w:rsidP="00ED2A33">
      <w:pPr>
        <w:pStyle w:val="ListBullet"/>
      </w:pPr>
      <w:r w:rsidRPr="00ED2A33">
        <w:rPr>
          <w:i/>
        </w:rPr>
        <w:t>Price Floors</w:t>
      </w:r>
      <w:r w:rsidR="009D4DEC" w:rsidRPr="00ED2A33">
        <w:rPr>
          <w:i/>
        </w:rPr>
        <w:t>:</w:t>
      </w:r>
      <w:r w:rsidR="009D4DEC">
        <w:t xml:space="preserve"> a contract that gives the holder the option to sell a given amount of electricity at an agreed price</w:t>
      </w:r>
      <w:r w:rsidR="008B4617">
        <w:t>.</w:t>
      </w:r>
    </w:p>
    <w:p w:rsidR="006756C4" w:rsidRPr="00B71741" w:rsidRDefault="001F662A" w:rsidP="00ED2A33">
      <w:pPr>
        <w:pStyle w:val="ListBullet"/>
      </w:pPr>
      <w:r w:rsidRPr="008B4617">
        <w:rPr>
          <w:i/>
        </w:rPr>
        <w:t>Collar contracts</w:t>
      </w:r>
      <w:r w:rsidR="008B4617">
        <w:rPr>
          <w:i/>
        </w:rPr>
        <w:t>:</w:t>
      </w:r>
      <w:r w:rsidR="009D4DEC">
        <w:t xml:space="preserve"> A combination of a cap and floor </w:t>
      </w:r>
      <w:r w:rsidR="00683CED">
        <w:t>contract that</w:t>
      </w:r>
      <w:r w:rsidR="009D4DEC">
        <w:t xml:space="preserve"> limits both upwards and downwards price movement</w:t>
      </w:r>
      <w:r w:rsidR="008B4617">
        <w:t>.</w:t>
      </w:r>
    </w:p>
    <w:p w:rsidR="00E7186D" w:rsidRDefault="00E7186D" w:rsidP="00807123">
      <w:pPr>
        <w:pStyle w:val="BodyText"/>
      </w:pPr>
      <w:r>
        <w:t xml:space="preserve">The relative usage of different types of contracts is shown in figure </w:t>
      </w:r>
      <w:proofErr w:type="spellStart"/>
      <w:r w:rsidR="001F3032">
        <w:t>C</w:t>
      </w:r>
      <w:r w:rsidR="00797BEE">
        <w:t>.1</w:t>
      </w:r>
      <w:proofErr w:type="spellEnd"/>
      <w:r>
        <w:t>.</w:t>
      </w:r>
    </w:p>
    <w:p w:rsidR="00E7186D" w:rsidRDefault="00E7186D">
      <w:pPr>
        <w:pStyle w:val="FigureTitle"/>
      </w:pPr>
      <w:r>
        <w:rPr>
          <w:b w:val="0"/>
        </w:rPr>
        <w:lastRenderedPageBreak/>
        <w:t xml:space="preserve">Figure </w:t>
      </w:r>
      <w:proofErr w:type="spellStart"/>
      <w:r w:rsidR="00315762">
        <w:rPr>
          <w:b w:val="0"/>
        </w:rPr>
        <w:t>C.</w:t>
      </w:r>
      <w:r w:rsidR="00315762">
        <w:rPr>
          <w:b w:val="0"/>
          <w:noProof/>
        </w:rPr>
        <w:t>1</w:t>
      </w:r>
      <w:proofErr w:type="spellEnd"/>
      <w:r>
        <w:tab/>
        <w:t>Types of contracts traded</w:t>
      </w:r>
    </w:p>
    <w:p w:rsidR="00E7186D" w:rsidRDefault="00E7186D">
      <w:pPr>
        <w:pStyle w:val="Subtitle"/>
      </w:pP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7186D">
        <w:tc>
          <w:tcPr>
            <w:tcW w:w="8777" w:type="dxa"/>
          </w:tcPr>
          <w:p w:rsidR="00E7186D" w:rsidRDefault="00E7186D">
            <w:pPr>
              <w:pStyle w:val="Figure"/>
            </w:pPr>
            <w:r>
              <w:rPr>
                <w:noProof/>
              </w:rPr>
              <w:drawing>
                <wp:inline distT="0" distB="0" distL="0" distR="0" wp14:anchorId="5B162B34" wp14:editId="7C8448D2">
                  <wp:extent cx="5401310" cy="2877820"/>
                  <wp:effectExtent l="0" t="0" r="8890" b="0"/>
                  <wp:docPr id="4" name="Picture 4" descr="Types of contracts traded. This chart shows a percentage breakdown of the different types of contracts tra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1310" cy="2877820"/>
                          </a:xfrm>
                          <a:prstGeom prst="rect">
                            <a:avLst/>
                          </a:prstGeom>
                          <a:noFill/>
                        </pic:spPr>
                      </pic:pic>
                    </a:graphicData>
                  </a:graphic>
                </wp:inline>
              </w:drawing>
            </w:r>
          </w:p>
        </w:tc>
      </w:tr>
    </w:tbl>
    <w:p w:rsidR="00E7186D" w:rsidRPr="00600038" w:rsidRDefault="00E7186D" w:rsidP="005A2F9C">
      <w:pPr>
        <w:pStyle w:val="Source"/>
      </w:pPr>
      <w:r>
        <w:rPr>
          <w:i/>
        </w:rPr>
        <w:t>Data source</w:t>
      </w:r>
      <w:r w:rsidRPr="00167F06">
        <w:t xml:space="preserve">: </w:t>
      </w:r>
      <w:r>
        <w:t>Australian Financial Markets Report</w:t>
      </w:r>
      <w:r w:rsidR="001F3032">
        <w:t xml:space="preserve">, </w:t>
      </w:r>
      <w:proofErr w:type="spellStart"/>
      <w:r w:rsidR="001F3032">
        <w:t>AFMA</w:t>
      </w:r>
      <w:proofErr w:type="spellEnd"/>
      <w:r>
        <w:t xml:space="preserve"> </w:t>
      </w:r>
      <w:r w:rsidR="001F3032">
        <w:t>(</w:t>
      </w:r>
      <w:proofErr w:type="spellStart"/>
      <w:r>
        <w:t>2011</w:t>
      </w:r>
      <w:r w:rsidR="006F7E81">
        <w:t>b</w:t>
      </w:r>
      <w:proofErr w:type="spellEnd"/>
      <w:r w:rsidR="001F3032">
        <w:t>)</w:t>
      </w:r>
      <w:r w:rsidR="00C42F01">
        <w:t>.</w:t>
      </w:r>
    </w:p>
    <w:p w:rsidR="00600038" w:rsidRPr="00600038" w:rsidRDefault="00600038" w:rsidP="00600038">
      <w:pPr>
        <w:spacing w:before="240" w:line="320" w:lineRule="atLeast"/>
        <w:jc w:val="both"/>
        <w:rPr>
          <w:szCs w:val="20"/>
        </w:rPr>
      </w:pPr>
      <w:r w:rsidRPr="00600038">
        <w:rPr>
          <w:szCs w:val="20"/>
        </w:rPr>
        <w:t>A retailer will seek to manage</w:t>
      </w:r>
      <w:r w:rsidR="00B82227">
        <w:rPr>
          <w:szCs w:val="20"/>
        </w:rPr>
        <w:t xml:space="preserve"> the risk associated with their </w:t>
      </w:r>
      <w:r w:rsidRPr="00600038">
        <w:rPr>
          <w:szCs w:val="20"/>
        </w:rPr>
        <w:t>customer load using</w:t>
      </w:r>
      <w:r w:rsidR="00536192">
        <w:rPr>
          <w:szCs w:val="20"/>
        </w:rPr>
        <w:t xml:space="preserve"> a variety of these products. A hypothetical example</w:t>
      </w:r>
      <w:r w:rsidR="00956EA9">
        <w:rPr>
          <w:szCs w:val="20"/>
        </w:rPr>
        <w:t xml:space="preserve"> </w:t>
      </w:r>
      <w:r w:rsidR="0028752D">
        <w:rPr>
          <w:szCs w:val="20"/>
        </w:rPr>
        <w:t xml:space="preserve">for </w:t>
      </w:r>
      <w:r w:rsidR="00956EA9">
        <w:rPr>
          <w:szCs w:val="20"/>
        </w:rPr>
        <w:t>a typical day</w:t>
      </w:r>
      <w:r w:rsidRPr="00600038">
        <w:rPr>
          <w:szCs w:val="20"/>
        </w:rPr>
        <w:t xml:space="preserve"> is shown in </w:t>
      </w:r>
      <w:r w:rsidR="00B82227">
        <w:rPr>
          <w:szCs w:val="20"/>
        </w:rPr>
        <w:t>figure</w:t>
      </w:r>
      <w:r w:rsidR="001F3032">
        <w:rPr>
          <w:szCs w:val="20"/>
        </w:rPr>
        <w:t xml:space="preserve"> </w:t>
      </w:r>
      <w:proofErr w:type="spellStart"/>
      <w:r w:rsidR="001F3032">
        <w:rPr>
          <w:szCs w:val="20"/>
        </w:rPr>
        <w:t>C.2</w:t>
      </w:r>
      <w:proofErr w:type="spellEnd"/>
      <w:r w:rsidR="00B82227">
        <w:rPr>
          <w:szCs w:val="20"/>
        </w:rPr>
        <w:t xml:space="preserve"> below. In the figure</w:t>
      </w:r>
      <w:r w:rsidRPr="00600038">
        <w:rPr>
          <w:szCs w:val="20"/>
        </w:rPr>
        <w:t xml:space="preserve">, the dotted lines represent the range </w:t>
      </w:r>
      <w:r w:rsidR="003901D4">
        <w:rPr>
          <w:szCs w:val="20"/>
        </w:rPr>
        <w:t>electricity demand from final customers that the retailer must provide</w:t>
      </w:r>
      <w:r w:rsidRPr="00600038">
        <w:rPr>
          <w:szCs w:val="20"/>
        </w:rPr>
        <w:t xml:space="preserve"> and the shaded areas represent the coverage provided by different hedging instruments</w:t>
      </w:r>
      <w:r w:rsidR="00E732B5">
        <w:rPr>
          <w:szCs w:val="20"/>
        </w:rPr>
        <w:t xml:space="preserve">. </w:t>
      </w:r>
    </w:p>
    <w:p w:rsidR="00600038" w:rsidRPr="00600038" w:rsidRDefault="00600038" w:rsidP="00807123">
      <w:pPr>
        <w:keepNext/>
        <w:keepLines/>
        <w:spacing w:before="360" w:after="80" w:line="280" w:lineRule="exact"/>
        <w:ind w:left="1474" w:hanging="1474"/>
        <w:rPr>
          <w:rFonts w:ascii="Arial" w:hAnsi="Arial"/>
          <w:sz w:val="20"/>
        </w:rPr>
      </w:pPr>
      <w:r w:rsidRPr="00600038">
        <w:rPr>
          <w:rFonts w:ascii="Arial" w:hAnsi="Arial"/>
        </w:rPr>
        <w:t xml:space="preserve">Figure </w:t>
      </w:r>
      <w:proofErr w:type="spellStart"/>
      <w:r w:rsidR="00315762">
        <w:rPr>
          <w:rFonts w:ascii="Arial" w:hAnsi="Arial"/>
        </w:rPr>
        <w:t>C.</w:t>
      </w:r>
      <w:r w:rsidR="00315762">
        <w:rPr>
          <w:rFonts w:ascii="Arial" w:hAnsi="Arial"/>
          <w:noProof/>
        </w:rPr>
        <w:t>2</w:t>
      </w:r>
      <w:proofErr w:type="spellEnd"/>
      <w:r w:rsidRPr="00600038">
        <w:rPr>
          <w:rFonts w:ascii="Arial" w:hAnsi="Arial"/>
          <w:b/>
        </w:rPr>
        <w:tab/>
      </w:r>
      <w:r w:rsidR="00536192">
        <w:rPr>
          <w:rFonts w:ascii="Arial" w:hAnsi="Arial"/>
          <w:b/>
        </w:rPr>
        <w:t>Illustrative r</w:t>
      </w:r>
      <w:r w:rsidR="00B82227">
        <w:rPr>
          <w:rFonts w:ascii="Arial" w:hAnsi="Arial"/>
          <w:b/>
        </w:rPr>
        <w:t>isk m</w:t>
      </w:r>
      <w:r w:rsidRPr="00600038">
        <w:rPr>
          <w:rFonts w:ascii="Arial" w:hAnsi="Arial"/>
          <w:b/>
        </w:rPr>
        <w:t xml:space="preserve">anagement </w:t>
      </w:r>
      <w:r w:rsidR="00536192">
        <w:rPr>
          <w:rFonts w:ascii="Arial" w:hAnsi="Arial"/>
          <w:b/>
        </w:rPr>
        <w:t>approach</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600038" w:rsidRPr="00600038" w:rsidTr="008B4617">
        <w:tc>
          <w:tcPr>
            <w:tcW w:w="8777" w:type="dxa"/>
          </w:tcPr>
          <w:p w:rsidR="00600038" w:rsidRPr="00600038" w:rsidRDefault="00F22615" w:rsidP="00600038">
            <w:pPr>
              <w:keepNext/>
              <w:spacing w:before="120" w:after="120" w:line="240" w:lineRule="atLeast"/>
              <w:jc w:val="center"/>
              <w:rPr>
                <w:szCs w:val="20"/>
              </w:rPr>
            </w:pPr>
            <w:r>
              <w:rPr>
                <w:noProof/>
                <w:szCs w:val="20"/>
              </w:rPr>
              <w:drawing>
                <wp:inline distT="0" distB="0" distL="0" distR="0" wp14:anchorId="79EAA5CF" wp14:editId="39E7EA44">
                  <wp:extent cx="5353050" cy="2733092"/>
                  <wp:effectExtent l="0" t="0" r="0" b="0"/>
                  <wp:docPr id="12" name="Picture 12" descr="Illustrative risk management approach. This figure shows usage over a 24 hour time period of base load swap, peak swap, flat cap and peak cap, with trend lines for usage maximum, usage average and usage minim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53748" cy="2733448"/>
                          </a:xfrm>
                          <a:prstGeom prst="rect">
                            <a:avLst/>
                          </a:prstGeom>
                          <a:noFill/>
                        </pic:spPr>
                      </pic:pic>
                    </a:graphicData>
                  </a:graphic>
                </wp:inline>
              </w:drawing>
            </w:r>
          </w:p>
        </w:tc>
      </w:tr>
    </w:tbl>
    <w:p w:rsidR="00FD3F75" w:rsidRPr="00600038" w:rsidRDefault="00A718C7" w:rsidP="00956EA9">
      <w:pPr>
        <w:keepLines/>
        <w:spacing w:before="80" w:line="220" w:lineRule="exact"/>
        <w:jc w:val="both"/>
        <w:rPr>
          <w:rFonts w:ascii="Arial" w:hAnsi="Arial"/>
          <w:sz w:val="18"/>
          <w:szCs w:val="20"/>
        </w:rPr>
      </w:pPr>
      <w:r>
        <w:rPr>
          <w:rFonts w:ascii="Arial" w:hAnsi="Arial"/>
          <w:sz w:val="18"/>
          <w:szCs w:val="20"/>
        </w:rPr>
        <w:t xml:space="preserve">Underlying data are </w:t>
      </w:r>
      <w:r w:rsidR="0028752D">
        <w:rPr>
          <w:rFonts w:ascii="Arial" w:hAnsi="Arial"/>
          <w:sz w:val="18"/>
          <w:szCs w:val="20"/>
        </w:rPr>
        <w:t xml:space="preserve">hypothetical </w:t>
      </w:r>
      <w:r>
        <w:rPr>
          <w:rFonts w:ascii="Arial" w:hAnsi="Arial"/>
          <w:sz w:val="18"/>
          <w:szCs w:val="20"/>
        </w:rPr>
        <w:t>and are for illustrative purposes only</w:t>
      </w:r>
      <w:r w:rsidR="0028752D">
        <w:rPr>
          <w:rFonts w:ascii="Arial" w:hAnsi="Arial"/>
          <w:sz w:val="18"/>
          <w:szCs w:val="20"/>
        </w:rPr>
        <w:t xml:space="preserve">. </w:t>
      </w:r>
    </w:p>
    <w:p w:rsidR="00C76AAA" w:rsidRPr="00600038" w:rsidRDefault="00C76AAA" w:rsidP="00DE646E">
      <w:pPr>
        <w:spacing w:before="240" w:line="320" w:lineRule="atLeast"/>
        <w:jc w:val="both"/>
        <w:rPr>
          <w:szCs w:val="20"/>
        </w:rPr>
      </w:pPr>
      <w:r>
        <w:rPr>
          <w:szCs w:val="20"/>
        </w:rPr>
        <w:lastRenderedPageBreak/>
        <w:t xml:space="preserve">An important feature of the market is that different hedging products will be sold by different generators (figure </w:t>
      </w:r>
      <w:proofErr w:type="spellStart"/>
      <w:r w:rsidR="001F3032">
        <w:rPr>
          <w:szCs w:val="20"/>
        </w:rPr>
        <w:t>C</w:t>
      </w:r>
      <w:r w:rsidR="006555D2">
        <w:rPr>
          <w:szCs w:val="20"/>
        </w:rPr>
        <w:t>.3</w:t>
      </w:r>
      <w:proofErr w:type="spellEnd"/>
      <w:r>
        <w:rPr>
          <w:szCs w:val="20"/>
        </w:rPr>
        <w:t xml:space="preserve">). </w:t>
      </w:r>
      <w:r w:rsidR="005A50CC">
        <w:rPr>
          <w:szCs w:val="20"/>
        </w:rPr>
        <w:t xml:space="preserve">The type of contract sold by a generator will sell will be determined by the expected electricity output of the generator. For example, a base load generator will expect to be operating at a consistent level throughout the day, and can sell this output through a base load swap. </w:t>
      </w:r>
      <w:r>
        <w:rPr>
          <w:szCs w:val="20"/>
        </w:rPr>
        <w:t>On the other hand, a peaking generator is unlikely to be dispatched during normal market conditions when the spot market price is low, but will be dispatched when the prices are high. This makes them ideally suited to selling cap products.</w:t>
      </w:r>
    </w:p>
    <w:p w:rsidR="00600038" w:rsidRPr="008B4617" w:rsidRDefault="00600038" w:rsidP="008B4617">
      <w:pPr>
        <w:keepNext/>
        <w:keepLines/>
        <w:spacing w:before="360" w:after="80" w:line="280" w:lineRule="exact"/>
        <w:ind w:left="1474" w:hanging="1474"/>
        <w:rPr>
          <w:rFonts w:ascii="Arial" w:hAnsi="Arial"/>
          <w:b/>
        </w:rPr>
      </w:pPr>
      <w:r w:rsidRPr="00600038">
        <w:rPr>
          <w:rFonts w:ascii="Arial" w:hAnsi="Arial"/>
        </w:rPr>
        <w:t xml:space="preserve">Figure </w:t>
      </w:r>
      <w:proofErr w:type="spellStart"/>
      <w:r w:rsidR="00315762">
        <w:rPr>
          <w:rFonts w:ascii="Arial" w:hAnsi="Arial"/>
        </w:rPr>
        <w:t>C.</w:t>
      </w:r>
      <w:r w:rsidR="00315762">
        <w:rPr>
          <w:rFonts w:ascii="Arial" w:hAnsi="Arial"/>
          <w:noProof/>
        </w:rPr>
        <w:t>3</w:t>
      </w:r>
      <w:proofErr w:type="spellEnd"/>
      <w:r w:rsidRPr="00600038">
        <w:rPr>
          <w:rFonts w:ascii="Arial" w:hAnsi="Arial"/>
          <w:b/>
        </w:rPr>
        <w:tab/>
      </w:r>
      <w:r w:rsidR="00DE646E">
        <w:rPr>
          <w:rFonts w:ascii="Arial" w:hAnsi="Arial"/>
          <w:b/>
        </w:rPr>
        <w:t>Illustrative range of hedging products offered by generators</w:t>
      </w:r>
    </w:p>
    <w:tbl>
      <w:tblPr>
        <w:tblW w:w="8927"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927"/>
      </w:tblGrid>
      <w:tr w:rsidR="00600038" w:rsidRPr="00600038" w:rsidTr="008B4617">
        <w:trPr>
          <w:trHeight w:val="4773"/>
        </w:trPr>
        <w:tc>
          <w:tcPr>
            <w:tcW w:w="8927" w:type="dxa"/>
          </w:tcPr>
          <w:p w:rsidR="00600038" w:rsidRPr="00600038" w:rsidRDefault="004F1942" w:rsidP="00600038">
            <w:pPr>
              <w:keepNext/>
              <w:spacing w:before="120" w:after="120" w:line="240" w:lineRule="atLeast"/>
              <w:jc w:val="center"/>
              <w:rPr>
                <w:szCs w:val="20"/>
              </w:rPr>
            </w:pPr>
            <w:r>
              <w:rPr>
                <w:noProof/>
                <w:szCs w:val="20"/>
              </w:rPr>
              <w:drawing>
                <wp:inline distT="0" distB="0" distL="0" distR="0" wp14:anchorId="1495879D">
                  <wp:extent cx="5444490" cy="2914015"/>
                  <wp:effectExtent l="0" t="0" r="3810" b="635"/>
                  <wp:docPr id="2" name="Picture 2" descr="Illustrative range of hedging products offered by generators. This figure shows usage over a 24 hour time period of mid merit / peaking generators, base load / mid merit generators and base load genera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44490" cy="2914015"/>
                          </a:xfrm>
                          <a:prstGeom prst="rect">
                            <a:avLst/>
                          </a:prstGeom>
                          <a:noFill/>
                        </pic:spPr>
                      </pic:pic>
                    </a:graphicData>
                  </a:graphic>
                </wp:inline>
              </w:drawing>
            </w:r>
          </w:p>
        </w:tc>
      </w:tr>
    </w:tbl>
    <w:p w:rsidR="00172DAB" w:rsidRPr="00600038" w:rsidRDefault="00172DAB" w:rsidP="00172DAB">
      <w:pPr>
        <w:keepLines/>
        <w:spacing w:before="80" w:line="220" w:lineRule="exact"/>
        <w:jc w:val="both"/>
        <w:rPr>
          <w:rFonts w:ascii="Arial" w:hAnsi="Arial"/>
          <w:sz w:val="18"/>
          <w:szCs w:val="20"/>
        </w:rPr>
      </w:pPr>
      <w:r>
        <w:rPr>
          <w:rFonts w:ascii="Arial" w:hAnsi="Arial"/>
          <w:sz w:val="18"/>
          <w:szCs w:val="20"/>
        </w:rPr>
        <w:t xml:space="preserve">Underlying data are </w:t>
      </w:r>
      <w:r w:rsidR="00DE646E">
        <w:rPr>
          <w:rFonts w:ascii="Arial" w:hAnsi="Arial"/>
          <w:sz w:val="18"/>
          <w:szCs w:val="20"/>
        </w:rPr>
        <w:t xml:space="preserve">hypothetical </w:t>
      </w:r>
      <w:r>
        <w:rPr>
          <w:rFonts w:ascii="Arial" w:hAnsi="Arial"/>
          <w:sz w:val="18"/>
          <w:szCs w:val="20"/>
        </w:rPr>
        <w:t>and are for illustrative purposes only</w:t>
      </w:r>
      <w:r w:rsidR="00DE646E">
        <w:rPr>
          <w:rFonts w:ascii="Arial" w:hAnsi="Arial"/>
          <w:sz w:val="18"/>
          <w:szCs w:val="20"/>
        </w:rPr>
        <w:t>.</w:t>
      </w:r>
      <w:r w:rsidR="001F662A">
        <w:rPr>
          <w:rFonts w:ascii="Arial" w:hAnsi="Arial"/>
          <w:sz w:val="18"/>
          <w:szCs w:val="20"/>
        </w:rPr>
        <w:t xml:space="preserve"> </w:t>
      </w:r>
    </w:p>
    <w:p w:rsidR="00083605" w:rsidRDefault="00315762" w:rsidP="00172DAB">
      <w:pPr>
        <w:pStyle w:val="Heading2"/>
      </w:pPr>
      <w:proofErr w:type="spellStart"/>
      <w:r>
        <w:t>C.</w:t>
      </w:r>
      <w:r>
        <w:rPr>
          <w:noProof/>
        </w:rPr>
        <w:t>3</w:t>
      </w:r>
      <w:proofErr w:type="spellEnd"/>
      <w:r w:rsidR="00ED6656">
        <w:tab/>
      </w:r>
      <w:r w:rsidR="00083605">
        <w:t>Trading positions of market players</w:t>
      </w:r>
    </w:p>
    <w:p w:rsidR="00083605" w:rsidRDefault="00083605" w:rsidP="00083605">
      <w:pPr>
        <w:pStyle w:val="BodyText"/>
      </w:pPr>
      <w:r>
        <w:t xml:space="preserve">Trading positions of market players are often </w:t>
      </w:r>
      <w:r w:rsidR="00DE7433">
        <w:t xml:space="preserve">more </w:t>
      </w:r>
      <w:r>
        <w:t xml:space="preserve">complicated </w:t>
      </w:r>
      <w:r w:rsidR="00DE7433">
        <w:t xml:space="preserve">than the simple representations above </w:t>
      </w:r>
      <w:r>
        <w:t>and are commercially sensitive. As a result</w:t>
      </w:r>
      <w:r w:rsidR="00FD3F75">
        <w:t>,</w:t>
      </w:r>
      <w:r>
        <w:t xml:space="preserve"> it is difficult to know what a </w:t>
      </w:r>
      <w:r w:rsidR="00ED6656">
        <w:t>‘</w:t>
      </w:r>
      <w:r>
        <w:t>typical</w:t>
      </w:r>
      <w:r w:rsidR="00ED6656">
        <w:t>’</w:t>
      </w:r>
      <w:r>
        <w:t xml:space="preserve"> trading strategy of a market participant </w:t>
      </w:r>
      <w:r w:rsidRPr="00ED6656">
        <w:t>would look like.</w:t>
      </w:r>
      <w:r w:rsidR="00DE7433">
        <w:t xml:space="preserve"> </w:t>
      </w:r>
      <w:r w:rsidRPr="00ED6656">
        <w:t>However</w:t>
      </w:r>
      <w:r>
        <w:t xml:space="preserve">, </w:t>
      </w:r>
      <w:r w:rsidR="00172DAB">
        <w:t>discussions with partic</w:t>
      </w:r>
      <w:r w:rsidR="00FD3F75">
        <w:t>i</w:t>
      </w:r>
      <w:r w:rsidR="00172DAB">
        <w:t>pants</w:t>
      </w:r>
      <w:r>
        <w:t xml:space="preserve"> have revealed a few ‘rules of thumb’ that can be helpful when </w:t>
      </w:r>
      <w:r w:rsidR="00ED6656">
        <w:t>considering trading positions</w:t>
      </w:r>
      <w:r>
        <w:t xml:space="preserve">. </w:t>
      </w:r>
    </w:p>
    <w:p w:rsidR="00083605" w:rsidRDefault="00ED6656" w:rsidP="00083605">
      <w:pPr>
        <w:pStyle w:val="BodyText"/>
      </w:pPr>
      <w:r>
        <w:t>Typically, g</w:t>
      </w:r>
      <w:r w:rsidR="00083605">
        <w:t xml:space="preserve">enerators </w:t>
      </w:r>
      <w:r w:rsidR="003B172B">
        <w:t>will hedge all but one of the</w:t>
      </w:r>
      <w:r w:rsidR="00083605">
        <w:t xml:space="preserve"> total number of generating units in the portfolio. </w:t>
      </w:r>
      <w:r w:rsidR="00172DAB">
        <w:t xml:space="preserve">This allows </w:t>
      </w:r>
      <w:r w:rsidR="003B172B">
        <w:t xml:space="preserve">them </w:t>
      </w:r>
      <w:r w:rsidR="00172DAB">
        <w:t xml:space="preserve">to generate enough power to cover the contract even if one generating unit went offline or was </w:t>
      </w:r>
      <w:r>
        <w:t xml:space="preserve">otherwise </w:t>
      </w:r>
      <w:r w:rsidR="00172DAB" w:rsidRPr="00ED6656">
        <w:t>constrained.</w:t>
      </w:r>
    </w:p>
    <w:p w:rsidR="00083605" w:rsidRPr="00ED6656" w:rsidRDefault="00083605" w:rsidP="00083605">
      <w:pPr>
        <w:pStyle w:val="BodyText"/>
      </w:pPr>
      <w:r w:rsidRPr="00ED6656">
        <w:lastRenderedPageBreak/>
        <w:t>Retailers</w:t>
      </w:r>
      <w:r w:rsidR="00ED6656">
        <w:t xml:space="preserve"> on the other hand,</w:t>
      </w:r>
      <w:r w:rsidRPr="00ED6656">
        <w:t xml:space="preserve"> </w:t>
      </w:r>
      <w:r w:rsidR="003B172B">
        <w:t xml:space="preserve">appear to </w:t>
      </w:r>
      <w:r w:rsidR="00F03F17" w:rsidRPr="00ED6656">
        <w:t>have followed a number of different strategies</w:t>
      </w:r>
      <w:r w:rsidR="004A6B3A">
        <w:t>,</w:t>
      </w:r>
      <w:r w:rsidR="00F03F17" w:rsidRPr="00ED6656">
        <w:t xml:space="preserve"> ranging from attempting to fully hedge their position</w:t>
      </w:r>
      <w:r w:rsidR="00ED6656">
        <w:t>,</w:t>
      </w:r>
      <w:r w:rsidR="00F03F17" w:rsidRPr="00ED6656">
        <w:t xml:space="preserve"> to holding a minimal hedging position. </w:t>
      </w:r>
    </w:p>
    <w:p w:rsidR="00AF54AE" w:rsidRDefault="00AF54AE" w:rsidP="00083605">
      <w:pPr>
        <w:pStyle w:val="BodyText"/>
      </w:pPr>
      <w:r>
        <w:t xml:space="preserve">The hedging market also has a large number of speculators that </w:t>
      </w:r>
      <w:r w:rsidR="003B172B">
        <w:t>are not directly involved in generating or retailing electricity</w:t>
      </w:r>
      <w:r>
        <w:t xml:space="preserve">. </w:t>
      </w:r>
      <w:r w:rsidR="00ED6656">
        <w:t>Speculators</w:t>
      </w:r>
      <w:r>
        <w:t xml:space="preserve"> will enter the market if they think that the </w:t>
      </w:r>
      <w:r w:rsidR="0009773E">
        <w:t>electricity</w:t>
      </w:r>
      <w:r w:rsidR="004A6B3A">
        <w:t xml:space="preserve"> derivatives are</w:t>
      </w:r>
      <w:r>
        <w:t xml:space="preserve"> mispriced. While </w:t>
      </w:r>
      <w:r w:rsidR="003B172B">
        <w:t>commercially motivated</w:t>
      </w:r>
      <w:r>
        <w:t xml:space="preserve">, speculation provides liquidity to the market and </w:t>
      </w:r>
      <w:r w:rsidR="003B172B">
        <w:t xml:space="preserve">thereby </w:t>
      </w:r>
      <w:r w:rsidR="00172DAB">
        <w:t>provides</w:t>
      </w:r>
      <w:r>
        <w:t xml:space="preserve"> market participants </w:t>
      </w:r>
      <w:r w:rsidR="003B172B">
        <w:t xml:space="preserve">greater surety </w:t>
      </w:r>
      <w:r>
        <w:t>that they will be able to trade in the future.</w:t>
      </w:r>
    </w:p>
    <w:p w:rsidR="00600038" w:rsidRPr="00600038" w:rsidRDefault="00315762" w:rsidP="00172DAB">
      <w:pPr>
        <w:pStyle w:val="Heading2"/>
      </w:pPr>
      <w:proofErr w:type="spellStart"/>
      <w:r>
        <w:t>C.</w:t>
      </w:r>
      <w:r>
        <w:rPr>
          <w:noProof/>
        </w:rPr>
        <w:t>4</w:t>
      </w:r>
      <w:proofErr w:type="spellEnd"/>
      <w:r w:rsidR="0009773E">
        <w:tab/>
      </w:r>
      <w:r w:rsidR="00600038" w:rsidRPr="00600038">
        <w:t>How are hedges traded</w:t>
      </w:r>
      <w:r w:rsidR="00FD3F75">
        <w:t>?</w:t>
      </w:r>
    </w:p>
    <w:p w:rsidR="00F35850" w:rsidRPr="00600038" w:rsidRDefault="00600038" w:rsidP="00600038">
      <w:pPr>
        <w:spacing w:before="240" w:line="320" w:lineRule="atLeast"/>
        <w:jc w:val="both"/>
        <w:rPr>
          <w:szCs w:val="20"/>
        </w:rPr>
      </w:pPr>
      <w:r w:rsidRPr="00600038">
        <w:rPr>
          <w:szCs w:val="20"/>
        </w:rPr>
        <w:t xml:space="preserve">There are three ways that hedges are traded in the </w:t>
      </w:r>
      <w:proofErr w:type="spellStart"/>
      <w:r w:rsidRPr="00600038">
        <w:rPr>
          <w:szCs w:val="20"/>
        </w:rPr>
        <w:t>NEM</w:t>
      </w:r>
      <w:proofErr w:type="spellEnd"/>
      <w:r w:rsidR="00452C21">
        <w:rPr>
          <w:szCs w:val="20"/>
        </w:rPr>
        <w:t>;</w:t>
      </w:r>
      <w:r w:rsidRPr="00600038">
        <w:rPr>
          <w:szCs w:val="20"/>
        </w:rPr>
        <w:t xml:space="preserve"> Over </w:t>
      </w:r>
      <w:r w:rsidR="00B614B1">
        <w:rPr>
          <w:szCs w:val="20"/>
        </w:rPr>
        <w:t>t</w:t>
      </w:r>
      <w:r w:rsidR="00B614B1" w:rsidRPr="00600038">
        <w:rPr>
          <w:szCs w:val="20"/>
        </w:rPr>
        <w:t xml:space="preserve">he </w:t>
      </w:r>
      <w:r w:rsidRPr="00600038">
        <w:rPr>
          <w:szCs w:val="20"/>
        </w:rPr>
        <w:t xml:space="preserve">Counter (OTC) </w:t>
      </w:r>
      <w:r w:rsidR="00172DAB">
        <w:rPr>
          <w:szCs w:val="20"/>
        </w:rPr>
        <w:t>c</w:t>
      </w:r>
      <w:r w:rsidRPr="00600038">
        <w:rPr>
          <w:szCs w:val="20"/>
        </w:rPr>
        <w:t>ontracts</w:t>
      </w:r>
      <w:r w:rsidR="00452C21">
        <w:rPr>
          <w:szCs w:val="20"/>
        </w:rPr>
        <w:t>,</w:t>
      </w:r>
      <w:r w:rsidRPr="00600038">
        <w:rPr>
          <w:szCs w:val="20"/>
        </w:rPr>
        <w:t xml:space="preserve"> trading through the Sydney Futures Exchange </w:t>
      </w:r>
      <w:r w:rsidR="00172DAB">
        <w:rPr>
          <w:szCs w:val="20"/>
        </w:rPr>
        <w:t>(</w:t>
      </w:r>
      <w:proofErr w:type="spellStart"/>
      <w:r w:rsidRPr="00600038">
        <w:rPr>
          <w:szCs w:val="20"/>
        </w:rPr>
        <w:t>SFE</w:t>
      </w:r>
      <w:proofErr w:type="spellEnd"/>
      <w:r w:rsidR="00172DAB">
        <w:rPr>
          <w:szCs w:val="20"/>
        </w:rPr>
        <w:t>)</w:t>
      </w:r>
      <w:r w:rsidRPr="00600038">
        <w:rPr>
          <w:szCs w:val="20"/>
        </w:rPr>
        <w:t xml:space="preserve"> and through the use of the </w:t>
      </w:r>
      <w:proofErr w:type="spellStart"/>
      <w:r w:rsidRPr="00600038">
        <w:rPr>
          <w:szCs w:val="20"/>
        </w:rPr>
        <w:t>gentailer</w:t>
      </w:r>
      <w:proofErr w:type="spellEnd"/>
      <w:r w:rsidRPr="00600038">
        <w:rPr>
          <w:szCs w:val="20"/>
        </w:rPr>
        <w:t xml:space="preserve"> business model. </w:t>
      </w:r>
    </w:p>
    <w:p w:rsidR="00600038" w:rsidRPr="00600038" w:rsidRDefault="00600038" w:rsidP="00600038">
      <w:pPr>
        <w:numPr>
          <w:ilvl w:val="0"/>
          <w:numId w:val="2"/>
        </w:numPr>
        <w:tabs>
          <w:tab w:val="clear" w:pos="567"/>
          <w:tab w:val="num" w:pos="340"/>
        </w:tabs>
        <w:spacing w:before="120" w:line="320" w:lineRule="atLeast"/>
        <w:ind w:left="340" w:hanging="340"/>
        <w:jc w:val="both"/>
        <w:rPr>
          <w:szCs w:val="20"/>
        </w:rPr>
      </w:pPr>
      <w:r w:rsidRPr="00600038">
        <w:rPr>
          <w:b/>
          <w:szCs w:val="20"/>
        </w:rPr>
        <w:t xml:space="preserve">Over the Counter </w:t>
      </w:r>
      <w:r w:rsidR="00172DAB" w:rsidRPr="00600038">
        <w:rPr>
          <w:b/>
          <w:szCs w:val="20"/>
        </w:rPr>
        <w:t>(OTC)</w:t>
      </w:r>
      <w:r w:rsidR="00172DAB" w:rsidRPr="00600038">
        <w:rPr>
          <w:szCs w:val="20"/>
        </w:rPr>
        <w:t xml:space="preserve"> </w:t>
      </w:r>
      <w:r w:rsidRPr="00172DAB">
        <w:rPr>
          <w:szCs w:val="20"/>
        </w:rPr>
        <w:t>contracts</w:t>
      </w:r>
      <w:r w:rsidRPr="00600038">
        <w:rPr>
          <w:b/>
          <w:szCs w:val="20"/>
        </w:rPr>
        <w:t xml:space="preserve"> </w:t>
      </w:r>
      <w:r w:rsidRPr="00600038">
        <w:rPr>
          <w:szCs w:val="20"/>
        </w:rPr>
        <w:t xml:space="preserve">are a direct agreement </w:t>
      </w:r>
      <w:r w:rsidR="00E732B5">
        <w:rPr>
          <w:szCs w:val="20"/>
        </w:rPr>
        <w:t xml:space="preserve">between two parties and as such allow a high level of flexibility in the terms of the arrangement. </w:t>
      </w:r>
      <w:r w:rsidRPr="00600038">
        <w:rPr>
          <w:szCs w:val="20"/>
        </w:rPr>
        <w:t xml:space="preserve">These instruments are often for a time several years in the future, </w:t>
      </w:r>
      <w:r w:rsidR="00F11A9E">
        <w:rPr>
          <w:szCs w:val="20"/>
        </w:rPr>
        <w:t>meaning that</w:t>
      </w:r>
      <w:r w:rsidRPr="00600038">
        <w:rPr>
          <w:szCs w:val="20"/>
        </w:rPr>
        <w:t xml:space="preserve"> each party bears some risk that the counterparty will become insolvent before the contract become</w:t>
      </w:r>
      <w:r w:rsidR="00F35850">
        <w:rPr>
          <w:szCs w:val="20"/>
        </w:rPr>
        <w:t>s</w:t>
      </w:r>
      <w:r w:rsidRPr="00600038">
        <w:rPr>
          <w:szCs w:val="20"/>
        </w:rPr>
        <w:t xml:space="preserve"> due</w:t>
      </w:r>
      <w:r w:rsidR="00F11A9E">
        <w:rPr>
          <w:szCs w:val="20"/>
        </w:rPr>
        <w:t xml:space="preserve"> (credit default risk)</w:t>
      </w:r>
      <w:r w:rsidRPr="00600038">
        <w:rPr>
          <w:szCs w:val="20"/>
        </w:rPr>
        <w:t xml:space="preserve">. As a result, traders </w:t>
      </w:r>
      <w:r w:rsidR="00B614B1">
        <w:rPr>
          <w:szCs w:val="20"/>
        </w:rPr>
        <w:t xml:space="preserve">will often choose </w:t>
      </w:r>
      <w:r w:rsidR="00B614B1" w:rsidRPr="00600038">
        <w:rPr>
          <w:szCs w:val="20"/>
        </w:rPr>
        <w:t>only</w:t>
      </w:r>
      <w:r w:rsidR="00B614B1">
        <w:rPr>
          <w:szCs w:val="20"/>
        </w:rPr>
        <w:t xml:space="preserve"> to </w:t>
      </w:r>
      <w:r w:rsidRPr="00600038">
        <w:rPr>
          <w:szCs w:val="20"/>
        </w:rPr>
        <w:t xml:space="preserve">enter into a contract with a party that has an acceptably high credit rating. </w:t>
      </w:r>
    </w:p>
    <w:p w:rsidR="00600038" w:rsidRPr="00600038" w:rsidRDefault="00600038" w:rsidP="00600038">
      <w:pPr>
        <w:numPr>
          <w:ilvl w:val="0"/>
          <w:numId w:val="2"/>
        </w:numPr>
        <w:tabs>
          <w:tab w:val="clear" w:pos="567"/>
          <w:tab w:val="num" w:pos="340"/>
        </w:tabs>
        <w:spacing w:before="120" w:line="320" w:lineRule="atLeast"/>
        <w:ind w:left="340" w:hanging="340"/>
        <w:jc w:val="both"/>
        <w:rPr>
          <w:szCs w:val="20"/>
        </w:rPr>
      </w:pPr>
      <w:r w:rsidRPr="00600038">
        <w:rPr>
          <w:b/>
          <w:szCs w:val="20"/>
        </w:rPr>
        <w:t>The Sydney Futures Exchange</w:t>
      </w:r>
      <w:r w:rsidR="006A3154">
        <w:rPr>
          <w:b/>
          <w:szCs w:val="20"/>
        </w:rPr>
        <w:t xml:space="preserve"> (</w:t>
      </w:r>
      <w:proofErr w:type="spellStart"/>
      <w:r w:rsidR="006A3154">
        <w:rPr>
          <w:b/>
          <w:szCs w:val="20"/>
        </w:rPr>
        <w:t>SFE</w:t>
      </w:r>
      <w:proofErr w:type="spellEnd"/>
      <w:r w:rsidR="006A3154">
        <w:rPr>
          <w:b/>
          <w:szCs w:val="20"/>
        </w:rPr>
        <w:t>)</w:t>
      </w:r>
      <w:r w:rsidRPr="00600038">
        <w:rPr>
          <w:szCs w:val="20"/>
        </w:rPr>
        <w:t xml:space="preserve"> is a common exchange </w:t>
      </w:r>
      <w:r w:rsidRPr="0009773E">
        <w:rPr>
          <w:szCs w:val="20"/>
        </w:rPr>
        <w:t xml:space="preserve">where </w:t>
      </w:r>
      <w:r w:rsidR="0009773E">
        <w:rPr>
          <w:szCs w:val="20"/>
        </w:rPr>
        <w:t>participants</w:t>
      </w:r>
      <w:r w:rsidR="0009773E" w:rsidRPr="0009773E">
        <w:rPr>
          <w:szCs w:val="20"/>
        </w:rPr>
        <w:t xml:space="preserve"> </w:t>
      </w:r>
      <w:r w:rsidRPr="00600038">
        <w:rPr>
          <w:szCs w:val="20"/>
        </w:rPr>
        <w:t xml:space="preserve">trade in a number of standardised futures products. Trade is anonymous and risk is managed through a </w:t>
      </w:r>
      <w:r w:rsidR="001756D1" w:rsidRPr="00600038">
        <w:rPr>
          <w:szCs w:val="20"/>
        </w:rPr>
        <w:t>mark</w:t>
      </w:r>
      <w:r w:rsidR="001756D1">
        <w:rPr>
          <w:szCs w:val="20"/>
        </w:rPr>
        <w:t>-</w:t>
      </w:r>
      <w:r w:rsidR="001756D1" w:rsidRPr="00600038">
        <w:rPr>
          <w:szCs w:val="20"/>
        </w:rPr>
        <w:t>to</w:t>
      </w:r>
      <w:r w:rsidR="001756D1">
        <w:rPr>
          <w:szCs w:val="20"/>
        </w:rPr>
        <w:t>-</w:t>
      </w:r>
      <w:r w:rsidRPr="00600038">
        <w:rPr>
          <w:szCs w:val="20"/>
        </w:rPr>
        <w:t>market process.</w:t>
      </w:r>
      <w:r w:rsidR="00B7035D">
        <w:rPr>
          <w:rStyle w:val="FootnoteReference"/>
          <w:szCs w:val="20"/>
        </w:rPr>
        <w:footnoteReference w:id="2"/>
      </w:r>
      <w:r w:rsidRPr="00600038">
        <w:rPr>
          <w:szCs w:val="20"/>
        </w:rPr>
        <w:t xml:space="preserve"> As a result, there is very little credit default risk involved</w:t>
      </w:r>
      <w:r w:rsidR="001756D1">
        <w:rPr>
          <w:szCs w:val="20"/>
        </w:rPr>
        <w:t xml:space="preserve"> and lower barriers to entry to </w:t>
      </w:r>
      <w:r w:rsidRPr="00600038">
        <w:rPr>
          <w:szCs w:val="20"/>
        </w:rPr>
        <w:t xml:space="preserve">this form of trading. </w:t>
      </w:r>
    </w:p>
    <w:p w:rsidR="00797B91" w:rsidRDefault="00600038" w:rsidP="00600038">
      <w:pPr>
        <w:numPr>
          <w:ilvl w:val="0"/>
          <w:numId w:val="2"/>
        </w:numPr>
        <w:tabs>
          <w:tab w:val="clear" w:pos="567"/>
          <w:tab w:val="num" w:pos="340"/>
        </w:tabs>
        <w:spacing w:before="120" w:line="320" w:lineRule="atLeast"/>
        <w:ind w:left="340" w:hanging="340"/>
        <w:jc w:val="both"/>
        <w:rPr>
          <w:szCs w:val="20"/>
        </w:rPr>
      </w:pPr>
      <w:proofErr w:type="spellStart"/>
      <w:r w:rsidRPr="00600038">
        <w:rPr>
          <w:b/>
          <w:szCs w:val="20"/>
        </w:rPr>
        <w:t>Gentailers</w:t>
      </w:r>
      <w:proofErr w:type="spellEnd"/>
      <w:r w:rsidRPr="00600038">
        <w:rPr>
          <w:szCs w:val="20"/>
        </w:rPr>
        <w:t xml:space="preserve"> are a form of natural hedge as the company involved holds both generation and retailing assets</w:t>
      </w:r>
      <w:r w:rsidR="00F11A9E">
        <w:rPr>
          <w:szCs w:val="20"/>
        </w:rPr>
        <w:t>.</w:t>
      </w:r>
      <w:r w:rsidR="00B7035D">
        <w:rPr>
          <w:szCs w:val="20"/>
        </w:rPr>
        <w:t xml:space="preserve"> </w:t>
      </w:r>
      <w:r w:rsidR="00F11A9E">
        <w:rPr>
          <w:szCs w:val="20"/>
        </w:rPr>
        <w:t>A</w:t>
      </w:r>
      <w:r w:rsidR="00F11A9E" w:rsidRPr="00600038">
        <w:rPr>
          <w:szCs w:val="20"/>
        </w:rPr>
        <w:t xml:space="preserve">s </w:t>
      </w:r>
      <w:r w:rsidRPr="00600038">
        <w:rPr>
          <w:szCs w:val="20"/>
        </w:rPr>
        <w:t>a result</w:t>
      </w:r>
      <w:r w:rsidR="00F35850">
        <w:rPr>
          <w:szCs w:val="20"/>
        </w:rPr>
        <w:t>,</w:t>
      </w:r>
      <w:r w:rsidRPr="00600038">
        <w:rPr>
          <w:szCs w:val="20"/>
        </w:rPr>
        <w:t xml:space="preserve"> both sides of the hedging position are held within the same company. Trading in this way allows a company to limit its exposure to the futures market, and has </w:t>
      </w:r>
      <w:r w:rsidR="00172DAB">
        <w:rPr>
          <w:szCs w:val="20"/>
        </w:rPr>
        <w:t>grown substantially</w:t>
      </w:r>
      <w:r w:rsidRPr="00600038">
        <w:rPr>
          <w:szCs w:val="20"/>
        </w:rPr>
        <w:t xml:space="preserve"> in recent years. </w:t>
      </w:r>
    </w:p>
    <w:p w:rsidR="00F03F17" w:rsidRPr="00042204" w:rsidRDefault="00315762" w:rsidP="00172DAB">
      <w:pPr>
        <w:pStyle w:val="Heading2"/>
      </w:pPr>
      <w:proofErr w:type="spellStart"/>
      <w:r>
        <w:t>C.</w:t>
      </w:r>
      <w:r>
        <w:rPr>
          <w:noProof/>
        </w:rPr>
        <w:t>5</w:t>
      </w:r>
      <w:proofErr w:type="spellEnd"/>
      <w:r w:rsidR="0009773E">
        <w:tab/>
      </w:r>
      <w:r w:rsidR="00042204">
        <w:t xml:space="preserve">Trends in the hedging market </w:t>
      </w:r>
    </w:p>
    <w:p w:rsidR="00042204" w:rsidRDefault="00797B91" w:rsidP="00B7035D">
      <w:pPr>
        <w:spacing w:before="120" w:line="320" w:lineRule="atLeast"/>
        <w:jc w:val="both"/>
        <w:rPr>
          <w:szCs w:val="20"/>
        </w:rPr>
      </w:pPr>
      <w:r>
        <w:rPr>
          <w:szCs w:val="20"/>
        </w:rPr>
        <w:t>In 2010</w:t>
      </w:r>
      <w:r w:rsidR="001F3032">
        <w:rPr>
          <w:szCs w:val="20"/>
        </w:rPr>
        <w:noBreakHyphen/>
      </w:r>
      <w:r>
        <w:rPr>
          <w:szCs w:val="20"/>
        </w:rPr>
        <w:t>11, total turnover in the OTC market was 315 million megawatt hours, with 549</w:t>
      </w:r>
      <w:r w:rsidR="001F3032">
        <w:rPr>
          <w:szCs w:val="20"/>
        </w:rPr>
        <w:t> </w:t>
      </w:r>
      <w:r>
        <w:rPr>
          <w:szCs w:val="20"/>
        </w:rPr>
        <w:t xml:space="preserve">million megawatt hours in the </w:t>
      </w:r>
      <w:proofErr w:type="spellStart"/>
      <w:r>
        <w:rPr>
          <w:szCs w:val="20"/>
        </w:rPr>
        <w:t>SFE</w:t>
      </w:r>
      <w:proofErr w:type="spellEnd"/>
      <w:r>
        <w:rPr>
          <w:szCs w:val="20"/>
        </w:rPr>
        <w:t xml:space="preserve"> market</w:t>
      </w:r>
      <w:r w:rsidR="008A6D0E">
        <w:rPr>
          <w:szCs w:val="20"/>
        </w:rPr>
        <w:t>.</w:t>
      </w:r>
      <w:r>
        <w:rPr>
          <w:szCs w:val="20"/>
        </w:rPr>
        <w:t xml:space="preserve"> Together these market trade contracts amounted to four and a half times as much energy as is produced in the </w:t>
      </w:r>
      <w:proofErr w:type="spellStart"/>
      <w:r>
        <w:rPr>
          <w:szCs w:val="20"/>
        </w:rPr>
        <w:lastRenderedPageBreak/>
        <w:t>NEM</w:t>
      </w:r>
      <w:proofErr w:type="spellEnd"/>
      <w:r>
        <w:rPr>
          <w:szCs w:val="20"/>
        </w:rPr>
        <w:t xml:space="preserve"> (</w:t>
      </w:r>
      <w:proofErr w:type="spellStart"/>
      <w:r>
        <w:rPr>
          <w:szCs w:val="20"/>
        </w:rPr>
        <w:t>AFMA</w:t>
      </w:r>
      <w:proofErr w:type="spellEnd"/>
      <w:r>
        <w:rPr>
          <w:szCs w:val="20"/>
        </w:rPr>
        <w:t xml:space="preserve"> </w:t>
      </w:r>
      <w:proofErr w:type="spellStart"/>
      <w:r>
        <w:rPr>
          <w:szCs w:val="20"/>
        </w:rPr>
        <w:t>2011</w:t>
      </w:r>
      <w:r w:rsidR="006F7E81">
        <w:rPr>
          <w:szCs w:val="20"/>
        </w:rPr>
        <w:t>b</w:t>
      </w:r>
      <w:proofErr w:type="spellEnd"/>
      <w:r>
        <w:rPr>
          <w:szCs w:val="20"/>
        </w:rPr>
        <w:t>).</w:t>
      </w:r>
      <w:r>
        <w:rPr>
          <w:rStyle w:val="FootnoteReference"/>
          <w:szCs w:val="20"/>
        </w:rPr>
        <w:footnoteReference w:id="3"/>
      </w:r>
      <w:r>
        <w:rPr>
          <w:szCs w:val="20"/>
        </w:rPr>
        <w:t xml:space="preserve"> Moreover, these trading volumes have been increasing</w:t>
      </w:r>
      <w:r w:rsidR="00172DAB">
        <w:rPr>
          <w:szCs w:val="20"/>
        </w:rPr>
        <w:t xml:space="preserve"> (figure </w:t>
      </w:r>
      <w:proofErr w:type="spellStart"/>
      <w:r w:rsidR="001F3032">
        <w:rPr>
          <w:szCs w:val="20"/>
        </w:rPr>
        <w:t>C</w:t>
      </w:r>
      <w:r w:rsidR="00172DAB">
        <w:rPr>
          <w:szCs w:val="20"/>
        </w:rPr>
        <w:t>.4</w:t>
      </w:r>
      <w:proofErr w:type="spellEnd"/>
      <w:r w:rsidR="00172DAB">
        <w:rPr>
          <w:szCs w:val="20"/>
        </w:rPr>
        <w:t>)</w:t>
      </w:r>
      <w:r w:rsidR="0017272D">
        <w:rPr>
          <w:szCs w:val="20"/>
        </w:rPr>
        <w:t>.</w:t>
      </w:r>
    </w:p>
    <w:p w:rsidR="0017272D" w:rsidRDefault="0017272D">
      <w:pPr>
        <w:pStyle w:val="FigureTitle"/>
      </w:pPr>
      <w:r>
        <w:rPr>
          <w:b w:val="0"/>
        </w:rPr>
        <w:t xml:space="preserve">Figure </w:t>
      </w:r>
      <w:proofErr w:type="spellStart"/>
      <w:r w:rsidR="00315762">
        <w:rPr>
          <w:b w:val="0"/>
        </w:rPr>
        <w:t>C.</w:t>
      </w:r>
      <w:r w:rsidR="00315762">
        <w:rPr>
          <w:b w:val="0"/>
          <w:noProof/>
        </w:rPr>
        <w:t>4</w:t>
      </w:r>
      <w:proofErr w:type="spellEnd"/>
      <w:r>
        <w:tab/>
        <w:t xml:space="preserve">Long term increase in trading volumes </w:t>
      </w:r>
    </w:p>
    <w:p w:rsidR="0017272D" w:rsidRDefault="0017272D">
      <w:pPr>
        <w:pStyle w:val="Subtitle"/>
      </w:pPr>
      <w:r>
        <w:t>(Million megawatt hours)</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17272D" w:rsidTr="0017272D">
        <w:tc>
          <w:tcPr>
            <w:tcW w:w="8777" w:type="dxa"/>
          </w:tcPr>
          <w:p w:rsidR="0017272D" w:rsidRDefault="004F1942">
            <w:pPr>
              <w:pStyle w:val="Figure"/>
            </w:pPr>
            <w:r>
              <w:rPr>
                <w:noProof/>
              </w:rPr>
              <w:drawing>
                <wp:inline distT="0" distB="0" distL="0" distR="0" wp14:anchorId="72AEE48F">
                  <wp:extent cx="5401310" cy="2877820"/>
                  <wp:effectExtent l="0" t="0" r="8890" b="0"/>
                  <wp:docPr id="3" name="Picture 3" descr="Long term increase in trading volumes. This figure shows the increase in trading volumes of OTC and SFE from 1999 00 to 2010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1310" cy="2877820"/>
                          </a:xfrm>
                          <a:prstGeom prst="rect">
                            <a:avLst/>
                          </a:prstGeom>
                          <a:noFill/>
                        </pic:spPr>
                      </pic:pic>
                    </a:graphicData>
                  </a:graphic>
                </wp:inline>
              </w:drawing>
            </w:r>
          </w:p>
        </w:tc>
      </w:tr>
    </w:tbl>
    <w:p w:rsidR="001B2949" w:rsidRDefault="001B2949" w:rsidP="001B2949">
      <w:pPr>
        <w:pStyle w:val="Source"/>
      </w:pPr>
      <w:r>
        <w:rPr>
          <w:i/>
        </w:rPr>
        <w:t>Data source</w:t>
      </w:r>
      <w:r w:rsidRPr="00167F06">
        <w:t xml:space="preserve">: </w:t>
      </w:r>
      <w:proofErr w:type="spellStart"/>
      <w:r w:rsidR="00846359">
        <w:t>AFMA</w:t>
      </w:r>
      <w:proofErr w:type="spellEnd"/>
      <w:r>
        <w:t xml:space="preserve"> </w:t>
      </w:r>
      <w:r w:rsidR="00846359">
        <w:t>(</w:t>
      </w:r>
      <w:proofErr w:type="spellStart"/>
      <w:r>
        <w:t>2011</w:t>
      </w:r>
      <w:r w:rsidR="006F7E81">
        <w:t>b</w:t>
      </w:r>
      <w:proofErr w:type="spellEnd"/>
      <w:r w:rsidR="00846359">
        <w:t>)</w:t>
      </w:r>
    </w:p>
    <w:p w:rsidR="00042204" w:rsidRDefault="001B2949" w:rsidP="00600038">
      <w:pPr>
        <w:spacing w:before="240" w:line="320" w:lineRule="atLeast"/>
        <w:jc w:val="both"/>
        <w:rPr>
          <w:szCs w:val="20"/>
        </w:rPr>
      </w:pPr>
      <w:r>
        <w:rPr>
          <w:szCs w:val="20"/>
        </w:rPr>
        <w:t>Th</w:t>
      </w:r>
      <w:r w:rsidR="00F35850">
        <w:rPr>
          <w:szCs w:val="20"/>
        </w:rPr>
        <w:t>e</w:t>
      </w:r>
      <w:r>
        <w:rPr>
          <w:szCs w:val="20"/>
        </w:rPr>
        <w:t xml:space="preserve"> </w:t>
      </w:r>
      <w:r w:rsidR="003D540C">
        <w:rPr>
          <w:szCs w:val="20"/>
        </w:rPr>
        <w:t>growth</w:t>
      </w:r>
      <w:r>
        <w:rPr>
          <w:szCs w:val="20"/>
        </w:rPr>
        <w:t xml:space="preserve"> has occurred in spite of a market trend towards vertical integration</w:t>
      </w:r>
      <w:r w:rsidR="003D540C">
        <w:rPr>
          <w:szCs w:val="20"/>
        </w:rPr>
        <w:t xml:space="preserve"> of generators and retailers</w:t>
      </w:r>
      <w:r>
        <w:rPr>
          <w:szCs w:val="20"/>
        </w:rPr>
        <w:t xml:space="preserve">, which </w:t>
      </w:r>
      <w:r w:rsidR="00172DAB">
        <w:rPr>
          <w:szCs w:val="20"/>
        </w:rPr>
        <w:t>tend to</w:t>
      </w:r>
      <w:r>
        <w:rPr>
          <w:szCs w:val="20"/>
        </w:rPr>
        <w:t xml:space="preserve"> decrease the volume of traded derivatives as hedging is done within an organisation</w:t>
      </w:r>
      <w:r w:rsidR="00B7035D">
        <w:rPr>
          <w:szCs w:val="20"/>
        </w:rPr>
        <w:t xml:space="preserve">. </w:t>
      </w:r>
      <w:r>
        <w:rPr>
          <w:szCs w:val="20"/>
        </w:rPr>
        <w:t xml:space="preserve">The 2011 state of the </w:t>
      </w:r>
      <w:r w:rsidRPr="001756D1">
        <w:rPr>
          <w:szCs w:val="20"/>
        </w:rPr>
        <w:t>energy market report (</w:t>
      </w:r>
      <w:proofErr w:type="spellStart"/>
      <w:r w:rsidRPr="001756D1">
        <w:rPr>
          <w:szCs w:val="20"/>
        </w:rPr>
        <w:t>AER</w:t>
      </w:r>
      <w:proofErr w:type="spellEnd"/>
      <w:r w:rsidR="00F35850" w:rsidRPr="001756D1">
        <w:rPr>
          <w:szCs w:val="20"/>
        </w:rPr>
        <w:t> </w:t>
      </w:r>
      <w:proofErr w:type="spellStart"/>
      <w:r w:rsidRPr="001756D1">
        <w:rPr>
          <w:szCs w:val="20"/>
        </w:rPr>
        <w:t>2011</w:t>
      </w:r>
      <w:r w:rsidR="006F7E81">
        <w:rPr>
          <w:szCs w:val="20"/>
        </w:rPr>
        <w:t>b</w:t>
      </w:r>
      <w:proofErr w:type="spellEnd"/>
      <w:r w:rsidR="00AF4D6A" w:rsidRPr="001756D1">
        <w:rPr>
          <w:szCs w:val="20"/>
        </w:rPr>
        <w:t>,</w:t>
      </w:r>
      <w:r w:rsidR="00F35850" w:rsidRPr="001756D1">
        <w:rPr>
          <w:szCs w:val="20"/>
        </w:rPr>
        <w:t> </w:t>
      </w:r>
      <w:r w:rsidR="00AF4D6A" w:rsidRPr="001756D1">
        <w:rPr>
          <w:szCs w:val="20"/>
        </w:rPr>
        <w:t>p. 106</w:t>
      </w:r>
      <w:r w:rsidRPr="001756D1">
        <w:rPr>
          <w:szCs w:val="20"/>
        </w:rPr>
        <w:t xml:space="preserve">) </w:t>
      </w:r>
      <w:r w:rsidR="001756D1" w:rsidRPr="001756D1">
        <w:rPr>
          <w:szCs w:val="20"/>
        </w:rPr>
        <w:t>found</w:t>
      </w:r>
      <w:r w:rsidRPr="001756D1">
        <w:rPr>
          <w:szCs w:val="20"/>
        </w:rPr>
        <w:t>:</w:t>
      </w:r>
    </w:p>
    <w:p w:rsidR="001B2949" w:rsidRDefault="001B2949" w:rsidP="009623A9">
      <w:pPr>
        <w:pStyle w:val="Quote"/>
      </w:pPr>
      <w:r>
        <w:t>Around 58 per cent of new generation capacity</w:t>
      </w:r>
      <w:r w:rsidR="009623A9">
        <w:t xml:space="preserve"> </w:t>
      </w:r>
      <w:r>
        <w:t>commissioned or committed since 2007 is controlled</w:t>
      </w:r>
      <w:r w:rsidR="009623A9">
        <w:t xml:space="preserve"> </w:t>
      </w:r>
      <w:r>
        <w:t xml:space="preserve">by Origin Energy, </w:t>
      </w:r>
      <w:proofErr w:type="spellStart"/>
      <w:r>
        <w:t>AGL</w:t>
      </w:r>
      <w:proofErr w:type="spellEnd"/>
      <w:r>
        <w:t xml:space="preserve"> Energy and </w:t>
      </w:r>
      <w:proofErr w:type="spellStart"/>
      <w:r>
        <w:t>TRUenergy</w:t>
      </w:r>
      <w:proofErr w:type="spellEnd"/>
      <w:r>
        <w:t>.</w:t>
      </w:r>
      <w:r w:rsidR="009623A9">
        <w:t xml:space="preserve"> </w:t>
      </w:r>
      <w:r>
        <w:t>Generation investment since 2007 by entities that do</w:t>
      </w:r>
      <w:r w:rsidR="009623A9">
        <w:t xml:space="preserve"> </w:t>
      </w:r>
      <w:r>
        <w:t>not also retail energy has been negligible. In addition,</w:t>
      </w:r>
      <w:r w:rsidR="009623A9">
        <w:t xml:space="preserve"> </w:t>
      </w:r>
      <w:r>
        <w:t>many new entrant retailers in this time are vertically</w:t>
      </w:r>
      <w:r w:rsidR="009623A9">
        <w:t xml:space="preserve"> </w:t>
      </w:r>
      <w:r>
        <w:t>integrated with entities that were previously stand-alone</w:t>
      </w:r>
      <w:r w:rsidR="009623A9">
        <w:t xml:space="preserve"> </w:t>
      </w:r>
      <w:r>
        <w:t>generators — for example, International Power (trading</w:t>
      </w:r>
      <w:r w:rsidR="009623A9">
        <w:t xml:space="preserve"> </w:t>
      </w:r>
      <w:r>
        <w:t xml:space="preserve">as Simply Energy in retail markets), </w:t>
      </w:r>
      <w:proofErr w:type="spellStart"/>
      <w:r>
        <w:t>Infratil</w:t>
      </w:r>
      <w:proofErr w:type="spellEnd"/>
      <w:r>
        <w:t xml:space="preserve"> (</w:t>
      </w:r>
      <w:proofErr w:type="spellStart"/>
      <w:r>
        <w:t>Lumo</w:t>
      </w:r>
      <w:proofErr w:type="spellEnd"/>
      <w:r w:rsidR="009623A9">
        <w:t xml:space="preserve"> </w:t>
      </w:r>
      <w:r>
        <w:t xml:space="preserve">Energy) and </w:t>
      </w:r>
      <w:proofErr w:type="spellStart"/>
      <w:r>
        <w:t>Alinta</w:t>
      </w:r>
      <w:proofErr w:type="spellEnd"/>
      <w:r>
        <w:t xml:space="preserve"> Energy.</w:t>
      </w:r>
    </w:p>
    <w:p w:rsidR="00B7035D" w:rsidRDefault="009623A9" w:rsidP="00B7035D">
      <w:pPr>
        <w:spacing w:before="240" w:line="320" w:lineRule="atLeast"/>
        <w:jc w:val="both"/>
        <w:rPr>
          <w:szCs w:val="20"/>
        </w:rPr>
      </w:pPr>
      <w:r>
        <w:rPr>
          <w:szCs w:val="20"/>
        </w:rPr>
        <w:t xml:space="preserve">This has led to large market positions </w:t>
      </w:r>
      <w:r w:rsidR="001756D1">
        <w:rPr>
          <w:szCs w:val="20"/>
        </w:rPr>
        <w:t xml:space="preserve">held by a small </w:t>
      </w:r>
      <w:r>
        <w:rPr>
          <w:szCs w:val="20"/>
        </w:rPr>
        <w:t xml:space="preserve">number of prominent </w:t>
      </w:r>
      <w:proofErr w:type="spellStart"/>
      <w:r>
        <w:rPr>
          <w:szCs w:val="20"/>
        </w:rPr>
        <w:t>gentailers</w:t>
      </w:r>
      <w:proofErr w:type="spellEnd"/>
      <w:r w:rsidR="00194477">
        <w:rPr>
          <w:szCs w:val="20"/>
        </w:rPr>
        <w:t xml:space="preserve"> (f</w:t>
      </w:r>
      <w:r w:rsidR="001756D1">
        <w:rPr>
          <w:szCs w:val="20"/>
        </w:rPr>
        <w:t xml:space="preserve">igure </w:t>
      </w:r>
      <w:proofErr w:type="spellStart"/>
      <w:r w:rsidR="001F3032">
        <w:rPr>
          <w:szCs w:val="20"/>
        </w:rPr>
        <w:t>C</w:t>
      </w:r>
      <w:r w:rsidR="001756D1">
        <w:rPr>
          <w:szCs w:val="20"/>
        </w:rPr>
        <w:t>.5</w:t>
      </w:r>
      <w:proofErr w:type="spellEnd"/>
      <w:r w:rsidR="001756D1">
        <w:rPr>
          <w:szCs w:val="20"/>
        </w:rPr>
        <w:t>)</w:t>
      </w:r>
      <w:r w:rsidR="00C41436">
        <w:rPr>
          <w:szCs w:val="20"/>
        </w:rPr>
        <w:t xml:space="preserve">. </w:t>
      </w:r>
    </w:p>
    <w:p w:rsidR="009623A9" w:rsidRDefault="009623A9" w:rsidP="00452C21">
      <w:pPr>
        <w:pStyle w:val="FigureTitle"/>
      </w:pPr>
      <w:r>
        <w:rPr>
          <w:b w:val="0"/>
        </w:rPr>
        <w:lastRenderedPageBreak/>
        <w:t xml:space="preserve">Figure </w:t>
      </w:r>
      <w:proofErr w:type="spellStart"/>
      <w:r w:rsidR="00315762">
        <w:rPr>
          <w:b w:val="0"/>
        </w:rPr>
        <w:t>C.</w:t>
      </w:r>
      <w:r w:rsidR="00315762">
        <w:rPr>
          <w:b w:val="0"/>
          <w:noProof/>
        </w:rPr>
        <w:t>5</w:t>
      </w:r>
      <w:proofErr w:type="spellEnd"/>
      <w:r>
        <w:tab/>
      </w:r>
      <w:proofErr w:type="spellStart"/>
      <w:r>
        <w:t>Gentailing</w:t>
      </w:r>
      <w:proofErr w:type="spellEnd"/>
      <w:r>
        <w:t xml:space="preserve"> in the </w:t>
      </w:r>
      <w:proofErr w:type="spellStart"/>
      <w:r>
        <w:t>NEM</w:t>
      </w:r>
      <w:proofErr w:type="spellEnd"/>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623A9" w:rsidTr="00F5283E">
        <w:tc>
          <w:tcPr>
            <w:tcW w:w="8777" w:type="dxa"/>
          </w:tcPr>
          <w:p w:rsidR="009623A9" w:rsidRDefault="004F1942">
            <w:pPr>
              <w:pStyle w:val="Figure"/>
            </w:pPr>
            <w:r>
              <w:rPr>
                <w:noProof/>
              </w:rPr>
              <w:drawing>
                <wp:inline distT="0" distB="0" distL="0" distR="0" wp14:anchorId="07DECDE1">
                  <wp:extent cx="5053965" cy="2889885"/>
                  <wp:effectExtent l="0" t="0" r="0" b="5715"/>
                  <wp:docPr id="6" name="Picture 6" descr="Gentailing in the NEM. This figure shows the market share of different firms in terms of generation and retailing in Victoria, Queensland, New South Wales and South Austr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53965" cy="2889885"/>
                          </a:xfrm>
                          <a:prstGeom prst="rect">
                            <a:avLst/>
                          </a:prstGeom>
                          <a:noFill/>
                        </pic:spPr>
                      </pic:pic>
                    </a:graphicData>
                  </a:graphic>
                </wp:inline>
              </w:drawing>
            </w:r>
          </w:p>
        </w:tc>
      </w:tr>
    </w:tbl>
    <w:p w:rsidR="009623A9" w:rsidRDefault="009623A9">
      <w:pPr>
        <w:pStyle w:val="Note"/>
      </w:pPr>
      <w:r>
        <w:rPr>
          <w:rStyle w:val="NoteLabel"/>
        </w:rPr>
        <w:t>a</w:t>
      </w:r>
      <w:r>
        <w:t>.</w:t>
      </w:r>
      <w:r w:rsidR="00807123">
        <w:t>Generation data includes power produced under contract</w:t>
      </w:r>
      <w:r w:rsidR="00762046">
        <w:t xml:space="preserve"> </w:t>
      </w:r>
    </w:p>
    <w:p w:rsidR="009623A9" w:rsidRDefault="009623A9">
      <w:pPr>
        <w:pStyle w:val="Source"/>
      </w:pPr>
      <w:r>
        <w:rPr>
          <w:i/>
        </w:rPr>
        <w:t>Data source</w:t>
      </w:r>
      <w:r w:rsidRPr="00167F06">
        <w:t xml:space="preserve">: </w:t>
      </w:r>
      <w:r>
        <w:t>2011 State of the energy market (</w:t>
      </w:r>
      <w:proofErr w:type="spellStart"/>
      <w:r>
        <w:t>AER</w:t>
      </w:r>
      <w:proofErr w:type="spellEnd"/>
      <w:r>
        <w:t xml:space="preserve"> </w:t>
      </w:r>
      <w:proofErr w:type="spellStart"/>
      <w:r>
        <w:t>2011</w:t>
      </w:r>
      <w:r w:rsidR="006F7E81">
        <w:t>b</w:t>
      </w:r>
      <w:proofErr w:type="spellEnd"/>
      <w:r>
        <w:t>)</w:t>
      </w:r>
    </w:p>
    <w:p w:rsidR="00B7035D" w:rsidRPr="00B7035D" w:rsidRDefault="00B7035D" w:rsidP="00B7035D">
      <w:pPr>
        <w:pStyle w:val="BodyText"/>
      </w:pPr>
      <w:r>
        <w:t xml:space="preserve">A high level of vertical integration is seemingly one of the reasons why the South Australian market has a lower trading level then other regions of the </w:t>
      </w:r>
      <w:proofErr w:type="spellStart"/>
      <w:r>
        <w:t>NEM</w:t>
      </w:r>
      <w:proofErr w:type="spellEnd"/>
      <w:r>
        <w:t xml:space="preserve"> (figure</w:t>
      </w:r>
      <w:r w:rsidR="001F3032">
        <w:t> </w:t>
      </w:r>
      <w:proofErr w:type="spellStart"/>
      <w:r w:rsidR="001F3032">
        <w:t>C</w:t>
      </w:r>
      <w:r>
        <w:t>.6</w:t>
      </w:r>
      <w:proofErr w:type="spellEnd"/>
      <w:r>
        <w:t xml:space="preserve">). </w:t>
      </w:r>
      <w:r w:rsidR="008A6D0E">
        <w:t>A lack of liquidity can be problematic for a derivative market. This issue, as well as a number of potential solutions are discussed in chapter 17 of this report.</w:t>
      </w:r>
      <w:bookmarkStart w:id="3" w:name="_GoBack"/>
      <w:bookmarkEnd w:id="3"/>
    </w:p>
    <w:p w:rsidR="005C6A03" w:rsidRDefault="005C6A03" w:rsidP="008A6D0E">
      <w:pPr>
        <w:pStyle w:val="FigureTitle"/>
      </w:pPr>
      <w:r>
        <w:rPr>
          <w:b w:val="0"/>
        </w:rPr>
        <w:t xml:space="preserve">Figure </w:t>
      </w:r>
      <w:proofErr w:type="spellStart"/>
      <w:r w:rsidR="00315762">
        <w:rPr>
          <w:b w:val="0"/>
        </w:rPr>
        <w:t>C.</w:t>
      </w:r>
      <w:r w:rsidR="00315762">
        <w:rPr>
          <w:b w:val="0"/>
          <w:noProof/>
        </w:rPr>
        <w:t>6</w:t>
      </w:r>
      <w:proofErr w:type="spellEnd"/>
      <w:r>
        <w:tab/>
        <w:t xml:space="preserve">Liquidity ratios </w:t>
      </w:r>
      <w:r w:rsidR="008A6D0E">
        <w:t xml:space="preserve">in different regions of the </w:t>
      </w:r>
      <w:proofErr w:type="spellStart"/>
      <w:r w:rsidR="008A6D0E">
        <w:t>NEM</w:t>
      </w:r>
      <w:proofErr w:type="spellEnd"/>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C6A03">
        <w:tc>
          <w:tcPr>
            <w:tcW w:w="8777" w:type="dxa"/>
          </w:tcPr>
          <w:p w:rsidR="005C6A03" w:rsidRDefault="005C6A03">
            <w:pPr>
              <w:pStyle w:val="Figure"/>
            </w:pPr>
            <w:r>
              <w:rPr>
                <w:noProof/>
              </w:rPr>
              <w:drawing>
                <wp:inline distT="0" distB="0" distL="0" distR="0" wp14:anchorId="5CAA7F77" wp14:editId="13E8E4E1">
                  <wp:extent cx="4819649" cy="2771775"/>
                  <wp:effectExtent l="0" t="0" r="635" b="0"/>
                  <wp:docPr id="7" name="Picture 7" descr="Liquidity ratios in different regions of the NEM. This figure shows the liquidity ratios in New South Wales, Queensland, South Australia and Vict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20217" cy="2772101"/>
                          </a:xfrm>
                          <a:prstGeom prst="rect">
                            <a:avLst/>
                          </a:prstGeom>
                          <a:noFill/>
                        </pic:spPr>
                      </pic:pic>
                    </a:graphicData>
                  </a:graphic>
                </wp:inline>
              </w:drawing>
            </w:r>
          </w:p>
        </w:tc>
      </w:tr>
    </w:tbl>
    <w:p w:rsidR="005C6A03" w:rsidRDefault="005C6A03" w:rsidP="000C6D6D">
      <w:pPr>
        <w:pStyle w:val="Source"/>
      </w:pPr>
      <w:r>
        <w:rPr>
          <w:i/>
        </w:rPr>
        <w:t>Data source</w:t>
      </w:r>
      <w:r w:rsidRPr="00167F06">
        <w:t>:</w:t>
      </w:r>
      <w:r w:rsidR="00B1246A">
        <w:t xml:space="preserve"> </w:t>
      </w:r>
      <w:proofErr w:type="spellStart"/>
      <w:r w:rsidR="00B1246A">
        <w:t>AFMA</w:t>
      </w:r>
      <w:proofErr w:type="spellEnd"/>
      <w:r w:rsidRPr="00167F06">
        <w:t xml:space="preserve"> </w:t>
      </w:r>
      <w:r w:rsidR="00B1246A">
        <w:t xml:space="preserve">Australian Financial Markets Report </w:t>
      </w:r>
      <w:r w:rsidR="006F7E81">
        <w:t>(</w:t>
      </w:r>
      <w:proofErr w:type="spellStart"/>
      <w:r w:rsidR="00B1246A">
        <w:t>2011</w:t>
      </w:r>
      <w:r w:rsidR="006F7E81">
        <w:t>b</w:t>
      </w:r>
      <w:proofErr w:type="spellEnd"/>
      <w:r w:rsidR="006F7E81">
        <w:t>)</w:t>
      </w:r>
      <w:r w:rsidR="00B1246A">
        <w:t xml:space="preserve">, </w:t>
      </w:r>
      <w:proofErr w:type="spellStart"/>
      <w:r w:rsidR="00B1246A">
        <w:t>AEMO</w:t>
      </w:r>
      <w:proofErr w:type="spellEnd"/>
      <w:r w:rsidR="00B1246A">
        <w:t xml:space="preserve"> </w:t>
      </w:r>
      <w:r w:rsidR="008E0CCF">
        <w:t>(2012)</w:t>
      </w:r>
      <w:r w:rsidR="00807123">
        <w:t>.</w:t>
      </w:r>
      <w:r w:rsidR="005A6795">
        <w:t xml:space="preserve"> </w:t>
      </w:r>
    </w:p>
    <w:sectPr w:rsidR="005C6A03" w:rsidSect="00600038">
      <w:headerReference w:type="even" r:id="rId16"/>
      <w:headerReference w:type="default" r:id="rId17"/>
      <w:footerReference w:type="even" r:id="rId18"/>
      <w:footerReference w:type="default" r:id="rId19"/>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032" w:rsidRDefault="001F3032">
      <w:r>
        <w:separator/>
      </w:r>
    </w:p>
  </w:endnote>
  <w:endnote w:type="continuationSeparator" w:id="0">
    <w:p w:rsidR="001F3032" w:rsidRDefault="001F3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F3032">
      <w:trPr>
        <w:trHeight w:hRule="exact" w:val="740"/>
      </w:trPr>
      <w:tc>
        <w:tcPr>
          <w:tcW w:w="510" w:type="dxa"/>
          <w:tcBorders>
            <w:top w:val="single" w:sz="6" w:space="0" w:color="auto"/>
          </w:tcBorders>
        </w:tcPr>
        <w:p w:rsidR="001F3032" w:rsidRDefault="001F3032" w:rsidP="0019293B">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4F1942">
            <w:rPr>
              <w:rStyle w:val="PageNumber"/>
              <w:noProof/>
            </w:rPr>
            <w:t>8</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4F1942">
            <w:rPr>
              <w:rStyle w:val="PageNumber"/>
              <w:noProof/>
            </w:rPr>
            <w:t>8</w:t>
          </w:r>
          <w:r>
            <w:rPr>
              <w:rStyle w:val="PageNumber"/>
            </w:rPr>
            <w:fldChar w:fldCharType="end"/>
          </w:r>
        </w:p>
      </w:tc>
      <w:tc>
        <w:tcPr>
          <w:tcW w:w="1644" w:type="dxa"/>
          <w:tcBorders>
            <w:top w:val="single" w:sz="6" w:space="0" w:color="auto"/>
          </w:tcBorders>
        </w:tcPr>
        <w:p w:rsidR="001F3032" w:rsidRDefault="004F1942" w:rsidP="0019293B">
          <w:pPr>
            <w:pStyle w:val="Footer"/>
          </w:pPr>
          <w:r>
            <w:fldChar w:fldCharType="begin"/>
          </w:r>
          <w:r>
            <w:instrText xml:space="preserve"> SUBJECT  \* MERGEFORMAT </w:instrText>
          </w:r>
          <w:r>
            <w:fldChar w:fldCharType="separate"/>
          </w:r>
          <w:r w:rsidR="001F3032">
            <w:t>Report</w:t>
          </w:r>
          <w:r>
            <w:fldChar w:fldCharType="end"/>
          </w:r>
        </w:p>
      </w:tc>
      <w:tc>
        <w:tcPr>
          <w:tcW w:w="6634" w:type="dxa"/>
        </w:tcPr>
        <w:p w:rsidR="001F3032" w:rsidRDefault="001F3032" w:rsidP="0019293B">
          <w:pPr>
            <w:pStyle w:val="Footer"/>
          </w:pPr>
        </w:p>
      </w:tc>
    </w:tr>
  </w:tbl>
  <w:p w:rsidR="001F3032" w:rsidRDefault="001F3032"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F3032">
      <w:trPr>
        <w:trHeight w:hRule="exact" w:val="740"/>
      </w:trPr>
      <w:tc>
        <w:tcPr>
          <w:tcW w:w="6634" w:type="dxa"/>
        </w:tcPr>
        <w:p w:rsidR="001F3032" w:rsidRDefault="001F3032">
          <w:pPr>
            <w:pStyle w:val="Footer"/>
            <w:ind w:right="360" w:firstLine="360"/>
          </w:pPr>
          <w:r>
            <w:fldChar w:fldCharType="begin"/>
          </w:r>
          <w:r>
            <w:instrText xml:space="preserve"> PAGE  \* MERGEFORMAT </w:instrText>
          </w:r>
          <w:r>
            <w:fldChar w:fldCharType="separate"/>
          </w:r>
          <w:r w:rsidR="004F1942">
            <w:rPr>
              <w:noProof/>
            </w:rPr>
            <w:t>7</w:t>
          </w:r>
          <w:r>
            <w:fldChar w:fldCharType="end"/>
          </w:r>
        </w:p>
      </w:tc>
      <w:tc>
        <w:tcPr>
          <w:tcW w:w="1644" w:type="dxa"/>
          <w:tcBorders>
            <w:top w:val="single" w:sz="6" w:space="0" w:color="auto"/>
          </w:tcBorders>
        </w:tcPr>
        <w:p w:rsidR="001F3032" w:rsidRDefault="004F1942">
          <w:pPr>
            <w:pStyle w:val="Footer"/>
          </w:pPr>
          <w:r>
            <w:fldChar w:fldCharType="begin"/>
          </w:r>
          <w:r>
            <w:instrText xml:space="preserve"> TITLE  \* MERGEFORMAT </w:instrText>
          </w:r>
          <w:r>
            <w:fldChar w:fldCharType="separate"/>
          </w:r>
          <w:r w:rsidR="001F3032">
            <w:t>Introduction to hedging</w:t>
          </w:r>
          <w:r>
            <w:fldChar w:fldCharType="end"/>
          </w:r>
        </w:p>
      </w:tc>
      <w:tc>
        <w:tcPr>
          <w:tcW w:w="510" w:type="dxa"/>
          <w:tcBorders>
            <w:top w:val="single" w:sz="6" w:space="0" w:color="auto"/>
          </w:tcBorders>
        </w:tcPr>
        <w:p w:rsidR="001F3032" w:rsidRDefault="001F3032">
          <w:pPr>
            <w:pStyle w:val="Footer"/>
            <w:jc w:val="right"/>
          </w:pPr>
          <w:r>
            <w:rPr>
              <w:rStyle w:val="PageNumber"/>
            </w:rPr>
            <w:fldChar w:fldCharType="begin"/>
          </w:r>
          <w:r>
            <w:rPr>
              <w:rStyle w:val="PageNumber"/>
            </w:rPr>
            <w:instrText xml:space="preserve">PAGE  </w:instrText>
          </w:r>
          <w:r>
            <w:rPr>
              <w:rStyle w:val="PageNumber"/>
            </w:rPr>
            <w:fldChar w:fldCharType="separate"/>
          </w:r>
          <w:r w:rsidR="004F1942">
            <w:rPr>
              <w:rStyle w:val="PageNumber"/>
              <w:noProof/>
            </w:rPr>
            <w:t>7</w:t>
          </w:r>
          <w:r>
            <w:rPr>
              <w:rStyle w:val="PageNumber"/>
            </w:rPr>
            <w:fldChar w:fldCharType="end"/>
          </w:r>
        </w:p>
      </w:tc>
    </w:tr>
  </w:tbl>
  <w:p w:rsidR="001F3032" w:rsidRDefault="001F3032">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032" w:rsidRDefault="001F3032">
      <w:r>
        <w:separator/>
      </w:r>
    </w:p>
  </w:footnote>
  <w:footnote w:type="continuationSeparator" w:id="0">
    <w:p w:rsidR="001F3032" w:rsidRDefault="001F3032">
      <w:r>
        <w:continuationSeparator/>
      </w:r>
    </w:p>
  </w:footnote>
  <w:footnote w:id="1">
    <w:p w:rsidR="001F3032" w:rsidRDefault="001F3032">
      <w:pPr>
        <w:pStyle w:val="FootnoteText"/>
      </w:pPr>
      <w:r>
        <w:rPr>
          <w:rStyle w:val="FootnoteReference"/>
        </w:rPr>
        <w:footnoteRef/>
      </w:r>
      <w:r>
        <w:tab/>
        <w:t>For example, the submission from the Energy Users Association of Australia (sub. 24, p. 13) provides an example from South Australia where the 72 highest half-hourly price intervals accounted for 50 per cent, 44 per cent and 26 per cent of the annual revenue in the spot market between 2008, 2009 and 2010, respectively.</w:t>
      </w:r>
    </w:p>
  </w:footnote>
  <w:footnote w:id="2">
    <w:p w:rsidR="001F3032" w:rsidRDefault="001F3032" w:rsidP="00C42F01">
      <w:pPr>
        <w:pStyle w:val="FootnoteText"/>
      </w:pPr>
      <w:r>
        <w:rPr>
          <w:rStyle w:val="FootnoteReference"/>
        </w:rPr>
        <w:footnoteRef/>
      </w:r>
      <w:r>
        <w:tab/>
        <w:t>The mark to market process involves payments at the end of each day to ‘settle’ the change in value of the option over that day.</w:t>
      </w:r>
    </w:p>
  </w:footnote>
  <w:footnote w:id="3">
    <w:p w:rsidR="001F3032" w:rsidRDefault="001F3032" w:rsidP="008A6D0E">
      <w:pPr>
        <w:pStyle w:val="FootnoteText"/>
      </w:pPr>
      <w:r>
        <w:rPr>
          <w:rStyle w:val="FootnoteReference"/>
        </w:rPr>
        <w:footnoteRef/>
      </w:r>
      <w:r>
        <w:t xml:space="preserve"> </w:t>
      </w:r>
      <w:r>
        <w:tab/>
        <w:t>Markets where the derivative market is larger than the realised market are quite common. For example the liquidity ratio, which is the ratio of turnover on the financial market to turnover on the product market, on Australian Commonwealth Government bonds is 4.3 (</w:t>
      </w:r>
      <w:proofErr w:type="spellStart"/>
      <w:r>
        <w:t>AFMA</w:t>
      </w:r>
      <w:proofErr w:type="spellEnd"/>
      <w:r>
        <w:t> </w:t>
      </w:r>
      <w:proofErr w:type="spellStart"/>
      <w:r>
        <w:t>2011</w:t>
      </w:r>
      <w:r w:rsidR="006F7E81">
        <w:t>b</w:t>
      </w:r>
      <w:proofErr w:type="spellEnd"/>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F3032">
      <w:tc>
        <w:tcPr>
          <w:tcW w:w="2155" w:type="dxa"/>
          <w:tcBorders>
            <w:top w:val="single" w:sz="24" w:space="0" w:color="auto"/>
          </w:tcBorders>
        </w:tcPr>
        <w:p w:rsidR="001F3032" w:rsidRDefault="001F3032" w:rsidP="0019293B">
          <w:pPr>
            <w:pStyle w:val="HeaderEven"/>
          </w:pPr>
        </w:p>
      </w:tc>
      <w:tc>
        <w:tcPr>
          <w:tcW w:w="6634" w:type="dxa"/>
          <w:tcBorders>
            <w:top w:val="single" w:sz="6" w:space="0" w:color="auto"/>
          </w:tcBorders>
        </w:tcPr>
        <w:p w:rsidR="001F3032" w:rsidRDefault="001F3032" w:rsidP="0019293B">
          <w:pPr>
            <w:pStyle w:val="HeaderEven"/>
          </w:pPr>
        </w:p>
      </w:tc>
    </w:tr>
  </w:tbl>
  <w:p w:rsidR="001F3032" w:rsidRDefault="001F3032"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F3032">
      <w:tc>
        <w:tcPr>
          <w:tcW w:w="6634" w:type="dxa"/>
          <w:tcBorders>
            <w:top w:val="single" w:sz="6" w:space="0" w:color="auto"/>
          </w:tcBorders>
        </w:tcPr>
        <w:p w:rsidR="001F3032" w:rsidRDefault="001F3032" w:rsidP="00E669E2">
          <w:pPr>
            <w:pStyle w:val="HeaderOdd"/>
          </w:pPr>
        </w:p>
      </w:tc>
      <w:tc>
        <w:tcPr>
          <w:tcW w:w="2155" w:type="dxa"/>
          <w:tcBorders>
            <w:top w:val="single" w:sz="24" w:space="0" w:color="auto"/>
          </w:tcBorders>
        </w:tcPr>
        <w:p w:rsidR="001F3032" w:rsidRDefault="001F3032" w:rsidP="00E669E2">
          <w:pPr>
            <w:pStyle w:val="HeaderOdd"/>
          </w:pPr>
        </w:p>
      </w:tc>
    </w:tr>
  </w:tbl>
  <w:p w:rsidR="001F3032" w:rsidRDefault="001F3032"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142325"/>
    <w:multiLevelType w:val="hybridMultilevel"/>
    <w:tmpl w:val="7028066C"/>
    <w:lvl w:ilvl="0" w:tplc="9F1EAFD8">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2"/>
  </w:num>
  <w:num w:numId="4">
    <w:abstractNumId w:val="7"/>
  </w:num>
  <w:num w:numId="5">
    <w:abstractNumId w:val="5"/>
  </w:num>
  <w:num w:numId="6">
    <w:abstractNumId w:val="25"/>
  </w:num>
  <w:num w:numId="7">
    <w:abstractNumId w:val="3"/>
  </w:num>
  <w:num w:numId="8">
    <w:abstractNumId w:val="9"/>
  </w:num>
  <w:num w:numId="9">
    <w:abstractNumId w:val="2"/>
  </w:num>
  <w:num w:numId="10">
    <w:abstractNumId w:val="37"/>
  </w:num>
  <w:num w:numId="11">
    <w:abstractNumId w:val="4"/>
  </w:num>
  <w:num w:numId="12">
    <w:abstractNumId w:val="1"/>
  </w:num>
  <w:num w:numId="13">
    <w:abstractNumId w:val="0"/>
  </w:num>
  <w:num w:numId="14">
    <w:abstractNumId w:val="28"/>
  </w:num>
  <w:num w:numId="15">
    <w:abstractNumId w:val="43"/>
  </w:num>
  <w:num w:numId="16">
    <w:abstractNumId w:val="17"/>
  </w:num>
  <w:num w:numId="17">
    <w:abstractNumId w:val="16"/>
  </w:num>
  <w:num w:numId="18">
    <w:abstractNumId w:val="26"/>
  </w:num>
  <w:num w:numId="19">
    <w:abstractNumId w:val="12"/>
  </w:num>
  <w:num w:numId="20">
    <w:abstractNumId w:val="34"/>
  </w:num>
  <w:num w:numId="21">
    <w:abstractNumId w:val="36"/>
  </w:num>
  <w:num w:numId="22">
    <w:abstractNumId w:val="24"/>
  </w:num>
  <w:num w:numId="23">
    <w:abstractNumId w:val="27"/>
  </w:num>
  <w:num w:numId="24">
    <w:abstractNumId w:val="29"/>
  </w:num>
  <w:num w:numId="25">
    <w:abstractNumId w:val="41"/>
  </w:num>
  <w:num w:numId="26">
    <w:abstractNumId w:val="33"/>
  </w:num>
  <w:num w:numId="27">
    <w:abstractNumId w:val="38"/>
  </w:num>
  <w:num w:numId="28">
    <w:abstractNumId w:val="39"/>
  </w:num>
  <w:num w:numId="29">
    <w:abstractNumId w:val="31"/>
  </w:num>
  <w:num w:numId="30">
    <w:abstractNumId w:val="21"/>
  </w:num>
  <w:num w:numId="31">
    <w:abstractNumId w:val="44"/>
  </w:num>
  <w:num w:numId="32">
    <w:abstractNumId w:val="15"/>
  </w:num>
  <w:num w:numId="33">
    <w:abstractNumId w:val="8"/>
  </w:num>
  <w:num w:numId="34">
    <w:abstractNumId w:val="18"/>
  </w:num>
  <w:num w:numId="35">
    <w:abstractNumId w:val="40"/>
  </w:num>
  <w:num w:numId="36">
    <w:abstractNumId w:val="32"/>
  </w:num>
  <w:num w:numId="37">
    <w:abstractNumId w:val="13"/>
  </w:num>
  <w:num w:numId="38">
    <w:abstractNumId w:val="35"/>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 w:numId="4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6"/>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C"/>
    <w:docVar w:name="FindingOptions" w:val="1"/>
    <w:docVar w:name="RecOptions" w:val="111"/>
    <w:docVar w:name="ShortChapterTitle" w:val="Introduction to hedging"/>
    <w:docVar w:name="ShortReportTitle" w:val="Report"/>
  </w:docVars>
  <w:rsids>
    <w:rsidRoot w:val="00600038"/>
    <w:rsid w:val="000167AC"/>
    <w:rsid w:val="000245AA"/>
    <w:rsid w:val="000303FA"/>
    <w:rsid w:val="0003664B"/>
    <w:rsid w:val="0004111F"/>
    <w:rsid w:val="00042204"/>
    <w:rsid w:val="000520E0"/>
    <w:rsid w:val="000565B3"/>
    <w:rsid w:val="0006697F"/>
    <w:rsid w:val="0007150B"/>
    <w:rsid w:val="00083605"/>
    <w:rsid w:val="000938F5"/>
    <w:rsid w:val="0009773E"/>
    <w:rsid w:val="000B601B"/>
    <w:rsid w:val="000B6BA8"/>
    <w:rsid w:val="000C207E"/>
    <w:rsid w:val="000C6D6D"/>
    <w:rsid w:val="000F420B"/>
    <w:rsid w:val="00100741"/>
    <w:rsid w:val="00110116"/>
    <w:rsid w:val="00120072"/>
    <w:rsid w:val="00126EB8"/>
    <w:rsid w:val="001274D4"/>
    <w:rsid w:val="001363AA"/>
    <w:rsid w:val="00145271"/>
    <w:rsid w:val="00164D1E"/>
    <w:rsid w:val="00167BEE"/>
    <w:rsid w:val="0017272D"/>
    <w:rsid w:val="00172DAB"/>
    <w:rsid w:val="001756D1"/>
    <w:rsid w:val="00183E82"/>
    <w:rsid w:val="001878BB"/>
    <w:rsid w:val="00191AE0"/>
    <w:rsid w:val="0019293B"/>
    <w:rsid w:val="00194477"/>
    <w:rsid w:val="001A45C5"/>
    <w:rsid w:val="001B2949"/>
    <w:rsid w:val="001C0865"/>
    <w:rsid w:val="001C3ABA"/>
    <w:rsid w:val="001E7BE8"/>
    <w:rsid w:val="001F0248"/>
    <w:rsid w:val="001F3032"/>
    <w:rsid w:val="001F3EB3"/>
    <w:rsid w:val="001F662A"/>
    <w:rsid w:val="00202C2C"/>
    <w:rsid w:val="00242279"/>
    <w:rsid w:val="00245C82"/>
    <w:rsid w:val="00267C1D"/>
    <w:rsid w:val="0028752D"/>
    <w:rsid w:val="00291B40"/>
    <w:rsid w:val="002B4008"/>
    <w:rsid w:val="002D0E8E"/>
    <w:rsid w:val="002D7FA7"/>
    <w:rsid w:val="002E7BB3"/>
    <w:rsid w:val="00301189"/>
    <w:rsid w:val="00313421"/>
    <w:rsid w:val="00315762"/>
    <w:rsid w:val="00323E09"/>
    <w:rsid w:val="00333932"/>
    <w:rsid w:val="003518AA"/>
    <w:rsid w:val="00352165"/>
    <w:rsid w:val="00353182"/>
    <w:rsid w:val="003565D9"/>
    <w:rsid w:val="003602E1"/>
    <w:rsid w:val="0037026F"/>
    <w:rsid w:val="00371240"/>
    <w:rsid w:val="00374731"/>
    <w:rsid w:val="003901D4"/>
    <w:rsid w:val="003919F9"/>
    <w:rsid w:val="003B172B"/>
    <w:rsid w:val="003C38B5"/>
    <w:rsid w:val="003C5D99"/>
    <w:rsid w:val="003D540C"/>
    <w:rsid w:val="003E2F59"/>
    <w:rsid w:val="003F0789"/>
    <w:rsid w:val="00401882"/>
    <w:rsid w:val="004100C8"/>
    <w:rsid w:val="00411DBD"/>
    <w:rsid w:val="00412ACE"/>
    <w:rsid w:val="004267E5"/>
    <w:rsid w:val="00431249"/>
    <w:rsid w:val="00434C19"/>
    <w:rsid w:val="00450810"/>
    <w:rsid w:val="00452C21"/>
    <w:rsid w:val="00452D0A"/>
    <w:rsid w:val="00477144"/>
    <w:rsid w:val="0049459F"/>
    <w:rsid w:val="004A38DD"/>
    <w:rsid w:val="004A498C"/>
    <w:rsid w:val="004A6B3A"/>
    <w:rsid w:val="004B2FCA"/>
    <w:rsid w:val="004B43AE"/>
    <w:rsid w:val="004C30ED"/>
    <w:rsid w:val="004D197A"/>
    <w:rsid w:val="004D5675"/>
    <w:rsid w:val="004F1942"/>
    <w:rsid w:val="00523639"/>
    <w:rsid w:val="00531FE5"/>
    <w:rsid w:val="00536192"/>
    <w:rsid w:val="00583C39"/>
    <w:rsid w:val="005909CF"/>
    <w:rsid w:val="00591E71"/>
    <w:rsid w:val="005A0D41"/>
    <w:rsid w:val="005A2F9C"/>
    <w:rsid w:val="005A50CC"/>
    <w:rsid w:val="005A6795"/>
    <w:rsid w:val="005C6A03"/>
    <w:rsid w:val="00600038"/>
    <w:rsid w:val="00607BF1"/>
    <w:rsid w:val="00630D4D"/>
    <w:rsid w:val="00632A74"/>
    <w:rsid w:val="00651487"/>
    <w:rsid w:val="006555D2"/>
    <w:rsid w:val="006630FD"/>
    <w:rsid w:val="00667199"/>
    <w:rsid w:val="006756C4"/>
    <w:rsid w:val="00677729"/>
    <w:rsid w:val="00683CED"/>
    <w:rsid w:val="006A3154"/>
    <w:rsid w:val="006A4655"/>
    <w:rsid w:val="006B2B3C"/>
    <w:rsid w:val="006C1D81"/>
    <w:rsid w:val="006C7038"/>
    <w:rsid w:val="006D47CD"/>
    <w:rsid w:val="006E73EF"/>
    <w:rsid w:val="006F025D"/>
    <w:rsid w:val="006F7E81"/>
    <w:rsid w:val="00714D4D"/>
    <w:rsid w:val="007167A8"/>
    <w:rsid w:val="00717DB7"/>
    <w:rsid w:val="007604BB"/>
    <w:rsid w:val="00762046"/>
    <w:rsid w:val="007756ED"/>
    <w:rsid w:val="00785232"/>
    <w:rsid w:val="0079235F"/>
    <w:rsid w:val="00797B91"/>
    <w:rsid w:val="00797BEE"/>
    <w:rsid w:val="007A21EB"/>
    <w:rsid w:val="007B1A93"/>
    <w:rsid w:val="007C36C9"/>
    <w:rsid w:val="007D31E3"/>
    <w:rsid w:val="007D6401"/>
    <w:rsid w:val="007E01E4"/>
    <w:rsid w:val="007F7107"/>
    <w:rsid w:val="00806FD7"/>
    <w:rsid w:val="00807123"/>
    <w:rsid w:val="0081030F"/>
    <w:rsid w:val="0082087D"/>
    <w:rsid w:val="00842933"/>
    <w:rsid w:val="00846359"/>
    <w:rsid w:val="0086082C"/>
    <w:rsid w:val="00864ADC"/>
    <w:rsid w:val="00880153"/>
    <w:rsid w:val="00880F97"/>
    <w:rsid w:val="0088133A"/>
    <w:rsid w:val="0089285E"/>
    <w:rsid w:val="0089436C"/>
    <w:rsid w:val="008A6D0E"/>
    <w:rsid w:val="008B4617"/>
    <w:rsid w:val="008C3665"/>
    <w:rsid w:val="008C7FEE"/>
    <w:rsid w:val="008D365C"/>
    <w:rsid w:val="008E0CCF"/>
    <w:rsid w:val="009030BF"/>
    <w:rsid w:val="0091032F"/>
    <w:rsid w:val="00914368"/>
    <w:rsid w:val="00925E35"/>
    <w:rsid w:val="00931076"/>
    <w:rsid w:val="009345D9"/>
    <w:rsid w:val="00934B15"/>
    <w:rsid w:val="0093738C"/>
    <w:rsid w:val="00942B62"/>
    <w:rsid w:val="00956A0C"/>
    <w:rsid w:val="00956BD9"/>
    <w:rsid w:val="00956EA9"/>
    <w:rsid w:val="009623A9"/>
    <w:rsid w:val="00962489"/>
    <w:rsid w:val="00985992"/>
    <w:rsid w:val="00990C2C"/>
    <w:rsid w:val="009A040B"/>
    <w:rsid w:val="009B4F68"/>
    <w:rsid w:val="009C273A"/>
    <w:rsid w:val="009D4DEC"/>
    <w:rsid w:val="009F696D"/>
    <w:rsid w:val="009F6BC6"/>
    <w:rsid w:val="00A17328"/>
    <w:rsid w:val="00A23A20"/>
    <w:rsid w:val="00A268B9"/>
    <w:rsid w:val="00A2703A"/>
    <w:rsid w:val="00A33DFF"/>
    <w:rsid w:val="00A35115"/>
    <w:rsid w:val="00A36D9A"/>
    <w:rsid w:val="00A554AB"/>
    <w:rsid w:val="00A718C7"/>
    <w:rsid w:val="00A84A3C"/>
    <w:rsid w:val="00A92B53"/>
    <w:rsid w:val="00A94FA6"/>
    <w:rsid w:val="00AA49A0"/>
    <w:rsid w:val="00AA6710"/>
    <w:rsid w:val="00AB0681"/>
    <w:rsid w:val="00AD520B"/>
    <w:rsid w:val="00AF4D6A"/>
    <w:rsid w:val="00AF54AE"/>
    <w:rsid w:val="00B1246A"/>
    <w:rsid w:val="00B26B01"/>
    <w:rsid w:val="00B440AD"/>
    <w:rsid w:val="00B53E7E"/>
    <w:rsid w:val="00B614B1"/>
    <w:rsid w:val="00B6342E"/>
    <w:rsid w:val="00B7035D"/>
    <w:rsid w:val="00B7113F"/>
    <w:rsid w:val="00B71741"/>
    <w:rsid w:val="00B82227"/>
    <w:rsid w:val="00BA73B6"/>
    <w:rsid w:val="00BA7E27"/>
    <w:rsid w:val="00BB2603"/>
    <w:rsid w:val="00BB4FCD"/>
    <w:rsid w:val="00BC1E5D"/>
    <w:rsid w:val="00BD13EA"/>
    <w:rsid w:val="00BE3808"/>
    <w:rsid w:val="00C062E9"/>
    <w:rsid w:val="00C07B64"/>
    <w:rsid w:val="00C13721"/>
    <w:rsid w:val="00C3066D"/>
    <w:rsid w:val="00C41436"/>
    <w:rsid w:val="00C42F01"/>
    <w:rsid w:val="00C46409"/>
    <w:rsid w:val="00C543F4"/>
    <w:rsid w:val="00C6291C"/>
    <w:rsid w:val="00C633CB"/>
    <w:rsid w:val="00C7251C"/>
    <w:rsid w:val="00C76AAA"/>
    <w:rsid w:val="00C81D4A"/>
    <w:rsid w:val="00C8762C"/>
    <w:rsid w:val="00CA00F9"/>
    <w:rsid w:val="00CA2961"/>
    <w:rsid w:val="00CB50D7"/>
    <w:rsid w:val="00CB7177"/>
    <w:rsid w:val="00CC1998"/>
    <w:rsid w:val="00CC4946"/>
    <w:rsid w:val="00D270A4"/>
    <w:rsid w:val="00D31FE9"/>
    <w:rsid w:val="00D34E1B"/>
    <w:rsid w:val="00D376BA"/>
    <w:rsid w:val="00D5568A"/>
    <w:rsid w:val="00D63D73"/>
    <w:rsid w:val="00D64452"/>
    <w:rsid w:val="00D66E1E"/>
    <w:rsid w:val="00D673F1"/>
    <w:rsid w:val="00D75722"/>
    <w:rsid w:val="00D80CF5"/>
    <w:rsid w:val="00D84A0C"/>
    <w:rsid w:val="00DA5BBA"/>
    <w:rsid w:val="00DB67C9"/>
    <w:rsid w:val="00DC0C95"/>
    <w:rsid w:val="00DC1265"/>
    <w:rsid w:val="00DD6580"/>
    <w:rsid w:val="00DE646E"/>
    <w:rsid w:val="00DE7433"/>
    <w:rsid w:val="00E17C72"/>
    <w:rsid w:val="00E21FC6"/>
    <w:rsid w:val="00E431A9"/>
    <w:rsid w:val="00E669E2"/>
    <w:rsid w:val="00E7186D"/>
    <w:rsid w:val="00E732B5"/>
    <w:rsid w:val="00E76135"/>
    <w:rsid w:val="00E82F4F"/>
    <w:rsid w:val="00EC2844"/>
    <w:rsid w:val="00EC3581"/>
    <w:rsid w:val="00ED2A33"/>
    <w:rsid w:val="00ED6656"/>
    <w:rsid w:val="00EF6C6C"/>
    <w:rsid w:val="00F03F17"/>
    <w:rsid w:val="00F056FC"/>
    <w:rsid w:val="00F10476"/>
    <w:rsid w:val="00F11A9E"/>
    <w:rsid w:val="00F135D8"/>
    <w:rsid w:val="00F22615"/>
    <w:rsid w:val="00F31299"/>
    <w:rsid w:val="00F3534A"/>
    <w:rsid w:val="00F35850"/>
    <w:rsid w:val="00F5283E"/>
    <w:rsid w:val="00F85325"/>
    <w:rsid w:val="00F90BD0"/>
    <w:rsid w:val="00FD22B1"/>
    <w:rsid w:val="00FD3F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72DAB"/>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styleId="CommentSubject">
    <w:name w:val="annotation subject"/>
    <w:basedOn w:val="CommentText"/>
    <w:next w:val="CommentText"/>
    <w:link w:val="CommentSubjectChar"/>
    <w:rsid w:val="00D84A0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D84A0C"/>
    <w:rPr>
      <w:szCs w:val="24"/>
    </w:rPr>
  </w:style>
  <w:style w:type="character" w:customStyle="1" w:styleId="CommentSubjectChar">
    <w:name w:val="Comment Subject Char"/>
    <w:basedOn w:val="CommentTextChar"/>
    <w:link w:val="CommentSubject"/>
    <w:rsid w:val="00D84A0C"/>
    <w:rPr>
      <w:b/>
      <w:bCs/>
      <w:szCs w:val="24"/>
    </w:rPr>
  </w:style>
  <w:style w:type="character" w:customStyle="1" w:styleId="BodyTextChar">
    <w:name w:val="Body Text Char"/>
    <w:basedOn w:val="DefaultParagraphFont"/>
    <w:link w:val="BodyText"/>
    <w:rsid w:val="008E0CCF"/>
    <w:rPr>
      <w:sz w:val="26"/>
    </w:rPr>
  </w:style>
  <w:style w:type="character" w:styleId="Hyperlink">
    <w:name w:val="Hyperlink"/>
    <w:basedOn w:val="DefaultParagraphFont"/>
    <w:uiPriority w:val="99"/>
    <w:unhideWhenUsed/>
    <w:rsid w:val="008E0CC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72DAB"/>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szCs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 w:type="paragraph" w:styleId="CommentSubject">
    <w:name w:val="annotation subject"/>
    <w:basedOn w:val="CommentText"/>
    <w:next w:val="CommentText"/>
    <w:link w:val="CommentSubjectChar"/>
    <w:rsid w:val="00D84A0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D84A0C"/>
    <w:rPr>
      <w:szCs w:val="24"/>
    </w:rPr>
  </w:style>
  <w:style w:type="character" w:customStyle="1" w:styleId="CommentSubjectChar">
    <w:name w:val="Comment Subject Char"/>
    <w:basedOn w:val="CommentTextChar"/>
    <w:link w:val="CommentSubject"/>
    <w:rsid w:val="00D84A0C"/>
    <w:rPr>
      <w:b/>
      <w:bCs/>
      <w:szCs w:val="24"/>
    </w:rPr>
  </w:style>
  <w:style w:type="character" w:customStyle="1" w:styleId="BodyTextChar">
    <w:name w:val="Body Text Char"/>
    <w:basedOn w:val="DefaultParagraphFont"/>
    <w:link w:val="BodyText"/>
    <w:rsid w:val="008E0CCF"/>
    <w:rPr>
      <w:sz w:val="26"/>
    </w:rPr>
  </w:style>
  <w:style w:type="character" w:styleId="Hyperlink">
    <w:name w:val="Hyperlink"/>
    <w:basedOn w:val="DefaultParagraphFont"/>
    <w:uiPriority w:val="99"/>
    <w:unhideWhenUsed/>
    <w:rsid w:val="008E0C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80AC7-9B6E-4E0A-AC96-5ADD81366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53</TotalTime>
  <Pages>8</Pages>
  <Words>1630</Words>
  <Characters>8304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Introduction to hedging</vt:lpstr>
    </vt:vector>
  </TitlesOfParts>
  <Company>Productivity Commission</Company>
  <LinksUpToDate>false</LinksUpToDate>
  <CharactersWithSpaces>9915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hedging</dc:title>
  <dc:subject>Report</dc:subject>
  <dc:creator>Productivity Commission</dc:creator>
  <cp:keywords/>
  <dc:description>C.</dc:description>
  <cp:lastModifiedBy>Melissa Edwards</cp:lastModifiedBy>
  <cp:revision>20</cp:revision>
  <cp:lastPrinted>2012-09-20T23:16:00Z</cp:lastPrinted>
  <dcterms:created xsi:type="dcterms:W3CDTF">2012-09-21T01:45:00Z</dcterms:created>
  <dcterms:modified xsi:type="dcterms:W3CDTF">2012-10-18T05:08:00Z</dcterms:modified>
</cp:coreProperties>
</file>