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4D19" w:rsidRDefault="00CB4A47" w:rsidP="00CD5E6B">
      <w:pPr>
        <w:pStyle w:val="BodyText"/>
        <w:rPr>
          <w:b/>
          <w:szCs w:val="26"/>
        </w:rPr>
      </w:pPr>
      <w:r>
        <w:rPr>
          <w:noProof/>
          <w:lang w:eastAsia="en-AU"/>
        </w:rPr>
        <w:drawing>
          <wp:anchor distT="0" distB="0" distL="114300" distR="114300" simplePos="0" relativeHeight="251658240" behindDoc="1" locked="0" layoutInCell="1" allowOverlap="1">
            <wp:simplePos x="1152939" y="1049572"/>
            <wp:positionH relativeFrom="page">
              <wp:align>center</wp:align>
            </wp:positionH>
            <wp:positionV relativeFrom="page">
              <wp:align>bottom</wp:align>
            </wp:positionV>
            <wp:extent cx="7560000" cy="10126800"/>
            <wp:effectExtent l="0" t="0" r="3175" b="8255"/>
            <wp:wrapNone/>
            <wp:docPr id="2" name="Picture 2" descr="Cover for 'Electricity Network Regulartory Frameworks' Productivity Commission Inquiry Report Volume 1. Report number 62. Published 9 April 2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eb-cover-electricity-final-inquiry-vol-1.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560000" cy="10126800"/>
                    </a:xfrm>
                    <a:prstGeom prst="rect">
                      <a:avLst/>
                    </a:prstGeom>
                  </pic:spPr>
                </pic:pic>
              </a:graphicData>
            </a:graphic>
            <wp14:sizeRelH relativeFrom="margin">
              <wp14:pctWidth>0</wp14:pctWidth>
            </wp14:sizeRelH>
            <wp14:sizeRelV relativeFrom="margin">
              <wp14:pctHeight>0</wp14:pctHeight>
            </wp14:sizeRelV>
          </wp:anchor>
        </w:drawing>
      </w:r>
      <w:r w:rsidR="00B04D19">
        <w:br w:type="page"/>
      </w:r>
    </w:p>
    <w:p w:rsidR="003E7802" w:rsidRDefault="003E7802" w:rsidP="001D4B1F">
      <w:pPr>
        <w:pStyle w:val="TOC1"/>
      </w:pPr>
      <w:r w:rsidRPr="008C305F">
        <w:lastRenderedPageBreak/>
        <w:fldChar w:fldCharType="begin"/>
      </w:r>
      <w:r w:rsidRPr="008C305F">
        <w:instrText>SYMBOL 227 \f "Symbol"</w:instrText>
      </w:r>
      <w:r w:rsidRPr="008C305F">
        <w:fldChar w:fldCharType="end"/>
      </w:r>
      <w:r w:rsidRPr="008C305F">
        <w:t xml:space="preserve"> Commonwealth of Australia </w:t>
      </w:r>
      <w:r w:rsidR="00766DFB">
        <w:t>2013</w:t>
      </w:r>
    </w:p>
    <w:p w:rsidR="00BE2B53" w:rsidRDefault="00BE2B53" w:rsidP="00BE2B53">
      <w:pPr>
        <w:pStyle w:val="BodyText"/>
        <w:tabs>
          <w:tab w:val="left" w:pos="851"/>
        </w:tabs>
        <w:spacing w:before="200"/>
        <w:jc w:val="left"/>
        <w:rPr>
          <w:b/>
          <w:sz w:val="24"/>
        </w:rPr>
      </w:pPr>
      <w:bookmarkStart w:id="0" w:name="ISSN"/>
      <w:bookmarkEnd w:id="0"/>
      <w:r>
        <w:rPr>
          <w:b/>
          <w:sz w:val="24"/>
        </w:rPr>
        <w:t>ISSN</w:t>
      </w:r>
      <w:r>
        <w:rPr>
          <w:b/>
          <w:sz w:val="24"/>
        </w:rPr>
        <w:tab/>
        <w:t>1447-1329</w:t>
      </w:r>
      <w:r>
        <w:rPr>
          <w:b/>
          <w:sz w:val="24"/>
        </w:rPr>
        <w:br/>
        <w:t>ISBN</w:t>
      </w:r>
      <w:r>
        <w:rPr>
          <w:b/>
          <w:sz w:val="24"/>
        </w:rPr>
        <w:tab/>
        <w:t>978-1-74037-</w:t>
      </w:r>
      <w:r w:rsidR="00EC3905" w:rsidRPr="00EC3905">
        <w:rPr>
          <w:b/>
          <w:sz w:val="24"/>
        </w:rPr>
        <w:t xml:space="preserve">435-4 </w:t>
      </w:r>
      <w:r>
        <w:rPr>
          <w:b/>
          <w:sz w:val="24"/>
        </w:rPr>
        <w:t>(Volume 1)</w:t>
      </w:r>
    </w:p>
    <w:p w:rsidR="00BE2B53" w:rsidRDefault="00BE2B53" w:rsidP="00BE2B53">
      <w:pPr>
        <w:pStyle w:val="BodyText"/>
        <w:tabs>
          <w:tab w:val="left" w:pos="851"/>
        </w:tabs>
        <w:spacing w:before="0"/>
        <w:jc w:val="left"/>
        <w:rPr>
          <w:b/>
          <w:sz w:val="24"/>
        </w:rPr>
      </w:pPr>
      <w:r>
        <w:rPr>
          <w:b/>
          <w:sz w:val="24"/>
        </w:rPr>
        <w:t>ISBN</w:t>
      </w:r>
      <w:r>
        <w:rPr>
          <w:b/>
          <w:sz w:val="24"/>
        </w:rPr>
        <w:tab/>
        <w:t>978-1-74037-436-7 (Volume 2)</w:t>
      </w:r>
    </w:p>
    <w:p w:rsidR="00BE2B53" w:rsidRDefault="00BE2B53" w:rsidP="00BE2B53">
      <w:pPr>
        <w:pStyle w:val="BodyText"/>
        <w:tabs>
          <w:tab w:val="left" w:pos="851"/>
        </w:tabs>
        <w:spacing w:before="0" w:after="120"/>
        <w:jc w:val="left"/>
        <w:rPr>
          <w:b/>
          <w:sz w:val="24"/>
        </w:rPr>
      </w:pPr>
      <w:r>
        <w:rPr>
          <w:b/>
          <w:sz w:val="24"/>
        </w:rPr>
        <w:t>ISBN</w:t>
      </w:r>
      <w:r>
        <w:rPr>
          <w:b/>
          <w:sz w:val="24"/>
        </w:rPr>
        <w:tab/>
        <w:t>978-1-74037-436-1 (Set)</w:t>
      </w:r>
    </w:p>
    <w:p w:rsidR="003E7802" w:rsidRPr="00F4234E" w:rsidRDefault="003E7802" w:rsidP="00F4234E">
      <w:pPr>
        <w:pStyle w:val="BodyText"/>
      </w:pPr>
      <w:r w:rsidRPr="00F4234E">
        <w:t>This work is copyright. Apart from any use as permitted under the</w:t>
      </w:r>
      <w:r w:rsidR="00766DFB">
        <w:rPr>
          <w:i/>
        </w:rPr>
        <w:t xml:space="preserve"> Copyright Act </w:t>
      </w:r>
      <w:r w:rsidRPr="00F4234E">
        <w:rPr>
          <w:i/>
        </w:rPr>
        <w:t>1968</w:t>
      </w:r>
      <w:r w:rsidRPr="00F4234E">
        <w:t xml:space="preserve">, the work may be reproduced in whole or in part for study or training purposes, subject to the inclusion of an acknowledgment of the source. Reproduction for commercial use or sale requires prior written permission from the </w:t>
      </w:r>
      <w:r w:rsidR="009B12EF" w:rsidRPr="00F4234E">
        <w:t>Productivity Commission</w:t>
      </w:r>
      <w:r w:rsidRPr="00F4234E">
        <w:t xml:space="preserve">. Requests and inquiries concerning reproduction and rights should be addressed to </w:t>
      </w:r>
      <w:r w:rsidR="009B12EF" w:rsidRPr="00F4234E">
        <w:t>Media and Publications (see below)</w:t>
      </w:r>
      <w:r w:rsidR="00734127" w:rsidRPr="00F4234E">
        <w:t>.</w:t>
      </w:r>
    </w:p>
    <w:p w:rsidR="003E7802" w:rsidRPr="00F4234E" w:rsidRDefault="003E7802" w:rsidP="00F4234E">
      <w:pPr>
        <w:pStyle w:val="BodyText"/>
        <w:rPr>
          <w:i/>
        </w:rPr>
      </w:pPr>
      <w:r w:rsidRPr="00F4234E">
        <w:rPr>
          <w:i/>
        </w:rPr>
        <w:t>This publication is available from the Productivity Commission website at www.pc.gov.au. If you require part or all of this publication in a different format, please contact Me</w:t>
      </w:r>
      <w:r w:rsidR="00734127" w:rsidRPr="00F4234E">
        <w:rPr>
          <w:i/>
        </w:rPr>
        <w:t>dia and Publications.</w:t>
      </w:r>
    </w:p>
    <w:p w:rsidR="003E7802" w:rsidRDefault="003E7802" w:rsidP="003E7802">
      <w:pPr>
        <w:pStyle w:val="BodyText"/>
        <w:spacing w:before="320"/>
        <w:rPr>
          <w:b/>
          <w:sz w:val="24"/>
        </w:rPr>
      </w:pPr>
      <w:r>
        <w:rPr>
          <w:b/>
          <w:sz w:val="24"/>
        </w:rPr>
        <w:t>Publications Inquiries:</w:t>
      </w:r>
    </w:p>
    <w:p w:rsidR="003E7802" w:rsidRDefault="003E7802" w:rsidP="003E7802">
      <w:pPr>
        <w:pStyle w:val="BodyText"/>
        <w:spacing w:before="0" w:line="240" w:lineRule="auto"/>
        <w:rPr>
          <w:sz w:val="24"/>
        </w:rPr>
      </w:pPr>
      <w:r>
        <w:rPr>
          <w:sz w:val="24"/>
        </w:rPr>
        <w:t xml:space="preserve">Media and </w:t>
      </w:r>
      <w:r w:rsidRPr="00FD4728">
        <w:rPr>
          <w:snapToGrid w:val="0"/>
          <w:sz w:val="24"/>
        </w:rPr>
        <w:t>Publications</w:t>
      </w:r>
    </w:p>
    <w:p w:rsidR="003E7802" w:rsidRDefault="003E7802" w:rsidP="003E7802">
      <w:pPr>
        <w:pStyle w:val="BodyText"/>
        <w:spacing w:before="0" w:line="240" w:lineRule="auto"/>
        <w:rPr>
          <w:sz w:val="24"/>
        </w:rPr>
      </w:pPr>
      <w:r>
        <w:rPr>
          <w:sz w:val="24"/>
        </w:rPr>
        <w:t xml:space="preserve">Productivity </w:t>
      </w:r>
      <w:r w:rsidRPr="00FD4728">
        <w:rPr>
          <w:snapToGrid w:val="0"/>
          <w:sz w:val="24"/>
        </w:rPr>
        <w:t>Commission</w:t>
      </w:r>
    </w:p>
    <w:p w:rsidR="003E7802" w:rsidRDefault="003E7802" w:rsidP="003E7802">
      <w:pPr>
        <w:pStyle w:val="BodyText"/>
        <w:spacing w:before="0" w:line="240" w:lineRule="auto"/>
        <w:rPr>
          <w:sz w:val="24"/>
        </w:rPr>
      </w:pPr>
      <w:r>
        <w:rPr>
          <w:sz w:val="24"/>
        </w:rPr>
        <w:t xml:space="preserve">Locked Bag </w:t>
      </w:r>
      <w:smartTag w:uri="urn:schemas-microsoft-com:office:smarttags" w:element="Street">
        <w:smartTag w:uri="urn:schemas-microsoft-com:office:smarttags" w:element="address">
          <w:r>
            <w:rPr>
              <w:sz w:val="24"/>
            </w:rPr>
            <w:t xml:space="preserve">2 Collins </w:t>
          </w:r>
          <w:r w:rsidRPr="00FD4728">
            <w:rPr>
              <w:snapToGrid w:val="0"/>
              <w:sz w:val="24"/>
            </w:rPr>
            <w:t>Street</w:t>
          </w:r>
          <w:r>
            <w:rPr>
              <w:sz w:val="24"/>
            </w:rPr>
            <w:t xml:space="preserve"> East</w:t>
          </w:r>
        </w:smartTag>
      </w:smartTag>
    </w:p>
    <w:p w:rsidR="003E7802" w:rsidRDefault="003E7802" w:rsidP="003E7802">
      <w:pPr>
        <w:pStyle w:val="BodyText"/>
        <w:spacing w:before="0" w:after="120" w:line="240" w:lineRule="auto"/>
        <w:rPr>
          <w:sz w:val="24"/>
        </w:rPr>
      </w:pPr>
      <w:smartTag w:uri="urn:schemas-microsoft-com:office:smarttags" w:element="City">
        <w:smartTag w:uri="urn:schemas-microsoft-com:office:smarttags" w:element="place">
          <w:r>
            <w:rPr>
              <w:sz w:val="24"/>
            </w:rPr>
            <w:t>Melbourne</w:t>
          </w:r>
        </w:smartTag>
      </w:smartTag>
      <w:r>
        <w:rPr>
          <w:sz w:val="24"/>
        </w:rPr>
        <w:t xml:space="preserve">    VIC    </w:t>
      </w:r>
      <w:r w:rsidRPr="00FD4728">
        <w:rPr>
          <w:snapToGrid w:val="0"/>
          <w:sz w:val="24"/>
        </w:rPr>
        <w:t>8003</w:t>
      </w:r>
    </w:p>
    <w:p w:rsidR="003E7802" w:rsidRPr="00FD4728" w:rsidRDefault="003E7802" w:rsidP="003E7802">
      <w:pPr>
        <w:pStyle w:val="BodyText"/>
        <w:tabs>
          <w:tab w:val="left" w:pos="1134"/>
        </w:tabs>
        <w:spacing w:before="0" w:line="240" w:lineRule="auto"/>
        <w:rPr>
          <w:sz w:val="24"/>
          <w:szCs w:val="24"/>
        </w:rPr>
      </w:pPr>
      <w:r w:rsidRPr="00FD4728">
        <w:rPr>
          <w:sz w:val="24"/>
          <w:szCs w:val="24"/>
        </w:rPr>
        <w:t>Tel:</w:t>
      </w:r>
      <w:r w:rsidRPr="00FD4728">
        <w:rPr>
          <w:sz w:val="24"/>
          <w:szCs w:val="24"/>
        </w:rPr>
        <w:tab/>
        <w:t>(03) 9653 2244</w:t>
      </w:r>
    </w:p>
    <w:p w:rsidR="003E7802" w:rsidRDefault="003E7802" w:rsidP="003E7802">
      <w:pPr>
        <w:pStyle w:val="BodyText"/>
        <w:tabs>
          <w:tab w:val="left" w:pos="1134"/>
        </w:tabs>
        <w:spacing w:before="0" w:line="240" w:lineRule="auto"/>
        <w:jc w:val="left"/>
      </w:pPr>
      <w:r w:rsidRPr="00FD4728">
        <w:rPr>
          <w:sz w:val="24"/>
          <w:szCs w:val="24"/>
        </w:rPr>
        <w:t>Fax:</w:t>
      </w:r>
      <w:r w:rsidRPr="00FD4728">
        <w:rPr>
          <w:sz w:val="24"/>
          <w:szCs w:val="24"/>
        </w:rPr>
        <w:tab/>
        <w:t>(03) 9653 2303</w:t>
      </w:r>
      <w:r w:rsidRPr="00FD4728">
        <w:rPr>
          <w:sz w:val="24"/>
          <w:szCs w:val="24"/>
        </w:rPr>
        <w:br/>
      </w:r>
      <w:r w:rsidRPr="008F04C9">
        <w:rPr>
          <w:sz w:val="24"/>
          <w:szCs w:val="24"/>
        </w:rPr>
        <w:t>Email:</w:t>
      </w:r>
      <w:r w:rsidRPr="008F04C9">
        <w:rPr>
          <w:sz w:val="24"/>
          <w:szCs w:val="24"/>
        </w:rPr>
        <w:tab/>
      </w:r>
      <w:proofErr w:type="spellStart"/>
      <w:r w:rsidRPr="008F04C9">
        <w:rPr>
          <w:sz w:val="24"/>
          <w:szCs w:val="24"/>
        </w:rPr>
        <w:t>maps@pc.gov.au</w:t>
      </w:r>
      <w:proofErr w:type="spellEnd"/>
    </w:p>
    <w:p w:rsidR="003E7802" w:rsidRDefault="003E7802" w:rsidP="003E7802">
      <w:pPr>
        <w:pStyle w:val="BodyText"/>
        <w:spacing w:before="320"/>
        <w:rPr>
          <w:b/>
          <w:sz w:val="24"/>
        </w:rPr>
      </w:pPr>
      <w:r>
        <w:rPr>
          <w:b/>
          <w:sz w:val="24"/>
        </w:rPr>
        <w:t>General Inquiries:</w:t>
      </w:r>
    </w:p>
    <w:p w:rsidR="003E7802" w:rsidRPr="008F04C9" w:rsidRDefault="003E7802" w:rsidP="003E7802">
      <w:pPr>
        <w:pStyle w:val="BodyText"/>
        <w:tabs>
          <w:tab w:val="left" w:pos="1134"/>
        </w:tabs>
        <w:spacing w:before="0" w:line="240" w:lineRule="auto"/>
        <w:rPr>
          <w:sz w:val="24"/>
          <w:szCs w:val="24"/>
        </w:rPr>
      </w:pPr>
      <w:r w:rsidRPr="008F04C9">
        <w:rPr>
          <w:sz w:val="24"/>
          <w:szCs w:val="24"/>
        </w:rPr>
        <w:t>Tel:</w:t>
      </w:r>
      <w:r w:rsidRPr="008F04C9">
        <w:rPr>
          <w:sz w:val="24"/>
          <w:szCs w:val="24"/>
        </w:rPr>
        <w:tab/>
        <w:t>(03) 9653 2100 or (02) 6240 3200</w:t>
      </w:r>
    </w:p>
    <w:p w:rsidR="003E7802" w:rsidRPr="008F04C9" w:rsidRDefault="003E7802" w:rsidP="003E7802">
      <w:pPr>
        <w:pStyle w:val="BodyText"/>
        <w:spacing w:before="360" w:line="240" w:lineRule="auto"/>
        <w:rPr>
          <w:b/>
          <w:sz w:val="24"/>
          <w:szCs w:val="24"/>
        </w:rPr>
      </w:pPr>
      <w:r w:rsidRPr="008F04C9">
        <w:rPr>
          <w:b/>
          <w:sz w:val="24"/>
          <w:szCs w:val="24"/>
        </w:rPr>
        <w:t>An appropriate citation for this paper is:</w:t>
      </w:r>
    </w:p>
    <w:p w:rsidR="00BE2B53" w:rsidRPr="0075285E" w:rsidRDefault="00BE2B53" w:rsidP="00BE2B53">
      <w:pPr>
        <w:pStyle w:val="BodyText"/>
        <w:spacing w:before="160" w:after="120" w:line="240" w:lineRule="auto"/>
        <w:rPr>
          <w:sz w:val="24"/>
          <w:szCs w:val="24"/>
        </w:rPr>
      </w:pPr>
      <w:bookmarkStart w:id="1" w:name="JEL"/>
      <w:bookmarkEnd w:id="1"/>
      <w:r>
        <w:rPr>
          <w:sz w:val="24"/>
          <w:szCs w:val="24"/>
        </w:rPr>
        <w:t xml:space="preserve">Productivity Commission 2013, </w:t>
      </w:r>
      <w:r>
        <w:rPr>
          <w:i/>
          <w:sz w:val="24"/>
          <w:szCs w:val="24"/>
        </w:rPr>
        <w:t>Electricity Network Regulatory Frameworks</w:t>
      </w:r>
      <w:r>
        <w:rPr>
          <w:sz w:val="24"/>
          <w:szCs w:val="24"/>
        </w:rPr>
        <w:t xml:space="preserve">, Report </w:t>
      </w:r>
      <w:r w:rsidR="00EC3905">
        <w:rPr>
          <w:sz w:val="24"/>
          <w:szCs w:val="24"/>
        </w:rPr>
        <w:t>N</w:t>
      </w:r>
      <w:r>
        <w:rPr>
          <w:sz w:val="24"/>
          <w:szCs w:val="24"/>
        </w:rPr>
        <w:t>o.</w:t>
      </w:r>
      <w:r w:rsidR="00B07912">
        <w:rPr>
          <w:sz w:val="24"/>
          <w:szCs w:val="24"/>
        </w:rPr>
        <w:t> </w:t>
      </w:r>
      <w:r>
        <w:rPr>
          <w:sz w:val="24"/>
          <w:szCs w:val="24"/>
        </w:rPr>
        <w:t>62, Canberra.</w:t>
      </w:r>
    </w:p>
    <w:p w:rsidR="003E7802" w:rsidRPr="00DC75C7" w:rsidRDefault="003E7802" w:rsidP="00F4234E">
      <w:pPr>
        <w:pStyle w:val="PCBoxHeading"/>
      </w:pPr>
      <w:r w:rsidRPr="00DC75C7">
        <w:t>The Productivity Commission</w:t>
      </w:r>
    </w:p>
    <w:p w:rsidR="003E7802" w:rsidRPr="00BB5DCF" w:rsidRDefault="003E7802" w:rsidP="00F4234E">
      <w:pPr>
        <w:pStyle w:val="PCBoxtext"/>
      </w:pPr>
      <w:r w:rsidRPr="00BB5DCF">
        <w:t>The Productivity Commission is the Australian Government’s independent research and advisory body on a range of economic, social and environmental issues affecting the welfare of Australians. Its role, expressed most simply, is to help governments make better policies, in the long term interest of the Australian community.</w:t>
      </w:r>
    </w:p>
    <w:p w:rsidR="003E7802" w:rsidRPr="00BB5DCF" w:rsidRDefault="003E7802" w:rsidP="00F4234E">
      <w:pPr>
        <w:pStyle w:val="PCBoxtext"/>
      </w:pPr>
      <w:r w:rsidRPr="00BB5DCF">
        <w:t>The Commission’s independence is underpinned by an Act of Parliament. Its processes and outputs are open to public scrutiny and are driven by concern for the wellbeing of the community as a whole.</w:t>
      </w:r>
    </w:p>
    <w:p w:rsidR="00735FEA" w:rsidRPr="00BB5DCF" w:rsidRDefault="003E7802" w:rsidP="003E7802">
      <w:pPr>
        <w:pStyle w:val="BodyText"/>
        <w:pBdr>
          <w:top w:val="single" w:sz="4" w:space="5" w:color="auto"/>
          <w:left w:val="single" w:sz="4" w:space="8" w:color="auto"/>
          <w:bottom w:val="single" w:sz="4" w:space="14" w:color="auto"/>
          <w:right w:val="single" w:sz="4" w:space="8" w:color="auto"/>
        </w:pBdr>
        <w:spacing w:before="160" w:line="240" w:lineRule="auto"/>
        <w:ind w:left="284" w:right="284"/>
        <w:rPr>
          <w:sz w:val="24"/>
          <w:szCs w:val="24"/>
        </w:rPr>
      </w:pPr>
      <w:r w:rsidRPr="00BB5DCF">
        <w:rPr>
          <w:sz w:val="24"/>
          <w:szCs w:val="24"/>
        </w:rPr>
        <w:t xml:space="preserve">Further information on the Productivity Commission can be obtained from the Commission’s website (www.pc.gov.au) or by contacting Media and Publications on (03) 9653 2244 or email: </w:t>
      </w:r>
      <w:proofErr w:type="spellStart"/>
      <w:r w:rsidRPr="00BB5DCF">
        <w:rPr>
          <w:sz w:val="24"/>
          <w:szCs w:val="24"/>
        </w:rPr>
        <w:t>maps@pc.gov.au</w:t>
      </w:r>
      <w:proofErr w:type="spellEnd"/>
    </w:p>
    <w:p w:rsidR="009811F8" w:rsidRDefault="009811F8">
      <w:bookmarkStart w:id="2" w:name="cov"/>
      <w:bookmarkEnd w:id="2"/>
      <w:r>
        <w:br w:type="page"/>
      </w:r>
    </w:p>
    <w:tbl>
      <w:tblPr>
        <w:tblW w:w="9073" w:type="dxa"/>
        <w:tblInd w:w="-34" w:type="dxa"/>
        <w:tblLayout w:type="fixed"/>
        <w:tblLook w:val="0000" w:firstRow="0" w:lastRow="0" w:firstColumn="0" w:lastColumn="0" w:noHBand="0" w:noVBand="0"/>
      </w:tblPr>
      <w:tblGrid>
        <w:gridCol w:w="2434"/>
        <w:gridCol w:w="1824"/>
        <w:gridCol w:w="1696"/>
        <w:gridCol w:w="3119"/>
      </w:tblGrid>
      <w:tr w:rsidR="009811F8" w:rsidTr="003342D1">
        <w:trPr>
          <w:cantSplit/>
          <w:trHeight w:hRule="exact" w:val="996"/>
        </w:trPr>
        <w:tc>
          <w:tcPr>
            <w:tcW w:w="2434" w:type="dxa"/>
          </w:tcPr>
          <w:p w:rsidR="009811F8" w:rsidRPr="00205C77" w:rsidRDefault="009811F8">
            <w:pPr>
              <w:pStyle w:val="PCAddress"/>
              <w:ind w:left="709"/>
              <w:rPr>
                <w:rFonts w:ascii="Goudy Old Style" w:hAnsi="Goudy Old Style"/>
                <w:b/>
                <w:i/>
              </w:rPr>
            </w:pPr>
          </w:p>
        </w:tc>
        <w:tc>
          <w:tcPr>
            <w:tcW w:w="1824" w:type="dxa"/>
          </w:tcPr>
          <w:p w:rsidR="009811F8" w:rsidRPr="00205C77" w:rsidRDefault="009811F8">
            <w:pPr>
              <w:pStyle w:val="PCAddress"/>
              <w:ind w:left="709"/>
              <w:rPr>
                <w:rFonts w:ascii="Goudy Old Style" w:hAnsi="Goudy Old Style"/>
                <w:b/>
                <w:i/>
              </w:rPr>
            </w:pPr>
          </w:p>
        </w:tc>
        <w:tc>
          <w:tcPr>
            <w:tcW w:w="4815" w:type="dxa"/>
            <w:gridSpan w:val="2"/>
          </w:tcPr>
          <w:p w:rsidR="009811F8" w:rsidRPr="00205C77" w:rsidRDefault="009811F8" w:rsidP="003342D1">
            <w:pPr>
              <w:pStyle w:val="PCAddress"/>
              <w:ind w:left="709" w:right="176"/>
              <w:jc w:val="right"/>
              <w:rPr>
                <w:rFonts w:ascii="Goudy Old Style" w:hAnsi="Goudy Old Style"/>
                <w:b/>
                <w:i/>
              </w:rPr>
            </w:pPr>
            <w:r w:rsidRPr="00205C77">
              <w:rPr>
                <w:rFonts w:ascii="Goudy Old Style" w:hAnsi="Goudy Old Style"/>
                <w:noProof/>
                <w:sz w:val="20"/>
              </w:rPr>
              <w:drawing>
                <wp:inline distT="0" distB="0" distL="0" distR="0" wp14:anchorId="5BDB4B19" wp14:editId="06DCE7BC">
                  <wp:extent cx="2057400" cy="600075"/>
                  <wp:effectExtent l="0" t="0" r="0" b="9525"/>
                  <wp:docPr id="1" name="Picture 1" descr="PC_in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C_inline"/>
                          <pic:cNvPicPr>
                            <a:picLocks noChangeAspect="1" noChangeArrowheads="1"/>
                          </pic:cNvPicPr>
                        </pic:nvPicPr>
                        <pic:blipFill>
                          <a:blip r:embed="rId9" cstate="print">
                            <a:extLst>
                              <a:ext uri="{28A0092B-C50C-407E-A947-70E740481C1C}">
                                <a14:useLocalDpi xmlns:a14="http://schemas.microsoft.com/office/drawing/2010/main" val="0"/>
                              </a:ext>
                            </a:extLst>
                          </a:blip>
                          <a:srcRect r="2438"/>
                          <a:stretch>
                            <a:fillRect/>
                          </a:stretch>
                        </pic:blipFill>
                        <pic:spPr bwMode="auto">
                          <a:xfrm>
                            <a:off x="0" y="0"/>
                            <a:ext cx="2057400" cy="600075"/>
                          </a:xfrm>
                          <a:prstGeom prst="rect">
                            <a:avLst/>
                          </a:prstGeom>
                          <a:noFill/>
                          <a:ln>
                            <a:noFill/>
                          </a:ln>
                        </pic:spPr>
                      </pic:pic>
                    </a:graphicData>
                  </a:graphic>
                </wp:inline>
              </w:drawing>
            </w:r>
          </w:p>
        </w:tc>
      </w:tr>
      <w:tr w:rsidR="009811F8" w:rsidTr="003342D1">
        <w:trPr>
          <w:cantSplit/>
          <w:trHeight w:hRule="exact" w:val="2793"/>
        </w:trPr>
        <w:tc>
          <w:tcPr>
            <w:tcW w:w="5954" w:type="dxa"/>
            <w:gridSpan w:val="3"/>
            <w:vAlign w:val="bottom"/>
          </w:tcPr>
          <w:p w:rsidR="009811F8" w:rsidRPr="00E61DA2" w:rsidRDefault="009811F8" w:rsidP="003342D1">
            <w:pPr>
              <w:pStyle w:val="LetterAddress"/>
              <w:ind w:left="-113"/>
            </w:pPr>
            <w:bookmarkStart w:id="3" w:name="YourRef"/>
            <w:bookmarkStart w:id="4" w:name="OurRef"/>
            <w:bookmarkStart w:id="5" w:name="graphics" w:colFirst="1" w:colLast="1"/>
            <w:bookmarkEnd w:id="3"/>
            <w:bookmarkEnd w:id="4"/>
            <w:r w:rsidRPr="00E61DA2">
              <w:cr/>
            </w:r>
            <w:r w:rsidR="00BE2B53">
              <w:t>9 April 2013</w:t>
            </w:r>
          </w:p>
        </w:tc>
        <w:tc>
          <w:tcPr>
            <w:tcW w:w="3119" w:type="dxa"/>
            <w:vAlign w:val="center"/>
          </w:tcPr>
          <w:p w:rsidR="009811F8" w:rsidRPr="00205C77" w:rsidRDefault="009811F8">
            <w:pPr>
              <w:pStyle w:val="PCAddress"/>
              <w:ind w:left="709"/>
              <w:rPr>
                <w:rFonts w:ascii="Goudy Old Style" w:hAnsi="Goudy Old Style"/>
                <w:b/>
                <w:i/>
              </w:rPr>
            </w:pPr>
            <w:r w:rsidRPr="00205C77">
              <w:rPr>
                <w:rFonts w:ascii="Goudy Old Style" w:hAnsi="Goudy Old Style"/>
                <w:b/>
                <w:i/>
              </w:rPr>
              <w:t>Melbourne Office</w:t>
            </w:r>
          </w:p>
          <w:p w:rsidR="009811F8" w:rsidRPr="00205C77" w:rsidRDefault="009811F8">
            <w:pPr>
              <w:pStyle w:val="PCAddress"/>
              <w:spacing w:after="0"/>
              <w:ind w:left="709"/>
              <w:rPr>
                <w:rFonts w:ascii="Goudy Old Style" w:hAnsi="Goudy Old Style"/>
              </w:rPr>
            </w:pPr>
            <w:r w:rsidRPr="00205C77">
              <w:rPr>
                <w:rFonts w:ascii="Goudy Old Style" w:hAnsi="Goudy Old Style"/>
              </w:rPr>
              <w:t>Level 12, 530 Collins Street</w:t>
            </w:r>
          </w:p>
          <w:p w:rsidR="009811F8" w:rsidRPr="00205C77" w:rsidRDefault="009811F8">
            <w:pPr>
              <w:pStyle w:val="PCAddress"/>
              <w:ind w:left="709"/>
              <w:rPr>
                <w:rFonts w:ascii="Goudy Old Style" w:hAnsi="Goudy Old Style"/>
              </w:rPr>
            </w:pPr>
            <w:r w:rsidRPr="00205C77">
              <w:rPr>
                <w:rFonts w:ascii="Goudy Old Style" w:hAnsi="Goudy Old Style"/>
              </w:rPr>
              <w:t>Melbourne  VIC  3000</w:t>
            </w:r>
          </w:p>
          <w:p w:rsidR="009811F8" w:rsidRPr="00205C77" w:rsidRDefault="009811F8">
            <w:pPr>
              <w:pStyle w:val="PCAddress"/>
              <w:spacing w:after="0"/>
              <w:ind w:left="709"/>
              <w:rPr>
                <w:rFonts w:ascii="Goudy Old Style" w:hAnsi="Goudy Old Style"/>
              </w:rPr>
            </w:pPr>
            <w:r w:rsidRPr="00205C77">
              <w:rPr>
                <w:rFonts w:ascii="Goudy Old Style" w:hAnsi="Goudy Old Style"/>
              </w:rPr>
              <w:t xml:space="preserve">Locked Bag 2 Collins Street East </w:t>
            </w:r>
          </w:p>
          <w:p w:rsidR="009811F8" w:rsidRPr="00205C77" w:rsidRDefault="009811F8">
            <w:pPr>
              <w:pStyle w:val="PCAddress"/>
              <w:ind w:left="709"/>
              <w:rPr>
                <w:rFonts w:ascii="Goudy Old Style" w:hAnsi="Goudy Old Style"/>
              </w:rPr>
            </w:pPr>
            <w:r w:rsidRPr="00205C77">
              <w:rPr>
                <w:rFonts w:ascii="Goudy Old Style" w:hAnsi="Goudy Old Style"/>
              </w:rPr>
              <w:t>Melbourne  VIC  8003</w:t>
            </w:r>
          </w:p>
          <w:p w:rsidR="009811F8" w:rsidRPr="00205C77" w:rsidRDefault="009811F8">
            <w:pPr>
              <w:pStyle w:val="PCAddress"/>
              <w:spacing w:after="0"/>
              <w:ind w:left="709"/>
              <w:rPr>
                <w:rFonts w:ascii="Goudy Old Style" w:hAnsi="Goudy Old Style"/>
              </w:rPr>
            </w:pPr>
            <w:r w:rsidRPr="00205C77">
              <w:rPr>
                <w:rFonts w:ascii="Goudy Old Style" w:hAnsi="Goudy Old Style"/>
              </w:rPr>
              <w:t>Telephone</w:t>
            </w:r>
            <w:r w:rsidRPr="00205C77">
              <w:rPr>
                <w:rFonts w:ascii="Goudy Old Style" w:hAnsi="Goudy Old Style"/>
              </w:rPr>
              <w:tab/>
              <w:t>03 9653 2100</w:t>
            </w:r>
          </w:p>
          <w:p w:rsidR="009811F8" w:rsidRPr="00205C77" w:rsidRDefault="009811F8">
            <w:pPr>
              <w:pStyle w:val="PCAddress"/>
              <w:ind w:left="709"/>
              <w:rPr>
                <w:rFonts w:ascii="Goudy Old Style" w:hAnsi="Goudy Old Style"/>
              </w:rPr>
            </w:pPr>
            <w:r w:rsidRPr="00205C77">
              <w:rPr>
                <w:rFonts w:ascii="Goudy Old Style" w:hAnsi="Goudy Old Style"/>
              </w:rPr>
              <w:t>Facsimile</w:t>
            </w:r>
            <w:r w:rsidRPr="00205C77">
              <w:rPr>
                <w:rFonts w:ascii="Goudy Old Style" w:hAnsi="Goudy Old Style"/>
              </w:rPr>
              <w:tab/>
              <w:t>03 9653 2199</w:t>
            </w:r>
          </w:p>
          <w:p w:rsidR="009811F8" w:rsidRPr="00205C77" w:rsidRDefault="009811F8">
            <w:pPr>
              <w:pStyle w:val="PCAddress"/>
              <w:ind w:left="709"/>
              <w:rPr>
                <w:rFonts w:ascii="Goudy Old Style" w:hAnsi="Goudy Old Style"/>
                <w:b/>
                <w:i/>
              </w:rPr>
            </w:pPr>
            <w:r w:rsidRPr="00205C77">
              <w:rPr>
                <w:rFonts w:ascii="Goudy Old Style" w:hAnsi="Goudy Old Style"/>
                <w:b/>
                <w:i/>
              </w:rPr>
              <w:t>Canberra Office</w:t>
            </w:r>
          </w:p>
          <w:p w:rsidR="009811F8" w:rsidRPr="00205C77" w:rsidRDefault="009811F8">
            <w:pPr>
              <w:pStyle w:val="PCAddress"/>
              <w:ind w:left="709"/>
              <w:rPr>
                <w:rFonts w:ascii="Goudy Old Style" w:hAnsi="Goudy Old Style"/>
              </w:rPr>
            </w:pPr>
            <w:r w:rsidRPr="00205C77">
              <w:rPr>
                <w:rFonts w:ascii="Goudy Old Style" w:hAnsi="Goudy Old Style"/>
              </w:rPr>
              <w:t>Telephone</w:t>
            </w:r>
            <w:r w:rsidRPr="00205C77">
              <w:rPr>
                <w:rFonts w:ascii="Goudy Old Style" w:hAnsi="Goudy Old Style"/>
              </w:rPr>
              <w:tab/>
              <w:t>02 6240 3200</w:t>
            </w:r>
          </w:p>
          <w:p w:rsidR="009811F8" w:rsidRPr="00205C77" w:rsidRDefault="009811F8">
            <w:pPr>
              <w:pStyle w:val="PCAddress"/>
              <w:ind w:left="709"/>
              <w:rPr>
                <w:rFonts w:ascii="Goudy Old Style" w:hAnsi="Goudy Old Style"/>
              </w:rPr>
            </w:pPr>
            <w:r w:rsidRPr="00205C77">
              <w:rPr>
                <w:rFonts w:ascii="Goudy Old Style" w:hAnsi="Goudy Old Style"/>
              </w:rPr>
              <w:t>www.pc.gov.au</w:t>
            </w:r>
          </w:p>
        </w:tc>
      </w:tr>
      <w:bookmarkEnd w:id="5"/>
    </w:tbl>
    <w:p w:rsidR="009811F8" w:rsidRPr="00C76C25" w:rsidRDefault="009811F8" w:rsidP="003342D1">
      <w:pPr>
        <w:pStyle w:val="LetterAddress"/>
      </w:pPr>
    </w:p>
    <w:p w:rsidR="009811F8" w:rsidRPr="00C76C25" w:rsidRDefault="009811F8">
      <w:pPr>
        <w:pStyle w:val="LetterAddress"/>
      </w:pPr>
      <w:r>
        <w:t>T</w:t>
      </w:r>
      <w:r w:rsidRPr="00C76C25">
        <w:t xml:space="preserve">he Hon </w:t>
      </w:r>
      <w:r>
        <w:t>David Bradbury MP</w:t>
      </w:r>
      <w:r w:rsidRPr="00C76C25">
        <w:br/>
        <w:t>Assistant Treasurer</w:t>
      </w:r>
    </w:p>
    <w:p w:rsidR="009811F8" w:rsidRPr="00C76C25" w:rsidRDefault="009811F8">
      <w:pPr>
        <w:pStyle w:val="LetterAddress"/>
      </w:pPr>
      <w:r w:rsidRPr="00C76C25">
        <w:t>Parliament House</w:t>
      </w:r>
    </w:p>
    <w:p w:rsidR="009811F8" w:rsidRPr="00C76C25" w:rsidRDefault="009811F8">
      <w:pPr>
        <w:pStyle w:val="LetterAddress"/>
      </w:pPr>
      <w:r w:rsidRPr="00C76C25">
        <w:t>CANBERRA  ACT  2600</w:t>
      </w:r>
    </w:p>
    <w:p w:rsidR="009811F8" w:rsidRDefault="009811F8">
      <w:pPr>
        <w:pStyle w:val="Salutation"/>
      </w:pPr>
      <w:bookmarkStart w:id="6" w:name="Salutation"/>
      <w:bookmarkEnd w:id="6"/>
    </w:p>
    <w:p w:rsidR="009811F8" w:rsidRPr="00C76C25" w:rsidRDefault="009811F8">
      <w:pPr>
        <w:pStyle w:val="Salutation"/>
      </w:pPr>
      <w:r w:rsidRPr="00C76C25">
        <w:t>Dear Assistant Treasurer</w:t>
      </w:r>
    </w:p>
    <w:p w:rsidR="006E4642" w:rsidRDefault="006E4642" w:rsidP="006E4642">
      <w:pPr>
        <w:pStyle w:val="BodyText"/>
        <w:ind w:right="142"/>
        <w:rPr>
          <w:sz w:val="24"/>
          <w:szCs w:val="24"/>
        </w:rPr>
      </w:pPr>
      <w:bookmarkStart w:id="7" w:name="Body"/>
      <w:bookmarkStart w:id="8" w:name="signoff"/>
      <w:bookmarkEnd w:id="7"/>
      <w:bookmarkEnd w:id="8"/>
      <w:r>
        <w:rPr>
          <w:sz w:val="24"/>
          <w:szCs w:val="24"/>
        </w:rPr>
        <w:t xml:space="preserve">In accordance with Section 11 of the </w:t>
      </w:r>
      <w:r>
        <w:rPr>
          <w:i/>
          <w:sz w:val="24"/>
          <w:szCs w:val="24"/>
        </w:rPr>
        <w:t>Productivity Commission Act 1998</w:t>
      </w:r>
      <w:r>
        <w:rPr>
          <w:sz w:val="24"/>
          <w:szCs w:val="24"/>
        </w:rPr>
        <w:t>, we have pleasure in submitting to you the Commission’s final report into Electricity Network Regulatory Frameworks.</w:t>
      </w:r>
      <w:bookmarkStart w:id="9" w:name="_GoBack"/>
      <w:bookmarkEnd w:id="9"/>
    </w:p>
    <w:p w:rsidR="00BE2B53" w:rsidRDefault="00BE2B53" w:rsidP="00BE2B53">
      <w:pPr>
        <w:pStyle w:val="Signoff"/>
        <w:rPr>
          <w:szCs w:val="24"/>
        </w:rPr>
      </w:pPr>
      <w:r w:rsidRPr="00C76C25">
        <w:rPr>
          <w:szCs w:val="24"/>
        </w:rPr>
        <w:t>Yours sincerely</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94"/>
        <w:gridCol w:w="2209"/>
        <w:gridCol w:w="3002"/>
      </w:tblGrid>
      <w:tr w:rsidR="00BE2B53" w:rsidTr="003342D1">
        <w:tc>
          <w:tcPr>
            <w:tcW w:w="3794" w:type="dxa"/>
          </w:tcPr>
          <w:p w:rsidR="00BE2B53" w:rsidRPr="00C76C25" w:rsidRDefault="00BE2B53" w:rsidP="003342D1">
            <w:pPr>
              <w:pStyle w:val="BodyText"/>
              <w:rPr>
                <w:sz w:val="24"/>
                <w:szCs w:val="24"/>
              </w:rPr>
            </w:pPr>
            <w:bookmarkStart w:id="10" w:name="author"/>
            <w:bookmarkEnd w:id="10"/>
            <w:r>
              <w:rPr>
                <w:sz w:val="24"/>
                <w:szCs w:val="24"/>
              </w:rPr>
              <w:t>Philip Weickhardt</w:t>
            </w:r>
          </w:p>
          <w:p w:rsidR="00BE2B53" w:rsidRDefault="00BE2B53" w:rsidP="003342D1">
            <w:pPr>
              <w:pStyle w:val="LetterAddress"/>
              <w:rPr>
                <w:szCs w:val="24"/>
              </w:rPr>
            </w:pPr>
            <w:r w:rsidRPr="00C76C25">
              <w:t>Presiding Commissioner</w:t>
            </w:r>
          </w:p>
        </w:tc>
        <w:tc>
          <w:tcPr>
            <w:tcW w:w="2209" w:type="dxa"/>
          </w:tcPr>
          <w:p w:rsidR="00BE2B53" w:rsidRPr="00C76C25" w:rsidRDefault="00BE2B53" w:rsidP="003342D1">
            <w:pPr>
              <w:pStyle w:val="BodyText"/>
              <w:rPr>
                <w:sz w:val="24"/>
                <w:szCs w:val="24"/>
              </w:rPr>
            </w:pPr>
            <w:r>
              <w:rPr>
                <w:sz w:val="24"/>
                <w:szCs w:val="24"/>
              </w:rPr>
              <w:t>Wendy Craik AM</w:t>
            </w:r>
          </w:p>
          <w:p w:rsidR="00BE2B53" w:rsidRDefault="00BE2B53" w:rsidP="003342D1">
            <w:pPr>
              <w:pStyle w:val="LetterAddress"/>
              <w:rPr>
                <w:szCs w:val="24"/>
              </w:rPr>
            </w:pPr>
            <w:r w:rsidRPr="00C76C25">
              <w:t>Commissioner</w:t>
            </w:r>
          </w:p>
        </w:tc>
        <w:tc>
          <w:tcPr>
            <w:tcW w:w="3002" w:type="dxa"/>
          </w:tcPr>
          <w:p w:rsidR="00BE2B53" w:rsidRDefault="00BE2B53" w:rsidP="003342D1">
            <w:pPr>
              <w:pStyle w:val="LetterAddress"/>
              <w:rPr>
                <w:szCs w:val="24"/>
              </w:rPr>
            </w:pPr>
          </w:p>
        </w:tc>
      </w:tr>
    </w:tbl>
    <w:p w:rsidR="00735FEA" w:rsidRDefault="00735FEA">
      <w:pPr>
        <w:pStyle w:val="BodyText"/>
        <w:sectPr w:rsidR="00735FEA" w:rsidSect="008F7C50">
          <w:type w:val="oddPage"/>
          <w:pgSz w:w="11907" w:h="16840" w:code="9"/>
          <w:pgMar w:top="1418" w:right="1304" w:bottom="567" w:left="1814" w:header="1701" w:footer="567" w:gutter="0"/>
          <w:pgNumType w:fmt="lowerRoman" w:start="1"/>
          <w:cols w:space="720"/>
          <w:titlePg/>
        </w:sectPr>
      </w:pPr>
    </w:p>
    <w:p w:rsidR="009811F8" w:rsidRDefault="009811F8" w:rsidP="003342D1">
      <w:pPr>
        <w:pStyle w:val="Heading1"/>
      </w:pPr>
      <w:bookmarkStart w:id="11" w:name="_Toc353374642"/>
      <w:r>
        <w:lastRenderedPageBreak/>
        <w:t>Terms of reference</w:t>
      </w:r>
      <w:bookmarkEnd w:id="11"/>
    </w:p>
    <w:p w:rsidR="00BE2B53" w:rsidRDefault="00BE2B53" w:rsidP="00BE2B53">
      <w:pPr>
        <w:pStyle w:val="BodyText"/>
      </w:pPr>
      <w:r>
        <w:t>I, Wayne Swan, Deputy Prime Minister and Treasurer, pursuant to Parts 2 and 3 of the Productivity Commission Act 1998, hereby request that the Productivity Commission undertake an inquiry into electricity network frameworks, focussing on benchmarking arrangements and the effectiveness of the application by network businesses of the current regulatory regime for the evaluation and development of interregional network capacity in the National Electricity Market (</w:t>
      </w:r>
      <w:proofErr w:type="spellStart"/>
      <w:r>
        <w:t>NEM</w:t>
      </w:r>
      <w:proofErr w:type="spellEnd"/>
      <w:r>
        <w:t xml:space="preserve">). </w:t>
      </w:r>
    </w:p>
    <w:p w:rsidR="00BE2B53" w:rsidRPr="00232FD8" w:rsidRDefault="00BE2B53" w:rsidP="00BE2B53">
      <w:pPr>
        <w:pStyle w:val="BodyText"/>
        <w:rPr>
          <w:i/>
        </w:rPr>
      </w:pPr>
      <w:r w:rsidRPr="00232FD8">
        <w:rPr>
          <w:i/>
        </w:rPr>
        <w:t>Background</w:t>
      </w:r>
    </w:p>
    <w:p w:rsidR="00BE2B53" w:rsidRDefault="00BE2B53" w:rsidP="00BE2B53">
      <w:pPr>
        <w:pStyle w:val="BodyText"/>
      </w:pPr>
      <w:r>
        <w:t>Australia’s electricity sector is facing a number of challenges over the coming years. This includes a large investment requirement for networks to replace ageing assets, meet growing levels of peak demand, reliability requirements and to facilitate the transition towards Australia’s clean energy future.</w:t>
      </w:r>
    </w:p>
    <w:p w:rsidR="00BE2B53" w:rsidRDefault="00BE2B53" w:rsidP="00BE2B53">
      <w:pPr>
        <w:pStyle w:val="BodyText"/>
      </w:pPr>
      <w:r>
        <w:t>Recent increases in network expenditure, and the resultant flow on to increases in electricity prices for end users, have highlighted the need to ensure networks continue to deliver efficient outcomes for consumers. Network regulation is a complex task requiring difficult and technical judgements. This inquiry will inform the Australian Government about whether there are any practical or empirical constraints on the use of benchmarking of network businesses and then provide advice on how benchmarking could deliver efficient outcomes, consistent with the National Electricity Objective (NEO). In addition, a second stream of this inquiry will examine if efficient levels of transmission interconnectors are being delivered, to inform the Australian Government about whether the regulatory regime is delivering efficient levels of interconnection to support the market.</w:t>
      </w:r>
    </w:p>
    <w:p w:rsidR="00BE2B53" w:rsidRPr="00232FD8" w:rsidRDefault="00BE2B53" w:rsidP="00BE2B53">
      <w:pPr>
        <w:pStyle w:val="BodyText"/>
        <w:rPr>
          <w:i/>
        </w:rPr>
      </w:pPr>
      <w:r w:rsidRPr="00232FD8">
        <w:rPr>
          <w:i/>
        </w:rPr>
        <w:t>Scope of the Inquiry</w:t>
      </w:r>
    </w:p>
    <w:p w:rsidR="00BE2B53" w:rsidRDefault="00BE2B53" w:rsidP="00BE2B53">
      <w:pPr>
        <w:pStyle w:val="BodyText"/>
      </w:pPr>
      <w:r>
        <w:t xml:space="preserve">The Commission is requested to assess the use of benchmarking as a means of achieving the efficient delivery of network services and electricity infrastructure to meet the long term interests of consumers, consistent with the NEO. In addition, the Commission is requested to assess whether the current regulatory regime, as applied to interconnectors, is delivering efficient levels of network and generation investment across the </w:t>
      </w:r>
      <w:proofErr w:type="spellStart"/>
      <w:r>
        <w:t>NEM</w:t>
      </w:r>
      <w:proofErr w:type="spellEnd"/>
      <w:r>
        <w:t>.</w:t>
      </w:r>
    </w:p>
    <w:p w:rsidR="00BE2B53" w:rsidRDefault="00BE2B53" w:rsidP="00BE2B53">
      <w:pPr>
        <w:pStyle w:val="BodyText"/>
      </w:pPr>
      <w:r>
        <w:br w:type="page"/>
      </w:r>
    </w:p>
    <w:p w:rsidR="00BE2B53" w:rsidRDefault="00BE2B53" w:rsidP="00BE2B53">
      <w:pPr>
        <w:pStyle w:val="BodyText"/>
      </w:pPr>
      <w:r>
        <w:lastRenderedPageBreak/>
        <w:t>In undertaking the review, the Commission should:</w:t>
      </w:r>
    </w:p>
    <w:p w:rsidR="00BE2B53" w:rsidRDefault="00BE2B53" w:rsidP="00BE2B53">
      <w:pPr>
        <w:pStyle w:val="ListBullet"/>
      </w:pPr>
      <w:r>
        <w:t>examine the use of benchmarking under the regulatory framework, incorporating any amendments introduced in the review period, in the National Electricity Rules and provide advice on how different benchmarking methodologies could be used to enhance efficient outcomes; and</w:t>
      </w:r>
    </w:p>
    <w:p w:rsidR="00BE2B53" w:rsidRDefault="00BE2B53" w:rsidP="00BE2B53">
      <w:pPr>
        <w:pStyle w:val="ListBullet"/>
      </w:pPr>
      <w:r>
        <w:t xml:space="preserve">examine whether the regulatory regime, with respect to the delivery of interconnector investment in the </w:t>
      </w:r>
      <w:proofErr w:type="spellStart"/>
      <w:r>
        <w:t>NEM</w:t>
      </w:r>
      <w:proofErr w:type="spellEnd"/>
      <w:r>
        <w:t>, is delivering economically efficient outcomes.</w:t>
      </w:r>
    </w:p>
    <w:p w:rsidR="00BE2B53" w:rsidRDefault="00BE2B53" w:rsidP="00BE2B53">
      <w:pPr>
        <w:pStyle w:val="BodyText"/>
      </w:pPr>
      <w:r>
        <w:t>In undertaking the inquiry, the Commission should consider and take into account the work that is currently being progressed through the Standing Council on Energy and Resources, the Australian Energy Market Commission (</w:t>
      </w:r>
      <w:proofErr w:type="spellStart"/>
      <w:r>
        <w:t>AEMC</w:t>
      </w:r>
      <w:proofErr w:type="spellEnd"/>
      <w:r>
        <w:t>) and the Australian Energy Regulator (</w:t>
      </w:r>
      <w:proofErr w:type="spellStart"/>
      <w:r>
        <w:t>AER</w:t>
      </w:r>
      <w:proofErr w:type="spellEnd"/>
      <w:r>
        <w:t xml:space="preserve">). The Commission should have particular regard for the </w:t>
      </w:r>
      <w:proofErr w:type="spellStart"/>
      <w:r>
        <w:t>AEMC</w:t>
      </w:r>
      <w:proofErr w:type="spellEnd"/>
      <w:r>
        <w:t xml:space="preserve"> reviews into transmission frameworks, power of choice (demand side participation) and the suite of rule changes relating to network regulation currently under consideration by the </w:t>
      </w:r>
      <w:proofErr w:type="spellStart"/>
      <w:r>
        <w:t>AEMC</w:t>
      </w:r>
      <w:proofErr w:type="spellEnd"/>
      <w:r>
        <w:t xml:space="preserve"> in accordance with its statutory obligations. </w:t>
      </w:r>
    </w:p>
    <w:p w:rsidR="00BE2B53" w:rsidRDefault="00BE2B53" w:rsidP="00BE2B53">
      <w:pPr>
        <w:pStyle w:val="BodyText"/>
      </w:pPr>
      <w:r>
        <w:t xml:space="preserve">The Commission should engage with the </w:t>
      </w:r>
      <w:proofErr w:type="spellStart"/>
      <w:r>
        <w:t>AEMC</w:t>
      </w:r>
      <w:proofErr w:type="spellEnd"/>
      <w:r>
        <w:t xml:space="preserve">, the </w:t>
      </w:r>
      <w:proofErr w:type="spellStart"/>
      <w:r>
        <w:t>AER</w:t>
      </w:r>
      <w:proofErr w:type="spellEnd"/>
      <w:r>
        <w:t xml:space="preserve"> and the Australian Energy Market Operator in undertaking the review. In addition, the Commission should consult with Australian Government agencies, state and territory government agencies and other key stakeholders in undertaking the review.</w:t>
      </w:r>
    </w:p>
    <w:p w:rsidR="00BE2B53" w:rsidRDefault="00BE2B53" w:rsidP="00BE2B53">
      <w:pPr>
        <w:pStyle w:val="BodyText"/>
      </w:pPr>
      <w:r>
        <w:t xml:space="preserve">The Commission will report within 15 months of receipt of this reference and will hold hearings for the purpose of this inquiry. The Commission is to provide both a draft and a final report, and the reports will be published. The Government will consider the Commission’s recommendations, and its response will be announced as soon as possible after the receipt of the Commission’s final report. </w:t>
      </w:r>
    </w:p>
    <w:p w:rsidR="00BE2B53" w:rsidRDefault="00533150" w:rsidP="00BE2B53">
      <w:pPr>
        <w:pStyle w:val="BodyText"/>
      </w:pPr>
      <w:r>
        <w:t>WAYNE SWAN</w:t>
      </w:r>
    </w:p>
    <w:p w:rsidR="009811F8" w:rsidRDefault="005A77D3" w:rsidP="003342D1">
      <w:pPr>
        <w:pStyle w:val="BodyText"/>
      </w:pPr>
      <w:r>
        <w:t>9 January 2012</w:t>
      </w:r>
    </w:p>
    <w:p w:rsidR="009811F8" w:rsidRDefault="009811F8" w:rsidP="003342D1">
      <w:pPr>
        <w:pStyle w:val="BodyText"/>
        <w:sectPr w:rsidR="009811F8" w:rsidSect="003342D1">
          <w:headerReference w:type="even" r:id="rId10"/>
          <w:headerReference w:type="default" r:id="rId11"/>
          <w:footerReference w:type="even" r:id="rId12"/>
          <w:footerReference w:type="default" r:id="rId13"/>
          <w:type w:val="oddPage"/>
          <w:pgSz w:w="11907" w:h="16840" w:code="9"/>
          <w:pgMar w:top="1985" w:right="1304" w:bottom="1418" w:left="1814" w:header="1701" w:footer="567" w:gutter="0"/>
          <w:pgNumType w:fmt="lowerRoman"/>
          <w:cols w:space="720"/>
        </w:sectPr>
      </w:pPr>
    </w:p>
    <w:p w:rsidR="009811F8" w:rsidRDefault="009811F8" w:rsidP="00BE2B53">
      <w:pPr>
        <w:pStyle w:val="Heading1"/>
      </w:pPr>
      <w:bookmarkStart w:id="12" w:name="_Toc353374643"/>
      <w:r>
        <w:lastRenderedPageBreak/>
        <w:t>Disclosure of interests</w:t>
      </w:r>
      <w:bookmarkEnd w:id="12"/>
    </w:p>
    <w:p w:rsidR="00BE2B53" w:rsidRDefault="00BE2B53" w:rsidP="00BE2B53">
      <w:pPr>
        <w:pStyle w:val="BodyText"/>
      </w:pPr>
      <w:r>
        <w:t xml:space="preserve">The </w:t>
      </w:r>
      <w:r w:rsidRPr="00550710">
        <w:rPr>
          <w:i/>
        </w:rPr>
        <w:t>Productivity Commission Act 1998</w:t>
      </w:r>
      <w:r>
        <w:t xml:space="preserve"> specifies that where Commissioners have or acquire interests, pecuniary or otherwise, that could conflict with the proper performance of their functions during an inquiry they must disclose the interests.</w:t>
      </w:r>
    </w:p>
    <w:p w:rsidR="00BE2B53" w:rsidRDefault="00BE2B53" w:rsidP="00BE2B53">
      <w:pPr>
        <w:pStyle w:val="BodyText"/>
      </w:pPr>
      <w:r>
        <w:t>Dr Craik has advised the Commission that she is the beneficiary of subsidised solar PV panels.</w:t>
      </w:r>
    </w:p>
    <w:p w:rsidR="009811F8" w:rsidRDefault="009811F8">
      <w:pPr>
        <w:pStyle w:val="BodyText"/>
      </w:pPr>
    </w:p>
    <w:p w:rsidR="00BE2B53" w:rsidRDefault="00BE2B53">
      <w:pPr>
        <w:pStyle w:val="BodyText"/>
      </w:pPr>
    </w:p>
    <w:p w:rsidR="00BE2B53" w:rsidRDefault="00BE2B53">
      <w:pPr>
        <w:pStyle w:val="BodyText"/>
      </w:pPr>
    </w:p>
    <w:p w:rsidR="00BE2B53" w:rsidRDefault="00BE2B53">
      <w:pPr>
        <w:pStyle w:val="BodyText"/>
      </w:pPr>
    </w:p>
    <w:p w:rsidR="00BE2B53" w:rsidRDefault="00BE2B53">
      <w:pPr>
        <w:pStyle w:val="BodyText"/>
        <w:sectPr w:rsidR="00BE2B53" w:rsidSect="003342D1">
          <w:headerReference w:type="even" r:id="rId14"/>
          <w:headerReference w:type="default" r:id="rId15"/>
          <w:footerReference w:type="even" r:id="rId16"/>
          <w:footerReference w:type="default" r:id="rId17"/>
          <w:pgSz w:w="11906" w:h="16838" w:code="9"/>
          <w:pgMar w:top="1985" w:right="1304" w:bottom="1418" w:left="1814" w:header="1701" w:footer="567" w:gutter="0"/>
          <w:pgNumType w:fmt="lowerRoman"/>
          <w:cols w:space="708"/>
          <w:docGrid w:linePitch="360"/>
        </w:sectPr>
      </w:pPr>
    </w:p>
    <w:p w:rsidR="009D6D9C" w:rsidRDefault="00735FEA" w:rsidP="008206EE">
      <w:pPr>
        <w:pStyle w:val="Heading1NotTOC"/>
      </w:pPr>
      <w:bookmarkStart w:id="13" w:name="Contents"/>
      <w:bookmarkEnd w:id="13"/>
      <w:r w:rsidRPr="00B153C3">
        <w:lastRenderedPageBreak/>
        <w:t>Contents</w:t>
      </w:r>
      <w:bookmarkStart w:id="14" w:name="InsertContents"/>
      <w:bookmarkEnd w:id="14"/>
    </w:p>
    <w:p w:rsidR="00F52AFD" w:rsidRPr="00A633F0" w:rsidRDefault="00F52AFD" w:rsidP="00F52AFD">
      <w:pPr>
        <w:pStyle w:val="BodyText"/>
      </w:pPr>
      <w:r>
        <w:t xml:space="preserve">The Commission’s report is in two volumes. </w:t>
      </w:r>
      <w:r>
        <w:rPr>
          <w:b/>
        </w:rPr>
        <w:t>This volume 1 contains the Overview, the Recommendations and findings and chapters 1 to 8.</w:t>
      </w:r>
      <w:r>
        <w:t xml:space="preserve"> Volume 2 contains chapters 9 to 21, Appendix A and the References. </w:t>
      </w:r>
      <w:proofErr w:type="spellStart"/>
      <w:r>
        <w:t>Appendices</w:t>
      </w:r>
      <w:proofErr w:type="spellEnd"/>
      <w:r>
        <w:t xml:space="preserve"> B to F will only be available on the Commission’s web site (http://</w:t>
      </w:r>
      <w:proofErr w:type="spellStart"/>
      <w:r>
        <w:t>www.pv.gov.au</w:t>
      </w:r>
      <w:proofErr w:type="spellEnd"/>
      <w:r>
        <w:t xml:space="preserve">). Below is the table of contents for both volumes. </w:t>
      </w:r>
    </w:p>
    <w:p w:rsidR="00F52AFD" w:rsidRPr="00A633F0" w:rsidRDefault="00F52AFD" w:rsidP="00F52AFD">
      <w:pPr>
        <w:pStyle w:val="TOC1"/>
        <w:pBdr>
          <w:top w:val="single" w:sz="4" w:space="1" w:color="auto"/>
          <w:left w:val="single" w:sz="4" w:space="4" w:color="auto"/>
          <w:bottom w:val="single" w:sz="4" w:space="1" w:color="auto"/>
          <w:right w:val="single" w:sz="4" w:space="31" w:color="auto"/>
        </w:pBdr>
        <w:shd w:val="clear" w:color="auto" w:fill="000000"/>
        <w:jc w:val="center"/>
        <w:rPr>
          <w:color w:val="FFFFFF"/>
        </w:rPr>
      </w:pPr>
      <w:r w:rsidRPr="0070462F">
        <w:rPr>
          <w:color w:val="FFFFFF"/>
        </w:rPr>
        <w:t>Volume 1</w:t>
      </w:r>
    </w:p>
    <w:p w:rsidR="009D6D9C" w:rsidRDefault="009D6D9C">
      <w:pPr>
        <w:pStyle w:val="TOC1"/>
        <w:rPr>
          <w:rFonts w:asciiTheme="minorHAnsi" w:eastAsiaTheme="minorEastAsia" w:hAnsiTheme="minorHAnsi" w:cstheme="minorBidi"/>
          <w:b w:val="0"/>
          <w:noProof/>
          <w:sz w:val="22"/>
          <w:szCs w:val="22"/>
          <w:lang w:eastAsia="en-AU"/>
        </w:rPr>
      </w:pPr>
      <w:r>
        <w:rPr>
          <w:noProof/>
        </w:rPr>
        <w:t>Terms of reference</w:t>
      </w:r>
      <w:r>
        <w:rPr>
          <w:noProof/>
        </w:rPr>
        <w:tab/>
        <w:t>v</w:t>
      </w:r>
    </w:p>
    <w:p w:rsidR="009D6D9C" w:rsidRDefault="009D6D9C">
      <w:pPr>
        <w:pStyle w:val="TOC1"/>
        <w:rPr>
          <w:rFonts w:asciiTheme="minorHAnsi" w:eastAsiaTheme="minorEastAsia" w:hAnsiTheme="minorHAnsi" w:cstheme="minorBidi"/>
          <w:b w:val="0"/>
          <w:noProof/>
          <w:sz w:val="22"/>
          <w:szCs w:val="22"/>
          <w:lang w:eastAsia="en-AU"/>
        </w:rPr>
      </w:pPr>
      <w:r>
        <w:rPr>
          <w:noProof/>
        </w:rPr>
        <w:t>Disclosure of interests</w:t>
      </w:r>
      <w:r>
        <w:rPr>
          <w:noProof/>
        </w:rPr>
        <w:tab/>
        <w:t>vii</w:t>
      </w:r>
    </w:p>
    <w:p w:rsidR="009D6D9C" w:rsidRDefault="009D6D9C">
      <w:pPr>
        <w:pStyle w:val="TOC1"/>
        <w:rPr>
          <w:rFonts w:asciiTheme="minorHAnsi" w:eastAsiaTheme="minorEastAsia" w:hAnsiTheme="minorHAnsi" w:cstheme="minorBidi"/>
          <w:b w:val="0"/>
          <w:noProof/>
          <w:sz w:val="22"/>
          <w:szCs w:val="22"/>
          <w:lang w:eastAsia="en-AU"/>
        </w:rPr>
      </w:pPr>
      <w:r>
        <w:rPr>
          <w:noProof/>
        </w:rPr>
        <w:t>Acknowledgments</w:t>
      </w:r>
      <w:r>
        <w:rPr>
          <w:noProof/>
        </w:rPr>
        <w:tab/>
        <w:t>xvi</w:t>
      </w:r>
    </w:p>
    <w:p w:rsidR="009D6D9C" w:rsidRDefault="009D6D9C">
      <w:pPr>
        <w:pStyle w:val="TOC1"/>
        <w:rPr>
          <w:rFonts w:asciiTheme="minorHAnsi" w:eastAsiaTheme="minorEastAsia" w:hAnsiTheme="minorHAnsi" w:cstheme="minorBidi"/>
          <w:b w:val="0"/>
          <w:noProof/>
          <w:sz w:val="22"/>
          <w:szCs w:val="22"/>
          <w:lang w:eastAsia="en-AU"/>
        </w:rPr>
      </w:pPr>
      <w:r>
        <w:rPr>
          <w:noProof/>
        </w:rPr>
        <w:t>Abbreviations and explanations</w:t>
      </w:r>
      <w:r>
        <w:rPr>
          <w:noProof/>
        </w:rPr>
        <w:tab/>
        <w:t>xvii</w:t>
      </w:r>
    </w:p>
    <w:p w:rsidR="009D6D9C" w:rsidRDefault="009D6D9C">
      <w:pPr>
        <w:pStyle w:val="TOC1"/>
        <w:rPr>
          <w:rFonts w:asciiTheme="minorHAnsi" w:eastAsiaTheme="minorEastAsia" w:hAnsiTheme="minorHAnsi" w:cstheme="minorBidi"/>
          <w:b w:val="0"/>
          <w:noProof/>
          <w:sz w:val="22"/>
          <w:szCs w:val="22"/>
          <w:lang w:eastAsia="en-AU"/>
        </w:rPr>
      </w:pPr>
      <w:r>
        <w:rPr>
          <w:noProof/>
        </w:rPr>
        <w:t>Overview</w:t>
      </w:r>
      <w:r>
        <w:rPr>
          <w:noProof/>
        </w:rPr>
        <w:tab/>
        <w:t>1</w:t>
      </w:r>
    </w:p>
    <w:p w:rsidR="009D6D9C" w:rsidRDefault="009D6D9C">
      <w:pPr>
        <w:pStyle w:val="TOC1"/>
        <w:rPr>
          <w:rFonts w:asciiTheme="minorHAnsi" w:eastAsiaTheme="minorEastAsia" w:hAnsiTheme="minorHAnsi" w:cstheme="minorBidi"/>
          <w:b w:val="0"/>
          <w:noProof/>
          <w:sz w:val="22"/>
          <w:szCs w:val="22"/>
          <w:lang w:eastAsia="en-AU"/>
        </w:rPr>
      </w:pPr>
      <w:r>
        <w:rPr>
          <w:noProof/>
        </w:rPr>
        <w:t>Recommendations and findings</w:t>
      </w:r>
      <w:r>
        <w:rPr>
          <w:noProof/>
        </w:rPr>
        <w:tab/>
        <w:t>43</w:t>
      </w:r>
    </w:p>
    <w:p w:rsidR="009D6D9C" w:rsidRDefault="009D6D9C">
      <w:pPr>
        <w:pStyle w:val="TOC1"/>
        <w:rPr>
          <w:rFonts w:asciiTheme="minorHAnsi" w:eastAsiaTheme="minorEastAsia" w:hAnsiTheme="minorHAnsi" w:cstheme="minorBidi"/>
          <w:b w:val="0"/>
          <w:noProof/>
          <w:sz w:val="22"/>
          <w:szCs w:val="22"/>
          <w:lang w:eastAsia="en-AU"/>
        </w:rPr>
      </w:pPr>
      <w:r>
        <w:rPr>
          <w:noProof/>
        </w:rPr>
        <w:t>1</w:t>
      </w:r>
      <w:r>
        <w:rPr>
          <w:rFonts w:asciiTheme="minorHAnsi" w:eastAsiaTheme="minorEastAsia" w:hAnsiTheme="minorHAnsi" w:cstheme="minorBidi"/>
          <w:b w:val="0"/>
          <w:noProof/>
          <w:sz w:val="22"/>
          <w:szCs w:val="22"/>
          <w:lang w:eastAsia="en-AU"/>
        </w:rPr>
        <w:tab/>
      </w:r>
      <w:r>
        <w:rPr>
          <w:noProof/>
        </w:rPr>
        <w:t>About the inquiry</w:t>
      </w:r>
      <w:r>
        <w:rPr>
          <w:noProof/>
        </w:rPr>
        <w:tab/>
        <w:t>65</w:t>
      </w:r>
    </w:p>
    <w:p w:rsidR="009D6D9C" w:rsidRDefault="009D6D9C">
      <w:pPr>
        <w:pStyle w:val="TOC2"/>
        <w:tabs>
          <w:tab w:val="left" w:pos="1190"/>
        </w:tabs>
        <w:rPr>
          <w:rFonts w:asciiTheme="minorHAnsi" w:eastAsiaTheme="minorEastAsia" w:hAnsiTheme="minorHAnsi" w:cstheme="minorBidi"/>
          <w:noProof/>
          <w:sz w:val="22"/>
          <w:szCs w:val="22"/>
          <w:lang w:eastAsia="en-AU"/>
        </w:rPr>
      </w:pPr>
      <w:r>
        <w:rPr>
          <w:noProof/>
        </w:rPr>
        <w:t>1.1</w:t>
      </w:r>
      <w:r>
        <w:rPr>
          <w:rFonts w:asciiTheme="minorHAnsi" w:eastAsiaTheme="minorEastAsia" w:hAnsiTheme="minorHAnsi" w:cstheme="minorBidi"/>
          <w:noProof/>
          <w:sz w:val="22"/>
          <w:szCs w:val="22"/>
          <w:lang w:eastAsia="en-AU"/>
        </w:rPr>
        <w:tab/>
      </w:r>
      <w:r>
        <w:rPr>
          <w:noProof/>
        </w:rPr>
        <w:t>What are the perceived problems?</w:t>
      </w:r>
      <w:r>
        <w:rPr>
          <w:noProof/>
        </w:rPr>
        <w:tab/>
        <w:t>65</w:t>
      </w:r>
    </w:p>
    <w:p w:rsidR="009D6D9C" w:rsidRDefault="009D6D9C">
      <w:pPr>
        <w:pStyle w:val="TOC2"/>
        <w:tabs>
          <w:tab w:val="left" w:pos="1190"/>
        </w:tabs>
        <w:rPr>
          <w:rFonts w:asciiTheme="minorHAnsi" w:eastAsiaTheme="minorEastAsia" w:hAnsiTheme="minorHAnsi" w:cstheme="minorBidi"/>
          <w:noProof/>
          <w:sz w:val="22"/>
          <w:szCs w:val="22"/>
          <w:lang w:eastAsia="en-AU"/>
        </w:rPr>
      </w:pPr>
      <w:r>
        <w:rPr>
          <w:noProof/>
        </w:rPr>
        <w:t>1.2</w:t>
      </w:r>
      <w:r>
        <w:rPr>
          <w:rFonts w:asciiTheme="minorHAnsi" w:eastAsiaTheme="minorEastAsia" w:hAnsiTheme="minorHAnsi" w:cstheme="minorBidi"/>
          <w:noProof/>
          <w:sz w:val="22"/>
          <w:szCs w:val="22"/>
          <w:lang w:eastAsia="en-AU"/>
        </w:rPr>
        <w:tab/>
      </w:r>
      <w:r>
        <w:rPr>
          <w:noProof/>
        </w:rPr>
        <w:t>Overview of the regulatory framework and its institutions</w:t>
      </w:r>
      <w:r>
        <w:rPr>
          <w:noProof/>
        </w:rPr>
        <w:tab/>
        <w:t>68</w:t>
      </w:r>
    </w:p>
    <w:p w:rsidR="009D6D9C" w:rsidRDefault="009D6D9C">
      <w:pPr>
        <w:pStyle w:val="TOC2"/>
        <w:tabs>
          <w:tab w:val="left" w:pos="1190"/>
        </w:tabs>
        <w:rPr>
          <w:rFonts w:asciiTheme="minorHAnsi" w:eastAsiaTheme="minorEastAsia" w:hAnsiTheme="minorHAnsi" w:cstheme="minorBidi"/>
          <w:noProof/>
          <w:sz w:val="22"/>
          <w:szCs w:val="22"/>
          <w:lang w:eastAsia="en-AU"/>
        </w:rPr>
      </w:pPr>
      <w:r>
        <w:rPr>
          <w:noProof/>
        </w:rPr>
        <w:t>1.3</w:t>
      </w:r>
      <w:r>
        <w:rPr>
          <w:rFonts w:asciiTheme="minorHAnsi" w:eastAsiaTheme="minorEastAsia" w:hAnsiTheme="minorHAnsi" w:cstheme="minorBidi"/>
          <w:noProof/>
          <w:sz w:val="22"/>
          <w:szCs w:val="22"/>
          <w:lang w:eastAsia="en-AU"/>
        </w:rPr>
        <w:tab/>
      </w:r>
      <w:r>
        <w:rPr>
          <w:noProof/>
        </w:rPr>
        <w:t>The Commission’s approach to its terms of reference</w:t>
      </w:r>
      <w:r>
        <w:rPr>
          <w:noProof/>
        </w:rPr>
        <w:tab/>
        <w:t>71</w:t>
      </w:r>
    </w:p>
    <w:p w:rsidR="009D6D9C" w:rsidRDefault="009D6D9C">
      <w:pPr>
        <w:pStyle w:val="TOC2"/>
        <w:tabs>
          <w:tab w:val="left" w:pos="1190"/>
        </w:tabs>
        <w:rPr>
          <w:rFonts w:asciiTheme="minorHAnsi" w:eastAsiaTheme="minorEastAsia" w:hAnsiTheme="minorHAnsi" w:cstheme="minorBidi"/>
          <w:noProof/>
          <w:sz w:val="22"/>
          <w:szCs w:val="22"/>
          <w:lang w:eastAsia="en-AU"/>
        </w:rPr>
      </w:pPr>
      <w:r>
        <w:rPr>
          <w:noProof/>
        </w:rPr>
        <w:t>1.4</w:t>
      </w:r>
      <w:r>
        <w:rPr>
          <w:rFonts w:asciiTheme="minorHAnsi" w:eastAsiaTheme="minorEastAsia" w:hAnsiTheme="minorHAnsi" w:cstheme="minorBidi"/>
          <w:noProof/>
          <w:sz w:val="22"/>
          <w:szCs w:val="22"/>
          <w:lang w:eastAsia="en-AU"/>
        </w:rPr>
        <w:tab/>
      </w:r>
      <w:r>
        <w:rPr>
          <w:noProof/>
        </w:rPr>
        <w:t>A guide to the report</w:t>
      </w:r>
      <w:r>
        <w:rPr>
          <w:noProof/>
        </w:rPr>
        <w:tab/>
        <w:t>77</w:t>
      </w:r>
    </w:p>
    <w:p w:rsidR="009D6D9C" w:rsidRDefault="009D6D9C">
      <w:pPr>
        <w:pStyle w:val="TOC1"/>
        <w:rPr>
          <w:rFonts w:asciiTheme="minorHAnsi" w:eastAsiaTheme="minorEastAsia" w:hAnsiTheme="minorHAnsi" w:cstheme="minorBidi"/>
          <w:b w:val="0"/>
          <w:noProof/>
          <w:sz w:val="22"/>
          <w:szCs w:val="22"/>
          <w:lang w:eastAsia="en-AU"/>
        </w:rPr>
      </w:pPr>
      <w:r>
        <w:rPr>
          <w:noProof/>
        </w:rPr>
        <w:t>2</w:t>
      </w:r>
      <w:r>
        <w:rPr>
          <w:rFonts w:asciiTheme="minorHAnsi" w:eastAsiaTheme="minorEastAsia" w:hAnsiTheme="minorHAnsi" w:cstheme="minorBidi"/>
          <w:b w:val="0"/>
          <w:noProof/>
          <w:sz w:val="22"/>
          <w:szCs w:val="22"/>
          <w:lang w:eastAsia="en-AU"/>
        </w:rPr>
        <w:tab/>
      </w:r>
      <w:r>
        <w:rPr>
          <w:noProof/>
        </w:rPr>
        <w:t>The structure and performance of the National Electricity Market</w:t>
      </w:r>
      <w:r>
        <w:rPr>
          <w:noProof/>
        </w:rPr>
        <w:tab/>
        <w:t>83</w:t>
      </w:r>
    </w:p>
    <w:p w:rsidR="009D6D9C" w:rsidRDefault="009D6D9C">
      <w:pPr>
        <w:pStyle w:val="TOC2"/>
        <w:tabs>
          <w:tab w:val="left" w:pos="1190"/>
        </w:tabs>
        <w:rPr>
          <w:rFonts w:asciiTheme="minorHAnsi" w:eastAsiaTheme="minorEastAsia" w:hAnsiTheme="minorHAnsi" w:cstheme="minorBidi"/>
          <w:noProof/>
          <w:sz w:val="22"/>
          <w:szCs w:val="22"/>
          <w:lang w:eastAsia="en-AU"/>
        </w:rPr>
      </w:pPr>
      <w:r>
        <w:rPr>
          <w:noProof/>
        </w:rPr>
        <w:t>2.1</w:t>
      </w:r>
      <w:r>
        <w:rPr>
          <w:rFonts w:asciiTheme="minorHAnsi" w:eastAsiaTheme="minorEastAsia" w:hAnsiTheme="minorHAnsi" w:cstheme="minorBidi"/>
          <w:noProof/>
          <w:sz w:val="22"/>
          <w:szCs w:val="22"/>
          <w:lang w:eastAsia="en-AU"/>
        </w:rPr>
        <w:tab/>
      </w:r>
      <w:r>
        <w:rPr>
          <w:noProof/>
        </w:rPr>
        <w:t>The structure of the National Electricity Market</w:t>
      </w:r>
      <w:r>
        <w:rPr>
          <w:noProof/>
        </w:rPr>
        <w:tab/>
        <w:t>84</w:t>
      </w:r>
    </w:p>
    <w:p w:rsidR="009D6D9C" w:rsidRDefault="009D6D9C">
      <w:pPr>
        <w:pStyle w:val="TOC2"/>
        <w:tabs>
          <w:tab w:val="left" w:pos="1190"/>
        </w:tabs>
        <w:rPr>
          <w:rFonts w:asciiTheme="minorHAnsi" w:eastAsiaTheme="minorEastAsia" w:hAnsiTheme="minorHAnsi" w:cstheme="minorBidi"/>
          <w:noProof/>
          <w:sz w:val="22"/>
          <w:szCs w:val="22"/>
          <w:lang w:eastAsia="en-AU"/>
        </w:rPr>
      </w:pPr>
      <w:r>
        <w:rPr>
          <w:noProof/>
        </w:rPr>
        <w:t>2.2</w:t>
      </w:r>
      <w:r>
        <w:rPr>
          <w:rFonts w:asciiTheme="minorHAnsi" w:eastAsiaTheme="minorEastAsia" w:hAnsiTheme="minorHAnsi" w:cstheme="minorBidi"/>
          <w:noProof/>
          <w:sz w:val="22"/>
          <w:szCs w:val="22"/>
          <w:lang w:eastAsia="en-AU"/>
        </w:rPr>
        <w:tab/>
      </w:r>
      <w:r>
        <w:rPr>
          <w:noProof/>
        </w:rPr>
        <w:t>The scale of the network and its costs</w:t>
      </w:r>
      <w:r>
        <w:rPr>
          <w:noProof/>
        </w:rPr>
        <w:tab/>
        <w:t>95</w:t>
      </w:r>
    </w:p>
    <w:p w:rsidR="009D6D9C" w:rsidRDefault="009D6D9C">
      <w:pPr>
        <w:pStyle w:val="TOC2"/>
        <w:tabs>
          <w:tab w:val="left" w:pos="1190"/>
        </w:tabs>
        <w:rPr>
          <w:rFonts w:asciiTheme="minorHAnsi" w:eastAsiaTheme="minorEastAsia" w:hAnsiTheme="minorHAnsi" w:cstheme="minorBidi"/>
          <w:noProof/>
          <w:sz w:val="22"/>
          <w:szCs w:val="22"/>
          <w:lang w:eastAsia="en-AU"/>
        </w:rPr>
      </w:pPr>
      <w:r>
        <w:rPr>
          <w:noProof/>
        </w:rPr>
        <w:t>2.3</w:t>
      </w:r>
      <w:r>
        <w:rPr>
          <w:rFonts w:asciiTheme="minorHAnsi" w:eastAsiaTheme="minorEastAsia" w:hAnsiTheme="minorHAnsi" w:cstheme="minorBidi"/>
          <w:noProof/>
          <w:sz w:val="22"/>
          <w:szCs w:val="22"/>
          <w:lang w:eastAsia="en-AU"/>
        </w:rPr>
        <w:tab/>
      </w:r>
      <w:r>
        <w:rPr>
          <w:noProof/>
        </w:rPr>
        <w:t>The nature of demand</w:t>
      </w:r>
      <w:r>
        <w:rPr>
          <w:noProof/>
        </w:rPr>
        <w:tab/>
        <w:t>98</w:t>
      </w:r>
    </w:p>
    <w:p w:rsidR="009D6D9C" w:rsidRDefault="009D6D9C">
      <w:pPr>
        <w:pStyle w:val="TOC2"/>
        <w:tabs>
          <w:tab w:val="left" w:pos="1190"/>
        </w:tabs>
        <w:rPr>
          <w:rFonts w:asciiTheme="minorHAnsi" w:eastAsiaTheme="minorEastAsia" w:hAnsiTheme="minorHAnsi" w:cstheme="minorBidi"/>
          <w:noProof/>
          <w:sz w:val="22"/>
          <w:szCs w:val="22"/>
          <w:lang w:eastAsia="en-AU"/>
        </w:rPr>
      </w:pPr>
      <w:r>
        <w:rPr>
          <w:noProof/>
        </w:rPr>
        <w:t>2.4</w:t>
      </w:r>
      <w:r>
        <w:rPr>
          <w:rFonts w:asciiTheme="minorHAnsi" w:eastAsiaTheme="minorEastAsia" w:hAnsiTheme="minorHAnsi" w:cstheme="minorBidi"/>
          <w:noProof/>
          <w:sz w:val="22"/>
          <w:szCs w:val="22"/>
          <w:lang w:eastAsia="en-AU"/>
        </w:rPr>
        <w:tab/>
      </w:r>
      <w:r>
        <w:rPr>
          <w:noProof/>
        </w:rPr>
        <w:t>Prices have been rising</w:t>
      </w:r>
      <w:r>
        <w:rPr>
          <w:noProof/>
        </w:rPr>
        <w:tab/>
        <w:t>104</w:t>
      </w:r>
    </w:p>
    <w:p w:rsidR="009D6D9C" w:rsidRDefault="009D6D9C">
      <w:pPr>
        <w:pStyle w:val="TOC2"/>
        <w:tabs>
          <w:tab w:val="left" w:pos="1190"/>
        </w:tabs>
        <w:rPr>
          <w:rFonts w:asciiTheme="minorHAnsi" w:eastAsiaTheme="minorEastAsia" w:hAnsiTheme="minorHAnsi" w:cstheme="minorBidi"/>
          <w:noProof/>
          <w:sz w:val="22"/>
          <w:szCs w:val="22"/>
          <w:lang w:eastAsia="en-AU"/>
        </w:rPr>
      </w:pPr>
      <w:r>
        <w:rPr>
          <w:noProof/>
        </w:rPr>
        <w:t>2.5</w:t>
      </w:r>
      <w:r>
        <w:rPr>
          <w:rFonts w:asciiTheme="minorHAnsi" w:eastAsiaTheme="minorEastAsia" w:hAnsiTheme="minorHAnsi" w:cstheme="minorBidi"/>
          <w:noProof/>
          <w:sz w:val="22"/>
          <w:szCs w:val="22"/>
          <w:lang w:eastAsia="en-AU"/>
        </w:rPr>
        <w:tab/>
      </w:r>
      <w:r>
        <w:rPr>
          <w:noProof/>
        </w:rPr>
        <w:t>The proximate reasons for higher network charges</w:t>
      </w:r>
      <w:r>
        <w:rPr>
          <w:noProof/>
        </w:rPr>
        <w:tab/>
        <w:t>110</w:t>
      </w:r>
    </w:p>
    <w:p w:rsidR="009D6D9C" w:rsidRDefault="009D6D9C">
      <w:pPr>
        <w:pStyle w:val="TOC2"/>
        <w:tabs>
          <w:tab w:val="left" w:pos="1190"/>
        </w:tabs>
        <w:rPr>
          <w:rFonts w:asciiTheme="minorHAnsi" w:eastAsiaTheme="minorEastAsia" w:hAnsiTheme="minorHAnsi" w:cstheme="minorBidi"/>
          <w:noProof/>
          <w:sz w:val="22"/>
          <w:szCs w:val="22"/>
          <w:lang w:eastAsia="en-AU"/>
        </w:rPr>
      </w:pPr>
      <w:r>
        <w:rPr>
          <w:noProof/>
        </w:rPr>
        <w:t>2.6</w:t>
      </w:r>
      <w:r>
        <w:rPr>
          <w:rFonts w:asciiTheme="minorHAnsi" w:eastAsiaTheme="minorEastAsia" w:hAnsiTheme="minorHAnsi" w:cstheme="minorBidi"/>
          <w:noProof/>
          <w:sz w:val="22"/>
          <w:szCs w:val="22"/>
          <w:lang w:eastAsia="en-AU"/>
        </w:rPr>
        <w:tab/>
      </w:r>
      <w:r>
        <w:rPr>
          <w:noProof/>
        </w:rPr>
        <w:t>Reliability</w:t>
      </w:r>
      <w:r>
        <w:rPr>
          <w:noProof/>
        </w:rPr>
        <w:tab/>
        <w:t>113</w:t>
      </w:r>
    </w:p>
    <w:p w:rsidR="009D6D9C" w:rsidRDefault="009D6D9C">
      <w:pPr>
        <w:pStyle w:val="TOC2"/>
        <w:tabs>
          <w:tab w:val="left" w:pos="1190"/>
        </w:tabs>
        <w:rPr>
          <w:rFonts w:asciiTheme="minorHAnsi" w:eastAsiaTheme="minorEastAsia" w:hAnsiTheme="minorHAnsi" w:cstheme="minorBidi"/>
          <w:noProof/>
          <w:sz w:val="22"/>
          <w:szCs w:val="22"/>
          <w:lang w:eastAsia="en-AU"/>
        </w:rPr>
      </w:pPr>
      <w:r>
        <w:rPr>
          <w:noProof/>
        </w:rPr>
        <w:t>2.7</w:t>
      </w:r>
      <w:r>
        <w:rPr>
          <w:rFonts w:asciiTheme="minorHAnsi" w:eastAsiaTheme="minorEastAsia" w:hAnsiTheme="minorHAnsi" w:cstheme="minorBidi"/>
          <w:noProof/>
          <w:sz w:val="22"/>
          <w:szCs w:val="22"/>
          <w:lang w:eastAsia="en-AU"/>
        </w:rPr>
        <w:tab/>
      </w:r>
      <w:r>
        <w:rPr>
          <w:noProof/>
        </w:rPr>
        <w:t>What is at stake?</w:t>
      </w:r>
      <w:r>
        <w:rPr>
          <w:noProof/>
        </w:rPr>
        <w:tab/>
        <w:t>114</w:t>
      </w:r>
    </w:p>
    <w:p w:rsidR="009D6D9C" w:rsidRDefault="009D6D9C">
      <w:pPr>
        <w:pStyle w:val="TOC1"/>
        <w:rPr>
          <w:rFonts w:asciiTheme="minorHAnsi" w:eastAsiaTheme="minorEastAsia" w:hAnsiTheme="minorHAnsi" w:cstheme="minorBidi"/>
          <w:b w:val="0"/>
          <w:noProof/>
          <w:sz w:val="22"/>
          <w:szCs w:val="22"/>
          <w:lang w:eastAsia="en-AU"/>
        </w:rPr>
      </w:pPr>
      <w:r>
        <w:rPr>
          <w:noProof/>
        </w:rPr>
        <w:t>3</w:t>
      </w:r>
      <w:r>
        <w:rPr>
          <w:rFonts w:asciiTheme="minorHAnsi" w:eastAsiaTheme="minorEastAsia" w:hAnsiTheme="minorHAnsi" w:cstheme="minorBidi"/>
          <w:b w:val="0"/>
          <w:noProof/>
          <w:sz w:val="22"/>
          <w:szCs w:val="22"/>
          <w:lang w:eastAsia="en-AU"/>
        </w:rPr>
        <w:tab/>
      </w:r>
      <w:r>
        <w:rPr>
          <w:noProof/>
        </w:rPr>
        <w:t>The rationale for regulation of electricity networks</w:t>
      </w:r>
      <w:r>
        <w:rPr>
          <w:noProof/>
        </w:rPr>
        <w:tab/>
        <w:t>121</w:t>
      </w:r>
    </w:p>
    <w:p w:rsidR="009D6D9C" w:rsidRDefault="009D6D9C">
      <w:pPr>
        <w:pStyle w:val="TOC2"/>
        <w:tabs>
          <w:tab w:val="left" w:pos="1190"/>
        </w:tabs>
        <w:rPr>
          <w:rFonts w:asciiTheme="minorHAnsi" w:eastAsiaTheme="minorEastAsia" w:hAnsiTheme="minorHAnsi" w:cstheme="minorBidi"/>
          <w:noProof/>
          <w:sz w:val="22"/>
          <w:szCs w:val="22"/>
          <w:lang w:eastAsia="en-AU"/>
        </w:rPr>
      </w:pPr>
      <w:r>
        <w:rPr>
          <w:noProof/>
        </w:rPr>
        <w:lastRenderedPageBreak/>
        <w:t>3.1</w:t>
      </w:r>
      <w:r>
        <w:rPr>
          <w:rFonts w:asciiTheme="minorHAnsi" w:eastAsiaTheme="minorEastAsia" w:hAnsiTheme="minorHAnsi" w:cstheme="minorBidi"/>
          <w:noProof/>
          <w:sz w:val="22"/>
          <w:szCs w:val="22"/>
          <w:lang w:eastAsia="en-AU"/>
        </w:rPr>
        <w:tab/>
      </w:r>
      <w:r>
        <w:rPr>
          <w:noProof/>
        </w:rPr>
        <w:t>The characteristics of electricity networks</w:t>
      </w:r>
      <w:r>
        <w:rPr>
          <w:noProof/>
        </w:rPr>
        <w:tab/>
        <w:t>122</w:t>
      </w:r>
    </w:p>
    <w:p w:rsidR="009D6D9C" w:rsidRDefault="009D6D9C">
      <w:pPr>
        <w:pStyle w:val="TOC2"/>
        <w:tabs>
          <w:tab w:val="left" w:pos="1190"/>
        </w:tabs>
        <w:rPr>
          <w:rFonts w:asciiTheme="minorHAnsi" w:eastAsiaTheme="minorEastAsia" w:hAnsiTheme="minorHAnsi" w:cstheme="minorBidi"/>
          <w:noProof/>
          <w:sz w:val="22"/>
          <w:szCs w:val="22"/>
          <w:lang w:eastAsia="en-AU"/>
        </w:rPr>
      </w:pPr>
      <w:r>
        <w:rPr>
          <w:noProof/>
        </w:rPr>
        <w:t>3.2</w:t>
      </w:r>
      <w:r>
        <w:rPr>
          <w:rFonts w:asciiTheme="minorHAnsi" w:eastAsiaTheme="minorEastAsia" w:hAnsiTheme="minorHAnsi" w:cstheme="minorBidi"/>
          <w:noProof/>
          <w:sz w:val="22"/>
          <w:szCs w:val="22"/>
          <w:lang w:eastAsia="en-AU"/>
        </w:rPr>
        <w:tab/>
      </w:r>
      <w:r>
        <w:rPr>
          <w:noProof/>
        </w:rPr>
        <w:t>Evidence about the costs of market power</w:t>
      </w:r>
      <w:r>
        <w:rPr>
          <w:noProof/>
        </w:rPr>
        <w:tab/>
        <w:t>125</w:t>
      </w:r>
    </w:p>
    <w:p w:rsidR="009D6D9C" w:rsidRDefault="009D6D9C">
      <w:pPr>
        <w:pStyle w:val="TOC2"/>
        <w:tabs>
          <w:tab w:val="left" w:pos="1190"/>
        </w:tabs>
        <w:rPr>
          <w:rFonts w:asciiTheme="minorHAnsi" w:eastAsiaTheme="minorEastAsia" w:hAnsiTheme="minorHAnsi" w:cstheme="minorBidi"/>
          <w:noProof/>
          <w:sz w:val="22"/>
          <w:szCs w:val="22"/>
          <w:lang w:eastAsia="en-AU"/>
        </w:rPr>
      </w:pPr>
      <w:r>
        <w:rPr>
          <w:noProof/>
        </w:rPr>
        <w:t>3.3</w:t>
      </w:r>
      <w:r>
        <w:rPr>
          <w:rFonts w:asciiTheme="minorHAnsi" w:eastAsiaTheme="minorEastAsia" w:hAnsiTheme="minorHAnsi" w:cstheme="minorBidi"/>
          <w:noProof/>
          <w:sz w:val="22"/>
          <w:szCs w:val="22"/>
          <w:lang w:eastAsia="en-AU"/>
        </w:rPr>
        <w:tab/>
      </w:r>
      <w:r>
        <w:rPr>
          <w:noProof/>
        </w:rPr>
        <w:t>The case for regulating monopolies</w:t>
      </w:r>
      <w:r>
        <w:rPr>
          <w:noProof/>
        </w:rPr>
        <w:tab/>
        <w:t>126</w:t>
      </w:r>
    </w:p>
    <w:p w:rsidR="009D6D9C" w:rsidRDefault="009D6D9C">
      <w:pPr>
        <w:pStyle w:val="TOC2"/>
        <w:tabs>
          <w:tab w:val="left" w:pos="1190"/>
        </w:tabs>
        <w:rPr>
          <w:rFonts w:asciiTheme="minorHAnsi" w:eastAsiaTheme="minorEastAsia" w:hAnsiTheme="minorHAnsi" w:cstheme="minorBidi"/>
          <w:noProof/>
          <w:sz w:val="22"/>
          <w:szCs w:val="22"/>
          <w:lang w:eastAsia="en-AU"/>
        </w:rPr>
      </w:pPr>
      <w:r>
        <w:rPr>
          <w:noProof/>
        </w:rPr>
        <w:t>3.4</w:t>
      </w:r>
      <w:r>
        <w:rPr>
          <w:rFonts w:asciiTheme="minorHAnsi" w:eastAsiaTheme="minorEastAsia" w:hAnsiTheme="minorHAnsi" w:cstheme="minorBidi"/>
          <w:noProof/>
          <w:sz w:val="22"/>
          <w:szCs w:val="22"/>
          <w:lang w:eastAsia="en-AU"/>
        </w:rPr>
        <w:tab/>
      </w:r>
      <w:r>
        <w:rPr>
          <w:noProof/>
        </w:rPr>
        <w:t>Are deadweight losses passé? New theories of why monopolies should be regulated</w:t>
      </w:r>
      <w:r>
        <w:rPr>
          <w:noProof/>
        </w:rPr>
        <w:tab/>
        <w:t>139</w:t>
      </w:r>
    </w:p>
    <w:p w:rsidR="009D6D9C" w:rsidRDefault="009D6D9C">
      <w:pPr>
        <w:pStyle w:val="TOC2"/>
        <w:tabs>
          <w:tab w:val="left" w:pos="1190"/>
        </w:tabs>
        <w:rPr>
          <w:rFonts w:asciiTheme="minorHAnsi" w:eastAsiaTheme="minorEastAsia" w:hAnsiTheme="minorHAnsi" w:cstheme="minorBidi"/>
          <w:noProof/>
          <w:sz w:val="22"/>
          <w:szCs w:val="22"/>
          <w:lang w:eastAsia="en-AU"/>
        </w:rPr>
      </w:pPr>
      <w:r>
        <w:rPr>
          <w:noProof/>
        </w:rPr>
        <w:t>3.5</w:t>
      </w:r>
      <w:r>
        <w:rPr>
          <w:rFonts w:asciiTheme="minorHAnsi" w:eastAsiaTheme="minorEastAsia" w:hAnsiTheme="minorHAnsi" w:cstheme="minorBidi"/>
          <w:noProof/>
          <w:sz w:val="22"/>
          <w:szCs w:val="22"/>
          <w:lang w:eastAsia="en-AU"/>
        </w:rPr>
        <w:tab/>
      </w:r>
      <w:r>
        <w:rPr>
          <w:noProof/>
        </w:rPr>
        <w:t>The alternative policy implications of different theories of monopoly regulation</w:t>
      </w:r>
      <w:r>
        <w:rPr>
          <w:noProof/>
        </w:rPr>
        <w:tab/>
        <w:t>144</w:t>
      </w:r>
    </w:p>
    <w:p w:rsidR="009D6D9C" w:rsidRDefault="009D6D9C">
      <w:pPr>
        <w:pStyle w:val="TOC2"/>
        <w:tabs>
          <w:tab w:val="left" w:pos="1190"/>
        </w:tabs>
        <w:rPr>
          <w:rFonts w:asciiTheme="minorHAnsi" w:eastAsiaTheme="minorEastAsia" w:hAnsiTheme="minorHAnsi" w:cstheme="minorBidi"/>
          <w:noProof/>
          <w:sz w:val="22"/>
          <w:szCs w:val="22"/>
          <w:lang w:eastAsia="en-AU"/>
        </w:rPr>
      </w:pPr>
      <w:r>
        <w:rPr>
          <w:noProof/>
        </w:rPr>
        <w:t>3.6</w:t>
      </w:r>
      <w:r>
        <w:rPr>
          <w:rFonts w:asciiTheme="minorHAnsi" w:eastAsiaTheme="minorEastAsia" w:hAnsiTheme="minorHAnsi" w:cstheme="minorBidi"/>
          <w:noProof/>
          <w:sz w:val="22"/>
          <w:szCs w:val="22"/>
          <w:lang w:eastAsia="en-AU"/>
        </w:rPr>
        <w:tab/>
      </w:r>
      <w:r>
        <w:rPr>
          <w:noProof/>
        </w:rPr>
        <w:t>In summary</w:t>
      </w:r>
      <w:r>
        <w:rPr>
          <w:noProof/>
        </w:rPr>
        <w:tab/>
        <w:t>145</w:t>
      </w:r>
    </w:p>
    <w:p w:rsidR="009D6D9C" w:rsidRDefault="009D6D9C">
      <w:pPr>
        <w:pStyle w:val="TOC1"/>
        <w:rPr>
          <w:rFonts w:asciiTheme="minorHAnsi" w:eastAsiaTheme="minorEastAsia" w:hAnsiTheme="minorHAnsi" w:cstheme="minorBidi"/>
          <w:b w:val="0"/>
          <w:noProof/>
          <w:sz w:val="22"/>
          <w:szCs w:val="22"/>
          <w:lang w:eastAsia="en-AU"/>
        </w:rPr>
      </w:pPr>
      <w:r>
        <w:rPr>
          <w:noProof/>
        </w:rPr>
        <w:t>4</w:t>
      </w:r>
      <w:r>
        <w:rPr>
          <w:rFonts w:asciiTheme="minorHAnsi" w:eastAsiaTheme="minorEastAsia" w:hAnsiTheme="minorHAnsi" w:cstheme="minorBidi"/>
          <w:b w:val="0"/>
          <w:noProof/>
          <w:sz w:val="22"/>
          <w:szCs w:val="22"/>
          <w:lang w:eastAsia="en-AU"/>
        </w:rPr>
        <w:tab/>
      </w:r>
      <w:r>
        <w:rPr>
          <w:noProof/>
        </w:rPr>
        <w:t>A framework for benchmarking</w:t>
      </w:r>
      <w:r>
        <w:rPr>
          <w:noProof/>
        </w:rPr>
        <w:tab/>
        <w:t>147</w:t>
      </w:r>
    </w:p>
    <w:p w:rsidR="009D6D9C" w:rsidRDefault="009D6D9C">
      <w:pPr>
        <w:pStyle w:val="TOC2"/>
        <w:tabs>
          <w:tab w:val="left" w:pos="1190"/>
        </w:tabs>
        <w:rPr>
          <w:rFonts w:asciiTheme="minorHAnsi" w:eastAsiaTheme="minorEastAsia" w:hAnsiTheme="minorHAnsi" w:cstheme="minorBidi"/>
          <w:noProof/>
          <w:sz w:val="22"/>
          <w:szCs w:val="22"/>
          <w:lang w:eastAsia="en-AU"/>
        </w:rPr>
      </w:pPr>
      <w:r>
        <w:rPr>
          <w:noProof/>
        </w:rPr>
        <w:t>4.1</w:t>
      </w:r>
      <w:r>
        <w:rPr>
          <w:rFonts w:asciiTheme="minorHAnsi" w:eastAsiaTheme="minorEastAsia" w:hAnsiTheme="minorHAnsi" w:cstheme="minorBidi"/>
          <w:noProof/>
          <w:sz w:val="22"/>
          <w:szCs w:val="22"/>
          <w:lang w:eastAsia="en-AU"/>
        </w:rPr>
        <w:tab/>
      </w:r>
      <w:r>
        <w:rPr>
          <w:noProof/>
        </w:rPr>
        <w:t>Benchmarking managerial efficiency and performance</w:t>
      </w:r>
      <w:r>
        <w:rPr>
          <w:noProof/>
        </w:rPr>
        <w:tab/>
        <w:t>148</w:t>
      </w:r>
    </w:p>
    <w:p w:rsidR="009D6D9C" w:rsidRDefault="009D6D9C">
      <w:pPr>
        <w:pStyle w:val="TOC2"/>
        <w:tabs>
          <w:tab w:val="left" w:pos="1190"/>
        </w:tabs>
        <w:rPr>
          <w:rFonts w:asciiTheme="minorHAnsi" w:eastAsiaTheme="minorEastAsia" w:hAnsiTheme="minorHAnsi" w:cstheme="minorBidi"/>
          <w:noProof/>
          <w:sz w:val="22"/>
          <w:szCs w:val="22"/>
          <w:lang w:eastAsia="en-AU"/>
        </w:rPr>
      </w:pPr>
      <w:r>
        <w:rPr>
          <w:noProof/>
        </w:rPr>
        <w:t>4.2</w:t>
      </w:r>
      <w:r>
        <w:rPr>
          <w:rFonts w:asciiTheme="minorHAnsi" w:eastAsiaTheme="minorEastAsia" w:hAnsiTheme="minorHAnsi" w:cstheme="minorBidi"/>
          <w:noProof/>
          <w:sz w:val="22"/>
          <w:szCs w:val="22"/>
          <w:lang w:eastAsia="en-AU"/>
        </w:rPr>
        <w:tab/>
      </w:r>
      <w:r>
        <w:rPr>
          <w:noProof/>
        </w:rPr>
        <w:t>Benchmarking techniques</w:t>
      </w:r>
      <w:r>
        <w:rPr>
          <w:noProof/>
        </w:rPr>
        <w:tab/>
        <w:t>156</w:t>
      </w:r>
    </w:p>
    <w:p w:rsidR="009D6D9C" w:rsidRDefault="009D6D9C">
      <w:pPr>
        <w:pStyle w:val="TOC2"/>
        <w:tabs>
          <w:tab w:val="left" w:pos="1190"/>
        </w:tabs>
        <w:rPr>
          <w:rFonts w:asciiTheme="minorHAnsi" w:eastAsiaTheme="minorEastAsia" w:hAnsiTheme="minorHAnsi" w:cstheme="minorBidi"/>
          <w:noProof/>
          <w:sz w:val="22"/>
          <w:szCs w:val="22"/>
          <w:lang w:eastAsia="en-AU"/>
        </w:rPr>
      </w:pPr>
      <w:r>
        <w:rPr>
          <w:noProof/>
        </w:rPr>
        <w:t>4.3</w:t>
      </w:r>
      <w:r>
        <w:rPr>
          <w:rFonts w:asciiTheme="minorHAnsi" w:eastAsiaTheme="minorEastAsia" w:hAnsiTheme="minorHAnsi" w:cstheme="minorBidi"/>
          <w:noProof/>
          <w:sz w:val="22"/>
          <w:szCs w:val="22"/>
          <w:lang w:eastAsia="en-AU"/>
        </w:rPr>
        <w:tab/>
      </w:r>
      <w:r>
        <w:rPr>
          <w:noProof/>
        </w:rPr>
        <w:t>What should be benchmarked?</w:t>
      </w:r>
      <w:r>
        <w:rPr>
          <w:noProof/>
        </w:rPr>
        <w:tab/>
        <w:t>160</w:t>
      </w:r>
    </w:p>
    <w:p w:rsidR="009D6D9C" w:rsidRDefault="009D6D9C">
      <w:pPr>
        <w:pStyle w:val="TOC2"/>
        <w:tabs>
          <w:tab w:val="left" w:pos="1190"/>
        </w:tabs>
        <w:rPr>
          <w:rFonts w:asciiTheme="minorHAnsi" w:eastAsiaTheme="minorEastAsia" w:hAnsiTheme="minorHAnsi" w:cstheme="minorBidi"/>
          <w:noProof/>
          <w:sz w:val="22"/>
          <w:szCs w:val="22"/>
          <w:lang w:eastAsia="en-AU"/>
        </w:rPr>
      </w:pPr>
      <w:r>
        <w:rPr>
          <w:noProof/>
        </w:rPr>
        <w:t>4.4</w:t>
      </w:r>
      <w:r>
        <w:rPr>
          <w:rFonts w:asciiTheme="minorHAnsi" w:eastAsiaTheme="minorEastAsia" w:hAnsiTheme="minorHAnsi" w:cstheme="minorBidi"/>
          <w:noProof/>
          <w:sz w:val="22"/>
          <w:szCs w:val="22"/>
          <w:lang w:eastAsia="en-AU"/>
        </w:rPr>
        <w:tab/>
      </w:r>
      <w:r>
        <w:rPr>
          <w:noProof/>
        </w:rPr>
        <w:t>The use of benchmarking for Australian electricity networks</w:t>
      </w:r>
      <w:r>
        <w:rPr>
          <w:noProof/>
        </w:rPr>
        <w:tab/>
        <w:t>162</w:t>
      </w:r>
    </w:p>
    <w:p w:rsidR="009D6D9C" w:rsidRDefault="009D6D9C">
      <w:pPr>
        <w:pStyle w:val="TOC2"/>
        <w:tabs>
          <w:tab w:val="left" w:pos="1190"/>
        </w:tabs>
        <w:rPr>
          <w:rFonts w:asciiTheme="minorHAnsi" w:eastAsiaTheme="minorEastAsia" w:hAnsiTheme="minorHAnsi" w:cstheme="minorBidi"/>
          <w:noProof/>
          <w:sz w:val="22"/>
          <w:szCs w:val="22"/>
          <w:lang w:eastAsia="en-AU"/>
        </w:rPr>
      </w:pPr>
      <w:r>
        <w:rPr>
          <w:noProof/>
        </w:rPr>
        <w:t>4.5</w:t>
      </w:r>
      <w:r>
        <w:rPr>
          <w:rFonts w:asciiTheme="minorHAnsi" w:eastAsiaTheme="minorEastAsia" w:hAnsiTheme="minorHAnsi" w:cstheme="minorBidi"/>
          <w:noProof/>
          <w:sz w:val="22"/>
          <w:szCs w:val="22"/>
          <w:lang w:eastAsia="en-AU"/>
        </w:rPr>
        <w:tab/>
      </w:r>
      <w:r>
        <w:rPr>
          <w:noProof/>
        </w:rPr>
        <w:t>Criteria for judging benchmarking</w:t>
      </w:r>
      <w:r>
        <w:rPr>
          <w:noProof/>
        </w:rPr>
        <w:tab/>
        <w:t>163</w:t>
      </w:r>
    </w:p>
    <w:p w:rsidR="009D6D9C" w:rsidRDefault="009D6D9C">
      <w:pPr>
        <w:pStyle w:val="TOC2"/>
        <w:tabs>
          <w:tab w:val="left" w:pos="1190"/>
        </w:tabs>
        <w:rPr>
          <w:rFonts w:asciiTheme="minorHAnsi" w:eastAsiaTheme="minorEastAsia" w:hAnsiTheme="minorHAnsi" w:cstheme="minorBidi"/>
          <w:noProof/>
          <w:sz w:val="22"/>
          <w:szCs w:val="22"/>
          <w:lang w:eastAsia="en-AU"/>
        </w:rPr>
      </w:pPr>
      <w:r>
        <w:rPr>
          <w:noProof/>
        </w:rPr>
        <w:t>4.6</w:t>
      </w:r>
      <w:r>
        <w:rPr>
          <w:rFonts w:asciiTheme="minorHAnsi" w:eastAsiaTheme="minorEastAsia" w:hAnsiTheme="minorHAnsi" w:cstheme="minorBidi"/>
          <w:noProof/>
          <w:sz w:val="22"/>
          <w:szCs w:val="22"/>
          <w:lang w:eastAsia="en-AU"/>
        </w:rPr>
        <w:tab/>
      </w:r>
      <w:r>
        <w:rPr>
          <w:noProof/>
        </w:rPr>
        <w:t>Validity — does the measure test what it claims to?</w:t>
      </w:r>
      <w:r>
        <w:rPr>
          <w:noProof/>
        </w:rPr>
        <w:tab/>
        <w:t>168</w:t>
      </w:r>
    </w:p>
    <w:p w:rsidR="009D6D9C" w:rsidRDefault="009D6D9C">
      <w:pPr>
        <w:pStyle w:val="TOC2"/>
        <w:tabs>
          <w:tab w:val="left" w:pos="1190"/>
        </w:tabs>
        <w:rPr>
          <w:rFonts w:asciiTheme="minorHAnsi" w:eastAsiaTheme="minorEastAsia" w:hAnsiTheme="minorHAnsi" w:cstheme="minorBidi"/>
          <w:noProof/>
          <w:sz w:val="22"/>
          <w:szCs w:val="22"/>
          <w:lang w:eastAsia="en-AU"/>
        </w:rPr>
      </w:pPr>
      <w:r>
        <w:rPr>
          <w:noProof/>
        </w:rPr>
        <w:t>4.7</w:t>
      </w:r>
      <w:r>
        <w:rPr>
          <w:rFonts w:asciiTheme="minorHAnsi" w:eastAsiaTheme="minorEastAsia" w:hAnsiTheme="minorHAnsi" w:cstheme="minorBidi"/>
          <w:noProof/>
          <w:sz w:val="22"/>
          <w:szCs w:val="22"/>
          <w:lang w:eastAsia="en-AU"/>
        </w:rPr>
        <w:tab/>
      </w:r>
      <w:r>
        <w:rPr>
          <w:noProof/>
        </w:rPr>
        <w:t>Other scientific criteria for judging benchmarking</w:t>
      </w:r>
      <w:r>
        <w:rPr>
          <w:noProof/>
        </w:rPr>
        <w:tab/>
        <w:t>178</w:t>
      </w:r>
    </w:p>
    <w:p w:rsidR="009D6D9C" w:rsidRDefault="009D6D9C">
      <w:pPr>
        <w:pStyle w:val="TOC2"/>
        <w:tabs>
          <w:tab w:val="left" w:pos="1190"/>
        </w:tabs>
        <w:rPr>
          <w:rFonts w:asciiTheme="minorHAnsi" w:eastAsiaTheme="minorEastAsia" w:hAnsiTheme="minorHAnsi" w:cstheme="minorBidi"/>
          <w:noProof/>
          <w:sz w:val="22"/>
          <w:szCs w:val="22"/>
          <w:lang w:eastAsia="en-AU"/>
        </w:rPr>
      </w:pPr>
      <w:r>
        <w:rPr>
          <w:noProof/>
        </w:rPr>
        <w:t>4.8</w:t>
      </w:r>
      <w:r>
        <w:rPr>
          <w:rFonts w:asciiTheme="minorHAnsi" w:eastAsiaTheme="minorEastAsia" w:hAnsiTheme="minorHAnsi" w:cstheme="minorBidi"/>
          <w:noProof/>
          <w:sz w:val="22"/>
          <w:szCs w:val="22"/>
          <w:lang w:eastAsia="en-AU"/>
        </w:rPr>
        <w:tab/>
      </w:r>
      <w:r>
        <w:rPr>
          <w:noProof/>
        </w:rPr>
        <w:t>Testing the credibility of results</w:t>
      </w:r>
      <w:r>
        <w:rPr>
          <w:noProof/>
        </w:rPr>
        <w:tab/>
        <w:t>182</w:t>
      </w:r>
    </w:p>
    <w:p w:rsidR="009D6D9C" w:rsidRDefault="009D6D9C">
      <w:pPr>
        <w:pStyle w:val="TOC2"/>
        <w:tabs>
          <w:tab w:val="left" w:pos="1190"/>
        </w:tabs>
        <w:rPr>
          <w:rFonts w:asciiTheme="minorHAnsi" w:eastAsiaTheme="minorEastAsia" w:hAnsiTheme="minorHAnsi" w:cstheme="minorBidi"/>
          <w:noProof/>
          <w:sz w:val="22"/>
          <w:szCs w:val="22"/>
          <w:lang w:eastAsia="en-AU"/>
        </w:rPr>
      </w:pPr>
      <w:r>
        <w:rPr>
          <w:noProof/>
        </w:rPr>
        <w:t>4.9</w:t>
      </w:r>
      <w:r>
        <w:rPr>
          <w:rFonts w:asciiTheme="minorHAnsi" w:eastAsiaTheme="minorEastAsia" w:hAnsiTheme="minorHAnsi" w:cstheme="minorBidi"/>
          <w:noProof/>
          <w:sz w:val="22"/>
          <w:szCs w:val="22"/>
          <w:lang w:eastAsia="en-AU"/>
        </w:rPr>
        <w:tab/>
      </w:r>
      <w:r>
        <w:rPr>
          <w:noProof/>
        </w:rPr>
        <w:t>No perfect measure is possible</w:t>
      </w:r>
      <w:r>
        <w:rPr>
          <w:noProof/>
        </w:rPr>
        <w:tab/>
        <w:t>185</w:t>
      </w:r>
    </w:p>
    <w:p w:rsidR="009D6D9C" w:rsidRDefault="009D6D9C">
      <w:pPr>
        <w:pStyle w:val="TOC1"/>
        <w:rPr>
          <w:rFonts w:asciiTheme="minorHAnsi" w:eastAsiaTheme="minorEastAsia" w:hAnsiTheme="minorHAnsi" w:cstheme="minorBidi"/>
          <w:b w:val="0"/>
          <w:noProof/>
          <w:sz w:val="22"/>
          <w:szCs w:val="22"/>
          <w:lang w:eastAsia="en-AU"/>
        </w:rPr>
      </w:pPr>
      <w:r>
        <w:rPr>
          <w:noProof/>
        </w:rPr>
        <w:t>5</w:t>
      </w:r>
      <w:r>
        <w:rPr>
          <w:rFonts w:asciiTheme="minorHAnsi" w:eastAsiaTheme="minorEastAsia" w:hAnsiTheme="minorHAnsi" w:cstheme="minorBidi"/>
          <w:b w:val="0"/>
          <w:noProof/>
          <w:sz w:val="22"/>
          <w:szCs w:val="22"/>
          <w:lang w:eastAsia="en-AU"/>
        </w:rPr>
        <w:tab/>
      </w:r>
      <w:r>
        <w:rPr>
          <w:noProof/>
        </w:rPr>
        <w:t>Incentive regulation and benchmarking</w:t>
      </w:r>
      <w:r>
        <w:rPr>
          <w:noProof/>
        </w:rPr>
        <w:tab/>
        <w:t>187</w:t>
      </w:r>
    </w:p>
    <w:p w:rsidR="009D6D9C" w:rsidRDefault="009D6D9C">
      <w:pPr>
        <w:pStyle w:val="TOC2"/>
        <w:tabs>
          <w:tab w:val="left" w:pos="1190"/>
        </w:tabs>
        <w:rPr>
          <w:rFonts w:asciiTheme="minorHAnsi" w:eastAsiaTheme="minorEastAsia" w:hAnsiTheme="minorHAnsi" w:cstheme="minorBidi"/>
          <w:noProof/>
          <w:sz w:val="22"/>
          <w:szCs w:val="22"/>
          <w:lang w:eastAsia="en-AU"/>
        </w:rPr>
      </w:pPr>
      <w:r>
        <w:rPr>
          <w:noProof/>
        </w:rPr>
        <w:t>5.1</w:t>
      </w:r>
      <w:r>
        <w:rPr>
          <w:rFonts w:asciiTheme="minorHAnsi" w:eastAsiaTheme="minorEastAsia" w:hAnsiTheme="minorHAnsi" w:cstheme="minorBidi"/>
          <w:noProof/>
          <w:sz w:val="22"/>
          <w:szCs w:val="22"/>
          <w:lang w:eastAsia="en-AU"/>
        </w:rPr>
        <w:tab/>
      </w:r>
      <w:r>
        <w:rPr>
          <w:noProof/>
        </w:rPr>
        <w:t>Incentive regulation</w:t>
      </w:r>
      <w:r>
        <w:rPr>
          <w:noProof/>
        </w:rPr>
        <w:tab/>
        <w:t>188</w:t>
      </w:r>
    </w:p>
    <w:p w:rsidR="009D6D9C" w:rsidRDefault="009D6D9C">
      <w:pPr>
        <w:pStyle w:val="TOC2"/>
        <w:tabs>
          <w:tab w:val="left" w:pos="1190"/>
        </w:tabs>
        <w:rPr>
          <w:rFonts w:asciiTheme="minorHAnsi" w:eastAsiaTheme="minorEastAsia" w:hAnsiTheme="minorHAnsi" w:cstheme="minorBidi"/>
          <w:noProof/>
          <w:sz w:val="22"/>
          <w:szCs w:val="22"/>
          <w:lang w:eastAsia="en-AU"/>
        </w:rPr>
      </w:pPr>
      <w:r>
        <w:rPr>
          <w:noProof/>
        </w:rPr>
        <w:t>5.2</w:t>
      </w:r>
      <w:r>
        <w:rPr>
          <w:rFonts w:asciiTheme="minorHAnsi" w:eastAsiaTheme="minorEastAsia" w:hAnsiTheme="minorHAnsi" w:cstheme="minorBidi"/>
          <w:noProof/>
          <w:sz w:val="22"/>
          <w:szCs w:val="22"/>
          <w:lang w:eastAsia="en-AU"/>
        </w:rPr>
        <w:tab/>
      </w:r>
      <w:r>
        <w:rPr>
          <w:noProof/>
        </w:rPr>
        <w:t>Incentive regulation and the electricity sector</w:t>
      </w:r>
      <w:r>
        <w:rPr>
          <w:noProof/>
        </w:rPr>
        <w:tab/>
        <w:t>192</w:t>
      </w:r>
    </w:p>
    <w:p w:rsidR="009D6D9C" w:rsidRDefault="009D6D9C">
      <w:pPr>
        <w:pStyle w:val="TOC2"/>
        <w:tabs>
          <w:tab w:val="left" w:pos="1190"/>
        </w:tabs>
        <w:rPr>
          <w:rFonts w:asciiTheme="minorHAnsi" w:eastAsiaTheme="minorEastAsia" w:hAnsiTheme="minorHAnsi" w:cstheme="minorBidi"/>
          <w:noProof/>
          <w:sz w:val="22"/>
          <w:szCs w:val="22"/>
          <w:lang w:eastAsia="en-AU"/>
        </w:rPr>
      </w:pPr>
      <w:r>
        <w:rPr>
          <w:noProof/>
        </w:rPr>
        <w:t>5.3</w:t>
      </w:r>
      <w:r>
        <w:rPr>
          <w:rFonts w:asciiTheme="minorHAnsi" w:eastAsiaTheme="minorEastAsia" w:hAnsiTheme="minorHAnsi" w:cstheme="minorBidi"/>
          <w:noProof/>
          <w:sz w:val="22"/>
          <w:szCs w:val="22"/>
          <w:lang w:eastAsia="en-AU"/>
        </w:rPr>
        <w:tab/>
      </w:r>
      <w:r>
        <w:rPr>
          <w:noProof/>
        </w:rPr>
        <w:t>Ensuring effective incentives</w:t>
      </w:r>
      <w:r>
        <w:rPr>
          <w:noProof/>
        </w:rPr>
        <w:tab/>
        <w:t>201</w:t>
      </w:r>
    </w:p>
    <w:p w:rsidR="009D6D9C" w:rsidRDefault="009D6D9C">
      <w:pPr>
        <w:pStyle w:val="TOC2"/>
        <w:tabs>
          <w:tab w:val="left" w:pos="1190"/>
        </w:tabs>
        <w:rPr>
          <w:rFonts w:asciiTheme="minorHAnsi" w:eastAsiaTheme="minorEastAsia" w:hAnsiTheme="minorHAnsi" w:cstheme="minorBidi"/>
          <w:noProof/>
          <w:sz w:val="22"/>
          <w:szCs w:val="22"/>
          <w:lang w:eastAsia="en-AU"/>
        </w:rPr>
      </w:pPr>
      <w:r>
        <w:rPr>
          <w:noProof/>
        </w:rPr>
        <w:t>5.4</w:t>
      </w:r>
      <w:r>
        <w:rPr>
          <w:rFonts w:asciiTheme="minorHAnsi" w:eastAsiaTheme="minorEastAsia" w:hAnsiTheme="minorHAnsi" w:cstheme="minorBidi"/>
          <w:noProof/>
          <w:sz w:val="22"/>
          <w:szCs w:val="22"/>
          <w:lang w:eastAsia="en-AU"/>
        </w:rPr>
        <w:tab/>
      </w:r>
      <w:r>
        <w:rPr>
          <w:noProof/>
        </w:rPr>
        <w:t>The AER’s ability to determine expenditure forecasts</w:t>
      </w:r>
      <w:r>
        <w:rPr>
          <w:noProof/>
        </w:rPr>
        <w:tab/>
        <w:t>221</w:t>
      </w:r>
    </w:p>
    <w:p w:rsidR="009D6D9C" w:rsidRDefault="009D6D9C">
      <w:pPr>
        <w:pStyle w:val="TOC1"/>
        <w:rPr>
          <w:rFonts w:asciiTheme="minorHAnsi" w:eastAsiaTheme="minorEastAsia" w:hAnsiTheme="minorHAnsi" w:cstheme="minorBidi"/>
          <w:b w:val="0"/>
          <w:noProof/>
          <w:sz w:val="22"/>
          <w:szCs w:val="22"/>
          <w:lang w:eastAsia="en-AU"/>
        </w:rPr>
      </w:pPr>
      <w:r>
        <w:rPr>
          <w:noProof/>
        </w:rPr>
        <w:t>6</w:t>
      </w:r>
      <w:r>
        <w:rPr>
          <w:rFonts w:asciiTheme="minorHAnsi" w:eastAsiaTheme="minorEastAsia" w:hAnsiTheme="minorHAnsi" w:cstheme="minorBidi"/>
          <w:b w:val="0"/>
          <w:noProof/>
          <w:sz w:val="22"/>
          <w:szCs w:val="22"/>
          <w:lang w:eastAsia="en-AU"/>
        </w:rPr>
        <w:tab/>
      </w:r>
      <w:r>
        <w:rPr>
          <w:noProof/>
        </w:rPr>
        <w:t>Empirical evidence of network efficiency</w:t>
      </w:r>
      <w:r>
        <w:rPr>
          <w:noProof/>
        </w:rPr>
        <w:tab/>
        <w:t>227</w:t>
      </w:r>
    </w:p>
    <w:p w:rsidR="009D6D9C" w:rsidRDefault="009D6D9C">
      <w:pPr>
        <w:pStyle w:val="TOC2"/>
        <w:tabs>
          <w:tab w:val="left" w:pos="1190"/>
        </w:tabs>
        <w:rPr>
          <w:rFonts w:asciiTheme="minorHAnsi" w:eastAsiaTheme="minorEastAsia" w:hAnsiTheme="minorHAnsi" w:cstheme="minorBidi"/>
          <w:noProof/>
          <w:sz w:val="22"/>
          <w:szCs w:val="22"/>
          <w:lang w:eastAsia="en-AU"/>
        </w:rPr>
      </w:pPr>
      <w:r>
        <w:rPr>
          <w:noProof/>
        </w:rPr>
        <w:t>6.1</w:t>
      </w:r>
      <w:r>
        <w:rPr>
          <w:rFonts w:asciiTheme="minorHAnsi" w:eastAsiaTheme="minorEastAsia" w:hAnsiTheme="minorHAnsi" w:cstheme="minorBidi"/>
          <w:noProof/>
          <w:sz w:val="22"/>
          <w:szCs w:val="22"/>
          <w:lang w:eastAsia="en-AU"/>
        </w:rPr>
        <w:tab/>
      </w:r>
      <w:r>
        <w:rPr>
          <w:noProof/>
        </w:rPr>
        <w:t>Existing evidence and arguments</w:t>
      </w:r>
      <w:r>
        <w:rPr>
          <w:noProof/>
        </w:rPr>
        <w:tab/>
        <w:t>228</w:t>
      </w:r>
    </w:p>
    <w:p w:rsidR="009D6D9C" w:rsidRDefault="009D6D9C">
      <w:pPr>
        <w:pStyle w:val="TOC2"/>
        <w:tabs>
          <w:tab w:val="left" w:pos="1190"/>
        </w:tabs>
        <w:rPr>
          <w:rFonts w:asciiTheme="minorHAnsi" w:eastAsiaTheme="minorEastAsia" w:hAnsiTheme="minorHAnsi" w:cstheme="minorBidi"/>
          <w:noProof/>
          <w:sz w:val="22"/>
          <w:szCs w:val="22"/>
          <w:lang w:eastAsia="en-AU"/>
        </w:rPr>
      </w:pPr>
      <w:r>
        <w:rPr>
          <w:noProof/>
        </w:rPr>
        <w:t>6.2</w:t>
      </w:r>
      <w:r>
        <w:rPr>
          <w:rFonts w:asciiTheme="minorHAnsi" w:eastAsiaTheme="minorEastAsia" w:hAnsiTheme="minorHAnsi" w:cstheme="minorBidi"/>
          <w:noProof/>
          <w:sz w:val="22"/>
          <w:szCs w:val="22"/>
          <w:lang w:eastAsia="en-AU"/>
        </w:rPr>
        <w:tab/>
      </w:r>
      <w:r>
        <w:rPr>
          <w:noProof/>
        </w:rPr>
        <w:t>The relative impacts of the WACC, capex and opex</w:t>
      </w:r>
      <w:r>
        <w:rPr>
          <w:noProof/>
        </w:rPr>
        <w:tab/>
        <w:t>238</w:t>
      </w:r>
    </w:p>
    <w:p w:rsidR="009D6D9C" w:rsidRDefault="009D6D9C">
      <w:pPr>
        <w:pStyle w:val="TOC2"/>
        <w:tabs>
          <w:tab w:val="left" w:pos="1190"/>
        </w:tabs>
        <w:rPr>
          <w:rFonts w:asciiTheme="minorHAnsi" w:eastAsiaTheme="minorEastAsia" w:hAnsiTheme="minorHAnsi" w:cstheme="minorBidi"/>
          <w:noProof/>
          <w:sz w:val="22"/>
          <w:szCs w:val="22"/>
          <w:lang w:eastAsia="en-AU"/>
        </w:rPr>
      </w:pPr>
      <w:r>
        <w:rPr>
          <w:noProof/>
        </w:rPr>
        <w:t>6.3</w:t>
      </w:r>
      <w:r>
        <w:rPr>
          <w:rFonts w:asciiTheme="minorHAnsi" w:eastAsiaTheme="minorEastAsia" w:hAnsiTheme="minorHAnsi" w:cstheme="minorBidi"/>
          <w:noProof/>
          <w:sz w:val="22"/>
          <w:szCs w:val="22"/>
          <w:lang w:eastAsia="en-AU"/>
        </w:rPr>
        <w:tab/>
      </w:r>
      <w:r>
        <w:rPr>
          <w:noProof/>
        </w:rPr>
        <w:t>Demand driven augmentation</w:t>
      </w:r>
      <w:r>
        <w:rPr>
          <w:noProof/>
        </w:rPr>
        <w:tab/>
        <w:t>242</w:t>
      </w:r>
    </w:p>
    <w:p w:rsidR="009D6D9C" w:rsidRDefault="009D6D9C">
      <w:pPr>
        <w:pStyle w:val="TOC2"/>
        <w:tabs>
          <w:tab w:val="left" w:pos="1190"/>
        </w:tabs>
        <w:rPr>
          <w:rFonts w:asciiTheme="minorHAnsi" w:eastAsiaTheme="minorEastAsia" w:hAnsiTheme="minorHAnsi" w:cstheme="minorBidi"/>
          <w:noProof/>
          <w:sz w:val="22"/>
          <w:szCs w:val="22"/>
          <w:lang w:eastAsia="en-AU"/>
        </w:rPr>
      </w:pPr>
      <w:r>
        <w:rPr>
          <w:noProof/>
        </w:rPr>
        <w:t>6.4</w:t>
      </w:r>
      <w:r>
        <w:rPr>
          <w:rFonts w:asciiTheme="minorHAnsi" w:eastAsiaTheme="minorEastAsia" w:hAnsiTheme="minorHAnsi" w:cstheme="minorBidi"/>
          <w:noProof/>
          <w:sz w:val="22"/>
          <w:szCs w:val="22"/>
          <w:lang w:eastAsia="en-AU"/>
        </w:rPr>
        <w:tab/>
      </w:r>
      <w:r>
        <w:rPr>
          <w:noProof/>
        </w:rPr>
        <w:t>What does the RAB tell us?</w:t>
      </w:r>
      <w:r>
        <w:rPr>
          <w:noProof/>
        </w:rPr>
        <w:tab/>
        <w:t>248</w:t>
      </w:r>
    </w:p>
    <w:p w:rsidR="009D6D9C" w:rsidRDefault="009D6D9C">
      <w:pPr>
        <w:pStyle w:val="TOC2"/>
        <w:tabs>
          <w:tab w:val="left" w:pos="1190"/>
        </w:tabs>
        <w:rPr>
          <w:rFonts w:asciiTheme="minorHAnsi" w:eastAsiaTheme="minorEastAsia" w:hAnsiTheme="minorHAnsi" w:cstheme="minorBidi"/>
          <w:noProof/>
          <w:sz w:val="22"/>
          <w:szCs w:val="22"/>
          <w:lang w:eastAsia="en-AU"/>
        </w:rPr>
      </w:pPr>
      <w:r>
        <w:rPr>
          <w:noProof/>
        </w:rPr>
        <w:t>6.5</w:t>
      </w:r>
      <w:r>
        <w:rPr>
          <w:rFonts w:asciiTheme="minorHAnsi" w:eastAsiaTheme="minorEastAsia" w:hAnsiTheme="minorHAnsi" w:cstheme="minorBidi"/>
          <w:noProof/>
          <w:sz w:val="22"/>
          <w:szCs w:val="22"/>
          <w:lang w:eastAsia="en-AU"/>
        </w:rPr>
        <w:tab/>
      </w:r>
      <w:r>
        <w:rPr>
          <w:noProof/>
        </w:rPr>
        <w:t>Expenditure, allowances and timing</w:t>
      </w:r>
      <w:r>
        <w:rPr>
          <w:noProof/>
        </w:rPr>
        <w:tab/>
        <w:t>254</w:t>
      </w:r>
    </w:p>
    <w:p w:rsidR="009D6D9C" w:rsidRDefault="009D6D9C">
      <w:pPr>
        <w:pStyle w:val="TOC2"/>
        <w:tabs>
          <w:tab w:val="left" w:pos="1190"/>
        </w:tabs>
        <w:rPr>
          <w:rFonts w:asciiTheme="minorHAnsi" w:eastAsiaTheme="minorEastAsia" w:hAnsiTheme="minorHAnsi" w:cstheme="minorBidi"/>
          <w:noProof/>
          <w:sz w:val="22"/>
          <w:szCs w:val="22"/>
          <w:lang w:eastAsia="en-AU"/>
        </w:rPr>
      </w:pPr>
      <w:r>
        <w:rPr>
          <w:noProof/>
        </w:rPr>
        <w:t>6.6</w:t>
      </w:r>
      <w:r>
        <w:rPr>
          <w:rFonts w:asciiTheme="minorHAnsi" w:eastAsiaTheme="minorEastAsia" w:hAnsiTheme="minorHAnsi" w:cstheme="minorBidi"/>
          <w:noProof/>
          <w:sz w:val="22"/>
          <w:szCs w:val="22"/>
          <w:lang w:eastAsia="en-AU"/>
        </w:rPr>
        <w:tab/>
      </w:r>
      <w:r>
        <w:rPr>
          <w:noProof/>
        </w:rPr>
        <w:t>Public and private ownership</w:t>
      </w:r>
      <w:r>
        <w:rPr>
          <w:noProof/>
        </w:rPr>
        <w:tab/>
        <w:t>257</w:t>
      </w:r>
    </w:p>
    <w:p w:rsidR="009D6D9C" w:rsidRDefault="009D6D9C">
      <w:pPr>
        <w:pStyle w:val="TOC2"/>
        <w:tabs>
          <w:tab w:val="left" w:pos="1190"/>
        </w:tabs>
        <w:rPr>
          <w:rFonts w:asciiTheme="minorHAnsi" w:eastAsiaTheme="minorEastAsia" w:hAnsiTheme="minorHAnsi" w:cstheme="minorBidi"/>
          <w:noProof/>
          <w:sz w:val="22"/>
          <w:szCs w:val="22"/>
          <w:lang w:eastAsia="en-AU"/>
        </w:rPr>
      </w:pPr>
      <w:r>
        <w:rPr>
          <w:noProof/>
        </w:rPr>
        <w:t>6.7</w:t>
      </w:r>
      <w:r>
        <w:rPr>
          <w:rFonts w:asciiTheme="minorHAnsi" w:eastAsiaTheme="minorEastAsia" w:hAnsiTheme="minorHAnsi" w:cstheme="minorBidi"/>
          <w:noProof/>
          <w:sz w:val="22"/>
          <w:szCs w:val="22"/>
          <w:lang w:eastAsia="en-AU"/>
        </w:rPr>
        <w:tab/>
      </w:r>
      <w:r>
        <w:rPr>
          <w:noProof/>
        </w:rPr>
        <w:t>Conclusions</w:t>
      </w:r>
      <w:r>
        <w:rPr>
          <w:noProof/>
        </w:rPr>
        <w:tab/>
        <w:t>260</w:t>
      </w:r>
    </w:p>
    <w:p w:rsidR="009D6D9C" w:rsidRDefault="009D6D9C">
      <w:pPr>
        <w:pStyle w:val="TOC1"/>
        <w:rPr>
          <w:rFonts w:asciiTheme="minorHAnsi" w:eastAsiaTheme="minorEastAsia" w:hAnsiTheme="minorHAnsi" w:cstheme="minorBidi"/>
          <w:b w:val="0"/>
          <w:noProof/>
          <w:sz w:val="22"/>
          <w:szCs w:val="22"/>
          <w:lang w:eastAsia="en-AU"/>
        </w:rPr>
      </w:pPr>
      <w:r>
        <w:rPr>
          <w:noProof/>
        </w:rPr>
        <w:lastRenderedPageBreak/>
        <w:t>7</w:t>
      </w:r>
      <w:r>
        <w:rPr>
          <w:rFonts w:asciiTheme="minorHAnsi" w:eastAsiaTheme="minorEastAsia" w:hAnsiTheme="minorHAnsi" w:cstheme="minorBidi"/>
          <w:b w:val="0"/>
          <w:noProof/>
          <w:sz w:val="22"/>
          <w:szCs w:val="22"/>
          <w:lang w:eastAsia="en-AU"/>
        </w:rPr>
        <w:tab/>
      </w:r>
      <w:r>
        <w:rPr>
          <w:noProof/>
        </w:rPr>
        <w:t>Ownership</w:t>
      </w:r>
      <w:r>
        <w:rPr>
          <w:noProof/>
        </w:rPr>
        <w:tab/>
        <w:t>263</w:t>
      </w:r>
    </w:p>
    <w:p w:rsidR="009D6D9C" w:rsidRDefault="009D6D9C">
      <w:pPr>
        <w:pStyle w:val="TOC2"/>
        <w:tabs>
          <w:tab w:val="left" w:pos="1190"/>
        </w:tabs>
        <w:rPr>
          <w:rFonts w:asciiTheme="minorHAnsi" w:eastAsiaTheme="minorEastAsia" w:hAnsiTheme="minorHAnsi" w:cstheme="minorBidi"/>
          <w:noProof/>
          <w:sz w:val="22"/>
          <w:szCs w:val="22"/>
          <w:lang w:eastAsia="en-AU"/>
        </w:rPr>
      </w:pPr>
      <w:r>
        <w:rPr>
          <w:noProof/>
        </w:rPr>
        <w:t>7.1</w:t>
      </w:r>
      <w:r>
        <w:rPr>
          <w:rFonts w:asciiTheme="minorHAnsi" w:eastAsiaTheme="minorEastAsia" w:hAnsiTheme="minorHAnsi" w:cstheme="minorBidi"/>
          <w:noProof/>
          <w:sz w:val="22"/>
          <w:szCs w:val="22"/>
          <w:lang w:eastAsia="en-AU"/>
        </w:rPr>
        <w:tab/>
      </w:r>
      <w:r>
        <w:rPr>
          <w:noProof/>
        </w:rPr>
        <w:t>A framework for considering ownership</w:t>
      </w:r>
      <w:r>
        <w:rPr>
          <w:noProof/>
        </w:rPr>
        <w:tab/>
        <w:t>264</w:t>
      </w:r>
    </w:p>
    <w:p w:rsidR="009D6D9C" w:rsidRDefault="009D6D9C">
      <w:pPr>
        <w:pStyle w:val="TOC2"/>
        <w:tabs>
          <w:tab w:val="left" w:pos="1190"/>
        </w:tabs>
        <w:rPr>
          <w:rFonts w:asciiTheme="minorHAnsi" w:eastAsiaTheme="minorEastAsia" w:hAnsiTheme="minorHAnsi" w:cstheme="minorBidi"/>
          <w:noProof/>
          <w:sz w:val="22"/>
          <w:szCs w:val="22"/>
          <w:lang w:eastAsia="en-AU"/>
        </w:rPr>
      </w:pPr>
      <w:r>
        <w:rPr>
          <w:noProof/>
        </w:rPr>
        <w:t>7.2</w:t>
      </w:r>
      <w:r>
        <w:rPr>
          <w:rFonts w:asciiTheme="minorHAnsi" w:eastAsiaTheme="minorEastAsia" w:hAnsiTheme="minorHAnsi" w:cstheme="minorBidi"/>
          <w:noProof/>
          <w:sz w:val="22"/>
          <w:szCs w:val="22"/>
          <w:lang w:eastAsia="en-AU"/>
        </w:rPr>
        <w:tab/>
      </w:r>
      <w:r>
        <w:rPr>
          <w:noProof/>
        </w:rPr>
        <w:t>Incentive regulation and state-owned corporations</w:t>
      </w:r>
      <w:r>
        <w:rPr>
          <w:noProof/>
        </w:rPr>
        <w:tab/>
        <w:t>267</w:t>
      </w:r>
    </w:p>
    <w:p w:rsidR="009D6D9C" w:rsidRDefault="009D6D9C">
      <w:pPr>
        <w:pStyle w:val="TOC2"/>
        <w:tabs>
          <w:tab w:val="left" w:pos="1190"/>
        </w:tabs>
        <w:rPr>
          <w:rFonts w:asciiTheme="minorHAnsi" w:eastAsiaTheme="minorEastAsia" w:hAnsiTheme="minorHAnsi" w:cstheme="minorBidi"/>
          <w:noProof/>
          <w:sz w:val="22"/>
          <w:szCs w:val="22"/>
          <w:lang w:eastAsia="en-AU"/>
        </w:rPr>
      </w:pPr>
      <w:r>
        <w:rPr>
          <w:noProof/>
        </w:rPr>
        <w:t>7.3</w:t>
      </w:r>
      <w:r>
        <w:rPr>
          <w:rFonts w:asciiTheme="minorHAnsi" w:eastAsiaTheme="minorEastAsia" w:hAnsiTheme="minorHAnsi" w:cstheme="minorBidi"/>
          <w:noProof/>
          <w:sz w:val="22"/>
          <w:szCs w:val="22"/>
          <w:lang w:eastAsia="en-AU"/>
        </w:rPr>
        <w:tab/>
      </w:r>
      <w:r>
        <w:rPr>
          <w:noProof/>
        </w:rPr>
        <w:t>Non-commercial imperatives and interference</w:t>
      </w:r>
      <w:r>
        <w:rPr>
          <w:noProof/>
        </w:rPr>
        <w:tab/>
        <w:t>270</w:t>
      </w:r>
    </w:p>
    <w:p w:rsidR="009D6D9C" w:rsidRDefault="009D6D9C">
      <w:pPr>
        <w:pStyle w:val="TOC2"/>
        <w:tabs>
          <w:tab w:val="left" w:pos="1190"/>
        </w:tabs>
        <w:rPr>
          <w:rFonts w:asciiTheme="minorHAnsi" w:eastAsiaTheme="minorEastAsia" w:hAnsiTheme="minorHAnsi" w:cstheme="minorBidi"/>
          <w:noProof/>
          <w:sz w:val="22"/>
          <w:szCs w:val="22"/>
          <w:lang w:eastAsia="en-AU"/>
        </w:rPr>
      </w:pPr>
      <w:r>
        <w:rPr>
          <w:noProof/>
        </w:rPr>
        <w:t>7.4</w:t>
      </w:r>
      <w:r>
        <w:rPr>
          <w:rFonts w:asciiTheme="minorHAnsi" w:eastAsiaTheme="minorEastAsia" w:hAnsiTheme="minorHAnsi" w:cstheme="minorBidi"/>
          <w:noProof/>
          <w:sz w:val="22"/>
          <w:szCs w:val="22"/>
          <w:lang w:eastAsia="en-AU"/>
        </w:rPr>
        <w:tab/>
      </w:r>
      <w:r>
        <w:rPr>
          <w:noProof/>
        </w:rPr>
        <w:t>The productivity and performance of state-owned network businesses</w:t>
      </w:r>
      <w:r>
        <w:rPr>
          <w:noProof/>
        </w:rPr>
        <w:tab/>
        <w:t>279</w:t>
      </w:r>
    </w:p>
    <w:p w:rsidR="009D6D9C" w:rsidRDefault="009D6D9C">
      <w:pPr>
        <w:pStyle w:val="TOC2"/>
        <w:tabs>
          <w:tab w:val="left" w:pos="1190"/>
        </w:tabs>
        <w:rPr>
          <w:rFonts w:asciiTheme="minorHAnsi" w:eastAsiaTheme="minorEastAsia" w:hAnsiTheme="minorHAnsi" w:cstheme="minorBidi"/>
          <w:noProof/>
          <w:sz w:val="22"/>
          <w:szCs w:val="22"/>
          <w:lang w:eastAsia="en-AU"/>
        </w:rPr>
      </w:pPr>
      <w:r>
        <w:rPr>
          <w:noProof/>
        </w:rPr>
        <w:t>7.5</w:t>
      </w:r>
      <w:r>
        <w:rPr>
          <w:rFonts w:asciiTheme="minorHAnsi" w:eastAsiaTheme="minorEastAsia" w:hAnsiTheme="minorHAnsi" w:cstheme="minorBidi"/>
          <w:noProof/>
          <w:sz w:val="22"/>
          <w:szCs w:val="22"/>
          <w:lang w:eastAsia="en-AU"/>
        </w:rPr>
        <w:tab/>
      </w:r>
      <w:r>
        <w:rPr>
          <w:noProof/>
        </w:rPr>
        <w:t>The perceived risks of privatisation</w:t>
      </w:r>
      <w:r>
        <w:rPr>
          <w:noProof/>
        </w:rPr>
        <w:tab/>
        <w:t>284</w:t>
      </w:r>
    </w:p>
    <w:p w:rsidR="009D6D9C" w:rsidRDefault="009D6D9C">
      <w:pPr>
        <w:pStyle w:val="TOC2"/>
        <w:tabs>
          <w:tab w:val="left" w:pos="1190"/>
        </w:tabs>
        <w:rPr>
          <w:rFonts w:asciiTheme="minorHAnsi" w:eastAsiaTheme="minorEastAsia" w:hAnsiTheme="minorHAnsi" w:cstheme="minorBidi"/>
          <w:noProof/>
          <w:sz w:val="22"/>
          <w:szCs w:val="22"/>
          <w:lang w:eastAsia="en-AU"/>
        </w:rPr>
      </w:pPr>
      <w:r>
        <w:rPr>
          <w:noProof/>
        </w:rPr>
        <w:t>7.6</w:t>
      </w:r>
      <w:r>
        <w:rPr>
          <w:rFonts w:asciiTheme="minorHAnsi" w:eastAsiaTheme="minorEastAsia" w:hAnsiTheme="minorHAnsi" w:cstheme="minorBidi"/>
          <w:noProof/>
          <w:sz w:val="22"/>
          <w:szCs w:val="22"/>
          <w:lang w:eastAsia="en-AU"/>
        </w:rPr>
        <w:tab/>
      </w:r>
      <w:r>
        <w:rPr>
          <w:noProof/>
        </w:rPr>
        <w:t>The bottom line on private ownership</w:t>
      </w:r>
      <w:r>
        <w:rPr>
          <w:noProof/>
        </w:rPr>
        <w:tab/>
        <w:t>287</w:t>
      </w:r>
    </w:p>
    <w:p w:rsidR="009D6D9C" w:rsidRDefault="009D6D9C">
      <w:pPr>
        <w:pStyle w:val="TOC2"/>
        <w:tabs>
          <w:tab w:val="left" w:pos="1190"/>
        </w:tabs>
        <w:rPr>
          <w:rFonts w:asciiTheme="minorHAnsi" w:eastAsiaTheme="minorEastAsia" w:hAnsiTheme="minorHAnsi" w:cstheme="minorBidi"/>
          <w:noProof/>
          <w:sz w:val="22"/>
          <w:szCs w:val="22"/>
          <w:lang w:eastAsia="en-AU"/>
        </w:rPr>
      </w:pPr>
      <w:r>
        <w:rPr>
          <w:noProof/>
        </w:rPr>
        <w:t>7.7</w:t>
      </w:r>
      <w:r>
        <w:rPr>
          <w:rFonts w:asciiTheme="minorHAnsi" w:eastAsiaTheme="minorEastAsia" w:hAnsiTheme="minorHAnsi" w:cstheme="minorBidi"/>
          <w:noProof/>
          <w:sz w:val="22"/>
          <w:szCs w:val="22"/>
          <w:lang w:eastAsia="en-AU"/>
        </w:rPr>
        <w:tab/>
      </w:r>
      <w:r>
        <w:rPr>
          <w:noProof/>
        </w:rPr>
        <w:t>The transition to privatisation</w:t>
      </w:r>
      <w:r>
        <w:rPr>
          <w:noProof/>
        </w:rPr>
        <w:tab/>
        <w:t>290</w:t>
      </w:r>
    </w:p>
    <w:p w:rsidR="009D6D9C" w:rsidRDefault="009D6D9C">
      <w:pPr>
        <w:pStyle w:val="TOC1"/>
        <w:rPr>
          <w:rFonts w:asciiTheme="minorHAnsi" w:eastAsiaTheme="minorEastAsia" w:hAnsiTheme="minorHAnsi" w:cstheme="minorBidi"/>
          <w:b w:val="0"/>
          <w:noProof/>
          <w:sz w:val="22"/>
          <w:szCs w:val="22"/>
          <w:lang w:eastAsia="en-AU"/>
        </w:rPr>
      </w:pPr>
      <w:r>
        <w:rPr>
          <w:noProof/>
        </w:rPr>
        <w:t>8</w:t>
      </w:r>
      <w:r>
        <w:rPr>
          <w:rFonts w:asciiTheme="minorHAnsi" w:eastAsiaTheme="minorEastAsia" w:hAnsiTheme="minorHAnsi" w:cstheme="minorBidi"/>
          <w:b w:val="0"/>
          <w:noProof/>
          <w:sz w:val="22"/>
          <w:szCs w:val="22"/>
          <w:lang w:eastAsia="en-AU"/>
        </w:rPr>
        <w:tab/>
      </w:r>
      <w:r>
        <w:rPr>
          <w:noProof/>
        </w:rPr>
        <w:t>How should the Australian Energy Regulator use benchmarking?</w:t>
      </w:r>
      <w:r>
        <w:rPr>
          <w:noProof/>
        </w:rPr>
        <w:tab/>
        <w:t>295</w:t>
      </w:r>
    </w:p>
    <w:p w:rsidR="009D6D9C" w:rsidRDefault="009D6D9C">
      <w:pPr>
        <w:pStyle w:val="TOC2"/>
        <w:tabs>
          <w:tab w:val="left" w:pos="1190"/>
        </w:tabs>
        <w:rPr>
          <w:rFonts w:asciiTheme="minorHAnsi" w:eastAsiaTheme="minorEastAsia" w:hAnsiTheme="minorHAnsi" w:cstheme="minorBidi"/>
          <w:noProof/>
          <w:sz w:val="22"/>
          <w:szCs w:val="22"/>
          <w:lang w:eastAsia="en-AU"/>
        </w:rPr>
      </w:pPr>
      <w:r>
        <w:rPr>
          <w:noProof/>
        </w:rPr>
        <w:t>8.1</w:t>
      </w:r>
      <w:r>
        <w:rPr>
          <w:rFonts w:asciiTheme="minorHAnsi" w:eastAsiaTheme="minorEastAsia" w:hAnsiTheme="minorHAnsi" w:cstheme="minorBidi"/>
          <w:noProof/>
          <w:sz w:val="22"/>
          <w:szCs w:val="22"/>
          <w:lang w:eastAsia="en-AU"/>
        </w:rPr>
        <w:tab/>
      </w:r>
      <w:r>
        <w:rPr>
          <w:noProof/>
        </w:rPr>
        <w:t>Should benchmarking be used in a mechanistic role to set revenue allowances?</w:t>
      </w:r>
      <w:r>
        <w:rPr>
          <w:noProof/>
        </w:rPr>
        <w:tab/>
        <w:t>298</w:t>
      </w:r>
    </w:p>
    <w:p w:rsidR="009D6D9C" w:rsidRDefault="009D6D9C">
      <w:pPr>
        <w:pStyle w:val="TOC2"/>
        <w:tabs>
          <w:tab w:val="left" w:pos="1190"/>
        </w:tabs>
        <w:rPr>
          <w:rFonts w:asciiTheme="minorHAnsi" w:eastAsiaTheme="minorEastAsia" w:hAnsiTheme="minorHAnsi" w:cstheme="minorBidi"/>
          <w:noProof/>
          <w:sz w:val="22"/>
          <w:szCs w:val="22"/>
          <w:lang w:eastAsia="en-AU"/>
        </w:rPr>
      </w:pPr>
      <w:r>
        <w:rPr>
          <w:noProof/>
        </w:rPr>
        <w:t>8.2</w:t>
      </w:r>
      <w:r>
        <w:rPr>
          <w:rFonts w:asciiTheme="minorHAnsi" w:eastAsiaTheme="minorEastAsia" w:hAnsiTheme="minorHAnsi" w:cstheme="minorBidi"/>
          <w:noProof/>
          <w:sz w:val="22"/>
          <w:szCs w:val="22"/>
          <w:lang w:eastAsia="en-AU"/>
        </w:rPr>
        <w:tab/>
      </w:r>
      <w:r>
        <w:rPr>
          <w:noProof/>
        </w:rPr>
        <w:t>Benchmarking the effectiveness of the regulatory regime</w:t>
      </w:r>
      <w:r>
        <w:rPr>
          <w:noProof/>
        </w:rPr>
        <w:tab/>
        <w:t>305</w:t>
      </w:r>
    </w:p>
    <w:p w:rsidR="009D6D9C" w:rsidRDefault="009D6D9C">
      <w:pPr>
        <w:pStyle w:val="TOC2"/>
        <w:tabs>
          <w:tab w:val="left" w:pos="1190"/>
        </w:tabs>
        <w:rPr>
          <w:rFonts w:asciiTheme="minorHAnsi" w:eastAsiaTheme="minorEastAsia" w:hAnsiTheme="minorHAnsi" w:cstheme="minorBidi"/>
          <w:noProof/>
          <w:sz w:val="22"/>
          <w:szCs w:val="22"/>
          <w:lang w:eastAsia="en-AU"/>
        </w:rPr>
      </w:pPr>
      <w:r>
        <w:rPr>
          <w:noProof/>
        </w:rPr>
        <w:t>8.3</w:t>
      </w:r>
      <w:r>
        <w:rPr>
          <w:rFonts w:asciiTheme="minorHAnsi" w:eastAsiaTheme="minorEastAsia" w:hAnsiTheme="minorHAnsi" w:cstheme="minorBidi"/>
          <w:noProof/>
          <w:sz w:val="22"/>
          <w:szCs w:val="22"/>
          <w:lang w:eastAsia="en-AU"/>
        </w:rPr>
        <w:tab/>
      </w:r>
      <w:r>
        <w:rPr>
          <w:noProof/>
        </w:rPr>
        <w:t>Could more targeted analysis act as a filter?</w:t>
      </w:r>
      <w:r>
        <w:rPr>
          <w:noProof/>
        </w:rPr>
        <w:tab/>
        <w:t>308</w:t>
      </w:r>
    </w:p>
    <w:p w:rsidR="009D6D9C" w:rsidRDefault="009D6D9C">
      <w:pPr>
        <w:pStyle w:val="TOC2"/>
        <w:tabs>
          <w:tab w:val="left" w:pos="1190"/>
        </w:tabs>
        <w:rPr>
          <w:rFonts w:asciiTheme="minorHAnsi" w:eastAsiaTheme="minorEastAsia" w:hAnsiTheme="minorHAnsi" w:cstheme="minorBidi"/>
          <w:noProof/>
          <w:sz w:val="22"/>
          <w:szCs w:val="22"/>
          <w:lang w:eastAsia="en-AU"/>
        </w:rPr>
      </w:pPr>
      <w:r>
        <w:rPr>
          <w:noProof/>
        </w:rPr>
        <w:t>8.4</w:t>
      </w:r>
      <w:r>
        <w:rPr>
          <w:rFonts w:asciiTheme="minorHAnsi" w:eastAsiaTheme="minorEastAsia" w:hAnsiTheme="minorHAnsi" w:cstheme="minorBidi"/>
          <w:noProof/>
          <w:sz w:val="22"/>
          <w:szCs w:val="22"/>
          <w:lang w:eastAsia="en-AU"/>
        </w:rPr>
        <w:tab/>
      </w:r>
      <w:r>
        <w:rPr>
          <w:noProof/>
        </w:rPr>
        <w:t>Benchmarking could be a trigger for negotiated settlements</w:t>
      </w:r>
      <w:r>
        <w:rPr>
          <w:noProof/>
        </w:rPr>
        <w:tab/>
        <w:t>316</w:t>
      </w:r>
    </w:p>
    <w:p w:rsidR="009D6D9C" w:rsidRDefault="009D6D9C">
      <w:pPr>
        <w:pStyle w:val="TOC2"/>
        <w:tabs>
          <w:tab w:val="left" w:pos="1190"/>
        </w:tabs>
        <w:rPr>
          <w:rFonts w:asciiTheme="minorHAnsi" w:eastAsiaTheme="minorEastAsia" w:hAnsiTheme="minorHAnsi" w:cstheme="minorBidi"/>
          <w:noProof/>
          <w:sz w:val="22"/>
          <w:szCs w:val="22"/>
          <w:lang w:eastAsia="en-AU"/>
        </w:rPr>
      </w:pPr>
      <w:r>
        <w:rPr>
          <w:noProof/>
        </w:rPr>
        <w:t>8.5</w:t>
      </w:r>
      <w:r>
        <w:rPr>
          <w:rFonts w:asciiTheme="minorHAnsi" w:eastAsiaTheme="minorEastAsia" w:hAnsiTheme="minorHAnsi" w:cstheme="minorBidi"/>
          <w:noProof/>
          <w:sz w:val="22"/>
          <w:szCs w:val="22"/>
          <w:lang w:eastAsia="en-AU"/>
        </w:rPr>
        <w:tab/>
      </w:r>
      <w:r>
        <w:rPr>
          <w:noProof/>
        </w:rPr>
        <w:t>Information and ‘moral suasion’</w:t>
      </w:r>
      <w:r>
        <w:rPr>
          <w:noProof/>
        </w:rPr>
        <w:tab/>
        <w:t>322</w:t>
      </w:r>
    </w:p>
    <w:p w:rsidR="009D6D9C" w:rsidRDefault="009D6D9C">
      <w:pPr>
        <w:pStyle w:val="TOC2"/>
        <w:tabs>
          <w:tab w:val="left" w:pos="1190"/>
        </w:tabs>
        <w:rPr>
          <w:rFonts w:asciiTheme="minorHAnsi" w:eastAsiaTheme="minorEastAsia" w:hAnsiTheme="minorHAnsi" w:cstheme="minorBidi"/>
          <w:noProof/>
          <w:sz w:val="22"/>
          <w:szCs w:val="22"/>
          <w:lang w:eastAsia="en-AU"/>
        </w:rPr>
      </w:pPr>
      <w:r>
        <w:rPr>
          <w:noProof/>
        </w:rPr>
        <w:t>8.6</w:t>
      </w:r>
      <w:r>
        <w:rPr>
          <w:rFonts w:asciiTheme="minorHAnsi" w:eastAsiaTheme="minorEastAsia" w:hAnsiTheme="minorHAnsi" w:cstheme="minorBidi"/>
          <w:noProof/>
          <w:sz w:val="22"/>
          <w:szCs w:val="22"/>
          <w:lang w:eastAsia="en-AU"/>
        </w:rPr>
        <w:tab/>
      </w:r>
      <w:r>
        <w:rPr>
          <w:noProof/>
        </w:rPr>
        <w:t>The long-run application of benchmarking</w:t>
      </w:r>
      <w:r>
        <w:rPr>
          <w:noProof/>
        </w:rPr>
        <w:tab/>
        <w:t>323</w:t>
      </w:r>
    </w:p>
    <w:p w:rsidR="009D6D9C" w:rsidRDefault="009D6D9C">
      <w:pPr>
        <w:pStyle w:val="TOC2"/>
        <w:tabs>
          <w:tab w:val="left" w:pos="1190"/>
        </w:tabs>
        <w:rPr>
          <w:rFonts w:asciiTheme="minorHAnsi" w:eastAsiaTheme="minorEastAsia" w:hAnsiTheme="minorHAnsi" w:cstheme="minorBidi"/>
          <w:noProof/>
          <w:sz w:val="22"/>
          <w:szCs w:val="22"/>
          <w:lang w:eastAsia="en-AU"/>
        </w:rPr>
      </w:pPr>
      <w:r>
        <w:rPr>
          <w:noProof/>
        </w:rPr>
        <w:t>8.7</w:t>
      </w:r>
      <w:r>
        <w:rPr>
          <w:rFonts w:asciiTheme="minorHAnsi" w:eastAsiaTheme="minorEastAsia" w:hAnsiTheme="minorHAnsi" w:cstheme="minorBidi"/>
          <w:noProof/>
          <w:sz w:val="22"/>
          <w:szCs w:val="22"/>
          <w:lang w:eastAsia="en-AU"/>
        </w:rPr>
        <w:tab/>
      </w:r>
      <w:r>
        <w:rPr>
          <w:noProof/>
        </w:rPr>
        <w:t>The regulator’s benchmarking practices</w:t>
      </w:r>
      <w:r>
        <w:rPr>
          <w:noProof/>
        </w:rPr>
        <w:tab/>
        <w:t>325</w:t>
      </w:r>
    </w:p>
    <w:p w:rsidR="009D6D9C" w:rsidRDefault="009D6D9C">
      <w:pPr>
        <w:pStyle w:val="TOC2"/>
        <w:tabs>
          <w:tab w:val="left" w:pos="1190"/>
        </w:tabs>
        <w:rPr>
          <w:noProof/>
        </w:rPr>
      </w:pPr>
      <w:r>
        <w:rPr>
          <w:noProof/>
        </w:rPr>
        <w:t>8.8</w:t>
      </w:r>
      <w:r>
        <w:rPr>
          <w:rFonts w:asciiTheme="minorHAnsi" w:eastAsiaTheme="minorEastAsia" w:hAnsiTheme="minorHAnsi" w:cstheme="minorBidi"/>
          <w:noProof/>
          <w:sz w:val="22"/>
          <w:szCs w:val="22"/>
          <w:lang w:eastAsia="en-AU"/>
        </w:rPr>
        <w:tab/>
      </w:r>
      <w:r>
        <w:rPr>
          <w:noProof/>
        </w:rPr>
        <w:t>Conclusion</w:t>
      </w:r>
      <w:r>
        <w:rPr>
          <w:noProof/>
        </w:rPr>
        <w:tab/>
        <w:t>334</w:t>
      </w:r>
    </w:p>
    <w:p w:rsidR="00F52AFD" w:rsidRDefault="00F52AFD">
      <w:pPr>
        <w:pStyle w:val="TOC2"/>
        <w:tabs>
          <w:tab w:val="left" w:pos="1190"/>
        </w:tabs>
        <w:rPr>
          <w:noProof/>
        </w:rPr>
      </w:pPr>
    </w:p>
    <w:p w:rsidR="00F52AFD" w:rsidRPr="00A633F0" w:rsidRDefault="00F52AFD" w:rsidP="00F52AFD">
      <w:pPr>
        <w:pStyle w:val="TOC1"/>
        <w:pBdr>
          <w:top w:val="single" w:sz="4" w:space="1" w:color="auto"/>
          <w:left w:val="single" w:sz="4" w:space="4" w:color="auto"/>
          <w:bottom w:val="single" w:sz="4" w:space="1" w:color="auto"/>
          <w:right w:val="single" w:sz="4" w:space="31" w:color="auto"/>
        </w:pBdr>
        <w:shd w:val="clear" w:color="auto" w:fill="000000"/>
        <w:jc w:val="center"/>
        <w:rPr>
          <w:color w:val="FFFFFF"/>
        </w:rPr>
      </w:pPr>
      <w:r>
        <w:rPr>
          <w:color w:val="FFFFFF"/>
        </w:rPr>
        <w:t>Volume 2</w:t>
      </w:r>
    </w:p>
    <w:p w:rsidR="00F52AFD" w:rsidRDefault="00F52AFD">
      <w:pPr>
        <w:pStyle w:val="TOC2"/>
        <w:tabs>
          <w:tab w:val="left" w:pos="1190"/>
        </w:tabs>
        <w:rPr>
          <w:rFonts w:asciiTheme="minorHAnsi" w:eastAsiaTheme="minorEastAsia" w:hAnsiTheme="minorHAnsi" w:cstheme="minorBidi"/>
          <w:noProof/>
          <w:sz w:val="22"/>
          <w:szCs w:val="22"/>
          <w:lang w:eastAsia="en-AU"/>
        </w:rPr>
      </w:pPr>
    </w:p>
    <w:p w:rsidR="009D6D9C" w:rsidRDefault="009D6D9C">
      <w:pPr>
        <w:pStyle w:val="TOC1"/>
        <w:rPr>
          <w:rFonts w:asciiTheme="minorHAnsi" w:eastAsiaTheme="minorEastAsia" w:hAnsiTheme="minorHAnsi" w:cstheme="minorBidi"/>
          <w:b w:val="0"/>
          <w:noProof/>
          <w:sz w:val="22"/>
          <w:szCs w:val="22"/>
          <w:lang w:eastAsia="en-AU"/>
        </w:rPr>
      </w:pPr>
      <w:r>
        <w:rPr>
          <w:noProof/>
        </w:rPr>
        <w:t>9</w:t>
      </w:r>
      <w:r>
        <w:rPr>
          <w:rFonts w:asciiTheme="minorHAnsi" w:eastAsiaTheme="minorEastAsia" w:hAnsiTheme="minorHAnsi" w:cstheme="minorBidi"/>
          <w:b w:val="0"/>
          <w:noProof/>
          <w:sz w:val="22"/>
          <w:szCs w:val="22"/>
          <w:lang w:eastAsia="en-AU"/>
        </w:rPr>
        <w:tab/>
      </w:r>
      <w:r>
        <w:rPr>
          <w:noProof/>
        </w:rPr>
        <w:t>Peak demand and demand management</w:t>
      </w:r>
      <w:r>
        <w:rPr>
          <w:noProof/>
        </w:rPr>
        <w:tab/>
        <w:t>335</w:t>
      </w:r>
    </w:p>
    <w:p w:rsidR="009D6D9C" w:rsidRDefault="009D6D9C">
      <w:pPr>
        <w:pStyle w:val="TOC2"/>
        <w:tabs>
          <w:tab w:val="left" w:pos="1190"/>
        </w:tabs>
        <w:rPr>
          <w:rFonts w:asciiTheme="minorHAnsi" w:eastAsiaTheme="minorEastAsia" w:hAnsiTheme="minorHAnsi" w:cstheme="minorBidi"/>
          <w:noProof/>
          <w:sz w:val="22"/>
          <w:szCs w:val="22"/>
          <w:lang w:eastAsia="en-AU"/>
        </w:rPr>
      </w:pPr>
      <w:r>
        <w:rPr>
          <w:noProof/>
        </w:rPr>
        <w:t>9.1</w:t>
      </w:r>
      <w:r>
        <w:rPr>
          <w:rFonts w:asciiTheme="minorHAnsi" w:eastAsiaTheme="minorEastAsia" w:hAnsiTheme="minorHAnsi" w:cstheme="minorBidi"/>
          <w:noProof/>
          <w:sz w:val="22"/>
          <w:szCs w:val="22"/>
          <w:lang w:eastAsia="en-AU"/>
        </w:rPr>
        <w:tab/>
      </w:r>
      <w:r>
        <w:rPr>
          <w:noProof/>
        </w:rPr>
        <w:t>What is peak demand and why is it a problem?</w:t>
      </w:r>
      <w:r>
        <w:rPr>
          <w:noProof/>
        </w:rPr>
        <w:tab/>
        <w:t>336</w:t>
      </w:r>
    </w:p>
    <w:p w:rsidR="009D6D9C" w:rsidRDefault="009D6D9C">
      <w:pPr>
        <w:pStyle w:val="TOC2"/>
        <w:tabs>
          <w:tab w:val="left" w:pos="1190"/>
        </w:tabs>
        <w:rPr>
          <w:rFonts w:asciiTheme="minorHAnsi" w:eastAsiaTheme="minorEastAsia" w:hAnsiTheme="minorHAnsi" w:cstheme="minorBidi"/>
          <w:noProof/>
          <w:sz w:val="22"/>
          <w:szCs w:val="22"/>
          <w:lang w:eastAsia="en-AU"/>
        </w:rPr>
      </w:pPr>
      <w:r>
        <w:rPr>
          <w:noProof/>
        </w:rPr>
        <w:t>9.2</w:t>
      </w:r>
      <w:r>
        <w:rPr>
          <w:rFonts w:asciiTheme="minorHAnsi" w:eastAsiaTheme="minorEastAsia" w:hAnsiTheme="minorHAnsi" w:cstheme="minorBidi"/>
          <w:noProof/>
          <w:sz w:val="22"/>
          <w:szCs w:val="22"/>
          <w:lang w:eastAsia="en-AU"/>
        </w:rPr>
        <w:tab/>
      </w:r>
      <w:r>
        <w:rPr>
          <w:noProof/>
        </w:rPr>
        <w:t>A roadmap for how this report addresses peak demand management</w:t>
      </w:r>
      <w:r>
        <w:rPr>
          <w:noProof/>
        </w:rPr>
        <w:tab/>
        <w:t>339</w:t>
      </w:r>
    </w:p>
    <w:p w:rsidR="009D6D9C" w:rsidRDefault="009D6D9C">
      <w:pPr>
        <w:pStyle w:val="TOC2"/>
        <w:tabs>
          <w:tab w:val="left" w:pos="1190"/>
        </w:tabs>
        <w:rPr>
          <w:rFonts w:asciiTheme="minorHAnsi" w:eastAsiaTheme="minorEastAsia" w:hAnsiTheme="minorHAnsi" w:cstheme="minorBidi"/>
          <w:noProof/>
          <w:sz w:val="22"/>
          <w:szCs w:val="22"/>
          <w:lang w:eastAsia="en-AU"/>
        </w:rPr>
      </w:pPr>
      <w:r>
        <w:rPr>
          <w:noProof/>
        </w:rPr>
        <w:t>9.3</w:t>
      </w:r>
      <w:r>
        <w:rPr>
          <w:rFonts w:asciiTheme="minorHAnsi" w:eastAsiaTheme="minorEastAsia" w:hAnsiTheme="minorHAnsi" w:cstheme="minorBidi"/>
          <w:noProof/>
          <w:sz w:val="22"/>
          <w:szCs w:val="22"/>
          <w:lang w:eastAsia="en-AU"/>
        </w:rPr>
        <w:tab/>
      </w:r>
      <w:r>
        <w:rPr>
          <w:noProof/>
        </w:rPr>
        <w:t>Facets of the peak demand problem</w:t>
      </w:r>
      <w:r>
        <w:rPr>
          <w:noProof/>
        </w:rPr>
        <w:tab/>
        <w:t>341</w:t>
      </w:r>
    </w:p>
    <w:p w:rsidR="009D6D9C" w:rsidRDefault="009D6D9C">
      <w:pPr>
        <w:pStyle w:val="TOC2"/>
        <w:tabs>
          <w:tab w:val="left" w:pos="1190"/>
        </w:tabs>
        <w:rPr>
          <w:rFonts w:asciiTheme="minorHAnsi" w:eastAsiaTheme="minorEastAsia" w:hAnsiTheme="minorHAnsi" w:cstheme="minorBidi"/>
          <w:noProof/>
          <w:sz w:val="22"/>
          <w:szCs w:val="22"/>
          <w:lang w:eastAsia="en-AU"/>
        </w:rPr>
      </w:pPr>
      <w:r>
        <w:rPr>
          <w:noProof/>
        </w:rPr>
        <w:t>9.4</w:t>
      </w:r>
      <w:r>
        <w:rPr>
          <w:rFonts w:asciiTheme="minorHAnsi" w:eastAsiaTheme="minorEastAsia" w:hAnsiTheme="minorHAnsi" w:cstheme="minorBidi"/>
          <w:noProof/>
          <w:sz w:val="22"/>
          <w:szCs w:val="22"/>
          <w:lang w:eastAsia="en-AU"/>
        </w:rPr>
        <w:tab/>
      </w:r>
      <w:r>
        <w:rPr>
          <w:noProof/>
        </w:rPr>
        <w:t>What is demand management and how can it provide a solution?</w:t>
      </w:r>
      <w:r>
        <w:rPr>
          <w:noProof/>
        </w:rPr>
        <w:tab/>
        <w:t>353</w:t>
      </w:r>
    </w:p>
    <w:p w:rsidR="009D6D9C" w:rsidRDefault="009D6D9C">
      <w:pPr>
        <w:pStyle w:val="TOC2"/>
        <w:tabs>
          <w:tab w:val="left" w:pos="1190"/>
        </w:tabs>
        <w:rPr>
          <w:rFonts w:asciiTheme="minorHAnsi" w:eastAsiaTheme="minorEastAsia" w:hAnsiTheme="minorHAnsi" w:cstheme="minorBidi"/>
          <w:noProof/>
          <w:sz w:val="22"/>
          <w:szCs w:val="22"/>
          <w:lang w:eastAsia="en-AU"/>
        </w:rPr>
      </w:pPr>
      <w:r>
        <w:rPr>
          <w:noProof/>
        </w:rPr>
        <w:t>9.5</w:t>
      </w:r>
      <w:r>
        <w:rPr>
          <w:rFonts w:asciiTheme="minorHAnsi" w:eastAsiaTheme="minorEastAsia" w:hAnsiTheme="minorHAnsi" w:cstheme="minorBidi"/>
          <w:noProof/>
          <w:sz w:val="22"/>
          <w:szCs w:val="22"/>
          <w:lang w:eastAsia="en-AU"/>
        </w:rPr>
        <w:tab/>
      </w:r>
      <w:r>
        <w:rPr>
          <w:noProof/>
        </w:rPr>
        <w:t>Demand management is not widely implemented</w:t>
      </w:r>
      <w:r>
        <w:rPr>
          <w:noProof/>
        </w:rPr>
        <w:tab/>
        <w:t>360</w:t>
      </w:r>
    </w:p>
    <w:p w:rsidR="009D6D9C" w:rsidRDefault="009D6D9C">
      <w:pPr>
        <w:pStyle w:val="TOC2"/>
        <w:tabs>
          <w:tab w:val="left" w:pos="1190"/>
        </w:tabs>
        <w:rPr>
          <w:rFonts w:asciiTheme="minorHAnsi" w:eastAsiaTheme="minorEastAsia" w:hAnsiTheme="minorHAnsi" w:cstheme="minorBidi"/>
          <w:noProof/>
          <w:sz w:val="22"/>
          <w:szCs w:val="22"/>
          <w:lang w:eastAsia="en-AU"/>
        </w:rPr>
      </w:pPr>
      <w:r>
        <w:rPr>
          <w:noProof/>
        </w:rPr>
        <w:t>9.6</w:t>
      </w:r>
      <w:r>
        <w:rPr>
          <w:rFonts w:asciiTheme="minorHAnsi" w:eastAsiaTheme="minorEastAsia" w:hAnsiTheme="minorHAnsi" w:cstheme="minorBidi"/>
          <w:noProof/>
          <w:sz w:val="22"/>
          <w:szCs w:val="22"/>
          <w:lang w:eastAsia="en-AU"/>
        </w:rPr>
        <w:tab/>
      </w:r>
      <w:r>
        <w:rPr>
          <w:noProof/>
        </w:rPr>
        <w:t>Why is the uptake of demand management so low?</w:t>
      </w:r>
      <w:r>
        <w:rPr>
          <w:noProof/>
        </w:rPr>
        <w:tab/>
        <w:t>366</w:t>
      </w:r>
    </w:p>
    <w:p w:rsidR="009D6D9C" w:rsidRDefault="009D6D9C">
      <w:pPr>
        <w:pStyle w:val="TOC2"/>
        <w:tabs>
          <w:tab w:val="left" w:pos="1190"/>
        </w:tabs>
        <w:rPr>
          <w:rFonts w:asciiTheme="minorHAnsi" w:eastAsiaTheme="minorEastAsia" w:hAnsiTheme="minorHAnsi" w:cstheme="minorBidi"/>
          <w:noProof/>
          <w:sz w:val="22"/>
          <w:szCs w:val="22"/>
          <w:lang w:eastAsia="en-AU"/>
        </w:rPr>
      </w:pPr>
      <w:r>
        <w:rPr>
          <w:noProof/>
        </w:rPr>
        <w:lastRenderedPageBreak/>
        <w:t>9.7</w:t>
      </w:r>
      <w:r>
        <w:rPr>
          <w:rFonts w:asciiTheme="minorHAnsi" w:eastAsiaTheme="minorEastAsia" w:hAnsiTheme="minorHAnsi" w:cstheme="minorBidi"/>
          <w:noProof/>
          <w:sz w:val="22"/>
          <w:szCs w:val="22"/>
          <w:lang w:eastAsia="en-AU"/>
        </w:rPr>
        <w:tab/>
      </w:r>
      <w:r>
        <w:rPr>
          <w:noProof/>
        </w:rPr>
        <w:t>Gauging the prospective benefits and costs of demand management</w:t>
      </w:r>
      <w:r>
        <w:rPr>
          <w:noProof/>
        </w:rPr>
        <w:tab/>
        <w:t>367</w:t>
      </w:r>
    </w:p>
    <w:p w:rsidR="009D6D9C" w:rsidRDefault="009D6D9C">
      <w:pPr>
        <w:pStyle w:val="TOC1"/>
        <w:rPr>
          <w:rFonts w:asciiTheme="minorHAnsi" w:eastAsiaTheme="minorEastAsia" w:hAnsiTheme="minorHAnsi" w:cstheme="minorBidi"/>
          <w:b w:val="0"/>
          <w:noProof/>
          <w:sz w:val="22"/>
          <w:szCs w:val="22"/>
          <w:lang w:eastAsia="en-AU"/>
        </w:rPr>
      </w:pPr>
      <w:r>
        <w:rPr>
          <w:noProof/>
        </w:rPr>
        <w:t>10</w:t>
      </w:r>
      <w:r>
        <w:rPr>
          <w:rFonts w:asciiTheme="minorHAnsi" w:eastAsiaTheme="minorEastAsia" w:hAnsiTheme="minorHAnsi" w:cstheme="minorBidi"/>
          <w:b w:val="0"/>
          <w:noProof/>
          <w:sz w:val="22"/>
          <w:szCs w:val="22"/>
          <w:lang w:eastAsia="en-AU"/>
        </w:rPr>
        <w:tab/>
      </w:r>
      <w:r>
        <w:rPr>
          <w:noProof/>
        </w:rPr>
        <w:t>Technologies to achieve demand management</w:t>
      </w:r>
      <w:r>
        <w:rPr>
          <w:noProof/>
        </w:rPr>
        <w:tab/>
        <w:t>377</w:t>
      </w:r>
    </w:p>
    <w:p w:rsidR="009D6D9C" w:rsidRDefault="009D6D9C">
      <w:pPr>
        <w:pStyle w:val="TOC2"/>
        <w:tabs>
          <w:tab w:val="left" w:pos="1190"/>
        </w:tabs>
        <w:rPr>
          <w:rFonts w:asciiTheme="minorHAnsi" w:eastAsiaTheme="minorEastAsia" w:hAnsiTheme="minorHAnsi" w:cstheme="minorBidi"/>
          <w:noProof/>
          <w:sz w:val="22"/>
          <w:szCs w:val="22"/>
          <w:lang w:eastAsia="en-AU"/>
        </w:rPr>
      </w:pPr>
      <w:r>
        <w:rPr>
          <w:noProof/>
        </w:rPr>
        <w:t>10.1</w:t>
      </w:r>
      <w:r>
        <w:rPr>
          <w:rFonts w:asciiTheme="minorHAnsi" w:eastAsiaTheme="minorEastAsia" w:hAnsiTheme="minorHAnsi" w:cstheme="minorBidi"/>
          <w:noProof/>
          <w:sz w:val="22"/>
          <w:szCs w:val="22"/>
          <w:lang w:eastAsia="en-AU"/>
        </w:rPr>
        <w:tab/>
      </w:r>
      <w:r>
        <w:rPr>
          <w:noProof/>
        </w:rPr>
        <w:t>Understanding smart meters</w:t>
      </w:r>
      <w:r>
        <w:rPr>
          <w:noProof/>
        </w:rPr>
        <w:tab/>
        <w:t>380</w:t>
      </w:r>
    </w:p>
    <w:p w:rsidR="009D6D9C" w:rsidRDefault="009D6D9C">
      <w:pPr>
        <w:pStyle w:val="TOC2"/>
        <w:tabs>
          <w:tab w:val="left" w:pos="1190"/>
        </w:tabs>
        <w:rPr>
          <w:rFonts w:asciiTheme="minorHAnsi" w:eastAsiaTheme="minorEastAsia" w:hAnsiTheme="minorHAnsi" w:cstheme="minorBidi"/>
          <w:noProof/>
          <w:sz w:val="22"/>
          <w:szCs w:val="22"/>
          <w:lang w:eastAsia="en-AU"/>
        </w:rPr>
      </w:pPr>
      <w:r>
        <w:rPr>
          <w:noProof/>
        </w:rPr>
        <w:t>10.2</w:t>
      </w:r>
      <w:r>
        <w:rPr>
          <w:rFonts w:asciiTheme="minorHAnsi" w:eastAsiaTheme="minorEastAsia" w:hAnsiTheme="minorHAnsi" w:cstheme="minorBidi"/>
          <w:noProof/>
          <w:sz w:val="22"/>
          <w:szCs w:val="22"/>
          <w:lang w:eastAsia="en-AU"/>
        </w:rPr>
        <w:tab/>
      </w:r>
      <w:r>
        <w:rPr>
          <w:noProof/>
        </w:rPr>
        <w:t>Rolling out smart meters involves major challenges</w:t>
      </w:r>
      <w:r>
        <w:rPr>
          <w:noProof/>
        </w:rPr>
        <w:tab/>
        <w:t>386</w:t>
      </w:r>
    </w:p>
    <w:p w:rsidR="009D6D9C" w:rsidRDefault="009D6D9C">
      <w:pPr>
        <w:pStyle w:val="TOC2"/>
        <w:tabs>
          <w:tab w:val="left" w:pos="1190"/>
        </w:tabs>
        <w:rPr>
          <w:rFonts w:asciiTheme="minorHAnsi" w:eastAsiaTheme="minorEastAsia" w:hAnsiTheme="minorHAnsi" w:cstheme="minorBidi"/>
          <w:noProof/>
          <w:sz w:val="22"/>
          <w:szCs w:val="22"/>
          <w:lang w:eastAsia="en-AU"/>
        </w:rPr>
      </w:pPr>
      <w:r>
        <w:rPr>
          <w:noProof/>
        </w:rPr>
        <w:t>10.3</w:t>
      </w:r>
      <w:r>
        <w:rPr>
          <w:rFonts w:asciiTheme="minorHAnsi" w:eastAsiaTheme="minorEastAsia" w:hAnsiTheme="minorHAnsi" w:cstheme="minorBidi"/>
          <w:noProof/>
          <w:sz w:val="22"/>
          <w:szCs w:val="22"/>
          <w:lang w:eastAsia="en-AU"/>
        </w:rPr>
        <w:tab/>
      </w:r>
      <w:r>
        <w:rPr>
          <w:noProof/>
        </w:rPr>
        <w:t>Creating the optimal incentives for deploying demand management technologies</w:t>
      </w:r>
      <w:r>
        <w:rPr>
          <w:noProof/>
        </w:rPr>
        <w:tab/>
        <w:t>391</w:t>
      </w:r>
    </w:p>
    <w:p w:rsidR="009D6D9C" w:rsidRDefault="009D6D9C">
      <w:pPr>
        <w:pStyle w:val="TOC2"/>
        <w:tabs>
          <w:tab w:val="left" w:pos="1190"/>
        </w:tabs>
        <w:rPr>
          <w:rFonts w:asciiTheme="minorHAnsi" w:eastAsiaTheme="minorEastAsia" w:hAnsiTheme="minorHAnsi" w:cstheme="minorBidi"/>
          <w:noProof/>
          <w:sz w:val="22"/>
          <w:szCs w:val="22"/>
          <w:lang w:eastAsia="en-AU"/>
        </w:rPr>
      </w:pPr>
      <w:r>
        <w:rPr>
          <w:noProof/>
        </w:rPr>
        <w:t>10.4</w:t>
      </w:r>
      <w:r>
        <w:rPr>
          <w:rFonts w:asciiTheme="minorHAnsi" w:eastAsiaTheme="minorEastAsia" w:hAnsiTheme="minorHAnsi" w:cstheme="minorBidi"/>
          <w:noProof/>
          <w:sz w:val="22"/>
          <w:szCs w:val="22"/>
          <w:lang w:eastAsia="en-AU"/>
        </w:rPr>
        <w:tab/>
      </w:r>
      <w:r>
        <w:rPr>
          <w:noProof/>
        </w:rPr>
        <w:t>A hybrid approach that blends a market-based and regulated approach</w:t>
      </w:r>
      <w:r>
        <w:rPr>
          <w:noProof/>
        </w:rPr>
        <w:tab/>
        <w:t>399</w:t>
      </w:r>
    </w:p>
    <w:p w:rsidR="009D6D9C" w:rsidRDefault="009D6D9C">
      <w:pPr>
        <w:pStyle w:val="TOC2"/>
        <w:tabs>
          <w:tab w:val="left" w:pos="1190"/>
        </w:tabs>
        <w:rPr>
          <w:rFonts w:asciiTheme="minorHAnsi" w:eastAsiaTheme="minorEastAsia" w:hAnsiTheme="minorHAnsi" w:cstheme="minorBidi"/>
          <w:noProof/>
          <w:sz w:val="22"/>
          <w:szCs w:val="22"/>
          <w:lang w:eastAsia="en-AU"/>
        </w:rPr>
      </w:pPr>
      <w:r>
        <w:rPr>
          <w:noProof/>
        </w:rPr>
        <w:t>10.5</w:t>
      </w:r>
      <w:r>
        <w:rPr>
          <w:rFonts w:asciiTheme="minorHAnsi" w:eastAsiaTheme="minorEastAsia" w:hAnsiTheme="minorHAnsi" w:cstheme="minorBidi"/>
          <w:noProof/>
          <w:sz w:val="22"/>
          <w:szCs w:val="22"/>
          <w:lang w:eastAsia="en-AU"/>
        </w:rPr>
        <w:tab/>
      </w:r>
      <w:r>
        <w:rPr>
          <w:noProof/>
        </w:rPr>
        <w:t>There must be a role for other parties</w:t>
      </w:r>
      <w:r>
        <w:rPr>
          <w:noProof/>
        </w:rPr>
        <w:tab/>
        <w:t>411</w:t>
      </w:r>
    </w:p>
    <w:p w:rsidR="009D6D9C" w:rsidRDefault="009D6D9C">
      <w:pPr>
        <w:pStyle w:val="TOC2"/>
        <w:tabs>
          <w:tab w:val="left" w:pos="1190"/>
        </w:tabs>
        <w:rPr>
          <w:rFonts w:asciiTheme="minorHAnsi" w:eastAsiaTheme="minorEastAsia" w:hAnsiTheme="minorHAnsi" w:cstheme="minorBidi"/>
          <w:noProof/>
          <w:sz w:val="22"/>
          <w:szCs w:val="22"/>
          <w:lang w:eastAsia="en-AU"/>
        </w:rPr>
      </w:pPr>
      <w:r>
        <w:rPr>
          <w:noProof/>
        </w:rPr>
        <w:t>10.6</w:t>
      </w:r>
      <w:r>
        <w:rPr>
          <w:rFonts w:asciiTheme="minorHAnsi" w:eastAsiaTheme="minorEastAsia" w:hAnsiTheme="minorHAnsi" w:cstheme="minorBidi"/>
          <w:noProof/>
          <w:sz w:val="22"/>
          <w:szCs w:val="22"/>
          <w:lang w:eastAsia="en-AU"/>
        </w:rPr>
        <w:tab/>
      </w:r>
      <w:r>
        <w:rPr>
          <w:noProof/>
        </w:rPr>
        <w:t>Control of the information hub</w:t>
      </w:r>
      <w:r>
        <w:rPr>
          <w:noProof/>
        </w:rPr>
        <w:tab/>
        <w:t>419</w:t>
      </w:r>
    </w:p>
    <w:p w:rsidR="009D6D9C" w:rsidRDefault="009D6D9C">
      <w:pPr>
        <w:pStyle w:val="TOC2"/>
        <w:tabs>
          <w:tab w:val="left" w:pos="1190"/>
        </w:tabs>
        <w:rPr>
          <w:rFonts w:asciiTheme="minorHAnsi" w:eastAsiaTheme="minorEastAsia" w:hAnsiTheme="minorHAnsi" w:cstheme="minorBidi"/>
          <w:noProof/>
          <w:sz w:val="22"/>
          <w:szCs w:val="22"/>
          <w:lang w:eastAsia="en-AU"/>
        </w:rPr>
      </w:pPr>
      <w:r>
        <w:rPr>
          <w:noProof/>
        </w:rPr>
        <w:t>10.7</w:t>
      </w:r>
      <w:r>
        <w:rPr>
          <w:rFonts w:asciiTheme="minorHAnsi" w:eastAsiaTheme="minorEastAsia" w:hAnsiTheme="minorHAnsi" w:cstheme="minorBidi"/>
          <w:noProof/>
          <w:sz w:val="22"/>
          <w:szCs w:val="22"/>
          <w:lang w:eastAsia="en-AU"/>
        </w:rPr>
        <w:tab/>
      </w:r>
      <w:r>
        <w:rPr>
          <w:noProof/>
        </w:rPr>
        <w:t>Direct load as an alternative or complementary option</w:t>
      </w:r>
      <w:r>
        <w:rPr>
          <w:noProof/>
        </w:rPr>
        <w:tab/>
        <w:t>421</w:t>
      </w:r>
    </w:p>
    <w:p w:rsidR="009D6D9C" w:rsidRDefault="009D6D9C">
      <w:pPr>
        <w:pStyle w:val="TOC1"/>
        <w:rPr>
          <w:rFonts w:asciiTheme="minorHAnsi" w:eastAsiaTheme="minorEastAsia" w:hAnsiTheme="minorHAnsi" w:cstheme="minorBidi"/>
          <w:b w:val="0"/>
          <w:noProof/>
          <w:sz w:val="22"/>
          <w:szCs w:val="22"/>
          <w:lang w:eastAsia="en-AU"/>
        </w:rPr>
      </w:pPr>
      <w:r>
        <w:rPr>
          <w:noProof/>
        </w:rPr>
        <w:t>11</w:t>
      </w:r>
      <w:r>
        <w:rPr>
          <w:rFonts w:asciiTheme="minorHAnsi" w:eastAsiaTheme="minorEastAsia" w:hAnsiTheme="minorHAnsi" w:cstheme="minorBidi"/>
          <w:b w:val="0"/>
          <w:noProof/>
          <w:sz w:val="22"/>
          <w:szCs w:val="22"/>
          <w:lang w:eastAsia="en-AU"/>
        </w:rPr>
        <w:tab/>
      </w:r>
      <w:r>
        <w:rPr>
          <w:noProof/>
        </w:rPr>
        <w:t>Moving to time-based pricing for the distribution network</w:t>
      </w:r>
      <w:r>
        <w:rPr>
          <w:noProof/>
        </w:rPr>
        <w:tab/>
        <w:t>427</w:t>
      </w:r>
    </w:p>
    <w:p w:rsidR="009D6D9C" w:rsidRDefault="009D6D9C">
      <w:pPr>
        <w:pStyle w:val="TOC2"/>
        <w:tabs>
          <w:tab w:val="left" w:pos="1190"/>
        </w:tabs>
        <w:rPr>
          <w:rFonts w:asciiTheme="minorHAnsi" w:eastAsiaTheme="minorEastAsia" w:hAnsiTheme="minorHAnsi" w:cstheme="minorBidi"/>
          <w:noProof/>
          <w:sz w:val="22"/>
          <w:szCs w:val="22"/>
          <w:lang w:eastAsia="en-AU"/>
        </w:rPr>
      </w:pPr>
      <w:r>
        <w:rPr>
          <w:noProof/>
        </w:rPr>
        <w:t>11.1</w:t>
      </w:r>
      <w:r>
        <w:rPr>
          <w:rFonts w:asciiTheme="minorHAnsi" w:eastAsiaTheme="minorEastAsia" w:hAnsiTheme="minorHAnsi" w:cstheme="minorBidi"/>
          <w:noProof/>
          <w:sz w:val="22"/>
          <w:szCs w:val="22"/>
          <w:lang w:eastAsia="en-AU"/>
        </w:rPr>
        <w:tab/>
      </w:r>
      <w:r>
        <w:rPr>
          <w:noProof/>
        </w:rPr>
        <w:t>Introduction</w:t>
      </w:r>
      <w:r>
        <w:rPr>
          <w:noProof/>
        </w:rPr>
        <w:tab/>
        <w:t>428</w:t>
      </w:r>
    </w:p>
    <w:p w:rsidR="009D6D9C" w:rsidRDefault="009D6D9C">
      <w:pPr>
        <w:pStyle w:val="TOC2"/>
        <w:tabs>
          <w:tab w:val="left" w:pos="1190"/>
        </w:tabs>
        <w:rPr>
          <w:rFonts w:asciiTheme="minorHAnsi" w:eastAsiaTheme="minorEastAsia" w:hAnsiTheme="minorHAnsi" w:cstheme="minorBidi"/>
          <w:noProof/>
          <w:sz w:val="22"/>
          <w:szCs w:val="22"/>
          <w:lang w:eastAsia="en-AU"/>
        </w:rPr>
      </w:pPr>
      <w:r>
        <w:rPr>
          <w:noProof/>
        </w:rPr>
        <w:t>11.2</w:t>
      </w:r>
      <w:r>
        <w:rPr>
          <w:rFonts w:asciiTheme="minorHAnsi" w:eastAsiaTheme="minorEastAsia" w:hAnsiTheme="minorHAnsi" w:cstheme="minorBidi"/>
          <w:noProof/>
          <w:sz w:val="22"/>
          <w:szCs w:val="22"/>
          <w:lang w:eastAsia="en-AU"/>
        </w:rPr>
        <w:tab/>
      </w:r>
      <w:r>
        <w:rPr>
          <w:noProof/>
        </w:rPr>
        <w:t>How do distribution businesses currently price?</w:t>
      </w:r>
      <w:r>
        <w:rPr>
          <w:noProof/>
        </w:rPr>
        <w:tab/>
        <w:t>430</w:t>
      </w:r>
    </w:p>
    <w:p w:rsidR="009D6D9C" w:rsidRDefault="009D6D9C">
      <w:pPr>
        <w:pStyle w:val="TOC2"/>
        <w:tabs>
          <w:tab w:val="left" w:pos="1190"/>
        </w:tabs>
        <w:rPr>
          <w:rFonts w:asciiTheme="minorHAnsi" w:eastAsiaTheme="minorEastAsia" w:hAnsiTheme="minorHAnsi" w:cstheme="minorBidi"/>
          <w:noProof/>
          <w:sz w:val="22"/>
          <w:szCs w:val="22"/>
          <w:lang w:eastAsia="en-AU"/>
        </w:rPr>
      </w:pPr>
      <w:r>
        <w:rPr>
          <w:noProof/>
        </w:rPr>
        <w:t>11.3</w:t>
      </w:r>
      <w:r>
        <w:rPr>
          <w:rFonts w:asciiTheme="minorHAnsi" w:eastAsiaTheme="minorEastAsia" w:hAnsiTheme="minorHAnsi" w:cstheme="minorBidi"/>
          <w:noProof/>
          <w:sz w:val="22"/>
          <w:szCs w:val="22"/>
          <w:lang w:eastAsia="en-AU"/>
        </w:rPr>
        <w:tab/>
      </w:r>
      <w:r>
        <w:rPr>
          <w:noProof/>
        </w:rPr>
        <w:t>Do the National Electricity Rules facilitate time-based and other efficient pricing approaches?</w:t>
      </w:r>
      <w:r>
        <w:rPr>
          <w:noProof/>
        </w:rPr>
        <w:tab/>
        <w:t>433</w:t>
      </w:r>
    </w:p>
    <w:p w:rsidR="009D6D9C" w:rsidRDefault="009D6D9C">
      <w:pPr>
        <w:pStyle w:val="TOC2"/>
        <w:tabs>
          <w:tab w:val="left" w:pos="1190"/>
        </w:tabs>
        <w:rPr>
          <w:rFonts w:asciiTheme="minorHAnsi" w:eastAsiaTheme="minorEastAsia" w:hAnsiTheme="minorHAnsi" w:cstheme="minorBidi"/>
          <w:noProof/>
          <w:sz w:val="22"/>
          <w:szCs w:val="22"/>
          <w:lang w:eastAsia="en-AU"/>
        </w:rPr>
      </w:pPr>
      <w:r>
        <w:rPr>
          <w:noProof/>
        </w:rPr>
        <w:t>11.4</w:t>
      </w:r>
      <w:r>
        <w:rPr>
          <w:rFonts w:asciiTheme="minorHAnsi" w:eastAsiaTheme="minorEastAsia" w:hAnsiTheme="minorHAnsi" w:cstheme="minorBidi"/>
          <w:noProof/>
          <w:sz w:val="22"/>
          <w:szCs w:val="22"/>
          <w:lang w:eastAsia="en-AU"/>
        </w:rPr>
        <w:tab/>
      </w:r>
      <w:r>
        <w:rPr>
          <w:noProof/>
        </w:rPr>
        <w:t>Designing time-based prices for distribution networks</w:t>
      </w:r>
      <w:r>
        <w:rPr>
          <w:noProof/>
        </w:rPr>
        <w:tab/>
        <w:t>435</w:t>
      </w:r>
    </w:p>
    <w:p w:rsidR="009D6D9C" w:rsidRDefault="009D6D9C">
      <w:pPr>
        <w:pStyle w:val="TOC2"/>
        <w:tabs>
          <w:tab w:val="left" w:pos="1190"/>
        </w:tabs>
        <w:rPr>
          <w:rFonts w:asciiTheme="minorHAnsi" w:eastAsiaTheme="minorEastAsia" w:hAnsiTheme="minorHAnsi" w:cstheme="minorBidi"/>
          <w:noProof/>
          <w:sz w:val="22"/>
          <w:szCs w:val="22"/>
          <w:lang w:eastAsia="en-AU"/>
        </w:rPr>
      </w:pPr>
      <w:r>
        <w:rPr>
          <w:noProof/>
        </w:rPr>
        <w:t>11.5</w:t>
      </w:r>
      <w:r>
        <w:rPr>
          <w:rFonts w:asciiTheme="minorHAnsi" w:eastAsiaTheme="minorEastAsia" w:hAnsiTheme="minorHAnsi" w:cstheme="minorBidi"/>
          <w:noProof/>
          <w:sz w:val="22"/>
          <w:szCs w:val="22"/>
          <w:lang w:eastAsia="en-AU"/>
        </w:rPr>
        <w:tab/>
      </w:r>
      <w:r>
        <w:rPr>
          <w:noProof/>
        </w:rPr>
        <w:t>A supervising role for SCER is a first step in implementing time-based pricing</w:t>
      </w:r>
      <w:r>
        <w:rPr>
          <w:noProof/>
        </w:rPr>
        <w:tab/>
        <w:t>442</w:t>
      </w:r>
    </w:p>
    <w:p w:rsidR="009D6D9C" w:rsidRDefault="009D6D9C">
      <w:pPr>
        <w:pStyle w:val="TOC2"/>
        <w:tabs>
          <w:tab w:val="left" w:pos="1190"/>
        </w:tabs>
        <w:rPr>
          <w:rFonts w:asciiTheme="minorHAnsi" w:eastAsiaTheme="minorEastAsia" w:hAnsiTheme="minorHAnsi" w:cstheme="minorBidi"/>
          <w:noProof/>
          <w:sz w:val="22"/>
          <w:szCs w:val="22"/>
          <w:lang w:eastAsia="en-AU"/>
        </w:rPr>
      </w:pPr>
      <w:r>
        <w:rPr>
          <w:noProof/>
        </w:rPr>
        <w:t>11.6</w:t>
      </w:r>
      <w:r>
        <w:rPr>
          <w:rFonts w:asciiTheme="minorHAnsi" w:eastAsiaTheme="minorEastAsia" w:hAnsiTheme="minorHAnsi" w:cstheme="minorBidi"/>
          <w:noProof/>
          <w:sz w:val="22"/>
          <w:szCs w:val="22"/>
          <w:lang w:eastAsia="en-AU"/>
        </w:rPr>
        <w:tab/>
      </w:r>
      <w:r>
        <w:rPr>
          <w:noProof/>
        </w:rPr>
        <w:t>A NEM-wide licensing regime for network providers</w:t>
      </w:r>
      <w:r>
        <w:rPr>
          <w:noProof/>
        </w:rPr>
        <w:tab/>
        <w:t>443</w:t>
      </w:r>
    </w:p>
    <w:p w:rsidR="009D6D9C" w:rsidRDefault="009D6D9C">
      <w:pPr>
        <w:pStyle w:val="TOC2"/>
        <w:tabs>
          <w:tab w:val="left" w:pos="1190"/>
        </w:tabs>
        <w:rPr>
          <w:rFonts w:asciiTheme="minorHAnsi" w:eastAsiaTheme="minorEastAsia" w:hAnsiTheme="minorHAnsi" w:cstheme="minorBidi"/>
          <w:noProof/>
          <w:sz w:val="22"/>
          <w:szCs w:val="22"/>
          <w:lang w:eastAsia="en-AU"/>
        </w:rPr>
      </w:pPr>
      <w:r>
        <w:rPr>
          <w:noProof/>
        </w:rPr>
        <w:t>11.7</w:t>
      </w:r>
      <w:r>
        <w:rPr>
          <w:rFonts w:asciiTheme="minorHAnsi" w:eastAsiaTheme="minorEastAsia" w:hAnsiTheme="minorHAnsi" w:cstheme="minorBidi"/>
          <w:noProof/>
          <w:sz w:val="22"/>
          <w:szCs w:val="22"/>
          <w:lang w:eastAsia="en-AU"/>
        </w:rPr>
        <w:tab/>
      </w:r>
      <w:r>
        <w:rPr>
          <w:noProof/>
        </w:rPr>
        <w:t>Tightening and augmenting aspects of the Rules</w:t>
      </w:r>
      <w:r>
        <w:rPr>
          <w:noProof/>
        </w:rPr>
        <w:tab/>
        <w:t>447</w:t>
      </w:r>
    </w:p>
    <w:p w:rsidR="009D6D9C" w:rsidRDefault="009D6D9C">
      <w:pPr>
        <w:pStyle w:val="TOC2"/>
        <w:tabs>
          <w:tab w:val="left" w:pos="1190"/>
        </w:tabs>
        <w:rPr>
          <w:rFonts w:asciiTheme="minorHAnsi" w:eastAsiaTheme="minorEastAsia" w:hAnsiTheme="minorHAnsi" w:cstheme="minorBidi"/>
          <w:noProof/>
          <w:sz w:val="22"/>
          <w:szCs w:val="22"/>
          <w:lang w:eastAsia="en-AU"/>
        </w:rPr>
      </w:pPr>
      <w:r>
        <w:rPr>
          <w:noProof/>
        </w:rPr>
        <w:t>11.8</w:t>
      </w:r>
      <w:r>
        <w:rPr>
          <w:rFonts w:asciiTheme="minorHAnsi" w:eastAsiaTheme="minorEastAsia" w:hAnsiTheme="minorHAnsi" w:cstheme="minorBidi"/>
          <w:noProof/>
          <w:sz w:val="22"/>
          <w:szCs w:val="22"/>
          <w:lang w:eastAsia="en-AU"/>
        </w:rPr>
        <w:tab/>
      </w:r>
      <w:r>
        <w:rPr>
          <w:noProof/>
        </w:rPr>
        <w:t>Guidelines to support methodological development and data collection</w:t>
      </w:r>
      <w:r>
        <w:rPr>
          <w:noProof/>
        </w:rPr>
        <w:tab/>
        <w:t>450</w:t>
      </w:r>
    </w:p>
    <w:p w:rsidR="009D6D9C" w:rsidRDefault="009D6D9C">
      <w:pPr>
        <w:pStyle w:val="TOC2"/>
        <w:tabs>
          <w:tab w:val="left" w:pos="1190"/>
        </w:tabs>
        <w:rPr>
          <w:rFonts w:asciiTheme="minorHAnsi" w:eastAsiaTheme="minorEastAsia" w:hAnsiTheme="minorHAnsi" w:cstheme="minorBidi"/>
          <w:noProof/>
          <w:sz w:val="22"/>
          <w:szCs w:val="22"/>
          <w:lang w:eastAsia="en-AU"/>
        </w:rPr>
      </w:pPr>
      <w:r>
        <w:rPr>
          <w:noProof/>
        </w:rPr>
        <w:t>11.9</w:t>
      </w:r>
      <w:r>
        <w:rPr>
          <w:rFonts w:asciiTheme="minorHAnsi" w:eastAsiaTheme="minorEastAsia" w:hAnsiTheme="minorHAnsi" w:cstheme="minorBidi"/>
          <w:noProof/>
          <w:sz w:val="22"/>
          <w:szCs w:val="22"/>
          <w:lang w:eastAsia="en-AU"/>
        </w:rPr>
        <w:tab/>
      </w:r>
      <w:r>
        <w:rPr>
          <w:noProof/>
        </w:rPr>
        <w:t>Addressing affordability and equity issues</w:t>
      </w:r>
      <w:r>
        <w:rPr>
          <w:noProof/>
        </w:rPr>
        <w:tab/>
        <w:t>451</w:t>
      </w:r>
    </w:p>
    <w:p w:rsidR="009D6D9C" w:rsidRDefault="009D6D9C">
      <w:pPr>
        <w:pStyle w:val="TOC2"/>
        <w:tabs>
          <w:tab w:val="left" w:pos="1320"/>
        </w:tabs>
        <w:rPr>
          <w:rFonts w:asciiTheme="minorHAnsi" w:eastAsiaTheme="minorEastAsia" w:hAnsiTheme="minorHAnsi" w:cstheme="minorBidi"/>
          <w:noProof/>
          <w:sz w:val="22"/>
          <w:szCs w:val="22"/>
          <w:lang w:eastAsia="en-AU"/>
        </w:rPr>
      </w:pPr>
      <w:r>
        <w:rPr>
          <w:noProof/>
        </w:rPr>
        <w:t>11.10</w:t>
      </w:r>
      <w:r>
        <w:rPr>
          <w:rFonts w:asciiTheme="minorHAnsi" w:eastAsiaTheme="minorEastAsia" w:hAnsiTheme="minorHAnsi" w:cstheme="minorBidi"/>
          <w:noProof/>
          <w:sz w:val="22"/>
          <w:szCs w:val="22"/>
          <w:lang w:eastAsia="en-AU"/>
        </w:rPr>
        <w:tab/>
      </w:r>
      <w:r>
        <w:rPr>
          <w:noProof/>
        </w:rPr>
        <w:t>The nature of the transition to time-based pricing</w:t>
      </w:r>
      <w:r>
        <w:rPr>
          <w:noProof/>
        </w:rPr>
        <w:tab/>
        <w:t>455</w:t>
      </w:r>
    </w:p>
    <w:p w:rsidR="009D6D9C" w:rsidRDefault="009D6D9C">
      <w:pPr>
        <w:pStyle w:val="TOC2"/>
        <w:tabs>
          <w:tab w:val="left" w:pos="1320"/>
        </w:tabs>
        <w:rPr>
          <w:rFonts w:asciiTheme="minorHAnsi" w:eastAsiaTheme="minorEastAsia" w:hAnsiTheme="minorHAnsi" w:cstheme="minorBidi"/>
          <w:noProof/>
          <w:sz w:val="22"/>
          <w:szCs w:val="22"/>
          <w:lang w:eastAsia="en-AU"/>
        </w:rPr>
      </w:pPr>
      <w:r>
        <w:rPr>
          <w:noProof/>
        </w:rPr>
        <w:t>11.11</w:t>
      </w:r>
      <w:r>
        <w:rPr>
          <w:rFonts w:asciiTheme="minorHAnsi" w:eastAsiaTheme="minorEastAsia" w:hAnsiTheme="minorHAnsi" w:cstheme="minorBidi"/>
          <w:noProof/>
          <w:sz w:val="22"/>
          <w:szCs w:val="22"/>
          <w:lang w:eastAsia="en-AU"/>
        </w:rPr>
        <w:tab/>
      </w:r>
      <w:r>
        <w:rPr>
          <w:noProof/>
        </w:rPr>
        <w:t>The importance of effective engagement and customer education</w:t>
      </w:r>
      <w:r>
        <w:rPr>
          <w:noProof/>
        </w:rPr>
        <w:tab/>
        <w:t>460</w:t>
      </w:r>
    </w:p>
    <w:p w:rsidR="009D6D9C" w:rsidRDefault="009D6D9C">
      <w:pPr>
        <w:pStyle w:val="TOC1"/>
        <w:rPr>
          <w:rFonts w:asciiTheme="minorHAnsi" w:eastAsiaTheme="minorEastAsia" w:hAnsiTheme="minorHAnsi" w:cstheme="minorBidi"/>
          <w:b w:val="0"/>
          <w:noProof/>
          <w:sz w:val="22"/>
          <w:szCs w:val="22"/>
          <w:lang w:eastAsia="en-AU"/>
        </w:rPr>
      </w:pPr>
      <w:r>
        <w:rPr>
          <w:noProof/>
        </w:rPr>
        <w:t>12</w:t>
      </w:r>
      <w:r>
        <w:rPr>
          <w:rFonts w:asciiTheme="minorHAnsi" w:eastAsiaTheme="minorEastAsia" w:hAnsiTheme="minorHAnsi" w:cstheme="minorBidi"/>
          <w:b w:val="0"/>
          <w:noProof/>
          <w:sz w:val="22"/>
          <w:szCs w:val="22"/>
          <w:lang w:eastAsia="en-AU"/>
        </w:rPr>
        <w:tab/>
      </w:r>
      <w:r>
        <w:rPr>
          <w:noProof/>
        </w:rPr>
        <w:t>Complementary reforms to support demand management</w:t>
      </w:r>
      <w:r>
        <w:rPr>
          <w:noProof/>
        </w:rPr>
        <w:tab/>
        <w:t>465</w:t>
      </w:r>
    </w:p>
    <w:p w:rsidR="009D6D9C" w:rsidRDefault="009D6D9C">
      <w:pPr>
        <w:pStyle w:val="TOC2"/>
        <w:tabs>
          <w:tab w:val="left" w:pos="1190"/>
        </w:tabs>
        <w:rPr>
          <w:rFonts w:asciiTheme="minorHAnsi" w:eastAsiaTheme="minorEastAsia" w:hAnsiTheme="minorHAnsi" w:cstheme="minorBidi"/>
          <w:noProof/>
          <w:sz w:val="22"/>
          <w:szCs w:val="22"/>
          <w:lang w:eastAsia="en-AU"/>
        </w:rPr>
      </w:pPr>
      <w:r>
        <w:rPr>
          <w:noProof/>
        </w:rPr>
        <w:t>12.1</w:t>
      </w:r>
      <w:r>
        <w:rPr>
          <w:rFonts w:asciiTheme="minorHAnsi" w:eastAsiaTheme="minorEastAsia" w:hAnsiTheme="minorHAnsi" w:cstheme="minorBidi"/>
          <w:noProof/>
          <w:sz w:val="22"/>
          <w:szCs w:val="22"/>
          <w:lang w:eastAsia="en-AU"/>
        </w:rPr>
        <w:tab/>
      </w:r>
      <w:r>
        <w:rPr>
          <w:noProof/>
        </w:rPr>
        <w:t>Choice of revenue control mechanism — revenue caps versus weighted average price caps</w:t>
      </w:r>
      <w:r>
        <w:rPr>
          <w:noProof/>
        </w:rPr>
        <w:tab/>
        <w:t>466</w:t>
      </w:r>
    </w:p>
    <w:p w:rsidR="009D6D9C" w:rsidRDefault="009D6D9C">
      <w:pPr>
        <w:pStyle w:val="TOC2"/>
        <w:tabs>
          <w:tab w:val="left" w:pos="1190"/>
        </w:tabs>
        <w:rPr>
          <w:rFonts w:asciiTheme="minorHAnsi" w:eastAsiaTheme="minorEastAsia" w:hAnsiTheme="minorHAnsi" w:cstheme="minorBidi"/>
          <w:noProof/>
          <w:sz w:val="22"/>
          <w:szCs w:val="22"/>
          <w:lang w:eastAsia="en-AU"/>
        </w:rPr>
      </w:pPr>
      <w:r>
        <w:rPr>
          <w:noProof/>
        </w:rPr>
        <w:t>12.2</w:t>
      </w:r>
      <w:r>
        <w:rPr>
          <w:rFonts w:asciiTheme="minorHAnsi" w:eastAsiaTheme="minorEastAsia" w:hAnsiTheme="minorHAnsi" w:cstheme="minorBidi"/>
          <w:noProof/>
          <w:sz w:val="22"/>
          <w:szCs w:val="22"/>
          <w:lang w:eastAsia="en-AU"/>
        </w:rPr>
        <w:tab/>
      </w:r>
      <w:r>
        <w:rPr>
          <w:noProof/>
        </w:rPr>
        <w:t>The incentives of network businesses to undertake demand management</w:t>
      </w:r>
      <w:r>
        <w:rPr>
          <w:noProof/>
        </w:rPr>
        <w:tab/>
        <w:t>479</w:t>
      </w:r>
    </w:p>
    <w:p w:rsidR="009D6D9C" w:rsidRDefault="009D6D9C">
      <w:pPr>
        <w:pStyle w:val="TOC2"/>
        <w:tabs>
          <w:tab w:val="left" w:pos="1190"/>
        </w:tabs>
        <w:rPr>
          <w:rFonts w:asciiTheme="minorHAnsi" w:eastAsiaTheme="minorEastAsia" w:hAnsiTheme="minorHAnsi" w:cstheme="minorBidi"/>
          <w:noProof/>
          <w:sz w:val="22"/>
          <w:szCs w:val="22"/>
          <w:lang w:eastAsia="en-AU"/>
        </w:rPr>
      </w:pPr>
      <w:r>
        <w:rPr>
          <w:noProof/>
        </w:rPr>
        <w:lastRenderedPageBreak/>
        <w:t>12.3</w:t>
      </w:r>
      <w:r>
        <w:rPr>
          <w:rFonts w:asciiTheme="minorHAnsi" w:eastAsiaTheme="minorEastAsia" w:hAnsiTheme="minorHAnsi" w:cstheme="minorBidi"/>
          <w:noProof/>
          <w:sz w:val="22"/>
          <w:szCs w:val="22"/>
          <w:lang w:eastAsia="en-AU"/>
        </w:rPr>
        <w:tab/>
      </w:r>
      <w:r>
        <w:rPr>
          <w:noProof/>
        </w:rPr>
        <w:t>Retailers’ incentives and price regulation</w:t>
      </w:r>
      <w:r>
        <w:rPr>
          <w:noProof/>
        </w:rPr>
        <w:tab/>
        <w:t>483</w:t>
      </w:r>
    </w:p>
    <w:p w:rsidR="009D6D9C" w:rsidRDefault="009D6D9C">
      <w:pPr>
        <w:pStyle w:val="TOC2"/>
        <w:tabs>
          <w:tab w:val="left" w:pos="1190"/>
        </w:tabs>
        <w:rPr>
          <w:rFonts w:asciiTheme="minorHAnsi" w:eastAsiaTheme="minorEastAsia" w:hAnsiTheme="minorHAnsi" w:cstheme="minorBidi"/>
          <w:noProof/>
          <w:sz w:val="22"/>
          <w:szCs w:val="22"/>
          <w:lang w:eastAsia="en-AU"/>
        </w:rPr>
      </w:pPr>
      <w:r>
        <w:rPr>
          <w:noProof/>
        </w:rPr>
        <w:t>12.4</w:t>
      </w:r>
      <w:r>
        <w:rPr>
          <w:rFonts w:asciiTheme="minorHAnsi" w:eastAsiaTheme="minorEastAsia" w:hAnsiTheme="minorHAnsi" w:cstheme="minorBidi"/>
          <w:noProof/>
          <w:sz w:val="22"/>
          <w:szCs w:val="22"/>
          <w:lang w:eastAsia="en-AU"/>
        </w:rPr>
        <w:tab/>
      </w:r>
      <w:r>
        <w:rPr>
          <w:noProof/>
        </w:rPr>
        <w:t>The AEMC’s proposed ‘demand response mechanism’ in the Power of Choice</w:t>
      </w:r>
      <w:r w:rsidRPr="00EA27C1">
        <w:rPr>
          <w:i/>
          <w:noProof/>
        </w:rPr>
        <w:t xml:space="preserve"> </w:t>
      </w:r>
      <w:r>
        <w:rPr>
          <w:noProof/>
        </w:rPr>
        <w:t>review</w:t>
      </w:r>
      <w:r>
        <w:rPr>
          <w:noProof/>
        </w:rPr>
        <w:tab/>
        <w:t>498</w:t>
      </w:r>
    </w:p>
    <w:p w:rsidR="009D6D9C" w:rsidRDefault="009D6D9C">
      <w:pPr>
        <w:pStyle w:val="TOC1"/>
        <w:rPr>
          <w:rFonts w:asciiTheme="minorHAnsi" w:eastAsiaTheme="minorEastAsia" w:hAnsiTheme="minorHAnsi" w:cstheme="minorBidi"/>
          <w:b w:val="0"/>
          <w:noProof/>
          <w:sz w:val="22"/>
          <w:szCs w:val="22"/>
          <w:lang w:eastAsia="en-AU"/>
        </w:rPr>
      </w:pPr>
      <w:r>
        <w:rPr>
          <w:noProof/>
        </w:rPr>
        <w:t>13</w:t>
      </w:r>
      <w:r>
        <w:rPr>
          <w:rFonts w:asciiTheme="minorHAnsi" w:eastAsiaTheme="minorEastAsia" w:hAnsiTheme="minorHAnsi" w:cstheme="minorBidi"/>
          <w:b w:val="0"/>
          <w:noProof/>
          <w:sz w:val="22"/>
          <w:szCs w:val="22"/>
          <w:lang w:eastAsia="en-AU"/>
        </w:rPr>
        <w:tab/>
      </w:r>
      <w:r>
        <w:rPr>
          <w:noProof/>
        </w:rPr>
        <w:t>Distributed generation</w:t>
      </w:r>
      <w:r>
        <w:rPr>
          <w:noProof/>
        </w:rPr>
        <w:tab/>
        <w:t>501</w:t>
      </w:r>
    </w:p>
    <w:p w:rsidR="009D6D9C" w:rsidRDefault="009D6D9C">
      <w:pPr>
        <w:pStyle w:val="TOC2"/>
        <w:tabs>
          <w:tab w:val="left" w:pos="1190"/>
        </w:tabs>
        <w:rPr>
          <w:rFonts w:asciiTheme="minorHAnsi" w:eastAsiaTheme="minorEastAsia" w:hAnsiTheme="minorHAnsi" w:cstheme="minorBidi"/>
          <w:noProof/>
          <w:sz w:val="22"/>
          <w:szCs w:val="22"/>
          <w:lang w:eastAsia="en-AU"/>
        </w:rPr>
      </w:pPr>
      <w:r>
        <w:rPr>
          <w:noProof/>
        </w:rPr>
        <w:t>13.1</w:t>
      </w:r>
      <w:r>
        <w:rPr>
          <w:rFonts w:asciiTheme="minorHAnsi" w:eastAsiaTheme="minorEastAsia" w:hAnsiTheme="minorHAnsi" w:cstheme="minorBidi"/>
          <w:noProof/>
          <w:sz w:val="22"/>
          <w:szCs w:val="22"/>
          <w:lang w:eastAsia="en-AU"/>
        </w:rPr>
        <w:tab/>
      </w:r>
      <w:r>
        <w:rPr>
          <w:noProof/>
        </w:rPr>
        <w:t>What is distributed generation?</w:t>
      </w:r>
      <w:r>
        <w:rPr>
          <w:noProof/>
        </w:rPr>
        <w:tab/>
        <w:t>502</w:t>
      </w:r>
    </w:p>
    <w:p w:rsidR="009D6D9C" w:rsidRDefault="009D6D9C">
      <w:pPr>
        <w:pStyle w:val="TOC2"/>
        <w:tabs>
          <w:tab w:val="left" w:pos="1190"/>
        </w:tabs>
        <w:rPr>
          <w:rFonts w:asciiTheme="minorHAnsi" w:eastAsiaTheme="minorEastAsia" w:hAnsiTheme="minorHAnsi" w:cstheme="minorBidi"/>
          <w:noProof/>
          <w:sz w:val="22"/>
          <w:szCs w:val="22"/>
          <w:lang w:eastAsia="en-AU"/>
        </w:rPr>
      </w:pPr>
      <w:r>
        <w:rPr>
          <w:noProof/>
        </w:rPr>
        <w:t>13.2</w:t>
      </w:r>
      <w:r>
        <w:rPr>
          <w:rFonts w:asciiTheme="minorHAnsi" w:eastAsiaTheme="minorEastAsia" w:hAnsiTheme="minorHAnsi" w:cstheme="minorBidi"/>
          <w:noProof/>
          <w:sz w:val="22"/>
          <w:szCs w:val="22"/>
          <w:lang w:eastAsia="en-AU"/>
        </w:rPr>
        <w:tab/>
      </w:r>
      <w:r>
        <w:rPr>
          <w:noProof/>
        </w:rPr>
        <w:t>Scale of distributed generation in Australia</w:t>
      </w:r>
      <w:r>
        <w:rPr>
          <w:noProof/>
        </w:rPr>
        <w:tab/>
        <w:t>504</w:t>
      </w:r>
    </w:p>
    <w:p w:rsidR="009D6D9C" w:rsidRDefault="009D6D9C">
      <w:pPr>
        <w:pStyle w:val="TOC2"/>
        <w:tabs>
          <w:tab w:val="left" w:pos="1190"/>
        </w:tabs>
        <w:rPr>
          <w:rFonts w:asciiTheme="minorHAnsi" w:eastAsiaTheme="minorEastAsia" w:hAnsiTheme="minorHAnsi" w:cstheme="minorBidi"/>
          <w:noProof/>
          <w:sz w:val="22"/>
          <w:szCs w:val="22"/>
          <w:lang w:eastAsia="en-AU"/>
        </w:rPr>
      </w:pPr>
      <w:r>
        <w:rPr>
          <w:noProof/>
        </w:rPr>
        <w:t>13.3</w:t>
      </w:r>
      <w:r>
        <w:rPr>
          <w:rFonts w:asciiTheme="minorHAnsi" w:eastAsiaTheme="minorEastAsia" w:hAnsiTheme="minorHAnsi" w:cstheme="minorBidi"/>
          <w:noProof/>
          <w:sz w:val="22"/>
          <w:szCs w:val="22"/>
          <w:lang w:eastAsia="en-AU"/>
        </w:rPr>
        <w:tab/>
      </w:r>
      <w:r>
        <w:rPr>
          <w:noProof/>
        </w:rPr>
        <w:t>Potential benefits of distributed generation</w:t>
      </w:r>
      <w:r>
        <w:rPr>
          <w:noProof/>
        </w:rPr>
        <w:tab/>
        <w:t>505</w:t>
      </w:r>
    </w:p>
    <w:p w:rsidR="009D6D9C" w:rsidRDefault="009D6D9C">
      <w:pPr>
        <w:pStyle w:val="TOC2"/>
        <w:tabs>
          <w:tab w:val="left" w:pos="1190"/>
        </w:tabs>
        <w:rPr>
          <w:rFonts w:asciiTheme="minorHAnsi" w:eastAsiaTheme="minorEastAsia" w:hAnsiTheme="minorHAnsi" w:cstheme="minorBidi"/>
          <w:noProof/>
          <w:sz w:val="22"/>
          <w:szCs w:val="22"/>
          <w:lang w:eastAsia="en-AU"/>
        </w:rPr>
      </w:pPr>
      <w:r>
        <w:rPr>
          <w:noProof/>
        </w:rPr>
        <w:t>13.4</w:t>
      </w:r>
      <w:r>
        <w:rPr>
          <w:rFonts w:asciiTheme="minorHAnsi" w:eastAsiaTheme="minorEastAsia" w:hAnsiTheme="minorHAnsi" w:cstheme="minorBidi"/>
          <w:noProof/>
          <w:sz w:val="22"/>
          <w:szCs w:val="22"/>
          <w:lang w:eastAsia="en-AU"/>
        </w:rPr>
        <w:tab/>
      </w:r>
      <w:r>
        <w:rPr>
          <w:noProof/>
        </w:rPr>
        <w:t>Effects of distributed generation on network costs</w:t>
      </w:r>
      <w:r>
        <w:rPr>
          <w:noProof/>
        </w:rPr>
        <w:tab/>
        <w:t>506</w:t>
      </w:r>
    </w:p>
    <w:p w:rsidR="009D6D9C" w:rsidRDefault="009D6D9C">
      <w:pPr>
        <w:pStyle w:val="TOC2"/>
        <w:tabs>
          <w:tab w:val="left" w:pos="1190"/>
        </w:tabs>
        <w:rPr>
          <w:rFonts w:asciiTheme="minorHAnsi" w:eastAsiaTheme="minorEastAsia" w:hAnsiTheme="minorHAnsi" w:cstheme="minorBidi"/>
          <w:noProof/>
          <w:sz w:val="22"/>
          <w:szCs w:val="22"/>
          <w:lang w:eastAsia="en-AU"/>
        </w:rPr>
      </w:pPr>
      <w:r>
        <w:rPr>
          <w:noProof/>
        </w:rPr>
        <w:t>13.5</w:t>
      </w:r>
      <w:r>
        <w:rPr>
          <w:rFonts w:asciiTheme="minorHAnsi" w:eastAsiaTheme="minorEastAsia" w:hAnsiTheme="minorHAnsi" w:cstheme="minorBidi"/>
          <w:noProof/>
          <w:sz w:val="22"/>
          <w:szCs w:val="22"/>
          <w:lang w:eastAsia="en-AU"/>
        </w:rPr>
        <w:tab/>
      </w:r>
      <w:r>
        <w:rPr>
          <w:noProof/>
        </w:rPr>
        <w:t>Obstacles to efficient network investment</w:t>
      </w:r>
      <w:r>
        <w:rPr>
          <w:noProof/>
        </w:rPr>
        <w:tab/>
        <w:t>511</w:t>
      </w:r>
    </w:p>
    <w:p w:rsidR="009D6D9C" w:rsidRDefault="009D6D9C">
      <w:pPr>
        <w:pStyle w:val="TOC2"/>
        <w:tabs>
          <w:tab w:val="left" w:pos="1190"/>
        </w:tabs>
        <w:rPr>
          <w:rFonts w:asciiTheme="minorHAnsi" w:eastAsiaTheme="minorEastAsia" w:hAnsiTheme="minorHAnsi" w:cstheme="minorBidi"/>
          <w:noProof/>
          <w:sz w:val="22"/>
          <w:szCs w:val="22"/>
          <w:lang w:eastAsia="en-AU"/>
        </w:rPr>
      </w:pPr>
      <w:r>
        <w:rPr>
          <w:noProof/>
        </w:rPr>
        <w:t>13.6</w:t>
      </w:r>
      <w:r>
        <w:rPr>
          <w:rFonts w:asciiTheme="minorHAnsi" w:eastAsiaTheme="minorEastAsia" w:hAnsiTheme="minorHAnsi" w:cstheme="minorBidi"/>
          <w:noProof/>
          <w:sz w:val="22"/>
          <w:szCs w:val="22"/>
          <w:lang w:eastAsia="en-AU"/>
        </w:rPr>
        <w:tab/>
      </w:r>
      <w:r>
        <w:rPr>
          <w:noProof/>
        </w:rPr>
        <w:t>Benchmarking to achieve efficient levels of network use of distributed generation</w:t>
      </w:r>
      <w:r>
        <w:rPr>
          <w:noProof/>
        </w:rPr>
        <w:tab/>
        <w:t>522</w:t>
      </w:r>
    </w:p>
    <w:p w:rsidR="009D6D9C" w:rsidRDefault="009D6D9C">
      <w:pPr>
        <w:pStyle w:val="TOC1"/>
        <w:rPr>
          <w:rFonts w:asciiTheme="minorHAnsi" w:eastAsiaTheme="minorEastAsia" w:hAnsiTheme="minorHAnsi" w:cstheme="minorBidi"/>
          <w:b w:val="0"/>
          <w:noProof/>
          <w:sz w:val="22"/>
          <w:szCs w:val="22"/>
          <w:lang w:eastAsia="en-AU"/>
        </w:rPr>
      </w:pPr>
      <w:r>
        <w:rPr>
          <w:noProof/>
        </w:rPr>
        <w:t>14</w:t>
      </w:r>
      <w:r>
        <w:rPr>
          <w:rFonts w:asciiTheme="minorHAnsi" w:eastAsiaTheme="minorEastAsia" w:hAnsiTheme="minorHAnsi" w:cstheme="minorBidi"/>
          <w:b w:val="0"/>
          <w:noProof/>
          <w:sz w:val="22"/>
          <w:szCs w:val="22"/>
          <w:lang w:eastAsia="en-AU"/>
        </w:rPr>
        <w:tab/>
      </w:r>
      <w:r>
        <w:rPr>
          <w:noProof/>
        </w:rPr>
        <w:t>Building a reliability framework in order to benchmark</w:t>
      </w:r>
      <w:r>
        <w:rPr>
          <w:noProof/>
        </w:rPr>
        <w:tab/>
        <w:t>525</w:t>
      </w:r>
    </w:p>
    <w:p w:rsidR="009D6D9C" w:rsidRDefault="009D6D9C">
      <w:pPr>
        <w:pStyle w:val="TOC2"/>
        <w:tabs>
          <w:tab w:val="left" w:pos="1190"/>
        </w:tabs>
        <w:rPr>
          <w:rFonts w:asciiTheme="minorHAnsi" w:eastAsiaTheme="minorEastAsia" w:hAnsiTheme="minorHAnsi" w:cstheme="minorBidi"/>
          <w:noProof/>
          <w:sz w:val="22"/>
          <w:szCs w:val="22"/>
          <w:lang w:eastAsia="en-AU"/>
        </w:rPr>
      </w:pPr>
      <w:r>
        <w:rPr>
          <w:noProof/>
        </w:rPr>
        <w:t>14.1</w:t>
      </w:r>
      <w:r>
        <w:rPr>
          <w:rFonts w:asciiTheme="minorHAnsi" w:eastAsiaTheme="minorEastAsia" w:hAnsiTheme="minorHAnsi" w:cstheme="minorBidi"/>
          <w:noProof/>
          <w:sz w:val="22"/>
          <w:szCs w:val="22"/>
          <w:lang w:eastAsia="en-AU"/>
        </w:rPr>
        <w:tab/>
      </w:r>
      <w:r>
        <w:rPr>
          <w:noProof/>
        </w:rPr>
        <w:t>What issues does reliability raise?</w:t>
      </w:r>
      <w:r>
        <w:rPr>
          <w:noProof/>
        </w:rPr>
        <w:tab/>
        <w:t>527</w:t>
      </w:r>
    </w:p>
    <w:p w:rsidR="009D6D9C" w:rsidRDefault="009D6D9C">
      <w:pPr>
        <w:pStyle w:val="TOC2"/>
        <w:tabs>
          <w:tab w:val="left" w:pos="1190"/>
        </w:tabs>
        <w:rPr>
          <w:rFonts w:asciiTheme="minorHAnsi" w:eastAsiaTheme="minorEastAsia" w:hAnsiTheme="minorHAnsi" w:cstheme="minorBidi"/>
          <w:noProof/>
          <w:sz w:val="22"/>
          <w:szCs w:val="22"/>
          <w:lang w:eastAsia="en-AU"/>
        </w:rPr>
      </w:pPr>
      <w:r>
        <w:rPr>
          <w:noProof/>
        </w:rPr>
        <w:t>14.2</w:t>
      </w:r>
      <w:r>
        <w:rPr>
          <w:rFonts w:asciiTheme="minorHAnsi" w:eastAsiaTheme="minorEastAsia" w:hAnsiTheme="minorHAnsi" w:cstheme="minorBidi"/>
          <w:noProof/>
          <w:sz w:val="22"/>
          <w:szCs w:val="22"/>
          <w:lang w:eastAsia="en-AU"/>
        </w:rPr>
        <w:tab/>
      </w:r>
      <w:r>
        <w:rPr>
          <w:noProof/>
        </w:rPr>
        <w:t>Reliability under incentive regulation</w:t>
      </w:r>
      <w:r>
        <w:rPr>
          <w:noProof/>
        </w:rPr>
        <w:tab/>
        <w:t>529</w:t>
      </w:r>
    </w:p>
    <w:p w:rsidR="009D6D9C" w:rsidRDefault="009D6D9C">
      <w:pPr>
        <w:pStyle w:val="TOC2"/>
        <w:tabs>
          <w:tab w:val="left" w:pos="1190"/>
        </w:tabs>
        <w:rPr>
          <w:rFonts w:asciiTheme="minorHAnsi" w:eastAsiaTheme="minorEastAsia" w:hAnsiTheme="minorHAnsi" w:cstheme="minorBidi"/>
          <w:noProof/>
          <w:sz w:val="22"/>
          <w:szCs w:val="22"/>
          <w:lang w:eastAsia="en-AU"/>
        </w:rPr>
      </w:pPr>
      <w:r>
        <w:rPr>
          <w:noProof/>
        </w:rPr>
        <w:t>14.3</w:t>
      </w:r>
      <w:r>
        <w:rPr>
          <w:rFonts w:asciiTheme="minorHAnsi" w:eastAsiaTheme="minorEastAsia" w:hAnsiTheme="minorHAnsi" w:cstheme="minorBidi"/>
          <w:noProof/>
          <w:sz w:val="22"/>
          <w:szCs w:val="22"/>
          <w:lang w:eastAsia="en-AU"/>
        </w:rPr>
        <w:tab/>
      </w:r>
      <w:r>
        <w:rPr>
          <w:noProof/>
        </w:rPr>
        <w:t>The costs of reliability for network businesses</w:t>
      </w:r>
      <w:r>
        <w:rPr>
          <w:noProof/>
        </w:rPr>
        <w:tab/>
        <w:t>530</w:t>
      </w:r>
    </w:p>
    <w:p w:rsidR="009D6D9C" w:rsidRDefault="009D6D9C">
      <w:pPr>
        <w:pStyle w:val="TOC2"/>
        <w:tabs>
          <w:tab w:val="left" w:pos="1190"/>
        </w:tabs>
        <w:rPr>
          <w:rFonts w:asciiTheme="minorHAnsi" w:eastAsiaTheme="minorEastAsia" w:hAnsiTheme="minorHAnsi" w:cstheme="minorBidi"/>
          <w:noProof/>
          <w:sz w:val="22"/>
          <w:szCs w:val="22"/>
          <w:lang w:eastAsia="en-AU"/>
        </w:rPr>
      </w:pPr>
      <w:r>
        <w:rPr>
          <w:noProof/>
        </w:rPr>
        <w:t>14.4</w:t>
      </w:r>
      <w:r>
        <w:rPr>
          <w:rFonts w:asciiTheme="minorHAnsi" w:eastAsiaTheme="minorEastAsia" w:hAnsiTheme="minorHAnsi" w:cstheme="minorBidi"/>
          <w:noProof/>
          <w:sz w:val="22"/>
          <w:szCs w:val="22"/>
          <w:lang w:eastAsia="en-AU"/>
        </w:rPr>
        <w:tab/>
      </w:r>
      <w:r>
        <w:rPr>
          <w:noProof/>
        </w:rPr>
        <w:t>What level of reliability is efficient?</w:t>
      </w:r>
      <w:r>
        <w:rPr>
          <w:noProof/>
        </w:rPr>
        <w:tab/>
        <w:t>533</w:t>
      </w:r>
    </w:p>
    <w:p w:rsidR="009D6D9C" w:rsidRDefault="009D6D9C">
      <w:pPr>
        <w:pStyle w:val="TOC2"/>
        <w:tabs>
          <w:tab w:val="left" w:pos="1190"/>
        </w:tabs>
        <w:rPr>
          <w:rFonts w:asciiTheme="minorHAnsi" w:eastAsiaTheme="minorEastAsia" w:hAnsiTheme="minorHAnsi" w:cstheme="minorBidi"/>
          <w:noProof/>
          <w:sz w:val="22"/>
          <w:szCs w:val="22"/>
          <w:lang w:eastAsia="en-AU"/>
        </w:rPr>
      </w:pPr>
      <w:r>
        <w:rPr>
          <w:noProof/>
        </w:rPr>
        <w:t>14.5</w:t>
      </w:r>
      <w:r>
        <w:rPr>
          <w:rFonts w:asciiTheme="minorHAnsi" w:eastAsiaTheme="minorEastAsia" w:hAnsiTheme="minorHAnsi" w:cstheme="minorBidi"/>
          <w:noProof/>
          <w:sz w:val="22"/>
          <w:szCs w:val="22"/>
          <w:lang w:eastAsia="en-AU"/>
        </w:rPr>
        <w:tab/>
      </w:r>
      <w:r>
        <w:rPr>
          <w:noProof/>
        </w:rPr>
        <w:t>Measuring the value of reliability</w:t>
      </w:r>
      <w:r>
        <w:rPr>
          <w:noProof/>
        </w:rPr>
        <w:tab/>
        <w:t>534</w:t>
      </w:r>
    </w:p>
    <w:p w:rsidR="009D6D9C" w:rsidRDefault="009D6D9C">
      <w:pPr>
        <w:pStyle w:val="TOC2"/>
        <w:tabs>
          <w:tab w:val="left" w:pos="1190"/>
        </w:tabs>
        <w:rPr>
          <w:rFonts w:asciiTheme="minorHAnsi" w:eastAsiaTheme="minorEastAsia" w:hAnsiTheme="minorHAnsi" w:cstheme="minorBidi"/>
          <w:noProof/>
          <w:sz w:val="22"/>
          <w:szCs w:val="22"/>
          <w:lang w:eastAsia="en-AU"/>
        </w:rPr>
      </w:pPr>
      <w:r>
        <w:rPr>
          <w:noProof/>
        </w:rPr>
        <w:t>14.6</w:t>
      </w:r>
      <w:r>
        <w:rPr>
          <w:rFonts w:asciiTheme="minorHAnsi" w:eastAsiaTheme="minorEastAsia" w:hAnsiTheme="minorHAnsi" w:cstheme="minorBidi"/>
          <w:noProof/>
          <w:sz w:val="22"/>
          <w:szCs w:val="22"/>
          <w:lang w:eastAsia="en-AU"/>
        </w:rPr>
        <w:tab/>
      </w:r>
      <w:r>
        <w:rPr>
          <w:noProof/>
        </w:rPr>
        <w:t>Concluding comments</w:t>
      </w:r>
      <w:r>
        <w:rPr>
          <w:noProof/>
        </w:rPr>
        <w:tab/>
        <w:t>545</w:t>
      </w:r>
    </w:p>
    <w:p w:rsidR="009D6D9C" w:rsidRDefault="009D6D9C">
      <w:pPr>
        <w:pStyle w:val="TOC1"/>
        <w:rPr>
          <w:rFonts w:asciiTheme="minorHAnsi" w:eastAsiaTheme="minorEastAsia" w:hAnsiTheme="minorHAnsi" w:cstheme="minorBidi"/>
          <w:b w:val="0"/>
          <w:noProof/>
          <w:sz w:val="22"/>
          <w:szCs w:val="22"/>
          <w:lang w:eastAsia="en-AU"/>
        </w:rPr>
      </w:pPr>
      <w:r>
        <w:rPr>
          <w:noProof/>
        </w:rPr>
        <w:t>15</w:t>
      </w:r>
      <w:r>
        <w:rPr>
          <w:rFonts w:asciiTheme="minorHAnsi" w:eastAsiaTheme="minorEastAsia" w:hAnsiTheme="minorHAnsi" w:cstheme="minorBidi"/>
          <w:b w:val="0"/>
          <w:noProof/>
          <w:sz w:val="22"/>
          <w:szCs w:val="22"/>
          <w:lang w:eastAsia="en-AU"/>
        </w:rPr>
        <w:tab/>
      </w:r>
      <w:r>
        <w:rPr>
          <w:noProof/>
        </w:rPr>
        <w:t>Distribution reliability</w:t>
      </w:r>
      <w:r>
        <w:rPr>
          <w:noProof/>
        </w:rPr>
        <w:tab/>
        <w:t>547</w:t>
      </w:r>
    </w:p>
    <w:p w:rsidR="009D6D9C" w:rsidRDefault="009D6D9C">
      <w:pPr>
        <w:pStyle w:val="TOC2"/>
        <w:tabs>
          <w:tab w:val="left" w:pos="1190"/>
        </w:tabs>
        <w:rPr>
          <w:rFonts w:asciiTheme="minorHAnsi" w:eastAsiaTheme="minorEastAsia" w:hAnsiTheme="minorHAnsi" w:cstheme="minorBidi"/>
          <w:noProof/>
          <w:sz w:val="22"/>
          <w:szCs w:val="22"/>
          <w:lang w:eastAsia="en-AU"/>
        </w:rPr>
      </w:pPr>
      <w:r>
        <w:rPr>
          <w:noProof/>
        </w:rPr>
        <w:t>15.1</w:t>
      </w:r>
      <w:r>
        <w:rPr>
          <w:rFonts w:asciiTheme="minorHAnsi" w:eastAsiaTheme="minorEastAsia" w:hAnsiTheme="minorHAnsi" w:cstheme="minorBidi"/>
          <w:noProof/>
          <w:sz w:val="22"/>
          <w:szCs w:val="22"/>
          <w:lang w:eastAsia="en-AU"/>
        </w:rPr>
        <w:tab/>
      </w:r>
      <w:r>
        <w:rPr>
          <w:noProof/>
        </w:rPr>
        <w:t>Introduction</w:t>
      </w:r>
      <w:r>
        <w:rPr>
          <w:noProof/>
        </w:rPr>
        <w:tab/>
        <w:t>548</w:t>
      </w:r>
    </w:p>
    <w:p w:rsidR="009D6D9C" w:rsidRDefault="009D6D9C">
      <w:pPr>
        <w:pStyle w:val="TOC2"/>
        <w:tabs>
          <w:tab w:val="left" w:pos="1190"/>
        </w:tabs>
        <w:rPr>
          <w:rFonts w:asciiTheme="minorHAnsi" w:eastAsiaTheme="minorEastAsia" w:hAnsiTheme="minorHAnsi" w:cstheme="minorBidi"/>
          <w:noProof/>
          <w:sz w:val="22"/>
          <w:szCs w:val="22"/>
          <w:lang w:eastAsia="en-AU"/>
        </w:rPr>
      </w:pPr>
      <w:r>
        <w:rPr>
          <w:noProof/>
        </w:rPr>
        <w:t>15.2</w:t>
      </w:r>
      <w:r>
        <w:rPr>
          <w:rFonts w:asciiTheme="minorHAnsi" w:eastAsiaTheme="minorEastAsia" w:hAnsiTheme="minorHAnsi" w:cstheme="minorBidi"/>
          <w:noProof/>
          <w:sz w:val="22"/>
          <w:szCs w:val="22"/>
          <w:lang w:eastAsia="en-AU"/>
        </w:rPr>
        <w:tab/>
      </w:r>
      <w:r>
        <w:rPr>
          <w:noProof/>
        </w:rPr>
        <w:t>Reliability performance of distribution businesses in the National Electricity Market</w:t>
      </w:r>
      <w:r>
        <w:rPr>
          <w:noProof/>
        </w:rPr>
        <w:tab/>
        <w:t>549</w:t>
      </w:r>
    </w:p>
    <w:p w:rsidR="009D6D9C" w:rsidRDefault="009D6D9C">
      <w:pPr>
        <w:pStyle w:val="TOC2"/>
        <w:tabs>
          <w:tab w:val="left" w:pos="1190"/>
        </w:tabs>
        <w:rPr>
          <w:rFonts w:asciiTheme="minorHAnsi" w:eastAsiaTheme="minorEastAsia" w:hAnsiTheme="minorHAnsi" w:cstheme="minorBidi"/>
          <w:noProof/>
          <w:sz w:val="22"/>
          <w:szCs w:val="22"/>
          <w:lang w:eastAsia="en-AU"/>
        </w:rPr>
      </w:pPr>
      <w:r>
        <w:rPr>
          <w:noProof/>
        </w:rPr>
        <w:t>15.3</w:t>
      </w:r>
      <w:r>
        <w:rPr>
          <w:rFonts w:asciiTheme="minorHAnsi" w:eastAsiaTheme="minorEastAsia" w:hAnsiTheme="minorHAnsi" w:cstheme="minorBidi"/>
          <w:noProof/>
          <w:sz w:val="22"/>
          <w:szCs w:val="22"/>
          <w:lang w:eastAsia="en-AU"/>
        </w:rPr>
        <w:tab/>
      </w:r>
      <w:r>
        <w:rPr>
          <w:noProof/>
        </w:rPr>
        <w:t>Reliability settings for distribution networks in the National Electricity Market</w:t>
      </w:r>
      <w:r>
        <w:rPr>
          <w:noProof/>
        </w:rPr>
        <w:tab/>
        <w:t>552</w:t>
      </w:r>
    </w:p>
    <w:p w:rsidR="009D6D9C" w:rsidRDefault="009D6D9C">
      <w:pPr>
        <w:pStyle w:val="TOC2"/>
        <w:tabs>
          <w:tab w:val="left" w:pos="1190"/>
        </w:tabs>
        <w:rPr>
          <w:rFonts w:asciiTheme="minorHAnsi" w:eastAsiaTheme="minorEastAsia" w:hAnsiTheme="minorHAnsi" w:cstheme="minorBidi"/>
          <w:noProof/>
          <w:sz w:val="22"/>
          <w:szCs w:val="22"/>
          <w:lang w:eastAsia="en-AU"/>
        </w:rPr>
      </w:pPr>
      <w:r>
        <w:rPr>
          <w:noProof/>
        </w:rPr>
        <w:t>15.4</w:t>
      </w:r>
      <w:r>
        <w:rPr>
          <w:rFonts w:asciiTheme="minorHAnsi" w:eastAsiaTheme="minorEastAsia" w:hAnsiTheme="minorHAnsi" w:cstheme="minorBidi"/>
          <w:noProof/>
          <w:sz w:val="22"/>
          <w:szCs w:val="22"/>
          <w:lang w:eastAsia="en-AU"/>
        </w:rPr>
        <w:tab/>
      </w:r>
      <w:r>
        <w:rPr>
          <w:noProof/>
        </w:rPr>
        <w:t>An efficient and effective distribution reliability framework — a bolstered STPIS</w:t>
      </w:r>
      <w:r>
        <w:rPr>
          <w:noProof/>
        </w:rPr>
        <w:tab/>
        <w:t>570</w:t>
      </w:r>
    </w:p>
    <w:p w:rsidR="009D6D9C" w:rsidRDefault="009D6D9C">
      <w:pPr>
        <w:pStyle w:val="TOC1"/>
        <w:rPr>
          <w:rFonts w:asciiTheme="minorHAnsi" w:eastAsiaTheme="minorEastAsia" w:hAnsiTheme="minorHAnsi" w:cstheme="minorBidi"/>
          <w:b w:val="0"/>
          <w:noProof/>
          <w:sz w:val="22"/>
          <w:szCs w:val="22"/>
          <w:lang w:eastAsia="en-AU"/>
        </w:rPr>
      </w:pPr>
      <w:r>
        <w:rPr>
          <w:noProof/>
        </w:rPr>
        <w:t>16</w:t>
      </w:r>
      <w:r>
        <w:rPr>
          <w:rFonts w:asciiTheme="minorHAnsi" w:eastAsiaTheme="minorEastAsia" w:hAnsiTheme="minorHAnsi" w:cstheme="minorBidi"/>
          <w:b w:val="0"/>
          <w:noProof/>
          <w:sz w:val="22"/>
          <w:szCs w:val="22"/>
          <w:lang w:eastAsia="en-AU"/>
        </w:rPr>
        <w:tab/>
      </w:r>
      <w:r>
        <w:rPr>
          <w:noProof/>
        </w:rPr>
        <w:t>Transmission reliability and planning</w:t>
      </w:r>
      <w:r>
        <w:rPr>
          <w:noProof/>
        </w:rPr>
        <w:tab/>
        <w:t>581</w:t>
      </w:r>
    </w:p>
    <w:p w:rsidR="009D6D9C" w:rsidRDefault="009D6D9C">
      <w:pPr>
        <w:pStyle w:val="TOC2"/>
        <w:tabs>
          <w:tab w:val="left" w:pos="1190"/>
        </w:tabs>
        <w:rPr>
          <w:rFonts w:asciiTheme="minorHAnsi" w:eastAsiaTheme="minorEastAsia" w:hAnsiTheme="minorHAnsi" w:cstheme="minorBidi"/>
          <w:noProof/>
          <w:sz w:val="22"/>
          <w:szCs w:val="22"/>
          <w:lang w:eastAsia="en-AU"/>
        </w:rPr>
      </w:pPr>
      <w:r>
        <w:rPr>
          <w:noProof/>
        </w:rPr>
        <w:t>16.1</w:t>
      </w:r>
      <w:r>
        <w:rPr>
          <w:rFonts w:asciiTheme="minorHAnsi" w:eastAsiaTheme="minorEastAsia" w:hAnsiTheme="minorHAnsi" w:cstheme="minorBidi"/>
          <w:noProof/>
          <w:sz w:val="22"/>
          <w:szCs w:val="22"/>
          <w:lang w:eastAsia="en-AU"/>
        </w:rPr>
        <w:tab/>
      </w:r>
      <w:r>
        <w:rPr>
          <w:noProof/>
        </w:rPr>
        <w:t>Introduction</w:t>
      </w:r>
      <w:r>
        <w:rPr>
          <w:noProof/>
        </w:rPr>
        <w:tab/>
        <w:t>582</w:t>
      </w:r>
    </w:p>
    <w:p w:rsidR="009D6D9C" w:rsidRDefault="009D6D9C">
      <w:pPr>
        <w:pStyle w:val="TOC2"/>
        <w:tabs>
          <w:tab w:val="left" w:pos="1190"/>
        </w:tabs>
        <w:rPr>
          <w:rFonts w:asciiTheme="minorHAnsi" w:eastAsiaTheme="minorEastAsia" w:hAnsiTheme="minorHAnsi" w:cstheme="minorBidi"/>
          <w:noProof/>
          <w:sz w:val="22"/>
          <w:szCs w:val="22"/>
          <w:lang w:eastAsia="en-AU"/>
        </w:rPr>
      </w:pPr>
      <w:r>
        <w:rPr>
          <w:noProof/>
        </w:rPr>
        <w:t>16.2</w:t>
      </w:r>
      <w:r>
        <w:rPr>
          <w:rFonts w:asciiTheme="minorHAnsi" w:eastAsiaTheme="minorEastAsia" w:hAnsiTheme="minorHAnsi" w:cstheme="minorBidi"/>
          <w:noProof/>
          <w:sz w:val="22"/>
          <w:szCs w:val="22"/>
          <w:lang w:eastAsia="en-AU"/>
        </w:rPr>
        <w:tab/>
      </w:r>
      <w:r>
        <w:rPr>
          <w:noProof/>
        </w:rPr>
        <w:t>The special characteristics of transmission networks</w:t>
      </w:r>
      <w:r>
        <w:rPr>
          <w:noProof/>
        </w:rPr>
        <w:tab/>
        <w:t>583</w:t>
      </w:r>
    </w:p>
    <w:p w:rsidR="009D6D9C" w:rsidRDefault="009D6D9C">
      <w:pPr>
        <w:pStyle w:val="TOC2"/>
        <w:tabs>
          <w:tab w:val="left" w:pos="1190"/>
        </w:tabs>
        <w:rPr>
          <w:rFonts w:asciiTheme="minorHAnsi" w:eastAsiaTheme="minorEastAsia" w:hAnsiTheme="minorHAnsi" w:cstheme="minorBidi"/>
          <w:noProof/>
          <w:sz w:val="22"/>
          <w:szCs w:val="22"/>
          <w:lang w:eastAsia="en-AU"/>
        </w:rPr>
      </w:pPr>
      <w:r>
        <w:rPr>
          <w:noProof/>
        </w:rPr>
        <w:t>16.3</w:t>
      </w:r>
      <w:r>
        <w:rPr>
          <w:rFonts w:asciiTheme="minorHAnsi" w:eastAsiaTheme="minorEastAsia" w:hAnsiTheme="minorHAnsi" w:cstheme="minorBidi"/>
          <w:noProof/>
          <w:sz w:val="22"/>
          <w:szCs w:val="22"/>
          <w:lang w:eastAsia="en-AU"/>
        </w:rPr>
        <w:tab/>
      </w:r>
      <w:r>
        <w:rPr>
          <w:noProof/>
        </w:rPr>
        <w:t>The broader planning context and economic regulation</w:t>
      </w:r>
      <w:r>
        <w:rPr>
          <w:noProof/>
        </w:rPr>
        <w:tab/>
        <w:t>586</w:t>
      </w:r>
    </w:p>
    <w:p w:rsidR="009D6D9C" w:rsidRDefault="009D6D9C">
      <w:pPr>
        <w:pStyle w:val="TOC2"/>
        <w:tabs>
          <w:tab w:val="left" w:pos="1190"/>
        </w:tabs>
        <w:rPr>
          <w:rFonts w:asciiTheme="minorHAnsi" w:eastAsiaTheme="minorEastAsia" w:hAnsiTheme="minorHAnsi" w:cstheme="minorBidi"/>
          <w:noProof/>
          <w:sz w:val="22"/>
          <w:szCs w:val="22"/>
          <w:lang w:eastAsia="en-AU"/>
        </w:rPr>
      </w:pPr>
      <w:r>
        <w:rPr>
          <w:noProof/>
        </w:rPr>
        <w:t>16.4</w:t>
      </w:r>
      <w:r>
        <w:rPr>
          <w:rFonts w:asciiTheme="minorHAnsi" w:eastAsiaTheme="minorEastAsia" w:hAnsiTheme="minorHAnsi" w:cstheme="minorBidi"/>
          <w:noProof/>
          <w:sz w:val="22"/>
          <w:szCs w:val="22"/>
          <w:lang w:eastAsia="en-AU"/>
        </w:rPr>
        <w:tab/>
      </w:r>
      <w:r>
        <w:rPr>
          <w:noProof/>
        </w:rPr>
        <w:t>An efficient transmission framework?</w:t>
      </w:r>
      <w:r>
        <w:rPr>
          <w:noProof/>
        </w:rPr>
        <w:tab/>
        <w:t>588</w:t>
      </w:r>
    </w:p>
    <w:p w:rsidR="009D6D9C" w:rsidRDefault="009D6D9C">
      <w:pPr>
        <w:pStyle w:val="TOC2"/>
        <w:tabs>
          <w:tab w:val="left" w:pos="1190"/>
        </w:tabs>
        <w:rPr>
          <w:rFonts w:asciiTheme="minorHAnsi" w:eastAsiaTheme="minorEastAsia" w:hAnsiTheme="minorHAnsi" w:cstheme="minorBidi"/>
          <w:noProof/>
          <w:sz w:val="22"/>
          <w:szCs w:val="22"/>
          <w:lang w:eastAsia="en-AU"/>
        </w:rPr>
      </w:pPr>
      <w:r>
        <w:rPr>
          <w:noProof/>
        </w:rPr>
        <w:t>16.5</w:t>
      </w:r>
      <w:r>
        <w:rPr>
          <w:rFonts w:asciiTheme="minorHAnsi" w:eastAsiaTheme="minorEastAsia" w:hAnsiTheme="minorHAnsi" w:cstheme="minorBidi"/>
          <w:noProof/>
          <w:sz w:val="22"/>
          <w:szCs w:val="22"/>
          <w:lang w:eastAsia="en-AU"/>
        </w:rPr>
        <w:tab/>
      </w:r>
      <w:r>
        <w:rPr>
          <w:noProof/>
        </w:rPr>
        <w:t>The way forward</w:t>
      </w:r>
      <w:r>
        <w:rPr>
          <w:noProof/>
        </w:rPr>
        <w:tab/>
        <w:t>596</w:t>
      </w:r>
    </w:p>
    <w:p w:rsidR="009D6D9C" w:rsidRDefault="009D6D9C">
      <w:pPr>
        <w:pStyle w:val="TOC2"/>
        <w:tabs>
          <w:tab w:val="left" w:pos="1190"/>
        </w:tabs>
        <w:rPr>
          <w:rFonts w:asciiTheme="minorHAnsi" w:eastAsiaTheme="minorEastAsia" w:hAnsiTheme="minorHAnsi" w:cstheme="minorBidi"/>
          <w:noProof/>
          <w:sz w:val="22"/>
          <w:szCs w:val="22"/>
          <w:lang w:eastAsia="en-AU"/>
        </w:rPr>
      </w:pPr>
      <w:r>
        <w:rPr>
          <w:noProof/>
        </w:rPr>
        <w:lastRenderedPageBreak/>
        <w:t>16.6</w:t>
      </w:r>
      <w:r>
        <w:rPr>
          <w:rFonts w:asciiTheme="minorHAnsi" w:eastAsiaTheme="minorEastAsia" w:hAnsiTheme="minorHAnsi" w:cstheme="minorBidi"/>
          <w:noProof/>
          <w:sz w:val="22"/>
          <w:szCs w:val="22"/>
          <w:lang w:eastAsia="en-AU"/>
        </w:rPr>
        <w:tab/>
      </w:r>
      <w:r>
        <w:rPr>
          <w:noProof/>
        </w:rPr>
        <w:t>Delivering reliability in the shorter term</w:t>
      </w:r>
      <w:r>
        <w:rPr>
          <w:noProof/>
        </w:rPr>
        <w:tab/>
        <w:t>611</w:t>
      </w:r>
    </w:p>
    <w:p w:rsidR="009D6D9C" w:rsidRDefault="009D6D9C">
      <w:pPr>
        <w:pStyle w:val="TOC2"/>
        <w:tabs>
          <w:tab w:val="left" w:pos="1190"/>
        </w:tabs>
        <w:rPr>
          <w:rFonts w:asciiTheme="minorHAnsi" w:eastAsiaTheme="minorEastAsia" w:hAnsiTheme="minorHAnsi" w:cstheme="minorBidi"/>
          <w:noProof/>
          <w:sz w:val="22"/>
          <w:szCs w:val="22"/>
          <w:lang w:eastAsia="en-AU"/>
        </w:rPr>
      </w:pPr>
      <w:r>
        <w:rPr>
          <w:noProof/>
        </w:rPr>
        <w:t>16.7</w:t>
      </w:r>
      <w:r>
        <w:rPr>
          <w:rFonts w:asciiTheme="minorHAnsi" w:eastAsiaTheme="minorEastAsia" w:hAnsiTheme="minorHAnsi" w:cstheme="minorBidi"/>
          <w:noProof/>
          <w:sz w:val="22"/>
          <w:szCs w:val="22"/>
          <w:lang w:eastAsia="en-AU"/>
        </w:rPr>
        <w:tab/>
      </w:r>
      <w:r>
        <w:rPr>
          <w:noProof/>
        </w:rPr>
        <w:t>Changes to transmission reliability</w:t>
      </w:r>
      <w:r>
        <w:rPr>
          <w:noProof/>
        </w:rPr>
        <w:tab/>
        <w:t>614</w:t>
      </w:r>
    </w:p>
    <w:p w:rsidR="009D6D9C" w:rsidRDefault="009D6D9C">
      <w:pPr>
        <w:pStyle w:val="TOC2"/>
        <w:tabs>
          <w:tab w:val="left" w:pos="1190"/>
        </w:tabs>
        <w:rPr>
          <w:rFonts w:asciiTheme="minorHAnsi" w:eastAsiaTheme="minorEastAsia" w:hAnsiTheme="minorHAnsi" w:cstheme="minorBidi"/>
          <w:noProof/>
          <w:sz w:val="22"/>
          <w:szCs w:val="22"/>
          <w:lang w:eastAsia="en-AU"/>
        </w:rPr>
      </w:pPr>
      <w:r>
        <w:rPr>
          <w:noProof/>
        </w:rPr>
        <w:t>16.8</w:t>
      </w:r>
      <w:r>
        <w:rPr>
          <w:rFonts w:asciiTheme="minorHAnsi" w:eastAsiaTheme="minorEastAsia" w:hAnsiTheme="minorHAnsi" w:cstheme="minorBidi"/>
          <w:noProof/>
          <w:sz w:val="22"/>
          <w:szCs w:val="22"/>
          <w:lang w:eastAsia="en-AU"/>
        </w:rPr>
        <w:tab/>
      </w:r>
      <w:r>
        <w:rPr>
          <w:noProof/>
        </w:rPr>
        <w:t>Contestability in new connections and other separable transmission investments</w:t>
      </w:r>
      <w:r>
        <w:rPr>
          <w:noProof/>
        </w:rPr>
        <w:tab/>
        <w:t>617</w:t>
      </w:r>
    </w:p>
    <w:p w:rsidR="009D6D9C" w:rsidRDefault="009D6D9C">
      <w:pPr>
        <w:pStyle w:val="TOC1"/>
        <w:rPr>
          <w:rFonts w:asciiTheme="minorHAnsi" w:eastAsiaTheme="minorEastAsia" w:hAnsiTheme="minorHAnsi" w:cstheme="minorBidi"/>
          <w:b w:val="0"/>
          <w:noProof/>
          <w:sz w:val="22"/>
          <w:szCs w:val="22"/>
          <w:lang w:eastAsia="en-AU"/>
        </w:rPr>
      </w:pPr>
      <w:r>
        <w:rPr>
          <w:noProof/>
        </w:rPr>
        <w:t>17</w:t>
      </w:r>
      <w:r>
        <w:rPr>
          <w:rFonts w:asciiTheme="minorHAnsi" w:eastAsiaTheme="minorEastAsia" w:hAnsiTheme="minorHAnsi" w:cstheme="minorBidi"/>
          <w:b w:val="0"/>
          <w:noProof/>
          <w:sz w:val="22"/>
          <w:szCs w:val="22"/>
          <w:lang w:eastAsia="en-AU"/>
        </w:rPr>
        <w:tab/>
      </w:r>
      <w:r>
        <w:rPr>
          <w:noProof/>
        </w:rPr>
        <w:t>The Regulatory Investment Test for Transmission</w:t>
      </w:r>
      <w:r>
        <w:rPr>
          <w:noProof/>
        </w:rPr>
        <w:tab/>
        <w:t>627</w:t>
      </w:r>
    </w:p>
    <w:p w:rsidR="009D6D9C" w:rsidRDefault="009D6D9C">
      <w:pPr>
        <w:pStyle w:val="TOC2"/>
        <w:tabs>
          <w:tab w:val="left" w:pos="1190"/>
        </w:tabs>
        <w:rPr>
          <w:rFonts w:asciiTheme="minorHAnsi" w:eastAsiaTheme="minorEastAsia" w:hAnsiTheme="minorHAnsi" w:cstheme="minorBidi"/>
          <w:noProof/>
          <w:sz w:val="22"/>
          <w:szCs w:val="22"/>
          <w:lang w:eastAsia="en-AU"/>
        </w:rPr>
      </w:pPr>
      <w:r>
        <w:rPr>
          <w:noProof/>
        </w:rPr>
        <w:t>17.1</w:t>
      </w:r>
      <w:r>
        <w:rPr>
          <w:rFonts w:asciiTheme="minorHAnsi" w:eastAsiaTheme="minorEastAsia" w:hAnsiTheme="minorHAnsi" w:cstheme="minorBidi"/>
          <w:noProof/>
          <w:sz w:val="22"/>
          <w:szCs w:val="22"/>
          <w:lang w:eastAsia="en-AU"/>
        </w:rPr>
        <w:tab/>
      </w:r>
      <w:r>
        <w:rPr>
          <w:noProof/>
        </w:rPr>
        <w:t>The current framework</w:t>
      </w:r>
      <w:r>
        <w:rPr>
          <w:noProof/>
        </w:rPr>
        <w:tab/>
        <w:t>628</w:t>
      </w:r>
    </w:p>
    <w:p w:rsidR="009D6D9C" w:rsidRDefault="009D6D9C">
      <w:pPr>
        <w:pStyle w:val="TOC2"/>
        <w:tabs>
          <w:tab w:val="left" w:pos="1190"/>
        </w:tabs>
        <w:rPr>
          <w:rFonts w:asciiTheme="minorHAnsi" w:eastAsiaTheme="minorEastAsia" w:hAnsiTheme="minorHAnsi" w:cstheme="minorBidi"/>
          <w:noProof/>
          <w:sz w:val="22"/>
          <w:szCs w:val="22"/>
          <w:lang w:eastAsia="en-AU"/>
        </w:rPr>
      </w:pPr>
      <w:r>
        <w:rPr>
          <w:noProof/>
        </w:rPr>
        <w:t>17.2</w:t>
      </w:r>
      <w:r>
        <w:rPr>
          <w:rFonts w:asciiTheme="minorHAnsi" w:eastAsiaTheme="minorEastAsia" w:hAnsiTheme="minorHAnsi" w:cstheme="minorBidi"/>
          <w:noProof/>
          <w:sz w:val="22"/>
          <w:szCs w:val="22"/>
          <w:lang w:eastAsia="en-AU"/>
        </w:rPr>
        <w:tab/>
      </w:r>
      <w:r>
        <w:rPr>
          <w:noProof/>
        </w:rPr>
        <w:t>Issues with the current RIT</w:t>
      </w:r>
      <w:r>
        <w:rPr>
          <w:noProof/>
        </w:rPr>
        <w:noBreakHyphen/>
        <w:t>T</w:t>
      </w:r>
      <w:r>
        <w:rPr>
          <w:noProof/>
        </w:rPr>
        <w:tab/>
        <w:t>632</w:t>
      </w:r>
    </w:p>
    <w:p w:rsidR="009D6D9C" w:rsidRDefault="009D6D9C">
      <w:pPr>
        <w:pStyle w:val="TOC2"/>
        <w:tabs>
          <w:tab w:val="left" w:pos="1190"/>
        </w:tabs>
        <w:rPr>
          <w:rFonts w:asciiTheme="minorHAnsi" w:eastAsiaTheme="minorEastAsia" w:hAnsiTheme="minorHAnsi" w:cstheme="minorBidi"/>
          <w:noProof/>
          <w:sz w:val="22"/>
          <w:szCs w:val="22"/>
          <w:lang w:eastAsia="en-AU"/>
        </w:rPr>
      </w:pPr>
      <w:r>
        <w:rPr>
          <w:noProof/>
        </w:rPr>
        <w:t>17.3</w:t>
      </w:r>
      <w:r>
        <w:rPr>
          <w:rFonts w:asciiTheme="minorHAnsi" w:eastAsiaTheme="minorEastAsia" w:hAnsiTheme="minorHAnsi" w:cstheme="minorBidi"/>
          <w:noProof/>
          <w:sz w:val="22"/>
          <w:szCs w:val="22"/>
          <w:lang w:eastAsia="en-AU"/>
        </w:rPr>
        <w:tab/>
      </w:r>
      <w:r>
        <w:rPr>
          <w:noProof/>
        </w:rPr>
        <w:t>The future role of the RIT-T</w:t>
      </w:r>
      <w:r>
        <w:rPr>
          <w:noProof/>
        </w:rPr>
        <w:tab/>
        <w:t>636</w:t>
      </w:r>
    </w:p>
    <w:p w:rsidR="009D6D9C" w:rsidRDefault="009D6D9C">
      <w:pPr>
        <w:pStyle w:val="TOC2"/>
        <w:tabs>
          <w:tab w:val="left" w:pos="1190"/>
        </w:tabs>
        <w:rPr>
          <w:rFonts w:asciiTheme="minorHAnsi" w:eastAsiaTheme="minorEastAsia" w:hAnsiTheme="minorHAnsi" w:cstheme="minorBidi"/>
          <w:noProof/>
          <w:sz w:val="22"/>
          <w:szCs w:val="22"/>
          <w:lang w:eastAsia="en-AU"/>
        </w:rPr>
      </w:pPr>
      <w:r>
        <w:rPr>
          <w:noProof/>
        </w:rPr>
        <w:t>17.4</w:t>
      </w:r>
      <w:r>
        <w:rPr>
          <w:rFonts w:asciiTheme="minorHAnsi" w:eastAsiaTheme="minorEastAsia" w:hAnsiTheme="minorHAnsi" w:cstheme="minorBidi"/>
          <w:noProof/>
          <w:sz w:val="22"/>
          <w:szCs w:val="22"/>
          <w:lang w:eastAsia="en-AU"/>
        </w:rPr>
        <w:tab/>
      </w:r>
      <w:r>
        <w:rPr>
          <w:noProof/>
        </w:rPr>
        <w:t>Other potential improvements</w:t>
      </w:r>
      <w:r>
        <w:rPr>
          <w:noProof/>
        </w:rPr>
        <w:tab/>
        <w:t>646</w:t>
      </w:r>
    </w:p>
    <w:p w:rsidR="009D6D9C" w:rsidRDefault="009D6D9C">
      <w:pPr>
        <w:pStyle w:val="TOC1"/>
        <w:rPr>
          <w:rFonts w:asciiTheme="minorHAnsi" w:eastAsiaTheme="minorEastAsia" w:hAnsiTheme="minorHAnsi" w:cstheme="minorBidi"/>
          <w:b w:val="0"/>
          <w:noProof/>
          <w:sz w:val="22"/>
          <w:szCs w:val="22"/>
          <w:lang w:eastAsia="en-AU"/>
        </w:rPr>
      </w:pPr>
      <w:r>
        <w:rPr>
          <w:noProof/>
        </w:rPr>
        <w:t>18</w:t>
      </w:r>
      <w:r>
        <w:rPr>
          <w:rFonts w:asciiTheme="minorHAnsi" w:eastAsiaTheme="minorEastAsia" w:hAnsiTheme="minorHAnsi" w:cstheme="minorBidi"/>
          <w:b w:val="0"/>
          <w:noProof/>
          <w:sz w:val="22"/>
          <w:szCs w:val="22"/>
          <w:lang w:eastAsia="en-AU"/>
        </w:rPr>
        <w:tab/>
      </w:r>
      <w:r>
        <w:rPr>
          <w:noProof/>
        </w:rPr>
        <w:t>The role of interconnectors</w:t>
      </w:r>
      <w:r>
        <w:rPr>
          <w:noProof/>
        </w:rPr>
        <w:tab/>
        <w:t>653</w:t>
      </w:r>
    </w:p>
    <w:p w:rsidR="009D6D9C" w:rsidRDefault="009D6D9C">
      <w:pPr>
        <w:pStyle w:val="TOC2"/>
        <w:tabs>
          <w:tab w:val="left" w:pos="1190"/>
        </w:tabs>
        <w:rPr>
          <w:rFonts w:asciiTheme="minorHAnsi" w:eastAsiaTheme="minorEastAsia" w:hAnsiTheme="minorHAnsi" w:cstheme="minorBidi"/>
          <w:noProof/>
          <w:sz w:val="22"/>
          <w:szCs w:val="22"/>
          <w:lang w:eastAsia="en-AU"/>
        </w:rPr>
      </w:pPr>
      <w:r>
        <w:rPr>
          <w:noProof/>
        </w:rPr>
        <w:t>18.1</w:t>
      </w:r>
      <w:r>
        <w:rPr>
          <w:rFonts w:asciiTheme="minorHAnsi" w:eastAsiaTheme="minorEastAsia" w:hAnsiTheme="minorHAnsi" w:cstheme="minorBidi"/>
          <w:noProof/>
          <w:sz w:val="22"/>
          <w:szCs w:val="22"/>
          <w:lang w:eastAsia="en-AU"/>
        </w:rPr>
        <w:tab/>
      </w:r>
      <w:r>
        <w:rPr>
          <w:noProof/>
        </w:rPr>
        <w:t>Background and perceived problems</w:t>
      </w:r>
      <w:r>
        <w:rPr>
          <w:noProof/>
        </w:rPr>
        <w:tab/>
        <w:t>654</w:t>
      </w:r>
    </w:p>
    <w:p w:rsidR="009D6D9C" w:rsidRDefault="009D6D9C">
      <w:pPr>
        <w:pStyle w:val="TOC2"/>
        <w:tabs>
          <w:tab w:val="left" w:pos="1190"/>
        </w:tabs>
        <w:rPr>
          <w:rFonts w:asciiTheme="minorHAnsi" w:eastAsiaTheme="minorEastAsia" w:hAnsiTheme="minorHAnsi" w:cstheme="minorBidi"/>
          <w:noProof/>
          <w:sz w:val="22"/>
          <w:szCs w:val="22"/>
          <w:lang w:eastAsia="en-AU"/>
        </w:rPr>
      </w:pPr>
      <w:r>
        <w:rPr>
          <w:noProof/>
        </w:rPr>
        <w:t>18.2</w:t>
      </w:r>
      <w:r>
        <w:rPr>
          <w:rFonts w:asciiTheme="minorHAnsi" w:eastAsiaTheme="minorEastAsia" w:hAnsiTheme="minorHAnsi" w:cstheme="minorBidi"/>
          <w:noProof/>
          <w:sz w:val="22"/>
          <w:szCs w:val="22"/>
          <w:lang w:eastAsia="en-AU"/>
        </w:rPr>
        <w:tab/>
      </w:r>
      <w:r>
        <w:rPr>
          <w:noProof/>
        </w:rPr>
        <w:t>Some conceptual considerations</w:t>
      </w:r>
      <w:r>
        <w:rPr>
          <w:noProof/>
        </w:rPr>
        <w:tab/>
        <w:t>663</w:t>
      </w:r>
    </w:p>
    <w:p w:rsidR="009D6D9C" w:rsidRDefault="009D6D9C">
      <w:pPr>
        <w:pStyle w:val="TOC2"/>
        <w:tabs>
          <w:tab w:val="left" w:pos="1190"/>
        </w:tabs>
        <w:rPr>
          <w:rFonts w:asciiTheme="minorHAnsi" w:eastAsiaTheme="minorEastAsia" w:hAnsiTheme="minorHAnsi" w:cstheme="minorBidi"/>
          <w:noProof/>
          <w:sz w:val="22"/>
          <w:szCs w:val="22"/>
          <w:lang w:eastAsia="en-AU"/>
        </w:rPr>
      </w:pPr>
      <w:r>
        <w:rPr>
          <w:noProof/>
        </w:rPr>
        <w:t>18.3</w:t>
      </w:r>
      <w:r>
        <w:rPr>
          <w:rFonts w:asciiTheme="minorHAnsi" w:eastAsiaTheme="minorEastAsia" w:hAnsiTheme="minorHAnsi" w:cstheme="minorBidi"/>
          <w:noProof/>
          <w:sz w:val="22"/>
          <w:szCs w:val="22"/>
          <w:lang w:eastAsia="en-AU"/>
        </w:rPr>
        <w:tab/>
      </w:r>
      <w:r>
        <w:rPr>
          <w:noProof/>
        </w:rPr>
        <w:t>Evidence of the efficiency of interconnection</w:t>
      </w:r>
      <w:r>
        <w:rPr>
          <w:noProof/>
        </w:rPr>
        <w:tab/>
        <w:t>668</w:t>
      </w:r>
    </w:p>
    <w:p w:rsidR="009D6D9C" w:rsidRDefault="009D6D9C">
      <w:pPr>
        <w:pStyle w:val="TOC1"/>
        <w:rPr>
          <w:rFonts w:asciiTheme="minorHAnsi" w:eastAsiaTheme="minorEastAsia" w:hAnsiTheme="minorHAnsi" w:cstheme="minorBidi"/>
          <w:b w:val="0"/>
          <w:noProof/>
          <w:sz w:val="22"/>
          <w:szCs w:val="22"/>
          <w:lang w:eastAsia="en-AU"/>
        </w:rPr>
      </w:pPr>
      <w:r>
        <w:rPr>
          <w:noProof/>
        </w:rPr>
        <w:t>19</w:t>
      </w:r>
      <w:r>
        <w:rPr>
          <w:rFonts w:asciiTheme="minorHAnsi" w:eastAsiaTheme="minorEastAsia" w:hAnsiTheme="minorHAnsi" w:cstheme="minorBidi"/>
          <w:b w:val="0"/>
          <w:noProof/>
          <w:sz w:val="22"/>
          <w:szCs w:val="22"/>
          <w:lang w:eastAsia="en-AU"/>
        </w:rPr>
        <w:tab/>
      </w:r>
      <w:r>
        <w:rPr>
          <w:noProof/>
        </w:rPr>
        <w:t>Efficient use of interconnectors</w:t>
      </w:r>
      <w:r>
        <w:rPr>
          <w:noProof/>
        </w:rPr>
        <w:tab/>
        <w:t>681</w:t>
      </w:r>
    </w:p>
    <w:p w:rsidR="009D6D9C" w:rsidRDefault="009D6D9C">
      <w:pPr>
        <w:pStyle w:val="TOC2"/>
        <w:tabs>
          <w:tab w:val="left" w:pos="1190"/>
        </w:tabs>
        <w:rPr>
          <w:rFonts w:asciiTheme="minorHAnsi" w:eastAsiaTheme="minorEastAsia" w:hAnsiTheme="minorHAnsi" w:cstheme="minorBidi"/>
          <w:noProof/>
          <w:sz w:val="22"/>
          <w:szCs w:val="22"/>
          <w:lang w:eastAsia="en-AU"/>
        </w:rPr>
      </w:pPr>
      <w:r>
        <w:rPr>
          <w:noProof/>
        </w:rPr>
        <w:t>19.1</w:t>
      </w:r>
      <w:r>
        <w:rPr>
          <w:rFonts w:asciiTheme="minorHAnsi" w:eastAsiaTheme="minorEastAsia" w:hAnsiTheme="minorHAnsi" w:cstheme="minorBidi"/>
          <w:noProof/>
          <w:sz w:val="22"/>
          <w:szCs w:val="22"/>
          <w:lang w:eastAsia="en-AU"/>
        </w:rPr>
        <w:tab/>
      </w:r>
      <w:r>
        <w:rPr>
          <w:noProof/>
        </w:rPr>
        <w:t>The spot market</w:t>
      </w:r>
      <w:r>
        <w:rPr>
          <w:noProof/>
        </w:rPr>
        <w:tab/>
        <w:t>682</w:t>
      </w:r>
    </w:p>
    <w:p w:rsidR="009D6D9C" w:rsidRDefault="009D6D9C">
      <w:pPr>
        <w:pStyle w:val="TOC2"/>
        <w:tabs>
          <w:tab w:val="left" w:pos="1190"/>
        </w:tabs>
        <w:rPr>
          <w:rFonts w:asciiTheme="minorHAnsi" w:eastAsiaTheme="minorEastAsia" w:hAnsiTheme="minorHAnsi" w:cstheme="minorBidi"/>
          <w:noProof/>
          <w:sz w:val="22"/>
          <w:szCs w:val="22"/>
          <w:lang w:eastAsia="en-AU"/>
        </w:rPr>
      </w:pPr>
      <w:r>
        <w:rPr>
          <w:noProof/>
        </w:rPr>
        <w:t>19.2</w:t>
      </w:r>
      <w:r>
        <w:rPr>
          <w:rFonts w:asciiTheme="minorHAnsi" w:eastAsiaTheme="minorEastAsia" w:hAnsiTheme="minorHAnsi" w:cstheme="minorBidi"/>
          <w:noProof/>
          <w:sz w:val="22"/>
          <w:szCs w:val="22"/>
          <w:lang w:eastAsia="en-AU"/>
        </w:rPr>
        <w:tab/>
      </w:r>
      <w:r>
        <w:rPr>
          <w:noProof/>
        </w:rPr>
        <w:t>Disorderly bidding</w:t>
      </w:r>
      <w:r>
        <w:rPr>
          <w:noProof/>
        </w:rPr>
        <w:tab/>
        <w:t>684</w:t>
      </w:r>
    </w:p>
    <w:p w:rsidR="009D6D9C" w:rsidRDefault="009D6D9C">
      <w:pPr>
        <w:pStyle w:val="TOC2"/>
        <w:tabs>
          <w:tab w:val="left" w:pos="1190"/>
        </w:tabs>
        <w:rPr>
          <w:rFonts w:asciiTheme="minorHAnsi" w:eastAsiaTheme="minorEastAsia" w:hAnsiTheme="minorHAnsi" w:cstheme="minorBidi"/>
          <w:noProof/>
          <w:sz w:val="22"/>
          <w:szCs w:val="22"/>
          <w:lang w:eastAsia="en-AU"/>
        </w:rPr>
      </w:pPr>
      <w:r>
        <w:rPr>
          <w:noProof/>
        </w:rPr>
        <w:t>19.3</w:t>
      </w:r>
      <w:r>
        <w:rPr>
          <w:rFonts w:asciiTheme="minorHAnsi" w:eastAsiaTheme="minorEastAsia" w:hAnsiTheme="minorHAnsi" w:cstheme="minorBidi"/>
          <w:noProof/>
          <w:sz w:val="22"/>
          <w:szCs w:val="22"/>
          <w:lang w:eastAsia="en-AU"/>
        </w:rPr>
        <w:tab/>
      </w:r>
      <w:r>
        <w:rPr>
          <w:noProof/>
        </w:rPr>
        <w:t>Potential solutions</w:t>
      </w:r>
      <w:r>
        <w:rPr>
          <w:noProof/>
        </w:rPr>
        <w:tab/>
        <w:t>696</w:t>
      </w:r>
    </w:p>
    <w:p w:rsidR="009D6D9C" w:rsidRDefault="009D6D9C">
      <w:pPr>
        <w:pStyle w:val="TOC2"/>
        <w:tabs>
          <w:tab w:val="left" w:pos="1190"/>
        </w:tabs>
        <w:rPr>
          <w:rFonts w:asciiTheme="minorHAnsi" w:eastAsiaTheme="minorEastAsia" w:hAnsiTheme="minorHAnsi" w:cstheme="minorBidi"/>
          <w:noProof/>
          <w:sz w:val="22"/>
          <w:szCs w:val="22"/>
          <w:lang w:eastAsia="en-AU"/>
        </w:rPr>
      </w:pPr>
      <w:r>
        <w:rPr>
          <w:noProof/>
        </w:rPr>
        <w:t>19.4</w:t>
      </w:r>
      <w:r>
        <w:rPr>
          <w:rFonts w:asciiTheme="minorHAnsi" w:eastAsiaTheme="minorEastAsia" w:hAnsiTheme="minorHAnsi" w:cstheme="minorBidi"/>
          <w:noProof/>
          <w:sz w:val="22"/>
          <w:szCs w:val="22"/>
          <w:lang w:eastAsia="en-AU"/>
        </w:rPr>
        <w:tab/>
      </w:r>
      <w:r>
        <w:rPr>
          <w:noProof/>
        </w:rPr>
        <w:t>More fundamental reforms</w:t>
      </w:r>
      <w:r>
        <w:rPr>
          <w:noProof/>
        </w:rPr>
        <w:tab/>
        <w:t>718</w:t>
      </w:r>
    </w:p>
    <w:p w:rsidR="009D6D9C" w:rsidRDefault="009D6D9C">
      <w:pPr>
        <w:pStyle w:val="TOC2"/>
        <w:tabs>
          <w:tab w:val="left" w:pos="1190"/>
        </w:tabs>
        <w:rPr>
          <w:rFonts w:asciiTheme="minorHAnsi" w:eastAsiaTheme="minorEastAsia" w:hAnsiTheme="minorHAnsi" w:cstheme="minorBidi"/>
          <w:noProof/>
          <w:sz w:val="22"/>
          <w:szCs w:val="22"/>
          <w:lang w:eastAsia="en-AU"/>
        </w:rPr>
      </w:pPr>
      <w:r>
        <w:rPr>
          <w:noProof/>
        </w:rPr>
        <w:t>19.5</w:t>
      </w:r>
      <w:r>
        <w:rPr>
          <w:rFonts w:asciiTheme="minorHAnsi" w:eastAsiaTheme="minorEastAsia" w:hAnsiTheme="minorHAnsi" w:cstheme="minorBidi"/>
          <w:noProof/>
          <w:sz w:val="22"/>
          <w:szCs w:val="22"/>
          <w:lang w:eastAsia="en-AU"/>
        </w:rPr>
        <w:tab/>
      </w:r>
      <w:r>
        <w:rPr>
          <w:noProof/>
        </w:rPr>
        <w:t>The hedging market</w:t>
      </w:r>
      <w:r>
        <w:rPr>
          <w:noProof/>
        </w:rPr>
        <w:tab/>
        <w:t>724</w:t>
      </w:r>
    </w:p>
    <w:p w:rsidR="009D6D9C" w:rsidRDefault="009D6D9C">
      <w:pPr>
        <w:pStyle w:val="TOC1"/>
        <w:rPr>
          <w:rFonts w:asciiTheme="minorHAnsi" w:eastAsiaTheme="minorEastAsia" w:hAnsiTheme="minorHAnsi" w:cstheme="minorBidi"/>
          <w:b w:val="0"/>
          <w:noProof/>
          <w:sz w:val="22"/>
          <w:szCs w:val="22"/>
          <w:lang w:eastAsia="en-AU"/>
        </w:rPr>
      </w:pPr>
      <w:r>
        <w:rPr>
          <w:noProof/>
        </w:rPr>
        <w:t>20</w:t>
      </w:r>
      <w:r>
        <w:rPr>
          <w:rFonts w:asciiTheme="minorHAnsi" w:eastAsiaTheme="minorEastAsia" w:hAnsiTheme="minorHAnsi" w:cstheme="minorBidi"/>
          <w:b w:val="0"/>
          <w:noProof/>
          <w:sz w:val="22"/>
          <w:szCs w:val="22"/>
          <w:lang w:eastAsia="en-AU"/>
        </w:rPr>
        <w:tab/>
      </w:r>
      <w:r>
        <w:rPr>
          <w:noProof/>
        </w:rPr>
        <w:t>Merchant interconnectors</w:t>
      </w:r>
      <w:r>
        <w:rPr>
          <w:noProof/>
        </w:rPr>
        <w:tab/>
        <w:t>733</w:t>
      </w:r>
    </w:p>
    <w:p w:rsidR="009D6D9C" w:rsidRDefault="009D6D9C">
      <w:pPr>
        <w:pStyle w:val="TOC2"/>
        <w:tabs>
          <w:tab w:val="left" w:pos="1190"/>
        </w:tabs>
        <w:rPr>
          <w:rFonts w:asciiTheme="minorHAnsi" w:eastAsiaTheme="minorEastAsia" w:hAnsiTheme="minorHAnsi" w:cstheme="minorBidi"/>
          <w:noProof/>
          <w:sz w:val="22"/>
          <w:szCs w:val="22"/>
          <w:lang w:eastAsia="en-AU"/>
        </w:rPr>
      </w:pPr>
      <w:r>
        <w:rPr>
          <w:noProof/>
        </w:rPr>
        <w:t>20.1</w:t>
      </w:r>
      <w:r>
        <w:rPr>
          <w:rFonts w:asciiTheme="minorHAnsi" w:eastAsiaTheme="minorEastAsia" w:hAnsiTheme="minorHAnsi" w:cstheme="minorBidi"/>
          <w:noProof/>
          <w:sz w:val="22"/>
          <w:szCs w:val="22"/>
          <w:lang w:eastAsia="en-AU"/>
        </w:rPr>
        <w:tab/>
      </w:r>
      <w:r>
        <w:rPr>
          <w:noProof/>
        </w:rPr>
        <w:t>The role of merchant interconnectors in the National Electricity Market</w:t>
      </w:r>
      <w:r>
        <w:rPr>
          <w:noProof/>
        </w:rPr>
        <w:tab/>
        <w:t>734</w:t>
      </w:r>
    </w:p>
    <w:p w:rsidR="009D6D9C" w:rsidRDefault="009D6D9C">
      <w:pPr>
        <w:pStyle w:val="TOC2"/>
        <w:tabs>
          <w:tab w:val="left" w:pos="1190"/>
        </w:tabs>
        <w:rPr>
          <w:rFonts w:asciiTheme="minorHAnsi" w:eastAsiaTheme="minorEastAsia" w:hAnsiTheme="minorHAnsi" w:cstheme="minorBidi"/>
          <w:noProof/>
          <w:sz w:val="22"/>
          <w:szCs w:val="22"/>
          <w:lang w:eastAsia="en-AU"/>
        </w:rPr>
      </w:pPr>
      <w:r>
        <w:rPr>
          <w:noProof/>
        </w:rPr>
        <w:t>20.2</w:t>
      </w:r>
      <w:r>
        <w:rPr>
          <w:rFonts w:asciiTheme="minorHAnsi" w:eastAsiaTheme="minorEastAsia" w:hAnsiTheme="minorHAnsi" w:cstheme="minorBidi"/>
          <w:noProof/>
          <w:sz w:val="22"/>
          <w:szCs w:val="22"/>
          <w:lang w:eastAsia="en-AU"/>
        </w:rPr>
        <w:tab/>
      </w:r>
      <w:r>
        <w:rPr>
          <w:noProof/>
        </w:rPr>
        <w:t>Regulatory biases</w:t>
      </w:r>
      <w:r>
        <w:rPr>
          <w:noProof/>
        </w:rPr>
        <w:tab/>
        <w:t>745</w:t>
      </w:r>
    </w:p>
    <w:p w:rsidR="009D6D9C" w:rsidRDefault="009D6D9C">
      <w:pPr>
        <w:pStyle w:val="TOC2"/>
        <w:tabs>
          <w:tab w:val="left" w:pos="1190"/>
        </w:tabs>
        <w:rPr>
          <w:rFonts w:asciiTheme="minorHAnsi" w:eastAsiaTheme="minorEastAsia" w:hAnsiTheme="minorHAnsi" w:cstheme="minorBidi"/>
          <w:noProof/>
          <w:sz w:val="22"/>
          <w:szCs w:val="22"/>
          <w:lang w:eastAsia="en-AU"/>
        </w:rPr>
      </w:pPr>
      <w:r>
        <w:rPr>
          <w:noProof/>
        </w:rPr>
        <w:t>20.3</w:t>
      </w:r>
      <w:r>
        <w:rPr>
          <w:rFonts w:asciiTheme="minorHAnsi" w:eastAsiaTheme="minorEastAsia" w:hAnsiTheme="minorHAnsi" w:cstheme="minorBidi"/>
          <w:noProof/>
          <w:sz w:val="22"/>
          <w:szCs w:val="22"/>
          <w:lang w:eastAsia="en-AU"/>
        </w:rPr>
        <w:tab/>
      </w:r>
      <w:r>
        <w:rPr>
          <w:noProof/>
        </w:rPr>
        <w:t>Beneficiary pays</w:t>
      </w:r>
      <w:r>
        <w:rPr>
          <w:noProof/>
        </w:rPr>
        <w:tab/>
        <w:t>753</w:t>
      </w:r>
    </w:p>
    <w:p w:rsidR="009D6D9C" w:rsidRDefault="009D6D9C">
      <w:pPr>
        <w:pStyle w:val="TOC1"/>
        <w:rPr>
          <w:rFonts w:asciiTheme="minorHAnsi" w:eastAsiaTheme="minorEastAsia" w:hAnsiTheme="minorHAnsi" w:cstheme="minorBidi"/>
          <w:b w:val="0"/>
          <w:noProof/>
          <w:sz w:val="22"/>
          <w:szCs w:val="22"/>
          <w:lang w:eastAsia="en-AU"/>
        </w:rPr>
      </w:pPr>
      <w:r>
        <w:rPr>
          <w:noProof/>
        </w:rPr>
        <w:t>21</w:t>
      </w:r>
      <w:r>
        <w:rPr>
          <w:rFonts w:asciiTheme="minorHAnsi" w:eastAsiaTheme="minorEastAsia" w:hAnsiTheme="minorHAnsi" w:cstheme="minorBidi"/>
          <w:b w:val="0"/>
          <w:noProof/>
          <w:sz w:val="22"/>
          <w:szCs w:val="22"/>
          <w:lang w:eastAsia="en-AU"/>
        </w:rPr>
        <w:tab/>
      </w:r>
      <w:r>
        <w:rPr>
          <w:noProof/>
        </w:rPr>
        <w:t>Governance</w:t>
      </w:r>
      <w:r>
        <w:rPr>
          <w:noProof/>
        </w:rPr>
        <w:tab/>
        <w:t>759</w:t>
      </w:r>
    </w:p>
    <w:p w:rsidR="009D6D9C" w:rsidRDefault="009D6D9C">
      <w:pPr>
        <w:pStyle w:val="TOC2"/>
        <w:tabs>
          <w:tab w:val="left" w:pos="1190"/>
        </w:tabs>
        <w:rPr>
          <w:rFonts w:asciiTheme="minorHAnsi" w:eastAsiaTheme="minorEastAsia" w:hAnsiTheme="minorHAnsi" w:cstheme="minorBidi"/>
          <w:noProof/>
          <w:sz w:val="22"/>
          <w:szCs w:val="22"/>
          <w:lang w:eastAsia="en-AU"/>
        </w:rPr>
      </w:pPr>
      <w:r>
        <w:rPr>
          <w:noProof/>
        </w:rPr>
        <w:t>21.1</w:t>
      </w:r>
      <w:r>
        <w:rPr>
          <w:rFonts w:asciiTheme="minorHAnsi" w:eastAsiaTheme="minorEastAsia" w:hAnsiTheme="minorHAnsi" w:cstheme="minorBidi"/>
          <w:noProof/>
          <w:sz w:val="22"/>
          <w:szCs w:val="22"/>
          <w:lang w:eastAsia="en-AU"/>
        </w:rPr>
        <w:tab/>
      </w:r>
      <w:r>
        <w:rPr>
          <w:noProof/>
        </w:rPr>
        <w:t>Governance and performance of the Australian Energy Regulator</w:t>
      </w:r>
      <w:r>
        <w:rPr>
          <w:noProof/>
        </w:rPr>
        <w:tab/>
        <w:t>762</w:t>
      </w:r>
    </w:p>
    <w:p w:rsidR="009D6D9C" w:rsidRDefault="009D6D9C">
      <w:pPr>
        <w:pStyle w:val="TOC2"/>
        <w:tabs>
          <w:tab w:val="left" w:pos="1190"/>
        </w:tabs>
        <w:rPr>
          <w:rFonts w:asciiTheme="minorHAnsi" w:eastAsiaTheme="minorEastAsia" w:hAnsiTheme="minorHAnsi" w:cstheme="minorBidi"/>
          <w:noProof/>
          <w:sz w:val="22"/>
          <w:szCs w:val="22"/>
          <w:lang w:eastAsia="en-AU"/>
        </w:rPr>
      </w:pPr>
      <w:r>
        <w:rPr>
          <w:noProof/>
        </w:rPr>
        <w:t>21.2</w:t>
      </w:r>
      <w:r>
        <w:rPr>
          <w:rFonts w:asciiTheme="minorHAnsi" w:eastAsiaTheme="minorEastAsia" w:hAnsiTheme="minorHAnsi" w:cstheme="minorBidi"/>
          <w:noProof/>
          <w:sz w:val="22"/>
          <w:szCs w:val="22"/>
          <w:lang w:eastAsia="en-AU"/>
        </w:rPr>
        <w:tab/>
      </w:r>
      <w:r>
        <w:rPr>
          <w:noProof/>
        </w:rPr>
        <w:t>Reform of Australian Energy Regulator governance</w:t>
      </w:r>
      <w:r>
        <w:rPr>
          <w:noProof/>
        </w:rPr>
        <w:tab/>
        <w:t>776</w:t>
      </w:r>
    </w:p>
    <w:p w:rsidR="009D6D9C" w:rsidRDefault="009D6D9C">
      <w:pPr>
        <w:pStyle w:val="TOC2"/>
        <w:tabs>
          <w:tab w:val="left" w:pos="1190"/>
        </w:tabs>
        <w:rPr>
          <w:rFonts w:asciiTheme="minorHAnsi" w:eastAsiaTheme="minorEastAsia" w:hAnsiTheme="minorHAnsi" w:cstheme="minorBidi"/>
          <w:noProof/>
          <w:sz w:val="22"/>
          <w:szCs w:val="22"/>
          <w:lang w:eastAsia="en-AU"/>
        </w:rPr>
      </w:pPr>
      <w:r>
        <w:rPr>
          <w:noProof/>
        </w:rPr>
        <w:t>21.3</w:t>
      </w:r>
      <w:r>
        <w:rPr>
          <w:rFonts w:asciiTheme="minorHAnsi" w:eastAsiaTheme="minorEastAsia" w:hAnsiTheme="minorHAnsi" w:cstheme="minorBidi"/>
          <w:noProof/>
          <w:sz w:val="22"/>
          <w:szCs w:val="22"/>
          <w:lang w:eastAsia="en-AU"/>
        </w:rPr>
        <w:tab/>
      </w:r>
      <w:r>
        <w:rPr>
          <w:noProof/>
        </w:rPr>
        <w:t>What about AEMO, the AEMC and other NEM bodies?</w:t>
      </w:r>
      <w:r>
        <w:rPr>
          <w:noProof/>
        </w:rPr>
        <w:tab/>
        <w:t>786</w:t>
      </w:r>
    </w:p>
    <w:p w:rsidR="009D6D9C" w:rsidRDefault="009D6D9C">
      <w:pPr>
        <w:pStyle w:val="TOC2"/>
        <w:tabs>
          <w:tab w:val="left" w:pos="1190"/>
        </w:tabs>
        <w:rPr>
          <w:rFonts w:asciiTheme="minorHAnsi" w:eastAsiaTheme="minorEastAsia" w:hAnsiTheme="minorHAnsi" w:cstheme="minorBidi"/>
          <w:noProof/>
          <w:sz w:val="22"/>
          <w:szCs w:val="22"/>
          <w:lang w:eastAsia="en-AU"/>
        </w:rPr>
      </w:pPr>
      <w:r>
        <w:rPr>
          <w:noProof/>
        </w:rPr>
        <w:t>21.4</w:t>
      </w:r>
      <w:r>
        <w:rPr>
          <w:rFonts w:asciiTheme="minorHAnsi" w:eastAsiaTheme="minorEastAsia" w:hAnsiTheme="minorHAnsi" w:cstheme="minorBidi"/>
          <w:noProof/>
          <w:sz w:val="22"/>
          <w:szCs w:val="22"/>
          <w:lang w:eastAsia="en-AU"/>
        </w:rPr>
        <w:tab/>
      </w:r>
      <w:r>
        <w:rPr>
          <w:noProof/>
        </w:rPr>
        <w:t>Consumer engagement and representation</w:t>
      </w:r>
      <w:r>
        <w:rPr>
          <w:noProof/>
        </w:rPr>
        <w:tab/>
        <w:t>787</w:t>
      </w:r>
    </w:p>
    <w:p w:rsidR="009D6D9C" w:rsidRDefault="009D6D9C">
      <w:pPr>
        <w:pStyle w:val="TOC2"/>
        <w:tabs>
          <w:tab w:val="left" w:pos="1190"/>
        </w:tabs>
        <w:rPr>
          <w:rFonts w:asciiTheme="minorHAnsi" w:eastAsiaTheme="minorEastAsia" w:hAnsiTheme="minorHAnsi" w:cstheme="minorBidi"/>
          <w:noProof/>
          <w:sz w:val="22"/>
          <w:szCs w:val="22"/>
          <w:lang w:eastAsia="en-AU"/>
        </w:rPr>
      </w:pPr>
      <w:r>
        <w:rPr>
          <w:noProof/>
        </w:rPr>
        <w:t>21.5</w:t>
      </w:r>
      <w:r>
        <w:rPr>
          <w:rFonts w:asciiTheme="minorHAnsi" w:eastAsiaTheme="minorEastAsia" w:hAnsiTheme="minorHAnsi" w:cstheme="minorBidi"/>
          <w:noProof/>
          <w:sz w:val="22"/>
          <w:szCs w:val="22"/>
          <w:lang w:eastAsia="en-AU"/>
        </w:rPr>
        <w:tab/>
      </w:r>
      <w:r>
        <w:rPr>
          <w:noProof/>
        </w:rPr>
        <w:t>Processes for amending electricity network regulation</w:t>
      </w:r>
      <w:r>
        <w:rPr>
          <w:noProof/>
        </w:rPr>
        <w:tab/>
        <w:t>797</w:t>
      </w:r>
    </w:p>
    <w:p w:rsidR="009D6D9C" w:rsidRDefault="009D6D9C">
      <w:pPr>
        <w:pStyle w:val="TOC2"/>
        <w:tabs>
          <w:tab w:val="left" w:pos="1190"/>
        </w:tabs>
        <w:rPr>
          <w:rFonts w:asciiTheme="minorHAnsi" w:eastAsiaTheme="minorEastAsia" w:hAnsiTheme="minorHAnsi" w:cstheme="minorBidi"/>
          <w:noProof/>
          <w:sz w:val="22"/>
          <w:szCs w:val="22"/>
          <w:lang w:eastAsia="en-AU"/>
        </w:rPr>
      </w:pPr>
      <w:r>
        <w:rPr>
          <w:noProof/>
        </w:rPr>
        <w:t>21.6</w:t>
      </w:r>
      <w:r>
        <w:rPr>
          <w:rFonts w:asciiTheme="minorHAnsi" w:eastAsiaTheme="minorEastAsia" w:hAnsiTheme="minorHAnsi" w:cstheme="minorBidi"/>
          <w:noProof/>
          <w:sz w:val="22"/>
          <w:szCs w:val="22"/>
          <w:lang w:eastAsia="en-AU"/>
        </w:rPr>
        <w:tab/>
      </w:r>
      <w:r>
        <w:rPr>
          <w:noProof/>
        </w:rPr>
        <w:t>Merits review processes</w:t>
      </w:r>
      <w:r>
        <w:rPr>
          <w:noProof/>
        </w:rPr>
        <w:tab/>
        <w:t>809</w:t>
      </w:r>
    </w:p>
    <w:p w:rsidR="00F52AFD" w:rsidRDefault="00F52AFD" w:rsidP="00F52AFD">
      <w:pPr>
        <w:pStyle w:val="TOC1"/>
        <w:rPr>
          <w:noProof/>
        </w:rPr>
      </w:pPr>
      <w:r>
        <w:rPr>
          <w:noProof/>
        </w:rPr>
        <w:lastRenderedPageBreak/>
        <w:t>Appendices</w:t>
      </w:r>
    </w:p>
    <w:p w:rsidR="009D6D9C" w:rsidRDefault="009D6D9C">
      <w:pPr>
        <w:pStyle w:val="TOC1"/>
        <w:rPr>
          <w:rFonts w:asciiTheme="minorHAnsi" w:eastAsiaTheme="minorEastAsia" w:hAnsiTheme="minorHAnsi" w:cstheme="minorBidi"/>
          <w:b w:val="0"/>
          <w:noProof/>
          <w:sz w:val="22"/>
          <w:szCs w:val="22"/>
          <w:lang w:eastAsia="en-AU"/>
        </w:rPr>
      </w:pPr>
      <w:r>
        <w:rPr>
          <w:noProof/>
        </w:rPr>
        <w:t>A</w:t>
      </w:r>
      <w:r>
        <w:rPr>
          <w:rFonts w:asciiTheme="minorHAnsi" w:eastAsiaTheme="minorEastAsia" w:hAnsiTheme="minorHAnsi" w:cstheme="minorBidi"/>
          <w:b w:val="0"/>
          <w:noProof/>
          <w:sz w:val="22"/>
          <w:szCs w:val="22"/>
          <w:lang w:eastAsia="en-AU"/>
        </w:rPr>
        <w:tab/>
      </w:r>
      <w:r>
        <w:rPr>
          <w:noProof/>
        </w:rPr>
        <w:t>Conduct of the inquiry</w:t>
      </w:r>
      <w:r>
        <w:rPr>
          <w:noProof/>
        </w:rPr>
        <w:tab/>
        <w:t>811</w:t>
      </w:r>
    </w:p>
    <w:p w:rsidR="009D6D9C" w:rsidRDefault="009D6D9C">
      <w:pPr>
        <w:pStyle w:val="TOC1"/>
        <w:rPr>
          <w:rFonts w:asciiTheme="minorHAnsi" w:eastAsiaTheme="minorEastAsia" w:hAnsiTheme="minorHAnsi" w:cstheme="minorBidi"/>
          <w:b w:val="0"/>
          <w:noProof/>
          <w:sz w:val="22"/>
          <w:szCs w:val="22"/>
          <w:lang w:eastAsia="en-AU"/>
        </w:rPr>
      </w:pPr>
      <w:r>
        <w:rPr>
          <w:noProof/>
        </w:rPr>
        <w:t>References</w:t>
      </w:r>
      <w:r>
        <w:rPr>
          <w:noProof/>
        </w:rPr>
        <w:tab/>
        <w:t>8</w:t>
      </w:r>
      <w:r w:rsidR="00965C31">
        <w:rPr>
          <w:noProof/>
        </w:rPr>
        <w:t>19</w:t>
      </w:r>
    </w:p>
    <w:p w:rsidR="00F52AFD" w:rsidRPr="007F1C6D" w:rsidRDefault="00F52AFD" w:rsidP="00F52AFD">
      <w:pPr>
        <w:pStyle w:val="TOC2"/>
      </w:pPr>
    </w:p>
    <w:p w:rsidR="00F52AFD" w:rsidRDefault="00F52AFD" w:rsidP="00F52AFD">
      <w:pPr>
        <w:pStyle w:val="TOC1"/>
        <w:rPr>
          <w:noProof/>
        </w:rPr>
      </w:pPr>
    </w:p>
    <w:p w:rsidR="00F52AFD" w:rsidRDefault="00F52AFD" w:rsidP="00F52AFD">
      <w:pPr>
        <w:pStyle w:val="TOC1"/>
        <w:rPr>
          <w:noProof/>
        </w:rPr>
      </w:pPr>
      <w:r>
        <w:rPr>
          <w:noProof/>
        </w:rPr>
        <w:t>Online Appendices</w:t>
      </w:r>
    </w:p>
    <w:p w:rsidR="00F52AFD" w:rsidRDefault="00F52AFD" w:rsidP="00F52AFD">
      <w:pPr>
        <w:pStyle w:val="TOC1"/>
        <w:rPr>
          <w:noProof/>
        </w:rPr>
      </w:pPr>
      <w:r>
        <w:rPr>
          <w:noProof/>
        </w:rPr>
        <w:t>B</w:t>
      </w:r>
      <w:r>
        <w:rPr>
          <w:rFonts w:asciiTheme="minorHAnsi" w:eastAsiaTheme="minorEastAsia" w:hAnsiTheme="minorHAnsi" w:cstheme="minorBidi"/>
          <w:b w:val="0"/>
          <w:noProof/>
          <w:sz w:val="22"/>
          <w:szCs w:val="22"/>
          <w:lang w:eastAsia="en-AU"/>
        </w:rPr>
        <w:tab/>
      </w:r>
      <w:r>
        <w:rPr>
          <w:noProof/>
        </w:rPr>
        <w:t>The hold-up problem</w:t>
      </w:r>
    </w:p>
    <w:p w:rsidR="00F52AFD" w:rsidRDefault="00F52AFD" w:rsidP="00F52AFD">
      <w:pPr>
        <w:pStyle w:val="TOC1"/>
        <w:rPr>
          <w:noProof/>
        </w:rPr>
      </w:pPr>
      <w:r>
        <w:rPr>
          <w:noProof/>
        </w:rPr>
        <w:t>C</w:t>
      </w:r>
      <w:r>
        <w:rPr>
          <w:rFonts w:asciiTheme="minorHAnsi" w:eastAsiaTheme="minorEastAsia" w:hAnsiTheme="minorHAnsi" w:cstheme="minorBidi"/>
          <w:b w:val="0"/>
          <w:noProof/>
          <w:sz w:val="22"/>
          <w:szCs w:val="22"/>
          <w:lang w:eastAsia="en-AU"/>
        </w:rPr>
        <w:tab/>
      </w:r>
      <w:r>
        <w:rPr>
          <w:noProof/>
        </w:rPr>
        <w:t>Hedging in the electricity market</w:t>
      </w:r>
    </w:p>
    <w:p w:rsidR="00F52AFD" w:rsidRDefault="00F52AFD" w:rsidP="00F52AFD">
      <w:pPr>
        <w:pStyle w:val="TOC1"/>
        <w:rPr>
          <w:noProof/>
        </w:rPr>
      </w:pPr>
      <w:r>
        <w:rPr>
          <w:noProof/>
        </w:rPr>
        <w:t>D</w:t>
      </w:r>
      <w:r>
        <w:rPr>
          <w:rFonts w:asciiTheme="minorHAnsi" w:eastAsiaTheme="minorEastAsia" w:hAnsiTheme="minorHAnsi" w:cstheme="minorBidi"/>
          <w:b w:val="0"/>
          <w:noProof/>
          <w:sz w:val="22"/>
          <w:szCs w:val="22"/>
          <w:lang w:eastAsia="en-AU"/>
        </w:rPr>
        <w:tab/>
      </w:r>
      <w:r>
        <w:rPr>
          <w:noProof/>
        </w:rPr>
        <w:t>Modelling indirect effects in the RIT-T</w:t>
      </w:r>
    </w:p>
    <w:p w:rsidR="00F52AFD" w:rsidRDefault="00F52AFD" w:rsidP="00F52AFD">
      <w:pPr>
        <w:pStyle w:val="TOC1"/>
        <w:rPr>
          <w:noProof/>
        </w:rPr>
      </w:pPr>
      <w:r>
        <w:rPr>
          <w:noProof/>
        </w:rPr>
        <w:t>E</w:t>
      </w:r>
      <w:r>
        <w:rPr>
          <w:rFonts w:asciiTheme="minorHAnsi" w:eastAsiaTheme="minorEastAsia" w:hAnsiTheme="minorHAnsi" w:cstheme="minorBidi"/>
          <w:b w:val="0"/>
          <w:noProof/>
          <w:sz w:val="22"/>
          <w:szCs w:val="22"/>
          <w:lang w:eastAsia="en-AU"/>
        </w:rPr>
        <w:tab/>
      </w:r>
      <w:r>
        <w:rPr>
          <w:noProof/>
        </w:rPr>
        <w:t>International regulators’ approach to merchant transmission investment</w:t>
      </w:r>
    </w:p>
    <w:p w:rsidR="00F52AFD" w:rsidRDefault="00F52AFD" w:rsidP="00F52AFD">
      <w:pPr>
        <w:pStyle w:val="TOC1"/>
        <w:rPr>
          <w:noProof/>
        </w:rPr>
      </w:pPr>
      <w:r>
        <w:rPr>
          <w:noProof/>
        </w:rPr>
        <w:t>F</w:t>
      </w:r>
      <w:r>
        <w:rPr>
          <w:rFonts w:asciiTheme="minorHAnsi" w:eastAsiaTheme="minorEastAsia" w:hAnsiTheme="minorHAnsi" w:cstheme="minorBidi"/>
          <w:b w:val="0"/>
          <w:noProof/>
          <w:sz w:val="22"/>
          <w:szCs w:val="22"/>
          <w:lang w:eastAsia="en-AU"/>
        </w:rPr>
        <w:tab/>
      </w:r>
      <w:r>
        <w:rPr>
          <w:noProof/>
        </w:rPr>
        <w:t>Current transmission reliability and planning frameworks</w:t>
      </w:r>
    </w:p>
    <w:p w:rsidR="00F52AFD" w:rsidRDefault="00F52AFD" w:rsidP="00F52AFD"/>
    <w:p w:rsidR="00F52AFD" w:rsidRPr="00F52AFD" w:rsidRDefault="00F52AFD" w:rsidP="00F52AFD">
      <w:pPr>
        <w:pStyle w:val="BodyText"/>
      </w:pPr>
    </w:p>
    <w:p w:rsidR="009D6D9C" w:rsidRPr="009D6D9C" w:rsidRDefault="009D6D9C" w:rsidP="009D6D9C">
      <w:pPr>
        <w:pStyle w:val="BodyText"/>
      </w:pPr>
    </w:p>
    <w:p w:rsidR="00735FEA" w:rsidRDefault="00735FEA">
      <w:pPr>
        <w:pStyle w:val="BodyText"/>
        <w:sectPr w:rsidR="00735FEA" w:rsidSect="005537F6">
          <w:headerReference w:type="even" r:id="rId18"/>
          <w:headerReference w:type="default" r:id="rId19"/>
          <w:footerReference w:type="even" r:id="rId20"/>
          <w:footerReference w:type="default" r:id="rId21"/>
          <w:type w:val="oddPage"/>
          <w:pgSz w:w="11907" w:h="16840" w:code="9"/>
          <w:pgMar w:top="1985" w:right="1304" w:bottom="1418" w:left="1814" w:header="1701" w:footer="567" w:gutter="0"/>
          <w:pgNumType w:fmt="lowerRoman"/>
          <w:cols w:space="720"/>
        </w:sectPr>
      </w:pPr>
    </w:p>
    <w:p w:rsidR="009811F8" w:rsidRDefault="009811F8">
      <w:pPr>
        <w:pStyle w:val="Heading1"/>
      </w:pPr>
      <w:bookmarkStart w:id="15" w:name="Abbreviations"/>
      <w:bookmarkStart w:id="16" w:name="RDnote"/>
      <w:bookmarkStart w:id="17" w:name="_Toc353374644"/>
      <w:bookmarkEnd w:id="15"/>
      <w:bookmarkEnd w:id="16"/>
      <w:r>
        <w:lastRenderedPageBreak/>
        <w:t>Acknowledgments</w:t>
      </w:r>
      <w:bookmarkEnd w:id="17"/>
    </w:p>
    <w:p w:rsidR="009811F8" w:rsidRDefault="009811F8">
      <w:pPr>
        <w:pStyle w:val="BodyText"/>
      </w:pPr>
    </w:p>
    <w:p w:rsidR="00BE2B53" w:rsidRDefault="00BE2B53">
      <w:pPr>
        <w:pStyle w:val="BodyText"/>
      </w:pPr>
      <w:r w:rsidRPr="00427613">
        <w:t xml:space="preserve">The Commission engaged the services of Dr John </w:t>
      </w:r>
      <w:proofErr w:type="spellStart"/>
      <w:r w:rsidRPr="00427613">
        <w:t>Tamblyn</w:t>
      </w:r>
      <w:proofErr w:type="spellEnd"/>
      <w:r w:rsidRPr="00427613">
        <w:t>, a well-known expert on the National Electricity Market (who has recently been involved in two other independent reviews of aspects of the electricity industry) to review some chapters and the overview for th</w:t>
      </w:r>
      <w:r>
        <w:t>e draft of this</w:t>
      </w:r>
      <w:r w:rsidRPr="00427613">
        <w:t xml:space="preserve"> report. Dr </w:t>
      </w:r>
      <w:proofErr w:type="spellStart"/>
      <w:r w:rsidRPr="00427613">
        <w:t>Tamblyn</w:t>
      </w:r>
      <w:proofErr w:type="spellEnd"/>
      <w:r w:rsidRPr="00427613">
        <w:t xml:space="preserve"> provided valuable feedback to the Commission, for which we are most grateful. However, the views and judgements in this report are those of the Commission alone, and should not be attributed to Dr </w:t>
      </w:r>
      <w:proofErr w:type="spellStart"/>
      <w:r w:rsidRPr="00427613">
        <w:t>Tamblyn</w:t>
      </w:r>
      <w:proofErr w:type="spellEnd"/>
      <w:r w:rsidRPr="00427613">
        <w:t xml:space="preserve"> or any other participa</w:t>
      </w:r>
      <w:r>
        <w:t>nt, except where clearly stated.</w:t>
      </w:r>
    </w:p>
    <w:p w:rsidR="00BE2B53" w:rsidRDefault="00BE2B53">
      <w:pPr>
        <w:pStyle w:val="BodyText"/>
      </w:pPr>
    </w:p>
    <w:p w:rsidR="00BE2B53" w:rsidRDefault="00BE2B53">
      <w:pPr>
        <w:pStyle w:val="BodyText"/>
        <w:sectPr w:rsidR="00BE2B53" w:rsidSect="003342D1">
          <w:headerReference w:type="even" r:id="rId22"/>
          <w:headerReference w:type="default" r:id="rId23"/>
          <w:footerReference w:type="even" r:id="rId24"/>
          <w:footerReference w:type="default" r:id="rId25"/>
          <w:pgSz w:w="11906" w:h="16838" w:code="9"/>
          <w:pgMar w:top="1985" w:right="1304" w:bottom="1418" w:left="1814" w:header="1701" w:footer="567" w:gutter="0"/>
          <w:pgNumType w:fmt="lowerRoman"/>
          <w:cols w:space="708"/>
          <w:docGrid w:linePitch="360"/>
        </w:sectPr>
      </w:pPr>
    </w:p>
    <w:p w:rsidR="00735FEA" w:rsidRDefault="00735FEA" w:rsidP="00F7477E">
      <w:pPr>
        <w:pStyle w:val="Heading1"/>
      </w:pPr>
      <w:bookmarkStart w:id="18" w:name="EndContents"/>
      <w:bookmarkStart w:id="19" w:name="_Toc353374645"/>
      <w:bookmarkEnd w:id="18"/>
      <w:r>
        <w:lastRenderedPageBreak/>
        <w:t>Abbreviations and explanations</w:t>
      </w:r>
      <w:bookmarkEnd w:id="19"/>
    </w:p>
    <w:p w:rsidR="00735FEA" w:rsidRDefault="00735FEA" w:rsidP="00F7477E">
      <w:pPr>
        <w:pStyle w:val="Heading2NotTOC"/>
      </w:pPr>
      <w:r>
        <w:t>Abbrevia</w:t>
      </w:r>
      <w:r w:rsidRPr="00F85393">
        <w:t>t</w:t>
      </w:r>
      <w:r>
        <w:t>ions</w:t>
      </w:r>
    </w:p>
    <w:p w:rsidR="00BE2B53" w:rsidRDefault="00BE2B53" w:rsidP="00BE2B53">
      <w:pPr>
        <w:pStyle w:val="Abbreviation"/>
      </w:pPr>
      <w:proofErr w:type="spellStart"/>
      <w:r>
        <w:t>AATSE</w:t>
      </w:r>
      <w:proofErr w:type="spellEnd"/>
      <w:r>
        <w:tab/>
        <w:t>Australian Academy of Technological Sciences and Engineering</w:t>
      </w:r>
    </w:p>
    <w:p w:rsidR="00BE2B53" w:rsidRDefault="00BE2B53" w:rsidP="00BE2B53">
      <w:pPr>
        <w:pStyle w:val="Abbreviation"/>
      </w:pPr>
      <w:r>
        <w:t>ABS</w:t>
      </w:r>
      <w:r>
        <w:tab/>
        <w:t>Australian Bureau of Statistics</w:t>
      </w:r>
    </w:p>
    <w:p w:rsidR="00BE2B53" w:rsidRDefault="00BE2B53" w:rsidP="00BE2B53">
      <w:pPr>
        <w:pStyle w:val="Abbreviation"/>
      </w:pPr>
      <w:proofErr w:type="spellStart"/>
      <w:r>
        <w:t>ACCC</w:t>
      </w:r>
      <w:proofErr w:type="spellEnd"/>
      <w:r>
        <w:tab/>
      </w:r>
      <w:r w:rsidRPr="00A65032">
        <w:t>Australian Competition and Consumer Commission</w:t>
      </w:r>
    </w:p>
    <w:p w:rsidR="00BE2B53" w:rsidRDefault="00BE2B53" w:rsidP="00BE2B53">
      <w:pPr>
        <w:pStyle w:val="Abbreviation"/>
      </w:pPr>
      <w:r>
        <w:t>ACT</w:t>
      </w:r>
      <w:r>
        <w:tab/>
      </w:r>
      <w:r w:rsidRPr="00F722CC">
        <w:t>Australian Competition Tribunal</w:t>
      </w:r>
    </w:p>
    <w:p w:rsidR="00BE2B53" w:rsidRDefault="00BE2B53" w:rsidP="00BE2B53">
      <w:pPr>
        <w:pStyle w:val="Abbreviation"/>
      </w:pPr>
      <w:proofErr w:type="spellStart"/>
      <w:r>
        <w:t>AEMC</w:t>
      </w:r>
      <w:proofErr w:type="spellEnd"/>
      <w:r>
        <w:tab/>
        <w:t>Australian Energy Market Commission</w:t>
      </w:r>
    </w:p>
    <w:p w:rsidR="00BE2B53" w:rsidRDefault="00BE2B53" w:rsidP="00BE2B53">
      <w:pPr>
        <w:pStyle w:val="Abbreviation"/>
      </w:pPr>
      <w:proofErr w:type="spellStart"/>
      <w:r>
        <w:t>AEMO</w:t>
      </w:r>
      <w:proofErr w:type="spellEnd"/>
      <w:r>
        <w:tab/>
      </w:r>
      <w:r w:rsidRPr="006039F4">
        <w:t>Australian Energy Market</w:t>
      </w:r>
      <w:r>
        <w:t xml:space="preserve"> Operator</w:t>
      </w:r>
    </w:p>
    <w:p w:rsidR="00BE2B53" w:rsidRDefault="00BE2B53" w:rsidP="00BE2B53">
      <w:pPr>
        <w:pStyle w:val="Abbreviation"/>
      </w:pPr>
      <w:proofErr w:type="spellStart"/>
      <w:r>
        <w:t>AER</w:t>
      </w:r>
      <w:proofErr w:type="spellEnd"/>
      <w:r>
        <w:tab/>
        <w:t>Australian Energy Regulator</w:t>
      </w:r>
    </w:p>
    <w:p w:rsidR="00BE2B53" w:rsidRDefault="00BE2B53" w:rsidP="00BE2B53">
      <w:pPr>
        <w:pStyle w:val="Abbreviation"/>
      </w:pPr>
      <w:proofErr w:type="spellStart"/>
      <w:r>
        <w:t>AEMA</w:t>
      </w:r>
      <w:proofErr w:type="spellEnd"/>
      <w:r>
        <w:tab/>
        <w:t>Australian Energy Market Agreement</w:t>
      </w:r>
    </w:p>
    <w:p w:rsidR="00BE2B53" w:rsidRDefault="00BE2B53" w:rsidP="00BE2B53">
      <w:pPr>
        <w:pStyle w:val="Abbreviation"/>
      </w:pPr>
      <w:r>
        <w:t>ASU</w:t>
      </w:r>
      <w:r>
        <w:tab/>
        <w:t>Australian Services Union</w:t>
      </w:r>
    </w:p>
    <w:p w:rsidR="00BE2B53" w:rsidRDefault="00BE2B53" w:rsidP="00BE2B53">
      <w:pPr>
        <w:pStyle w:val="Abbreviation"/>
      </w:pPr>
      <w:r>
        <w:t>ATA</w:t>
      </w:r>
      <w:r>
        <w:tab/>
        <w:t>Australian Technology Association</w:t>
      </w:r>
    </w:p>
    <w:p w:rsidR="00BE2B53" w:rsidRDefault="00BE2B53" w:rsidP="00BE2B53">
      <w:pPr>
        <w:pStyle w:val="Abbreviation"/>
      </w:pPr>
      <w:proofErr w:type="spellStart"/>
      <w:r w:rsidRPr="00563858">
        <w:t>CAIDI</w:t>
      </w:r>
      <w:proofErr w:type="spellEnd"/>
      <w:r>
        <w:tab/>
        <w:t>C</w:t>
      </w:r>
      <w:r w:rsidRPr="00563858">
        <w:t>ustomer average interruption duration index</w:t>
      </w:r>
    </w:p>
    <w:p w:rsidR="00BE2B53" w:rsidRDefault="00BE2B53" w:rsidP="00BE2B53">
      <w:pPr>
        <w:pStyle w:val="Abbreviation"/>
      </w:pPr>
      <w:proofErr w:type="spellStart"/>
      <w:r>
        <w:t>CALC</w:t>
      </w:r>
      <w:proofErr w:type="spellEnd"/>
      <w:r>
        <w:tab/>
        <w:t>Consumer Action Law Centre</w:t>
      </w:r>
    </w:p>
    <w:p w:rsidR="00BE2B53" w:rsidRDefault="00BE2B53" w:rsidP="00BE2B53">
      <w:pPr>
        <w:pStyle w:val="Abbreviation"/>
      </w:pPr>
      <w:proofErr w:type="spellStart"/>
      <w:r>
        <w:t>CAPEX</w:t>
      </w:r>
      <w:proofErr w:type="spellEnd"/>
      <w:r>
        <w:t xml:space="preserve"> or </w:t>
      </w:r>
      <w:proofErr w:type="spellStart"/>
      <w:r>
        <w:t>capex</w:t>
      </w:r>
      <w:proofErr w:type="spellEnd"/>
      <w:r>
        <w:tab/>
        <w:t>Capital expenditure</w:t>
      </w:r>
    </w:p>
    <w:p w:rsidR="00BE2B53" w:rsidRDefault="00BE2B53" w:rsidP="00BE2B53">
      <w:pPr>
        <w:pStyle w:val="Abbreviation"/>
      </w:pPr>
      <w:proofErr w:type="spellStart"/>
      <w:r w:rsidRPr="00E12D1F">
        <w:t>CBA</w:t>
      </w:r>
      <w:proofErr w:type="spellEnd"/>
      <w:r>
        <w:tab/>
        <w:t>C</w:t>
      </w:r>
      <w:r w:rsidRPr="00E12D1F">
        <w:t xml:space="preserve">ost-benefit </w:t>
      </w:r>
      <w:r>
        <w:t>analysis</w:t>
      </w:r>
    </w:p>
    <w:p w:rsidR="00BE2B53" w:rsidRDefault="00BE2B53" w:rsidP="00BE2B53">
      <w:pPr>
        <w:pStyle w:val="Abbreviation"/>
      </w:pPr>
      <w:proofErr w:type="spellStart"/>
      <w:r w:rsidRPr="00094A1A">
        <w:t>CDF</w:t>
      </w:r>
      <w:proofErr w:type="spellEnd"/>
      <w:r>
        <w:tab/>
        <w:t>Customer Damage Functions</w:t>
      </w:r>
    </w:p>
    <w:p w:rsidR="00BE2B53" w:rsidRDefault="00BE2B53" w:rsidP="00BE2B53">
      <w:pPr>
        <w:pStyle w:val="Abbreviation"/>
      </w:pPr>
      <w:r>
        <w:t>COAG</w:t>
      </w:r>
      <w:r>
        <w:tab/>
        <w:t>Council of Australian Governments</w:t>
      </w:r>
    </w:p>
    <w:p w:rsidR="00BE2B53" w:rsidRDefault="00BE2B53" w:rsidP="00BE2B53">
      <w:pPr>
        <w:pStyle w:val="Abbreviation"/>
      </w:pPr>
      <w:r>
        <w:t>CPI-x</w:t>
      </w:r>
      <w:r>
        <w:tab/>
      </w:r>
      <w:r w:rsidRPr="002A53E2">
        <w:t>C</w:t>
      </w:r>
      <w:r>
        <w:t>onsumer Price Index minus a</w:t>
      </w:r>
      <w:r w:rsidRPr="002A53E2">
        <w:t xml:space="preserve"> benchmark productivity rate (x)</w:t>
      </w:r>
    </w:p>
    <w:p w:rsidR="00BE2B53" w:rsidRDefault="00BE2B53" w:rsidP="00BE2B53">
      <w:pPr>
        <w:pStyle w:val="Abbreviation"/>
      </w:pPr>
      <w:proofErr w:type="spellStart"/>
      <w:r w:rsidRPr="002D3C6E">
        <w:t>CPP</w:t>
      </w:r>
      <w:proofErr w:type="spellEnd"/>
      <w:r>
        <w:tab/>
        <w:t>Critical Peak Price</w:t>
      </w:r>
    </w:p>
    <w:p w:rsidR="00BE2B53" w:rsidRDefault="00BE2B53" w:rsidP="00BE2B53">
      <w:pPr>
        <w:pStyle w:val="Abbreviation"/>
      </w:pPr>
      <w:r>
        <w:t>CSIRO</w:t>
      </w:r>
      <w:r>
        <w:tab/>
        <w:t>Commonwealth Scientific and Industrial Research Organisation</w:t>
      </w:r>
    </w:p>
    <w:p w:rsidR="00BE2B53" w:rsidRDefault="00BE2B53" w:rsidP="00BE2B53">
      <w:pPr>
        <w:pStyle w:val="Abbreviation"/>
      </w:pPr>
      <w:r>
        <w:t>DANCE</w:t>
      </w:r>
      <w:r>
        <w:tab/>
      </w:r>
      <w:r w:rsidRPr="006039F4">
        <w:t>Dynamic Avoidable Network Cost Evaluation model</w:t>
      </w:r>
    </w:p>
    <w:p w:rsidR="00BE2B53" w:rsidRDefault="00BE2B53" w:rsidP="00BE2B53">
      <w:pPr>
        <w:pStyle w:val="Abbreviation"/>
      </w:pPr>
      <w:r>
        <w:t>DG</w:t>
      </w:r>
      <w:r>
        <w:tab/>
        <w:t>Distributed generation</w:t>
      </w:r>
    </w:p>
    <w:p w:rsidR="00BE2B53" w:rsidRDefault="00BE2B53" w:rsidP="00BE2B53">
      <w:pPr>
        <w:pStyle w:val="Abbreviation"/>
      </w:pPr>
      <w:proofErr w:type="spellStart"/>
      <w:r w:rsidRPr="00C076D9">
        <w:t>DLC</w:t>
      </w:r>
      <w:proofErr w:type="spellEnd"/>
      <w:r>
        <w:tab/>
        <w:t>Direct load control</w:t>
      </w:r>
    </w:p>
    <w:p w:rsidR="00BE2B53" w:rsidRDefault="00BE2B53" w:rsidP="00BE2B53">
      <w:pPr>
        <w:pStyle w:val="Abbreviation"/>
      </w:pPr>
      <w:proofErr w:type="spellStart"/>
      <w:r>
        <w:lastRenderedPageBreak/>
        <w:t>DM</w:t>
      </w:r>
      <w:proofErr w:type="spellEnd"/>
      <w:r>
        <w:tab/>
        <w:t>Demand management</w:t>
      </w:r>
    </w:p>
    <w:p w:rsidR="00BE2B53" w:rsidRDefault="00BE2B53" w:rsidP="00BE2B53">
      <w:pPr>
        <w:pStyle w:val="Abbreviation"/>
      </w:pPr>
      <w:proofErr w:type="spellStart"/>
      <w:r w:rsidRPr="003857AE">
        <w:t>DMEGCIS</w:t>
      </w:r>
      <w:proofErr w:type="spellEnd"/>
      <w:r>
        <w:tab/>
      </w:r>
      <w:r w:rsidRPr="003857AE">
        <w:t>Demand Management and Embedded Generati</w:t>
      </w:r>
      <w:r>
        <w:t>on Connection Incentive Scheme</w:t>
      </w:r>
    </w:p>
    <w:p w:rsidR="00BE2B53" w:rsidRDefault="00BE2B53" w:rsidP="00BE2B53">
      <w:pPr>
        <w:pStyle w:val="Abbreviation"/>
      </w:pPr>
      <w:proofErr w:type="spellStart"/>
      <w:r>
        <w:t>DNSP</w:t>
      </w:r>
      <w:proofErr w:type="spellEnd"/>
      <w:r>
        <w:tab/>
        <w:t>Distribution Network Service Provider</w:t>
      </w:r>
    </w:p>
    <w:p w:rsidR="00BE2B53" w:rsidRDefault="00BE2B53" w:rsidP="00BE2B53">
      <w:pPr>
        <w:pStyle w:val="Abbreviation"/>
      </w:pPr>
      <w:r>
        <w:t>DPI</w:t>
      </w:r>
      <w:r>
        <w:tab/>
        <w:t>Department of Primary Industries (Victoria)</w:t>
      </w:r>
    </w:p>
    <w:p w:rsidR="00BE2B53" w:rsidRDefault="00BE2B53" w:rsidP="00BE2B53">
      <w:pPr>
        <w:pStyle w:val="Abbreviation"/>
      </w:pPr>
      <w:proofErr w:type="spellStart"/>
      <w:r w:rsidRPr="00E12D1F">
        <w:t>DRED</w:t>
      </w:r>
      <w:proofErr w:type="spellEnd"/>
      <w:r>
        <w:tab/>
      </w:r>
      <w:r w:rsidRPr="00E12D1F">
        <w:t>D</w:t>
      </w:r>
      <w:r>
        <w:t>emand Response Enabling Device</w:t>
      </w:r>
    </w:p>
    <w:p w:rsidR="00BE2B53" w:rsidRDefault="00BE2B53" w:rsidP="00BE2B53">
      <w:pPr>
        <w:pStyle w:val="Abbreviation"/>
      </w:pPr>
      <w:proofErr w:type="spellStart"/>
      <w:r>
        <w:t>DSP</w:t>
      </w:r>
      <w:proofErr w:type="spellEnd"/>
      <w:r>
        <w:tab/>
        <w:t>Demand side participation</w:t>
      </w:r>
    </w:p>
    <w:p w:rsidR="00BE2B53" w:rsidRDefault="00BE2B53" w:rsidP="00BE2B53">
      <w:pPr>
        <w:pStyle w:val="Abbreviation"/>
      </w:pPr>
      <w:proofErr w:type="spellStart"/>
      <w:r>
        <w:t>EBSS</w:t>
      </w:r>
      <w:proofErr w:type="spellEnd"/>
      <w:r>
        <w:tab/>
        <w:t>Efficiency Benefit Sharing Scheme</w:t>
      </w:r>
    </w:p>
    <w:p w:rsidR="00BE2B53" w:rsidRDefault="00BE2B53" w:rsidP="00BE2B53">
      <w:pPr>
        <w:pStyle w:val="Abbreviation"/>
      </w:pPr>
      <w:proofErr w:type="spellStart"/>
      <w:r>
        <w:t>ENA</w:t>
      </w:r>
      <w:proofErr w:type="spellEnd"/>
      <w:r>
        <w:tab/>
        <w:t>Energy Networks Association</w:t>
      </w:r>
    </w:p>
    <w:p w:rsidR="00BE2B53" w:rsidRDefault="00BE2B53" w:rsidP="00BE2B53">
      <w:pPr>
        <w:pStyle w:val="Abbreviation"/>
      </w:pPr>
      <w:proofErr w:type="spellStart"/>
      <w:r>
        <w:t>ERAA</w:t>
      </w:r>
      <w:proofErr w:type="spellEnd"/>
      <w:r>
        <w:tab/>
        <w:t>Energy Retailers Association of Australia</w:t>
      </w:r>
    </w:p>
    <w:p w:rsidR="00BE2B53" w:rsidRDefault="00BE2B53" w:rsidP="00BE2B53">
      <w:pPr>
        <w:pStyle w:val="Abbreviation"/>
      </w:pPr>
      <w:proofErr w:type="spellStart"/>
      <w:r>
        <w:t>esaa</w:t>
      </w:r>
      <w:proofErr w:type="spellEnd"/>
      <w:r>
        <w:tab/>
        <w:t>Energy Supply Association of Australia</w:t>
      </w:r>
    </w:p>
    <w:p w:rsidR="00BE2B53" w:rsidRDefault="00BE2B53" w:rsidP="00BE2B53">
      <w:pPr>
        <w:pStyle w:val="Abbreviation"/>
      </w:pPr>
      <w:r>
        <w:t>ESC</w:t>
      </w:r>
      <w:r>
        <w:tab/>
        <w:t>Essential Services Commission (Victoria)</w:t>
      </w:r>
    </w:p>
    <w:p w:rsidR="00BE2B53" w:rsidRDefault="00BE2B53" w:rsidP="00BE2B53">
      <w:pPr>
        <w:pStyle w:val="Abbreviation"/>
      </w:pPr>
      <w:proofErr w:type="spellStart"/>
      <w:r>
        <w:t>ESCOSA</w:t>
      </w:r>
      <w:proofErr w:type="spellEnd"/>
      <w:r>
        <w:tab/>
        <w:t xml:space="preserve">Essential Services Commission of South Australia </w:t>
      </w:r>
    </w:p>
    <w:p w:rsidR="00BE2B53" w:rsidRDefault="00BE2B53" w:rsidP="00BE2B53">
      <w:pPr>
        <w:pStyle w:val="Abbreviation"/>
      </w:pPr>
      <w:proofErr w:type="spellStart"/>
      <w:r>
        <w:t>ETC</w:t>
      </w:r>
      <w:proofErr w:type="spellEnd"/>
      <w:r>
        <w:tab/>
        <w:t>Electricity Transmission Code</w:t>
      </w:r>
    </w:p>
    <w:p w:rsidR="00BE2B53" w:rsidRDefault="00BE2B53" w:rsidP="00BE2B53">
      <w:pPr>
        <w:pStyle w:val="Abbreviation"/>
      </w:pPr>
      <w:r>
        <w:t>EU</w:t>
      </w:r>
      <w:r>
        <w:tab/>
        <w:t>European Union</w:t>
      </w:r>
    </w:p>
    <w:p w:rsidR="00BE2B53" w:rsidRDefault="00BE2B53" w:rsidP="00BE2B53">
      <w:pPr>
        <w:pStyle w:val="Abbreviation"/>
      </w:pPr>
      <w:proofErr w:type="spellStart"/>
      <w:r>
        <w:t>EUAA</w:t>
      </w:r>
      <w:proofErr w:type="spellEnd"/>
      <w:r>
        <w:tab/>
        <w:t>Energy Users Association of Australia</w:t>
      </w:r>
    </w:p>
    <w:p w:rsidR="00BE2B53" w:rsidRDefault="00BE2B53" w:rsidP="00BE2B53">
      <w:pPr>
        <w:pStyle w:val="Abbreviation"/>
      </w:pPr>
      <w:proofErr w:type="spellStart"/>
      <w:r>
        <w:t>FCAS</w:t>
      </w:r>
      <w:proofErr w:type="spellEnd"/>
      <w:r>
        <w:tab/>
        <w:t>Frequency control ancillary services</w:t>
      </w:r>
    </w:p>
    <w:p w:rsidR="00BE2B53" w:rsidRDefault="00BE2B53" w:rsidP="00BE2B53">
      <w:pPr>
        <w:pStyle w:val="Abbreviation"/>
      </w:pPr>
      <w:r>
        <w:t>GDP</w:t>
      </w:r>
      <w:r>
        <w:tab/>
        <w:t>Gross Domestic Product</w:t>
      </w:r>
    </w:p>
    <w:p w:rsidR="00BE2B53" w:rsidRDefault="00BE2B53" w:rsidP="00BE2B53">
      <w:pPr>
        <w:pStyle w:val="Abbreviation"/>
      </w:pPr>
      <w:proofErr w:type="spellStart"/>
      <w:r>
        <w:t>HV</w:t>
      </w:r>
      <w:proofErr w:type="spellEnd"/>
      <w:r>
        <w:tab/>
        <w:t>High voltage</w:t>
      </w:r>
    </w:p>
    <w:p w:rsidR="00BE2B53" w:rsidRDefault="00BE2B53" w:rsidP="00BE2B53">
      <w:pPr>
        <w:pStyle w:val="Abbreviation"/>
      </w:pPr>
      <w:proofErr w:type="spellStart"/>
      <w:r>
        <w:t>IPART</w:t>
      </w:r>
      <w:proofErr w:type="spellEnd"/>
      <w:r>
        <w:tab/>
        <w:t>Independent Pricing and Regulatory Tribunal (NSW)</w:t>
      </w:r>
    </w:p>
    <w:p w:rsidR="00BE2B53" w:rsidRDefault="00BE2B53" w:rsidP="00BE2B53">
      <w:pPr>
        <w:pStyle w:val="Abbreviation"/>
      </w:pPr>
      <w:proofErr w:type="spellStart"/>
      <w:r w:rsidRPr="00A65032">
        <w:t>IRSR</w:t>
      </w:r>
      <w:proofErr w:type="spellEnd"/>
      <w:r>
        <w:tab/>
        <w:t>I</w:t>
      </w:r>
      <w:r w:rsidRPr="00A65032">
        <w:t>nt</w:t>
      </w:r>
      <w:r>
        <w:t>er-regional settlement residue</w:t>
      </w:r>
    </w:p>
    <w:p w:rsidR="00BE2B53" w:rsidRDefault="00BE2B53" w:rsidP="00BE2B53">
      <w:pPr>
        <w:pStyle w:val="Abbreviation"/>
      </w:pPr>
      <w:r>
        <w:t>kV</w:t>
      </w:r>
      <w:r>
        <w:tab/>
        <w:t>kilovolt</w:t>
      </w:r>
    </w:p>
    <w:p w:rsidR="00BE2B53" w:rsidRDefault="00BE2B53" w:rsidP="00BE2B53">
      <w:pPr>
        <w:pStyle w:val="Abbreviation"/>
      </w:pPr>
      <w:r>
        <w:t>kVA</w:t>
      </w:r>
      <w:r>
        <w:tab/>
        <w:t>kilovolt ampere</w:t>
      </w:r>
    </w:p>
    <w:p w:rsidR="00BE2B53" w:rsidRDefault="00BE2B53" w:rsidP="00BE2B53">
      <w:pPr>
        <w:pStyle w:val="Abbreviation"/>
      </w:pPr>
      <w:r>
        <w:t>kW</w:t>
      </w:r>
      <w:r>
        <w:tab/>
      </w:r>
      <w:r w:rsidRPr="00EB2480">
        <w:t xml:space="preserve">kilowatt </w:t>
      </w:r>
    </w:p>
    <w:p w:rsidR="00BE2B53" w:rsidRDefault="00BE2B53" w:rsidP="00BE2B53">
      <w:pPr>
        <w:pStyle w:val="Abbreviation"/>
      </w:pPr>
      <w:r>
        <w:t>kWh</w:t>
      </w:r>
      <w:r>
        <w:tab/>
        <w:t>kilowatt hour</w:t>
      </w:r>
    </w:p>
    <w:p w:rsidR="00BE2B53" w:rsidRDefault="00BE2B53" w:rsidP="00BE2B53">
      <w:pPr>
        <w:pStyle w:val="Abbreviation"/>
      </w:pPr>
      <w:proofErr w:type="spellStart"/>
      <w:r w:rsidRPr="00237FC9">
        <w:t>LRIC</w:t>
      </w:r>
      <w:proofErr w:type="spellEnd"/>
      <w:r>
        <w:tab/>
      </w:r>
      <w:r w:rsidR="00336E53">
        <w:t>long-r</w:t>
      </w:r>
      <w:r>
        <w:t xml:space="preserve">un </w:t>
      </w:r>
      <w:r w:rsidR="00336E53">
        <w:t>i</w:t>
      </w:r>
      <w:r>
        <w:t xml:space="preserve">ncremental </w:t>
      </w:r>
      <w:r w:rsidR="00336E53">
        <w:t>c</w:t>
      </w:r>
      <w:r>
        <w:t>ost</w:t>
      </w:r>
    </w:p>
    <w:p w:rsidR="00BE2B53" w:rsidRDefault="00BE2B53" w:rsidP="00BE2B53">
      <w:pPr>
        <w:pStyle w:val="Abbreviation"/>
      </w:pPr>
      <w:proofErr w:type="spellStart"/>
      <w:r>
        <w:t>LRMC</w:t>
      </w:r>
      <w:proofErr w:type="spellEnd"/>
      <w:r>
        <w:tab/>
      </w:r>
      <w:r w:rsidR="00336E53">
        <w:t>l</w:t>
      </w:r>
      <w:r>
        <w:t>ong</w:t>
      </w:r>
      <w:r w:rsidR="00336E53">
        <w:t>-r</w:t>
      </w:r>
      <w:r>
        <w:t xml:space="preserve">un </w:t>
      </w:r>
      <w:r w:rsidR="00336E53">
        <w:t>m</w:t>
      </w:r>
      <w:r>
        <w:t xml:space="preserve">arginal </w:t>
      </w:r>
      <w:r w:rsidR="00336E53">
        <w:t>c</w:t>
      </w:r>
      <w:r>
        <w:t>ost</w:t>
      </w:r>
    </w:p>
    <w:p w:rsidR="00BE2B53" w:rsidRDefault="00BE2B53" w:rsidP="00BE2B53">
      <w:pPr>
        <w:pStyle w:val="Abbreviation"/>
      </w:pPr>
      <w:r>
        <w:t>LV</w:t>
      </w:r>
      <w:r>
        <w:tab/>
        <w:t>Low voltage</w:t>
      </w:r>
    </w:p>
    <w:p w:rsidR="00BE2B53" w:rsidRDefault="00BE2B53" w:rsidP="00BE2B53">
      <w:pPr>
        <w:pStyle w:val="Abbreviation"/>
      </w:pPr>
      <w:proofErr w:type="spellStart"/>
      <w:r>
        <w:t>LYMMCo</w:t>
      </w:r>
      <w:proofErr w:type="spellEnd"/>
      <w:r>
        <w:tab/>
        <w:t>Loy Yang Marketing Management Company</w:t>
      </w:r>
    </w:p>
    <w:p w:rsidR="00BE2B53" w:rsidRDefault="00BE2B53" w:rsidP="00BE2B53">
      <w:pPr>
        <w:pStyle w:val="Abbreviation"/>
      </w:pPr>
      <w:proofErr w:type="spellStart"/>
      <w:r w:rsidRPr="00563858">
        <w:t>MAIFI</w:t>
      </w:r>
      <w:proofErr w:type="spellEnd"/>
      <w:r>
        <w:tab/>
        <w:t>M</w:t>
      </w:r>
      <w:r w:rsidRPr="00563858">
        <w:t>omentary average interruption frequency index</w:t>
      </w:r>
    </w:p>
    <w:p w:rsidR="00BE2B53" w:rsidRDefault="00BE2B53" w:rsidP="00BE2B53">
      <w:pPr>
        <w:pStyle w:val="Abbreviation"/>
      </w:pPr>
      <w:r>
        <w:t>MAR</w:t>
      </w:r>
      <w:r>
        <w:tab/>
        <w:t>Maximum annual revenue</w:t>
      </w:r>
    </w:p>
    <w:p w:rsidR="00BE2B53" w:rsidRDefault="00BE2B53" w:rsidP="00BE2B53">
      <w:pPr>
        <w:pStyle w:val="Abbreviation"/>
      </w:pPr>
      <w:r>
        <w:lastRenderedPageBreak/>
        <w:t>MCE</w:t>
      </w:r>
      <w:r>
        <w:tab/>
        <w:t>Ministerial Council on Energy</w:t>
      </w:r>
    </w:p>
    <w:p w:rsidR="00BE2B53" w:rsidRDefault="00BE2B53" w:rsidP="00BE2B53">
      <w:pPr>
        <w:pStyle w:val="Abbreviation"/>
      </w:pPr>
      <w:proofErr w:type="spellStart"/>
      <w:r w:rsidRPr="00E12D1F">
        <w:t>MDMS</w:t>
      </w:r>
      <w:proofErr w:type="spellEnd"/>
      <w:r>
        <w:tab/>
        <w:t>meter data management system</w:t>
      </w:r>
    </w:p>
    <w:p w:rsidR="00BE2B53" w:rsidRDefault="00BE2B53" w:rsidP="00BE2B53">
      <w:pPr>
        <w:pStyle w:val="Abbreviation"/>
      </w:pPr>
      <w:r w:rsidRPr="00EC1C20">
        <w:t>MED</w:t>
      </w:r>
      <w:r>
        <w:tab/>
        <w:t>Major event days</w:t>
      </w:r>
    </w:p>
    <w:p w:rsidR="00BE2B53" w:rsidRDefault="00BE2B53" w:rsidP="00BE2B53">
      <w:pPr>
        <w:pStyle w:val="Abbreviation"/>
      </w:pPr>
      <w:proofErr w:type="spellStart"/>
      <w:r>
        <w:t>MEU</w:t>
      </w:r>
      <w:proofErr w:type="spellEnd"/>
      <w:r>
        <w:tab/>
        <w:t>Major Energy Users</w:t>
      </w:r>
    </w:p>
    <w:p w:rsidR="00BE2B53" w:rsidRDefault="00BE2B53" w:rsidP="00BE2B53">
      <w:pPr>
        <w:pStyle w:val="Abbreviation"/>
      </w:pPr>
      <w:r>
        <w:t>MFP</w:t>
      </w:r>
      <w:r>
        <w:tab/>
        <w:t>Multifactor productivity</w:t>
      </w:r>
    </w:p>
    <w:p w:rsidR="00BE2B53" w:rsidRDefault="00BE2B53" w:rsidP="00BE2B53">
      <w:pPr>
        <w:pStyle w:val="Abbreviation"/>
      </w:pPr>
      <w:proofErr w:type="spellStart"/>
      <w:r>
        <w:t>MNSP</w:t>
      </w:r>
      <w:proofErr w:type="spellEnd"/>
      <w:r>
        <w:tab/>
        <w:t>Market network service provider</w:t>
      </w:r>
    </w:p>
    <w:p w:rsidR="00BE2B53" w:rsidRDefault="00BE2B53" w:rsidP="00BE2B53">
      <w:pPr>
        <w:pStyle w:val="Abbreviation"/>
      </w:pPr>
      <w:r w:rsidRPr="00EB2480">
        <w:t>MW</w:t>
      </w:r>
      <w:r>
        <w:tab/>
        <w:t>M</w:t>
      </w:r>
      <w:r w:rsidRPr="00EB2480">
        <w:t>egawatt</w:t>
      </w:r>
    </w:p>
    <w:p w:rsidR="00BE2B53" w:rsidRDefault="00BE2B53" w:rsidP="00BE2B53">
      <w:pPr>
        <w:pStyle w:val="Abbreviation"/>
      </w:pPr>
      <w:proofErr w:type="spellStart"/>
      <w:r>
        <w:t>MVA</w:t>
      </w:r>
      <w:proofErr w:type="spellEnd"/>
      <w:r>
        <w:tab/>
        <w:t>Megavolt amperes</w:t>
      </w:r>
    </w:p>
    <w:p w:rsidR="00BE2B53" w:rsidRDefault="00BE2B53" w:rsidP="00BE2B53">
      <w:pPr>
        <w:pStyle w:val="Abbreviation"/>
      </w:pPr>
      <w:proofErr w:type="spellStart"/>
      <w:r>
        <w:t>MWh</w:t>
      </w:r>
      <w:proofErr w:type="spellEnd"/>
      <w:r>
        <w:tab/>
        <w:t>Megawatt hour</w:t>
      </w:r>
    </w:p>
    <w:p w:rsidR="00BE2B53" w:rsidRDefault="00BE2B53" w:rsidP="00BE2B53">
      <w:pPr>
        <w:pStyle w:val="Abbreviation"/>
      </w:pPr>
      <w:proofErr w:type="spellStart"/>
      <w:r>
        <w:t>NECA</w:t>
      </w:r>
      <w:proofErr w:type="spellEnd"/>
      <w:r>
        <w:tab/>
        <w:t>National Electricity Code Administrator</w:t>
      </w:r>
    </w:p>
    <w:p w:rsidR="00BE2B53" w:rsidRDefault="00BE2B53" w:rsidP="00BE2B53">
      <w:pPr>
        <w:pStyle w:val="Abbreviation"/>
      </w:pPr>
      <w:proofErr w:type="spellStart"/>
      <w:r>
        <w:t>NECF</w:t>
      </w:r>
      <w:proofErr w:type="spellEnd"/>
      <w:r>
        <w:tab/>
        <w:t>National Energy Customer Framework</w:t>
      </w:r>
    </w:p>
    <w:p w:rsidR="00BE2B53" w:rsidRDefault="00BE2B53" w:rsidP="00BE2B53">
      <w:pPr>
        <w:pStyle w:val="Abbreviation"/>
      </w:pPr>
      <w:proofErr w:type="spellStart"/>
      <w:r>
        <w:t>NEM</w:t>
      </w:r>
      <w:proofErr w:type="spellEnd"/>
      <w:r>
        <w:tab/>
        <w:t>National Electricity Market</w:t>
      </w:r>
    </w:p>
    <w:p w:rsidR="00BE2B53" w:rsidRDefault="00BE2B53" w:rsidP="00BE2B53">
      <w:pPr>
        <w:pStyle w:val="Abbreviation"/>
      </w:pPr>
      <w:proofErr w:type="spellStart"/>
      <w:r w:rsidRPr="0041498E">
        <w:t>NEMMCO</w:t>
      </w:r>
      <w:proofErr w:type="spellEnd"/>
      <w:r>
        <w:tab/>
      </w:r>
      <w:r w:rsidRPr="0041498E">
        <w:t>National Electricity Marke</w:t>
      </w:r>
      <w:r>
        <w:t>t Management Company Limited</w:t>
      </w:r>
    </w:p>
    <w:p w:rsidR="00BE2B53" w:rsidRDefault="00BE2B53" w:rsidP="00BE2B53">
      <w:pPr>
        <w:pStyle w:val="Abbreviation"/>
      </w:pPr>
      <w:r>
        <w:t>NEO</w:t>
      </w:r>
      <w:r>
        <w:tab/>
        <w:t>National Electricity Objective</w:t>
      </w:r>
    </w:p>
    <w:p w:rsidR="00BE2B53" w:rsidRDefault="00BE2B53" w:rsidP="00BE2B53">
      <w:pPr>
        <w:pStyle w:val="Abbreviation"/>
      </w:pPr>
      <w:proofErr w:type="spellStart"/>
      <w:r>
        <w:t>NEL</w:t>
      </w:r>
      <w:proofErr w:type="spellEnd"/>
      <w:r>
        <w:tab/>
      </w:r>
      <w:r w:rsidRPr="00072E97">
        <w:t>National Electricity Law</w:t>
      </w:r>
    </w:p>
    <w:p w:rsidR="00BE2B53" w:rsidRDefault="00BE2B53" w:rsidP="00BE2B53">
      <w:pPr>
        <w:pStyle w:val="Abbreviation"/>
      </w:pPr>
      <w:proofErr w:type="spellStart"/>
      <w:r>
        <w:t>NER</w:t>
      </w:r>
      <w:proofErr w:type="spellEnd"/>
      <w:r>
        <w:tab/>
      </w:r>
      <w:r w:rsidRPr="00A65032">
        <w:t>National Electricity Rules</w:t>
      </w:r>
    </w:p>
    <w:p w:rsidR="00BE2B53" w:rsidRDefault="00BE2B53" w:rsidP="00BE2B53">
      <w:pPr>
        <w:pStyle w:val="Abbreviation"/>
      </w:pPr>
      <w:proofErr w:type="spellStart"/>
      <w:r>
        <w:t>NGF</w:t>
      </w:r>
      <w:proofErr w:type="spellEnd"/>
      <w:r>
        <w:tab/>
        <w:t>National Generators Forum</w:t>
      </w:r>
    </w:p>
    <w:p w:rsidR="00BE2B53" w:rsidRDefault="00BE2B53" w:rsidP="00BE2B53">
      <w:pPr>
        <w:pStyle w:val="Abbreviation"/>
      </w:pPr>
      <w:proofErr w:type="spellStart"/>
      <w:r>
        <w:t>NGL</w:t>
      </w:r>
      <w:proofErr w:type="spellEnd"/>
      <w:r>
        <w:tab/>
        <w:t>National Gas Law</w:t>
      </w:r>
    </w:p>
    <w:p w:rsidR="00BE2B53" w:rsidRDefault="00BE2B53" w:rsidP="00BE2B53">
      <w:pPr>
        <w:pStyle w:val="Abbreviation"/>
      </w:pPr>
      <w:r w:rsidRPr="00E12D1F">
        <w:t>NMS</w:t>
      </w:r>
      <w:r>
        <w:tab/>
        <w:t>Network management systems</w:t>
      </w:r>
    </w:p>
    <w:p w:rsidR="00BE2B53" w:rsidRDefault="00BE2B53" w:rsidP="00BE2B53">
      <w:pPr>
        <w:pStyle w:val="Abbreviation"/>
      </w:pPr>
      <w:proofErr w:type="spellStart"/>
      <w:r>
        <w:t>NPV</w:t>
      </w:r>
      <w:proofErr w:type="spellEnd"/>
      <w:r>
        <w:tab/>
        <w:t>Net present value</w:t>
      </w:r>
    </w:p>
    <w:p w:rsidR="00BE2B53" w:rsidRDefault="00BE2B53" w:rsidP="00BE2B53">
      <w:pPr>
        <w:pStyle w:val="Abbreviation"/>
      </w:pPr>
      <w:proofErr w:type="spellStart"/>
      <w:r>
        <w:t>NSP</w:t>
      </w:r>
      <w:proofErr w:type="spellEnd"/>
      <w:r>
        <w:tab/>
        <w:t>Network service provider</w:t>
      </w:r>
    </w:p>
    <w:p w:rsidR="00BE2B53" w:rsidRDefault="00BE2B53" w:rsidP="00BE2B53">
      <w:pPr>
        <w:pStyle w:val="Abbreviation"/>
      </w:pPr>
      <w:proofErr w:type="spellStart"/>
      <w:r w:rsidRPr="00A65032">
        <w:t>NTNDP</w:t>
      </w:r>
      <w:proofErr w:type="spellEnd"/>
      <w:r>
        <w:tab/>
      </w:r>
      <w:r w:rsidRPr="00A65032">
        <w:t>National Transmi</w:t>
      </w:r>
      <w:r>
        <w:t>ssion Network Development Plan</w:t>
      </w:r>
    </w:p>
    <w:p w:rsidR="00BE2B53" w:rsidRDefault="00BE2B53" w:rsidP="00BE2B53">
      <w:pPr>
        <w:pStyle w:val="Abbreviation"/>
      </w:pPr>
      <w:proofErr w:type="spellStart"/>
      <w:r w:rsidRPr="00F76874">
        <w:t>NTP</w:t>
      </w:r>
      <w:proofErr w:type="spellEnd"/>
      <w:r>
        <w:tab/>
        <w:t>National Transmission Planner</w:t>
      </w:r>
    </w:p>
    <w:p w:rsidR="00BE2B53" w:rsidRDefault="00BE2B53" w:rsidP="00BE2B53">
      <w:pPr>
        <w:pStyle w:val="Abbreviation"/>
      </w:pPr>
      <w:r>
        <w:t>N-x</w:t>
      </w:r>
      <w:r>
        <w:tab/>
        <w:t>Measure of redundancy in network (with higher x being higher levels of redundancy)</w:t>
      </w:r>
    </w:p>
    <w:p w:rsidR="00BE2B53" w:rsidRDefault="00BE2B53" w:rsidP="00BE2B53">
      <w:pPr>
        <w:pStyle w:val="Abbreviation"/>
      </w:pPr>
      <w:proofErr w:type="spellStart"/>
      <w:r>
        <w:t>OFA</w:t>
      </w:r>
      <w:proofErr w:type="spellEnd"/>
      <w:r>
        <w:tab/>
        <w:t>Optional firm access</w:t>
      </w:r>
    </w:p>
    <w:p w:rsidR="00BE2B53" w:rsidRDefault="00BE2B53" w:rsidP="00BE2B53">
      <w:pPr>
        <w:pStyle w:val="Abbreviation"/>
      </w:pPr>
      <w:proofErr w:type="spellStart"/>
      <w:r>
        <w:t>Ofgem</w:t>
      </w:r>
      <w:proofErr w:type="spellEnd"/>
      <w:r>
        <w:tab/>
        <w:t>Office of Gas and Electricity Markets (UK)</w:t>
      </w:r>
    </w:p>
    <w:p w:rsidR="00BE2B53" w:rsidRDefault="00BE2B53" w:rsidP="00BE2B53">
      <w:pPr>
        <w:pStyle w:val="Abbreviation"/>
      </w:pPr>
      <w:proofErr w:type="spellStart"/>
      <w:r>
        <w:t>Ofwat</w:t>
      </w:r>
      <w:proofErr w:type="spellEnd"/>
      <w:r>
        <w:tab/>
        <w:t xml:space="preserve">Office of Water Services (UK) (On 1 April 2006, the functions of </w:t>
      </w:r>
      <w:proofErr w:type="spellStart"/>
      <w:r>
        <w:t>Ofwat</w:t>
      </w:r>
      <w:proofErr w:type="spellEnd"/>
      <w:r>
        <w:t xml:space="preserve"> were replaced by the Water Services Regulation Authority)</w:t>
      </w:r>
    </w:p>
    <w:p w:rsidR="00BE2B53" w:rsidRDefault="00BE2B53" w:rsidP="00BE2B53">
      <w:pPr>
        <w:pStyle w:val="Abbreviation"/>
      </w:pPr>
      <w:proofErr w:type="spellStart"/>
      <w:r>
        <w:t>OPEX</w:t>
      </w:r>
      <w:proofErr w:type="spellEnd"/>
      <w:r>
        <w:t xml:space="preserve"> or </w:t>
      </w:r>
      <w:proofErr w:type="spellStart"/>
      <w:r>
        <w:t>opex</w:t>
      </w:r>
      <w:proofErr w:type="spellEnd"/>
      <w:r>
        <w:tab/>
        <w:t>Operating expenditure</w:t>
      </w:r>
    </w:p>
    <w:p w:rsidR="00BE2B53" w:rsidRDefault="00BE2B53" w:rsidP="00BE2B53">
      <w:pPr>
        <w:pStyle w:val="Abbreviation"/>
      </w:pPr>
      <w:r>
        <w:lastRenderedPageBreak/>
        <w:t>PC</w:t>
      </w:r>
      <w:r>
        <w:tab/>
        <w:t>Productivity Commission</w:t>
      </w:r>
    </w:p>
    <w:p w:rsidR="00BE2B53" w:rsidRDefault="00BE2B53" w:rsidP="00BE2B53">
      <w:pPr>
        <w:pStyle w:val="Abbreviation"/>
      </w:pPr>
      <w:proofErr w:type="spellStart"/>
      <w:r>
        <w:t>PIAC</w:t>
      </w:r>
      <w:proofErr w:type="spellEnd"/>
      <w:r>
        <w:tab/>
        <w:t>Public Interest Advocacy Centre</w:t>
      </w:r>
    </w:p>
    <w:p w:rsidR="00BE2B53" w:rsidRDefault="00BE2B53" w:rsidP="00BE2B53">
      <w:pPr>
        <w:pStyle w:val="Abbreviation"/>
      </w:pPr>
      <w:proofErr w:type="spellStart"/>
      <w:r w:rsidRPr="00142D37">
        <w:t>PSCR</w:t>
      </w:r>
      <w:proofErr w:type="spellEnd"/>
      <w:r>
        <w:tab/>
      </w:r>
      <w:r w:rsidRPr="00142D37">
        <w:t>Project Spe</w:t>
      </w:r>
      <w:r>
        <w:t>cification Consultation Report</w:t>
      </w:r>
    </w:p>
    <w:p w:rsidR="00BE2B53" w:rsidRDefault="00BE2B53" w:rsidP="00BE2B53">
      <w:pPr>
        <w:pStyle w:val="Abbreviation"/>
      </w:pPr>
      <w:r>
        <w:t>PV</w:t>
      </w:r>
      <w:r>
        <w:tab/>
        <w:t>Photovoltaic</w:t>
      </w:r>
    </w:p>
    <w:p w:rsidR="00BE2B53" w:rsidRDefault="00BE2B53" w:rsidP="00BE2B53">
      <w:pPr>
        <w:pStyle w:val="Abbreviation"/>
      </w:pPr>
      <w:proofErr w:type="spellStart"/>
      <w:r>
        <w:t>QTC</w:t>
      </w:r>
      <w:proofErr w:type="spellEnd"/>
      <w:r>
        <w:tab/>
        <w:t>Queensland Treasury Corporation</w:t>
      </w:r>
    </w:p>
    <w:p w:rsidR="00BE2B53" w:rsidRDefault="00BE2B53" w:rsidP="00BE2B53">
      <w:pPr>
        <w:pStyle w:val="Abbreviation"/>
      </w:pPr>
      <w:proofErr w:type="spellStart"/>
      <w:r>
        <w:t>QUT</w:t>
      </w:r>
      <w:proofErr w:type="spellEnd"/>
      <w:r>
        <w:tab/>
        <w:t>Queensland University of Technology</w:t>
      </w:r>
    </w:p>
    <w:p w:rsidR="00BE2B53" w:rsidRDefault="00BE2B53" w:rsidP="00BE2B53">
      <w:pPr>
        <w:pStyle w:val="Abbreviation"/>
      </w:pPr>
      <w:proofErr w:type="spellStart"/>
      <w:r>
        <w:t>RAB</w:t>
      </w:r>
      <w:proofErr w:type="spellEnd"/>
      <w:r>
        <w:tab/>
        <w:t>Regulatory asset base</w:t>
      </w:r>
    </w:p>
    <w:p w:rsidR="00BE2B53" w:rsidRDefault="00BE2B53" w:rsidP="00BE2B53">
      <w:pPr>
        <w:pStyle w:val="Abbreviation"/>
      </w:pPr>
      <w:r>
        <w:t>RET</w:t>
      </w:r>
      <w:r>
        <w:tab/>
        <w:t>Renewable Energy Target scheme</w:t>
      </w:r>
    </w:p>
    <w:p w:rsidR="00BE2B53" w:rsidRDefault="00BE2B53" w:rsidP="00BE2B53">
      <w:pPr>
        <w:pStyle w:val="Abbreviation"/>
      </w:pPr>
      <w:proofErr w:type="spellStart"/>
      <w:r>
        <w:t>RIT</w:t>
      </w:r>
      <w:proofErr w:type="spellEnd"/>
      <w:r>
        <w:t>-D</w:t>
      </w:r>
      <w:r>
        <w:tab/>
      </w:r>
      <w:r w:rsidRPr="00E30A77">
        <w:t>Regulatory Investment Test</w:t>
      </w:r>
      <w:r>
        <w:t xml:space="preserve"> for Distribution</w:t>
      </w:r>
    </w:p>
    <w:p w:rsidR="00BE2B53" w:rsidRDefault="00BE2B53" w:rsidP="00BE2B53">
      <w:pPr>
        <w:pStyle w:val="Abbreviation"/>
      </w:pPr>
      <w:proofErr w:type="spellStart"/>
      <w:r>
        <w:t>RIT</w:t>
      </w:r>
      <w:proofErr w:type="spellEnd"/>
      <w:r>
        <w:t>-T</w:t>
      </w:r>
      <w:r>
        <w:tab/>
      </w:r>
      <w:r w:rsidRPr="00E30A77">
        <w:t>Regulatory Investment Test</w:t>
      </w:r>
      <w:r>
        <w:t xml:space="preserve"> for Transmission</w:t>
      </w:r>
    </w:p>
    <w:p w:rsidR="00BE2B53" w:rsidRDefault="00BE2B53" w:rsidP="00BE2B53">
      <w:pPr>
        <w:pStyle w:val="Abbreviation"/>
      </w:pPr>
      <w:proofErr w:type="spellStart"/>
      <w:r w:rsidRPr="00563858">
        <w:t>SAIDI</w:t>
      </w:r>
      <w:proofErr w:type="spellEnd"/>
      <w:r>
        <w:tab/>
        <w:t>S</w:t>
      </w:r>
      <w:r w:rsidRPr="00563858">
        <w:t>ystem averag</w:t>
      </w:r>
      <w:r>
        <w:t>e interruption duration index</w:t>
      </w:r>
    </w:p>
    <w:p w:rsidR="00BE2B53" w:rsidRDefault="00BE2B53" w:rsidP="00BE2B53">
      <w:pPr>
        <w:pStyle w:val="Abbreviation"/>
      </w:pPr>
      <w:proofErr w:type="spellStart"/>
      <w:r>
        <w:t>SAIFI</w:t>
      </w:r>
      <w:proofErr w:type="spellEnd"/>
      <w:r>
        <w:tab/>
        <w:t>System average interruption frequency index</w:t>
      </w:r>
    </w:p>
    <w:p w:rsidR="00BE2B53" w:rsidRDefault="00BE2B53" w:rsidP="00BE2B53">
      <w:pPr>
        <w:pStyle w:val="Abbreviation"/>
      </w:pPr>
      <w:proofErr w:type="spellStart"/>
      <w:r>
        <w:t>SCER</w:t>
      </w:r>
      <w:proofErr w:type="spellEnd"/>
      <w:r>
        <w:tab/>
      </w:r>
      <w:r w:rsidRPr="00072E97">
        <w:t>Standing Council on Energy and Resources</w:t>
      </w:r>
    </w:p>
    <w:p w:rsidR="00BE2B53" w:rsidRDefault="00BE2B53" w:rsidP="00BE2B53">
      <w:pPr>
        <w:pStyle w:val="Abbreviation"/>
      </w:pPr>
      <w:proofErr w:type="spellStart"/>
      <w:r>
        <w:t>STPIS</w:t>
      </w:r>
      <w:proofErr w:type="spellEnd"/>
      <w:r>
        <w:tab/>
      </w:r>
      <w:r w:rsidRPr="00903D9D">
        <w:t>Service Target Performance Incentive Scheme</w:t>
      </w:r>
    </w:p>
    <w:p w:rsidR="00BE2B53" w:rsidRDefault="00BE2B53" w:rsidP="00BE2B53">
      <w:pPr>
        <w:pStyle w:val="Abbreviation"/>
      </w:pPr>
      <w:proofErr w:type="spellStart"/>
      <w:r>
        <w:t>SOC</w:t>
      </w:r>
      <w:proofErr w:type="spellEnd"/>
      <w:r>
        <w:tab/>
      </w:r>
      <w:r w:rsidRPr="00E30A77">
        <w:t>State-owned corporation</w:t>
      </w:r>
    </w:p>
    <w:p w:rsidR="00BE2B53" w:rsidRDefault="00BE2B53" w:rsidP="00BE2B53">
      <w:pPr>
        <w:pStyle w:val="Abbreviation"/>
      </w:pPr>
      <w:r>
        <w:t>TEC</w:t>
      </w:r>
      <w:r>
        <w:tab/>
        <w:t>Total Environment Centre</w:t>
      </w:r>
    </w:p>
    <w:p w:rsidR="00BE2B53" w:rsidRDefault="00BE2B53" w:rsidP="00BE2B53">
      <w:pPr>
        <w:pStyle w:val="Abbreviation"/>
      </w:pPr>
      <w:proofErr w:type="spellStart"/>
      <w:r>
        <w:t>TNSP</w:t>
      </w:r>
      <w:proofErr w:type="spellEnd"/>
      <w:r>
        <w:tab/>
        <w:t>Transmission network service provider</w:t>
      </w:r>
    </w:p>
    <w:p w:rsidR="00BE2B53" w:rsidRDefault="00BE2B53" w:rsidP="00BE2B53">
      <w:pPr>
        <w:pStyle w:val="Abbreviation"/>
      </w:pPr>
      <w:proofErr w:type="spellStart"/>
      <w:r>
        <w:t>TOU</w:t>
      </w:r>
      <w:proofErr w:type="spellEnd"/>
      <w:r>
        <w:tab/>
        <w:t>T</w:t>
      </w:r>
      <w:r w:rsidRPr="00E30A77">
        <w:t>ime of use</w:t>
      </w:r>
      <w:r>
        <w:t xml:space="preserve"> (electricity tariffs)</w:t>
      </w:r>
    </w:p>
    <w:p w:rsidR="00BE2B53" w:rsidRDefault="00BE2B53" w:rsidP="00BE2B53">
      <w:pPr>
        <w:pStyle w:val="Abbreviation"/>
      </w:pPr>
      <w:proofErr w:type="spellStart"/>
      <w:r>
        <w:t>VCEC</w:t>
      </w:r>
      <w:proofErr w:type="spellEnd"/>
      <w:r>
        <w:tab/>
        <w:t>Victorian Competition and Efficiency Commission</w:t>
      </w:r>
    </w:p>
    <w:p w:rsidR="00BE2B53" w:rsidRDefault="00BE2B53" w:rsidP="00BE2B53">
      <w:pPr>
        <w:pStyle w:val="Abbreviation"/>
      </w:pPr>
      <w:r w:rsidRPr="00E757FB">
        <w:t>VCR</w:t>
      </w:r>
      <w:r>
        <w:tab/>
        <w:t>Value of Customer Reliability</w:t>
      </w:r>
    </w:p>
    <w:p w:rsidR="00BE2B53" w:rsidRDefault="00BE2B53" w:rsidP="00BE2B53">
      <w:pPr>
        <w:pStyle w:val="Abbreviation"/>
      </w:pPr>
      <w:proofErr w:type="spellStart"/>
      <w:r>
        <w:t>WACC</w:t>
      </w:r>
      <w:proofErr w:type="spellEnd"/>
      <w:r>
        <w:tab/>
        <w:t>Weighted average cost of capital</w:t>
      </w:r>
    </w:p>
    <w:p w:rsidR="00BE2B53" w:rsidRDefault="00BE2B53" w:rsidP="00BE2B53">
      <w:pPr>
        <w:pStyle w:val="Abbreviation"/>
      </w:pPr>
      <w:proofErr w:type="spellStart"/>
      <w:r w:rsidRPr="003857AE">
        <w:t>WAPC</w:t>
      </w:r>
      <w:proofErr w:type="spellEnd"/>
      <w:r>
        <w:tab/>
        <w:t>Weighted average price cap</w:t>
      </w:r>
    </w:p>
    <w:p w:rsidR="00BE2B53" w:rsidRDefault="00BE2B53">
      <w:pPr>
        <w:rPr>
          <w:rFonts w:ascii="Arial" w:hAnsi="Arial"/>
          <w:b/>
          <w:kern w:val="28"/>
          <w:sz w:val="32"/>
        </w:rPr>
      </w:pPr>
      <w:r>
        <w:br w:type="page"/>
      </w:r>
    </w:p>
    <w:p w:rsidR="00735FEA" w:rsidRDefault="00735FEA" w:rsidP="00F7477E">
      <w:pPr>
        <w:pStyle w:val="Heading2NotTOC"/>
      </w:pPr>
      <w:r>
        <w:lastRenderedPageBreak/>
        <w:t>Explanations</w:t>
      </w:r>
    </w:p>
    <w:tbl>
      <w:tblPr>
        <w:tblW w:w="0" w:type="auto"/>
        <w:tblLayout w:type="fixed"/>
        <w:tblCellMar>
          <w:left w:w="0" w:type="dxa"/>
          <w:right w:w="0" w:type="dxa"/>
        </w:tblCellMar>
        <w:tblLook w:val="0000" w:firstRow="0" w:lastRow="0" w:firstColumn="0" w:lastColumn="0" w:noHBand="0" w:noVBand="0"/>
      </w:tblPr>
      <w:tblGrid>
        <w:gridCol w:w="2155"/>
        <w:gridCol w:w="6634"/>
      </w:tblGrid>
      <w:tr w:rsidR="00735FEA">
        <w:tc>
          <w:tcPr>
            <w:tcW w:w="2155" w:type="dxa"/>
          </w:tcPr>
          <w:p w:rsidR="00735FEA" w:rsidRDefault="00735FEA">
            <w:pPr>
              <w:pStyle w:val="BodyText"/>
              <w:spacing w:before="120"/>
              <w:ind w:right="6"/>
            </w:pPr>
            <w:r>
              <w:t>Billion</w:t>
            </w:r>
          </w:p>
        </w:tc>
        <w:tc>
          <w:tcPr>
            <w:tcW w:w="6634" w:type="dxa"/>
          </w:tcPr>
          <w:p w:rsidR="00735FEA" w:rsidRDefault="00735FEA">
            <w:pPr>
              <w:pStyle w:val="BodyText"/>
              <w:spacing w:before="120"/>
              <w:ind w:left="227" w:right="6"/>
            </w:pPr>
            <w:r>
              <w:t>The convention used for a billion is a thousand million (10</w:t>
            </w:r>
            <w:r>
              <w:rPr>
                <w:position w:val="6"/>
                <w:sz w:val="22"/>
              </w:rPr>
              <w:t>9</w:t>
            </w:r>
            <w:r>
              <w:t>).</w:t>
            </w:r>
          </w:p>
        </w:tc>
      </w:tr>
      <w:tr w:rsidR="00735FEA">
        <w:tc>
          <w:tcPr>
            <w:tcW w:w="2155" w:type="dxa"/>
          </w:tcPr>
          <w:p w:rsidR="00735FEA" w:rsidRDefault="00735FEA">
            <w:pPr>
              <w:pStyle w:val="BodyText"/>
              <w:spacing w:before="120"/>
              <w:ind w:right="6"/>
            </w:pPr>
            <w:r>
              <w:t>Findings</w:t>
            </w:r>
          </w:p>
        </w:tc>
        <w:tc>
          <w:tcPr>
            <w:tcW w:w="6634" w:type="dxa"/>
          </w:tcPr>
          <w:p w:rsidR="00735FEA" w:rsidRDefault="00735FEA">
            <w:pPr>
              <w:pStyle w:val="BodyText"/>
              <w:spacing w:before="120"/>
              <w:ind w:left="227" w:right="6"/>
              <w:rPr>
                <w:i/>
              </w:rPr>
            </w:pPr>
            <w:r>
              <w:rPr>
                <w:i/>
              </w:rPr>
              <w:t>Findings in the body of the report are paragraphs high</w:t>
            </w:r>
            <w:r>
              <w:rPr>
                <w:i/>
              </w:rPr>
              <w:softHyphen/>
              <w:t>lighted using italics, as this is.</w:t>
            </w:r>
          </w:p>
        </w:tc>
      </w:tr>
      <w:tr w:rsidR="00735FEA" w:rsidTr="00CE5D96">
        <w:tc>
          <w:tcPr>
            <w:tcW w:w="2155" w:type="dxa"/>
          </w:tcPr>
          <w:p w:rsidR="00735FEA" w:rsidRDefault="00735FEA">
            <w:pPr>
              <w:pStyle w:val="BodyText"/>
              <w:spacing w:before="120"/>
              <w:ind w:right="6"/>
            </w:pPr>
            <w:r>
              <w:t>Recommendations</w:t>
            </w:r>
          </w:p>
        </w:tc>
        <w:tc>
          <w:tcPr>
            <w:tcW w:w="6634" w:type="dxa"/>
          </w:tcPr>
          <w:p w:rsidR="00735FEA" w:rsidRDefault="00735FEA" w:rsidP="00CE5D96">
            <w:pPr>
              <w:pStyle w:val="BodyText"/>
              <w:spacing w:before="120"/>
              <w:ind w:left="227" w:right="255"/>
              <w:rPr>
                <w:b/>
                <w:i/>
              </w:rPr>
            </w:pPr>
            <w:r>
              <w:rPr>
                <w:b/>
                <w:i/>
              </w:rPr>
              <w:t>Recommendations in the body of the report are high</w:t>
            </w:r>
            <w:r>
              <w:rPr>
                <w:b/>
                <w:i/>
              </w:rPr>
              <w:softHyphen/>
              <w:t>lighted using bold italics, as this is.</w:t>
            </w:r>
          </w:p>
        </w:tc>
      </w:tr>
    </w:tbl>
    <w:p w:rsidR="009D6D9C" w:rsidRPr="00C3703A" w:rsidRDefault="009D6D9C" w:rsidP="00C3703A">
      <w:pPr>
        <w:pStyle w:val="BodyText"/>
        <w:rPr>
          <w:rStyle w:val="CommentReference"/>
          <w:b w:val="0"/>
          <w:vanish w:val="0"/>
          <w:color w:val="auto"/>
          <w:sz w:val="26"/>
        </w:rPr>
      </w:pPr>
    </w:p>
    <w:sectPr w:rsidR="009D6D9C" w:rsidRPr="00C3703A" w:rsidSect="00C55A45">
      <w:headerReference w:type="even" r:id="rId26"/>
      <w:headerReference w:type="default" r:id="rId27"/>
      <w:footerReference w:type="even" r:id="rId28"/>
      <w:footerReference w:type="default" r:id="rId29"/>
      <w:pgSz w:w="11907" w:h="16840" w:code="9"/>
      <w:pgMar w:top="1332" w:right="1304" w:bottom="1418" w:left="1814" w:header="1701" w:footer="567" w:gutter="0"/>
      <w:pgNumType w:fmt="lowerRoman"/>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3F17" w:rsidRDefault="00433F17">
      <w:r>
        <w:separator/>
      </w:r>
    </w:p>
    <w:p w:rsidR="00433F17" w:rsidRDefault="00433F17"/>
    <w:p w:rsidR="00433F17" w:rsidRDefault="00433F17"/>
  </w:endnote>
  <w:endnote w:type="continuationSeparator" w:id="0">
    <w:p w:rsidR="00433F17" w:rsidRDefault="00433F17">
      <w:r>
        <w:continuationSeparator/>
      </w:r>
    </w:p>
    <w:p w:rsidR="00433F17" w:rsidRDefault="00433F17"/>
    <w:p w:rsidR="00433F17" w:rsidRDefault="00433F1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oudyOlSt BT">
    <w:altName w:val="Georgia"/>
    <w:charset w:val="00"/>
    <w:family w:val="roman"/>
    <w:pitch w:val="variable"/>
    <w:sig w:usb0="00000087" w:usb1="00000000" w:usb2="00000000" w:usb3="00000000" w:csb0="0000001B" w:csb1="00000000"/>
  </w:font>
  <w:font w:name="Goudy Old Style">
    <w:panose1 w:val="02020502050305020303"/>
    <w:charset w:val="00"/>
    <w:family w:val="roman"/>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433F17">
      <w:trPr>
        <w:trHeight w:hRule="exact" w:val="740"/>
      </w:trPr>
      <w:tc>
        <w:tcPr>
          <w:tcW w:w="510" w:type="dxa"/>
          <w:tcBorders>
            <w:top w:val="single" w:sz="6" w:space="0" w:color="auto"/>
          </w:tcBorders>
        </w:tcPr>
        <w:p w:rsidR="00433F17" w:rsidRPr="008206EE" w:rsidRDefault="00433F17">
          <w:pPr>
            <w:pStyle w:val="Footer"/>
            <w:rPr>
              <w:rStyle w:val="PageNumber"/>
              <w:caps w:val="0"/>
            </w:rPr>
          </w:pPr>
          <w:r w:rsidRPr="008206EE">
            <w:rPr>
              <w:rStyle w:val="PageNumber"/>
              <w:caps w:val="0"/>
            </w:rPr>
            <w:fldChar w:fldCharType="begin"/>
          </w:r>
          <w:r w:rsidRPr="008206EE">
            <w:rPr>
              <w:rStyle w:val="PageNumber"/>
              <w:caps w:val="0"/>
            </w:rPr>
            <w:instrText xml:space="preserve"> PAGE   \* MERGEFORMAT </w:instrText>
          </w:r>
          <w:r w:rsidRPr="008206EE">
            <w:rPr>
              <w:rStyle w:val="PageNumber"/>
              <w:caps w:val="0"/>
            </w:rPr>
            <w:fldChar w:fldCharType="separate"/>
          </w:r>
          <w:r w:rsidR="00380972">
            <w:rPr>
              <w:rStyle w:val="PageNumber"/>
              <w:caps w:val="0"/>
              <w:noProof/>
            </w:rPr>
            <w:t>vi</w:t>
          </w:r>
          <w:r w:rsidRPr="008206EE">
            <w:rPr>
              <w:rStyle w:val="PageNumber"/>
              <w:caps w:val="0"/>
              <w:noProof/>
            </w:rPr>
            <w:fldChar w:fldCharType="end"/>
          </w:r>
        </w:p>
      </w:tc>
      <w:tc>
        <w:tcPr>
          <w:tcW w:w="1644" w:type="dxa"/>
          <w:tcBorders>
            <w:top w:val="single" w:sz="6" w:space="0" w:color="auto"/>
          </w:tcBorders>
        </w:tcPr>
        <w:p w:rsidR="00433F17" w:rsidRPr="00603344" w:rsidRDefault="00380972" w:rsidP="003342D1">
          <w:pPr>
            <w:pStyle w:val="Footer"/>
          </w:pPr>
          <w:r>
            <w:fldChar w:fldCharType="begin"/>
          </w:r>
          <w:r>
            <w:instrText xml:space="preserve"> STYLEREF "Heading 1" \* MERGEFORMAT </w:instrText>
          </w:r>
          <w:r>
            <w:fldChar w:fldCharType="separate"/>
          </w:r>
          <w:r w:rsidRPr="00380972">
            <w:rPr>
              <w:bCs/>
              <w:noProof/>
              <w:lang w:val="en-US"/>
            </w:rPr>
            <w:t>Terms of reference</w:t>
          </w:r>
          <w:r>
            <w:rPr>
              <w:bCs/>
              <w:noProof/>
              <w:lang w:val="en-US"/>
            </w:rPr>
            <w:fldChar w:fldCharType="end"/>
          </w:r>
        </w:p>
      </w:tc>
      <w:tc>
        <w:tcPr>
          <w:tcW w:w="6634" w:type="dxa"/>
        </w:tcPr>
        <w:p w:rsidR="00433F17" w:rsidRPr="00603344" w:rsidRDefault="00433F17">
          <w:pPr>
            <w:pStyle w:val="Footer"/>
            <w:rPr>
              <w:caps w:val="0"/>
            </w:rPr>
          </w:pPr>
        </w:p>
      </w:tc>
    </w:tr>
  </w:tbl>
  <w:p w:rsidR="00433F17" w:rsidRDefault="00433F17">
    <w:pPr>
      <w:pStyle w:val="FooterEnd"/>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63"/>
      <w:gridCol w:w="1615"/>
      <w:gridCol w:w="510"/>
    </w:tblGrid>
    <w:tr w:rsidR="00433F17">
      <w:trPr>
        <w:trHeight w:hRule="exact" w:val="740"/>
      </w:trPr>
      <w:tc>
        <w:tcPr>
          <w:tcW w:w="6663" w:type="dxa"/>
        </w:tcPr>
        <w:p w:rsidR="00433F17" w:rsidRDefault="00433F17">
          <w:pPr>
            <w:pStyle w:val="Footer"/>
          </w:pPr>
        </w:p>
      </w:tc>
      <w:tc>
        <w:tcPr>
          <w:tcW w:w="1615" w:type="dxa"/>
          <w:tcBorders>
            <w:top w:val="single" w:sz="6" w:space="0" w:color="auto"/>
          </w:tcBorders>
        </w:tcPr>
        <w:p w:rsidR="00433F17" w:rsidRDefault="00380972">
          <w:pPr>
            <w:pStyle w:val="Footer"/>
            <w:rPr>
              <w:rStyle w:val="PageNumber"/>
              <w:b w:val="0"/>
            </w:rPr>
          </w:pPr>
          <w:r>
            <w:fldChar w:fldCharType="begin"/>
          </w:r>
          <w:r>
            <w:instrText xml:space="preserve"> STYLEREF "Heading 1" \* MERGEFORMAT </w:instrText>
          </w:r>
          <w:r>
            <w:fldChar w:fldCharType="separate"/>
          </w:r>
          <w:r>
            <w:rPr>
              <w:noProof/>
            </w:rPr>
            <w:t>Abbreviations and explanations</w:t>
          </w:r>
          <w:r>
            <w:rPr>
              <w:noProof/>
            </w:rPr>
            <w:fldChar w:fldCharType="end"/>
          </w:r>
        </w:p>
      </w:tc>
      <w:tc>
        <w:tcPr>
          <w:tcW w:w="510" w:type="dxa"/>
          <w:tcBorders>
            <w:top w:val="single" w:sz="6" w:space="0" w:color="auto"/>
          </w:tcBorders>
        </w:tcPr>
        <w:p w:rsidR="00433F17" w:rsidRPr="00E15FDC" w:rsidRDefault="00433F17">
          <w:pPr>
            <w:pStyle w:val="Footer"/>
            <w:jc w:val="right"/>
            <w:rPr>
              <w:rStyle w:val="PageNumber"/>
              <w:caps w:val="0"/>
            </w:rPr>
          </w:pPr>
          <w:r w:rsidRPr="00E15FDC">
            <w:rPr>
              <w:rStyle w:val="PageNumber"/>
              <w:caps w:val="0"/>
            </w:rPr>
            <w:fldChar w:fldCharType="begin"/>
          </w:r>
          <w:r w:rsidRPr="00E15FDC">
            <w:rPr>
              <w:rStyle w:val="PageNumber"/>
              <w:caps w:val="0"/>
            </w:rPr>
            <w:instrText xml:space="preserve"> PAGE   \* MERGEFORMAT </w:instrText>
          </w:r>
          <w:r w:rsidRPr="00E15FDC">
            <w:rPr>
              <w:rStyle w:val="PageNumber"/>
              <w:caps w:val="0"/>
            </w:rPr>
            <w:fldChar w:fldCharType="separate"/>
          </w:r>
          <w:r w:rsidR="00380972">
            <w:rPr>
              <w:rStyle w:val="PageNumber"/>
              <w:caps w:val="0"/>
              <w:noProof/>
            </w:rPr>
            <w:t>xxi</w:t>
          </w:r>
          <w:r w:rsidRPr="00E15FDC">
            <w:rPr>
              <w:rStyle w:val="PageNumber"/>
              <w:caps w:val="0"/>
              <w:noProof/>
            </w:rPr>
            <w:fldChar w:fldCharType="end"/>
          </w:r>
        </w:p>
      </w:tc>
    </w:tr>
  </w:tbl>
  <w:p w:rsidR="00433F17" w:rsidRDefault="00433F17" w:rsidP="00B95339">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433F17" w:rsidTr="003342D1">
      <w:trPr>
        <w:trHeight w:hRule="exact" w:val="740"/>
      </w:trPr>
      <w:tc>
        <w:tcPr>
          <w:tcW w:w="6634" w:type="dxa"/>
        </w:tcPr>
        <w:p w:rsidR="00433F17" w:rsidRPr="00B3203C" w:rsidRDefault="00433F17">
          <w:pPr>
            <w:pStyle w:val="Footer"/>
          </w:pPr>
        </w:p>
      </w:tc>
      <w:tc>
        <w:tcPr>
          <w:tcW w:w="1644" w:type="dxa"/>
          <w:tcBorders>
            <w:top w:val="single" w:sz="6" w:space="0" w:color="auto"/>
          </w:tcBorders>
        </w:tcPr>
        <w:p w:rsidR="00433F17" w:rsidRPr="00B3203C" w:rsidRDefault="00433F17" w:rsidP="003342D1">
          <w:pPr>
            <w:pStyle w:val="Footer"/>
            <w:rPr>
              <w:rStyle w:val="PageNumber"/>
              <w:noProof/>
            </w:rPr>
          </w:pPr>
          <w:r w:rsidRPr="00B3203C">
            <w:rPr>
              <w:noProof/>
            </w:rPr>
            <w:fldChar w:fldCharType="begin"/>
          </w:r>
          <w:r w:rsidRPr="00B3203C">
            <w:rPr>
              <w:noProof/>
            </w:rPr>
            <w:instrText xml:space="preserve"> STYLEREF "Heading 1" \* MERGEFORMAT </w:instrText>
          </w:r>
          <w:r w:rsidRPr="00B3203C">
            <w:rPr>
              <w:noProof/>
            </w:rPr>
            <w:fldChar w:fldCharType="separate"/>
          </w:r>
          <w:r w:rsidR="00380972" w:rsidRPr="00380972">
            <w:rPr>
              <w:bCs/>
              <w:noProof/>
              <w:lang w:val="en-US"/>
            </w:rPr>
            <w:t>Terms of reference</w:t>
          </w:r>
          <w:r w:rsidRPr="00B3203C">
            <w:rPr>
              <w:noProof/>
            </w:rPr>
            <w:fldChar w:fldCharType="end"/>
          </w:r>
        </w:p>
      </w:tc>
      <w:tc>
        <w:tcPr>
          <w:tcW w:w="510" w:type="dxa"/>
          <w:tcBorders>
            <w:top w:val="single" w:sz="6" w:space="0" w:color="auto"/>
          </w:tcBorders>
        </w:tcPr>
        <w:p w:rsidR="00433F17" w:rsidRPr="00C55A45" w:rsidRDefault="00433F17">
          <w:pPr>
            <w:pStyle w:val="Footer"/>
            <w:jc w:val="right"/>
            <w:rPr>
              <w:rStyle w:val="PageNumber"/>
              <w:caps w:val="0"/>
              <w:noProof/>
            </w:rPr>
          </w:pPr>
          <w:r w:rsidRPr="00C55A45">
            <w:rPr>
              <w:rStyle w:val="PageNumber"/>
              <w:caps w:val="0"/>
              <w:noProof/>
            </w:rPr>
            <w:fldChar w:fldCharType="begin"/>
          </w:r>
          <w:r w:rsidRPr="00C55A45">
            <w:rPr>
              <w:rStyle w:val="PageNumber"/>
              <w:caps w:val="0"/>
              <w:noProof/>
            </w:rPr>
            <w:instrText xml:space="preserve"> PAGE   \* MERGEFORMAT </w:instrText>
          </w:r>
          <w:r w:rsidRPr="00C55A45">
            <w:rPr>
              <w:rStyle w:val="PageNumber"/>
              <w:caps w:val="0"/>
              <w:noProof/>
            </w:rPr>
            <w:fldChar w:fldCharType="separate"/>
          </w:r>
          <w:r w:rsidR="00380972">
            <w:rPr>
              <w:rStyle w:val="PageNumber"/>
              <w:caps w:val="0"/>
              <w:noProof/>
            </w:rPr>
            <w:t>v</w:t>
          </w:r>
          <w:r w:rsidRPr="00C55A45">
            <w:rPr>
              <w:rStyle w:val="PageNumber"/>
              <w:caps w:val="0"/>
              <w:noProof/>
            </w:rPr>
            <w:fldChar w:fldCharType="end"/>
          </w:r>
        </w:p>
      </w:tc>
    </w:tr>
  </w:tbl>
  <w:p w:rsidR="00433F17" w:rsidRDefault="00433F17">
    <w:pPr>
      <w:pStyle w:val="FooterEn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433F17">
      <w:trPr>
        <w:trHeight w:hRule="exact" w:val="740"/>
      </w:trPr>
      <w:tc>
        <w:tcPr>
          <w:tcW w:w="510" w:type="dxa"/>
          <w:tcBorders>
            <w:top w:val="single" w:sz="6" w:space="0" w:color="auto"/>
          </w:tcBorders>
        </w:tcPr>
        <w:p w:rsidR="00433F17" w:rsidRDefault="00433F17">
          <w:pPr>
            <w:pStyle w:val="Footer"/>
            <w:tabs>
              <w:tab w:val="left" w:pos="0"/>
            </w:tabs>
            <w:ind w:right="0"/>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viii</w:t>
          </w:r>
          <w:r>
            <w:rPr>
              <w:rStyle w:val="PageNumber"/>
            </w:rPr>
            <w:fldChar w:fldCharType="end"/>
          </w:r>
        </w:p>
      </w:tc>
      <w:tc>
        <w:tcPr>
          <w:tcW w:w="1644" w:type="dxa"/>
          <w:tcBorders>
            <w:top w:val="single" w:sz="6" w:space="0" w:color="auto"/>
          </w:tcBorders>
        </w:tcPr>
        <w:p w:rsidR="00433F17" w:rsidRPr="00467FD2" w:rsidRDefault="00380972">
          <w:pPr>
            <w:pStyle w:val="Footer"/>
          </w:pPr>
          <w:r>
            <w:fldChar w:fldCharType="begin"/>
          </w:r>
          <w:r>
            <w:instrText xml:space="preserve"> STYLEREF "Heading 2 Not TOC" \* MERGEFORMAT </w:instrText>
          </w:r>
          <w:r>
            <w:fldChar w:fldCharType="separate"/>
          </w:r>
          <w:r w:rsidR="004266EC" w:rsidRPr="004266EC">
            <w:rPr>
              <w:bCs/>
              <w:noProof/>
              <w:lang w:val="en-US"/>
            </w:rPr>
            <w:t>Abbreviations</w:t>
          </w:r>
          <w:r>
            <w:rPr>
              <w:bCs/>
              <w:noProof/>
              <w:lang w:val="en-US"/>
            </w:rPr>
            <w:fldChar w:fldCharType="end"/>
          </w:r>
        </w:p>
      </w:tc>
      <w:tc>
        <w:tcPr>
          <w:tcW w:w="6634" w:type="dxa"/>
        </w:tcPr>
        <w:p w:rsidR="00433F17" w:rsidRDefault="00433F17">
          <w:pPr>
            <w:pStyle w:val="Footer"/>
          </w:pPr>
        </w:p>
      </w:tc>
    </w:tr>
  </w:tbl>
  <w:p w:rsidR="00433F17" w:rsidRDefault="00433F17">
    <w:pPr>
      <w:pStyle w:val="FooterEnd"/>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480"/>
      <w:gridCol w:w="1798"/>
      <w:gridCol w:w="510"/>
    </w:tblGrid>
    <w:tr w:rsidR="00433F17">
      <w:trPr>
        <w:trHeight w:hRule="exact" w:val="740"/>
      </w:trPr>
      <w:tc>
        <w:tcPr>
          <w:tcW w:w="6480" w:type="dxa"/>
        </w:tcPr>
        <w:p w:rsidR="00433F17" w:rsidRDefault="00433F17">
          <w:pPr>
            <w:pStyle w:val="Footer"/>
          </w:pPr>
        </w:p>
      </w:tc>
      <w:tc>
        <w:tcPr>
          <w:tcW w:w="1798" w:type="dxa"/>
          <w:tcBorders>
            <w:top w:val="single" w:sz="6" w:space="0" w:color="auto"/>
          </w:tcBorders>
        </w:tcPr>
        <w:p w:rsidR="00433F17" w:rsidRDefault="00433F17">
          <w:pPr>
            <w:pStyle w:val="Footer"/>
            <w:rPr>
              <w:rStyle w:val="PageNumber"/>
              <w:b w:val="0"/>
            </w:rPr>
          </w:pPr>
          <w:r>
            <w:t>DISclosure of interestS</w:t>
          </w:r>
        </w:p>
      </w:tc>
      <w:tc>
        <w:tcPr>
          <w:tcW w:w="510" w:type="dxa"/>
          <w:tcBorders>
            <w:top w:val="single" w:sz="6" w:space="0" w:color="auto"/>
          </w:tcBorders>
        </w:tcPr>
        <w:p w:rsidR="00433F17" w:rsidRPr="00C85ACC" w:rsidRDefault="00433F17" w:rsidP="003342D1">
          <w:pPr>
            <w:pStyle w:val="PartTitle"/>
            <w:spacing w:before="80" w:after="0" w:line="200" w:lineRule="exact"/>
            <w:ind w:right="6"/>
            <w:rPr>
              <w:rStyle w:val="PageNumber"/>
              <w:smallCaps w:val="0"/>
            </w:rPr>
          </w:pPr>
          <w:r w:rsidRPr="00C85ACC">
            <w:rPr>
              <w:rStyle w:val="PageNumber"/>
              <w:smallCaps w:val="0"/>
            </w:rPr>
            <w:fldChar w:fldCharType="begin"/>
          </w:r>
          <w:r w:rsidRPr="00C85ACC">
            <w:rPr>
              <w:rStyle w:val="PageNumber"/>
              <w:smallCaps w:val="0"/>
            </w:rPr>
            <w:instrText xml:space="preserve">PAGE  </w:instrText>
          </w:r>
          <w:r w:rsidRPr="00C85ACC">
            <w:rPr>
              <w:rStyle w:val="PageNumber"/>
              <w:smallCaps w:val="0"/>
            </w:rPr>
            <w:fldChar w:fldCharType="separate"/>
          </w:r>
          <w:r w:rsidR="00380972">
            <w:rPr>
              <w:rStyle w:val="PageNumber"/>
              <w:smallCaps w:val="0"/>
              <w:noProof/>
            </w:rPr>
            <w:t>vii</w:t>
          </w:r>
          <w:r w:rsidRPr="00C85ACC">
            <w:rPr>
              <w:rStyle w:val="PageNumber"/>
              <w:smallCaps w:val="0"/>
            </w:rPr>
            <w:fldChar w:fldCharType="end"/>
          </w:r>
        </w:p>
      </w:tc>
    </w:tr>
  </w:tbl>
  <w:p w:rsidR="00433F17" w:rsidRDefault="00433F17">
    <w:pPr>
      <w:pStyle w:val="FooterEnd"/>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433F17">
      <w:trPr>
        <w:trHeight w:hRule="exact" w:val="740"/>
      </w:trPr>
      <w:tc>
        <w:tcPr>
          <w:tcW w:w="510" w:type="dxa"/>
          <w:tcBorders>
            <w:top w:val="single" w:sz="6" w:space="0" w:color="auto"/>
          </w:tcBorders>
        </w:tcPr>
        <w:p w:rsidR="00433F17" w:rsidRPr="008206EE" w:rsidRDefault="00433F17">
          <w:pPr>
            <w:pStyle w:val="Footer"/>
            <w:rPr>
              <w:rStyle w:val="PageNumber"/>
              <w:caps w:val="0"/>
            </w:rPr>
          </w:pPr>
          <w:r w:rsidRPr="008206EE">
            <w:rPr>
              <w:rStyle w:val="PageNumber"/>
              <w:caps w:val="0"/>
            </w:rPr>
            <w:fldChar w:fldCharType="begin"/>
          </w:r>
          <w:r w:rsidRPr="008206EE">
            <w:rPr>
              <w:rStyle w:val="PageNumber"/>
              <w:caps w:val="0"/>
            </w:rPr>
            <w:instrText xml:space="preserve"> PAGE   \* MERGEFORMAT </w:instrText>
          </w:r>
          <w:r w:rsidRPr="008206EE">
            <w:rPr>
              <w:rStyle w:val="PageNumber"/>
              <w:caps w:val="0"/>
            </w:rPr>
            <w:fldChar w:fldCharType="separate"/>
          </w:r>
          <w:r w:rsidR="00380972">
            <w:rPr>
              <w:rStyle w:val="PageNumber"/>
              <w:caps w:val="0"/>
              <w:noProof/>
            </w:rPr>
            <w:t>xiv</w:t>
          </w:r>
          <w:r w:rsidRPr="008206EE">
            <w:rPr>
              <w:rStyle w:val="PageNumber"/>
              <w:caps w:val="0"/>
              <w:noProof/>
            </w:rPr>
            <w:fldChar w:fldCharType="end"/>
          </w:r>
        </w:p>
      </w:tc>
      <w:tc>
        <w:tcPr>
          <w:tcW w:w="1644" w:type="dxa"/>
          <w:tcBorders>
            <w:top w:val="single" w:sz="6" w:space="0" w:color="auto"/>
          </w:tcBorders>
        </w:tcPr>
        <w:p w:rsidR="00433F17" w:rsidRDefault="00380972">
          <w:pPr>
            <w:pStyle w:val="Footer"/>
          </w:pPr>
          <w:r>
            <w:fldChar w:fldCharType="begin"/>
          </w:r>
          <w:r>
            <w:instrText xml:space="preserve"> STYLEREF "Heading 1 Not TOC" \* MERGEFORMAT </w:instrText>
          </w:r>
          <w:r>
            <w:fldChar w:fldCharType="separate"/>
          </w:r>
          <w:r>
            <w:rPr>
              <w:noProof/>
            </w:rPr>
            <w:t>Contents</w:t>
          </w:r>
          <w:r>
            <w:rPr>
              <w:noProof/>
            </w:rPr>
            <w:fldChar w:fldCharType="end"/>
          </w:r>
        </w:p>
      </w:tc>
      <w:tc>
        <w:tcPr>
          <w:tcW w:w="6634" w:type="dxa"/>
        </w:tcPr>
        <w:p w:rsidR="00433F17" w:rsidRDefault="00433F17">
          <w:pPr>
            <w:pStyle w:val="Footer"/>
            <w:rPr>
              <w:caps w:val="0"/>
            </w:rPr>
          </w:pPr>
        </w:p>
      </w:tc>
    </w:tr>
  </w:tbl>
  <w:p w:rsidR="00433F17" w:rsidRDefault="00433F17">
    <w:pPr>
      <w:pStyle w:val="FooterEnd"/>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433F17" w:rsidTr="008F7DB7">
      <w:trPr>
        <w:trHeight w:hRule="exact" w:val="740"/>
      </w:trPr>
      <w:tc>
        <w:tcPr>
          <w:tcW w:w="6634" w:type="dxa"/>
        </w:tcPr>
        <w:p w:rsidR="00433F17" w:rsidRDefault="00433F17">
          <w:pPr>
            <w:pStyle w:val="Footer"/>
          </w:pPr>
        </w:p>
      </w:tc>
      <w:tc>
        <w:tcPr>
          <w:tcW w:w="1644" w:type="dxa"/>
          <w:tcBorders>
            <w:top w:val="single" w:sz="6" w:space="0" w:color="auto"/>
          </w:tcBorders>
        </w:tcPr>
        <w:p w:rsidR="00433F17" w:rsidRPr="008F7DB7" w:rsidRDefault="00433F17">
          <w:pPr>
            <w:pStyle w:val="Footer"/>
            <w:rPr>
              <w:rStyle w:val="PageNumber"/>
              <w:noProof/>
            </w:rPr>
          </w:pPr>
          <w:r w:rsidRPr="008F7DB7">
            <w:rPr>
              <w:noProof/>
            </w:rPr>
            <w:fldChar w:fldCharType="begin"/>
          </w:r>
          <w:r w:rsidRPr="008F7DB7">
            <w:rPr>
              <w:noProof/>
            </w:rPr>
            <w:instrText xml:space="preserve"> STYLEREF "Heading 1 Not TOC" \* MERGEFORMAT </w:instrText>
          </w:r>
          <w:r w:rsidRPr="008F7DB7">
            <w:rPr>
              <w:noProof/>
            </w:rPr>
            <w:fldChar w:fldCharType="separate"/>
          </w:r>
          <w:r w:rsidR="00380972">
            <w:rPr>
              <w:noProof/>
            </w:rPr>
            <w:t>Contents</w:t>
          </w:r>
          <w:r w:rsidRPr="008F7DB7">
            <w:rPr>
              <w:noProof/>
            </w:rPr>
            <w:fldChar w:fldCharType="end"/>
          </w:r>
        </w:p>
      </w:tc>
      <w:tc>
        <w:tcPr>
          <w:tcW w:w="510" w:type="dxa"/>
          <w:tcBorders>
            <w:top w:val="single" w:sz="6" w:space="0" w:color="auto"/>
          </w:tcBorders>
        </w:tcPr>
        <w:p w:rsidR="00433F17" w:rsidRPr="00C55A45" w:rsidRDefault="00433F17">
          <w:pPr>
            <w:pStyle w:val="Footer"/>
            <w:jc w:val="right"/>
            <w:rPr>
              <w:rStyle w:val="PageNumber"/>
              <w:caps w:val="0"/>
              <w:noProof/>
            </w:rPr>
          </w:pPr>
          <w:r w:rsidRPr="00C55A45">
            <w:rPr>
              <w:rStyle w:val="PageNumber"/>
              <w:caps w:val="0"/>
              <w:noProof/>
            </w:rPr>
            <w:fldChar w:fldCharType="begin"/>
          </w:r>
          <w:r w:rsidRPr="00C55A45">
            <w:rPr>
              <w:rStyle w:val="PageNumber"/>
              <w:caps w:val="0"/>
              <w:noProof/>
            </w:rPr>
            <w:instrText xml:space="preserve"> PAGE   \* MERGEFORMAT </w:instrText>
          </w:r>
          <w:r w:rsidRPr="00C55A45">
            <w:rPr>
              <w:rStyle w:val="PageNumber"/>
              <w:caps w:val="0"/>
              <w:noProof/>
            </w:rPr>
            <w:fldChar w:fldCharType="separate"/>
          </w:r>
          <w:r w:rsidR="00380972">
            <w:rPr>
              <w:rStyle w:val="PageNumber"/>
              <w:caps w:val="0"/>
              <w:noProof/>
            </w:rPr>
            <w:t>xv</w:t>
          </w:r>
          <w:r w:rsidRPr="00C55A45">
            <w:rPr>
              <w:rStyle w:val="PageNumber"/>
              <w:caps w:val="0"/>
              <w:noProof/>
            </w:rPr>
            <w:fldChar w:fldCharType="end"/>
          </w:r>
        </w:p>
      </w:tc>
    </w:tr>
  </w:tbl>
  <w:p w:rsidR="00433F17" w:rsidRDefault="00433F17">
    <w:pPr>
      <w:pStyle w:val="FooterEnd"/>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830"/>
      <w:gridCol w:w="6448"/>
    </w:tblGrid>
    <w:tr w:rsidR="00433F17">
      <w:trPr>
        <w:trHeight w:hRule="exact" w:val="740"/>
      </w:trPr>
      <w:tc>
        <w:tcPr>
          <w:tcW w:w="510" w:type="dxa"/>
          <w:tcBorders>
            <w:top w:val="single" w:sz="4" w:space="0" w:color="auto"/>
          </w:tcBorders>
        </w:tcPr>
        <w:p w:rsidR="00433F17" w:rsidRDefault="00433F17">
          <w:pPr>
            <w:pStyle w:val="Footer"/>
            <w:tabs>
              <w:tab w:val="left" w:pos="0"/>
            </w:tabs>
            <w:ind w:right="0"/>
            <w:rPr>
              <w:rStyle w:val="PageNumber"/>
            </w:rPr>
          </w:pPr>
          <w:r>
            <w:rPr>
              <w:rStyle w:val="PageNumber"/>
              <w:caps w:val="0"/>
            </w:rPr>
            <w:t>xvi</w:t>
          </w:r>
        </w:p>
      </w:tc>
      <w:tc>
        <w:tcPr>
          <w:tcW w:w="1830" w:type="dxa"/>
          <w:tcBorders>
            <w:top w:val="single" w:sz="6" w:space="0" w:color="auto"/>
          </w:tcBorders>
        </w:tcPr>
        <w:p w:rsidR="00433F17" w:rsidRDefault="00380972">
          <w:pPr>
            <w:pStyle w:val="Footer"/>
          </w:pPr>
          <w:r>
            <w:fldChar w:fldCharType="begin"/>
          </w:r>
          <w:r>
            <w:instrText xml:space="preserve"> STYLEREF "Heading 1" \* MERGEFORMAT </w:instrText>
          </w:r>
          <w:r>
            <w:fldChar w:fldCharType="separate"/>
          </w:r>
          <w:r>
            <w:rPr>
              <w:noProof/>
            </w:rPr>
            <w:t>Acknowledgments</w:t>
          </w:r>
          <w:r>
            <w:rPr>
              <w:noProof/>
            </w:rPr>
            <w:fldChar w:fldCharType="end"/>
          </w:r>
        </w:p>
      </w:tc>
      <w:tc>
        <w:tcPr>
          <w:tcW w:w="6448" w:type="dxa"/>
        </w:tcPr>
        <w:p w:rsidR="00433F17" w:rsidRDefault="00433F17">
          <w:pPr>
            <w:pStyle w:val="Footer"/>
          </w:pPr>
        </w:p>
      </w:tc>
    </w:tr>
  </w:tbl>
  <w:p w:rsidR="00433F17" w:rsidRDefault="00433F17">
    <w:pPr>
      <w:pStyle w:val="FooterEnd"/>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480"/>
      <w:gridCol w:w="1798"/>
      <w:gridCol w:w="510"/>
    </w:tblGrid>
    <w:tr w:rsidR="00433F17">
      <w:trPr>
        <w:trHeight w:hRule="exact" w:val="740"/>
      </w:trPr>
      <w:tc>
        <w:tcPr>
          <w:tcW w:w="6480" w:type="dxa"/>
        </w:tcPr>
        <w:p w:rsidR="00433F17" w:rsidRDefault="00433F17">
          <w:pPr>
            <w:pStyle w:val="Footer"/>
          </w:pPr>
        </w:p>
      </w:tc>
      <w:tc>
        <w:tcPr>
          <w:tcW w:w="1798" w:type="dxa"/>
          <w:tcBorders>
            <w:top w:val="single" w:sz="6" w:space="0" w:color="auto"/>
          </w:tcBorders>
        </w:tcPr>
        <w:p w:rsidR="00433F17" w:rsidRDefault="00380972">
          <w:pPr>
            <w:pStyle w:val="Footer"/>
            <w:rPr>
              <w:rStyle w:val="PageNumber"/>
              <w:b w:val="0"/>
            </w:rPr>
          </w:pPr>
          <w:r>
            <w:fldChar w:fldCharType="begin"/>
          </w:r>
          <w:r>
            <w:instrText xml:space="preserve"> STYLEREF "Heading 1" \* MERGEFORMAT </w:instrText>
          </w:r>
          <w:r>
            <w:fldChar w:fldCharType="separate"/>
          </w:r>
          <w:r w:rsidR="004266EC">
            <w:rPr>
              <w:noProof/>
            </w:rPr>
            <w:t>Disclosure of interests</w:t>
          </w:r>
          <w:r>
            <w:rPr>
              <w:noProof/>
            </w:rPr>
            <w:fldChar w:fldCharType="end"/>
          </w:r>
        </w:p>
      </w:tc>
      <w:tc>
        <w:tcPr>
          <w:tcW w:w="510" w:type="dxa"/>
          <w:tcBorders>
            <w:top w:val="single" w:sz="6" w:space="0" w:color="auto"/>
          </w:tcBorders>
        </w:tcPr>
        <w:p w:rsidR="00433F17" w:rsidRPr="00A10FFE" w:rsidRDefault="00433F17" w:rsidP="003342D1">
          <w:pPr>
            <w:pStyle w:val="PartTitle"/>
            <w:spacing w:before="80" w:after="0" w:line="200" w:lineRule="exact"/>
            <w:ind w:right="6"/>
            <w:rPr>
              <w:rStyle w:val="PageNumber"/>
              <w:smallCaps w:val="0"/>
            </w:rPr>
          </w:pPr>
          <w:r w:rsidRPr="00A10FFE">
            <w:rPr>
              <w:rStyle w:val="PageNumber"/>
              <w:smallCaps w:val="0"/>
            </w:rPr>
            <w:fldChar w:fldCharType="begin"/>
          </w:r>
          <w:r w:rsidRPr="00A10FFE">
            <w:rPr>
              <w:rStyle w:val="PageNumber"/>
              <w:smallCaps w:val="0"/>
            </w:rPr>
            <w:instrText xml:space="preserve">PAGE  </w:instrText>
          </w:r>
          <w:r w:rsidRPr="00A10FFE">
            <w:rPr>
              <w:rStyle w:val="PageNumber"/>
              <w:smallCaps w:val="0"/>
            </w:rPr>
            <w:fldChar w:fldCharType="separate"/>
          </w:r>
          <w:r>
            <w:rPr>
              <w:rStyle w:val="PageNumber"/>
              <w:smallCaps w:val="0"/>
              <w:noProof/>
            </w:rPr>
            <w:t>xv</w:t>
          </w:r>
          <w:r w:rsidRPr="00A10FFE">
            <w:rPr>
              <w:rStyle w:val="PageNumber"/>
              <w:smallCaps w:val="0"/>
            </w:rPr>
            <w:fldChar w:fldCharType="end"/>
          </w:r>
        </w:p>
      </w:tc>
    </w:tr>
  </w:tbl>
  <w:p w:rsidR="00433F17" w:rsidRDefault="00433F17">
    <w:pPr>
      <w:pStyle w:val="FooterEnd"/>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758"/>
      <w:gridCol w:w="6634"/>
    </w:tblGrid>
    <w:tr w:rsidR="00433F17" w:rsidTr="008F7DB7">
      <w:trPr>
        <w:trHeight w:hRule="exact" w:val="740"/>
      </w:trPr>
      <w:tc>
        <w:tcPr>
          <w:tcW w:w="510" w:type="dxa"/>
          <w:tcBorders>
            <w:top w:val="single" w:sz="6" w:space="0" w:color="auto"/>
          </w:tcBorders>
        </w:tcPr>
        <w:p w:rsidR="00433F17" w:rsidRPr="00C55A45" w:rsidRDefault="00433F17">
          <w:pPr>
            <w:pStyle w:val="Footer"/>
            <w:rPr>
              <w:rStyle w:val="PageNumber"/>
              <w:caps w:val="0"/>
              <w:noProof/>
            </w:rPr>
          </w:pPr>
          <w:r w:rsidRPr="00C55A45">
            <w:rPr>
              <w:rStyle w:val="PageNumber"/>
              <w:caps w:val="0"/>
              <w:noProof/>
            </w:rPr>
            <w:fldChar w:fldCharType="begin"/>
          </w:r>
          <w:r w:rsidRPr="00C55A45">
            <w:rPr>
              <w:rStyle w:val="PageNumber"/>
              <w:caps w:val="0"/>
              <w:noProof/>
            </w:rPr>
            <w:instrText xml:space="preserve"> PAGE   \* MERGEFORMAT </w:instrText>
          </w:r>
          <w:r w:rsidRPr="00C55A45">
            <w:rPr>
              <w:rStyle w:val="PageNumber"/>
              <w:caps w:val="0"/>
              <w:noProof/>
            </w:rPr>
            <w:fldChar w:fldCharType="separate"/>
          </w:r>
          <w:r w:rsidR="00380972">
            <w:rPr>
              <w:rStyle w:val="PageNumber"/>
              <w:caps w:val="0"/>
              <w:noProof/>
            </w:rPr>
            <w:t>xx</w:t>
          </w:r>
          <w:r w:rsidRPr="00C55A45">
            <w:rPr>
              <w:rStyle w:val="PageNumber"/>
              <w:caps w:val="0"/>
              <w:noProof/>
            </w:rPr>
            <w:fldChar w:fldCharType="end"/>
          </w:r>
        </w:p>
      </w:tc>
      <w:tc>
        <w:tcPr>
          <w:tcW w:w="1758" w:type="dxa"/>
          <w:tcBorders>
            <w:top w:val="single" w:sz="6" w:space="0" w:color="auto"/>
          </w:tcBorders>
        </w:tcPr>
        <w:p w:rsidR="00433F17" w:rsidRDefault="00433F17">
          <w:pPr>
            <w:pStyle w:val="Footer"/>
            <w:rPr>
              <w:noProof/>
            </w:rPr>
          </w:pPr>
          <w:r>
            <w:rPr>
              <w:noProof/>
            </w:rPr>
            <w:fldChar w:fldCharType="begin"/>
          </w:r>
          <w:r>
            <w:rPr>
              <w:noProof/>
            </w:rPr>
            <w:instrText xml:space="preserve"> STYLEREF "Heading 1" \* MERGEFORMAT </w:instrText>
          </w:r>
          <w:r>
            <w:rPr>
              <w:noProof/>
            </w:rPr>
            <w:fldChar w:fldCharType="separate"/>
          </w:r>
          <w:r w:rsidR="00380972">
            <w:rPr>
              <w:noProof/>
            </w:rPr>
            <w:t>Abbreviations and explanations</w:t>
          </w:r>
          <w:r>
            <w:rPr>
              <w:noProof/>
            </w:rPr>
            <w:fldChar w:fldCharType="end"/>
          </w:r>
        </w:p>
      </w:tc>
      <w:tc>
        <w:tcPr>
          <w:tcW w:w="6634" w:type="dxa"/>
        </w:tcPr>
        <w:p w:rsidR="00433F17" w:rsidRDefault="00433F17">
          <w:pPr>
            <w:pStyle w:val="Footer"/>
            <w:rPr>
              <w:caps w:val="0"/>
            </w:rPr>
          </w:pPr>
        </w:p>
      </w:tc>
    </w:tr>
  </w:tbl>
  <w:p w:rsidR="00433F17" w:rsidRDefault="00433F17">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3F17" w:rsidRDefault="00433F17">
      <w:r>
        <w:separator/>
      </w:r>
    </w:p>
    <w:p w:rsidR="00433F17" w:rsidRDefault="00433F17"/>
    <w:p w:rsidR="00433F17" w:rsidRDefault="00433F17"/>
  </w:footnote>
  <w:footnote w:type="continuationSeparator" w:id="0">
    <w:p w:rsidR="00433F17" w:rsidRDefault="00433F17">
      <w:r>
        <w:continuationSeparator/>
      </w:r>
    </w:p>
    <w:p w:rsidR="00433F17" w:rsidRDefault="00433F17"/>
    <w:p w:rsidR="00433F17" w:rsidRDefault="00433F1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2" w:space="0" w:color="auto"/>
      </w:tblBorders>
      <w:tblLayout w:type="fixed"/>
      <w:tblCellMar>
        <w:left w:w="0" w:type="dxa"/>
        <w:right w:w="0" w:type="dxa"/>
      </w:tblCellMar>
      <w:tblLook w:val="0000" w:firstRow="0" w:lastRow="0" w:firstColumn="0" w:lastColumn="0" w:noHBand="0" w:noVBand="0"/>
    </w:tblPr>
    <w:tblGrid>
      <w:gridCol w:w="2155"/>
      <w:gridCol w:w="6634"/>
    </w:tblGrid>
    <w:tr w:rsidR="00433F17">
      <w:tc>
        <w:tcPr>
          <w:tcW w:w="2155" w:type="dxa"/>
          <w:tcBorders>
            <w:top w:val="single" w:sz="24" w:space="0" w:color="auto"/>
          </w:tcBorders>
        </w:tcPr>
        <w:p w:rsidR="00433F17" w:rsidRDefault="00433F17">
          <w:pPr>
            <w:pStyle w:val="Header"/>
          </w:pPr>
        </w:p>
      </w:tc>
      <w:tc>
        <w:tcPr>
          <w:tcW w:w="6634" w:type="dxa"/>
          <w:tcBorders>
            <w:top w:val="single" w:sz="6" w:space="0" w:color="auto"/>
          </w:tcBorders>
        </w:tcPr>
        <w:p w:rsidR="00433F17" w:rsidRDefault="00433F17">
          <w:pPr>
            <w:pStyle w:val="Header"/>
          </w:pPr>
        </w:p>
      </w:tc>
    </w:tr>
  </w:tbl>
  <w:p w:rsidR="00433F17" w:rsidRDefault="00433F17">
    <w:pPr>
      <w:pStyle w:val="HeaderEnd"/>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433F17">
      <w:tc>
        <w:tcPr>
          <w:tcW w:w="6634" w:type="dxa"/>
          <w:tcBorders>
            <w:top w:val="single" w:sz="6" w:space="0" w:color="auto"/>
          </w:tcBorders>
        </w:tcPr>
        <w:p w:rsidR="00433F17" w:rsidRDefault="00433F17">
          <w:pPr>
            <w:pStyle w:val="HeaderOdd"/>
          </w:pPr>
        </w:p>
      </w:tc>
      <w:tc>
        <w:tcPr>
          <w:tcW w:w="2155" w:type="dxa"/>
          <w:tcBorders>
            <w:top w:val="single" w:sz="24" w:space="0" w:color="auto"/>
          </w:tcBorders>
        </w:tcPr>
        <w:p w:rsidR="00433F17" w:rsidRDefault="00433F17">
          <w:pPr>
            <w:pStyle w:val="HeaderOdd"/>
          </w:pPr>
        </w:p>
      </w:tc>
    </w:tr>
  </w:tbl>
  <w:p w:rsidR="00433F17" w:rsidRDefault="00433F17" w:rsidP="00B95339">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433F17" w:rsidTr="003342D1">
      <w:tc>
        <w:tcPr>
          <w:tcW w:w="6634" w:type="dxa"/>
          <w:tcBorders>
            <w:top w:val="single" w:sz="6" w:space="0" w:color="auto"/>
          </w:tcBorders>
        </w:tcPr>
        <w:p w:rsidR="00433F17" w:rsidRDefault="00433F17" w:rsidP="003342D1">
          <w:pPr>
            <w:pStyle w:val="HeaderOdd"/>
          </w:pPr>
        </w:p>
      </w:tc>
      <w:tc>
        <w:tcPr>
          <w:tcW w:w="2155" w:type="dxa"/>
          <w:tcBorders>
            <w:top w:val="single" w:sz="24" w:space="0" w:color="auto"/>
          </w:tcBorders>
        </w:tcPr>
        <w:p w:rsidR="00433F17" w:rsidRDefault="00433F17" w:rsidP="003342D1">
          <w:pPr>
            <w:pStyle w:val="HeaderOdd"/>
          </w:pPr>
        </w:p>
      </w:tc>
    </w:tr>
  </w:tbl>
  <w:p w:rsidR="00433F17" w:rsidRPr="005C68FE" w:rsidRDefault="00433F17" w:rsidP="003342D1">
    <w:pPr>
      <w:pStyle w:val="HeaderEn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433F17">
      <w:tc>
        <w:tcPr>
          <w:tcW w:w="2155" w:type="dxa"/>
          <w:tcBorders>
            <w:top w:val="single" w:sz="24" w:space="0" w:color="auto"/>
          </w:tcBorders>
        </w:tcPr>
        <w:p w:rsidR="00433F17" w:rsidRDefault="00433F17">
          <w:pPr>
            <w:pStyle w:val="HeaderEven"/>
          </w:pPr>
        </w:p>
      </w:tc>
      <w:tc>
        <w:tcPr>
          <w:tcW w:w="6634" w:type="dxa"/>
          <w:tcBorders>
            <w:top w:val="single" w:sz="6" w:space="0" w:color="auto"/>
          </w:tcBorders>
        </w:tcPr>
        <w:p w:rsidR="00433F17" w:rsidRDefault="00433F17">
          <w:pPr>
            <w:pStyle w:val="HeaderEven"/>
          </w:pPr>
        </w:p>
      </w:tc>
    </w:tr>
  </w:tbl>
  <w:p w:rsidR="00433F17" w:rsidRDefault="00433F17">
    <w:pPr>
      <w:pStyle w:val="HeaderEn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433F17">
      <w:tc>
        <w:tcPr>
          <w:tcW w:w="6634" w:type="dxa"/>
          <w:tcBorders>
            <w:top w:val="single" w:sz="6" w:space="0" w:color="auto"/>
          </w:tcBorders>
        </w:tcPr>
        <w:p w:rsidR="00433F17" w:rsidRDefault="00433F17">
          <w:pPr>
            <w:pStyle w:val="HeaderOdd"/>
          </w:pPr>
        </w:p>
      </w:tc>
      <w:tc>
        <w:tcPr>
          <w:tcW w:w="2155" w:type="dxa"/>
          <w:tcBorders>
            <w:top w:val="single" w:sz="24" w:space="0" w:color="auto"/>
          </w:tcBorders>
        </w:tcPr>
        <w:p w:rsidR="00433F17" w:rsidRDefault="00433F17">
          <w:pPr>
            <w:pStyle w:val="HeaderOdd"/>
          </w:pPr>
        </w:p>
      </w:tc>
    </w:tr>
  </w:tbl>
  <w:p w:rsidR="00433F17" w:rsidRPr="005C68FE" w:rsidRDefault="00433F17">
    <w:pPr>
      <w:pStyle w:val="HeaderEnd"/>
    </w:pPr>
  </w:p>
  <w:p w:rsidR="00433F17" w:rsidRDefault="00433F17">
    <w:pPr>
      <w:pStyle w:val="HeaderEnd"/>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2" w:space="0" w:color="auto"/>
      </w:tblBorders>
      <w:tblLayout w:type="fixed"/>
      <w:tblCellMar>
        <w:left w:w="0" w:type="dxa"/>
        <w:right w:w="0" w:type="dxa"/>
      </w:tblCellMar>
      <w:tblLook w:val="0000" w:firstRow="0" w:lastRow="0" w:firstColumn="0" w:lastColumn="0" w:noHBand="0" w:noVBand="0"/>
    </w:tblPr>
    <w:tblGrid>
      <w:gridCol w:w="2155"/>
      <w:gridCol w:w="6634"/>
    </w:tblGrid>
    <w:tr w:rsidR="00433F17">
      <w:tc>
        <w:tcPr>
          <w:tcW w:w="2155" w:type="dxa"/>
          <w:tcBorders>
            <w:top w:val="single" w:sz="24" w:space="0" w:color="auto"/>
          </w:tcBorders>
        </w:tcPr>
        <w:p w:rsidR="00433F17" w:rsidRDefault="00433F17">
          <w:pPr>
            <w:pStyle w:val="Header"/>
          </w:pPr>
        </w:p>
      </w:tc>
      <w:tc>
        <w:tcPr>
          <w:tcW w:w="6634" w:type="dxa"/>
          <w:tcBorders>
            <w:top w:val="single" w:sz="6" w:space="0" w:color="auto"/>
          </w:tcBorders>
        </w:tcPr>
        <w:p w:rsidR="00433F17" w:rsidRDefault="00433F17">
          <w:pPr>
            <w:pStyle w:val="Header"/>
          </w:pPr>
        </w:p>
      </w:tc>
    </w:tr>
  </w:tbl>
  <w:p w:rsidR="00433F17" w:rsidRDefault="00433F17">
    <w:pPr>
      <w:pStyle w:val="HeaderEnd"/>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433F17" w:rsidTr="005C68FE">
      <w:tc>
        <w:tcPr>
          <w:tcW w:w="6634" w:type="dxa"/>
          <w:tcBorders>
            <w:top w:val="single" w:sz="6" w:space="0" w:color="auto"/>
          </w:tcBorders>
        </w:tcPr>
        <w:p w:rsidR="00433F17" w:rsidRDefault="00433F17" w:rsidP="005C68FE">
          <w:pPr>
            <w:pStyle w:val="HeaderOdd"/>
          </w:pPr>
        </w:p>
      </w:tc>
      <w:tc>
        <w:tcPr>
          <w:tcW w:w="2155" w:type="dxa"/>
          <w:tcBorders>
            <w:top w:val="single" w:sz="24" w:space="0" w:color="auto"/>
          </w:tcBorders>
        </w:tcPr>
        <w:p w:rsidR="00433F17" w:rsidRDefault="00433F17" w:rsidP="005C68FE">
          <w:pPr>
            <w:pStyle w:val="HeaderOdd"/>
          </w:pPr>
        </w:p>
      </w:tc>
    </w:tr>
  </w:tbl>
  <w:p w:rsidR="00433F17" w:rsidRPr="005C68FE" w:rsidRDefault="00433F17" w:rsidP="005C68FE">
    <w:pPr>
      <w:pStyle w:val="HeaderEnd"/>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433F17">
      <w:tc>
        <w:tcPr>
          <w:tcW w:w="2155" w:type="dxa"/>
          <w:tcBorders>
            <w:top w:val="single" w:sz="24" w:space="0" w:color="auto"/>
          </w:tcBorders>
        </w:tcPr>
        <w:p w:rsidR="00433F17" w:rsidRDefault="00433F17">
          <w:pPr>
            <w:pStyle w:val="HeaderEven"/>
          </w:pPr>
        </w:p>
      </w:tc>
      <w:tc>
        <w:tcPr>
          <w:tcW w:w="6634" w:type="dxa"/>
          <w:tcBorders>
            <w:top w:val="single" w:sz="6" w:space="0" w:color="auto"/>
          </w:tcBorders>
        </w:tcPr>
        <w:p w:rsidR="00433F17" w:rsidRDefault="00433F17">
          <w:pPr>
            <w:pStyle w:val="HeaderEven"/>
          </w:pPr>
        </w:p>
      </w:tc>
    </w:tr>
  </w:tbl>
  <w:p w:rsidR="00433F17" w:rsidRDefault="00433F17">
    <w:pPr>
      <w:pStyle w:val="HeaderEnd"/>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433F17">
      <w:tc>
        <w:tcPr>
          <w:tcW w:w="6634" w:type="dxa"/>
          <w:tcBorders>
            <w:top w:val="single" w:sz="6" w:space="0" w:color="auto"/>
          </w:tcBorders>
        </w:tcPr>
        <w:p w:rsidR="00433F17" w:rsidRDefault="00433F17">
          <w:pPr>
            <w:pStyle w:val="HeaderOdd"/>
          </w:pPr>
        </w:p>
      </w:tc>
      <w:tc>
        <w:tcPr>
          <w:tcW w:w="2155" w:type="dxa"/>
          <w:tcBorders>
            <w:top w:val="single" w:sz="24" w:space="0" w:color="auto"/>
            <w:bottom w:val="nil"/>
          </w:tcBorders>
        </w:tcPr>
        <w:p w:rsidR="00433F17" w:rsidRDefault="00433F17">
          <w:pPr>
            <w:pStyle w:val="HeaderOdd"/>
          </w:pPr>
        </w:p>
      </w:tc>
    </w:tr>
  </w:tbl>
  <w:p w:rsidR="00433F17" w:rsidRDefault="00433F17">
    <w:pPr>
      <w:pStyle w:val="HeaderEnd"/>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433F17" w:rsidTr="005C68FE">
      <w:tc>
        <w:tcPr>
          <w:tcW w:w="2155" w:type="dxa"/>
          <w:tcBorders>
            <w:top w:val="single" w:sz="24" w:space="0" w:color="auto"/>
          </w:tcBorders>
        </w:tcPr>
        <w:p w:rsidR="00433F17" w:rsidRDefault="00433F17" w:rsidP="005C68FE">
          <w:pPr>
            <w:pStyle w:val="HeaderEven"/>
          </w:pPr>
        </w:p>
      </w:tc>
      <w:tc>
        <w:tcPr>
          <w:tcW w:w="6634" w:type="dxa"/>
          <w:tcBorders>
            <w:top w:val="single" w:sz="6" w:space="0" w:color="auto"/>
          </w:tcBorders>
        </w:tcPr>
        <w:p w:rsidR="00433F17" w:rsidRDefault="00433F17" w:rsidP="005C68FE">
          <w:pPr>
            <w:pStyle w:val="HeaderEven"/>
          </w:pPr>
        </w:p>
      </w:tc>
    </w:tr>
  </w:tbl>
  <w:p w:rsidR="00433F17" w:rsidRDefault="00433F17" w:rsidP="00D732FE">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92E4A210"/>
    <w:lvl w:ilvl="0">
      <w:start w:val="1"/>
      <w:numFmt w:val="decimal"/>
      <w:lvlText w:val="%1."/>
      <w:lvlJc w:val="left"/>
      <w:pPr>
        <w:tabs>
          <w:tab w:val="num" w:pos="926"/>
        </w:tabs>
        <w:ind w:left="926" w:hanging="360"/>
      </w:pPr>
    </w:lvl>
  </w:abstractNum>
  <w:abstractNum w:abstractNumId="1">
    <w:nsid w:val="FFFFFF7F"/>
    <w:multiLevelType w:val="singleLevel"/>
    <w:tmpl w:val="A3C2DCF6"/>
    <w:lvl w:ilvl="0">
      <w:start w:val="1"/>
      <w:numFmt w:val="decimal"/>
      <w:lvlText w:val="%1."/>
      <w:lvlJc w:val="left"/>
      <w:pPr>
        <w:tabs>
          <w:tab w:val="num" w:pos="643"/>
        </w:tabs>
        <w:ind w:left="643" w:hanging="360"/>
      </w:pPr>
    </w:lvl>
  </w:abstractNum>
  <w:abstractNum w:abstractNumId="2">
    <w:nsid w:val="FFFFFF82"/>
    <w:multiLevelType w:val="singleLevel"/>
    <w:tmpl w:val="695EB052"/>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43DA5D68"/>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B58078F8"/>
    <w:lvl w:ilvl="0">
      <w:start w:val="1"/>
      <w:numFmt w:val="decimal"/>
      <w:lvlText w:val="%1."/>
      <w:lvlJc w:val="left"/>
      <w:pPr>
        <w:tabs>
          <w:tab w:val="num" w:pos="360"/>
        </w:tabs>
        <w:ind w:left="360" w:hanging="360"/>
      </w:pPr>
    </w:lvl>
  </w:abstractNum>
  <w:abstractNum w:abstractNumId="5">
    <w:nsid w:val="FFFFFF89"/>
    <w:multiLevelType w:val="singleLevel"/>
    <w:tmpl w:val="6AD25FCC"/>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47A7C39"/>
    <w:multiLevelType w:val="singleLevel"/>
    <w:tmpl w:val="DEC02068"/>
    <w:lvl w:ilvl="0">
      <w:numFmt w:val="bullet"/>
      <w:pStyle w:val="ListBullet2"/>
      <w:lvlText w:val="–"/>
      <w:lvlJc w:val="left"/>
      <w:pPr>
        <w:tabs>
          <w:tab w:val="num" w:pos="644"/>
        </w:tabs>
        <w:ind w:left="340" w:hanging="56"/>
      </w:pPr>
      <w:rPr>
        <w:rFonts w:ascii="Times New Roman" w:hAnsi="Times New Roman" w:hint="default"/>
      </w:rPr>
    </w:lvl>
  </w:abstractNum>
  <w:abstractNum w:abstractNumId="8">
    <w:nsid w:val="06214B87"/>
    <w:multiLevelType w:val="singleLevel"/>
    <w:tmpl w:val="E7705C56"/>
    <w:lvl w:ilvl="0">
      <w:numFmt w:val="bullet"/>
      <w:pStyle w:val="BoxListBullet2"/>
      <w:lvlText w:val="–"/>
      <w:lvlJc w:val="left"/>
      <w:pPr>
        <w:tabs>
          <w:tab w:val="num" w:pos="360"/>
        </w:tabs>
        <w:ind w:left="284" w:hanging="284"/>
      </w:pPr>
      <w:rPr>
        <w:rFonts w:ascii="Times New Roman" w:hAnsi="Times New Roman" w:hint="default"/>
      </w:rPr>
    </w:lvl>
  </w:abstractNum>
  <w:abstractNum w:abstractNumId="9">
    <w:nsid w:val="0E116344"/>
    <w:multiLevelType w:val="multilevel"/>
    <w:tmpl w:val="3B188B36"/>
    <w:lvl w:ilvl="0">
      <w:start w:val="1"/>
      <w:numFmt w:val="decimal"/>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2">
    <w:nsid w:val="1AB25CDE"/>
    <w:multiLevelType w:val="singleLevel"/>
    <w:tmpl w:val="3086CA22"/>
    <w:lvl w:ilvl="0">
      <w:start w:val="1"/>
      <w:numFmt w:val="decimal"/>
      <w:lvlText w:val="%1."/>
      <w:legacy w:legacy="1" w:legacySpace="0" w:legacyIndent="340"/>
      <w:lvlJc w:val="left"/>
      <w:pPr>
        <w:ind w:left="340" w:hanging="340"/>
      </w:pPr>
    </w:lvl>
  </w:abstractNum>
  <w:abstractNum w:abstractNumId="13">
    <w:nsid w:val="23FF358D"/>
    <w:multiLevelType w:val="singleLevel"/>
    <w:tmpl w:val="849CD80E"/>
    <w:lvl w:ilvl="0">
      <w:start w:val="1"/>
      <w:numFmt w:val="bullet"/>
      <w:pStyle w:val="RecBBullet"/>
      <w:lvlText w:val=""/>
      <w:lvlJc w:val="left"/>
      <w:pPr>
        <w:tabs>
          <w:tab w:val="num" w:pos="360"/>
        </w:tabs>
        <w:ind w:left="340" w:hanging="340"/>
      </w:pPr>
      <w:rPr>
        <w:rFonts w:ascii="Symbol" w:hAnsi="Symbol" w:hint="default"/>
        <w:b w:val="0"/>
        <w:i w:val="0"/>
        <w:sz w:val="18"/>
      </w:rPr>
    </w:lvl>
  </w:abstractNum>
  <w:abstractNum w:abstractNumId="14">
    <w:nsid w:val="2F1F7586"/>
    <w:multiLevelType w:val="hybridMultilevel"/>
    <w:tmpl w:val="C956622A"/>
    <w:lvl w:ilvl="0" w:tplc="8D90534E">
      <w:start w:val="1"/>
      <w:numFmt w:val="decimal"/>
      <w:pStyle w:val="BoxListNumber"/>
      <w:lvlText w:val="%1"/>
      <w:lvlJc w:val="left"/>
      <w:pPr>
        <w:ind w:left="720" w:hanging="360"/>
      </w:pPr>
      <w:rPr>
        <w:rFonts w:hint="default"/>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nsid w:val="30E90CE4"/>
    <w:multiLevelType w:val="singleLevel"/>
    <w:tmpl w:val="5FA21F84"/>
    <w:lvl w:ilvl="0">
      <w:start w:val="1"/>
      <w:numFmt w:val="bullet"/>
      <w:pStyle w:val="BoxListBullet"/>
      <w:lvlText w:val=""/>
      <w:lvlJc w:val="left"/>
      <w:pPr>
        <w:tabs>
          <w:tab w:val="num" w:pos="360"/>
        </w:tabs>
        <w:ind w:left="284" w:hanging="284"/>
      </w:pPr>
      <w:rPr>
        <w:rFonts w:ascii="Symbol" w:hAnsi="Symbol" w:hint="default"/>
        <w:sz w:val="18"/>
      </w:rPr>
    </w:lvl>
  </w:abstractNum>
  <w:abstractNum w:abstractNumId="16">
    <w:nsid w:val="54382D6E"/>
    <w:multiLevelType w:val="singleLevel"/>
    <w:tmpl w:val="B7BC21DE"/>
    <w:lvl w:ilvl="0">
      <w:numFmt w:val="bullet"/>
      <w:pStyle w:val="ListBullet"/>
      <w:lvlText w:val=""/>
      <w:lvlJc w:val="left"/>
      <w:pPr>
        <w:tabs>
          <w:tab w:val="num" w:pos="360"/>
        </w:tabs>
        <w:ind w:left="340" w:hanging="340"/>
      </w:pPr>
      <w:rPr>
        <w:rFonts w:ascii="Symbol" w:hAnsi="Symbol" w:hint="default"/>
        <w:sz w:val="18"/>
      </w:rPr>
    </w:lvl>
  </w:abstractNum>
  <w:abstractNum w:abstractNumId="17">
    <w:nsid w:val="543E1FD6"/>
    <w:multiLevelType w:val="singleLevel"/>
    <w:tmpl w:val="D4A092D6"/>
    <w:lvl w:ilvl="0">
      <w:start w:val="1"/>
      <w:numFmt w:val="bullet"/>
      <w:pStyle w:val="TableBullet"/>
      <w:lvlText w:val=""/>
      <w:lvlJc w:val="left"/>
      <w:pPr>
        <w:tabs>
          <w:tab w:val="num" w:pos="360"/>
        </w:tabs>
        <w:ind w:left="170" w:hanging="170"/>
      </w:pPr>
      <w:rPr>
        <w:rFonts w:ascii="Symbol" w:hAnsi="Symbol" w:hint="default"/>
        <w:b w:val="0"/>
        <w:i w:val="0"/>
        <w:sz w:val="18"/>
      </w:rPr>
    </w:lvl>
  </w:abstractNum>
  <w:abstractNum w:abstractNumId="18">
    <w:nsid w:val="56107838"/>
    <w:multiLevelType w:val="singleLevel"/>
    <w:tmpl w:val="98765266"/>
    <w:lvl w:ilvl="0">
      <w:start w:val="1"/>
      <w:numFmt w:val="bullet"/>
      <w:pStyle w:val="QuoteBullet"/>
      <w:lvlText w:val=""/>
      <w:lvlJc w:val="left"/>
      <w:pPr>
        <w:tabs>
          <w:tab w:val="num" w:pos="360"/>
        </w:tabs>
        <w:ind w:left="360" w:hanging="360"/>
      </w:pPr>
      <w:rPr>
        <w:rFonts w:ascii="Symbol" w:hAnsi="Symbol" w:hint="default"/>
        <w:sz w:val="18"/>
      </w:rPr>
    </w:lvl>
  </w:abstractNum>
  <w:abstractNum w:abstractNumId="19">
    <w:nsid w:val="643516F3"/>
    <w:multiLevelType w:val="singleLevel"/>
    <w:tmpl w:val="456CB25C"/>
    <w:lvl w:ilvl="0">
      <w:start w:val="1"/>
      <w:numFmt w:val="bullet"/>
      <w:pStyle w:val="ListBullet3"/>
      <w:lvlText w:val=""/>
      <w:lvlJc w:val="left"/>
      <w:pPr>
        <w:tabs>
          <w:tab w:val="num" w:pos="360"/>
        </w:tabs>
        <w:ind w:left="340" w:hanging="340"/>
      </w:pPr>
      <w:rPr>
        <w:rFonts w:ascii="MT Extra" w:hAnsi="MT Extra" w:hint="default"/>
        <w:b w:val="0"/>
        <w:i w:val="0"/>
        <w:sz w:val="16"/>
      </w:rPr>
    </w:lvl>
  </w:abstractNum>
  <w:abstractNum w:abstractNumId="20">
    <w:nsid w:val="6B740744"/>
    <w:multiLevelType w:val="singleLevel"/>
    <w:tmpl w:val="B4744B66"/>
    <w:lvl w:ilvl="0">
      <w:start w:val="1"/>
      <w:numFmt w:val="decimal"/>
      <w:lvlText w:val="%1."/>
      <w:legacy w:legacy="1" w:legacySpace="0" w:legacyIndent="340"/>
      <w:lvlJc w:val="left"/>
      <w:pPr>
        <w:ind w:left="340" w:hanging="340"/>
      </w:pPr>
    </w:lvl>
  </w:abstractNum>
  <w:abstractNum w:abstractNumId="21">
    <w:nsid w:val="7A1373DF"/>
    <w:multiLevelType w:val="singleLevel"/>
    <w:tmpl w:val="798200E0"/>
    <w:lvl w:ilvl="0">
      <w:start w:val="1"/>
      <w:numFmt w:val="bullet"/>
      <w:pStyle w:val="FindingBullet"/>
      <w:lvlText w:val=""/>
      <w:lvlJc w:val="left"/>
      <w:pPr>
        <w:tabs>
          <w:tab w:val="num" w:pos="360"/>
        </w:tabs>
        <w:ind w:left="340" w:hanging="340"/>
      </w:pPr>
      <w:rPr>
        <w:rFonts w:ascii="Symbol" w:hAnsi="Symbol" w:hint="default"/>
        <w:b w:val="0"/>
        <w:i w:val="0"/>
        <w:sz w:val="18"/>
      </w:rPr>
    </w:lvl>
  </w:abstractNum>
  <w:abstractNum w:abstractNumId="22">
    <w:nsid w:val="7BFA7D75"/>
    <w:multiLevelType w:val="singleLevel"/>
    <w:tmpl w:val="FE48DC38"/>
    <w:lvl w:ilvl="0">
      <w:start w:val="1"/>
      <w:numFmt w:val="bullet"/>
      <w:pStyle w:val="RecBullet"/>
      <w:lvlText w:val=""/>
      <w:lvlJc w:val="left"/>
      <w:pPr>
        <w:tabs>
          <w:tab w:val="num" w:pos="360"/>
        </w:tabs>
        <w:ind w:left="340" w:hanging="340"/>
      </w:pPr>
      <w:rPr>
        <w:rFonts w:ascii="Symbol" w:hAnsi="Symbol" w:hint="default"/>
        <w:b w:val="0"/>
        <w:i w:val="0"/>
        <w:sz w:val="18"/>
      </w:rPr>
    </w:lvl>
  </w:abstractNum>
  <w:num w:numId="1">
    <w:abstractNumId w:val="5"/>
  </w:num>
  <w:num w:numId="2">
    <w:abstractNumId w:val="3"/>
  </w:num>
  <w:num w:numId="3">
    <w:abstractNumId w:val="2"/>
  </w:num>
  <w:num w:numId="4">
    <w:abstractNumId w:val="4"/>
  </w:num>
  <w:num w:numId="5">
    <w:abstractNumId w:val="1"/>
  </w:num>
  <w:num w:numId="6">
    <w:abstractNumId w:val="0"/>
  </w:num>
  <w:num w:numId="7">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8">
    <w:abstractNumId w:val="6"/>
    <w:lvlOverride w:ilvl="0">
      <w:lvl w:ilvl="0">
        <w:start w:val="1"/>
        <w:numFmt w:val="bullet"/>
        <w:lvlText w:val=""/>
        <w:legacy w:legacy="1" w:legacySpace="0" w:legacyIndent="340"/>
        <w:lvlJc w:val="left"/>
        <w:pPr>
          <w:ind w:left="680" w:hanging="340"/>
        </w:pPr>
        <w:rPr>
          <w:rFonts w:ascii="Symbol" w:hAnsi="Symbol" w:hint="default"/>
        </w:rPr>
      </w:lvl>
    </w:lvlOverride>
  </w:num>
  <w:num w:numId="9">
    <w:abstractNumId w:val="6"/>
    <w:lvlOverride w:ilvl="0">
      <w:lvl w:ilvl="0">
        <w:start w:val="1"/>
        <w:numFmt w:val="bullet"/>
        <w:lvlText w:val=""/>
        <w:legacy w:legacy="1" w:legacySpace="0" w:legacyIndent="340"/>
        <w:lvlJc w:val="left"/>
        <w:pPr>
          <w:ind w:left="1020" w:hanging="340"/>
        </w:pPr>
        <w:rPr>
          <w:rFonts w:ascii="MT Extra" w:hAnsi="MT Extra" w:hint="default"/>
        </w:rPr>
      </w:lvl>
    </w:lvlOverride>
  </w:num>
  <w:num w:numId="10">
    <w:abstractNumId w:val="6"/>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11">
    <w:abstractNumId w:val="6"/>
    <w:lvlOverride w:ilvl="0">
      <w:lvl w:ilvl="0">
        <w:start w:val="1"/>
        <w:numFmt w:val="bullet"/>
        <w:lvlText w:val=""/>
        <w:legacy w:legacy="1" w:legacySpace="0" w:legacyIndent="283"/>
        <w:lvlJc w:val="left"/>
        <w:pPr>
          <w:ind w:left="283" w:hanging="283"/>
        </w:pPr>
        <w:rPr>
          <w:rFonts w:ascii="Symbol" w:hAnsi="Symbol" w:hint="default"/>
        </w:rPr>
      </w:lvl>
    </w:lvlOverride>
  </w:num>
  <w:num w:numId="12">
    <w:abstractNumId w:val="20"/>
  </w:num>
  <w:num w:numId="13">
    <w:abstractNumId w:val="15"/>
  </w:num>
  <w:num w:numId="14">
    <w:abstractNumId w:val="8"/>
  </w:num>
  <w:num w:numId="15">
    <w:abstractNumId w:val="21"/>
  </w:num>
  <w:num w:numId="16">
    <w:abstractNumId w:val="16"/>
  </w:num>
  <w:num w:numId="17">
    <w:abstractNumId w:val="7"/>
  </w:num>
  <w:num w:numId="18">
    <w:abstractNumId w:val="19"/>
  </w:num>
  <w:num w:numId="19">
    <w:abstractNumId w:val="18"/>
  </w:num>
  <w:num w:numId="20">
    <w:abstractNumId w:val="22"/>
  </w:num>
  <w:num w:numId="21">
    <w:abstractNumId w:val="13"/>
  </w:num>
  <w:num w:numId="22">
    <w:abstractNumId w:val="11"/>
  </w:num>
  <w:num w:numId="23">
    <w:abstractNumId w:val="17"/>
  </w:num>
  <w:num w:numId="24">
    <w:abstractNumId w:val="12"/>
  </w:num>
  <w:num w:numId="25">
    <w:abstractNumId w:val="10"/>
  </w:num>
  <w:num w:numId="26">
    <w:abstractNumId w:val="10"/>
  </w:num>
  <w:num w:numId="27">
    <w:abstractNumId w:val="10"/>
  </w:num>
  <w:num w:numId="28">
    <w:abstractNumId w:val="10"/>
  </w:num>
  <w:num w:numId="29">
    <w:abstractNumId w:val="14"/>
  </w:num>
  <w:num w:numId="30">
    <w:abstractNumId w:val="9"/>
  </w:num>
  <w:num w:numId="3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mirrorMargins/>
  <w:proofState w:spelling="clean"/>
  <w:attachedTemplate r:id="rId1"/>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defaultTabStop w:val="567"/>
  <w:evenAndOddHeaders/>
  <w:displayHorizontalDrawingGridEvery w:val="0"/>
  <w:displayVerticalDrawingGridEvery w:val="0"/>
  <w:doNotUseMarginsForDrawingGridOrigin/>
  <w:noPunctuationKerning/>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11F8"/>
    <w:rsid w:val="00017AFC"/>
    <w:rsid w:val="00025878"/>
    <w:rsid w:val="00026B38"/>
    <w:rsid w:val="000502D3"/>
    <w:rsid w:val="000623BF"/>
    <w:rsid w:val="00095EEA"/>
    <w:rsid w:val="00097C15"/>
    <w:rsid w:val="000B416E"/>
    <w:rsid w:val="000F185F"/>
    <w:rsid w:val="000F2F5F"/>
    <w:rsid w:val="00106041"/>
    <w:rsid w:val="0013399B"/>
    <w:rsid w:val="001758BF"/>
    <w:rsid w:val="00181F4B"/>
    <w:rsid w:val="00196FB3"/>
    <w:rsid w:val="001A5071"/>
    <w:rsid w:val="001B0F58"/>
    <w:rsid w:val="001B4E73"/>
    <w:rsid w:val="001B7F1E"/>
    <w:rsid w:val="001D4B1F"/>
    <w:rsid w:val="001D6629"/>
    <w:rsid w:val="001F2270"/>
    <w:rsid w:val="00205A82"/>
    <w:rsid w:val="00211BEE"/>
    <w:rsid w:val="002179C6"/>
    <w:rsid w:val="00261607"/>
    <w:rsid w:val="00263DD1"/>
    <w:rsid w:val="00264D3B"/>
    <w:rsid w:val="00265685"/>
    <w:rsid w:val="00281D5F"/>
    <w:rsid w:val="002923AD"/>
    <w:rsid w:val="00296592"/>
    <w:rsid w:val="002A0A4B"/>
    <w:rsid w:val="002A645B"/>
    <w:rsid w:val="002B636E"/>
    <w:rsid w:val="002B64D6"/>
    <w:rsid w:val="002C12F5"/>
    <w:rsid w:val="002D6FCE"/>
    <w:rsid w:val="003342D1"/>
    <w:rsid w:val="00336E53"/>
    <w:rsid w:val="00380972"/>
    <w:rsid w:val="003833B4"/>
    <w:rsid w:val="003B41E0"/>
    <w:rsid w:val="003D624D"/>
    <w:rsid w:val="003E7802"/>
    <w:rsid w:val="004266EC"/>
    <w:rsid w:val="00433C81"/>
    <w:rsid w:val="00433F17"/>
    <w:rsid w:val="00446D6B"/>
    <w:rsid w:val="00457B3F"/>
    <w:rsid w:val="00463022"/>
    <w:rsid w:val="00481CF0"/>
    <w:rsid w:val="004B492A"/>
    <w:rsid w:val="004C0B0C"/>
    <w:rsid w:val="004E52E2"/>
    <w:rsid w:val="004E6BB4"/>
    <w:rsid w:val="00515D43"/>
    <w:rsid w:val="0052544D"/>
    <w:rsid w:val="00533150"/>
    <w:rsid w:val="00551FB8"/>
    <w:rsid w:val="005537F6"/>
    <w:rsid w:val="00560F43"/>
    <w:rsid w:val="005654D0"/>
    <w:rsid w:val="005757C8"/>
    <w:rsid w:val="005A77D3"/>
    <w:rsid w:val="005B17AB"/>
    <w:rsid w:val="005C68FE"/>
    <w:rsid w:val="00602523"/>
    <w:rsid w:val="00604351"/>
    <w:rsid w:val="00607D8A"/>
    <w:rsid w:val="0061590F"/>
    <w:rsid w:val="00636497"/>
    <w:rsid w:val="00641AE2"/>
    <w:rsid w:val="0064456A"/>
    <w:rsid w:val="00650DDA"/>
    <w:rsid w:val="0065126A"/>
    <w:rsid w:val="006802D4"/>
    <w:rsid w:val="00683849"/>
    <w:rsid w:val="00691AB5"/>
    <w:rsid w:val="006E1E6B"/>
    <w:rsid w:val="006E4642"/>
    <w:rsid w:val="006F0EAC"/>
    <w:rsid w:val="006F6A85"/>
    <w:rsid w:val="0070328D"/>
    <w:rsid w:val="00731F96"/>
    <w:rsid w:val="00734127"/>
    <w:rsid w:val="00735FEA"/>
    <w:rsid w:val="00743460"/>
    <w:rsid w:val="00743A27"/>
    <w:rsid w:val="00753DC6"/>
    <w:rsid w:val="0075578C"/>
    <w:rsid w:val="00766DFB"/>
    <w:rsid w:val="007734B5"/>
    <w:rsid w:val="007809B8"/>
    <w:rsid w:val="008057F0"/>
    <w:rsid w:val="00806E54"/>
    <w:rsid w:val="008206EE"/>
    <w:rsid w:val="008214B1"/>
    <w:rsid w:val="00836ED7"/>
    <w:rsid w:val="008453AC"/>
    <w:rsid w:val="00854C6D"/>
    <w:rsid w:val="00860D09"/>
    <w:rsid w:val="00862044"/>
    <w:rsid w:val="008C305F"/>
    <w:rsid w:val="008C3AD2"/>
    <w:rsid w:val="008C7C3D"/>
    <w:rsid w:val="008D6F66"/>
    <w:rsid w:val="008E1BEA"/>
    <w:rsid w:val="008E43D2"/>
    <w:rsid w:val="008F04C9"/>
    <w:rsid w:val="008F7C50"/>
    <w:rsid w:val="008F7DB7"/>
    <w:rsid w:val="009064D3"/>
    <w:rsid w:val="00915300"/>
    <w:rsid w:val="00933B0C"/>
    <w:rsid w:val="00935676"/>
    <w:rsid w:val="00965C31"/>
    <w:rsid w:val="009811F8"/>
    <w:rsid w:val="0098401D"/>
    <w:rsid w:val="009A789F"/>
    <w:rsid w:val="009B12EF"/>
    <w:rsid w:val="009B6185"/>
    <w:rsid w:val="009D6D9C"/>
    <w:rsid w:val="009E1E78"/>
    <w:rsid w:val="00A1597D"/>
    <w:rsid w:val="00A46989"/>
    <w:rsid w:val="00A71CE9"/>
    <w:rsid w:val="00A72A19"/>
    <w:rsid w:val="00A75A30"/>
    <w:rsid w:val="00A87F5A"/>
    <w:rsid w:val="00A93C82"/>
    <w:rsid w:val="00AB2A48"/>
    <w:rsid w:val="00AC3236"/>
    <w:rsid w:val="00AD4874"/>
    <w:rsid w:val="00AE1F8A"/>
    <w:rsid w:val="00B036B2"/>
    <w:rsid w:val="00B04D19"/>
    <w:rsid w:val="00B07912"/>
    <w:rsid w:val="00B153C3"/>
    <w:rsid w:val="00B22087"/>
    <w:rsid w:val="00B722F2"/>
    <w:rsid w:val="00B95339"/>
    <w:rsid w:val="00BB334E"/>
    <w:rsid w:val="00BB5DCF"/>
    <w:rsid w:val="00BE2B53"/>
    <w:rsid w:val="00BF59EA"/>
    <w:rsid w:val="00BF79CD"/>
    <w:rsid w:val="00C0721B"/>
    <w:rsid w:val="00C34C8C"/>
    <w:rsid w:val="00C3703A"/>
    <w:rsid w:val="00C50792"/>
    <w:rsid w:val="00C55A45"/>
    <w:rsid w:val="00C80C9F"/>
    <w:rsid w:val="00C904D9"/>
    <w:rsid w:val="00C94C06"/>
    <w:rsid w:val="00CA48BF"/>
    <w:rsid w:val="00CB3ACC"/>
    <w:rsid w:val="00CB4745"/>
    <w:rsid w:val="00CB4A47"/>
    <w:rsid w:val="00CD2163"/>
    <w:rsid w:val="00CD4FE7"/>
    <w:rsid w:val="00CD5E6B"/>
    <w:rsid w:val="00CE5D96"/>
    <w:rsid w:val="00CE7344"/>
    <w:rsid w:val="00CF26EE"/>
    <w:rsid w:val="00D310F0"/>
    <w:rsid w:val="00D37AC2"/>
    <w:rsid w:val="00D500A9"/>
    <w:rsid w:val="00D64121"/>
    <w:rsid w:val="00D732FE"/>
    <w:rsid w:val="00D772E9"/>
    <w:rsid w:val="00DA31AB"/>
    <w:rsid w:val="00DA3281"/>
    <w:rsid w:val="00DA6D3E"/>
    <w:rsid w:val="00DC02E8"/>
    <w:rsid w:val="00DC75C7"/>
    <w:rsid w:val="00DC78D3"/>
    <w:rsid w:val="00DF4592"/>
    <w:rsid w:val="00E15FDC"/>
    <w:rsid w:val="00E2651B"/>
    <w:rsid w:val="00E6632E"/>
    <w:rsid w:val="00E90CF2"/>
    <w:rsid w:val="00EC3905"/>
    <w:rsid w:val="00ED0F61"/>
    <w:rsid w:val="00EE73E1"/>
    <w:rsid w:val="00EF29F1"/>
    <w:rsid w:val="00F12107"/>
    <w:rsid w:val="00F13165"/>
    <w:rsid w:val="00F4234E"/>
    <w:rsid w:val="00F4358D"/>
    <w:rsid w:val="00F52AFD"/>
    <w:rsid w:val="00F7477E"/>
    <w:rsid w:val="00F85393"/>
    <w:rsid w:val="00FA4A24"/>
    <w:rsid w:val="00FC41B4"/>
    <w:rsid w:val="00FC5A6B"/>
    <w:rsid w:val="00FD4728"/>
    <w:rsid w:val="00FF67E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martTagType w:namespaceuri="urn:schemas-microsoft-com:office:smarttags" w:name="Street"/>
  <w:smartTagType w:namespaceuri="urn:schemas-microsoft-com:office:smarttags" w:name="address"/>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6"/>
      <w:lang w:eastAsia="en-US"/>
    </w:rPr>
  </w:style>
  <w:style w:type="paragraph" w:styleId="Heading1">
    <w:name w:val="heading 1"/>
    <w:basedOn w:val="Normal"/>
    <w:next w:val="BodyText"/>
    <w:link w:val="Heading1Char"/>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qFormat/>
    <w:pPr>
      <w:spacing w:before="240" w:after="60"/>
      <w:outlineLvl w:val="5"/>
    </w:pPr>
    <w:rPr>
      <w:i/>
      <w:sz w:val="22"/>
    </w:rPr>
  </w:style>
  <w:style w:type="paragraph" w:styleId="Heading7">
    <w:name w:val="heading 7"/>
    <w:basedOn w:val="Normal"/>
    <w:next w:val="Normal"/>
    <w:qFormat/>
    <w:pPr>
      <w:spacing w:before="240" w:after="60"/>
      <w:outlineLvl w:val="6"/>
    </w:pPr>
    <w:rPr>
      <w:rFonts w:ascii="Arial" w:hAnsi="Arial"/>
      <w:sz w:val="20"/>
    </w:rPr>
  </w:style>
  <w:style w:type="paragraph" w:styleId="Heading8">
    <w:name w:val="heading 8"/>
    <w:basedOn w:val="Normal"/>
    <w:next w:val="Normal"/>
    <w:qFormat/>
    <w:pPr>
      <w:spacing w:before="240" w:after="60"/>
      <w:outlineLvl w:val="7"/>
    </w:pPr>
    <w:rPr>
      <w:rFonts w:ascii="Arial" w:hAnsi="Arial"/>
      <w:i/>
      <w:sz w:val="20"/>
    </w:rPr>
  </w:style>
  <w:style w:type="paragraph" w:styleId="Heading9">
    <w:name w:val="heading 9"/>
    <w:basedOn w:val="Normal"/>
    <w:next w:val="Normal"/>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rsid w:val="00D37AC2"/>
    <w:pPr>
      <w:spacing w:before="240" w:line="320" w:lineRule="atLeast"/>
      <w:jc w:val="both"/>
    </w:pPr>
    <w:rPr>
      <w:sz w:val="26"/>
      <w:lang w:eastAsia="en-US"/>
    </w:rPr>
  </w:style>
  <w:style w:type="paragraph" w:customStyle="1" w:styleId="Abbreviation">
    <w:name w:val="Abbreviation"/>
    <w:basedOn w:val="BodyText"/>
    <w:pPr>
      <w:spacing w:before="120"/>
      <w:ind w:left="2381" w:hanging="2381"/>
      <w:jc w:val="left"/>
    </w:pPr>
  </w:style>
  <w:style w:type="paragraph" w:customStyle="1" w:styleId="Box">
    <w:name w:val="Box"/>
    <w:basedOn w:val="BodyText"/>
    <w:pPr>
      <w:keepNext/>
      <w:spacing w:before="120" w:line="280" w:lineRule="atLeast"/>
    </w:pPr>
    <w:rPr>
      <w:rFonts w:ascii="Arial" w:hAnsi="Arial"/>
      <w:sz w:val="22"/>
    </w:rPr>
  </w:style>
  <w:style w:type="paragraph" w:customStyle="1" w:styleId="Note">
    <w:name w:val="Note"/>
    <w:basedOn w:val="BodyText"/>
    <w:next w:val="Normal"/>
    <w:pPr>
      <w:keepLines/>
      <w:spacing w:before="80" w:line="220" w:lineRule="exact"/>
    </w:pPr>
    <w:rPr>
      <w:rFonts w:ascii="Arial" w:hAnsi="Arial"/>
      <w:sz w:val="18"/>
    </w:rPr>
  </w:style>
  <w:style w:type="paragraph" w:customStyle="1" w:styleId="Source">
    <w:name w:val="Source"/>
    <w:basedOn w:val="Note"/>
    <w:next w:val="BodyText"/>
    <w:pPr>
      <w:spacing w:after="120"/>
    </w:pPr>
  </w:style>
  <w:style w:type="paragraph" w:customStyle="1" w:styleId="BoxSource">
    <w:name w:val="Box Source"/>
    <w:basedOn w:val="Source"/>
    <w:next w:val="BodyText"/>
    <w:pPr>
      <w:spacing w:before="180" w:after="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x"/>
    <w:next w:val="Box"/>
    <w:pPr>
      <w:spacing w:before="200"/>
    </w:pPr>
    <w:rPr>
      <w:b/>
    </w:rPr>
  </w:style>
  <w:style w:type="paragraph" w:customStyle="1" w:styleId="BoxHeading2">
    <w:name w:val="Box Heading 2"/>
    <w:basedOn w:val="BoxHeading1"/>
    <w:next w:val="Box"/>
    <w:rPr>
      <w:b w:val="0"/>
      <w:i/>
    </w:rPr>
  </w:style>
  <w:style w:type="paragraph" w:customStyle="1" w:styleId="BoxListBullet">
    <w:name w:val="Box List Bullet"/>
    <w:basedOn w:val="Box"/>
    <w:rsid w:val="00DC78D3"/>
    <w:pPr>
      <w:numPr>
        <w:numId w:val="13"/>
      </w:numPr>
      <w:tabs>
        <w:tab w:val="clear" w:pos="360"/>
        <w:tab w:val="left" w:pos="284"/>
      </w:tabs>
      <w:spacing w:before="60"/>
    </w:pPr>
  </w:style>
  <w:style w:type="paragraph" w:customStyle="1" w:styleId="BoxListBullet2">
    <w:name w:val="Box List Bullet 2"/>
    <w:basedOn w:val="Box"/>
    <w:pPr>
      <w:numPr>
        <w:numId w:val="14"/>
      </w:numPr>
      <w:tabs>
        <w:tab w:val="left" w:pos="284"/>
        <w:tab w:val="left" w:pos="567"/>
      </w:tabs>
      <w:spacing w:before="60"/>
      <w:ind w:left="568"/>
    </w:pPr>
  </w:style>
  <w:style w:type="paragraph" w:customStyle="1" w:styleId="BoxListNumber">
    <w:name w:val="Box List Number"/>
    <w:basedOn w:val="Box"/>
    <w:rsid w:val="00DC78D3"/>
    <w:pPr>
      <w:numPr>
        <w:numId w:val="29"/>
      </w:numPr>
      <w:spacing w:before="60"/>
      <w:ind w:left="357" w:hanging="357"/>
    </w:pPr>
  </w:style>
  <w:style w:type="paragraph" w:customStyle="1" w:styleId="BoxListNumber2">
    <w:name w:val="Box List Number 2"/>
    <w:basedOn w:val="Normal"/>
    <w:rsid w:val="00743A27"/>
    <w:pPr>
      <w:keepNext/>
      <w:numPr>
        <w:ilvl w:val="1"/>
        <w:numId w:val="30"/>
      </w:numPr>
      <w:spacing w:before="60" w:line="280" w:lineRule="atLeast"/>
      <w:jc w:val="both"/>
    </w:pPr>
    <w:rPr>
      <w:rFonts w:ascii="Arial" w:hAnsi="Arial"/>
      <w:sz w:val="22"/>
      <w:lang w:eastAsia="en-AU"/>
    </w:rPr>
  </w:style>
  <w:style w:type="paragraph" w:customStyle="1" w:styleId="BoxQuote">
    <w:name w:val="Box Quote"/>
    <w:basedOn w:val="Box"/>
    <w:next w:val="Box"/>
    <w:pPr>
      <w:spacing w:before="60" w:line="260" w:lineRule="exact"/>
      <w:ind w:left="284"/>
    </w:pPr>
    <w:rPr>
      <w:sz w:val="20"/>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041"/>
    <w:pPr>
      <w:spacing w:before="120" w:after="0"/>
      <w:ind w:left="1304" w:hanging="1304"/>
    </w:pPr>
    <w:rPr>
      <w:b w:val="0"/>
    </w:rPr>
  </w:style>
  <w:style w:type="paragraph" w:customStyle="1" w:styleId="BoxSubtitle">
    <w:name w:val="Box Subtitle"/>
    <w:basedOn w:val="BoxTitle"/>
    <w:next w:val="Box"/>
    <w:pPr>
      <w:spacing w:after="80" w:line="200" w:lineRule="exact"/>
      <w:ind w:firstLine="0"/>
    </w:pPr>
    <w:rPr>
      <w:b/>
      <w:sz w:val="20"/>
    </w:rPr>
  </w:style>
  <w:style w:type="paragraph" w:customStyle="1" w:styleId="Chapter">
    <w:name w:val="Chapter"/>
    <w:basedOn w:val="Heading1"/>
    <w:next w:val="BodyText"/>
    <w:semiHidden/>
    <w:pPr>
      <w:ind w:left="0" w:firstLine="0"/>
      <w:outlineLvl w:val="9"/>
    </w:pPr>
  </w:style>
  <w:style w:type="paragraph" w:customStyle="1" w:styleId="ChapterSummary">
    <w:name w:val="Chapter Summary"/>
    <w:basedOn w:val="BodyText"/>
    <w:semiHidden/>
    <w:pPr>
      <w:ind w:left="907"/>
    </w:pPr>
    <w:rPr>
      <w:rFonts w:ascii="Arial" w:hAnsi="Arial"/>
      <w:b/>
      <w:sz w:val="22"/>
    </w:rPr>
  </w:style>
  <w:style w:type="character" w:styleId="CommentReference">
    <w:name w:val="annotation reference"/>
    <w:semiHidden/>
    <w:rPr>
      <w:b/>
      <w:vanish/>
      <w:color w:val="FF00FF"/>
      <w:sz w:val="20"/>
    </w:rPr>
  </w:style>
  <w:style w:type="paragraph" w:styleId="CommentText">
    <w:name w:val="annotation text"/>
    <w:basedOn w:val="Normal"/>
    <w:semiHidden/>
    <w:pPr>
      <w:spacing w:before="120" w:line="240" w:lineRule="atLeast"/>
      <w:ind w:left="567" w:hanging="567"/>
    </w:pPr>
    <w:rPr>
      <w:sz w:val="20"/>
    </w:rPr>
  </w:style>
  <w:style w:type="paragraph" w:customStyle="1" w:styleId="Continued">
    <w:name w:val="Continued"/>
    <w:basedOn w:val="BoxContinued"/>
    <w:next w:val="BodyText"/>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link w:val="FooterChar"/>
    <w:pPr>
      <w:spacing w:before="80" w:line="200" w:lineRule="exact"/>
      <w:ind w:right="6"/>
    </w:pPr>
    <w:rPr>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041"/>
    <w:rPr>
      <w:b w:val="0"/>
    </w:rPr>
  </w:style>
  <w:style w:type="paragraph" w:styleId="Subtitle">
    <w:name w:val="Subtitle"/>
    <w:basedOn w:val="Caption"/>
    <w:qFormat/>
    <w:pPr>
      <w:spacing w:before="0" w:line="200" w:lineRule="exact"/>
      <w:ind w:firstLine="0"/>
    </w:pPr>
    <w:rPr>
      <w:b w:val="0"/>
      <w:sz w:val="20"/>
    </w:rPr>
  </w:style>
  <w:style w:type="paragraph" w:customStyle="1" w:styleId="Finding">
    <w:name w:val="Finding"/>
    <w:basedOn w:val="BodyText"/>
    <w:pPr>
      <w:spacing w:before="180"/>
    </w:pPr>
    <w:rPr>
      <w:i/>
    </w:rPr>
  </w:style>
  <w:style w:type="paragraph" w:customStyle="1" w:styleId="FindingBullet">
    <w:name w:val="Finding Bullet"/>
    <w:basedOn w:val="Finding"/>
    <w:pPr>
      <w:numPr>
        <w:numId w:val="15"/>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pPr>
      <w:keepNext/>
      <w:framePr w:hSpace="181" w:wrap="notBeside" w:vAnchor="text" w:hAnchor="text" w:xAlign="outside" w:y="1"/>
    </w:pPr>
    <w:rPr>
      <w:caps/>
      <w:sz w:val="16"/>
    </w:rPr>
  </w:style>
  <w:style w:type="paragraph" w:customStyle="1" w:styleId="FindingTitle">
    <w:name w:val="Finding Title"/>
    <w:basedOn w:val="RecTitle"/>
    <w:next w:val="Finding"/>
    <w:pPr>
      <w:framePr w:wrap="notBeside"/>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0B416E"/>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semiHidden/>
    <w:pPr>
      <w:spacing w:before="360" w:after="120"/>
    </w:pPr>
    <w:rPr>
      <w:rFonts w:ascii="Arial" w:hAnsi="Arial"/>
      <w:sz w:val="24"/>
    </w:rPr>
  </w:style>
  <w:style w:type="paragraph" w:styleId="ListBullet">
    <w:name w:val="List Bullet"/>
    <w:basedOn w:val="BodyText"/>
    <w:rsid w:val="00D37AC2"/>
    <w:pPr>
      <w:numPr>
        <w:numId w:val="16"/>
      </w:numPr>
      <w:spacing w:before="120"/>
    </w:pPr>
  </w:style>
  <w:style w:type="paragraph" w:styleId="ListBullet2">
    <w:name w:val="List Bullet 2"/>
    <w:basedOn w:val="BodyText"/>
    <w:rsid w:val="00D37AC2"/>
    <w:pPr>
      <w:numPr>
        <w:numId w:val="17"/>
      </w:numPr>
      <w:tabs>
        <w:tab w:val="clear" w:pos="644"/>
        <w:tab w:val="left" w:pos="680"/>
      </w:tabs>
      <w:spacing w:before="120"/>
      <w:ind w:left="680" w:hanging="340"/>
    </w:pPr>
  </w:style>
  <w:style w:type="paragraph" w:styleId="ListBullet3">
    <w:name w:val="List Bullet 3"/>
    <w:basedOn w:val="BodyText"/>
    <w:rsid w:val="00D37AC2"/>
    <w:pPr>
      <w:numPr>
        <w:numId w:val="18"/>
      </w:numPr>
      <w:tabs>
        <w:tab w:val="clear" w:pos="360"/>
        <w:tab w:val="left" w:pos="1021"/>
      </w:tabs>
      <w:spacing w:before="120"/>
      <w:ind w:left="1020"/>
    </w:pPr>
  </w:style>
  <w:style w:type="paragraph" w:styleId="ListNumber">
    <w:name w:val="List Number"/>
    <w:basedOn w:val="BodyText"/>
    <w:rsid w:val="005654D0"/>
    <w:pPr>
      <w:numPr>
        <w:numId w:val="28"/>
      </w:numPr>
      <w:spacing w:before="120"/>
    </w:pPr>
    <w:rPr>
      <w:lang w:eastAsia="en-AU"/>
    </w:rPr>
  </w:style>
  <w:style w:type="paragraph" w:styleId="ListNumber2">
    <w:name w:val="List Number 2"/>
    <w:basedOn w:val="ListNumber"/>
    <w:rsid w:val="000F2F5F"/>
    <w:pPr>
      <w:numPr>
        <w:ilvl w:val="1"/>
      </w:numPr>
      <w:tabs>
        <w:tab w:val="left" w:pos="794"/>
      </w:tabs>
    </w:pPr>
  </w:style>
  <w:style w:type="paragraph" w:styleId="ListNumber3">
    <w:name w:val="List Number 3"/>
    <w:basedOn w:val="ListNumber2"/>
    <w:rsid w:val="00D37AC2"/>
    <w:pPr>
      <w:numPr>
        <w:ilvl w:val="2"/>
      </w:numPr>
      <w:tabs>
        <w:tab w:val="clear" w:pos="794"/>
      </w:tabs>
    </w:pPr>
  </w:style>
  <w:style w:type="character" w:customStyle="1" w:styleId="NoteLabel">
    <w:name w:val="Note Label"/>
    <w:rPr>
      <w:rFonts w:ascii="Arial" w:hAnsi="Arial"/>
      <w:b/>
      <w:position w:val="6"/>
      <w:sz w:val="18"/>
    </w:rPr>
  </w:style>
  <w:style w:type="character" w:styleId="PageNumber">
    <w:name w:val="page number"/>
    <w:rsid w:val="00C0721B"/>
    <w:rPr>
      <w:rFonts w:ascii="Arial" w:hAnsi="Arial"/>
      <w:b/>
      <w:caps w:val="0"/>
      <w:smallCaps w:val="0"/>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qFormat/>
    <w:pPr>
      <w:spacing w:before="120" w:line="280" w:lineRule="exact"/>
      <w:ind w:left="340"/>
    </w:pPr>
    <w:rPr>
      <w:sz w:val="24"/>
    </w:rPr>
  </w:style>
  <w:style w:type="paragraph" w:customStyle="1" w:styleId="Rec">
    <w:name w:val="Rec"/>
    <w:basedOn w:val="BodyText"/>
    <w:pPr>
      <w:spacing w:before="180"/>
    </w:pPr>
    <w:rPr>
      <w:b/>
      <w:i/>
    </w:rPr>
  </w:style>
  <w:style w:type="paragraph" w:customStyle="1" w:styleId="RecBullet">
    <w:name w:val="Rec Bullet"/>
    <w:basedOn w:val="Rec"/>
    <w:pPr>
      <w:numPr>
        <w:numId w:val="20"/>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21"/>
      </w:numPr>
      <w:spacing w:before="80"/>
    </w:pPr>
  </w:style>
  <w:style w:type="paragraph" w:customStyle="1" w:styleId="RecBNoTitle">
    <w:name w:val="RecB NoTitle"/>
    <w:basedOn w:val="RecB"/>
    <w:pPr>
      <w:spacing w:before="240"/>
    </w:pPr>
  </w:style>
  <w:style w:type="paragraph" w:customStyle="1" w:styleId="Reference">
    <w:name w:val="Reference"/>
    <w:basedOn w:val="BodyText"/>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pPr>
      <w:framePr w:wrap="around"/>
      <w:numPr>
        <w:numId w:val="2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pPr>
      <w:numPr>
        <w:numId w:val="23"/>
      </w:numPr>
      <w:tabs>
        <w:tab w:val="left" w:pos="170"/>
      </w:tabs>
      <w:jc w:val="left"/>
    </w:pPr>
  </w:style>
  <w:style w:type="paragraph" w:customStyle="1" w:styleId="TableColumnHeading">
    <w:name w:val="Table Column Heading"/>
    <w:basedOn w:val="TableBodyText"/>
    <w:pPr>
      <w:spacing w:before="80" w:after="80"/>
    </w:pPr>
    <w:rPr>
      <w:i/>
    </w:rPr>
  </w:style>
  <w:style w:type="paragraph" w:styleId="TOC2">
    <w:name w:val="toc 2"/>
    <w:basedOn w:val="TOC1"/>
    <w:uiPriority w:val="39"/>
    <w:rsid w:val="00433C81"/>
    <w:pPr>
      <w:ind w:left="1020"/>
    </w:pPr>
    <w:rPr>
      <w:b w:val="0"/>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rsid w:val="00106041"/>
    <w:rPr>
      <w:b w:val="0"/>
    </w:rPr>
  </w:style>
  <w:style w:type="paragraph" w:customStyle="1" w:styleId="TableUnitsRow">
    <w:name w:val="Table Units Row"/>
    <w:basedOn w:val="TableBodyText"/>
    <w:pPr>
      <w:spacing w:before="80" w:after="80"/>
    </w:pPr>
  </w:style>
  <w:style w:type="paragraph" w:styleId="TOC1">
    <w:name w:val="toc 1"/>
    <w:basedOn w:val="Normal"/>
    <w:next w:val="TOC2"/>
    <w:uiPriority w:val="39"/>
    <w:rsid w:val="00D772E9"/>
    <w:pPr>
      <w:tabs>
        <w:tab w:val="right" w:pos="8789"/>
      </w:tabs>
      <w:spacing w:before="120" w:line="320" w:lineRule="exact"/>
      <w:ind w:left="510" w:right="851" w:hanging="510"/>
    </w:pPr>
    <w:rPr>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pPr>
      <w:numPr>
        <w:numId w:val="19"/>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link w:val="BodyText"/>
    <w:locked/>
    <w:rsid w:val="00D37AC2"/>
    <w:rPr>
      <w:sz w:val="26"/>
      <w:lang w:eastAsia="en-US"/>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3B41E0"/>
    <w:pPr>
      <w:tabs>
        <w:tab w:val="left" w:pos="866"/>
      </w:tabs>
      <w:spacing w:after="60"/>
    </w:pPr>
    <w:rPr>
      <w:rFonts w:ascii="GoudyOlSt BT" w:hAnsi="GoudyOlSt BT"/>
      <w:sz w:val="16"/>
      <w:lang w:eastAsia="en-AU"/>
    </w:rPr>
  </w:style>
  <w:style w:type="paragraph" w:styleId="Salutation">
    <w:name w:val="Salutation"/>
    <w:basedOn w:val="Normal"/>
    <w:next w:val="Normal"/>
    <w:link w:val="SalutationChar"/>
    <w:autoRedefine/>
    <w:rsid w:val="003B41E0"/>
    <w:rPr>
      <w:noProof/>
      <w:sz w:val="24"/>
      <w:lang w:eastAsia="en-AU"/>
    </w:rPr>
  </w:style>
  <w:style w:type="character" w:customStyle="1" w:styleId="SalutationChar">
    <w:name w:val="Salutation Char"/>
    <w:basedOn w:val="DefaultParagraphFont"/>
    <w:link w:val="Salutation"/>
    <w:rsid w:val="003B41E0"/>
    <w:rPr>
      <w:noProof/>
      <w:sz w:val="24"/>
    </w:rPr>
  </w:style>
  <w:style w:type="paragraph" w:customStyle="1" w:styleId="Signoff">
    <w:name w:val="Signoff"/>
    <w:basedOn w:val="Normal"/>
    <w:autoRedefine/>
    <w:rsid w:val="003B41E0"/>
    <w:pPr>
      <w:spacing w:before="480" w:after="1000"/>
    </w:pPr>
    <w:rPr>
      <w:sz w:val="24"/>
      <w:lang w:eastAsia="en-AU"/>
    </w:rPr>
  </w:style>
  <w:style w:type="paragraph" w:customStyle="1" w:styleId="LetterDate">
    <w:name w:val="Letter Date"/>
    <w:basedOn w:val="BodyText"/>
    <w:rsid w:val="003B41E0"/>
    <w:pPr>
      <w:spacing w:before="0" w:after="240" w:line="240" w:lineRule="auto"/>
      <w:ind w:left="-108"/>
      <w:jc w:val="left"/>
    </w:pPr>
    <w:rPr>
      <w:sz w:val="24"/>
      <w:lang w:eastAsia="en-AU"/>
    </w:rPr>
  </w:style>
  <w:style w:type="paragraph" w:customStyle="1" w:styleId="LetterAddress">
    <w:name w:val="Letter Address"/>
    <w:basedOn w:val="BodyText"/>
    <w:rsid w:val="003B41E0"/>
    <w:pPr>
      <w:spacing w:before="0" w:line="240" w:lineRule="auto"/>
      <w:jc w:val="left"/>
    </w:pPr>
    <w:rPr>
      <w:sz w:val="24"/>
      <w:lang w:eastAsia="en-AU"/>
    </w:rPr>
  </w:style>
  <w:style w:type="paragraph" w:customStyle="1" w:styleId="PCBoxHeading">
    <w:name w:val="PC Box Heading"/>
    <w:basedOn w:val="BodyText"/>
    <w:link w:val="PCBoxHeadingChar"/>
    <w:qFormat/>
    <w:rsid w:val="00F4234E"/>
    <w:pPr>
      <w:pBdr>
        <w:top w:val="single" w:sz="4" w:space="5" w:color="auto"/>
        <w:left w:val="single" w:sz="4" w:space="8" w:color="auto"/>
        <w:bottom w:val="single" w:sz="4" w:space="14" w:color="auto"/>
        <w:right w:val="single" w:sz="4" w:space="8" w:color="auto"/>
      </w:pBdr>
      <w:spacing w:before="120" w:line="240" w:lineRule="auto"/>
      <w:ind w:left="284" w:right="284"/>
    </w:pPr>
    <w:rPr>
      <w:b/>
      <w:i/>
      <w:sz w:val="24"/>
      <w:szCs w:val="24"/>
    </w:rPr>
  </w:style>
  <w:style w:type="paragraph" w:customStyle="1" w:styleId="PCBoxtext">
    <w:name w:val="PC Box text"/>
    <w:basedOn w:val="BodyText"/>
    <w:link w:val="PCBoxtextChar"/>
    <w:rsid w:val="00F4234E"/>
    <w:pPr>
      <w:pBdr>
        <w:top w:val="single" w:sz="4" w:space="5" w:color="auto"/>
        <w:left w:val="single" w:sz="4" w:space="8" w:color="auto"/>
        <w:bottom w:val="single" w:sz="4" w:space="14" w:color="auto"/>
        <w:right w:val="single" w:sz="4" w:space="8" w:color="auto"/>
      </w:pBdr>
      <w:spacing w:before="160" w:line="240" w:lineRule="auto"/>
      <w:ind w:left="284" w:right="284"/>
    </w:pPr>
    <w:rPr>
      <w:sz w:val="24"/>
      <w:szCs w:val="24"/>
    </w:rPr>
  </w:style>
  <w:style w:type="character" w:customStyle="1" w:styleId="PCBoxHeadingChar">
    <w:name w:val="PC Box Heading Char"/>
    <w:basedOn w:val="BodyTextChar"/>
    <w:link w:val="PCBoxHeading"/>
    <w:rsid w:val="00F4234E"/>
    <w:rPr>
      <w:b/>
      <w:i/>
      <w:sz w:val="24"/>
      <w:szCs w:val="24"/>
      <w:lang w:eastAsia="en-US"/>
    </w:rPr>
  </w:style>
  <w:style w:type="character" w:customStyle="1" w:styleId="PCBoxtextChar">
    <w:name w:val="PC Box text Char"/>
    <w:basedOn w:val="BodyTextChar"/>
    <w:link w:val="PCBoxtext"/>
    <w:rsid w:val="00F4234E"/>
    <w:rPr>
      <w:sz w:val="24"/>
      <w:szCs w:val="24"/>
      <w:lang w:eastAsia="en-US"/>
    </w:rPr>
  </w:style>
  <w:style w:type="character" w:styleId="Hyperlink">
    <w:name w:val="Hyperlink"/>
    <w:basedOn w:val="DefaultParagraphFont"/>
    <w:unhideWhenUsed/>
    <w:rsid w:val="00CD5E6B"/>
    <w:rPr>
      <w:rFonts w:ascii="Times New Roman" w:hAnsi="Times New Roman" w:cs="Times New Roman" w:hint="default"/>
      <w:color w:val="000000"/>
      <w:u w:val="single"/>
    </w:rPr>
  </w:style>
  <w:style w:type="table" w:styleId="TableGrid">
    <w:name w:val="Table Grid"/>
    <w:basedOn w:val="TableNormal"/>
    <w:rsid w:val="009811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oterChar">
    <w:name w:val="Footer Char"/>
    <w:basedOn w:val="DefaultParagraphFont"/>
    <w:link w:val="Footer"/>
    <w:rsid w:val="009811F8"/>
    <w:rPr>
      <w:caps/>
      <w:spacing w:val="-4"/>
      <w:sz w:val="16"/>
      <w:lang w:eastAsia="en-US"/>
    </w:rPr>
  </w:style>
  <w:style w:type="character" w:customStyle="1" w:styleId="Heading1Char">
    <w:name w:val="Heading 1 Char"/>
    <w:basedOn w:val="DefaultParagraphFont"/>
    <w:link w:val="Heading1"/>
    <w:rsid w:val="009811F8"/>
    <w:rPr>
      <w:kern w:val="28"/>
      <w:sz w:val="5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6"/>
      <w:lang w:eastAsia="en-US"/>
    </w:rPr>
  </w:style>
  <w:style w:type="paragraph" w:styleId="Heading1">
    <w:name w:val="heading 1"/>
    <w:basedOn w:val="Normal"/>
    <w:next w:val="BodyText"/>
    <w:link w:val="Heading1Char"/>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qFormat/>
    <w:pPr>
      <w:spacing w:before="240" w:after="60"/>
      <w:outlineLvl w:val="5"/>
    </w:pPr>
    <w:rPr>
      <w:i/>
      <w:sz w:val="22"/>
    </w:rPr>
  </w:style>
  <w:style w:type="paragraph" w:styleId="Heading7">
    <w:name w:val="heading 7"/>
    <w:basedOn w:val="Normal"/>
    <w:next w:val="Normal"/>
    <w:qFormat/>
    <w:pPr>
      <w:spacing w:before="240" w:after="60"/>
      <w:outlineLvl w:val="6"/>
    </w:pPr>
    <w:rPr>
      <w:rFonts w:ascii="Arial" w:hAnsi="Arial"/>
      <w:sz w:val="20"/>
    </w:rPr>
  </w:style>
  <w:style w:type="paragraph" w:styleId="Heading8">
    <w:name w:val="heading 8"/>
    <w:basedOn w:val="Normal"/>
    <w:next w:val="Normal"/>
    <w:qFormat/>
    <w:pPr>
      <w:spacing w:before="240" w:after="60"/>
      <w:outlineLvl w:val="7"/>
    </w:pPr>
    <w:rPr>
      <w:rFonts w:ascii="Arial" w:hAnsi="Arial"/>
      <w:i/>
      <w:sz w:val="20"/>
    </w:rPr>
  </w:style>
  <w:style w:type="paragraph" w:styleId="Heading9">
    <w:name w:val="heading 9"/>
    <w:basedOn w:val="Normal"/>
    <w:next w:val="Normal"/>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rsid w:val="00D37AC2"/>
    <w:pPr>
      <w:spacing w:before="240" w:line="320" w:lineRule="atLeast"/>
      <w:jc w:val="both"/>
    </w:pPr>
    <w:rPr>
      <w:sz w:val="26"/>
      <w:lang w:eastAsia="en-US"/>
    </w:rPr>
  </w:style>
  <w:style w:type="paragraph" w:customStyle="1" w:styleId="Abbreviation">
    <w:name w:val="Abbreviation"/>
    <w:basedOn w:val="BodyText"/>
    <w:pPr>
      <w:spacing w:before="120"/>
      <w:ind w:left="2381" w:hanging="2381"/>
      <w:jc w:val="left"/>
    </w:pPr>
  </w:style>
  <w:style w:type="paragraph" w:customStyle="1" w:styleId="Box">
    <w:name w:val="Box"/>
    <w:basedOn w:val="BodyText"/>
    <w:pPr>
      <w:keepNext/>
      <w:spacing w:before="120" w:line="280" w:lineRule="atLeast"/>
    </w:pPr>
    <w:rPr>
      <w:rFonts w:ascii="Arial" w:hAnsi="Arial"/>
      <w:sz w:val="22"/>
    </w:rPr>
  </w:style>
  <w:style w:type="paragraph" w:customStyle="1" w:styleId="Note">
    <w:name w:val="Note"/>
    <w:basedOn w:val="BodyText"/>
    <w:next w:val="Normal"/>
    <w:pPr>
      <w:keepLines/>
      <w:spacing w:before="80" w:line="220" w:lineRule="exact"/>
    </w:pPr>
    <w:rPr>
      <w:rFonts w:ascii="Arial" w:hAnsi="Arial"/>
      <w:sz w:val="18"/>
    </w:rPr>
  </w:style>
  <w:style w:type="paragraph" w:customStyle="1" w:styleId="Source">
    <w:name w:val="Source"/>
    <w:basedOn w:val="Note"/>
    <w:next w:val="BodyText"/>
    <w:pPr>
      <w:spacing w:after="120"/>
    </w:pPr>
  </w:style>
  <w:style w:type="paragraph" w:customStyle="1" w:styleId="BoxSource">
    <w:name w:val="Box Source"/>
    <w:basedOn w:val="Source"/>
    <w:next w:val="BodyText"/>
    <w:pPr>
      <w:spacing w:before="180" w:after="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x"/>
    <w:next w:val="Box"/>
    <w:pPr>
      <w:spacing w:before="200"/>
    </w:pPr>
    <w:rPr>
      <w:b/>
    </w:rPr>
  </w:style>
  <w:style w:type="paragraph" w:customStyle="1" w:styleId="BoxHeading2">
    <w:name w:val="Box Heading 2"/>
    <w:basedOn w:val="BoxHeading1"/>
    <w:next w:val="Box"/>
    <w:rPr>
      <w:b w:val="0"/>
      <w:i/>
    </w:rPr>
  </w:style>
  <w:style w:type="paragraph" w:customStyle="1" w:styleId="BoxListBullet">
    <w:name w:val="Box List Bullet"/>
    <w:basedOn w:val="Box"/>
    <w:rsid w:val="00DC78D3"/>
    <w:pPr>
      <w:numPr>
        <w:numId w:val="13"/>
      </w:numPr>
      <w:tabs>
        <w:tab w:val="clear" w:pos="360"/>
        <w:tab w:val="left" w:pos="284"/>
      </w:tabs>
      <w:spacing w:before="60"/>
    </w:pPr>
  </w:style>
  <w:style w:type="paragraph" w:customStyle="1" w:styleId="BoxListBullet2">
    <w:name w:val="Box List Bullet 2"/>
    <w:basedOn w:val="Box"/>
    <w:pPr>
      <w:numPr>
        <w:numId w:val="14"/>
      </w:numPr>
      <w:tabs>
        <w:tab w:val="left" w:pos="284"/>
        <w:tab w:val="left" w:pos="567"/>
      </w:tabs>
      <w:spacing w:before="60"/>
      <w:ind w:left="568"/>
    </w:pPr>
  </w:style>
  <w:style w:type="paragraph" w:customStyle="1" w:styleId="BoxListNumber">
    <w:name w:val="Box List Number"/>
    <w:basedOn w:val="Box"/>
    <w:rsid w:val="00DC78D3"/>
    <w:pPr>
      <w:numPr>
        <w:numId w:val="29"/>
      </w:numPr>
      <w:spacing w:before="60"/>
      <w:ind w:left="357" w:hanging="357"/>
    </w:pPr>
  </w:style>
  <w:style w:type="paragraph" w:customStyle="1" w:styleId="BoxListNumber2">
    <w:name w:val="Box List Number 2"/>
    <w:basedOn w:val="Normal"/>
    <w:rsid w:val="00743A27"/>
    <w:pPr>
      <w:keepNext/>
      <w:numPr>
        <w:ilvl w:val="1"/>
        <w:numId w:val="30"/>
      </w:numPr>
      <w:spacing w:before="60" w:line="280" w:lineRule="atLeast"/>
      <w:jc w:val="both"/>
    </w:pPr>
    <w:rPr>
      <w:rFonts w:ascii="Arial" w:hAnsi="Arial"/>
      <w:sz w:val="22"/>
      <w:lang w:eastAsia="en-AU"/>
    </w:rPr>
  </w:style>
  <w:style w:type="paragraph" w:customStyle="1" w:styleId="BoxQuote">
    <w:name w:val="Box Quote"/>
    <w:basedOn w:val="Box"/>
    <w:next w:val="Box"/>
    <w:pPr>
      <w:spacing w:before="60" w:line="260" w:lineRule="exact"/>
      <w:ind w:left="284"/>
    </w:pPr>
    <w:rPr>
      <w:sz w:val="20"/>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041"/>
    <w:pPr>
      <w:spacing w:before="120" w:after="0"/>
      <w:ind w:left="1304" w:hanging="1304"/>
    </w:pPr>
    <w:rPr>
      <w:b w:val="0"/>
    </w:rPr>
  </w:style>
  <w:style w:type="paragraph" w:customStyle="1" w:styleId="BoxSubtitle">
    <w:name w:val="Box Subtitle"/>
    <w:basedOn w:val="BoxTitle"/>
    <w:next w:val="Box"/>
    <w:pPr>
      <w:spacing w:after="80" w:line="200" w:lineRule="exact"/>
      <w:ind w:firstLine="0"/>
    </w:pPr>
    <w:rPr>
      <w:b/>
      <w:sz w:val="20"/>
    </w:rPr>
  </w:style>
  <w:style w:type="paragraph" w:customStyle="1" w:styleId="Chapter">
    <w:name w:val="Chapter"/>
    <w:basedOn w:val="Heading1"/>
    <w:next w:val="BodyText"/>
    <w:semiHidden/>
    <w:pPr>
      <w:ind w:left="0" w:firstLine="0"/>
      <w:outlineLvl w:val="9"/>
    </w:pPr>
  </w:style>
  <w:style w:type="paragraph" w:customStyle="1" w:styleId="ChapterSummary">
    <w:name w:val="Chapter Summary"/>
    <w:basedOn w:val="BodyText"/>
    <w:semiHidden/>
    <w:pPr>
      <w:ind w:left="907"/>
    </w:pPr>
    <w:rPr>
      <w:rFonts w:ascii="Arial" w:hAnsi="Arial"/>
      <w:b/>
      <w:sz w:val="22"/>
    </w:rPr>
  </w:style>
  <w:style w:type="character" w:styleId="CommentReference">
    <w:name w:val="annotation reference"/>
    <w:semiHidden/>
    <w:rPr>
      <w:b/>
      <w:vanish/>
      <w:color w:val="FF00FF"/>
      <w:sz w:val="20"/>
    </w:rPr>
  </w:style>
  <w:style w:type="paragraph" w:styleId="CommentText">
    <w:name w:val="annotation text"/>
    <w:basedOn w:val="Normal"/>
    <w:semiHidden/>
    <w:pPr>
      <w:spacing w:before="120" w:line="240" w:lineRule="atLeast"/>
      <w:ind w:left="567" w:hanging="567"/>
    </w:pPr>
    <w:rPr>
      <w:sz w:val="20"/>
    </w:rPr>
  </w:style>
  <w:style w:type="paragraph" w:customStyle="1" w:styleId="Continued">
    <w:name w:val="Continued"/>
    <w:basedOn w:val="BoxContinued"/>
    <w:next w:val="BodyText"/>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link w:val="FooterChar"/>
    <w:pPr>
      <w:spacing w:before="80" w:line="200" w:lineRule="exact"/>
      <w:ind w:right="6"/>
    </w:pPr>
    <w:rPr>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041"/>
    <w:rPr>
      <w:b w:val="0"/>
    </w:rPr>
  </w:style>
  <w:style w:type="paragraph" w:styleId="Subtitle">
    <w:name w:val="Subtitle"/>
    <w:basedOn w:val="Caption"/>
    <w:qFormat/>
    <w:pPr>
      <w:spacing w:before="0" w:line="200" w:lineRule="exact"/>
      <w:ind w:firstLine="0"/>
    </w:pPr>
    <w:rPr>
      <w:b w:val="0"/>
      <w:sz w:val="20"/>
    </w:rPr>
  </w:style>
  <w:style w:type="paragraph" w:customStyle="1" w:styleId="Finding">
    <w:name w:val="Finding"/>
    <w:basedOn w:val="BodyText"/>
    <w:pPr>
      <w:spacing w:before="180"/>
    </w:pPr>
    <w:rPr>
      <w:i/>
    </w:rPr>
  </w:style>
  <w:style w:type="paragraph" w:customStyle="1" w:styleId="FindingBullet">
    <w:name w:val="Finding Bullet"/>
    <w:basedOn w:val="Finding"/>
    <w:pPr>
      <w:numPr>
        <w:numId w:val="15"/>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pPr>
      <w:keepNext/>
      <w:framePr w:hSpace="181" w:wrap="notBeside" w:vAnchor="text" w:hAnchor="text" w:xAlign="outside" w:y="1"/>
    </w:pPr>
    <w:rPr>
      <w:caps/>
      <w:sz w:val="16"/>
    </w:rPr>
  </w:style>
  <w:style w:type="paragraph" w:customStyle="1" w:styleId="FindingTitle">
    <w:name w:val="Finding Title"/>
    <w:basedOn w:val="RecTitle"/>
    <w:next w:val="Finding"/>
    <w:pPr>
      <w:framePr w:wrap="notBeside"/>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0B416E"/>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semiHidden/>
    <w:pPr>
      <w:spacing w:before="360" w:after="120"/>
    </w:pPr>
    <w:rPr>
      <w:rFonts w:ascii="Arial" w:hAnsi="Arial"/>
      <w:sz w:val="24"/>
    </w:rPr>
  </w:style>
  <w:style w:type="paragraph" w:styleId="ListBullet">
    <w:name w:val="List Bullet"/>
    <w:basedOn w:val="BodyText"/>
    <w:rsid w:val="00D37AC2"/>
    <w:pPr>
      <w:numPr>
        <w:numId w:val="16"/>
      </w:numPr>
      <w:spacing w:before="120"/>
    </w:pPr>
  </w:style>
  <w:style w:type="paragraph" w:styleId="ListBullet2">
    <w:name w:val="List Bullet 2"/>
    <w:basedOn w:val="BodyText"/>
    <w:rsid w:val="00D37AC2"/>
    <w:pPr>
      <w:numPr>
        <w:numId w:val="17"/>
      </w:numPr>
      <w:tabs>
        <w:tab w:val="clear" w:pos="644"/>
        <w:tab w:val="left" w:pos="680"/>
      </w:tabs>
      <w:spacing w:before="120"/>
      <w:ind w:left="680" w:hanging="340"/>
    </w:pPr>
  </w:style>
  <w:style w:type="paragraph" w:styleId="ListBullet3">
    <w:name w:val="List Bullet 3"/>
    <w:basedOn w:val="BodyText"/>
    <w:rsid w:val="00D37AC2"/>
    <w:pPr>
      <w:numPr>
        <w:numId w:val="18"/>
      </w:numPr>
      <w:tabs>
        <w:tab w:val="clear" w:pos="360"/>
        <w:tab w:val="left" w:pos="1021"/>
      </w:tabs>
      <w:spacing w:before="120"/>
      <w:ind w:left="1020"/>
    </w:pPr>
  </w:style>
  <w:style w:type="paragraph" w:styleId="ListNumber">
    <w:name w:val="List Number"/>
    <w:basedOn w:val="BodyText"/>
    <w:rsid w:val="005654D0"/>
    <w:pPr>
      <w:numPr>
        <w:numId w:val="28"/>
      </w:numPr>
      <w:spacing w:before="120"/>
    </w:pPr>
    <w:rPr>
      <w:lang w:eastAsia="en-AU"/>
    </w:rPr>
  </w:style>
  <w:style w:type="paragraph" w:styleId="ListNumber2">
    <w:name w:val="List Number 2"/>
    <w:basedOn w:val="ListNumber"/>
    <w:rsid w:val="000F2F5F"/>
    <w:pPr>
      <w:numPr>
        <w:ilvl w:val="1"/>
      </w:numPr>
      <w:tabs>
        <w:tab w:val="left" w:pos="794"/>
      </w:tabs>
    </w:pPr>
  </w:style>
  <w:style w:type="paragraph" w:styleId="ListNumber3">
    <w:name w:val="List Number 3"/>
    <w:basedOn w:val="ListNumber2"/>
    <w:rsid w:val="00D37AC2"/>
    <w:pPr>
      <w:numPr>
        <w:ilvl w:val="2"/>
      </w:numPr>
      <w:tabs>
        <w:tab w:val="clear" w:pos="794"/>
      </w:tabs>
    </w:pPr>
  </w:style>
  <w:style w:type="character" w:customStyle="1" w:styleId="NoteLabel">
    <w:name w:val="Note Label"/>
    <w:rPr>
      <w:rFonts w:ascii="Arial" w:hAnsi="Arial"/>
      <w:b/>
      <w:position w:val="6"/>
      <w:sz w:val="18"/>
    </w:rPr>
  </w:style>
  <w:style w:type="character" w:styleId="PageNumber">
    <w:name w:val="page number"/>
    <w:rsid w:val="00C0721B"/>
    <w:rPr>
      <w:rFonts w:ascii="Arial" w:hAnsi="Arial"/>
      <w:b/>
      <w:caps w:val="0"/>
      <w:smallCaps w:val="0"/>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qFormat/>
    <w:pPr>
      <w:spacing w:before="120" w:line="280" w:lineRule="exact"/>
      <w:ind w:left="340"/>
    </w:pPr>
    <w:rPr>
      <w:sz w:val="24"/>
    </w:rPr>
  </w:style>
  <w:style w:type="paragraph" w:customStyle="1" w:styleId="Rec">
    <w:name w:val="Rec"/>
    <w:basedOn w:val="BodyText"/>
    <w:pPr>
      <w:spacing w:before="180"/>
    </w:pPr>
    <w:rPr>
      <w:b/>
      <w:i/>
    </w:rPr>
  </w:style>
  <w:style w:type="paragraph" w:customStyle="1" w:styleId="RecBullet">
    <w:name w:val="Rec Bullet"/>
    <w:basedOn w:val="Rec"/>
    <w:pPr>
      <w:numPr>
        <w:numId w:val="20"/>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21"/>
      </w:numPr>
      <w:spacing w:before="80"/>
    </w:pPr>
  </w:style>
  <w:style w:type="paragraph" w:customStyle="1" w:styleId="RecBNoTitle">
    <w:name w:val="RecB NoTitle"/>
    <w:basedOn w:val="RecB"/>
    <w:pPr>
      <w:spacing w:before="240"/>
    </w:pPr>
  </w:style>
  <w:style w:type="paragraph" w:customStyle="1" w:styleId="Reference">
    <w:name w:val="Reference"/>
    <w:basedOn w:val="BodyText"/>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pPr>
      <w:framePr w:wrap="around"/>
      <w:numPr>
        <w:numId w:val="2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pPr>
      <w:numPr>
        <w:numId w:val="23"/>
      </w:numPr>
      <w:tabs>
        <w:tab w:val="left" w:pos="170"/>
      </w:tabs>
      <w:jc w:val="left"/>
    </w:pPr>
  </w:style>
  <w:style w:type="paragraph" w:customStyle="1" w:styleId="TableColumnHeading">
    <w:name w:val="Table Column Heading"/>
    <w:basedOn w:val="TableBodyText"/>
    <w:pPr>
      <w:spacing w:before="80" w:after="80"/>
    </w:pPr>
    <w:rPr>
      <w:i/>
    </w:rPr>
  </w:style>
  <w:style w:type="paragraph" w:styleId="TOC2">
    <w:name w:val="toc 2"/>
    <w:basedOn w:val="TOC1"/>
    <w:uiPriority w:val="39"/>
    <w:rsid w:val="00433C81"/>
    <w:pPr>
      <w:ind w:left="1020"/>
    </w:pPr>
    <w:rPr>
      <w:b w:val="0"/>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rsid w:val="00106041"/>
    <w:rPr>
      <w:b w:val="0"/>
    </w:rPr>
  </w:style>
  <w:style w:type="paragraph" w:customStyle="1" w:styleId="TableUnitsRow">
    <w:name w:val="Table Units Row"/>
    <w:basedOn w:val="TableBodyText"/>
    <w:pPr>
      <w:spacing w:before="80" w:after="80"/>
    </w:pPr>
  </w:style>
  <w:style w:type="paragraph" w:styleId="TOC1">
    <w:name w:val="toc 1"/>
    <w:basedOn w:val="Normal"/>
    <w:next w:val="TOC2"/>
    <w:uiPriority w:val="39"/>
    <w:rsid w:val="00D772E9"/>
    <w:pPr>
      <w:tabs>
        <w:tab w:val="right" w:pos="8789"/>
      </w:tabs>
      <w:spacing w:before="120" w:line="320" w:lineRule="exact"/>
      <w:ind w:left="510" w:right="851" w:hanging="510"/>
    </w:pPr>
    <w:rPr>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pPr>
      <w:numPr>
        <w:numId w:val="19"/>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link w:val="BodyText"/>
    <w:locked/>
    <w:rsid w:val="00D37AC2"/>
    <w:rPr>
      <w:sz w:val="26"/>
      <w:lang w:eastAsia="en-US"/>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3B41E0"/>
    <w:pPr>
      <w:tabs>
        <w:tab w:val="left" w:pos="866"/>
      </w:tabs>
      <w:spacing w:after="60"/>
    </w:pPr>
    <w:rPr>
      <w:rFonts w:ascii="GoudyOlSt BT" w:hAnsi="GoudyOlSt BT"/>
      <w:sz w:val="16"/>
      <w:lang w:eastAsia="en-AU"/>
    </w:rPr>
  </w:style>
  <w:style w:type="paragraph" w:styleId="Salutation">
    <w:name w:val="Salutation"/>
    <w:basedOn w:val="Normal"/>
    <w:next w:val="Normal"/>
    <w:link w:val="SalutationChar"/>
    <w:autoRedefine/>
    <w:rsid w:val="003B41E0"/>
    <w:rPr>
      <w:noProof/>
      <w:sz w:val="24"/>
      <w:lang w:eastAsia="en-AU"/>
    </w:rPr>
  </w:style>
  <w:style w:type="character" w:customStyle="1" w:styleId="SalutationChar">
    <w:name w:val="Salutation Char"/>
    <w:basedOn w:val="DefaultParagraphFont"/>
    <w:link w:val="Salutation"/>
    <w:rsid w:val="003B41E0"/>
    <w:rPr>
      <w:noProof/>
      <w:sz w:val="24"/>
    </w:rPr>
  </w:style>
  <w:style w:type="paragraph" w:customStyle="1" w:styleId="Signoff">
    <w:name w:val="Signoff"/>
    <w:basedOn w:val="Normal"/>
    <w:autoRedefine/>
    <w:rsid w:val="003B41E0"/>
    <w:pPr>
      <w:spacing w:before="480" w:after="1000"/>
    </w:pPr>
    <w:rPr>
      <w:sz w:val="24"/>
      <w:lang w:eastAsia="en-AU"/>
    </w:rPr>
  </w:style>
  <w:style w:type="paragraph" w:customStyle="1" w:styleId="LetterDate">
    <w:name w:val="Letter Date"/>
    <w:basedOn w:val="BodyText"/>
    <w:rsid w:val="003B41E0"/>
    <w:pPr>
      <w:spacing w:before="0" w:after="240" w:line="240" w:lineRule="auto"/>
      <w:ind w:left="-108"/>
      <w:jc w:val="left"/>
    </w:pPr>
    <w:rPr>
      <w:sz w:val="24"/>
      <w:lang w:eastAsia="en-AU"/>
    </w:rPr>
  </w:style>
  <w:style w:type="paragraph" w:customStyle="1" w:styleId="LetterAddress">
    <w:name w:val="Letter Address"/>
    <w:basedOn w:val="BodyText"/>
    <w:rsid w:val="003B41E0"/>
    <w:pPr>
      <w:spacing w:before="0" w:line="240" w:lineRule="auto"/>
      <w:jc w:val="left"/>
    </w:pPr>
    <w:rPr>
      <w:sz w:val="24"/>
      <w:lang w:eastAsia="en-AU"/>
    </w:rPr>
  </w:style>
  <w:style w:type="paragraph" w:customStyle="1" w:styleId="PCBoxHeading">
    <w:name w:val="PC Box Heading"/>
    <w:basedOn w:val="BodyText"/>
    <w:link w:val="PCBoxHeadingChar"/>
    <w:qFormat/>
    <w:rsid w:val="00F4234E"/>
    <w:pPr>
      <w:pBdr>
        <w:top w:val="single" w:sz="4" w:space="5" w:color="auto"/>
        <w:left w:val="single" w:sz="4" w:space="8" w:color="auto"/>
        <w:bottom w:val="single" w:sz="4" w:space="14" w:color="auto"/>
        <w:right w:val="single" w:sz="4" w:space="8" w:color="auto"/>
      </w:pBdr>
      <w:spacing w:before="120" w:line="240" w:lineRule="auto"/>
      <w:ind w:left="284" w:right="284"/>
    </w:pPr>
    <w:rPr>
      <w:b/>
      <w:i/>
      <w:sz w:val="24"/>
      <w:szCs w:val="24"/>
    </w:rPr>
  </w:style>
  <w:style w:type="paragraph" w:customStyle="1" w:styleId="PCBoxtext">
    <w:name w:val="PC Box text"/>
    <w:basedOn w:val="BodyText"/>
    <w:link w:val="PCBoxtextChar"/>
    <w:rsid w:val="00F4234E"/>
    <w:pPr>
      <w:pBdr>
        <w:top w:val="single" w:sz="4" w:space="5" w:color="auto"/>
        <w:left w:val="single" w:sz="4" w:space="8" w:color="auto"/>
        <w:bottom w:val="single" w:sz="4" w:space="14" w:color="auto"/>
        <w:right w:val="single" w:sz="4" w:space="8" w:color="auto"/>
      </w:pBdr>
      <w:spacing w:before="160" w:line="240" w:lineRule="auto"/>
      <w:ind w:left="284" w:right="284"/>
    </w:pPr>
    <w:rPr>
      <w:sz w:val="24"/>
      <w:szCs w:val="24"/>
    </w:rPr>
  </w:style>
  <w:style w:type="character" w:customStyle="1" w:styleId="PCBoxHeadingChar">
    <w:name w:val="PC Box Heading Char"/>
    <w:basedOn w:val="BodyTextChar"/>
    <w:link w:val="PCBoxHeading"/>
    <w:rsid w:val="00F4234E"/>
    <w:rPr>
      <w:b/>
      <w:i/>
      <w:sz w:val="24"/>
      <w:szCs w:val="24"/>
      <w:lang w:eastAsia="en-US"/>
    </w:rPr>
  </w:style>
  <w:style w:type="character" w:customStyle="1" w:styleId="PCBoxtextChar">
    <w:name w:val="PC Box text Char"/>
    <w:basedOn w:val="BodyTextChar"/>
    <w:link w:val="PCBoxtext"/>
    <w:rsid w:val="00F4234E"/>
    <w:rPr>
      <w:sz w:val="24"/>
      <w:szCs w:val="24"/>
      <w:lang w:eastAsia="en-US"/>
    </w:rPr>
  </w:style>
  <w:style w:type="character" w:styleId="Hyperlink">
    <w:name w:val="Hyperlink"/>
    <w:basedOn w:val="DefaultParagraphFont"/>
    <w:unhideWhenUsed/>
    <w:rsid w:val="00CD5E6B"/>
    <w:rPr>
      <w:rFonts w:ascii="Times New Roman" w:hAnsi="Times New Roman" w:cs="Times New Roman" w:hint="default"/>
      <w:color w:val="000000"/>
      <w:u w:val="single"/>
    </w:rPr>
  </w:style>
  <w:style w:type="table" w:styleId="TableGrid">
    <w:name w:val="Table Grid"/>
    <w:basedOn w:val="TableNormal"/>
    <w:rsid w:val="009811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oterChar">
    <w:name w:val="Footer Char"/>
    <w:basedOn w:val="DefaultParagraphFont"/>
    <w:link w:val="Footer"/>
    <w:rsid w:val="009811F8"/>
    <w:rPr>
      <w:caps/>
      <w:spacing w:val="-4"/>
      <w:sz w:val="16"/>
      <w:lang w:eastAsia="en-US"/>
    </w:rPr>
  </w:style>
  <w:style w:type="character" w:customStyle="1" w:styleId="Heading1Char">
    <w:name w:val="Heading 1 Char"/>
    <w:basedOn w:val="DefaultParagraphFont"/>
    <w:link w:val="Heading1"/>
    <w:rsid w:val="009811F8"/>
    <w:rPr>
      <w:kern w:val="28"/>
      <w:sz w:val="5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126295">
      <w:bodyDiv w:val="1"/>
      <w:marLeft w:val="0"/>
      <w:marRight w:val="0"/>
      <w:marTop w:val="0"/>
      <w:marBottom w:val="0"/>
      <w:divBdr>
        <w:top w:val="none" w:sz="0" w:space="0" w:color="auto"/>
        <w:left w:val="none" w:sz="0" w:space="0" w:color="auto"/>
        <w:bottom w:val="none" w:sz="0" w:space="0" w:color="auto"/>
        <w:right w:val="none" w:sz="0" w:space="0" w:color="auto"/>
      </w:divBdr>
    </w:div>
    <w:div w:id="73478255">
      <w:bodyDiv w:val="1"/>
      <w:marLeft w:val="0"/>
      <w:marRight w:val="0"/>
      <w:marTop w:val="0"/>
      <w:marBottom w:val="0"/>
      <w:divBdr>
        <w:top w:val="none" w:sz="0" w:space="0" w:color="auto"/>
        <w:left w:val="none" w:sz="0" w:space="0" w:color="auto"/>
        <w:bottom w:val="none" w:sz="0" w:space="0" w:color="auto"/>
        <w:right w:val="none" w:sz="0" w:space="0" w:color="auto"/>
      </w:divBdr>
    </w:div>
    <w:div w:id="739518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header" Target="header5.xml"/><Relationship Id="rId26" Type="http://schemas.openxmlformats.org/officeDocument/2006/relationships/header" Target="header9.xml"/><Relationship Id="rId3" Type="http://schemas.microsoft.com/office/2007/relationships/stylesWithEffects" Target="stylesWithEffects.xml"/><Relationship Id="rId21" Type="http://schemas.openxmlformats.org/officeDocument/2006/relationships/footer" Target="footer6.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footer" Target="footer8.xml"/><Relationship Id="rId2" Type="http://schemas.openxmlformats.org/officeDocument/2006/relationships/styles" Target="styles.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footer" Target="footer10.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7.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8.xml"/><Relationship Id="rId28" Type="http://schemas.openxmlformats.org/officeDocument/2006/relationships/footer" Target="footer9.xml"/><Relationship Id="rId10" Type="http://schemas.openxmlformats.org/officeDocument/2006/relationships/header" Target="header1.xml"/><Relationship Id="rId19" Type="http://schemas.openxmlformats.org/officeDocument/2006/relationships/header" Target="header6.xm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header" Target="header10.xm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prelim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prelims.dotm</Template>
  <TotalTime>4</TotalTime>
  <Pages>21</Pages>
  <Words>2901</Words>
  <Characters>17007</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Productivity Commission</vt:lpstr>
    </vt:vector>
  </TitlesOfParts>
  <Company>Productivity Commission</Company>
  <LinksUpToDate>false</LinksUpToDate>
  <CharactersWithSpaces>19869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Productivity Commission</dc:title>
  <dc:creator/>
  <cp:lastModifiedBy>Productivity Commission</cp:lastModifiedBy>
  <cp:revision>6</cp:revision>
  <cp:lastPrinted>2013-04-11T03:27:00Z</cp:lastPrinted>
  <dcterms:created xsi:type="dcterms:W3CDTF">2013-04-17T23:02:00Z</dcterms:created>
  <dcterms:modified xsi:type="dcterms:W3CDTF">2013-04-23T03:20:00Z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-136555479</vt:i4>
  </property>
  <property fmtid="{D5CDD505-2E9C-101B-9397-08002B2CF9AE}" pid="3" name="_NewReviewCycle">
    <vt:lpwstr/>
  </property>
  <property fmtid="{D5CDD505-2E9C-101B-9397-08002B2CF9AE}" pid="4" name="_EmailSubject">
    <vt:lpwstr>web files - Electricity final report</vt:lpwstr>
  </property>
  <property fmtid="{D5CDD505-2E9C-101B-9397-08002B2CF9AE}" pid="5" name="_AuthorEmail">
    <vt:lpwstr>Louise.Jordan@pc.gov.au</vt:lpwstr>
  </property>
  <property fmtid="{D5CDD505-2E9C-101B-9397-08002B2CF9AE}" pid="6" name="_AuthorEmailDisplayName">
    <vt:lpwstr>Jordan, Louise</vt:lpwstr>
  </property>
  <property fmtid="{D5CDD505-2E9C-101B-9397-08002B2CF9AE}" pid="7" name="_ReviewingToolsShownOnce">
    <vt:lpwstr/>
  </property>
</Properties>
</file>