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E8C" w:rsidRDefault="00963E8C" w:rsidP="000D4280">
      <w:pPr>
        <w:pStyle w:val="PartNumber"/>
      </w:pPr>
      <w:bookmarkStart w:id="0" w:name="_GoBack"/>
      <w:bookmarkEnd w:id="0"/>
    </w:p>
    <w:tbl>
      <w:tblPr>
        <w:tblW w:w="0" w:type="auto"/>
        <w:tblLayout w:type="fixed"/>
        <w:tblCellMar>
          <w:left w:w="0" w:type="dxa"/>
          <w:right w:w="0" w:type="dxa"/>
        </w:tblCellMar>
        <w:tblLook w:val="0000" w:firstRow="0" w:lastRow="0" w:firstColumn="0" w:lastColumn="0" w:noHBand="0" w:noVBand="0"/>
      </w:tblPr>
      <w:tblGrid>
        <w:gridCol w:w="6634"/>
        <w:gridCol w:w="2155"/>
      </w:tblGrid>
      <w:tr w:rsidR="00963E8C" w:rsidTr="00951750">
        <w:tc>
          <w:tcPr>
            <w:tcW w:w="6634" w:type="dxa"/>
            <w:tcBorders>
              <w:top w:val="single" w:sz="6" w:space="0" w:color="auto"/>
            </w:tcBorders>
          </w:tcPr>
          <w:p w:rsidR="00963E8C" w:rsidRDefault="00963E8C" w:rsidP="00951750">
            <w:pPr>
              <w:pStyle w:val="PartDivider"/>
            </w:pPr>
          </w:p>
        </w:tc>
        <w:tc>
          <w:tcPr>
            <w:tcW w:w="2155" w:type="dxa"/>
            <w:tcBorders>
              <w:top w:val="single" w:sz="24" w:space="0" w:color="auto"/>
            </w:tcBorders>
          </w:tcPr>
          <w:p w:rsidR="00963E8C" w:rsidRDefault="00963E8C" w:rsidP="00951750">
            <w:pPr>
              <w:pStyle w:val="PartDivider"/>
            </w:pPr>
          </w:p>
        </w:tc>
      </w:tr>
    </w:tbl>
    <w:p w:rsidR="00963E8C" w:rsidRDefault="00963E8C" w:rsidP="00963E8C">
      <w:pPr>
        <w:pStyle w:val="PartDivider"/>
      </w:pPr>
    </w:p>
    <w:p w:rsidR="00963E8C" w:rsidRDefault="00963E8C" w:rsidP="00963E8C">
      <w:pPr>
        <w:pStyle w:val="PartTitle"/>
      </w:pPr>
      <w:r>
        <w:t>Overview</w:t>
      </w:r>
    </w:p>
    <w:p w:rsidR="00963E8C" w:rsidRDefault="00963E8C" w:rsidP="00963E8C">
      <w:pPr>
        <w:pStyle w:val="Heading1"/>
        <w:spacing w:before="0" w:after="240" w:line="360" w:lineRule="atLeast"/>
      </w:pPr>
      <w:r>
        <w:br w:type="page"/>
      </w:r>
    </w:p>
    <w:p w:rsidR="00A33DFF" w:rsidRDefault="00470B45" w:rsidP="005E3D6B">
      <w:pPr>
        <w:pStyle w:val="Heading1"/>
        <w:spacing w:before="0" w:after="240" w:line="360" w:lineRule="atLeast"/>
      </w:pPr>
      <w:r>
        <w:lastRenderedPageBreak/>
        <w:t>Overview</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55305">
        <w:tc>
          <w:tcPr>
            <w:tcW w:w="8771" w:type="dxa"/>
            <w:tcBorders>
              <w:top w:val="single" w:sz="6" w:space="0" w:color="auto"/>
              <w:bottom w:val="nil"/>
            </w:tcBorders>
          </w:tcPr>
          <w:p w:rsidR="00355305" w:rsidRPr="00355305" w:rsidRDefault="00355305">
            <w:pPr>
              <w:pStyle w:val="BoxTitle"/>
            </w:pPr>
            <w:bookmarkStart w:id="1" w:name="begin"/>
            <w:bookmarkEnd w:id="1"/>
            <w:r w:rsidRPr="00355305">
              <w:t>The main messages</w:t>
            </w:r>
          </w:p>
        </w:tc>
      </w:tr>
      <w:tr w:rsidR="00355305" w:rsidTr="00182089">
        <w:trPr>
          <w:cantSplit/>
        </w:trPr>
        <w:tc>
          <w:tcPr>
            <w:tcW w:w="8771" w:type="dxa"/>
            <w:tcBorders>
              <w:top w:val="nil"/>
              <w:left w:val="single" w:sz="6" w:space="0" w:color="auto"/>
              <w:bottom w:val="nil"/>
              <w:right w:val="single" w:sz="6" w:space="0" w:color="auto"/>
            </w:tcBorders>
          </w:tcPr>
          <w:p w:rsidR="0007764F" w:rsidRPr="00EB4ECF" w:rsidRDefault="00F5403F" w:rsidP="00FA13FB">
            <w:pPr>
              <w:pStyle w:val="BoxListBullet"/>
              <w:spacing w:before="100"/>
            </w:pPr>
            <w:r>
              <w:t>Average e</w:t>
            </w:r>
            <w:r w:rsidR="0007764F" w:rsidRPr="00EB4ECF">
              <w:t xml:space="preserve">lectricity prices </w:t>
            </w:r>
            <w:r w:rsidR="0007764F">
              <w:t xml:space="preserve">have risen by </w:t>
            </w:r>
            <w:r w:rsidR="006355E8">
              <w:t>70</w:t>
            </w:r>
            <w:r w:rsidR="0007764F">
              <w:t> per</w:t>
            </w:r>
            <w:r w:rsidR="00335788">
              <w:t> </w:t>
            </w:r>
            <w:r w:rsidR="0007764F">
              <w:t xml:space="preserve">cent in real terms </w:t>
            </w:r>
            <w:r w:rsidR="006355E8">
              <w:t>from June 2007</w:t>
            </w:r>
            <w:r w:rsidR="00857885">
              <w:t xml:space="preserve"> to December</w:t>
            </w:r>
            <w:r w:rsidR="00335788">
              <w:t> </w:t>
            </w:r>
            <w:r w:rsidR="00857885">
              <w:t>2012</w:t>
            </w:r>
            <w:r w:rsidR="0007764F" w:rsidRPr="00EB4ECF">
              <w:t xml:space="preserve">. </w:t>
            </w:r>
            <w:r w:rsidR="0007764F">
              <w:t>Spiralling</w:t>
            </w:r>
            <w:r w:rsidR="0007764F" w:rsidRPr="00EB4ECF">
              <w:t xml:space="preserve"> network costs </w:t>
            </w:r>
            <w:r>
              <w:t xml:space="preserve">in most states </w:t>
            </w:r>
            <w:r w:rsidR="0007764F" w:rsidRPr="00EB4ECF">
              <w:t>are the main contributor to these increases</w:t>
            </w:r>
            <w:r w:rsidR="0007764F">
              <w:t>, partly driven by inefficiencies in</w:t>
            </w:r>
            <w:r w:rsidR="0007764F" w:rsidRPr="00EB4ECF">
              <w:t xml:space="preserve"> </w:t>
            </w:r>
            <w:r w:rsidR="0007764F">
              <w:t>the industry and flaws in the regulatory environment</w:t>
            </w:r>
            <w:r w:rsidR="0007764F" w:rsidRPr="00EB4ECF">
              <w:t xml:space="preserve">. </w:t>
            </w:r>
          </w:p>
          <w:p w:rsidR="003D62DB" w:rsidRDefault="005D0A0E" w:rsidP="00FA13FB">
            <w:pPr>
              <w:pStyle w:val="BoxListBullet"/>
              <w:spacing w:before="100"/>
            </w:pPr>
            <w:r w:rsidRPr="005D0A0E">
              <w:t xml:space="preserve">These flaws require a fundamental nationally and consumer-focused </w:t>
            </w:r>
            <w:r>
              <w:t>package of reforms that removes</w:t>
            </w:r>
            <w:r w:rsidRPr="005D0A0E">
              <w:t xml:space="preserve"> the interlinked regulatory barriers to the efficiency of electricity networks. Reforms made in late 2012, including improvements to the regulatory rules, better resourcing of the regulator and greater representation of consumers, have only partly addressed these flaws.</w:t>
            </w:r>
          </w:p>
          <w:p w:rsidR="005D0A0E" w:rsidRDefault="005D0A0E" w:rsidP="00C532AB">
            <w:pPr>
              <w:pStyle w:val="BoxListBullet"/>
              <w:spacing w:before="100"/>
            </w:pPr>
            <w:r w:rsidRPr="005D0A0E">
              <w:t>Resolving benchmarking and interconnector problems will be a worthwhile addition to these recent reforms. But there remains a need for further significant policy changes to make a substantive difference to future electricity network prices, and to produce better outcomes for cons</w:t>
            </w:r>
            <w:r>
              <w:t xml:space="preserve">umers — </w:t>
            </w:r>
            <w:r w:rsidRPr="005D0A0E">
              <w:t>the latter being the primary objective of the regulatory arrangements. The changes needed include</w:t>
            </w:r>
            <w:r w:rsidR="000D4F79">
              <w:t>:</w:t>
            </w:r>
          </w:p>
          <w:p w:rsidR="003259D8" w:rsidRDefault="00C532AB" w:rsidP="00FA13FB">
            <w:pPr>
              <w:pStyle w:val="BoxListBullet2"/>
              <w:spacing w:line="260" w:lineRule="atLeast"/>
              <w:ind w:left="568" w:hanging="284"/>
            </w:pPr>
            <w:r>
              <w:t xml:space="preserve">modified </w:t>
            </w:r>
            <w:r w:rsidR="003259D8">
              <w:t>r</w:t>
            </w:r>
            <w:r w:rsidR="003259D8" w:rsidRPr="00EB4ECF">
              <w:t>eliability</w:t>
            </w:r>
            <w:r w:rsidR="003259D8">
              <w:t xml:space="preserve"> requirements</w:t>
            </w:r>
            <w:r>
              <w:t xml:space="preserve"> to promote efficiency</w:t>
            </w:r>
          </w:p>
          <w:p w:rsidR="002100A0" w:rsidRPr="00EB4ECF" w:rsidRDefault="00623FD9" w:rsidP="00FA13FB">
            <w:pPr>
              <w:pStyle w:val="BoxListBullet2"/>
              <w:spacing w:line="260" w:lineRule="atLeast"/>
              <w:ind w:left="568" w:hanging="284"/>
            </w:pPr>
            <w:r>
              <w:t>improved</w:t>
            </w:r>
            <w:r w:rsidR="00EB4ECF">
              <w:t xml:space="preserve"> d</w:t>
            </w:r>
            <w:r w:rsidR="00EB4ECF" w:rsidRPr="00EB4ECF">
              <w:t>emand management</w:t>
            </w:r>
          </w:p>
          <w:p w:rsidR="00EB4ECF" w:rsidRPr="00EB4ECF" w:rsidRDefault="003259D8" w:rsidP="00FA13FB">
            <w:pPr>
              <w:pStyle w:val="BoxListBullet2"/>
              <w:spacing w:line="260" w:lineRule="atLeast"/>
              <w:ind w:left="568" w:hanging="284"/>
            </w:pPr>
            <w:r>
              <w:t>more efficient planning of large transmission investments</w:t>
            </w:r>
          </w:p>
          <w:p w:rsidR="008836A4" w:rsidRDefault="00623FD9" w:rsidP="00FA13FB">
            <w:pPr>
              <w:pStyle w:val="BoxListBullet2"/>
              <w:spacing w:line="260" w:lineRule="atLeast"/>
              <w:ind w:left="568" w:hanging="284"/>
            </w:pPr>
            <w:r>
              <w:t xml:space="preserve">changes to </w:t>
            </w:r>
            <w:r w:rsidR="00781470">
              <w:t xml:space="preserve">state regulatory arrangements and network business </w:t>
            </w:r>
            <w:r w:rsidR="00EB4ECF">
              <w:t>o</w:t>
            </w:r>
            <w:r w:rsidR="00347EF2">
              <w:t>wnership</w:t>
            </w:r>
          </w:p>
          <w:p w:rsidR="00C532AB" w:rsidRDefault="00C532AB" w:rsidP="00FA13FB">
            <w:pPr>
              <w:pStyle w:val="BoxListBullet2"/>
              <w:spacing w:line="260" w:lineRule="atLeast"/>
              <w:ind w:left="568" w:hanging="284"/>
            </w:pPr>
            <w:r>
              <w:t>adding some urgency</w:t>
            </w:r>
            <w:r w:rsidRPr="005D0A0E">
              <w:t xml:space="preserve"> to the existing tardy reform process. </w:t>
            </w:r>
            <w:r>
              <w:t>T</w:t>
            </w:r>
            <w:r w:rsidRPr="005D0A0E">
              <w:t>he Standing Council on Energy and Resources needs to accelerate reforms — particularly for reliability and planning — which have been bogged down by successive reviews</w:t>
            </w:r>
            <w:r>
              <w:t xml:space="preserve">. Delays to reform cost consumers across the </w:t>
            </w:r>
            <w:r w:rsidR="004A4F0E">
              <w:t xml:space="preserve">National Electricity Market (NEM) </w:t>
            </w:r>
            <w:r>
              <w:t>hundreds of millions of dollars</w:t>
            </w:r>
            <w:r w:rsidR="00711B98">
              <w:t>.</w:t>
            </w:r>
          </w:p>
          <w:p w:rsidR="002B6B21" w:rsidRDefault="002B6B21" w:rsidP="00FA13FB">
            <w:pPr>
              <w:pStyle w:val="BoxListBullet"/>
              <w:spacing w:before="100"/>
            </w:pPr>
            <w:r>
              <w:t>The gains from a package of reforms are significant. Indicative estimates suggest:</w:t>
            </w:r>
          </w:p>
          <w:p w:rsidR="002B6B21" w:rsidRDefault="00D06EF0" w:rsidP="00FA13FB">
            <w:pPr>
              <w:pStyle w:val="BoxListBullet2"/>
              <w:spacing w:line="260" w:lineRule="atLeast"/>
              <w:ind w:left="568" w:hanging="284"/>
            </w:pPr>
            <w:r>
              <w:t>i</w:t>
            </w:r>
            <w:r w:rsidR="002B6B21">
              <w:t>n New South Wales alone, $1.1</w:t>
            </w:r>
            <w:r w:rsidR="0061019D">
              <w:t> </w:t>
            </w:r>
            <w:r w:rsidR="002B6B21">
              <w:t xml:space="preserve">billion in distribution network capital expenditure could be deferred until the next five year regulatory period by adopting a reliability framework that takes into account consumers’ preferences for reliability. The actual </w:t>
            </w:r>
            <w:r>
              <w:t>savings are likely to be larger</w:t>
            </w:r>
          </w:p>
          <w:p w:rsidR="002B6B21" w:rsidRDefault="00D06EF0" w:rsidP="00FA13FB">
            <w:pPr>
              <w:pStyle w:val="BoxListBullet2"/>
              <w:spacing w:line="260" w:lineRule="atLeast"/>
              <w:ind w:left="568" w:hanging="284"/>
            </w:pPr>
            <w:r>
              <w:t>a</w:t>
            </w:r>
            <w:r w:rsidR="002B6B21">
              <w:t xml:space="preserve">dopting a different reliability framework for the </w:t>
            </w:r>
            <w:r w:rsidR="00DE6430">
              <w:t xml:space="preserve">transmission </w:t>
            </w:r>
            <w:r w:rsidR="002B6B21">
              <w:t>network could generate large efficiency gains in the order of $2.</w:t>
            </w:r>
            <w:r w:rsidR="004E5E56">
              <w:t>2 billion</w:t>
            </w:r>
            <w:r>
              <w:t xml:space="preserve"> to $3.8</w:t>
            </w:r>
            <w:r w:rsidR="00750FB3">
              <w:t> </w:t>
            </w:r>
            <w:r>
              <w:t>billion over 30</w:t>
            </w:r>
            <w:r w:rsidR="00750FB3">
              <w:t> </w:t>
            </w:r>
            <w:r>
              <w:t>years</w:t>
            </w:r>
          </w:p>
          <w:p w:rsidR="00347EF2" w:rsidRDefault="00D06EF0" w:rsidP="00FA13FB">
            <w:pPr>
              <w:pStyle w:val="BoxListBullet2"/>
              <w:spacing w:line="260" w:lineRule="atLeast"/>
              <w:ind w:left="568" w:hanging="284"/>
            </w:pPr>
            <w:r>
              <w:t>i</w:t>
            </w:r>
            <w:r w:rsidR="002B6B21">
              <w:t>f carefully implemented, critical peak pricing and the rollout of smart meters could produce average savings of around $100–$200 per household each year in regions with impending capacity constraints (after accounting for the costs of smart meters).</w:t>
            </w:r>
          </w:p>
          <w:p w:rsidR="003C076A" w:rsidRPr="00EB4ECF" w:rsidRDefault="003C076A" w:rsidP="00FA13FB">
            <w:pPr>
              <w:pStyle w:val="BoxListBullet"/>
              <w:spacing w:before="100"/>
            </w:pPr>
            <w:r w:rsidRPr="00EB4ECF">
              <w:t xml:space="preserve">Reliability is critical to electricity networks, but </w:t>
            </w:r>
            <w:r>
              <w:t>some consumers</w:t>
            </w:r>
            <w:r w:rsidRPr="00EB4ECF">
              <w:t xml:space="preserve"> are </w:t>
            </w:r>
            <w:r>
              <w:t>forced to pay</w:t>
            </w:r>
            <w:r w:rsidRPr="00EB4ECF">
              <w:t xml:space="preserve"> </w:t>
            </w:r>
            <w:r>
              <w:t xml:space="preserve">for higher </w:t>
            </w:r>
            <w:r w:rsidRPr="00EB4ECF">
              <w:t xml:space="preserve">reliability </w:t>
            </w:r>
            <w:r>
              <w:t>than they value.</w:t>
            </w:r>
            <w:r w:rsidRPr="00EB4ECF">
              <w:t xml:space="preserve"> </w:t>
            </w:r>
          </w:p>
          <w:p w:rsidR="00E848CE" w:rsidRPr="00654388" w:rsidRDefault="003C076A" w:rsidP="00C532AB">
            <w:pPr>
              <w:pStyle w:val="BoxListBullet2"/>
              <w:spacing w:line="260" w:lineRule="atLeast"/>
              <w:ind w:left="568" w:hanging="284"/>
            </w:pPr>
            <w:r>
              <w:t>R</w:t>
            </w:r>
            <w:r w:rsidRPr="00EB4ECF">
              <w:t xml:space="preserve">eliability </w:t>
            </w:r>
            <w:r>
              <w:t>decisions</w:t>
            </w:r>
            <w:r w:rsidRPr="00EB4ECF">
              <w:t xml:space="preserve"> should be based on </w:t>
            </w:r>
            <w:r>
              <w:t>trading off the costs of achieving them</w:t>
            </w:r>
            <w:r w:rsidRPr="00EB4ECF">
              <w:t xml:space="preserve"> </w:t>
            </w:r>
            <w:r w:rsidR="00C532AB">
              <w:t>against</w:t>
            </w:r>
            <w:r>
              <w:t xml:space="preserve"> </w:t>
            </w:r>
            <w:r w:rsidRPr="00EB4ECF">
              <w:t xml:space="preserve">what customers </w:t>
            </w:r>
            <w:r>
              <w:t>are willing to</w:t>
            </w:r>
            <w:r w:rsidRPr="00EB4ECF">
              <w:t xml:space="preserve"> </w:t>
            </w:r>
            <w:r>
              <w:t>pay</w:t>
            </w:r>
            <w:r w:rsidRPr="00EB4ECF">
              <w:t xml:space="preserve">, rather than </w:t>
            </w:r>
            <w:r>
              <w:t>by prescriptive (sometimes politically influenced) standards.</w:t>
            </w:r>
          </w:p>
        </w:tc>
      </w:tr>
      <w:tr w:rsidR="00355305" w:rsidTr="00182089">
        <w:tc>
          <w:tcPr>
            <w:tcW w:w="8771" w:type="dxa"/>
            <w:tcBorders>
              <w:top w:val="nil"/>
              <w:left w:val="single" w:sz="4" w:space="0" w:color="auto"/>
              <w:bottom w:val="single" w:sz="4" w:space="0" w:color="auto"/>
              <w:right w:val="single" w:sz="4" w:space="0" w:color="auto"/>
            </w:tcBorders>
          </w:tcPr>
          <w:p w:rsidR="00355305" w:rsidRDefault="00355305">
            <w:pPr>
              <w:pStyle w:val="Box"/>
              <w:keepNext w:val="0"/>
              <w:spacing w:before="60" w:after="60" w:line="80" w:lineRule="exact"/>
              <w:rPr>
                <w:b/>
                <w:color w:val="FF00FF"/>
                <w:sz w:val="14"/>
              </w:rPr>
            </w:pPr>
          </w:p>
        </w:tc>
      </w:tr>
      <w:tr w:rsidR="00573CE7" w:rsidTr="00654388">
        <w:trPr>
          <w:cantSplit/>
        </w:trPr>
        <w:tc>
          <w:tcPr>
            <w:tcW w:w="8771" w:type="dxa"/>
            <w:tcBorders>
              <w:top w:val="single" w:sz="4" w:space="0" w:color="auto"/>
              <w:left w:val="single" w:sz="6" w:space="0" w:color="auto"/>
              <w:bottom w:val="nil"/>
              <w:right w:val="single" w:sz="6" w:space="0" w:color="auto"/>
            </w:tcBorders>
          </w:tcPr>
          <w:p w:rsidR="003A4935" w:rsidRDefault="003C076A" w:rsidP="003C076A">
            <w:pPr>
              <w:pStyle w:val="BoxListBullet"/>
            </w:pPr>
            <w:r>
              <w:lastRenderedPageBreak/>
              <w:t xml:space="preserve">A large share </w:t>
            </w:r>
            <w:r w:rsidR="00C532AB">
              <w:t xml:space="preserve">(in </w:t>
            </w:r>
            <w:r w:rsidR="00882BEF">
              <w:t>New South Wales</w:t>
            </w:r>
            <w:r w:rsidR="00C532AB">
              <w:t xml:space="preserve">, some 25 per cent) </w:t>
            </w:r>
            <w:r>
              <w:t>of retail electricity bills</w:t>
            </w:r>
            <w:r w:rsidRPr="00EB4ECF">
              <w:t xml:space="preserve"> </w:t>
            </w:r>
            <w:r>
              <w:t>is</w:t>
            </w:r>
            <w:r w:rsidRPr="00EB4ECF">
              <w:t xml:space="preserve"> required to meet </w:t>
            </w:r>
            <w:r>
              <w:t>a few </w:t>
            </w:r>
            <w:r w:rsidR="00C532AB">
              <w:t xml:space="preserve">(around 40) </w:t>
            </w:r>
            <w:r w:rsidRPr="00EB4ECF">
              <w:t xml:space="preserve">hours of </w:t>
            </w:r>
            <w:r>
              <w:t>very high (‘</w:t>
            </w:r>
            <w:r w:rsidRPr="00EB4ECF">
              <w:t>critical peak</w:t>
            </w:r>
            <w:r>
              <w:t>’)</w:t>
            </w:r>
            <w:r w:rsidRPr="00EB4ECF">
              <w:t xml:space="preserve"> demand each year. </w:t>
            </w:r>
            <w:r w:rsidR="003A4935" w:rsidRPr="00EB4ECF">
              <w:t>Avoiding this requires a phased and coordinated suite of reforms</w:t>
            </w:r>
            <w:r w:rsidR="003A4935">
              <w:t>,</w:t>
            </w:r>
            <w:r w:rsidR="003A4935" w:rsidRPr="00EB4ECF">
              <w:t xml:space="preserve"> including consumer consultation, </w:t>
            </w:r>
            <w:r w:rsidR="003A4935">
              <w:t xml:space="preserve">the </w:t>
            </w:r>
            <w:r w:rsidR="003A4935" w:rsidRPr="00EB4ECF">
              <w:t xml:space="preserve">removal of retail </w:t>
            </w:r>
            <w:r w:rsidR="003A4935">
              <w:t>price regulation</w:t>
            </w:r>
            <w:r w:rsidR="003A4935" w:rsidRPr="00EB4ECF">
              <w:t xml:space="preserve">, </w:t>
            </w:r>
            <w:r w:rsidR="003A4935">
              <w:t xml:space="preserve">and the staged </w:t>
            </w:r>
            <w:r w:rsidR="003A4935" w:rsidRPr="00EB4ECF">
              <w:t>introduction of smart meters</w:t>
            </w:r>
            <w:r w:rsidR="003A4935">
              <w:t>,</w:t>
            </w:r>
            <w:r w:rsidR="003A4935" w:rsidRPr="00EB4ECF">
              <w:t xml:space="preserve"> </w:t>
            </w:r>
            <w:r w:rsidR="003A4935">
              <w:t>accompanied by</w:t>
            </w:r>
            <w:r w:rsidR="003A4935" w:rsidRPr="00EB4ECF">
              <w:t xml:space="preserve"> time</w:t>
            </w:r>
            <w:r w:rsidR="003A4935">
              <w:noBreakHyphen/>
            </w:r>
            <w:r w:rsidR="003A4935" w:rsidRPr="00EB4ECF">
              <w:t>based pricing</w:t>
            </w:r>
            <w:r w:rsidR="003A4935">
              <w:t xml:space="preserve"> for critical peak periods</w:t>
            </w:r>
            <w:r w:rsidR="003A4935" w:rsidRPr="00EB4ECF">
              <w:t>.</w:t>
            </w:r>
          </w:p>
          <w:p w:rsidR="00AC7A91" w:rsidRDefault="00AC7A91" w:rsidP="00AC7A91">
            <w:pPr>
              <w:pStyle w:val="BoxListBullet2"/>
            </w:pPr>
            <w:r>
              <w:t xml:space="preserve">This </w:t>
            </w:r>
            <w:r w:rsidRPr="00EB4ECF">
              <w:t xml:space="preserve">would </w:t>
            </w:r>
            <w:r>
              <w:t>defer</w:t>
            </w:r>
            <w:r w:rsidRPr="00EB4ECF">
              <w:t xml:space="preserve"> </w:t>
            </w:r>
            <w:r>
              <w:t>costly</w:t>
            </w:r>
            <w:r w:rsidRPr="00EB4ECF">
              <w:t xml:space="preserve"> </w:t>
            </w:r>
            <w:r>
              <w:t>investment, ease price pressures on customers, and reduce the large hidden cross</w:t>
            </w:r>
            <w:r>
              <w:noBreakHyphen/>
              <w:t>subsidies effectively paid by (often lower</w:t>
            </w:r>
            <w:r>
              <w:noBreakHyphen/>
              <w:t xml:space="preserve">income) people who do not </w:t>
            </w:r>
            <w:r w:rsidRPr="00EB4ECF">
              <w:t xml:space="preserve">heavily use </w:t>
            </w:r>
            <w:r>
              <w:t xml:space="preserve">power </w:t>
            </w:r>
            <w:r w:rsidRPr="00EB4ECF">
              <w:t>in peak times</w:t>
            </w:r>
            <w:r>
              <w:t>, to those who do.</w:t>
            </w:r>
            <w:r w:rsidRPr="00EB4ECF">
              <w:t xml:space="preserve"> </w:t>
            </w:r>
          </w:p>
          <w:p w:rsidR="00AC7A91" w:rsidRDefault="00AC7A91" w:rsidP="00AC7A91">
            <w:pPr>
              <w:pStyle w:val="BoxListBullet"/>
            </w:pPr>
            <w:r>
              <w:t>Rolling out smart meters would also produce major savings in network operating costs — such as through remote meter reading and fault detection.</w:t>
            </w:r>
          </w:p>
          <w:p w:rsidR="00B9480D" w:rsidRDefault="00AC7A91" w:rsidP="003C076A">
            <w:pPr>
              <w:pStyle w:val="BoxListBullet2"/>
            </w:pPr>
            <w:r w:rsidRPr="00B12A7C">
              <w:t>The Commission is proposing a process that learns from the experience of the Victorian smart meter rollout, and that will genuinely benefit consumers</w:t>
            </w:r>
            <w:r w:rsidR="003C076A">
              <w:t>.</w:t>
            </w:r>
          </w:p>
          <w:p w:rsidR="00EA6504" w:rsidRDefault="00EA6504" w:rsidP="00B9480D">
            <w:pPr>
              <w:pStyle w:val="BoxListBullet"/>
              <w:spacing w:before="100" w:line="260" w:lineRule="atLeast"/>
            </w:pPr>
            <w:r>
              <w:t>State</w:t>
            </w:r>
            <w:r w:rsidR="00BC771F">
              <w:t>-</w:t>
            </w:r>
            <w:r>
              <w:t>owned network businesses have conflicting objectives</w:t>
            </w:r>
            <w:r w:rsidR="004F0C48">
              <w:t xml:space="preserve">, which </w:t>
            </w:r>
            <w:r w:rsidR="00B12A7C">
              <w:t>reduce</w:t>
            </w:r>
            <w:r w:rsidR="004F0C48">
              <w:t xml:space="preserve"> their efficiency and </w:t>
            </w:r>
            <w:r w:rsidR="00F30880">
              <w:t xml:space="preserve">undermine </w:t>
            </w:r>
            <w:r w:rsidR="004F0C48">
              <w:t xml:space="preserve">the effectiveness of incentive regulation. Their </w:t>
            </w:r>
            <w:r w:rsidR="00711B98">
              <w:t>privately</w:t>
            </w:r>
            <w:r w:rsidR="00C532AB">
              <w:t>-owned</w:t>
            </w:r>
            <w:r w:rsidR="004F0C48">
              <w:t xml:space="preserve"> counterparts are better at efficiently meeting the long</w:t>
            </w:r>
            <w:r w:rsidR="00750FB3">
              <w:noBreakHyphen/>
            </w:r>
            <w:r w:rsidR="004F0C48">
              <w:t>term interests of their customers.</w:t>
            </w:r>
          </w:p>
          <w:p w:rsidR="00C50D19" w:rsidRDefault="00EA6504" w:rsidP="003B76E3">
            <w:pPr>
              <w:pStyle w:val="BoxListBullet2"/>
            </w:pPr>
            <w:r>
              <w:t>State-owned network b</w:t>
            </w:r>
            <w:r w:rsidR="003B76E3">
              <w:t>usinesses should be privatised.</w:t>
            </w:r>
          </w:p>
          <w:p w:rsidR="003B76E3" w:rsidRDefault="005973F9" w:rsidP="000A7C1E">
            <w:pPr>
              <w:pStyle w:val="BoxListBullet"/>
              <w:spacing w:before="100" w:line="260" w:lineRule="atLeast"/>
            </w:pPr>
            <w:r>
              <w:t xml:space="preserve">The efficiency and effectiveness of </w:t>
            </w:r>
            <w:r w:rsidR="003B76E3">
              <w:t>recently announced reforms</w:t>
            </w:r>
            <w:r>
              <w:t xml:space="preserve"> could be enhanced.</w:t>
            </w:r>
          </w:p>
          <w:p w:rsidR="00C50D19" w:rsidRDefault="00471A43" w:rsidP="00471A43">
            <w:pPr>
              <w:pStyle w:val="BoxListBullet2"/>
            </w:pPr>
            <w:r w:rsidRPr="00471A43">
              <w:t xml:space="preserve">Given their overlapping roles, the three fully-funded consumer advocacy bodies </w:t>
            </w:r>
            <w:r w:rsidR="00331427">
              <w:t xml:space="preserve">in the NEM </w:t>
            </w:r>
            <w:r w:rsidRPr="00471A43">
              <w:t xml:space="preserve">should be ultimately amalgamated into a single statutory body that would act on behalf of all consumers. It should be </w:t>
            </w:r>
            <w:r w:rsidR="00A65216" w:rsidRPr="00471A43">
              <w:t>fully funded</w:t>
            </w:r>
            <w:r w:rsidRPr="00471A43">
              <w:t xml:space="preserve"> through an industry levy, and have the required expertise to play a leading, but not exclusive, role in representing customers in all regulatory processes. Partial funding — on a contestable basis — should continue for individual advocacy groups.</w:t>
            </w:r>
          </w:p>
          <w:p w:rsidR="00DC47EC" w:rsidRDefault="00711B98" w:rsidP="00B9480D">
            <w:pPr>
              <w:pStyle w:val="BoxListBullet2"/>
              <w:spacing w:line="240" w:lineRule="atLeast"/>
              <w:ind w:left="568" w:hanging="284"/>
            </w:pPr>
            <w:r>
              <w:t xml:space="preserve">A review of the </w:t>
            </w:r>
            <w:r w:rsidR="004A4F0E">
              <w:t xml:space="preserve">Australian Energy Regulator </w:t>
            </w:r>
            <w:r>
              <w:t xml:space="preserve">is proposed for 2014. </w:t>
            </w:r>
            <w:r w:rsidR="009A49DD">
              <w:t>T</w:t>
            </w:r>
            <w:r w:rsidR="00DC47EC">
              <w:t xml:space="preserve">he </w:t>
            </w:r>
            <w:r w:rsidR="004A4F0E">
              <w:t>Australian Energy Market Commission</w:t>
            </w:r>
            <w:r w:rsidR="00DC47EC">
              <w:t xml:space="preserve">, </w:t>
            </w:r>
            <w:r w:rsidR="004A4F0E">
              <w:t xml:space="preserve">the Australian Energy Market Operator </w:t>
            </w:r>
            <w:r w:rsidR="00DC47EC">
              <w:t xml:space="preserve">and the new consumer representative body should also be reviewed </w:t>
            </w:r>
            <w:r w:rsidR="00366710">
              <w:t>by 2018</w:t>
            </w:r>
            <w:r w:rsidR="009F1444">
              <w:t xml:space="preserve"> so that the scope for improvement in all of the main </w:t>
            </w:r>
            <w:r w:rsidR="004A4F0E">
              <w:t xml:space="preserve">NEM </w:t>
            </w:r>
            <w:r w:rsidR="009F1444">
              <w:t>institutions will have been assessed.</w:t>
            </w:r>
          </w:p>
          <w:p w:rsidR="00EB4ECF" w:rsidRDefault="00641CDD" w:rsidP="000A7C1E">
            <w:pPr>
              <w:pStyle w:val="BoxListBullet"/>
              <w:spacing w:before="100" w:line="260" w:lineRule="atLeast"/>
            </w:pPr>
            <w:r>
              <w:t>At this stage, benchmarking — which compares the relative performance of businesses — is too unreliable to set regulated revenue allowance</w:t>
            </w:r>
            <w:r w:rsidR="00C50D19">
              <w:t>s. Nevertheless, greater and more effective use of benchmarking could</w:t>
            </w:r>
            <w:r w:rsidR="00EB4ECF">
              <w:t xml:space="preserve"> </w:t>
            </w:r>
            <w:r w:rsidR="00C50D19">
              <w:t>better inform the regulator’s decisions</w:t>
            </w:r>
            <w:r w:rsidR="000D4F79">
              <w:t>.</w:t>
            </w:r>
          </w:p>
          <w:p w:rsidR="00573CE7" w:rsidRDefault="00C50D19" w:rsidP="00AC7A91">
            <w:pPr>
              <w:pStyle w:val="BoxListBullet"/>
              <w:spacing w:before="100" w:line="260" w:lineRule="atLeast"/>
            </w:pPr>
            <w:r>
              <w:t xml:space="preserve">There is no evidence of insufficient capacity in the interconnectors carrying power between </w:t>
            </w:r>
            <w:r w:rsidR="005A56D9">
              <w:t>jurisdictions</w:t>
            </w:r>
            <w:r>
              <w:t xml:space="preserve">, as </w:t>
            </w:r>
            <w:r w:rsidR="00FD59CC">
              <w:t xml:space="preserve">is </w:t>
            </w:r>
            <w:r>
              <w:t xml:space="preserve">sometimes alleged. In fact, they are </w:t>
            </w:r>
            <w:r w:rsidR="003259D8">
              <w:t xml:space="preserve">sometimes </w:t>
            </w:r>
            <w:r>
              <w:t xml:space="preserve">underutilised because of perverse incentives </w:t>
            </w:r>
            <w:r w:rsidR="003259D8">
              <w:t xml:space="preserve">and design flaws </w:t>
            </w:r>
            <w:r>
              <w:t xml:space="preserve">created by the regulatory regime. </w:t>
            </w:r>
            <w:r w:rsidR="00EB4ECF">
              <w:t>Changes t</w:t>
            </w:r>
            <w:r>
              <w:t xml:space="preserve">o </w:t>
            </w:r>
            <w:r w:rsidR="003259D8">
              <w:t>the</w:t>
            </w:r>
            <w:r>
              <w:t xml:space="preserve"> </w:t>
            </w:r>
            <w:r w:rsidR="004A4F0E">
              <w:t xml:space="preserve">National Electricity Rules </w:t>
            </w:r>
            <w:r w:rsidR="000D4F79">
              <w:t xml:space="preserve">should </w:t>
            </w:r>
            <w:r>
              <w:t>address these</w:t>
            </w:r>
            <w:r w:rsidR="00EA6504">
              <w:t xml:space="preserve"> </w:t>
            </w:r>
            <w:r w:rsidR="003259D8">
              <w:t>problems</w:t>
            </w:r>
            <w:r>
              <w:t xml:space="preserve">. </w:t>
            </w:r>
          </w:p>
          <w:p w:rsidR="00EA6504" w:rsidRDefault="00EA6504" w:rsidP="000A7C1E">
            <w:pPr>
              <w:pStyle w:val="BoxListBullet"/>
              <w:spacing w:before="100" w:line="260" w:lineRule="atLeast"/>
            </w:pPr>
            <w:r>
              <w:t xml:space="preserve">In considering the benefits for consumers, it is important not to blame network businesses for the current inefficiencies. Mostly, they are </w:t>
            </w:r>
            <w:r w:rsidR="0030741F">
              <w:t>responding to</w:t>
            </w:r>
            <w:r>
              <w:t xml:space="preserve"> regulatory incentives and structures that impede their efficiency.</w:t>
            </w:r>
          </w:p>
        </w:tc>
      </w:tr>
      <w:tr w:rsidR="00573CE7" w:rsidTr="00B84C45">
        <w:trPr>
          <w:cantSplit/>
        </w:trPr>
        <w:tc>
          <w:tcPr>
            <w:tcW w:w="8771" w:type="dxa"/>
            <w:tcBorders>
              <w:top w:val="nil"/>
              <w:left w:val="single" w:sz="6" w:space="0" w:color="auto"/>
              <w:bottom w:val="single" w:sz="6" w:space="0" w:color="auto"/>
              <w:right w:val="single" w:sz="6" w:space="0" w:color="auto"/>
            </w:tcBorders>
          </w:tcPr>
          <w:p w:rsidR="00573CE7" w:rsidRDefault="00573CE7" w:rsidP="00B84C45">
            <w:pPr>
              <w:pStyle w:val="Box"/>
              <w:spacing w:before="0" w:line="120" w:lineRule="exact"/>
            </w:pPr>
          </w:p>
        </w:tc>
      </w:tr>
      <w:tr w:rsidR="00573CE7" w:rsidRPr="000863A5" w:rsidTr="00B84C45">
        <w:tc>
          <w:tcPr>
            <w:tcW w:w="8771" w:type="dxa"/>
            <w:tcBorders>
              <w:top w:val="nil"/>
              <w:left w:val="nil"/>
              <w:bottom w:val="nil"/>
              <w:right w:val="nil"/>
            </w:tcBorders>
          </w:tcPr>
          <w:p w:rsidR="00573CE7" w:rsidRPr="000863A5" w:rsidRDefault="00573CE7" w:rsidP="00B84C45">
            <w:pPr>
              <w:pStyle w:val="Box"/>
              <w:keepNext w:val="0"/>
              <w:spacing w:before="60" w:after="60" w:line="80" w:lineRule="exact"/>
              <w:rPr>
                <w:b/>
                <w:sz w:val="14"/>
              </w:rPr>
            </w:pPr>
          </w:p>
        </w:tc>
      </w:tr>
    </w:tbl>
    <w:p w:rsidR="008149CD" w:rsidRDefault="008149CD" w:rsidP="00DE5F8D">
      <w:pPr>
        <w:pStyle w:val="Heading2"/>
        <w:spacing w:before="300" w:line="240" w:lineRule="atLeast"/>
      </w:pPr>
      <w:r>
        <w:lastRenderedPageBreak/>
        <w:t xml:space="preserve">Why should we care about </w:t>
      </w:r>
      <w:r w:rsidR="00812B4D">
        <w:t>electricity networks</w:t>
      </w:r>
      <w:r>
        <w:t>?</w:t>
      </w:r>
    </w:p>
    <w:p w:rsidR="00573575" w:rsidRDefault="00573575" w:rsidP="00D967D6">
      <w:pPr>
        <w:pStyle w:val="BodyText"/>
      </w:pPr>
      <w:r>
        <w:t xml:space="preserve">The fundamental objective of the </w:t>
      </w:r>
      <w:r w:rsidR="004C7C58">
        <w:t>National Electricity Market</w:t>
      </w:r>
      <w:r w:rsidR="00DE5F8D">
        <w:t xml:space="preserve"> (NEM)</w:t>
      </w:r>
      <w:r w:rsidR="004C7C58">
        <w:t xml:space="preserve"> </w:t>
      </w:r>
      <w:r>
        <w:t>— the need for efficient investment in, and operation of, electricity networks in the long</w:t>
      </w:r>
      <w:r w:rsidR="00750FB3">
        <w:noBreakHyphen/>
      </w:r>
      <w:r>
        <w:t>term interests of consumers — has been frustrated by flaws in its (ever more) complex regulatory and institutional arrangements.</w:t>
      </w:r>
      <w:r w:rsidRPr="00A6053F">
        <w:t xml:space="preserve"> </w:t>
      </w:r>
      <w:r>
        <w:t xml:space="preserve">Indeed, at times, policy developments have been inimical to consumers’ interests, resulting in price rises that cannot be justified. </w:t>
      </w:r>
    </w:p>
    <w:p w:rsidR="00F611D7" w:rsidRDefault="00F611D7" w:rsidP="00F611D7">
      <w:pPr>
        <w:pStyle w:val="BodyText"/>
      </w:pPr>
      <w:r>
        <w:t>Nationwide, retail electricity pric</w:t>
      </w:r>
      <w:r w:rsidR="0060541A">
        <w:t>e</w:t>
      </w:r>
      <w:r w:rsidR="00E471E0">
        <w:t xml:space="preserve"> increases</w:t>
      </w:r>
      <w:r w:rsidR="0060541A">
        <w:t xml:space="preserve"> </w:t>
      </w:r>
      <w:r w:rsidR="00E471E0">
        <w:t>accelerated after</w:t>
      </w:r>
      <w:r w:rsidR="006355E8">
        <w:t xml:space="preserve"> June</w:t>
      </w:r>
      <w:r w:rsidR="009641E4">
        <w:t> </w:t>
      </w:r>
      <w:r w:rsidR="006355E8">
        <w:t>2007, rising by more than</w:t>
      </w:r>
      <w:r>
        <w:t xml:space="preserve"> </w:t>
      </w:r>
      <w:r w:rsidR="006355E8">
        <w:t>70</w:t>
      </w:r>
      <w:r>
        <w:t xml:space="preserve"> per cent in real terms </w:t>
      </w:r>
      <w:r w:rsidR="006355E8">
        <w:t xml:space="preserve">by </w:t>
      </w:r>
      <w:r w:rsidR="000C1D86">
        <w:t>December</w:t>
      </w:r>
      <w:r w:rsidR="008543D2">
        <w:t> </w:t>
      </w:r>
      <w:r>
        <w:t>2012</w:t>
      </w:r>
      <w:r w:rsidR="006355E8">
        <w:t xml:space="preserve"> (</w:t>
      </w:r>
      <w:r w:rsidR="00DE252B">
        <w:t>tho</w:t>
      </w:r>
      <w:r w:rsidR="006355E8">
        <w:t>ugh this varies by jurisdiction)</w:t>
      </w:r>
      <w:r>
        <w:t xml:space="preserve">. </w:t>
      </w:r>
      <w:r w:rsidR="0021073B">
        <w:t xml:space="preserve">The rising costs of the electricity network — </w:t>
      </w:r>
      <w:r w:rsidR="0021073B" w:rsidRPr="00A543A1">
        <w:t xml:space="preserve">the wires, poles and other infrastructure used to transport power from generators to </w:t>
      </w:r>
      <w:r w:rsidR="006D4A25">
        <w:t>consumers</w:t>
      </w:r>
      <w:r w:rsidR="0021073B">
        <w:t xml:space="preserve"> — have been a major driver of these prices.</w:t>
      </w:r>
      <w:r>
        <w:t xml:space="preserve"> </w:t>
      </w:r>
      <w:r w:rsidR="000B3B10">
        <w:t>Network costs are around 40</w:t>
      </w:r>
      <w:r w:rsidR="00D83473">
        <w:noBreakHyphen/>
      </w:r>
      <w:r w:rsidR="000B3B10">
        <w:t>50 per cent of an average household’s electricity bill, so a</w:t>
      </w:r>
      <w:r>
        <w:t>ny cost pressures on the network have a major impact</w:t>
      </w:r>
      <w:r w:rsidR="00FA0C31">
        <w:t xml:space="preserve"> on people</w:t>
      </w:r>
      <w:r w:rsidR="00550A4F">
        <w:t xml:space="preserve"> (figure 1)</w:t>
      </w:r>
      <w:r>
        <w:t xml:space="preserve">. </w:t>
      </w:r>
    </w:p>
    <w:p w:rsidR="00654388" w:rsidRDefault="00654388" w:rsidP="00654388">
      <w:pPr>
        <w:pStyle w:val="FigureTitle"/>
      </w:pPr>
      <w:r>
        <w:rPr>
          <w:b w:val="0"/>
        </w:rPr>
        <w:t xml:space="preserve">Figure </w:t>
      </w:r>
      <w:r w:rsidR="00B91ABD">
        <w:rPr>
          <w:b w:val="0"/>
          <w:noProof/>
        </w:rPr>
        <w:t>1</w:t>
      </w:r>
      <w:r>
        <w:tab/>
        <w:t>Price</w:t>
      </w:r>
      <w:r w:rsidR="00A73B78">
        <w:t>s have risen steeply</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295"/>
        <w:gridCol w:w="4482"/>
      </w:tblGrid>
      <w:tr w:rsidR="00654388" w:rsidTr="00571F3B">
        <w:tc>
          <w:tcPr>
            <w:tcW w:w="4295" w:type="dxa"/>
            <w:tcBorders>
              <w:right w:val="single" w:sz="4" w:space="0" w:color="auto"/>
            </w:tcBorders>
          </w:tcPr>
          <w:p w:rsidR="00654388" w:rsidRPr="00556F0A" w:rsidRDefault="00654388" w:rsidP="008543D2">
            <w:pPr>
              <w:pStyle w:val="Figure"/>
              <w:rPr>
                <w:rFonts w:ascii="Arial" w:hAnsi="Arial" w:cs="Arial"/>
                <w:sz w:val="20"/>
              </w:rPr>
            </w:pPr>
            <w:r w:rsidRPr="00556F0A">
              <w:rPr>
                <w:rFonts w:ascii="Arial" w:hAnsi="Arial" w:cs="Arial"/>
                <w:sz w:val="20"/>
              </w:rPr>
              <w:t>Capital city prices 1998</w:t>
            </w:r>
            <w:r w:rsidR="008543D2" w:rsidRPr="00556F0A">
              <w:rPr>
                <w:rFonts w:ascii="Arial" w:hAnsi="Arial" w:cs="Arial"/>
                <w:sz w:val="20"/>
              </w:rPr>
              <w:noBreakHyphen/>
            </w:r>
            <w:r w:rsidRPr="00556F0A">
              <w:rPr>
                <w:rFonts w:ascii="Arial" w:hAnsi="Arial" w:cs="Arial"/>
                <w:sz w:val="20"/>
              </w:rPr>
              <w:t>99 to 201</w:t>
            </w:r>
            <w:r w:rsidR="00893163" w:rsidRPr="00556F0A">
              <w:rPr>
                <w:rFonts w:ascii="Arial" w:hAnsi="Arial" w:cs="Arial"/>
                <w:sz w:val="20"/>
              </w:rPr>
              <w:t>2</w:t>
            </w:r>
            <w:r w:rsidR="008543D2" w:rsidRPr="00556F0A">
              <w:rPr>
                <w:rFonts w:ascii="Arial" w:hAnsi="Arial" w:cs="Arial"/>
                <w:sz w:val="20"/>
              </w:rPr>
              <w:noBreakHyphen/>
            </w:r>
            <w:r w:rsidRPr="00556F0A">
              <w:rPr>
                <w:rFonts w:ascii="Arial" w:hAnsi="Arial" w:cs="Arial"/>
                <w:sz w:val="20"/>
              </w:rPr>
              <w:t>1</w:t>
            </w:r>
            <w:r w:rsidR="00893163" w:rsidRPr="00556F0A">
              <w:rPr>
                <w:rFonts w:ascii="Arial" w:hAnsi="Arial" w:cs="Arial"/>
                <w:sz w:val="20"/>
              </w:rPr>
              <w:t>3 (forecast)</w:t>
            </w:r>
          </w:p>
        </w:tc>
        <w:tc>
          <w:tcPr>
            <w:tcW w:w="4482" w:type="dxa"/>
            <w:tcBorders>
              <w:left w:val="single" w:sz="4" w:space="0" w:color="auto"/>
            </w:tcBorders>
          </w:tcPr>
          <w:p w:rsidR="00654388" w:rsidRPr="00556F0A" w:rsidRDefault="00556F0A" w:rsidP="00571F3B">
            <w:pPr>
              <w:pStyle w:val="Figure"/>
              <w:rPr>
                <w:rFonts w:ascii="Arial" w:hAnsi="Arial" w:cs="Arial"/>
                <w:sz w:val="20"/>
              </w:rPr>
            </w:pPr>
            <w:r>
              <w:rPr>
                <w:rFonts w:ascii="Arial" w:hAnsi="Arial" w:cs="Arial"/>
                <w:sz w:val="20"/>
              </w:rPr>
              <w:t>New South Wales</w:t>
            </w:r>
            <w:r w:rsidR="00654388" w:rsidRPr="00556F0A">
              <w:rPr>
                <w:rFonts w:ascii="Arial" w:hAnsi="Arial" w:cs="Arial"/>
                <w:sz w:val="20"/>
              </w:rPr>
              <w:t xml:space="preserve"> household electricity bill 2007</w:t>
            </w:r>
            <w:r w:rsidR="00654388" w:rsidRPr="00556F0A">
              <w:rPr>
                <w:rFonts w:ascii="Arial" w:hAnsi="Arial" w:cs="Arial"/>
                <w:sz w:val="20"/>
              </w:rPr>
              <w:noBreakHyphen/>
              <w:t>08 and 2012</w:t>
            </w:r>
            <w:r w:rsidR="00654388" w:rsidRPr="00556F0A">
              <w:rPr>
                <w:rFonts w:ascii="Arial" w:hAnsi="Arial" w:cs="Arial"/>
                <w:sz w:val="20"/>
              </w:rPr>
              <w:noBreakHyphen/>
              <w:t>13</w:t>
            </w:r>
          </w:p>
        </w:tc>
      </w:tr>
      <w:tr w:rsidR="00654388" w:rsidTr="00891B80">
        <w:tc>
          <w:tcPr>
            <w:tcW w:w="4295" w:type="dxa"/>
            <w:tcBorders>
              <w:right w:val="single" w:sz="4" w:space="0" w:color="auto"/>
            </w:tcBorders>
          </w:tcPr>
          <w:p w:rsidR="00654388" w:rsidRDefault="00BA44E4" w:rsidP="00571F3B">
            <w:pPr>
              <w:pStyle w:val="Figure"/>
            </w:pPr>
            <w:r>
              <w:rPr>
                <w:noProof/>
              </w:rPr>
              <w:drawing>
                <wp:inline distT="0" distB="0" distL="0" distR="0" wp14:anchorId="1D3BA218" wp14:editId="13C6399B">
                  <wp:extent cx="2238232" cy="3219375"/>
                  <wp:effectExtent l="0" t="0" r="0" b="635"/>
                  <wp:docPr id="8" name="Picture 8" descr="Figure 1 Prices have risen steeply. This figure comprises of two charts. This first chart shows the changes in retail electricity price index, consumer price index and energy cost from 1998-99 to 201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34643" cy="3214213"/>
                          </a:xfrm>
                          <a:prstGeom prst="rect">
                            <a:avLst/>
                          </a:prstGeom>
                          <a:noFill/>
                        </pic:spPr>
                      </pic:pic>
                    </a:graphicData>
                  </a:graphic>
                </wp:inline>
              </w:drawing>
            </w:r>
          </w:p>
        </w:tc>
        <w:tc>
          <w:tcPr>
            <w:tcW w:w="4482" w:type="dxa"/>
            <w:tcBorders>
              <w:left w:val="single" w:sz="4" w:space="0" w:color="auto"/>
            </w:tcBorders>
          </w:tcPr>
          <w:p w:rsidR="00654388" w:rsidRDefault="00F51B69" w:rsidP="00571F3B">
            <w:pPr>
              <w:pStyle w:val="Figure"/>
            </w:pPr>
            <w:r>
              <w:rPr>
                <w:noProof/>
              </w:rPr>
              <w:drawing>
                <wp:inline distT="0" distB="0" distL="0" distR="0" wp14:anchorId="369C9C57" wp14:editId="312695D1">
                  <wp:extent cx="2571142" cy="3125338"/>
                  <wp:effectExtent l="0" t="0" r="635" b="0"/>
                  <wp:docPr id="6" name="Picture 6" descr="Figure 1 Prices have risen steeply. This figure comprises of two charts. This second chart compares the components and total price of a household energy bill in New South Wales between 2007-08 and 201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72973" cy="3127563"/>
                          </a:xfrm>
                          <a:prstGeom prst="rect">
                            <a:avLst/>
                          </a:prstGeom>
                          <a:noFill/>
                        </pic:spPr>
                      </pic:pic>
                    </a:graphicData>
                  </a:graphic>
                </wp:inline>
              </w:drawing>
            </w:r>
          </w:p>
        </w:tc>
      </w:tr>
    </w:tbl>
    <w:p w:rsidR="0021073B" w:rsidRDefault="00E604AA" w:rsidP="00186055">
      <w:pPr>
        <w:pStyle w:val="BodyText"/>
      </w:pPr>
      <w:r>
        <w:t xml:space="preserve">Given </w:t>
      </w:r>
      <w:r w:rsidR="00EC6BFB">
        <w:t xml:space="preserve">that networks are a </w:t>
      </w:r>
      <w:r>
        <w:t xml:space="preserve">natural monopoly, </w:t>
      </w:r>
      <w:r w:rsidR="004C30B0">
        <w:t xml:space="preserve">economic </w:t>
      </w:r>
      <w:r>
        <w:t>r</w:t>
      </w:r>
      <w:r w:rsidR="00D55AE9">
        <w:t>egulation</w:t>
      </w:r>
      <w:r w:rsidR="00EC6581">
        <w:t xml:space="preserve"> </w:t>
      </w:r>
      <w:r w:rsidR="005F7AE8">
        <w:t xml:space="preserve">(and its varying supporting institutions) </w:t>
      </w:r>
      <w:r w:rsidR="00C12F38">
        <w:t xml:space="preserve">will need to play a continuing role </w:t>
      </w:r>
      <w:r w:rsidR="005F7AE8">
        <w:t>in networks</w:t>
      </w:r>
      <w:r w:rsidR="00FF5C62">
        <w:t>. This</w:t>
      </w:r>
      <w:r w:rsidR="00C12F38">
        <w:t xml:space="preserve"> is why </w:t>
      </w:r>
      <w:r w:rsidR="00E5572D">
        <w:t>it</w:t>
      </w:r>
      <w:r w:rsidR="00C12F38">
        <w:t xml:space="preserve"> is imperative to improve </w:t>
      </w:r>
      <w:r w:rsidR="00FF5C62">
        <w:t>the arrangements</w:t>
      </w:r>
      <w:r w:rsidR="00EE651F">
        <w:t>.</w:t>
      </w:r>
      <w:r w:rsidR="00EC6581">
        <w:t xml:space="preserve"> </w:t>
      </w:r>
      <w:r w:rsidR="00186055">
        <w:t>This inquiry focuses on t</w:t>
      </w:r>
      <w:r w:rsidR="00B96734">
        <w:t>he</w:t>
      </w:r>
      <w:r w:rsidR="00B96734" w:rsidRPr="00F61A49">
        <w:t xml:space="preserve"> </w:t>
      </w:r>
      <w:r w:rsidR="00441EE2">
        <w:t>NEM</w:t>
      </w:r>
      <w:r w:rsidR="00186055">
        <w:t xml:space="preserve">, </w:t>
      </w:r>
      <w:r w:rsidR="00186055">
        <w:lastRenderedPageBreak/>
        <w:t xml:space="preserve">which </w:t>
      </w:r>
      <w:r w:rsidR="00B96734">
        <w:t>enables the trading of power throughout Australia, excepting Western Australia and the Northern Territory. I</w:t>
      </w:r>
      <w:r w:rsidR="003259D8">
        <w:t>ts major institutions include the</w:t>
      </w:r>
      <w:r w:rsidR="0021073B">
        <w:t>:</w:t>
      </w:r>
    </w:p>
    <w:p w:rsidR="00491A2F" w:rsidRDefault="00491A2F" w:rsidP="00491A2F">
      <w:pPr>
        <w:pStyle w:val="ListBullet"/>
      </w:pPr>
      <w:r w:rsidRPr="00491A2F">
        <w:t>Standing Council on Energy and Resources (SCER)</w:t>
      </w:r>
      <w:r w:rsidR="00EB79A4">
        <w:t xml:space="preserve">, which replaces the previous Ministerial Council for Energy, and </w:t>
      </w:r>
      <w:r w:rsidR="00A73B78">
        <w:t>has representatives</w:t>
      </w:r>
      <w:r w:rsidR="005421C7">
        <w:t xml:space="preserve"> from the Australian Government, </w:t>
      </w:r>
      <w:r w:rsidR="00A73B78">
        <w:t>all states and territories</w:t>
      </w:r>
      <w:r w:rsidR="005421C7">
        <w:t>, and New Zealand</w:t>
      </w:r>
      <w:r w:rsidR="00B63152">
        <w:t xml:space="preserve">. </w:t>
      </w:r>
      <w:r w:rsidR="00A73B78">
        <w:t>It</w:t>
      </w:r>
      <w:r>
        <w:t xml:space="preserve"> is responsible for broad policy and the legislative framework for the NEM</w:t>
      </w:r>
      <w:r w:rsidR="00B63152">
        <w:t xml:space="preserve"> (though only ministers in participating jurisdictions can change the National Electricity Law)</w:t>
      </w:r>
    </w:p>
    <w:p w:rsidR="0021073B" w:rsidRDefault="00B96734" w:rsidP="00491A2F">
      <w:pPr>
        <w:pStyle w:val="ListBullet"/>
      </w:pPr>
      <w:r>
        <w:t>Australian Energy Market Operator (AEMO)</w:t>
      </w:r>
      <w:r w:rsidR="00AD01B5">
        <w:t>,</w:t>
      </w:r>
      <w:r w:rsidR="00491A2F">
        <w:t xml:space="preserve"> which, among other roles, manages </w:t>
      </w:r>
      <w:r w:rsidR="00A73B78">
        <w:t xml:space="preserve">the </w:t>
      </w:r>
      <w:r w:rsidR="0021073B">
        <w:t xml:space="preserve">transmission network and </w:t>
      </w:r>
      <w:r>
        <w:t xml:space="preserve">operates the spot market </w:t>
      </w:r>
      <w:r w:rsidR="0021073B">
        <w:t xml:space="preserve">that determines wholesale energy prices </w:t>
      </w:r>
    </w:p>
    <w:p w:rsidR="0021073B" w:rsidRDefault="00B96734" w:rsidP="0021073B">
      <w:pPr>
        <w:pStyle w:val="ListBullet"/>
      </w:pPr>
      <w:r>
        <w:t xml:space="preserve">Australian Energy Market Commission (AEMC), which </w:t>
      </w:r>
      <w:r w:rsidR="00491A2F">
        <w:t xml:space="preserve">undertakes </w:t>
      </w:r>
      <w:r w:rsidR="001A35FE">
        <w:t xml:space="preserve">energy market reviews, </w:t>
      </w:r>
      <w:r w:rsidR="00491A2F">
        <w:t>provides policy advice to SCER</w:t>
      </w:r>
      <w:r w:rsidR="001A35FE">
        <w:t xml:space="preserve">, and </w:t>
      </w:r>
      <w:r>
        <w:t>sets the National E</w:t>
      </w:r>
      <w:r w:rsidR="0021073B">
        <w:t>lectricity Rules (the ‘Rules’)</w:t>
      </w:r>
    </w:p>
    <w:p w:rsidR="00B96734" w:rsidRDefault="00D55AE9" w:rsidP="0021073B">
      <w:pPr>
        <w:pStyle w:val="ListBullet"/>
      </w:pPr>
      <w:r>
        <w:t>Australian Energy Regulator (</w:t>
      </w:r>
      <w:r w:rsidR="004534CD">
        <w:t>AER</w:t>
      </w:r>
      <w:r>
        <w:t xml:space="preserve">), which </w:t>
      </w:r>
      <w:r w:rsidR="000B3B10">
        <w:t xml:space="preserve">is the economic regulator for </w:t>
      </w:r>
      <w:r w:rsidR="00B96734">
        <w:t>electricity and gas markets</w:t>
      </w:r>
      <w:r w:rsidR="000B3B10">
        <w:t xml:space="preserve"> in the NEM</w:t>
      </w:r>
      <w:r w:rsidR="00B96734">
        <w:t>.</w:t>
      </w:r>
    </w:p>
    <w:p w:rsidR="0035439E" w:rsidRDefault="0052160B" w:rsidP="00A922C9">
      <w:pPr>
        <w:pStyle w:val="Heading3"/>
      </w:pPr>
      <w:r>
        <w:t xml:space="preserve">The Commission’s task is a </w:t>
      </w:r>
      <w:r w:rsidR="00E863AA">
        <w:t>b</w:t>
      </w:r>
      <w:r>
        <w:t>road one</w:t>
      </w:r>
    </w:p>
    <w:p w:rsidR="00E863AA" w:rsidRPr="00A6053F" w:rsidRDefault="00E863AA" w:rsidP="00E863AA">
      <w:pPr>
        <w:pStyle w:val="BodyText"/>
      </w:pPr>
      <w:r>
        <w:t xml:space="preserve">Concerns about the adequacy of the existing regulatory arrangements triggered this inquiry. </w:t>
      </w:r>
      <w:r w:rsidR="00020DDB">
        <w:t xml:space="preserve">The Australian Government requested that the Commission consider </w:t>
      </w:r>
      <w:r>
        <w:t>the problems besetting these arrangements through two lenses:</w:t>
      </w:r>
    </w:p>
    <w:p w:rsidR="00020DDB" w:rsidRDefault="00020DDB" w:rsidP="008740AA">
      <w:pPr>
        <w:pStyle w:val="ListBullet"/>
      </w:pPr>
      <w:r>
        <w:t>the use of benchmarking as a means of achieving the efficient delivery of network services and electricity infrastructure. B</w:t>
      </w:r>
      <w:r w:rsidRPr="002D7640">
        <w:t xml:space="preserve">enchmarking </w:t>
      </w:r>
      <w:r>
        <w:t xml:space="preserve">typically measures </w:t>
      </w:r>
      <w:r w:rsidRPr="002D7640">
        <w:t xml:space="preserve">the costs or revenues of an efficient network business, </w:t>
      </w:r>
      <w:r>
        <w:t>with the regulator</w:t>
      </w:r>
      <w:r w:rsidRPr="002D7640">
        <w:t xml:space="preserve"> us</w:t>
      </w:r>
      <w:r>
        <w:t>ing</w:t>
      </w:r>
      <w:r w:rsidRPr="002D7640">
        <w:t xml:space="preserve"> the results as the </w:t>
      </w:r>
      <w:r>
        <w:t>standard</w:t>
      </w:r>
      <w:r w:rsidRPr="002D7640">
        <w:t xml:space="preserve"> for assessing whether any given network business’s expenditure proposals are efficient and prudent. </w:t>
      </w:r>
      <w:r>
        <w:t>(</w:t>
      </w:r>
      <w:r w:rsidRPr="002D7640">
        <w:t xml:space="preserve">An alternative benchmarking approach is to reduce each network business’s allowable annual revenue by the productivity </w:t>
      </w:r>
      <w:r>
        <w:t xml:space="preserve">growth </w:t>
      </w:r>
      <w:r w:rsidRPr="002D7640">
        <w:t xml:space="preserve">rate </w:t>
      </w:r>
      <w:r>
        <w:t>of an efficient firm — an approach already considered by the AEMC.)</w:t>
      </w:r>
      <w:r w:rsidR="008740AA">
        <w:t xml:space="preserve"> The relevant network services comprise:</w:t>
      </w:r>
    </w:p>
    <w:p w:rsidR="008740AA" w:rsidRDefault="008740AA" w:rsidP="0096055A">
      <w:pPr>
        <w:pStyle w:val="ListBullet2"/>
      </w:pPr>
      <w:r>
        <w:t>distribution networks, the lower voltage capillaries that deliver power at the local level</w:t>
      </w:r>
      <w:r w:rsidR="00700176">
        <w:t xml:space="preserve"> (figure 2)</w:t>
      </w:r>
      <w:r>
        <w:t>. The distribution networks account for the bulk of total network costs</w:t>
      </w:r>
    </w:p>
    <w:p w:rsidR="008740AA" w:rsidRDefault="00FF5C62" w:rsidP="0096055A">
      <w:pPr>
        <w:pStyle w:val="ListBullet2"/>
      </w:pPr>
      <w:r>
        <w:t xml:space="preserve">the </w:t>
      </w:r>
      <w:r w:rsidR="008740AA">
        <w:t>intra-regional transmission network, which comprises the high voltage components of the network that carry power over long distances within states</w:t>
      </w:r>
    </w:p>
    <w:p w:rsidR="00A14A0E" w:rsidRDefault="00020DDB" w:rsidP="00A14A0E">
      <w:pPr>
        <w:pStyle w:val="ListBullet"/>
      </w:pPr>
      <w:r>
        <w:t xml:space="preserve">the effectiveness of regulatory arrangements for </w:t>
      </w:r>
      <w:r w:rsidR="008740AA">
        <w:t>‘</w:t>
      </w:r>
      <w:r>
        <w:t>interconnectors</w:t>
      </w:r>
      <w:r w:rsidR="008740AA">
        <w:t>’</w:t>
      </w:r>
      <w:r w:rsidR="00FF5C62">
        <w:t xml:space="preserve"> (</w:t>
      </w:r>
      <w:r w:rsidR="008740AA">
        <w:t>the inter-regional high voltage transmission network</w:t>
      </w:r>
      <w:r w:rsidR="00FF5C62">
        <w:t xml:space="preserve">) </w:t>
      </w:r>
      <w:r w:rsidR="00A14A0E">
        <w:t>given that some stakeholders identify future problems in the NEM arising from shortcomings in the</w:t>
      </w:r>
      <w:r w:rsidR="00A14A0E" w:rsidRPr="0082743C">
        <w:t xml:space="preserve"> regulatory arrangements for </w:t>
      </w:r>
      <w:r w:rsidR="00A14A0E">
        <w:t xml:space="preserve">‘interconnectors’. The concern is that there is underinvestment </w:t>
      </w:r>
      <w:r w:rsidR="00A14A0E">
        <w:lastRenderedPageBreak/>
        <w:t>in interconnectors, weakening the capacity for trading power across the network. Underinvestment could put more pressure on prices and undermine the efficient use of renewable energy generators.</w:t>
      </w:r>
    </w:p>
    <w:p w:rsidR="00020DDB" w:rsidRDefault="00020DDB" w:rsidP="00020DDB">
      <w:pPr>
        <w:pStyle w:val="BodyText"/>
      </w:pPr>
      <w:r>
        <w:t>This report includes extensive analysis of issues directly related to benchmarking and interconnectors. However, the Commission has found that it is not possible or desirable to look at those issues separately from the complex and interrelated regulatory system in which they sit. There is, in effect, no point in simply fixing a punctured tyre if the car has no engine.</w:t>
      </w:r>
    </w:p>
    <w:p w:rsidR="00654388" w:rsidRDefault="00654388" w:rsidP="00654388">
      <w:pPr>
        <w:pStyle w:val="FigureTitle"/>
      </w:pPr>
      <w:r>
        <w:rPr>
          <w:b w:val="0"/>
        </w:rPr>
        <w:t>Figure </w:t>
      </w:r>
      <w:r w:rsidR="00A6053F">
        <w:rPr>
          <w:b w:val="0"/>
          <w:noProof/>
        </w:rPr>
        <w:t>2</w:t>
      </w:r>
      <w:r>
        <w:tab/>
        <w:t xml:space="preserve">The electricity system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54388" w:rsidTr="00571F3B">
        <w:tc>
          <w:tcPr>
            <w:tcW w:w="8777" w:type="dxa"/>
          </w:tcPr>
          <w:p w:rsidR="00654388" w:rsidRDefault="00477C7F" w:rsidP="00A6053F">
            <w:pPr>
              <w:pStyle w:val="Figure"/>
              <w:keepNext w:val="0"/>
            </w:pPr>
            <w:r>
              <w:rPr>
                <w:noProof/>
              </w:rPr>
              <w:drawing>
                <wp:inline distT="0" distB="0" distL="0" distR="0" wp14:anchorId="304E2F18" wp14:editId="42718017">
                  <wp:extent cx="5602605" cy="3883660"/>
                  <wp:effectExtent l="0" t="0" r="0" b="2540"/>
                  <wp:docPr id="104" name="Picture 104" descr="Figure 2 The electricity system. This figure shows how the components of the electricity system connect together from generators to custo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2605" cy="3883660"/>
                          </a:xfrm>
                          <a:prstGeom prst="rect">
                            <a:avLst/>
                          </a:prstGeom>
                          <a:noFill/>
                        </pic:spPr>
                      </pic:pic>
                    </a:graphicData>
                  </a:graphic>
                </wp:inline>
              </w:drawing>
            </w:r>
          </w:p>
        </w:tc>
      </w:tr>
    </w:tbl>
    <w:p w:rsidR="00640466" w:rsidRDefault="00640466" w:rsidP="00640466">
      <w:pPr>
        <w:pStyle w:val="BodyText"/>
      </w:pPr>
      <w:r>
        <w:t xml:space="preserve">Accordingly, the Commission has adopted a broader perspective, reflecting that outcomes in the NEM involve complex interactions between </w:t>
      </w:r>
      <w:r w:rsidRPr="002F5C90">
        <w:t xml:space="preserve">multiple influences: the National Electricity Rules; the behaviour of the </w:t>
      </w:r>
      <w:r>
        <w:t>r</w:t>
      </w:r>
      <w:r w:rsidRPr="002F5C90">
        <w:t xml:space="preserve">egulator; the governance </w:t>
      </w:r>
      <w:r>
        <w:t xml:space="preserve">and culture </w:t>
      </w:r>
      <w:r w:rsidRPr="002F5C90">
        <w:t>of each of the regulated network businesses; and the impacts of many other (multi-jurisdictional) regulations and policies</w:t>
      </w:r>
      <w:r>
        <w:t xml:space="preserve"> (figure 3)</w:t>
      </w:r>
      <w:r w:rsidRPr="002F5C90">
        <w:t>.</w:t>
      </w:r>
      <w:r>
        <w:t xml:space="preserve"> The Commission has considered the evidence, analysis and policy outcomes from various reviews during the course of the inquiry — most particularly various reports issued by the AEMC, and a suite of reforms announced by the Council of Australian Governments (COAG) and SCER in late 2012.</w:t>
      </w:r>
    </w:p>
    <w:p w:rsidR="00F25EBA" w:rsidRDefault="00F25EBA" w:rsidP="00640466">
      <w:pPr>
        <w:pStyle w:val="BodyText"/>
      </w:pPr>
      <w:r>
        <w:lastRenderedPageBreak/>
        <w:t>There are many problems</w:t>
      </w:r>
      <w:r w:rsidR="002B0AD4">
        <w:t xml:space="preserve"> in current arrangements</w:t>
      </w:r>
      <w:r>
        <w:t xml:space="preserve">, but </w:t>
      </w:r>
      <w:r w:rsidR="002B0AD4">
        <w:t xml:space="preserve">beyond the Commission’s consideration of benchmarking and interconnectors, </w:t>
      </w:r>
      <w:r>
        <w:t>the</w:t>
      </w:r>
      <w:r w:rsidR="002B0AD4">
        <w:t xml:space="preserve">re </w:t>
      </w:r>
      <w:r w:rsidR="008740AA">
        <w:t xml:space="preserve">are several </w:t>
      </w:r>
      <w:r w:rsidR="00E604AA">
        <w:t>critical priority issues arising from</w:t>
      </w:r>
      <w:r>
        <w:t xml:space="preserve"> this inquiry</w:t>
      </w:r>
      <w:r w:rsidR="00FD59CC">
        <w:t>.</w:t>
      </w:r>
    </w:p>
    <w:p w:rsidR="00191484" w:rsidRDefault="00021EE3" w:rsidP="00931F9A">
      <w:pPr>
        <w:pStyle w:val="ListBullet"/>
      </w:pPr>
      <w:r>
        <w:t>T</w:t>
      </w:r>
      <w:r w:rsidR="008740AA">
        <w:t xml:space="preserve">he </w:t>
      </w:r>
      <w:r w:rsidR="00931F9A">
        <w:t xml:space="preserve">governance arrangements for the NEM — in which SCER, the AER, the AEMC and all state and </w:t>
      </w:r>
      <w:r w:rsidR="00191484">
        <w:t>territory</w:t>
      </w:r>
      <w:r w:rsidR="00931F9A">
        <w:t xml:space="preserve"> governments play a major role — are neither efficient nor effective in achieving good outcomes for consumers</w:t>
      </w:r>
      <w:r w:rsidR="006F164B">
        <w:t>.</w:t>
      </w:r>
      <w:r w:rsidR="00191484">
        <w:t xml:space="preserve"> </w:t>
      </w:r>
    </w:p>
    <w:p w:rsidR="00191484" w:rsidRDefault="00931F9A" w:rsidP="0096055A">
      <w:pPr>
        <w:pStyle w:val="ListBullet2"/>
      </w:pPr>
      <w:r>
        <w:t>SCER’s pr</w:t>
      </w:r>
      <w:r w:rsidR="00191484">
        <w:t>ocesses for reform are too slow (and involve the AEMC duplicating much of their work in reviews and subsequent Rule change processes</w:t>
      </w:r>
      <w:r w:rsidR="00FF5C62">
        <w:t>)</w:t>
      </w:r>
      <w:r w:rsidR="0067044E">
        <w:t>.</w:t>
      </w:r>
      <w:r w:rsidR="00191484" w:rsidRPr="00191484">
        <w:t xml:space="preserve"> </w:t>
      </w:r>
    </w:p>
    <w:p w:rsidR="00191484" w:rsidRDefault="006F164B" w:rsidP="0096055A">
      <w:pPr>
        <w:pStyle w:val="ListBullet2"/>
      </w:pPr>
      <w:r>
        <w:t>T</w:t>
      </w:r>
      <w:r w:rsidR="00191484">
        <w:t xml:space="preserve">he AER has faced resourcing constraints and some have expressed concerns about its processes </w:t>
      </w:r>
      <w:r w:rsidR="00FF5C62">
        <w:t>and effectiveness</w:t>
      </w:r>
      <w:r w:rsidR="0067044E">
        <w:t>.</w:t>
      </w:r>
    </w:p>
    <w:p w:rsidR="00191484" w:rsidRDefault="006F164B" w:rsidP="0096055A">
      <w:pPr>
        <w:pStyle w:val="ListBullet2"/>
      </w:pPr>
      <w:r>
        <w:t>C</w:t>
      </w:r>
      <w:r w:rsidR="00191484">
        <w:t xml:space="preserve">onsumers have </w:t>
      </w:r>
      <w:r w:rsidR="00A8423E">
        <w:t>had a weak</w:t>
      </w:r>
      <w:r w:rsidR="00191484">
        <w:t xml:space="preserve"> voice in most regulatory processes, notwithstanding that their interests are ostensibly the essential plank on which regulation of the NE</w:t>
      </w:r>
      <w:r>
        <w:t>M is based.</w:t>
      </w:r>
    </w:p>
    <w:p w:rsidR="00A6053F" w:rsidRDefault="006F164B" w:rsidP="0096055A">
      <w:pPr>
        <w:pStyle w:val="ListBullet2"/>
      </w:pPr>
      <w:r>
        <w:t>T</w:t>
      </w:r>
      <w:r w:rsidR="00EE651F" w:rsidRPr="00EE651F">
        <w:t>he ‘National’ in the NEM is progressing too slowly</w:t>
      </w:r>
      <w:r w:rsidR="00A8423E">
        <w:t>, especially</w:t>
      </w:r>
      <w:r w:rsidR="00EE651F" w:rsidRPr="00EE651F">
        <w:t xml:space="preserve"> </w:t>
      </w:r>
      <w:r w:rsidR="00EE651F">
        <w:t xml:space="preserve">given that a Special Premier’s Conference decided to establish a national grid </w:t>
      </w:r>
      <w:r w:rsidR="00093ABA">
        <w:t>in July</w:t>
      </w:r>
      <w:r w:rsidR="00750FB3">
        <w:t> </w:t>
      </w:r>
      <w:r w:rsidR="00EE651F">
        <w:t>1991</w:t>
      </w:r>
      <w:r w:rsidR="00EE651F" w:rsidRPr="00EE651F">
        <w:t>.</w:t>
      </w:r>
      <w:r w:rsidR="006E4C41">
        <w:t xml:space="preserve"> </w:t>
      </w:r>
      <w:r w:rsidR="00A6053F">
        <w:t xml:space="preserve">State and territory governments, and their regulators, still play too large a role in setting reliability standards and in regulating retailing, and they also mandate other licence conditions for network businesses. Additionally, they have various renewable energy policies that affect network businesses’ options for efficiently addressing emerging bottlenecks in their systems. They are the owners of network services in Queensland, New South Wales, Tasmania and, in part, the </w:t>
      </w:r>
      <w:r w:rsidR="00E15AC6">
        <w:t>ACT</w:t>
      </w:r>
      <w:r w:rsidR="00A6053F">
        <w:t xml:space="preserve"> </w:t>
      </w:r>
      <w:r w:rsidR="00F90EB4">
        <w:t xml:space="preserve">and some governments still have a significant stake in generators </w:t>
      </w:r>
      <w:r w:rsidR="00A6053F">
        <w:t>(figure</w:t>
      </w:r>
      <w:r w:rsidR="009D436F">
        <w:t> </w:t>
      </w:r>
      <w:r w:rsidR="00640466">
        <w:t>4</w:t>
      </w:r>
      <w:r w:rsidR="00A6053F">
        <w:t xml:space="preserve">). </w:t>
      </w:r>
      <w:r w:rsidR="00F90EB4">
        <w:t xml:space="preserve">They have </w:t>
      </w:r>
      <w:r w:rsidR="00E604AA">
        <w:t>mostly</w:t>
      </w:r>
      <w:r w:rsidR="00F90EB4">
        <w:t xml:space="preserve"> relinquished </w:t>
      </w:r>
      <w:r w:rsidR="00E604AA">
        <w:t>their ownership</w:t>
      </w:r>
      <w:r w:rsidR="00F90EB4">
        <w:t xml:space="preserve"> in retailing</w:t>
      </w:r>
      <w:r w:rsidR="00A6053F">
        <w:t>.</w:t>
      </w:r>
    </w:p>
    <w:p w:rsidR="00B364F0" w:rsidRDefault="00B364F0" w:rsidP="00254673">
      <w:pPr>
        <w:pStyle w:val="ListBullet"/>
      </w:pPr>
      <w:r>
        <w:t xml:space="preserve">Quite apart from the unwarranted variation in regulations across what is intended to be a national market, the actual regulatory </w:t>
      </w:r>
      <w:r w:rsidR="00EA2339">
        <w:t>settings</w:t>
      </w:r>
      <w:r>
        <w:t xml:space="preserve"> for network reliability and for transmission planning are far from optimal</w:t>
      </w:r>
      <w:r w:rsidR="002B1F09">
        <w:t>.</w:t>
      </w:r>
    </w:p>
    <w:p w:rsidR="00E604AA" w:rsidRDefault="002B0AD4" w:rsidP="00254673">
      <w:pPr>
        <w:pStyle w:val="ListBullet"/>
      </w:pPr>
      <w:r>
        <w:t xml:space="preserve">Flaws in the national regulatory regime have contributed to recent price </w:t>
      </w:r>
      <w:r w:rsidR="00A37F43">
        <w:t>increases</w:t>
      </w:r>
      <w:r>
        <w:t xml:space="preserve">. </w:t>
      </w:r>
    </w:p>
    <w:p w:rsidR="00EA2339" w:rsidRDefault="002B0AD4" w:rsidP="00E604AA">
      <w:pPr>
        <w:pStyle w:val="ListBullet2"/>
      </w:pPr>
      <w:r>
        <w:t xml:space="preserve">The Rules led to inflated costs of capital and created incentives for inefficient investment. </w:t>
      </w:r>
    </w:p>
    <w:p w:rsidR="002B0AD4" w:rsidRDefault="00EA2339" w:rsidP="008740AA">
      <w:pPr>
        <w:pStyle w:val="ListBullet2"/>
      </w:pPr>
      <w:r>
        <w:t xml:space="preserve">There </w:t>
      </w:r>
      <w:r w:rsidR="00A37F43">
        <w:t>are significant</w:t>
      </w:r>
      <w:r>
        <w:t xml:space="preserve"> </w:t>
      </w:r>
      <w:r w:rsidR="00A37F43">
        <w:t xml:space="preserve">deficiencies </w:t>
      </w:r>
      <w:r>
        <w:t>in regulatory arrangements for demand management</w:t>
      </w:r>
      <w:r w:rsidR="002B1F09">
        <w:t>.</w:t>
      </w:r>
    </w:p>
    <w:p w:rsidR="00F25EBA" w:rsidRDefault="00F25EBA" w:rsidP="00F25EBA">
      <w:pPr>
        <w:pStyle w:val="FigureTitle"/>
      </w:pPr>
      <w:r>
        <w:rPr>
          <w:b w:val="0"/>
        </w:rPr>
        <w:lastRenderedPageBreak/>
        <w:t xml:space="preserve">Figure </w:t>
      </w:r>
      <w:r>
        <w:rPr>
          <w:b w:val="0"/>
          <w:noProof/>
        </w:rPr>
        <w:t>3</w:t>
      </w:r>
      <w:r>
        <w:tab/>
        <w:t>Benchmarking is one (small) piece of a complex regulatory jigsaw</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F25EBA" w:rsidTr="00FD5E6E">
        <w:tc>
          <w:tcPr>
            <w:tcW w:w="8777" w:type="dxa"/>
          </w:tcPr>
          <w:p w:rsidR="00F25EBA" w:rsidRDefault="00617E3B" w:rsidP="00FD5E6E">
            <w:pPr>
              <w:pStyle w:val="Figure"/>
            </w:pPr>
            <w:r>
              <w:rPr>
                <w:noProof/>
              </w:rPr>
              <w:drawing>
                <wp:inline distT="0" distB="0" distL="0" distR="0">
                  <wp:extent cx="5573395" cy="7609205"/>
                  <wp:effectExtent l="0" t="0" r="8255" b="0"/>
                  <wp:docPr id="4" name="Picture 4" descr="Figure 3 Benchmarking is one (small) piece of a complex regulatory jigsaw. This figure shows how the main instutional actors, regulatory framework, policies and outcomes can result in positive outcomes for the Australian commun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kages2.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573395" cy="7609205"/>
                          </a:xfrm>
                          <a:prstGeom prst="rect">
                            <a:avLst/>
                          </a:prstGeom>
                        </pic:spPr>
                      </pic:pic>
                    </a:graphicData>
                  </a:graphic>
                </wp:inline>
              </w:drawing>
            </w:r>
          </w:p>
        </w:tc>
      </w:tr>
    </w:tbl>
    <w:p w:rsidR="00A6053F" w:rsidRDefault="00A6053F" w:rsidP="00A6053F">
      <w:pPr>
        <w:pStyle w:val="FigureTitle"/>
      </w:pPr>
      <w:r>
        <w:rPr>
          <w:b w:val="0"/>
        </w:rPr>
        <w:lastRenderedPageBreak/>
        <w:t>Figure </w:t>
      </w:r>
      <w:r w:rsidR="00640466">
        <w:rPr>
          <w:b w:val="0"/>
        </w:rPr>
        <w:t>4</w:t>
      </w:r>
      <w:r>
        <w:tab/>
        <w:t>Participants in the National Electricity Market</w:t>
      </w:r>
    </w:p>
    <w:p w:rsidR="00A6053F" w:rsidRDefault="00A6053F" w:rsidP="00A6053F">
      <w:pPr>
        <w:pStyle w:val="Subtitle"/>
      </w:pPr>
      <w:r>
        <w:t>By ownership and market share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6053F" w:rsidTr="00A6053F">
        <w:tc>
          <w:tcPr>
            <w:tcW w:w="8777" w:type="dxa"/>
          </w:tcPr>
          <w:p w:rsidR="00A6053F" w:rsidRDefault="00E43E06" w:rsidP="00A6053F">
            <w:pPr>
              <w:pStyle w:val="Figure"/>
            </w:pPr>
            <w:r>
              <w:rPr>
                <w:noProof/>
              </w:rPr>
              <w:drawing>
                <wp:inline distT="0" distB="0" distL="0" distR="0">
                  <wp:extent cx="5573395" cy="2487295"/>
                  <wp:effectExtent l="0" t="0" r="8255" b="8255"/>
                  <wp:docPr id="5" name="Picture 5" descr="Figure 4 Participants in the National Electricity Market. This figure categorises the firms participating in the NEM by ownership structure and the type of services provi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ticipants in the  NEM (OV and Ch2).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573395" cy="2487295"/>
                          </a:xfrm>
                          <a:prstGeom prst="rect">
                            <a:avLst/>
                          </a:prstGeom>
                        </pic:spPr>
                      </pic:pic>
                    </a:graphicData>
                  </a:graphic>
                </wp:inline>
              </w:drawing>
            </w:r>
          </w:p>
        </w:tc>
      </w:tr>
    </w:tbl>
    <w:p w:rsidR="00A6053F" w:rsidRDefault="00A6053F" w:rsidP="00A6053F">
      <w:pPr>
        <w:pStyle w:val="Source"/>
      </w:pPr>
      <w:r>
        <w:rPr>
          <w:i/>
        </w:rPr>
        <w:t>Data source</w:t>
      </w:r>
      <w:r w:rsidRPr="00167F06">
        <w:t xml:space="preserve">: </w:t>
      </w:r>
      <w:r>
        <w:t>Queensland Commission of Audit (2013, figure</w:t>
      </w:r>
      <w:r w:rsidR="00750FB3">
        <w:t> </w:t>
      </w:r>
      <w:r>
        <w:t>2, p.</w:t>
      </w:r>
      <w:r w:rsidR="00750FB3">
        <w:t> </w:t>
      </w:r>
      <w:r>
        <w:t>13).</w:t>
      </w:r>
    </w:p>
    <w:p w:rsidR="008740AA" w:rsidRDefault="008740AA" w:rsidP="008740AA">
      <w:pPr>
        <w:pStyle w:val="BodyText"/>
      </w:pPr>
      <w:r>
        <w:t>In late 2012, major reforms to the Rules, the announcement of improved advocacy arrangements for consumers and better resourcing and governance of the AER have started to address some of these flaws. (These reforms were broadly in line with those recommended in the Commission’s draft report.)</w:t>
      </w:r>
    </w:p>
    <w:p w:rsidR="00A6053F" w:rsidRDefault="00DD0642" w:rsidP="00A6053F">
      <w:pPr>
        <w:pStyle w:val="BodyText"/>
      </w:pPr>
      <w:r>
        <w:t xml:space="preserve">However, </w:t>
      </w:r>
      <w:r w:rsidR="00A6053F">
        <w:t>the benefits of those reforms will not be felt until the current set of regulatory determinations run their course (which will occur between 2013 and 2017 depending on the service and jurisdiction). Moreover, the AER must develop guidelines to give effect to the Rule changes, and the details of those can make a difference to their benefits. More broadly, there remain major weaknesses in regulatory arrangements for demand management, reliability and transmission planning</w:t>
      </w:r>
      <w:r w:rsidR="00684E98">
        <w:t>, the ownership of networks by governments, and governance</w:t>
      </w:r>
      <w:r w:rsidR="00A6053F">
        <w:t>.</w:t>
      </w:r>
    </w:p>
    <w:p w:rsidR="006F3D7F" w:rsidRDefault="002C6390" w:rsidP="004A7F95">
      <w:pPr>
        <w:pStyle w:val="Heading2"/>
      </w:pPr>
      <w:r>
        <w:t xml:space="preserve">Reform needs to be wide-ranging and </w:t>
      </w:r>
      <w:r w:rsidR="00E604AA">
        <w:t>timely</w:t>
      </w:r>
    </w:p>
    <w:p w:rsidR="002C6390" w:rsidRDefault="002C6390" w:rsidP="002C6390">
      <w:pPr>
        <w:pStyle w:val="BodyText"/>
      </w:pPr>
      <w:r>
        <w:t xml:space="preserve">The Commission has proposed a suite of coordinated reforms that aim to take account of the many inter-relationships in what amounts to a complex economic ‘machine’. However, reforms will require careful implementation. </w:t>
      </w:r>
      <w:r w:rsidR="00441EE2">
        <w:t>A</w:t>
      </w:r>
      <w:r>
        <w:t xml:space="preserve"> </w:t>
      </w:r>
      <w:r w:rsidR="0035439E">
        <w:t>detailed summary</w:t>
      </w:r>
      <w:r>
        <w:t xml:space="preserve"> of the reforms proposed by the Commission and their implementation timetable </w:t>
      </w:r>
      <w:r w:rsidR="00441EE2">
        <w:t>is in</w:t>
      </w:r>
      <w:r>
        <w:t xml:space="preserve"> tables 1 and 2 at the back of this overview.</w:t>
      </w:r>
    </w:p>
    <w:p w:rsidR="00151773" w:rsidRDefault="00C07E5A" w:rsidP="002C6390">
      <w:pPr>
        <w:pStyle w:val="BodyText"/>
      </w:pPr>
      <w:r>
        <w:t xml:space="preserve">Moreover, the NEM has </w:t>
      </w:r>
      <w:r w:rsidR="00DF2ADB">
        <w:t xml:space="preserve">too </w:t>
      </w:r>
      <w:r>
        <w:t xml:space="preserve">often proved to be a graveyard for reform proposals, which </w:t>
      </w:r>
      <w:r w:rsidR="00DF2ADB">
        <w:t xml:space="preserve">then </w:t>
      </w:r>
      <w:r>
        <w:t xml:space="preserve">remain as inert words in dead documents. </w:t>
      </w:r>
      <w:r w:rsidR="007E69E1">
        <w:t xml:space="preserve">A graphic example, discussed later in this overview, is the fact that needed reforms to transmission planning and </w:t>
      </w:r>
      <w:r w:rsidR="007E69E1">
        <w:lastRenderedPageBreak/>
        <w:t>reliability were first set out in 2002, but using the current processes will not be fully in place until 202</w:t>
      </w:r>
      <w:r w:rsidR="00EC6BFB">
        <w:t>2</w:t>
      </w:r>
      <w:r w:rsidR="007E69E1">
        <w:t xml:space="preserve">. </w:t>
      </w:r>
      <w:r w:rsidR="00151773">
        <w:t xml:space="preserve">Even that timing presumes that SCER agrees with the recommendations of another inquiry that </w:t>
      </w:r>
      <w:r w:rsidR="008740AA">
        <w:t>it has just initiated</w:t>
      </w:r>
      <w:r w:rsidR="00151773">
        <w:t xml:space="preserve">. </w:t>
      </w:r>
    </w:p>
    <w:p w:rsidR="00BE276D" w:rsidRDefault="00C07E5A" w:rsidP="002C6390">
      <w:pPr>
        <w:pStyle w:val="BodyText"/>
      </w:pPr>
      <w:r>
        <w:t xml:space="preserve">A </w:t>
      </w:r>
      <w:r w:rsidR="00DF2ADB">
        <w:t xml:space="preserve">key </w:t>
      </w:r>
      <w:r>
        <w:t>p</w:t>
      </w:r>
      <w:r w:rsidR="00DF2ADB">
        <w:t>rere</w:t>
      </w:r>
      <w:r>
        <w:t xml:space="preserve">quisite for </w:t>
      </w:r>
      <w:r w:rsidR="00DF2ADB">
        <w:t xml:space="preserve">reform is more timely action by SCER. </w:t>
      </w:r>
      <w:r w:rsidR="007E69E1">
        <w:t>Improved</w:t>
      </w:r>
      <w:r w:rsidR="00DF2ADB">
        <w:t xml:space="preserve"> governance and </w:t>
      </w:r>
      <w:r w:rsidR="007E69E1">
        <w:t>implementation processes are</w:t>
      </w:r>
      <w:r w:rsidR="00DF2ADB">
        <w:t xml:space="preserve"> discussed later in this overview. But the essential point is that </w:t>
      </w:r>
      <w:r w:rsidR="00BE276D">
        <w:t>SCER</w:t>
      </w:r>
      <w:r w:rsidR="00BE276D" w:rsidRPr="007461FC">
        <w:t xml:space="preserve"> should reform its processes and decision making so that critical policy reviews of the </w:t>
      </w:r>
      <w:r w:rsidR="00441EE2">
        <w:t>NEM</w:t>
      </w:r>
      <w:r w:rsidR="00BE276D" w:rsidRPr="007461FC">
        <w:t xml:space="preserve">, the corresponding changes to the Rules, and their implementation occur </w:t>
      </w:r>
      <w:r w:rsidR="00BE276D">
        <w:t>much more quickly</w:t>
      </w:r>
      <w:r w:rsidR="00BE276D" w:rsidRPr="007461FC">
        <w:t>.</w:t>
      </w:r>
    </w:p>
    <w:p w:rsidR="00A6053F" w:rsidRDefault="00A6053F" w:rsidP="004A7F95">
      <w:pPr>
        <w:pStyle w:val="Heading2"/>
      </w:pPr>
      <w:r>
        <w:t>Consumers need a clear voice in the regulatory regime</w:t>
      </w:r>
    </w:p>
    <w:p w:rsidR="00A6053F" w:rsidRDefault="00A6053F" w:rsidP="00A6053F">
      <w:pPr>
        <w:pStyle w:val="BodyText"/>
      </w:pPr>
      <w:r>
        <w:t>While the objective of the National Electricity Law is to meet the long</w:t>
      </w:r>
      <w:r w:rsidR="00210D69">
        <w:noBreakHyphen/>
      </w:r>
      <w:r>
        <w:t xml:space="preserve">term interests of consumers, the involvement of consumers in the processes of the NEM has been partial and intermittent. </w:t>
      </w:r>
    </w:p>
    <w:p w:rsidR="002D7640" w:rsidRDefault="00A6053F" w:rsidP="00A6053F">
      <w:pPr>
        <w:pStyle w:val="BodyText"/>
      </w:pPr>
      <w:r>
        <w:t xml:space="preserve">Consumer groups have generally represented either major energy users or disadvantaged people. They have traditionally had some involvement in the AER’s regulatory processes — primarily in attempting to decrease network charges or to develop better arrangements for disadvantaged consumers. They have proposed changes to the Rules, submitted to AER network determinations and participated in some Australian Competition Tribunal hearings of appeals to AER determinations. </w:t>
      </w:r>
      <w:r w:rsidR="002D7640">
        <w:t>However, the smaller advocacy groups do not have many resources to do this, and do not believe that the Tribunal has given much weight to their views (</w:t>
      </w:r>
      <w:r w:rsidR="00194033">
        <w:t>t</w:t>
      </w:r>
      <w:r w:rsidR="00CC7650">
        <w:t>he panel evaluating the limited merits review regime</w:t>
      </w:r>
      <w:r w:rsidR="002D7640">
        <w:t xml:space="preserve"> suggested that they are treated as ‘inconvenient guests’). In general, network businesses have not sufficiently engaged with consumers, even in matters where they have aligned interests (such as addressing reliability problems or introducing smart meters and the smart grid). The AER has also not engaged well with consumer groups — an observation emphasised by the </w:t>
      </w:r>
      <w:r w:rsidR="00A06C96">
        <w:t xml:space="preserve">inquiry into </w:t>
      </w:r>
      <w:r w:rsidR="002D7640">
        <w:t xml:space="preserve">the </w:t>
      </w:r>
      <w:r w:rsidR="00A06C96">
        <w:t>limited merits review</w:t>
      </w:r>
      <w:r w:rsidR="002D7640">
        <w:t xml:space="preserve"> regime.</w:t>
      </w:r>
    </w:p>
    <w:p w:rsidR="00BC49AC" w:rsidRDefault="00BC49AC" w:rsidP="00BC49AC">
      <w:pPr>
        <w:pStyle w:val="BodyText"/>
      </w:pPr>
      <w:r>
        <w:t>There are strong grounds for improving information flows to consumers — such as through the public availability of benchmarking results, and information on the various cost drivers of electricity bills.</w:t>
      </w:r>
    </w:p>
    <w:p w:rsidR="008F72E1" w:rsidRDefault="000A17D6" w:rsidP="000A17D6">
      <w:pPr>
        <w:pStyle w:val="BodyText"/>
      </w:pPr>
      <w:r>
        <w:t>Equally, t</w:t>
      </w:r>
      <w:r w:rsidRPr="00EE7A7F">
        <w:t xml:space="preserve">here is </w:t>
      </w:r>
      <w:r w:rsidR="00335788" w:rsidRPr="00EE7A7F">
        <w:t>value</w:t>
      </w:r>
      <w:r w:rsidRPr="00EE7A7F">
        <w:t xml:space="preserve"> in </w:t>
      </w:r>
      <w:r w:rsidR="00214ADF">
        <w:t>strengthening the institutional capacity for consumers to have a voice in regulatory and merit</w:t>
      </w:r>
      <w:r w:rsidR="00FF2C72">
        <w:t>s</w:t>
      </w:r>
      <w:r w:rsidR="00214ADF">
        <w:t xml:space="preserve"> review proceedings.</w:t>
      </w:r>
      <w:r w:rsidR="006571A0">
        <w:t xml:space="preserve"> </w:t>
      </w:r>
      <w:r w:rsidR="008F72E1">
        <w:t xml:space="preserve">Any such arrangement </w:t>
      </w:r>
      <w:r w:rsidR="00297C96">
        <w:t xml:space="preserve">should </w:t>
      </w:r>
      <w:r w:rsidR="008F72E1">
        <w:t>ensure that:</w:t>
      </w:r>
    </w:p>
    <w:p w:rsidR="002C2B01" w:rsidRDefault="002C2B01" w:rsidP="002C2B01">
      <w:pPr>
        <w:pStyle w:val="ListBullet"/>
      </w:pPr>
      <w:r>
        <w:t xml:space="preserve">consumer representation </w:t>
      </w:r>
      <w:r w:rsidR="00EE711F">
        <w:t>is</w:t>
      </w:r>
      <w:r>
        <w:t xml:space="preserve"> sufficient</w:t>
      </w:r>
      <w:r w:rsidR="00297C96">
        <w:t xml:space="preserve"> and reliably funded. A small ongoing levy on market participants would be the most effective way of securing stable and adequate funding</w:t>
      </w:r>
    </w:p>
    <w:p w:rsidR="002C2B01" w:rsidRDefault="002C2B01" w:rsidP="002C2B01">
      <w:pPr>
        <w:pStyle w:val="ListBullet"/>
      </w:pPr>
      <w:r>
        <w:lastRenderedPageBreak/>
        <w:t xml:space="preserve">the consumer voice in the process </w:t>
      </w:r>
      <w:r w:rsidR="00EE711F">
        <w:t>is</w:t>
      </w:r>
      <w:r>
        <w:t xml:space="preserve"> informed by </w:t>
      </w:r>
      <w:r w:rsidRPr="00EE7A7F">
        <w:t xml:space="preserve">expertise in </w:t>
      </w:r>
      <w:r>
        <w:t xml:space="preserve">the </w:t>
      </w:r>
      <w:r w:rsidRPr="00EE7A7F">
        <w:t>economic regulation</w:t>
      </w:r>
      <w:r>
        <w:t xml:space="preserve"> of energy markets and, accordingly, the capacity to understand some of the complexities of the NEM and its investment and cost drivers</w:t>
      </w:r>
    </w:p>
    <w:p w:rsidR="002C2B01" w:rsidRDefault="002C2B01" w:rsidP="002C2B01">
      <w:pPr>
        <w:pStyle w:val="ListBullet"/>
      </w:pPr>
      <w:r>
        <w:t xml:space="preserve">all consumers </w:t>
      </w:r>
      <w:r w:rsidR="00EE711F">
        <w:t>are</w:t>
      </w:r>
      <w:r>
        <w:t xml:space="preserve"> represented, consistent with the objective of the National Electricity Law to promote the long</w:t>
      </w:r>
      <w:r w:rsidR="00210D69">
        <w:noBreakHyphen/>
      </w:r>
      <w:r>
        <w:t>term interests of consumers (and with a governance structure for any arrangements that ensure</w:t>
      </w:r>
      <w:r w:rsidR="00AD01B5">
        <w:t>s</w:t>
      </w:r>
      <w:r>
        <w:t xml:space="preserve"> that this occur</w:t>
      </w:r>
      <w:r w:rsidR="00AD01B5">
        <w:t>s</w:t>
      </w:r>
      <w:r>
        <w:t>)</w:t>
      </w:r>
    </w:p>
    <w:p w:rsidR="002C2B01" w:rsidRDefault="002C2B01" w:rsidP="002C2B01">
      <w:pPr>
        <w:pStyle w:val="ListBullet"/>
      </w:pPr>
      <w:r>
        <w:t>arrangements g</w:t>
      </w:r>
      <w:r w:rsidR="00EE711F">
        <w:t>i</w:t>
      </w:r>
      <w:r>
        <w:t xml:space="preserve">ve consumers a formal capacity to </w:t>
      </w:r>
      <w:r w:rsidRPr="00EE7A7F">
        <w:t xml:space="preserve">engage with NEM institutions in their processes and </w:t>
      </w:r>
      <w:r>
        <w:t xml:space="preserve">with the scope to participate in the negotiation of regulatory determinations </w:t>
      </w:r>
      <w:r w:rsidRPr="00EE7A7F">
        <w:t>with network service providers</w:t>
      </w:r>
      <w:r>
        <w:t>, a model that has apparently worked well in the United Kingdom and the United States.</w:t>
      </w:r>
    </w:p>
    <w:p w:rsidR="00A16C7C" w:rsidRDefault="00751DF8" w:rsidP="00A16C7C">
      <w:pPr>
        <w:pStyle w:val="BodyText"/>
      </w:pPr>
      <w:r>
        <w:t xml:space="preserve">In late 2012, </w:t>
      </w:r>
      <w:r w:rsidR="002C2B01">
        <w:t>Australian governments recognised the need for more formalised involvement of consumers in the regulatory process</w:t>
      </w:r>
      <w:r w:rsidR="003B4A7F">
        <w:t>. They</w:t>
      </w:r>
      <w:r w:rsidR="00D3371A">
        <w:t xml:space="preserve"> </w:t>
      </w:r>
      <w:r w:rsidR="00093ABA">
        <w:t xml:space="preserve">have </w:t>
      </w:r>
      <w:r w:rsidR="00D3371A">
        <w:t xml:space="preserve">announced the creation of </w:t>
      </w:r>
      <w:r w:rsidR="00EC3985">
        <w:t xml:space="preserve">the </w:t>
      </w:r>
      <w:r w:rsidR="00EC3985" w:rsidRPr="00EC3985">
        <w:t>National Energy Consumer Advocacy Body</w:t>
      </w:r>
      <w:r w:rsidR="004B2530">
        <w:t xml:space="preserve">, which would perform many of the functions above. </w:t>
      </w:r>
      <w:r w:rsidR="00F043FE">
        <w:t xml:space="preserve">The </w:t>
      </w:r>
      <w:r w:rsidR="00DA480B">
        <w:t>Australian</w:t>
      </w:r>
      <w:r w:rsidR="00F043FE">
        <w:t xml:space="preserve"> Government has also announced a Consumer Challenge </w:t>
      </w:r>
      <w:r w:rsidR="000505EC">
        <w:t xml:space="preserve">Panel </w:t>
      </w:r>
      <w:r w:rsidR="00A16C7C">
        <w:t>(to be established by the AER by 1</w:t>
      </w:r>
      <w:r w:rsidR="004E5E56">
        <w:t> </w:t>
      </w:r>
      <w:r w:rsidR="00A16C7C">
        <w:t>July 2013)</w:t>
      </w:r>
      <w:r w:rsidR="00F043FE">
        <w:t xml:space="preserve">, which would have similar functions to the </w:t>
      </w:r>
      <w:r w:rsidR="00955B33">
        <w:t>new a</w:t>
      </w:r>
      <w:r w:rsidR="00DA480B">
        <w:t>dvocacy</w:t>
      </w:r>
      <w:r w:rsidR="00F043FE">
        <w:t xml:space="preserve"> </w:t>
      </w:r>
      <w:r w:rsidR="00955B33">
        <w:t>b</w:t>
      </w:r>
      <w:r w:rsidR="00F043FE">
        <w:t xml:space="preserve">ody in regulatory determinations and would represent the same groups. </w:t>
      </w:r>
      <w:r w:rsidR="00DA480B">
        <w:t xml:space="preserve">The </w:t>
      </w:r>
      <w:r w:rsidR="000505EC">
        <w:t xml:space="preserve">Consumer </w:t>
      </w:r>
      <w:r w:rsidR="00DA480B">
        <w:t xml:space="preserve">Challenge </w:t>
      </w:r>
      <w:r w:rsidR="00A16C7C">
        <w:t>Panel</w:t>
      </w:r>
      <w:r w:rsidR="00DA480B">
        <w:t xml:space="preserve"> could act as an effective voice for consumers in the short run, until the establishment of the </w:t>
      </w:r>
      <w:r w:rsidR="00955B33">
        <w:t>national advocacy body</w:t>
      </w:r>
      <w:r w:rsidR="00DA480B">
        <w:t>. However, given their strongly overlapping roles</w:t>
      </w:r>
      <w:r w:rsidR="00A16C7C">
        <w:t>,</w:t>
      </w:r>
      <w:r w:rsidR="00DA480B">
        <w:t xml:space="preserve"> the risk of confus</w:t>
      </w:r>
      <w:r w:rsidR="00850F38">
        <w:t>ed representation by the same consumer constituencies</w:t>
      </w:r>
      <w:r w:rsidR="00DA480B">
        <w:t xml:space="preserve">, </w:t>
      </w:r>
      <w:r w:rsidR="00A16C7C">
        <w:t xml:space="preserve">and the desirability that the AER be seen as a neutral player, </w:t>
      </w:r>
      <w:r w:rsidR="00DA480B">
        <w:t xml:space="preserve">there are </w:t>
      </w:r>
      <w:r w:rsidR="00A16C7C">
        <w:t>compelling</w:t>
      </w:r>
      <w:r w:rsidR="00DA480B">
        <w:t xml:space="preserve"> grounds for </w:t>
      </w:r>
      <w:r w:rsidR="00A16C7C">
        <w:t xml:space="preserve">the Panel to be absorbed into </w:t>
      </w:r>
      <w:r w:rsidR="00DA480B">
        <w:t>a single</w:t>
      </w:r>
      <w:r w:rsidR="00A16C7C">
        <w:t>, independent</w:t>
      </w:r>
      <w:r w:rsidR="00DA480B">
        <w:t xml:space="preserve"> statutory consumer body</w:t>
      </w:r>
      <w:r w:rsidR="00297C96">
        <w:t xml:space="preserve"> in the medi</w:t>
      </w:r>
      <w:r w:rsidR="00A16C7C">
        <w:t>um term.</w:t>
      </w:r>
    </w:p>
    <w:p w:rsidR="00850F38" w:rsidRDefault="00850F38" w:rsidP="00DA480B">
      <w:pPr>
        <w:pStyle w:val="BodyText"/>
      </w:pPr>
      <w:r>
        <w:t xml:space="preserve">Rolling </w:t>
      </w:r>
      <w:r w:rsidR="00DA480B">
        <w:t xml:space="preserve">the existing </w:t>
      </w:r>
      <w:r>
        <w:t xml:space="preserve">small </w:t>
      </w:r>
      <w:r w:rsidR="00DA480B">
        <w:t xml:space="preserve">Consumer Advocacy Panel (a grant giving body for advocacy and research) into the </w:t>
      </w:r>
      <w:r w:rsidR="00955B33">
        <w:t>n</w:t>
      </w:r>
      <w:r w:rsidR="00297C96">
        <w:t xml:space="preserve">ational </w:t>
      </w:r>
      <w:r w:rsidR="00955B33">
        <w:t>a</w:t>
      </w:r>
      <w:r w:rsidR="00DA480B">
        <w:t xml:space="preserve">dvocacy </w:t>
      </w:r>
      <w:r w:rsidR="00955B33">
        <w:t>b</w:t>
      </w:r>
      <w:r w:rsidR="00DA480B">
        <w:t xml:space="preserve">ody would </w:t>
      </w:r>
      <w:r>
        <w:t xml:space="preserve">also </w:t>
      </w:r>
      <w:r w:rsidR="00DA480B">
        <w:t xml:space="preserve">reduce overheads and draw on the expertise of </w:t>
      </w:r>
      <w:r>
        <w:t>the larger body</w:t>
      </w:r>
      <w:r w:rsidR="00DA480B">
        <w:t xml:space="preserve">. </w:t>
      </w:r>
      <w:r>
        <w:t>None of these arrangements would threaten the continued need for a voice for specific consumer groups</w:t>
      </w:r>
      <w:r w:rsidR="006F164B">
        <w:t>.</w:t>
      </w:r>
    </w:p>
    <w:p w:rsidR="00850F38" w:rsidRDefault="00441EE2" w:rsidP="00850F38">
      <w:pPr>
        <w:pStyle w:val="ListBullet"/>
      </w:pPr>
      <w:r>
        <w:t>P</w:t>
      </w:r>
      <w:r w:rsidR="00850F38">
        <w:t xml:space="preserve">artial funding, on a contestable basis, </w:t>
      </w:r>
      <w:r w:rsidR="0000310F">
        <w:t>sh</w:t>
      </w:r>
      <w:r w:rsidR="00850F38">
        <w:t>ould still be available for such groups</w:t>
      </w:r>
      <w:r>
        <w:t>.</w:t>
      </w:r>
    </w:p>
    <w:p w:rsidR="00093ABA" w:rsidRDefault="00441EE2" w:rsidP="00093ABA">
      <w:pPr>
        <w:pStyle w:val="ListBullet"/>
      </w:pPr>
      <w:r>
        <w:t>T</w:t>
      </w:r>
      <w:r w:rsidR="00850F38">
        <w:t xml:space="preserve">hey </w:t>
      </w:r>
      <w:r w:rsidR="0000310F">
        <w:t>c</w:t>
      </w:r>
      <w:r w:rsidR="00850F38">
        <w:t xml:space="preserve">ould provide </w:t>
      </w:r>
      <w:r w:rsidR="00297C96">
        <w:t xml:space="preserve">(non-binding) </w:t>
      </w:r>
      <w:r w:rsidR="00850F38">
        <w:t>advice to the statutory body through an advisory group.</w:t>
      </w:r>
    </w:p>
    <w:p w:rsidR="00850F38" w:rsidRDefault="00093ABA" w:rsidP="00093ABA">
      <w:pPr>
        <w:pStyle w:val="ListBullet"/>
      </w:pPr>
      <w:r>
        <w:t>W</w:t>
      </w:r>
      <w:r w:rsidRPr="00093ABA">
        <w:t>here they felt the need, they could also continue to interact directly with the regulator and other NEM governing institutions.</w:t>
      </w:r>
    </w:p>
    <w:p w:rsidR="006A2FDB" w:rsidRDefault="006A2FDB">
      <w:pPr>
        <w:rPr>
          <w:rFonts w:ascii="Arial" w:hAnsi="Arial"/>
          <w:b/>
          <w:sz w:val="32"/>
          <w:szCs w:val="20"/>
        </w:rPr>
      </w:pPr>
      <w:r>
        <w:br w:type="page"/>
      </w:r>
    </w:p>
    <w:p w:rsidR="00F36255" w:rsidRDefault="0070162A" w:rsidP="00644665">
      <w:pPr>
        <w:pStyle w:val="Heading2"/>
      </w:pPr>
      <w:r>
        <w:lastRenderedPageBreak/>
        <w:t>N</w:t>
      </w:r>
      <w:r w:rsidR="00F36255">
        <w:t xml:space="preserve">etwork expenditures </w:t>
      </w:r>
      <w:r>
        <w:t xml:space="preserve">are </w:t>
      </w:r>
      <w:r w:rsidR="00F36255">
        <w:t>inefficient</w:t>
      </w:r>
    </w:p>
    <w:p w:rsidR="007C2352" w:rsidRDefault="00A8423E" w:rsidP="00F36255">
      <w:pPr>
        <w:pStyle w:val="BodyText"/>
      </w:pPr>
      <w:r>
        <w:t>T</w:t>
      </w:r>
      <w:r w:rsidR="00FE0D78">
        <w:t xml:space="preserve">he efficiency of </w:t>
      </w:r>
      <w:r w:rsidR="00A67AEF">
        <w:t xml:space="preserve">some </w:t>
      </w:r>
      <w:r w:rsidR="00FE0D78">
        <w:t xml:space="preserve">network businesses could be </w:t>
      </w:r>
      <w:r w:rsidR="005A499C">
        <w:t>improved.</w:t>
      </w:r>
      <w:r w:rsidR="003D42B3">
        <w:t xml:space="preserve"> </w:t>
      </w:r>
      <w:r w:rsidR="00EA1E53">
        <w:t>T</w:t>
      </w:r>
      <w:r w:rsidR="007C2352">
        <w:t xml:space="preserve">he Commission’s analysis of </w:t>
      </w:r>
      <w:r w:rsidR="005A499C">
        <w:t xml:space="preserve">several </w:t>
      </w:r>
      <w:r w:rsidR="007C2352">
        <w:t>metrics suggests that there are significant differences in the performance of the various businesses</w:t>
      </w:r>
      <w:r w:rsidR="00A16C7C">
        <w:t xml:space="preserve"> — and particularly large gaps between the performance of state-owned corporations and privately operated businesses</w:t>
      </w:r>
      <w:r w:rsidR="007C2352">
        <w:t xml:space="preserve">. </w:t>
      </w:r>
      <w:r w:rsidR="0000310F">
        <w:t>D</w:t>
      </w:r>
      <w:r w:rsidR="00A16C7C">
        <w:t>ifferences</w:t>
      </w:r>
      <w:r w:rsidR="007C2352">
        <w:t xml:space="preserve"> </w:t>
      </w:r>
      <w:r w:rsidR="0000310F">
        <w:t xml:space="preserve">between businesses </w:t>
      </w:r>
      <w:r w:rsidR="007C2352">
        <w:t xml:space="preserve">should not be surprising. This is true for almost any industry. The </w:t>
      </w:r>
      <w:r w:rsidR="000A180D">
        <w:t>distinction</w:t>
      </w:r>
      <w:r w:rsidR="007C2352">
        <w:t xml:space="preserve">, however, is that the usual competitive processes that weed out less efficient businesses are </w:t>
      </w:r>
      <w:r w:rsidR="004328B7">
        <w:t>non</w:t>
      </w:r>
      <w:r w:rsidR="004328B7">
        <w:noBreakHyphen/>
      </w:r>
      <w:r w:rsidR="00A67AEF">
        <w:t>exist</w:t>
      </w:r>
      <w:r w:rsidR="00031542">
        <w:t>ent</w:t>
      </w:r>
      <w:r w:rsidR="007C2352">
        <w:t xml:space="preserve"> for regulated natural monopolies. </w:t>
      </w:r>
    </w:p>
    <w:p w:rsidR="00FE0D78" w:rsidRDefault="00A67AEF" w:rsidP="00F36255">
      <w:pPr>
        <w:pStyle w:val="BodyText"/>
      </w:pPr>
      <w:r w:rsidRPr="00A67AEF">
        <w:t>Some factors are (</w:t>
      </w:r>
      <w:r w:rsidR="00616555">
        <w:t xml:space="preserve">at least </w:t>
      </w:r>
      <w:r w:rsidRPr="00A67AEF">
        <w:t>partly) outside the control of the businesses — which is why benchmarking of all</w:t>
      </w:r>
      <w:r w:rsidR="005E4FA6">
        <w:t xml:space="preserve"> </w:t>
      </w:r>
      <w:r w:rsidRPr="00A67AEF">
        <w:t xml:space="preserve">relevant </w:t>
      </w:r>
      <w:r w:rsidR="00021EE3">
        <w:t xml:space="preserve">policy </w:t>
      </w:r>
      <w:r w:rsidR="00021EE3" w:rsidRPr="00A67AEF">
        <w:t>influences</w:t>
      </w:r>
      <w:r w:rsidR="005E4FA6">
        <w:t xml:space="preserve"> (</w:t>
      </w:r>
      <w:r w:rsidR="005E4FA6" w:rsidRPr="00A67AEF">
        <w:t xml:space="preserve">including </w:t>
      </w:r>
      <w:r w:rsidR="005E4FA6">
        <w:t>non-regulatory ones) from all government levels</w:t>
      </w:r>
      <w:r w:rsidRPr="00A67AEF">
        <w:t xml:space="preserve"> should play an ongoing role in monitoring the performance of network businesses.</w:t>
      </w:r>
    </w:p>
    <w:p w:rsidR="00571F3B" w:rsidRDefault="00571F3B" w:rsidP="00DF4C88">
      <w:pPr>
        <w:pStyle w:val="Heading2"/>
      </w:pPr>
      <w:r>
        <w:t>Reliability standards are mostly too high</w:t>
      </w:r>
    </w:p>
    <w:p w:rsidR="00571F3B" w:rsidRDefault="00571F3B" w:rsidP="00571F3B">
      <w:pPr>
        <w:pStyle w:val="BodyText"/>
      </w:pPr>
      <w:r>
        <w:t>Ensuring reliable networks require</w:t>
      </w:r>
      <w:r w:rsidR="00F27512">
        <w:t>s</w:t>
      </w:r>
      <w:r>
        <w:t xml:space="preserve"> significant ongoing investment — which ultimately customers must finance. However, there is a growing concern that </w:t>
      </w:r>
      <w:r w:rsidR="00B374DA">
        <w:t xml:space="preserve">some </w:t>
      </w:r>
      <w:r>
        <w:t xml:space="preserve">network reliability standards are too high </w:t>
      </w:r>
      <w:r w:rsidR="0009738B">
        <w:t xml:space="preserve">— </w:t>
      </w:r>
      <w:r>
        <w:t>which some claim have reflected political responses to isolated major blackouts, rather than systemic problems</w:t>
      </w:r>
      <w:r w:rsidR="0009738B">
        <w:t xml:space="preserve"> —</w:t>
      </w:r>
      <w:r>
        <w:t xml:space="preserve">with costs </w:t>
      </w:r>
      <w:r w:rsidR="00D578EC">
        <w:t>that exceed</w:t>
      </w:r>
      <w:r>
        <w:t xml:space="preserve"> consumers’ willingness to pay. </w:t>
      </w:r>
    </w:p>
    <w:p w:rsidR="00571F3B" w:rsidRDefault="00571F3B" w:rsidP="00571F3B">
      <w:pPr>
        <w:pStyle w:val="BodyText"/>
      </w:pPr>
      <w:r>
        <w:t>The benefits of re-aligning standards to meet consumer</w:t>
      </w:r>
      <w:r w:rsidR="0009738B">
        <w:t xml:space="preserve"> preferences appear to be large. </w:t>
      </w:r>
      <w:r w:rsidR="00F7411C">
        <w:t>S</w:t>
      </w:r>
      <w:r w:rsidRPr="00844358">
        <w:t xml:space="preserve">ome </w:t>
      </w:r>
      <w:r>
        <w:t xml:space="preserve">benefits </w:t>
      </w:r>
      <w:r w:rsidRPr="00844358">
        <w:t xml:space="preserve">could be realised soon after jurisdictions agree to </w:t>
      </w:r>
      <w:r w:rsidR="007F0E02">
        <w:t>a</w:t>
      </w:r>
      <w:r w:rsidRPr="00844358">
        <w:t xml:space="preserve"> new framework</w:t>
      </w:r>
      <w:r>
        <w:t xml:space="preserve">. </w:t>
      </w:r>
      <w:r w:rsidR="00FC368B" w:rsidRPr="00FC368B">
        <w:t xml:space="preserve">For example, </w:t>
      </w:r>
      <w:r w:rsidR="00FF2C72">
        <w:t>AEMO</w:t>
      </w:r>
      <w:r w:rsidR="00FC368B" w:rsidRPr="00FC368B">
        <w:t xml:space="preserve"> cite</w:t>
      </w:r>
      <w:r w:rsidR="00FC368B">
        <w:t>d</w:t>
      </w:r>
      <w:r w:rsidR="00FC368B" w:rsidRPr="00FC368B">
        <w:t xml:space="preserve"> a proposed investment in New South Wales to meet a </w:t>
      </w:r>
      <w:r w:rsidR="00FC368B">
        <w:t xml:space="preserve">‘deterministic’ </w:t>
      </w:r>
      <w:r w:rsidR="00FC368B" w:rsidRPr="00FC368B">
        <w:t xml:space="preserve">standard that implied </w:t>
      </w:r>
      <w:r w:rsidR="00FC368B">
        <w:t xml:space="preserve">that customers valued their electricity at around $9 million per MWh (an estimated 150 times more than consumers would be willing to pay). </w:t>
      </w:r>
    </w:p>
    <w:p w:rsidR="00571F3B" w:rsidRDefault="00571F3B" w:rsidP="00571F3B">
      <w:pPr>
        <w:pStyle w:val="BodyText"/>
      </w:pPr>
      <w:r>
        <w:t>There are two principal sources of difficult</w:t>
      </w:r>
      <w:r w:rsidR="00E57305">
        <w:t>y</w:t>
      </w:r>
      <w:r>
        <w:t xml:space="preserve"> with reliability standards</w:t>
      </w:r>
      <w:r w:rsidR="00D06EF0">
        <w:t>.</w:t>
      </w:r>
    </w:p>
    <w:p w:rsidR="00571F3B" w:rsidRDefault="00571F3B" w:rsidP="00571F3B">
      <w:pPr>
        <w:pStyle w:val="ListBullet"/>
      </w:pPr>
      <w:r w:rsidRPr="00844358">
        <w:t>Parochialism</w:t>
      </w:r>
      <w:r w:rsidR="00151AC5">
        <w:t xml:space="preserve"> </w:t>
      </w:r>
      <w:r w:rsidRPr="00844358">
        <w:t>— there is no national framework for standards</w:t>
      </w:r>
      <w:r w:rsidR="009E5CFD">
        <w:t>. Jurisdictions i</w:t>
      </w:r>
      <w:r w:rsidRPr="00844358">
        <w:t>mpose different reliability requirements</w:t>
      </w:r>
      <w:r w:rsidR="00DB0E2D">
        <w:t xml:space="preserve"> (</w:t>
      </w:r>
      <w:r w:rsidR="002B3724">
        <w:t xml:space="preserve">mostly </w:t>
      </w:r>
      <w:r w:rsidR="00DB0E2D">
        <w:t>uninformed by customer preferences)</w:t>
      </w:r>
      <w:r w:rsidRPr="00844358">
        <w:t xml:space="preserve">, and measure reliability in different ways. </w:t>
      </w:r>
      <w:r w:rsidR="009B1234">
        <w:t>N</w:t>
      </w:r>
      <w:r w:rsidRPr="00844358">
        <w:t xml:space="preserve">etwork businesses and particularly transmission businesses </w:t>
      </w:r>
      <w:r w:rsidR="009B1234">
        <w:t xml:space="preserve">often appear to </w:t>
      </w:r>
      <w:r w:rsidR="009B1234" w:rsidRPr="00844358">
        <w:t xml:space="preserve">rely too heavily on </w:t>
      </w:r>
      <w:r w:rsidR="009B1234">
        <w:t>intra-state</w:t>
      </w:r>
      <w:r w:rsidR="009B1234" w:rsidRPr="00844358">
        <w:t xml:space="preserve"> network solutions</w:t>
      </w:r>
      <w:r w:rsidR="009B1234">
        <w:t xml:space="preserve"> and ignore more efficient inter-state options</w:t>
      </w:r>
      <w:r w:rsidR="009B1234" w:rsidRPr="00844358">
        <w:t xml:space="preserve"> </w:t>
      </w:r>
      <w:r w:rsidRPr="00844358">
        <w:t xml:space="preserve">— </w:t>
      </w:r>
      <w:r w:rsidR="009B1234">
        <w:t xml:space="preserve">a reliance </w:t>
      </w:r>
      <w:r w:rsidRPr="00844358">
        <w:t>reinforced by history, organisational culture</w:t>
      </w:r>
      <w:r w:rsidR="00E57305">
        <w:t>, an understandable desire to control outcomes,</w:t>
      </w:r>
      <w:r w:rsidRPr="00844358">
        <w:t xml:space="preserve"> and </w:t>
      </w:r>
      <w:r w:rsidR="009B1234">
        <w:t xml:space="preserve">a greater </w:t>
      </w:r>
      <w:r w:rsidRPr="00844358">
        <w:t xml:space="preserve">familiarity with local </w:t>
      </w:r>
      <w:r w:rsidR="009B1234">
        <w:t xml:space="preserve">rather than national </w:t>
      </w:r>
      <w:r w:rsidRPr="00844358">
        <w:t>requirements.</w:t>
      </w:r>
    </w:p>
    <w:p w:rsidR="00571F3B" w:rsidRDefault="00571F3B" w:rsidP="00571F3B">
      <w:pPr>
        <w:pStyle w:val="ListBullet"/>
      </w:pPr>
      <w:r>
        <w:t xml:space="preserve">The price–quality tradeoff is invisible to most consumers — most are unaware of the high price they pay in their electricity bills for the </w:t>
      </w:r>
      <w:r w:rsidR="00DE3171">
        <w:t xml:space="preserve">excessive </w:t>
      </w:r>
      <w:r>
        <w:t xml:space="preserve">reliability </w:t>
      </w:r>
      <w:r>
        <w:lastRenderedPageBreak/>
        <w:t xml:space="preserve">resulting from </w:t>
      </w:r>
      <w:r w:rsidR="00DE3171">
        <w:t xml:space="preserve">overly </w:t>
      </w:r>
      <w:r>
        <w:t xml:space="preserve">stringent standards. (Equally, </w:t>
      </w:r>
      <w:r w:rsidRPr="00B60223">
        <w:rPr>
          <w:i/>
        </w:rPr>
        <w:t>were</w:t>
      </w:r>
      <w:r>
        <w:t xml:space="preserve"> a lower than optimal standard to be set, </w:t>
      </w:r>
      <w:r w:rsidR="00831CAA">
        <w:t xml:space="preserve">consumers </w:t>
      </w:r>
      <w:r>
        <w:t>would not know how much they would need to pay to improve it</w:t>
      </w:r>
      <w:r w:rsidR="00FD5E6E">
        <w:t>.</w:t>
      </w:r>
      <w:r>
        <w:t xml:space="preserve">) </w:t>
      </w:r>
    </w:p>
    <w:p w:rsidR="00571F3B" w:rsidRDefault="00571F3B" w:rsidP="00571F3B">
      <w:pPr>
        <w:pStyle w:val="BodyText"/>
      </w:pPr>
      <w:r>
        <w:t xml:space="preserve">The way forward must take account of the fact that the reliability issues for distribution and transmission networks are different. </w:t>
      </w:r>
    </w:p>
    <w:p w:rsidR="00571F3B" w:rsidRDefault="00571F3B" w:rsidP="00B56AFE">
      <w:pPr>
        <w:pStyle w:val="Heading3"/>
      </w:pPr>
      <w:r>
        <w:t>Distribution networks</w:t>
      </w:r>
    </w:p>
    <w:p w:rsidR="00571F3B" w:rsidRDefault="00571F3B" w:rsidP="00571F3B">
      <w:pPr>
        <w:pStyle w:val="BodyText"/>
      </w:pPr>
      <w:r>
        <w:t xml:space="preserve">Given the greater and more timely observability of reliability problems in distribution, it </w:t>
      </w:r>
      <w:r w:rsidR="00DB0E2D">
        <w:t>should</w:t>
      </w:r>
      <w:r>
        <w:t xml:space="preserve"> be possible to relinquish current jurisdictionally prescribed input standards. Instead, </w:t>
      </w:r>
      <w:r w:rsidR="00DB0E2D">
        <w:t>the regulator should impose</w:t>
      </w:r>
      <w:r>
        <w:t xml:space="preserve"> appropriate penalties (rewards) for businesses failing (exceeding) a reliability performance target</w:t>
      </w:r>
      <w:r w:rsidR="00DB0E2D">
        <w:t xml:space="preserve">, basing the incentives on clear evidence of customers’ willingness to pay for reliability. </w:t>
      </w:r>
      <w:r>
        <w:t xml:space="preserve">This </w:t>
      </w:r>
      <w:r w:rsidR="00DB0E2D">
        <w:t xml:space="preserve">approach </w:t>
      </w:r>
      <w:r>
        <w:t xml:space="preserve">would aim to replicate the signals that customers in competitive markets send </w:t>
      </w:r>
      <w:r w:rsidR="00FC368B">
        <w:t xml:space="preserve">to </w:t>
      </w:r>
      <w:r>
        <w:t xml:space="preserve">suppliers about the tradeoffs between quality and price, allowing distribution businesses to take a commercial approach to their investments in reliability. This would lead to reliability outcomes at the local level that reflected </w:t>
      </w:r>
      <w:r w:rsidR="00DB0E2D">
        <w:t xml:space="preserve">local </w:t>
      </w:r>
      <w:r>
        <w:t>consumer preferences rather than prescriptive standards</w:t>
      </w:r>
      <w:r w:rsidR="00DB0E2D">
        <w:t>, and that</w:t>
      </w:r>
      <w:r>
        <w:t xml:space="preserve"> </w:t>
      </w:r>
      <w:r w:rsidR="00DB0E2D">
        <w:t>would encourage efficient expenditure (including for non-network solutions).</w:t>
      </w:r>
    </w:p>
    <w:p w:rsidR="00571F3B" w:rsidRDefault="00571F3B" w:rsidP="00571F3B">
      <w:pPr>
        <w:pStyle w:val="BodyText"/>
      </w:pPr>
      <w:r>
        <w:t xml:space="preserve">The new incentive regime would build on the AER’s existing </w:t>
      </w:r>
      <w:r w:rsidRPr="00903D9D">
        <w:t>Service Target Performance Incentive Scheme</w:t>
      </w:r>
      <w:r>
        <w:t xml:space="preserve"> (STPIS), which penalises/rewards businesses for their reliability performance. As well as applying all components of the Scheme to distribution businesses throughout the </w:t>
      </w:r>
      <w:r w:rsidR="009E5CFD">
        <w:t>NEM</w:t>
      </w:r>
      <w:r>
        <w:t xml:space="preserve">, the Commission proposes that incentives for performance be based on </w:t>
      </w:r>
      <w:r w:rsidR="00BC2D5B">
        <w:t>an up-to-date assessment of the value that the relevant mix of customers place on reliability.</w:t>
      </w:r>
      <w:r>
        <w:t xml:space="preserve"> Bolstering the reporting requirements under the Scheme would also increase transparency and facilitate benchmarking. An amended STPIS would remove the need for jurisdictionally</w:t>
      </w:r>
      <w:r w:rsidR="004011C2">
        <w:noBreakHyphen/>
      </w:r>
      <w:r>
        <w:t xml:space="preserve">based reliability requirements for distribution businesses. </w:t>
      </w:r>
    </w:p>
    <w:p w:rsidR="00571F3B" w:rsidRDefault="00CE2F2F" w:rsidP="00B56AFE">
      <w:pPr>
        <w:pStyle w:val="Heading3"/>
      </w:pPr>
      <w:r>
        <w:t>Reliability in t</w:t>
      </w:r>
      <w:r w:rsidR="00571F3B">
        <w:t>ransmission networks</w:t>
      </w:r>
      <w:r>
        <w:t xml:space="preserve"> has proven to be a complex and controversial issue</w:t>
      </w:r>
    </w:p>
    <w:p w:rsidR="00E35746" w:rsidRDefault="00571F3B" w:rsidP="00571F3B">
      <w:pPr>
        <w:pStyle w:val="BodyText"/>
      </w:pPr>
      <w:r>
        <w:t xml:space="preserve">Unlike distribution networks, transmission networks rarely experience major problems. Problems in transmission can lie latent until major loads and coincident failures in generation or network equipment overstretch the system. The resulting extreme power outages can then affect large populations and entail high costs. For example, in an international context, a major blackout in North America in 2003 led to power loss for up to two days for 50 million people, costing around $6 billion at that time and contributing to 11 deaths. </w:t>
      </w:r>
    </w:p>
    <w:p w:rsidR="00571F3B" w:rsidRDefault="00E35746" w:rsidP="00571F3B">
      <w:pPr>
        <w:pStyle w:val="BodyText"/>
      </w:pPr>
      <w:r>
        <w:lastRenderedPageBreak/>
        <w:t>Accordingly, the</w:t>
      </w:r>
      <w:r w:rsidR="00571F3B">
        <w:t xml:space="preserve"> prospects of relying exclusively on an incentive scheme similar to the STPIS are weak because of the rarity of such events, the lack of good leading reliability indicators (and the potential financial inability of a network business to </w:t>
      </w:r>
      <w:r w:rsidR="00535907">
        <w:t xml:space="preserve">adequately </w:t>
      </w:r>
      <w:r w:rsidR="00571F3B">
        <w:t>compensate consumers for the large damages experienced).</w:t>
      </w:r>
    </w:p>
    <w:p w:rsidR="00571F3B" w:rsidRDefault="00571F3B" w:rsidP="00571F3B">
      <w:pPr>
        <w:pStyle w:val="BodyText"/>
      </w:pPr>
      <w:r>
        <w:t xml:space="preserve">Another </w:t>
      </w:r>
      <w:r w:rsidR="00535907">
        <w:t>characteristic</w:t>
      </w:r>
      <w:r>
        <w:t xml:space="preserve"> of transmission networks is that power inputs into the network at any one point (say North Queensland) </w:t>
      </w:r>
      <w:r w:rsidR="002B3724">
        <w:t xml:space="preserve">can </w:t>
      </w:r>
      <w:r>
        <w:t>affect transmission networks thousands of kilometres away. Interruptions or changes can have adverse impacts on other networks in the NEM, including major blackouts</w:t>
      </w:r>
      <w:r w:rsidR="00900B5B">
        <w:t>,</w:t>
      </w:r>
      <w:r>
        <w:t xml:space="preserve"> if the system becomes unstable. As the NEM becomes more interconnected, network effects are likely to increase. Reliability standards </w:t>
      </w:r>
      <w:r w:rsidR="00F75539">
        <w:t xml:space="preserve">and investment plans </w:t>
      </w:r>
      <w:r>
        <w:t>that are specific to a jurisdiction (or a network) do not consider these inter-jurisdictional network effects</w:t>
      </w:r>
      <w:r w:rsidR="002D34CD">
        <w:t xml:space="preserve">, although this </w:t>
      </w:r>
      <w:r w:rsidR="00571664">
        <w:t xml:space="preserve">is </w:t>
      </w:r>
      <w:r w:rsidR="002D34CD">
        <w:t>somewhat different in Victoria</w:t>
      </w:r>
      <w:r w:rsidR="00F408FB">
        <w:t xml:space="preserve">. Accordingly, </w:t>
      </w:r>
      <w:r w:rsidR="0071227E">
        <w:t>current requirements</w:t>
      </w:r>
      <w:r>
        <w:t xml:space="preserve"> that encourage transmission businesses to optimise only their own networks </w:t>
      </w:r>
      <w:r w:rsidR="0071227E">
        <w:t>do</w:t>
      </w:r>
      <w:r>
        <w:t xml:space="preserve"> not provide </w:t>
      </w:r>
      <w:r w:rsidR="0071227E">
        <w:t>an</w:t>
      </w:r>
      <w:r>
        <w:t xml:space="preserve"> efficient level of reliability</w:t>
      </w:r>
      <w:r w:rsidR="00E35746">
        <w:t xml:space="preserve"> for the NEM as a whole</w:t>
      </w:r>
      <w:r>
        <w:t xml:space="preserve">. </w:t>
      </w:r>
    </w:p>
    <w:p w:rsidR="00F408FB" w:rsidRDefault="00571F3B" w:rsidP="00571F3B">
      <w:pPr>
        <w:pStyle w:val="BodyText"/>
      </w:pPr>
      <w:r>
        <w:t xml:space="preserve">It should be emphasised that there are no easy solutions for ensuring efficient transmission reliability and planning in the NEM (and indeed this is the experience internationally). All arrangements </w:t>
      </w:r>
      <w:r w:rsidR="00831CAA">
        <w:t xml:space="preserve">will </w:t>
      </w:r>
      <w:r>
        <w:t>involve ‘big brother’ in one form or another, whether it be governments, a confederation of networ</w:t>
      </w:r>
      <w:r w:rsidR="00EB14B5">
        <w:t xml:space="preserve">k businesses, or a single body. Compromises and judgments must be made. </w:t>
      </w:r>
      <w:r>
        <w:t xml:space="preserve">A combination of transparency, accountability, consultation, specialist knowledge, </w:t>
      </w:r>
      <w:r w:rsidR="00F75539">
        <w:t>decision</w:t>
      </w:r>
      <w:r w:rsidR="00F75539">
        <w:noBreakHyphen/>
        <w:t xml:space="preserve">making </w:t>
      </w:r>
      <w:r>
        <w:t xml:space="preserve">independent </w:t>
      </w:r>
      <w:r w:rsidR="00F75539">
        <w:t xml:space="preserve">of the transmission businesses </w:t>
      </w:r>
      <w:r>
        <w:t>and giving pre-eminence to consumer preferences are the essential components of a workable arrangement.</w:t>
      </w:r>
      <w:r w:rsidR="0071227E">
        <w:t xml:space="preserve"> </w:t>
      </w:r>
    </w:p>
    <w:p w:rsidR="00CF4B3D" w:rsidRDefault="00CF4B3D" w:rsidP="00571F3B">
      <w:pPr>
        <w:pStyle w:val="BodyText"/>
      </w:pPr>
      <w:r>
        <w:t xml:space="preserve">Most stakeholders — all governments, the AEMC, </w:t>
      </w:r>
      <w:r w:rsidR="00FF2C72">
        <w:t>AEMO</w:t>
      </w:r>
      <w:r>
        <w:t xml:space="preserve"> and transmission businesses — agree that the current prescriptive reliability arrangements are flawed. There are many commonalities in the various solutions proposed. The Commission has drawn on the different proposals </w:t>
      </w:r>
      <w:r w:rsidR="00535907">
        <w:t xml:space="preserve">by the AEMC, </w:t>
      </w:r>
      <w:r w:rsidR="00571664">
        <w:t xml:space="preserve">AEMO, </w:t>
      </w:r>
      <w:r w:rsidR="00CE2F2F">
        <w:t>Grid Australia</w:t>
      </w:r>
      <w:r w:rsidR="00535907">
        <w:t>, and feedback following the Commission’s draft report</w:t>
      </w:r>
      <w:r w:rsidR="00F75539">
        <w:t>,</w:t>
      </w:r>
      <w:r w:rsidR="00CE2F2F">
        <w:t xml:space="preserve"> </w:t>
      </w:r>
      <w:r>
        <w:t>in crafting a model that takes a</w:t>
      </w:r>
      <w:r w:rsidR="006F164B">
        <w:t>ccount of the various tradeoffs.</w:t>
      </w:r>
    </w:p>
    <w:p w:rsidR="00571F3B" w:rsidRDefault="00516A29" w:rsidP="00BA5177">
      <w:pPr>
        <w:pStyle w:val="ListBullet"/>
      </w:pPr>
      <w:r>
        <w:t xml:space="preserve">There would be </w:t>
      </w:r>
      <w:r w:rsidR="00571F3B" w:rsidRPr="00AA558D">
        <w:t>a single NEM-wide reliability framework for transmission,</w:t>
      </w:r>
      <w:r w:rsidR="00571F3B">
        <w:t xml:space="preserve"> </w:t>
      </w:r>
      <w:r w:rsidR="00DB07BA">
        <w:t>moving away from the current state-based arrangements. This</w:t>
      </w:r>
      <w:r w:rsidR="00571F3B">
        <w:t xml:space="preserve"> would make network planning more coherent and avoid some of the biases towards intra-regional transmission infrastructure compared with interconnectors or other solutions</w:t>
      </w:r>
      <w:r w:rsidR="00416BD0">
        <w:t>.</w:t>
      </w:r>
    </w:p>
    <w:p w:rsidR="00E35746" w:rsidRDefault="00E35746" w:rsidP="00E35746">
      <w:pPr>
        <w:pStyle w:val="ListBullet"/>
      </w:pPr>
      <w:r>
        <w:t xml:space="preserve">AEMO would </w:t>
      </w:r>
      <w:r w:rsidRPr="00E35746">
        <w:t xml:space="preserve">set planning standards at the connection point level using a ‘probabilistic approach’. Under </w:t>
      </w:r>
      <w:r>
        <w:t xml:space="preserve">this </w:t>
      </w:r>
      <w:r w:rsidRPr="00E35746">
        <w:t>approach, the costs of an improvement in reliability are set against the assessed value to consumers of this improved reliability at the jurisdictional, or even more local level. This is simply a cost–benefit test. The new model</w:t>
      </w:r>
      <w:r w:rsidR="0005041C">
        <w:t xml:space="preserve"> (based on </w:t>
      </w:r>
      <w:r w:rsidR="00F75539">
        <w:t>Australian Bureau of Statistics</w:t>
      </w:r>
      <w:r w:rsidR="0005041C">
        <w:t xml:space="preserve"> </w:t>
      </w:r>
      <w:r w:rsidR="00F75539">
        <w:t>surveys</w:t>
      </w:r>
      <w:r w:rsidR="0005041C">
        <w:t>)</w:t>
      </w:r>
      <w:r w:rsidRPr="00E35746">
        <w:t xml:space="preserve"> </w:t>
      </w:r>
      <w:r w:rsidRPr="00E35746">
        <w:lastRenderedPageBreak/>
        <w:t xml:space="preserve">would better cater for customer preferences than the current mechanistically set reliability standards. AEMO would also use this modelling to develop its National Transmission Network Development Plan to assist transmission businesses in their investment decisions. </w:t>
      </w:r>
    </w:p>
    <w:p w:rsidR="00237C13" w:rsidRDefault="00237C13" w:rsidP="00516A29">
      <w:pPr>
        <w:pStyle w:val="ListBullet"/>
      </w:pPr>
      <w:r>
        <w:t xml:space="preserve">Transmission businesses would distinguish between </w:t>
      </w:r>
      <w:r w:rsidR="00516A29">
        <w:t>‘</w:t>
      </w:r>
      <w:r>
        <w:t>s</w:t>
      </w:r>
      <w:r w:rsidR="00516A29">
        <w:t xml:space="preserve">mall’ </w:t>
      </w:r>
      <w:r>
        <w:t>(</w:t>
      </w:r>
      <w:r w:rsidR="00F75539">
        <w:t xml:space="preserve">less than </w:t>
      </w:r>
      <w:r>
        <w:t>$</w:t>
      </w:r>
      <w:r w:rsidR="00662EE6">
        <w:t>38</w:t>
      </w:r>
      <w:r>
        <w:t xml:space="preserve"> million) and </w:t>
      </w:r>
      <w:r w:rsidR="00E35746">
        <w:t>‘</w:t>
      </w:r>
      <w:r>
        <w:t>large</w:t>
      </w:r>
      <w:r w:rsidR="00E35746">
        <w:t>’</w:t>
      </w:r>
      <w:r>
        <w:t xml:space="preserve"> </w:t>
      </w:r>
      <w:r w:rsidR="00516A29">
        <w:t xml:space="preserve">transmission investment projects </w:t>
      </w:r>
      <w:r>
        <w:t>needed</w:t>
      </w:r>
      <w:r w:rsidR="00516A29">
        <w:t xml:space="preserve"> </w:t>
      </w:r>
      <w:r>
        <w:t xml:space="preserve">to meet the standards set by AEMO. The former would be included as just one of the many expenditure items that comprise the ex ante </w:t>
      </w:r>
      <w:r w:rsidR="00C70D5E">
        <w:t>proposals</w:t>
      </w:r>
      <w:r>
        <w:t xml:space="preserve"> by transmission businesses for revenue allowances under incentive regulations. In the ensuing regulatory period, the businesses could freely choose the timing and type of expenditure needed to meet the standard (including opex and demand management). They would not be obliged to proceed with the </w:t>
      </w:r>
      <w:r w:rsidR="00C70D5E">
        <w:t xml:space="preserve">specific </w:t>
      </w:r>
      <w:r>
        <w:t>investments flagged in their ex ante bid.</w:t>
      </w:r>
      <w:r w:rsidR="00CE2F2F">
        <w:t xml:space="preserve"> </w:t>
      </w:r>
    </w:p>
    <w:p w:rsidR="00571F3B" w:rsidRDefault="00237C13" w:rsidP="00CE2F2F">
      <w:pPr>
        <w:pStyle w:val="ListBullet"/>
      </w:pPr>
      <w:r>
        <w:t xml:space="preserve">In contrast, large </w:t>
      </w:r>
      <w:r w:rsidR="003E664A">
        <w:t>projects</w:t>
      </w:r>
      <w:r>
        <w:t xml:space="preserve"> </w:t>
      </w:r>
      <w:r w:rsidR="00F75539">
        <w:t xml:space="preserve">(above $38 million) </w:t>
      </w:r>
      <w:r>
        <w:t xml:space="preserve">would be subject to </w:t>
      </w:r>
      <w:r w:rsidR="003E664A">
        <w:t xml:space="preserve">stringent </w:t>
      </w:r>
      <w:r w:rsidR="00F75539">
        <w:t xml:space="preserve">and transparent </w:t>
      </w:r>
      <w:r w:rsidR="003E664A">
        <w:t>cost</w:t>
      </w:r>
      <w:r w:rsidR="00BF755E">
        <w:t>–</w:t>
      </w:r>
      <w:r w:rsidR="003E664A">
        <w:t>benefit analysis</w:t>
      </w:r>
      <w:r w:rsidR="00070127">
        <w:t xml:space="preserve"> </w:t>
      </w:r>
      <w:r w:rsidR="00CE2F2F">
        <w:t xml:space="preserve">undertaken by the transmission business </w:t>
      </w:r>
      <w:r w:rsidR="00070127">
        <w:t xml:space="preserve">using updated information closer to the time of project commencement. </w:t>
      </w:r>
      <w:r w:rsidR="00C70D5E">
        <w:t xml:space="preserve">In assessing whether the timing, scale or the type of expenditure was efficient, the AER would take advice from </w:t>
      </w:r>
      <w:r w:rsidR="00070127">
        <w:t>AEMO. The cost</w:t>
      </w:r>
      <w:r w:rsidR="00BF755E">
        <w:t>–</w:t>
      </w:r>
      <w:r w:rsidR="00070127">
        <w:t xml:space="preserve">benefit test would be based on a strengthened Regulatory Investment </w:t>
      </w:r>
      <w:r w:rsidR="00F3661B">
        <w:t xml:space="preserve">Test </w:t>
      </w:r>
      <w:r w:rsidR="00070127">
        <w:t>for Transmission, the RIT</w:t>
      </w:r>
      <w:r w:rsidR="00070127">
        <w:noBreakHyphen/>
        <w:t xml:space="preserve">T. (Currently, the words ‘regulatory’ and ‘test’ are flimsy limbs to the </w:t>
      </w:r>
      <w:r w:rsidR="002E0548">
        <w:t>title</w:t>
      </w:r>
      <w:r w:rsidR="00070127">
        <w:t xml:space="preserve"> — since there is no independent assessment of costs and benefits, and no real regulatory consequences following </w:t>
      </w:r>
      <w:r w:rsidR="00CE2F2F">
        <w:t>an inadequate</w:t>
      </w:r>
      <w:r w:rsidR="00070127">
        <w:t xml:space="preserve"> ‘test’.) The revenue to fund large projects would be provided by the AER outside the general revenue</w:t>
      </w:r>
      <w:r w:rsidR="002E0548">
        <w:t xml:space="preserve"> </w:t>
      </w:r>
      <w:r w:rsidR="00070127">
        <w:t>determination process</w:t>
      </w:r>
      <w:r w:rsidR="00E35746">
        <w:t xml:space="preserve"> and only if the project passed a cost</w:t>
      </w:r>
      <w:r w:rsidR="00BF755E">
        <w:t>–</w:t>
      </w:r>
      <w:r w:rsidR="00E35746">
        <w:t>benefit test</w:t>
      </w:r>
      <w:r w:rsidR="00070127">
        <w:t xml:space="preserve">. A business would be able to keep </w:t>
      </w:r>
      <w:r w:rsidR="00582FB8">
        <w:t xml:space="preserve">a proportion </w:t>
      </w:r>
      <w:r w:rsidR="00070127">
        <w:t>of any cost</w:t>
      </w:r>
      <w:r w:rsidR="002E0548">
        <w:noBreakHyphen/>
      </w:r>
      <w:r w:rsidR="00070127">
        <w:t>savings it made</w:t>
      </w:r>
      <w:r w:rsidR="00CE2F2F">
        <w:t xml:space="preserve"> in undertaking the project</w:t>
      </w:r>
      <w:r w:rsidR="00070127">
        <w:t>, but could not decide to shelve an approved project</w:t>
      </w:r>
      <w:r w:rsidR="00CE2F2F">
        <w:t xml:space="preserve"> (since to do so would undermine the goal of </w:t>
      </w:r>
      <w:r w:rsidR="00F75539">
        <w:t xml:space="preserve">efficiently </w:t>
      </w:r>
      <w:r w:rsidR="00CE2F2F">
        <w:t>resolving significant impending system reliability problems).</w:t>
      </w:r>
    </w:p>
    <w:p w:rsidR="00416BD0" w:rsidRDefault="00571F3B" w:rsidP="00571F3B">
      <w:pPr>
        <w:pStyle w:val="BodyText"/>
      </w:pPr>
      <w:r>
        <w:t>This approach does not involve significant uncertainty</w:t>
      </w:r>
      <w:r w:rsidR="00CE2F2F">
        <w:t xml:space="preserve"> since it blends a model already in existence in Victoria with </w:t>
      </w:r>
      <w:r w:rsidR="00416BD0">
        <w:t xml:space="preserve">an alternative model </w:t>
      </w:r>
      <w:r w:rsidR="00CE2F2F">
        <w:t xml:space="preserve">that transmission businesses </w:t>
      </w:r>
      <w:r w:rsidR="00416BD0">
        <w:t xml:space="preserve">generally </w:t>
      </w:r>
      <w:r w:rsidR="00CE2F2F">
        <w:t>find acceptable</w:t>
      </w:r>
      <w:r>
        <w:t xml:space="preserve">. </w:t>
      </w:r>
    </w:p>
    <w:p w:rsidR="0011544F" w:rsidRDefault="00736564" w:rsidP="00062187">
      <w:pPr>
        <w:pStyle w:val="BodyText"/>
      </w:pPr>
      <w:r>
        <w:t xml:space="preserve">The danger of preserving parochialism is one of the largest risks to any </w:t>
      </w:r>
      <w:r w:rsidR="00E90EF0">
        <w:t xml:space="preserve">new </w:t>
      </w:r>
      <w:r>
        <w:t xml:space="preserve">coherent transmission reliability framework. Some envisage an arrangement in which states would appoint their own regional planners to undertake the probabilistic analysis above. This would </w:t>
      </w:r>
      <w:r w:rsidR="00032A87">
        <w:t>significantly add to</w:t>
      </w:r>
      <w:r>
        <w:t xml:space="preserve"> costs</w:t>
      </w:r>
      <w:r w:rsidR="00E90EF0">
        <w:t>;</w:t>
      </w:r>
      <w:r>
        <w:t xml:space="preserve"> invite whimsi</w:t>
      </w:r>
      <w:r w:rsidR="00E90EF0">
        <w:t>cal methodological differences;</w:t>
      </w:r>
      <w:r>
        <w:t xml:space="preserve"> </w:t>
      </w:r>
      <w:r w:rsidR="00F75539">
        <w:t xml:space="preserve">fail to capture national learning; </w:t>
      </w:r>
      <w:r>
        <w:t xml:space="preserve">would </w:t>
      </w:r>
      <w:r w:rsidR="00E90EF0">
        <w:t>address</w:t>
      </w:r>
      <w:r>
        <w:t xml:space="preserve"> NEM</w:t>
      </w:r>
      <w:r w:rsidR="00AE01A2">
        <w:noBreakHyphen/>
      </w:r>
      <w:r>
        <w:t>wide effects in, at best, a clumsy</w:t>
      </w:r>
      <w:r w:rsidR="00032A87">
        <w:t>, inefficient</w:t>
      </w:r>
      <w:r>
        <w:t xml:space="preserve"> and incomplete way</w:t>
      </w:r>
      <w:r w:rsidR="00E90EF0">
        <w:t>;</w:t>
      </w:r>
      <w:r>
        <w:t xml:space="preserve"> and most problematically</w:t>
      </w:r>
      <w:r w:rsidR="00E90EF0">
        <w:t>,</w:t>
      </w:r>
      <w:r>
        <w:t xml:space="preserve"> allow the </w:t>
      </w:r>
      <w:r w:rsidR="00C70D5E">
        <w:t xml:space="preserve">potential </w:t>
      </w:r>
      <w:r>
        <w:t xml:space="preserve">intrusion of political factors into what is fundamentally a technical issue. </w:t>
      </w:r>
      <w:r w:rsidR="00E90EF0">
        <w:t xml:space="preserve">It would be bizarre </w:t>
      </w:r>
      <w:r w:rsidR="00F75539">
        <w:t>if</w:t>
      </w:r>
      <w:r w:rsidR="00E90EF0">
        <w:t xml:space="preserve"> regulatory customs that were </w:t>
      </w:r>
      <w:r w:rsidR="00E90EF0">
        <w:lastRenderedPageBreak/>
        <w:t>reasonable enough when electricity networks were isolated within state boundaries persist</w:t>
      </w:r>
      <w:r w:rsidR="00571664">
        <w:t>ed</w:t>
      </w:r>
      <w:r w:rsidR="00E90EF0">
        <w:t xml:space="preserve"> when the wires spanned the borders.</w:t>
      </w:r>
      <w:r>
        <w:t xml:space="preserve"> </w:t>
      </w:r>
    </w:p>
    <w:p w:rsidR="00AE10B2" w:rsidRDefault="00457B0C" w:rsidP="00062187">
      <w:pPr>
        <w:pStyle w:val="BodyText"/>
      </w:pPr>
      <w:r>
        <w:t>Implementation of the new recommended framework would occur over an extended period, e</w:t>
      </w:r>
      <w:r w:rsidR="00FD1725">
        <w:t xml:space="preserve">ven if </w:t>
      </w:r>
      <w:r w:rsidR="00032A87">
        <w:t>the current</w:t>
      </w:r>
      <w:r w:rsidR="00FD1725">
        <w:t xml:space="preserve"> excessively slow decision-making processes were overhauled</w:t>
      </w:r>
      <w:r w:rsidR="00032A87">
        <w:t xml:space="preserve"> and accelerated</w:t>
      </w:r>
      <w:r w:rsidR="00FD1725">
        <w:t xml:space="preserve"> (as discussed later)</w:t>
      </w:r>
      <w:r>
        <w:t>. S</w:t>
      </w:r>
      <w:r w:rsidR="00062187">
        <w:t xml:space="preserve">tate and territory governments </w:t>
      </w:r>
      <w:r w:rsidR="00FD1725">
        <w:t>would</w:t>
      </w:r>
      <w:r w:rsidR="00062187">
        <w:t xml:space="preserve"> </w:t>
      </w:r>
      <w:r w:rsidR="00FD1725">
        <w:t xml:space="preserve">still </w:t>
      </w:r>
      <w:r w:rsidR="00062187">
        <w:t>have an extended period to plan</w:t>
      </w:r>
      <w:r>
        <w:t>.</w:t>
      </w:r>
      <w:r w:rsidR="00062187">
        <w:t xml:space="preserve"> </w:t>
      </w:r>
      <w:r>
        <w:t>Thus, t</w:t>
      </w:r>
      <w:r w:rsidR="00032A87">
        <w:t>he proposed r</w:t>
      </w:r>
      <w:r w:rsidR="00062187">
        <w:t xml:space="preserve">eform will </w:t>
      </w:r>
      <w:r w:rsidR="00553D4E">
        <w:t xml:space="preserve">not </w:t>
      </w:r>
      <w:r w:rsidR="00D13E96">
        <w:t>be</w:t>
      </w:r>
      <w:r w:rsidR="00062187">
        <w:t xml:space="preserve"> </w:t>
      </w:r>
      <w:r w:rsidR="00D13E96">
        <w:t>a</w:t>
      </w:r>
      <w:r w:rsidR="00062187">
        <w:t xml:space="preserve"> disruptive </w:t>
      </w:r>
      <w:r w:rsidR="00D13E96">
        <w:t xml:space="preserve">and </w:t>
      </w:r>
      <w:r w:rsidR="00062187">
        <w:t>sudden shock to existing planning arrangements in any jurisdiction</w:t>
      </w:r>
      <w:r w:rsidR="00911511">
        <w:t>, and therefore there should be few transition costs</w:t>
      </w:r>
      <w:r w:rsidR="00062187">
        <w:t xml:space="preserve">. </w:t>
      </w:r>
    </w:p>
    <w:p w:rsidR="00C72455" w:rsidRDefault="00DE7C91" w:rsidP="0084789E">
      <w:pPr>
        <w:pStyle w:val="BodyText"/>
      </w:pPr>
      <w:r>
        <w:t xml:space="preserve">This is likely to be particularly pertinent to Victoria, which already has a more advanced reliability and planning framework than other jurisdictions, and which might be reluctant to shift given the tradeoff between the </w:t>
      </w:r>
      <w:r w:rsidR="00AE10B2">
        <w:t>smaller</w:t>
      </w:r>
      <w:r>
        <w:t xml:space="preserve"> benefits of reform for that state and any transitional costs. However, the degree of </w:t>
      </w:r>
      <w:r w:rsidR="00AE10B2">
        <w:t xml:space="preserve">regulatory </w:t>
      </w:r>
      <w:r>
        <w:t xml:space="preserve">change for Victoria is </w:t>
      </w:r>
      <w:r w:rsidR="00AE10B2">
        <w:t xml:space="preserve">much </w:t>
      </w:r>
      <w:r>
        <w:t>less than other jurisdictions and</w:t>
      </w:r>
      <w:r w:rsidR="00AE10B2">
        <w:t>,</w:t>
      </w:r>
      <w:r>
        <w:t xml:space="preserve"> given the timing of regulatory determinations, the Victorian transmission business would </w:t>
      </w:r>
      <w:r w:rsidR="00571664">
        <w:t xml:space="preserve">not </w:t>
      </w:r>
      <w:r>
        <w:t xml:space="preserve">be one of the </w:t>
      </w:r>
      <w:r w:rsidR="00571664">
        <w:t>first</w:t>
      </w:r>
      <w:r>
        <w:t xml:space="preserve"> to be covered</w:t>
      </w:r>
      <w:r w:rsidR="00AE10B2">
        <w:t xml:space="preserve"> by the new regulatory regime</w:t>
      </w:r>
      <w:r w:rsidR="00457B0C">
        <w:t>.</w:t>
      </w:r>
      <w:r>
        <w:t xml:space="preserve"> </w:t>
      </w:r>
      <w:r w:rsidR="00457B0C">
        <w:t>This means that</w:t>
      </w:r>
      <w:r>
        <w:t xml:space="preserve"> the transition cost</w:t>
      </w:r>
      <w:r w:rsidR="00AE01A2">
        <w:t>s</w:t>
      </w:r>
      <w:r>
        <w:t xml:space="preserve"> for that state would be particularly low. Given this, </w:t>
      </w:r>
      <w:r w:rsidR="00AE10B2">
        <w:t>t</w:t>
      </w:r>
      <w:r>
        <w:t xml:space="preserve">he Commission considers that Victorian consumers would </w:t>
      </w:r>
      <w:r w:rsidR="0084789E">
        <w:t xml:space="preserve">still derive net </w:t>
      </w:r>
      <w:r>
        <w:t>benefit</w:t>
      </w:r>
      <w:r w:rsidR="0084789E">
        <w:t>s</w:t>
      </w:r>
      <w:r>
        <w:t xml:space="preserve"> from reform.</w:t>
      </w:r>
      <w:r w:rsidR="0084789E">
        <w:t xml:space="preserve"> </w:t>
      </w:r>
    </w:p>
    <w:p w:rsidR="00F408FB" w:rsidRDefault="00457B0C" w:rsidP="0084789E">
      <w:pPr>
        <w:pStyle w:val="BodyText"/>
      </w:pPr>
      <w:r>
        <w:t>R</w:t>
      </w:r>
      <w:r w:rsidR="0084789E">
        <w:t xml:space="preserve">eluctance by </w:t>
      </w:r>
      <w:r w:rsidR="0084789E" w:rsidRPr="0084789E">
        <w:rPr>
          <w:i/>
        </w:rPr>
        <w:t>any</w:t>
      </w:r>
      <w:r w:rsidR="0084789E">
        <w:t xml:space="preserve"> state to move to a unified national scheme will likely endanger the move of other states, thus threatening the delivery of the very large national savings that are available.</w:t>
      </w:r>
      <w:r w:rsidR="00032A87">
        <w:t xml:space="preserve"> A</w:t>
      </w:r>
      <w:r w:rsidR="00032A87" w:rsidRPr="00894790">
        <w:t xml:space="preserve">n efficient transmission reliability framework could produce </w:t>
      </w:r>
      <w:r w:rsidR="00032A87">
        <w:t xml:space="preserve">savings </w:t>
      </w:r>
      <w:r w:rsidR="00032A87" w:rsidRPr="00894790">
        <w:t xml:space="preserve">in the realm of </w:t>
      </w:r>
      <w:r w:rsidR="00640EA1">
        <w:t>$2.2 billion</w:t>
      </w:r>
      <w:r w:rsidR="00BC771F">
        <w:t xml:space="preserve"> to $3.8 billion over 30 </w:t>
      </w:r>
      <w:r w:rsidR="00640EA1">
        <w:t>years</w:t>
      </w:r>
      <w:r w:rsidR="00032A87" w:rsidRPr="00894790">
        <w:t>.</w:t>
      </w:r>
    </w:p>
    <w:p w:rsidR="00C26020" w:rsidRDefault="00C26020" w:rsidP="00C26020">
      <w:pPr>
        <w:pStyle w:val="Heading2"/>
      </w:pPr>
      <w:r>
        <w:t>Demand management is weak</w:t>
      </w:r>
    </w:p>
    <w:p w:rsidR="00C26020" w:rsidRDefault="00C26020" w:rsidP="00C26020">
      <w:pPr>
        <w:pStyle w:val="BodyText"/>
      </w:pPr>
      <w:r>
        <w:t>Network and generation capacity is based on meeting peak,</w:t>
      </w:r>
      <w:r w:rsidRPr="00B66AE3">
        <w:t xml:space="preserve"> </w:t>
      </w:r>
      <w:r>
        <w:t>not average, demand (figure 5). Peak demand growth has been a key driver of investment in generation and network capacity in the last five years.</w:t>
      </w:r>
      <w:r w:rsidRPr="005A569F">
        <w:t xml:space="preserve"> </w:t>
      </w:r>
      <w:r>
        <w:t xml:space="preserve">For example, in New South Wales, peak demand events occurring for less than 40 hours per year (or less than 1 per cent of the time) account for around 25 per cent of retail electricity bills. </w:t>
      </w:r>
    </w:p>
    <w:p w:rsidR="0038024D" w:rsidRDefault="0038024D" w:rsidP="0038024D">
      <w:pPr>
        <w:pStyle w:val="BodyText"/>
      </w:pPr>
      <w:r>
        <w:t>The growth in household air conditioning is the major contributor to this pattern. More generally, the costs of meeting peak demand through investment in generation and network augmentation are not fully borne by those using power at peak times. Their costs are generally spread across all consumers, with the exception of some large industrial and commercial users, which do face cost-reflective prices.</w:t>
      </w:r>
    </w:p>
    <w:p w:rsidR="0038024D" w:rsidRDefault="0038024D" w:rsidP="0038024D">
      <w:pPr>
        <w:pStyle w:val="Heading3"/>
      </w:pPr>
      <w:r>
        <w:lastRenderedPageBreak/>
        <w:t>Critical peak pricing is already occurring for large energy-intensive users</w:t>
      </w:r>
    </w:p>
    <w:p w:rsidR="0038024D" w:rsidRDefault="0038024D" w:rsidP="0038024D">
      <w:pPr>
        <w:pStyle w:val="BodyText"/>
      </w:pPr>
      <w:r>
        <w:t xml:space="preserve">While they contribute less to peak demand than households, large industrial </w:t>
      </w:r>
      <w:r w:rsidRPr="00D8240C">
        <w:t xml:space="preserve">and commercial end users tend to </w:t>
      </w:r>
      <w:r>
        <w:t>be relatively responsive to critical peak prices, and therefore can make a useful contribution to reducing network constraints at peak times. Most</w:t>
      </w:r>
      <w:r w:rsidRPr="00D8240C">
        <w:t xml:space="preserve"> </w:t>
      </w:r>
      <w:r>
        <w:t>of these</w:t>
      </w:r>
      <w:r w:rsidRPr="00D8240C">
        <w:t xml:space="preserve"> customers have the required metering, </w:t>
      </w:r>
      <w:r>
        <w:t xml:space="preserve">and some are already exposed to critical peak pricing. A first </w:t>
      </w:r>
      <w:r w:rsidRPr="00D8240C">
        <w:t xml:space="preserve">step would be to </w:t>
      </w:r>
      <w:r>
        <w:t>extend such pricing to the bulk of the remaining businesses in this group. This</w:t>
      </w:r>
      <w:r w:rsidRPr="00D8240C">
        <w:t xml:space="preserve"> could provide a relatively low cost </w:t>
      </w:r>
      <w:r>
        <w:t xml:space="preserve">and more rapidly achieved </w:t>
      </w:r>
      <w:r w:rsidRPr="00D8240C">
        <w:t xml:space="preserve">source of </w:t>
      </w:r>
      <w:r>
        <w:t xml:space="preserve">critical </w:t>
      </w:r>
      <w:r w:rsidRPr="00D8240C">
        <w:t xml:space="preserve">peak load reduction, especially </w:t>
      </w:r>
      <w:r>
        <w:t>for</w:t>
      </w:r>
      <w:r w:rsidRPr="00D8240C">
        <w:t xml:space="preserve"> transmission as</w:t>
      </w:r>
      <w:r>
        <w:t xml:space="preserve">sets. </w:t>
      </w:r>
    </w:p>
    <w:p w:rsidR="00C26020" w:rsidRDefault="00C26020" w:rsidP="00C26020">
      <w:pPr>
        <w:pStyle w:val="FigureTitle"/>
        <w:keepNext w:val="0"/>
        <w:keepLines w:val="0"/>
      </w:pPr>
      <w:r>
        <w:rPr>
          <w:b w:val="0"/>
        </w:rPr>
        <w:t xml:space="preserve">Figure </w:t>
      </w:r>
      <w:r>
        <w:rPr>
          <w:b w:val="0"/>
          <w:noProof/>
        </w:rPr>
        <w:t>5</w:t>
      </w:r>
      <w:r>
        <w:tab/>
        <w:t>Networks must be built for the peakiest events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C26020" w:rsidTr="00C532AB">
        <w:tc>
          <w:tcPr>
            <w:tcW w:w="8777" w:type="dxa"/>
          </w:tcPr>
          <w:p w:rsidR="00C26020" w:rsidRDefault="00C26020" w:rsidP="00C532AB">
            <w:pPr>
              <w:pStyle w:val="Figure"/>
              <w:keepNext w:val="0"/>
            </w:pPr>
            <w:r w:rsidRPr="00BB5898">
              <w:rPr>
                <w:noProof/>
              </w:rPr>
              <w:drawing>
                <wp:inline distT="0" distB="0" distL="0" distR="0" wp14:anchorId="2AD6B098" wp14:editId="09417783">
                  <wp:extent cx="5400000" cy="3705225"/>
                  <wp:effectExtent l="0" t="0" r="0" b="0"/>
                  <wp:docPr id="3" name="Chart 3" descr="Figure 5 Networks must be built for the peakiest events. This figure shows the distribution of peak demand on the NEM from 1 July 2010 to 30 July 2011, highlighting the peakiest events during this time period."/>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C26020" w:rsidRDefault="00C26020" w:rsidP="00C26020">
      <w:pPr>
        <w:pStyle w:val="BodyText"/>
      </w:pPr>
      <w:r>
        <w:t xml:space="preserve">Currently, networks (or parties acting on their behalf) pay some large industrial and </w:t>
      </w:r>
      <w:r w:rsidRPr="00D8240C">
        <w:t xml:space="preserve">commercial </w:t>
      </w:r>
      <w:r>
        <w:t xml:space="preserve">users to curtail their demand to relieve network constraints in peak demand periods. These arrangements could be extended to more businesses. As proposed in the </w:t>
      </w:r>
      <w:r w:rsidRPr="00D8240C">
        <w:t>AEMC’s Power of Choice Review</w:t>
      </w:r>
      <w:r>
        <w:t>,</w:t>
      </w:r>
      <w:r w:rsidRPr="00D8240C">
        <w:t xml:space="preserve"> </w:t>
      </w:r>
      <w:r>
        <w:t>a</w:t>
      </w:r>
      <w:r w:rsidRPr="00D8240C">
        <w:t xml:space="preserve"> complementary change would be to allow reductions in load to be </w:t>
      </w:r>
      <w:r>
        <w:t xml:space="preserve">combined and offered by ‘aggregators’ to </w:t>
      </w:r>
      <w:r w:rsidRPr="00D8240C">
        <w:t>the NEM spot market</w:t>
      </w:r>
      <w:r>
        <w:t xml:space="preserve">, though this would involve some complexities in implementation. </w:t>
      </w:r>
    </w:p>
    <w:p w:rsidR="00C26020" w:rsidRDefault="00C26020" w:rsidP="00C26020">
      <w:pPr>
        <w:pStyle w:val="Heading3"/>
      </w:pPr>
      <w:r>
        <w:lastRenderedPageBreak/>
        <w:t xml:space="preserve">The adoption of </w:t>
      </w:r>
      <w:r w:rsidR="00A9126D">
        <w:t>cost-reflective</w:t>
      </w:r>
      <w:r>
        <w:t xml:space="preserve"> pricing for households and small businesses is in its infancy</w:t>
      </w:r>
    </w:p>
    <w:p w:rsidR="00C26020" w:rsidRDefault="00C26020" w:rsidP="00C26020">
      <w:pPr>
        <w:pStyle w:val="BodyText"/>
      </w:pPr>
      <w:r>
        <w:t>Most households and smaller businesses are not exposed to time-based, c</w:t>
      </w:r>
      <w:r w:rsidRPr="006C6F51">
        <w:t>ost</w:t>
      </w:r>
      <w:r>
        <w:noBreakHyphen/>
      </w:r>
      <w:r w:rsidRPr="006C6F51">
        <w:t xml:space="preserve">reflective </w:t>
      </w:r>
      <w:r>
        <w:t xml:space="preserve">network </w:t>
      </w:r>
      <w:r w:rsidRPr="006C6F51">
        <w:t>pricing</w:t>
      </w:r>
      <w:r>
        <w:t>. Thus, such users are not encouraged to shift consumption away from peak demand periods</w:t>
      </w:r>
      <w:r w:rsidRPr="006C6F51">
        <w:t xml:space="preserve">, leading to </w:t>
      </w:r>
      <w:r>
        <w:t>hidden subsidies between peaky and non</w:t>
      </w:r>
      <w:r>
        <w:noBreakHyphen/>
        <w:t xml:space="preserve">peaky consumers, and </w:t>
      </w:r>
      <w:r w:rsidRPr="006C6F51">
        <w:t xml:space="preserve">over-investment in peak-specific investments. </w:t>
      </w:r>
      <w:r>
        <w:t>Currently, a low-income household without an air conditioner is effectively writing cheques</w:t>
      </w:r>
      <w:r w:rsidRPr="006C6F51">
        <w:t xml:space="preserve"> </w:t>
      </w:r>
      <w:r>
        <w:t xml:space="preserve">to high-income users who run air conditioners during peaky periods. For example, a household running a 2 kilowatt </w:t>
      </w:r>
      <w:r w:rsidRPr="002E4F8F">
        <w:t>(electrical input) reverse cycle air conditioner</w:t>
      </w:r>
      <w:r>
        <w:t xml:space="preserve">, and using it during peak times, receives an implicit subsidy equivalent of around $350 per year from other consumers who don’t do this. </w:t>
      </w:r>
    </w:p>
    <w:p w:rsidR="00C26020" w:rsidRDefault="00C26020" w:rsidP="00C26020">
      <w:pPr>
        <w:pStyle w:val="BodyText"/>
      </w:pPr>
      <w:r w:rsidRPr="006C6F51">
        <w:t xml:space="preserve">Accordingly, reliance on supply side investment to meet growth in peak demand is </w:t>
      </w:r>
      <w:r>
        <w:t>inefficient</w:t>
      </w:r>
      <w:r w:rsidRPr="006C6F51">
        <w:t xml:space="preserve">, </w:t>
      </w:r>
      <w:r>
        <w:t xml:space="preserve">is inequitable in some cases, and </w:t>
      </w:r>
      <w:r w:rsidRPr="006C6F51">
        <w:t>driv</w:t>
      </w:r>
      <w:r>
        <w:t>es</w:t>
      </w:r>
      <w:r w:rsidRPr="006C6F51">
        <w:t xml:space="preserve"> network prices higher than they </w:t>
      </w:r>
      <w:r>
        <w:t>need to</w:t>
      </w:r>
      <w:r w:rsidRPr="006C6F51">
        <w:t xml:space="preserve"> be.</w:t>
      </w:r>
      <w:r>
        <w:t xml:space="preserve"> Many major players have supported a change in principle, including the NEM Rule maker (the AEMC) and most peak industry bodies representing the supply chain (the Electricity Network Association, the Energy Retailers Association of Australia, and the Energy Supply Association of Australia). Various c</w:t>
      </w:r>
      <w:r w:rsidRPr="00952892">
        <w:t xml:space="preserve">onsumer groups acknowledge the benefits, but </w:t>
      </w:r>
      <w:r>
        <w:t>are concerned about</w:t>
      </w:r>
      <w:r w:rsidRPr="00952892">
        <w:t xml:space="preserve"> the risks </w:t>
      </w:r>
      <w:r>
        <w:t>for low-income consumers</w:t>
      </w:r>
      <w:r w:rsidRPr="00952892">
        <w:t>.</w:t>
      </w:r>
      <w:r>
        <w:t xml:space="preserve"> </w:t>
      </w:r>
    </w:p>
    <w:p w:rsidR="00C26020" w:rsidRDefault="00C26020" w:rsidP="00C26020">
      <w:pPr>
        <w:pStyle w:val="BodyText"/>
      </w:pPr>
      <w:r>
        <w:t xml:space="preserve">Removing such buried cross-subsidies and reducing the required investment in the network (and peaking generators) could not realistically be achieved quickly. The implementation of critical peak pricing across the entire NEM would require the universal rollout of smart meters. This would entail </w:t>
      </w:r>
      <w:r w:rsidRPr="00305B17">
        <w:t xml:space="preserve">high upfront costs, but </w:t>
      </w:r>
      <w:r>
        <w:t xml:space="preserve">would produce </w:t>
      </w:r>
      <w:r w:rsidRPr="00305B17">
        <w:t>limited savings in the many areas where there are no immediate network constraints</w:t>
      </w:r>
      <w:r>
        <w:t>. Such a ‘big-bang’ approach would be likely to fail a cost–benefit test and lead to significant consumer resistance, as occurred in Victoria. In contrast, a carefully managed and staged approach has the potential to reduce price pressures</w:t>
      </w:r>
      <w:r w:rsidRPr="00233EC3">
        <w:t xml:space="preserve"> </w:t>
      </w:r>
      <w:r>
        <w:t>significantly.</w:t>
      </w:r>
    </w:p>
    <w:p w:rsidR="00C26020" w:rsidRDefault="00C26020" w:rsidP="00C26020">
      <w:pPr>
        <w:pStyle w:val="BodyText"/>
      </w:pPr>
      <w:r>
        <w:t>It is worth mapping out the desired end point — some years away — and then ensuring there is an orderly transition. In the long run, appropriate network pricing requires several complementary policy changes.</w:t>
      </w:r>
    </w:p>
    <w:p w:rsidR="00C26020" w:rsidRDefault="00AE01A2" w:rsidP="00C26020">
      <w:pPr>
        <w:pStyle w:val="Heading4"/>
      </w:pPr>
      <w:r>
        <w:t>Cost-reflective</w:t>
      </w:r>
      <w:r w:rsidR="00C26020">
        <w:t xml:space="preserve"> pricing of network charges</w:t>
      </w:r>
    </w:p>
    <w:p w:rsidR="00C26020" w:rsidRDefault="00C26020" w:rsidP="00C26020">
      <w:pPr>
        <w:pStyle w:val="BodyText"/>
      </w:pPr>
      <w:r>
        <w:t>Time-based pricing of network charges that reflect</w:t>
      </w:r>
      <w:r w:rsidR="00AE01A2">
        <w:t xml:space="preserve"> the underlying network costs </w:t>
      </w:r>
      <w:r>
        <w:t xml:space="preserve">is an uncontroversial principle for many. The AER would ensure that the business’s network pricing proposals conformed with cost-reflective pricing, tightening the existing Rules in this area. </w:t>
      </w:r>
    </w:p>
    <w:p w:rsidR="00C26020" w:rsidRDefault="00C26020" w:rsidP="00C26020">
      <w:pPr>
        <w:pStyle w:val="BodyText"/>
      </w:pPr>
      <w:r>
        <w:lastRenderedPageBreak/>
        <w:t xml:space="preserve">The Commission has recommended the use of a revenue cap as the basis for controlling the revenue collected from customers. The alternative control mechanism — the weighted average price cap — does not appear, in practice, to have achieved its theoretically greater potential for efficient pricing. It has other disadvantages, such as the risk of significant over-recovery of revenue. Given the tightening of the pricing Rules, a revenue cap will not constrain efficient pricing. </w:t>
      </w:r>
    </w:p>
    <w:p w:rsidR="00C26020" w:rsidRDefault="00C26020" w:rsidP="00C26020">
      <w:pPr>
        <w:pStyle w:val="BodyText"/>
      </w:pPr>
      <w:r>
        <w:t>Time-based pricing would ultimately have to particularly apply to around 40 critical peak hours per year (whenever they occur). The network businesses would pass these charges onto retailers. To provide the right signals, retailers would need to reflect these charges in their tariff offerings to consumers.</w:t>
      </w:r>
    </w:p>
    <w:p w:rsidR="00C26020" w:rsidRDefault="00C26020" w:rsidP="00C26020">
      <w:pPr>
        <w:pStyle w:val="Heading4"/>
      </w:pPr>
      <w:r>
        <w:t xml:space="preserve">There is a need to signal critical peak prices to consumers in advance </w:t>
      </w:r>
    </w:p>
    <w:p w:rsidR="00C26020" w:rsidRDefault="00C26020" w:rsidP="00C26020">
      <w:pPr>
        <w:pStyle w:val="BodyText"/>
      </w:pPr>
      <w:r>
        <w:t>People need the opportunity to shift the time of their power use (hot days are predictable). In some cases, people may request that their distribution business or retailer control their key power-using appliances — mainly air-conditioning — during these peak hours (‘peak load control’). For example, they may agree to have their air conditioner remotely controlled to cap power to the compressor during the critical peak period, thus maintaining reasonable comfort levels, while cutting costs.</w:t>
      </w:r>
    </w:p>
    <w:p w:rsidR="00C26020" w:rsidRDefault="00C26020" w:rsidP="00C26020">
      <w:pPr>
        <w:pStyle w:val="Heading4"/>
      </w:pPr>
      <w:r>
        <w:t xml:space="preserve">Smart meters and other technologies are needed to achieve efficient pricing </w:t>
      </w:r>
    </w:p>
    <w:p w:rsidR="00C26020" w:rsidRDefault="00C26020" w:rsidP="00C26020">
      <w:pPr>
        <w:pStyle w:val="BodyText"/>
      </w:pPr>
      <w:r>
        <w:t xml:space="preserve">Realistically, consumers cannot be charged time-based prices unless they, </w:t>
      </w:r>
      <w:r w:rsidR="007A22AE">
        <w:t xml:space="preserve">(along with </w:t>
      </w:r>
      <w:r>
        <w:t>network businesses and retailers</w:t>
      </w:r>
      <w:r w:rsidR="007A22AE">
        <w:t>),</w:t>
      </w:r>
      <w:r>
        <w:t xml:space="preserve"> receive real</w:t>
      </w:r>
      <w:r>
        <w:noBreakHyphen/>
        <w:t xml:space="preserve">time information about usage patterns. Smart meters enable the measurement of electricity consumption over time and can achieve other (sizeable) operational efficiencies in networks, such as remote meter reading and fault detection. </w:t>
      </w:r>
    </w:p>
    <w:p w:rsidR="00C26020" w:rsidRDefault="00C26020" w:rsidP="00C26020">
      <w:pPr>
        <w:pStyle w:val="BodyText"/>
      </w:pPr>
      <w:r>
        <w:t xml:space="preserve">The Commission’s preferred approach is that, like other expenditure, distribution businesses would be able to include smart meter rollouts as part of their regulatory proposals to the AER (subject to the usual oversight by </w:t>
      </w:r>
      <w:r w:rsidR="00C51E4B">
        <w:t>the AER of the claimed need for</w:t>
      </w:r>
      <w:r>
        <w:t>,</w:t>
      </w:r>
      <w:r w:rsidR="00C51E4B">
        <w:t xml:space="preserve"> </w:t>
      </w:r>
      <w:r>
        <w:t>and efficiency of, the expenditures proposed by network businesses). Currently, the Rules effectively preclude this. As for other expenditure under incentive regulation, in the ensuing regulatory period, the businesses would be free to determine the number, timing and location of smart meters. However, under th</w:t>
      </w:r>
      <w:r w:rsidR="00480EB7">
        <w:t xml:space="preserve">e </w:t>
      </w:r>
      <w:r>
        <w:t>Regulatory Investment Test for Distribution, network businesses undertaking any significant rollout (or other large-scale investment) would have to produce a report that substantiated whether the investments passed a cost–benefit test. I</w:t>
      </w:r>
      <w:r w:rsidRPr="00417E7E">
        <w:t xml:space="preserve">ncentive arrangements intended to address the wider efficiency gains of demand </w:t>
      </w:r>
      <w:r w:rsidRPr="00417E7E">
        <w:lastRenderedPageBreak/>
        <w:t xml:space="preserve">management in other parts of the energy supply chain would need to be strengthened. </w:t>
      </w:r>
    </w:p>
    <w:p w:rsidR="00C26020" w:rsidRDefault="00C26020" w:rsidP="00C26020">
      <w:pPr>
        <w:pStyle w:val="BodyText"/>
      </w:pPr>
      <w:r w:rsidRPr="00417E7E">
        <w:t>Smart meters should be subject to an appropriate</w:t>
      </w:r>
      <w:r>
        <w:t>, preferably international,</w:t>
      </w:r>
      <w:r w:rsidRPr="00417E7E">
        <w:t xml:space="preserve"> minimum standard that allows interoperability with add-on technologies</w:t>
      </w:r>
      <w:r>
        <w:t xml:space="preserve">. All relevant parties would be able </w:t>
      </w:r>
      <w:r w:rsidRPr="00417E7E">
        <w:t>to access data</w:t>
      </w:r>
      <w:r>
        <w:t>, subject to privacy laws</w:t>
      </w:r>
      <w:r w:rsidRPr="00417E7E">
        <w:t>.</w:t>
      </w:r>
      <w:r>
        <w:t xml:space="preserve"> Retailers and third parties (given prior customer agreement) would also be able to install smart meters, make modular additions to existing smart meters, and develop complementary technologies (such as in-home displays and software apps) that help reduce</w:t>
      </w:r>
      <w:r w:rsidRPr="007762EE">
        <w:t xml:space="preserve"> </w:t>
      </w:r>
      <w:r>
        <w:t xml:space="preserve">people’s bills, while also relieving pressure on the network and generation at peak times. </w:t>
      </w:r>
      <w:r w:rsidRPr="00F1633F">
        <w:t>Retailers and third parties may choose to do this to differentiate their business proposition from competitors and make</w:t>
      </w:r>
      <w:r>
        <w:t xml:space="preserve"> it more appealing to consumers</w:t>
      </w:r>
      <w:r w:rsidR="00021EE3">
        <w:t>.</w:t>
      </w:r>
    </w:p>
    <w:p w:rsidR="00C26020" w:rsidRDefault="00C26020" w:rsidP="00C26020">
      <w:pPr>
        <w:pStyle w:val="Heading4"/>
      </w:pPr>
      <w:r>
        <w:t>Retail price regulation should be removed by 2015</w:t>
      </w:r>
    </w:p>
    <w:p w:rsidR="00C26020" w:rsidRDefault="00C26020" w:rsidP="00C26020">
      <w:pPr>
        <w:pStyle w:val="BodyText"/>
      </w:pPr>
      <w:r>
        <w:t>Continued regulation would otherwise frustrate time</w:t>
      </w:r>
      <w:r>
        <w:noBreakHyphen/>
        <w:t>based charging and stifle retail competition and innovation. In particular, with the implementation of time-based network charges, any retailers that failed to adapt their business model and continued to embed significant cross-subsidies in their tariff offers would risk losing market share (including to new-entrant retailers).</w:t>
      </w:r>
    </w:p>
    <w:p w:rsidR="00C26020" w:rsidRDefault="00C26020" w:rsidP="00C26020">
      <w:pPr>
        <w:pStyle w:val="Heading4"/>
      </w:pPr>
      <w:r>
        <w:t>The pathway to reform is crucial</w:t>
      </w:r>
    </w:p>
    <w:p w:rsidR="00C26020" w:rsidRDefault="00C26020" w:rsidP="00C26020">
      <w:pPr>
        <w:pStyle w:val="BodyText"/>
      </w:pPr>
      <w:r>
        <w:t>While specifying the long run is relatively straightforward, the pathway involves tricks and traps. Any transition would require:</w:t>
      </w:r>
    </w:p>
    <w:p w:rsidR="00C26020" w:rsidRDefault="00C26020" w:rsidP="00C26020">
      <w:pPr>
        <w:pStyle w:val="ListBullet"/>
      </w:pPr>
      <w:r>
        <w:t>the engagement of network businesses, retailers and especially consumers in the process, comprising provision of information, consultation, and a transition that takes into account the costs of change. (The process should take account of the lessons from the Victorian smart meter rollout, which experienced several major problems, and has made some consumers wary of imposed technological change in this area.)</w:t>
      </w:r>
    </w:p>
    <w:p w:rsidR="00C26020" w:rsidRDefault="00C26020" w:rsidP="00C26020">
      <w:pPr>
        <w:pStyle w:val="ListBullet"/>
      </w:pPr>
      <w:r>
        <w:t xml:space="preserve">coordination by distribution businesses of the gradual and localised rollout of smart meters to maximise their net benefits. The advantage of the Commission’s approach is that — by incorporating the decision-making into the incentive regulation regime — distribution businesses would have the right incentives (and information) to deploy meters when and where it was efficient to do so. For example, they would be most likely to roll out meters in areas subject to impending network bottlenecks, using critical peak pricing to lower peak demand, and thereby defer costly network extensions. In contrast, a NEM-wide rollout at a given time would be costly, and in many uncongested regions make </w:t>
      </w:r>
      <w:r>
        <w:lastRenderedPageBreak/>
        <w:t xml:space="preserve">no difference to the required network investments, thereby </w:t>
      </w:r>
      <w:r w:rsidR="00931BCB">
        <w:t>reducing</w:t>
      </w:r>
      <w:r>
        <w:t xml:space="preserve"> benefits. One of the further benefits of the Commission’s staged approach is that it can take account of policy decisions, learning from experiences elsewhere, and technological changes that might affect the payoff from demand management over time</w:t>
      </w:r>
    </w:p>
    <w:p w:rsidR="00C26020" w:rsidRDefault="00C26020" w:rsidP="00C26020">
      <w:pPr>
        <w:pStyle w:val="ListBullet"/>
      </w:pPr>
      <w:r>
        <w:t>sensible transitional network charges (and accompanying changes to time-based charging by retailers). The transitional arrangements might include the initial use of poorly targeted ‘time-of-use’ tariffs, which only have</w:t>
      </w:r>
      <w:r w:rsidRPr="00771F74">
        <w:t xml:space="preserve"> </w:t>
      </w:r>
      <w:r>
        <w:t>simple broad peak, off-peak and shoulder rates. While AusGrid’s experiences in New South Wales show these do not achieve major network efficiencies, they might at least raise consumer awareness that costs vary over time and may ease the adjustment path. However, financial analysis suggests that the transition to critical peak pricing should not be too slow because the rewards from critical peak pricing are the major network savings. If the transition is too slow, then the Commission’s quantitative assessment is that it would be better not to rollout smart meters in the medium term at all</w:t>
      </w:r>
    </w:p>
    <w:p w:rsidR="00C26020" w:rsidRDefault="00C26020" w:rsidP="00C26020">
      <w:pPr>
        <w:pStyle w:val="ListBullet"/>
      </w:pPr>
      <w:r>
        <w:t>endorsement of reform and a commitment by governments to achieve it in a given time frame.</w:t>
      </w:r>
    </w:p>
    <w:p w:rsidR="00C26020" w:rsidRDefault="00C26020" w:rsidP="00C26020">
      <w:pPr>
        <w:pStyle w:val="BodyText"/>
      </w:pPr>
      <w:r>
        <w:t>Given the importance of the transition and its relative complexity, the Commission proposes that the Council of Australia Governments, through the Standing Council of Energy and Resources, should oversee the process. However, it should avoid prescriptive approaches that do not take into account the cost–benefit framework described above, and should proceed without further reviews or other processes that would unnecessarily delay reform.</w:t>
      </w:r>
    </w:p>
    <w:p w:rsidR="00C26020" w:rsidRDefault="00C26020" w:rsidP="00C26020">
      <w:pPr>
        <w:pStyle w:val="BodyText"/>
      </w:pPr>
      <w:r w:rsidRPr="00DF1157">
        <w:t xml:space="preserve">If carefully implemented, </w:t>
      </w:r>
      <w:r>
        <w:t>c</w:t>
      </w:r>
      <w:r w:rsidRPr="00DF1157">
        <w:t xml:space="preserve">ritical peak pricing and the </w:t>
      </w:r>
      <w:r>
        <w:t xml:space="preserve">other benefits from </w:t>
      </w:r>
      <w:r w:rsidRPr="00DF1157">
        <w:t>roll</w:t>
      </w:r>
      <w:r>
        <w:t>ing out</w:t>
      </w:r>
      <w:r w:rsidRPr="00DF1157">
        <w:t xml:space="preserve"> smart meters could produce average savings of around $100–$</w:t>
      </w:r>
      <w:r>
        <w:t>20</w:t>
      </w:r>
      <w:r w:rsidRPr="00DF1157">
        <w:t>0 per household each year in regions with impending capacity constraints (after accountin</w:t>
      </w:r>
      <w:r>
        <w:t>g for the costs of smart meters)</w:t>
      </w:r>
      <w:r w:rsidRPr="00DF1157">
        <w:t>.</w:t>
      </w:r>
      <w:r>
        <w:t xml:space="preserve"> Even in Victoria, where the rollout process has been flawed, it now appears that some significant gains will ultimately be realised (figure 6). The Commission’s recommended approach to smart meters would mean that in other jurisdictions, the benefits from innovative tariffs and demand management would be realised sooner after any rollout, because the investments would not be driven by a mandate, but by </w:t>
      </w:r>
      <w:r w:rsidR="00C51E4B">
        <w:t>their</w:t>
      </w:r>
      <w:r>
        <w:t xml:space="preserve"> value to consumers. In some areas, the benefits could be realised reasonably soon after the critical reforms have been completed.</w:t>
      </w:r>
      <w:r w:rsidRPr="009D2993">
        <w:t xml:space="preserve"> </w:t>
      </w:r>
    </w:p>
    <w:p w:rsidR="00C26020" w:rsidRDefault="00C26020" w:rsidP="00C26020">
      <w:pPr>
        <w:pStyle w:val="BodyText"/>
      </w:pPr>
      <w:r w:rsidRPr="005E30F0">
        <w:t xml:space="preserve">A </w:t>
      </w:r>
      <w:r>
        <w:t xml:space="preserve">further </w:t>
      </w:r>
      <w:r w:rsidRPr="005E30F0">
        <w:t xml:space="preserve">critical issue is whether retail price deregulation and the capacity for cost-reflective prices would result in exposure by consumers to the </w:t>
      </w:r>
      <w:r>
        <w:t>large</w:t>
      </w:r>
      <w:r w:rsidRPr="005E30F0">
        <w:t xml:space="preserve"> fluctuations in </w:t>
      </w:r>
      <w:r w:rsidRPr="004A7F95">
        <w:rPr>
          <w:i/>
        </w:rPr>
        <w:t>wholesale</w:t>
      </w:r>
      <w:r w:rsidRPr="005E30F0">
        <w:t xml:space="preserve"> energy prices that sometimes </w:t>
      </w:r>
      <w:r>
        <w:t xml:space="preserve">(albeit rarely) </w:t>
      </w:r>
      <w:r w:rsidRPr="005E30F0">
        <w:t>occur</w:t>
      </w:r>
      <w:r>
        <w:t xml:space="preserve"> for short periods. </w:t>
      </w:r>
      <w:r>
        <w:lastRenderedPageBreak/>
        <w:t xml:space="preserve">However, </w:t>
      </w:r>
      <w:r w:rsidRPr="005E30F0">
        <w:t>even if permitted to adopt cost-reflective prices for wholesale energy variations, it is unlikely that retailers would change their current practice of hedging, or contracting with generators (thus smoothing price volatility in the wholesale energy market) for residential customers. This is because such events are not predictable — but can arise from generator failure, strategic behaviour by generators and transmission failures at any time. Consequently, it would be hard to pre-notify consumers of such pricing events.</w:t>
      </w:r>
      <w:r w:rsidRPr="009D2993">
        <w:t xml:space="preserve"> </w:t>
      </w:r>
    </w:p>
    <w:p w:rsidR="00C26020" w:rsidRDefault="00C26020" w:rsidP="00C26020">
      <w:pPr>
        <w:pStyle w:val="BodyText"/>
      </w:pPr>
      <w:r w:rsidRPr="005E30F0">
        <w:t>Nor is it clear that where the pricing events result from such unpredictable events (compared with the predictably high costs associated with network capacity built for the hottest days) that it would be efficient to pass on these volatile unhedged wholesale prices to consumers. Consumers value insurance for such unpredictable events. A retailer that failed to provide such a service would be unlikely to retain customers. Large energy users fall into a different category — and will sometimes agree (with the possible involvement of an intermediary) to voluntary load shedding in return for a fee during high price events, thus lowering their overall costs. Such firms or their intermediaries have the facility to continuously monitor five-minute interval wholesale electricity prices and have the ability to take very rapid action to curtail consumption. Households are unlikely (even with the aid of an intermediary) to ever be able to respond in this sort of manner.</w:t>
      </w:r>
    </w:p>
    <w:p w:rsidR="00C26020" w:rsidRDefault="00C26020" w:rsidP="00C26020">
      <w:pPr>
        <w:pStyle w:val="FigureTitle"/>
      </w:pPr>
      <w:r>
        <w:rPr>
          <w:b w:val="0"/>
        </w:rPr>
        <w:t>Figure 6</w:t>
      </w:r>
      <w:r>
        <w:tab/>
        <w:t>Victoria: smart meters can produce large benefits over the longer</w:t>
      </w:r>
      <w:r w:rsidR="006F164B">
        <w:t xml:space="preserve"> </w:t>
      </w:r>
      <w:r>
        <w:t xml:space="preserve">run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26020" w:rsidTr="00C532AB">
        <w:tc>
          <w:tcPr>
            <w:tcW w:w="8777" w:type="dxa"/>
          </w:tcPr>
          <w:p w:rsidR="00C26020" w:rsidRDefault="0096585D" w:rsidP="00C532AB">
            <w:pPr>
              <w:pStyle w:val="Figure"/>
            </w:pPr>
            <w:r>
              <w:rPr>
                <w:noProof/>
              </w:rPr>
              <w:drawing>
                <wp:inline distT="0" distB="0" distL="0" distR="0" wp14:anchorId="2A0934C2">
                  <wp:extent cx="5231130" cy="3182620"/>
                  <wp:effectExtent l="0" t="0" r="7620" b="0"/>
                  <wp:docPr id="189" name="Picture 189" descr="Figure 6 Victoria: smart meters can produce large benefits over the longer run. This chart shows the estimated monetary value of benefits from the Victorian smart meter rollout from 2008 to 2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31130" cy="3182620"/>
                          </a:xfrm>
                          <a:prstGeom prst="rect">
                            <a:avLst/>
                          </a:prstGeom>
                          <a:noFill/>
                        </pic:spPr>
                      </pic:pic>
                    </a:graphicData>
                  </a:graphic>
                </wp:inline>
              </w:drawing>
            </w:r>
          </w:p>
        </w:tc>
      </w:tr>
    </w:tbl>
    <w:p w:rsidR="00C26020" w:rsidRDefault="00C26020" w:rsidP="00C26020">
      <w:pPr>
        <w:pStyle w:val="Source"/>
      </w:pPr>
      <w:r>
        <w:rPr>
          <w:i/>
        </w:rPr>
        <w:t>Data source</w:t>
      </w:r>
      <w:r w:rsidRPr="00167F06">
        <w:t xml:space="preserve">: </w:t>
      </w:r>
      <w:r>
        <w:t>Deloitte (2011a</w:t>
      </w:r>
      <w:r w:rsidR="007A22AE">
        <w:t>)</w:t>
      </w:r>
      <w:r>
        <w:t>.</w:t>
      </w:r>
    </w:p>
    <w:p w:rsidR="00C26020" w:rsidRDefault="00C26020" w:rsidP="00C26020">
      <w:pPr>
        <w:pStyle w:val="Heading3"/>
      </w:pPr>
      <w:r>
        <w:lastRenderedPageBreak/>
        <w:t>Distributed generation</w:t>
      </w:r>
    </w:p>
    <w:p w:rsidR="00C26020" w:rsidRDefault="00C26020" w:rsidP="00C26020">
      <w:pPr>
        <w:pStyle w:val="BodyText"/>
      </w:pPr>
      <w:r>
        <w:t>Distributed generation — which produces power close to the point of consumption — could</w:t>
      </w:r>
      <w:r w:rsidRPr="00EE68FA">
        <w:t xml:space="preserve"> </w:t>
      </w:r>
      <w:r>
        <w:t>potentially perform a similar role to demand management. It may sometimes help to relieve network congestion, meet peak demand or improve system reliability, thereby avoiding or deferring network investment.</w:t>
      </w:r>
    </w:p>
    <w:p w:rsidR="00C26020" w:rsidRDefault="00C26020" w:rsidP="00C26020">
      <w:pPr>
        <w:pStyle w:val="BodyText"/>
      </w:pPr>
      <w:r>
        <w:t>However, the current policy environment sends opposing signals to distribution networks and consumers about the economic value of distributed generation. On the one hand, the capacity for local generation to substitute for network investment is frustrated by regulatory obstacles, although many of these — such as a lack of information about network constraints and uncertainty about connection charges — have been, or are soon to be, substantially resolved.</w:t>
      </w:r>
    </w:p>
    <w:p w:rsidR="00C26020" w:rsidRDefault="00C26020" w:rsidP="00C26020">
      <w:pPr>
        <w:pStyle w:val="BodyText"/>
      </w:pPr>
      <w:r>
        <w:t>On the other hand, various subsidies to certain types of distributed generation</w:t>
      </w:r>
      <w:r w:rsidRPr="00330537">
        <w:t xml:space="preserve"> </w:t>
      </w:r>
      <w:r>
        <w:t xml:space="preserve">— particularly rooftop photovoltaic units — have led to unbalanced incentives and inefficiencies (though again some recent policy reforms have reduced these). The take-up of rooftop photovoltaic units has, to date, produced minimal, if any, network savings, as existing time-invariant tariffs do not encourage householders to orient units to the west to maximise generation in periods of peak demand late in the summer afternoon. Moreover, the effective use of distributed generation to produce network savings needs to ensure that take-up is maximised in those parts of the system subject to the greatest constraints, which again has not yet happened. </w:t>
      </w:r>
    </w:p>
    <w:p w:rsidR="00C26020" w:rsidRDefault="00C26020" w:rsidP="00C26020">
      <w:pPr>
        <w:pStyle w:val="BodyText"/>
      </w:pPr>
      <w:r>
        <w:t xml:space="preserve">The remaining subsidies to particular forms of distributed generators have few benefits for the network and, in the face of carbon pricing, play a redundant (and inefficient) role as a measure for reducing emissions. Governments should therefore phase out as quickly as practicable subsidies for rooftop photovoltaic units and other forms of distributed generation delivered via premium feed-in tariffs and the small-scale component of the Renewable Energy Target Scheme. </w:t>
      </w:r>
    </w:p>
    <w:p w:rsidR="00C26020" w:rsidRDefault="00C26020" w:rsidP="00C26020">
      <w:pPr>
        <w:pStyle w:val="BodyText"/>
      </w:pPr>
      <w:r>
        <w:t>State and territory governments should change the feed-in tariffs for any uncontracted small-scale distributed generators exporting power into the grid, so that their tariffs reflect the market wholesale prices at the time of energy production, and the (net) value to network businesses from reducing loads on their equipment at critical peak periods.</w:t>
      </w:r>
    </w:p>
    <w:p w:rsidR="007F626D" w:rsidRDefault="007F626D" w:rsidP="007F626D">
      <w:pPr>
        <w:pStyle w:val="Heading2"/>
      </w:pPr>
      <w:r>
        <w:t xml:space="preserve">State-owned enterprises </w:t>
      </w:r>
    </w:p>
    <w:p w:rsidR="007F626D" w:rsidRDefault="007F626D" w:rsidP="007F626D">
      <w:pPr>
        <w:pStyle w:val="BodyText"/>
      </w:pPr>
      <w:r>
        <w:t>Transmission and distribution businesses in Tasmania, N</w:t>
      </w:r>
      <w:r w:rsidR="0078249F">
        <w:t>ew </w:t>
      </w:r>
      <w:r>
        <w:t>S</w:t>
      </w:r>
      <w:r w:rsidR="0078249F">
        <w:t>outh </w:t>
      </w:r>
      <w:r>
        <w:t>W</w:t>
      </w:r>
      <w:r w:rsidR="0078249F">
        <w:t>ales</w:t>
      </w:r>
      <w:r>
        <w:t xml:space="preserve"> and Queensland remain state-owned (and partly state-owned in the ACT), whereas network businesses in Victoria and South Australia are privately owned</w:t>
      </w:r>
      <w:r w:rsidR="00FE2C3A">
        <w:t xml:space="preserve"> or operated</w:t>
      </w:r>
      <w:r>
        <w:t xml:space="preserve">. </w:t>
      </w:r>
    </w:p>
    <w:p w:rsidR="007F626D" w:rsidRDefault="007F626D" w:rsidP="007F626D">
      <w:pPr>
        <w:pStyle w:val="BodyText"/>
      </w:pPr>
      <w:r>
        <w:lastRenderedPageBreak/>
        <w:t>While governments have a legitimate role in owning and operating many services in Australia, the rationale for state-ownership of electricity network businesses no longer holds. This reflects the development of sophisticated incentive regulations that function best when the regulated business</w:t>
      </w:r>
      <w:r w:rsidR="0086622A">
        <w:t>es</w:t>
      </w:r>
      <w:r>
        <w:t xml:space="preserve"> have strong cost-minimising and profit motives.</w:t>
      </w:r>
    </w:p>
    <w:p w:rsidR="007F626D" w:rsidRDefault="007F626D" w:rsidP="007F626D">
      <w:pPr>
        <w:pStyle w:val="BodyText"/>
      </w:pPr>
      <w:r>
        <w:t>State governments often impose multiple constraints on state-owned corporations that are incompatible with maximising returns to their shareholders. These constraints can include:</w:t>
      </w:r>
    </w:p>
    <w:p w:rsidR="007F626D" w:rsidRDefault="007F626D" w:rsidP="007F626D">
      <w:pPr>
        <w:pStyle w:val="ListBullet"/>
      </w:pPr>
      <w:r>
        <w:t>social and environmental obligations</w:t>
      </w:r>
    </w:p>
    <w:p w:rsidR="007F626D" w:rsidRDefault="007F626D" w:rsidP="007F626D">
      <w:pPr>
        <w:pStyle w:val="ListBullet"/>
      </w:pPr>
      <w:r>
        <w:t>requirements to procure locally</w:t>
      </w:r>
    </w:p>
    <w:p w:rsidR="007F626D" w:rsidRDefault="007F626D" w:rsidP="007F626D">
      <w:pPr>
        <w:pStyle w:val="ListBullet"/>
      </w:pPr>
      <w:r>
        <w:t xml:space="preserve">a lack of coherence of governments in their dealings with the businesses over time. </w:t>
      </w:r>
      <w:r w:rsidR="006C3B88">
        <w:t>G</w:t>
      </w:r>
      <w:r>
        <w:t>overnments may make decisions to reduce dividends when price increases are politically sensitive, limit capital spending when governments are concerned about debt levels, or encourage capital expenditure if there are pressures for greater reliability</w:t>
      </w:r>
    </w:p>
    <w:p w:rsidR="007F626D" w:rsidRDefault="007F626D" w:rsidP="007F626D">
      <w:pPr>
        <w:pStyle w:val="ListBullet"/>
      </w:pPr>
      <w:r>
        <w:t>employee benefits and job security for employees that are out of kilter with those associated with most businesses</w:t>
      </w:r>
    </w:p>
    <w:p w:rsidR="007F626D" w:rsidRDefault="007F626D" w:rsidP="007F626D">
      <w:pPr>
        <w:pStyle w:val="ListBullet"/>
      </w:pPr>
      <w:r>
        <w:t>poor governance, including appointment of board members on a non-merit basis.</w:t>
      </w:r>
    </w:p>
    <w:p w:rsidR="007F626D" w:rsidRDefault="007F626D" w:rsidP="007F626D">
      <w:pPr>
        <w:pStyle w:val="BodyText"/>
      </w:pPr>
      <w:r>
        <w:t xml:space="preserve">For example, in </w:t>
      </w:r>
      <w:r w:rsidR="00556F0A">
        <w:t>New South Wales</w:t>
      </w:r>
      <w:r>
        <w:t xml:space="preserve">, the Acts governing the state-owned corporations include non-commercial goals, which, where appropriately justified, would be better met through explicit government regulation or budgetary measures. At a minimum, the objectives should be prioritised. For example, in </w:t>
      </w:r>
      <w:r w:rsidR="00556F0A">
        <w:t>New South Wales</w:t>
      </w:r>
      <w:r>
        <w:t xml:space="preserve">, s. 8 of </w:t>
      </w:r>
      <w:r w:rsidR="009E5CFD" w:rsidRPr="009E5CFD">
        <w:t>t</w:t>
      </w:r>
      <w:r w:rsidRPr="009E5CFD">
        <w:t>he</w:t>
      </w:r>
      <w:r w:rsidRPr="00E1756C">
        <w:rPr>
          <w:i/>
        </w:rPr>
        <w:t xml:space="preserve"> State Owned Corporations</w:t>
      </w:r>
      <w:r w:rsidR="008543D2">
        <w:rPr>
          <w:i/>
        </w:rPr>
        <w:t> </w:t>
      </w:r>
      <w:r w:rsidRPr="00E1756C">
        <w:rPr>
          <w:i/>
        </w:rPr>
        <w:t>Act</w:t>
      </w:r>
      <w:r w:rsidR="008543D2">
        <w:rPr>
          <w:i/>
        </w:rPr>
        <w:t> </w:t>
      </w:r>
      <w:r w:rsidRPr="00E1756C">
        <w:rPr>
          <w:i/>
        </w:rPr>
        <w:t>1989</w:t>
      </w:r>
      <w:r>
        <w:t xml:space="preserve">, requires state-owned corporations to give equal weight to commercial success, social responsibility, ecological sustainability, and </w:t>
      </w:r>
      <w:r w:rsidRPr="0054446B">
        <w:t xml:space="preserve">a sense of responsibility towards regional development and decentralisation. </w:t>
      </w:r>
    </w:p>
    <w:p w:rsidR="00610EAA" w:rsidRDefault="00610EAA" w:rsidP="00610EAA">
      <w:pPr>
        <w:pStyle w:val="BodyText"/>
      </w:pPr>
      <w:r>
        <w:t xml:space="preserve">State ownership can involve employee protection arrangements that would not be typical in most private businesses. For instance, in New South Wales, Ausgrid is required to provide a five-year employment guarantee to award staff and is subject to requirements to procure locally in some cases, a hidden cost </w:t>
      </w:r>
      <w:r w:rsidR="00077385">
        <w:t>that</w:t>
      </w:r>
      <w:r>
        <w:t xml:space="preserve"> electricity consumers bear. </w:t>
      </w:r>
    </w:p>
    <w:p w:rsidR="00BC57AD" w:rsidRDefault="00BC57AD" w:rsidP="00BC57AD">
      <w:pPr>
        <w:pStyle w:val="BodyText"/>
      </w:pPr>
      <w:r w:rsidRPr="00A67AEF">
        <w:t>While analysis of relative efficiency is difficult</w:t>
      </w:r>
      <w:r>
        <w:t xml:space="preserve"> given the number of other differences between network businesses</w:t>
      </w:r>
      <w:r w:rsidRPr="00A67AEF">
        <w:t>, the empirical evidence sugge</w:t>
      </w:r>
      <w:r>
        <w:t xml:space="preserve">sts that, although some perform relatively well, as a group, the aggregate productivity outcomes of </w:t>
      </w:r>
      <w:r w:rsidRPr="00A67AEF">
        <w:t>state</w:t>
      </w:r>
      <w:r>
        <w:t>-</w:t>
      </w:r>
      <w:r w:rsidRPr="00A67AEF">
        <w:t xml:space="preserve">owned businesses are </w:t>
      </w:r>
      <w:r>
        <w:t>poorer than their private peers</w:t>
      </w:r>
      <w:r w:rsidR="005F4C11">
        <w:t xml:space="preserve"> (figure 7)</w:t>
      </w:r>
      <w:r w:rsidRPr="00A67AEF">
        <w:t>.</w:t>
      </w:r>
      <w:r>
        <w:t xml:space="preserve"> This is likely to reflect the mixed incentives they face. Some </w:t>
      </w:r>
      <w:r w:rsidRPr="002913A7">
        <w:t xml:space="preserve">participants in this </w:t>
      </w:r>
      <w:r w:rsidRPr="002913A7">
        <w:lastRenderedPageBreak/>
        <w:t>inquiry claim that a risk-averse focus on ‘building things</w:t>
      </w:r>
      <w:r>
        <w:t xml:space="preserve"> for the future</w:t>
      </w:r>
      <w:r w:rsidRPr="002913A7">
        <w:t>’ still permeates some of the</w:t>
      </w:r>
      <w:r>
        <w:t>se</w:t>
      </w:r>
      <w:r w:rsidRPr="002913A7">
        <w:t xml:space="preserve"> businesses</w:t>
      </w:r>
      <w:r>
        <w:t>.</w:t>
      </w:r>
    </w:p>
    <w:p w:rsidR="007F626D" w:rsidRDefault="007F626D" w:rsidP="007F626D">
      <w:pPr>
        <w:pStyle w:val="FigureTitle"/>
      </w:pPr>
      <w:r>
        <w:rPr>
          <w:b w:val="0"/>
        </w:rPr>
        <w:t xml:space="preserve">Figure </w:t>
      </w:r>
      <w:r w:rsidR="00104419">
        <w:rPr>
          <w:b w:val="0"/>
          <w:noProof/>
        </w:rPr>
        <w:t>7</w:t>
      </w:r>
      <w:r>
        <w:tab/>
        <w:t>Operating expenses for state-owned and private businesses</w:t>
      </w:r>
    </w:p>
    <w:p w:rsidR="007F626D" w:rsidRDefault="007F626D" w:rsidP="007F626D">
      <w:pPr>
        <w:pStyle w:val="Subtitle"/>
      </w:pPr>
      <w:r>
        <w:t>$ per kilometre of line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F626D" w:rsidTr="0071684D">
        <w:tc>
          <w:tcPr>
            <w:tcW w:w="8777" w:type="dxa"/>
          </w:tcPr>
          <w:p w:rsidR="007F626D" w:rsidRDefault="007F626D" w:rsidP="0071684D">
            <w:pPr>
              <w:pStyle w:val="Figure"/>
            </w:pPr>
            <w:r>
              <w:rPr>
                <w:noProof/>
              </w:rPr>
              <w:drawing>
                <wp:inline distT="0" distB="0" distL="0" distR="0" wp14:anchorId="1C7EF3C1" wp14:editId="4D59E41E">
                  <wp:extent cx="4528458" cy="2743200"/>
                  <wp:effectExtent l="0" t="0" r="5715" b="0"/>
                  <wp:docPr id="2" name="Chart 2" descr="Figure 7 Operating expenses for state-owned and private businesses. This figure compares the operating expenses per kilometre to the customers per kilometre for state-owned and private businesses, including trend lines for both."/>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bl>
    <w:p w:rsidR="009C5886" w:rsidRDefault="009C5886" w:rsidP="009C5886">
      <w:pPr>
        <w:pStyle w:val="BodyText"/>
      </w:pPr>
      <w:r>
        <w:t xml:space="preserve">There are strong arguments for privatisation of these businesses. There is no evidence that the productivity, reliability, quality or cost performance of private sector electricity network businesses is worse than their public sector equivalents. To the contrary, the evidence in Australia and internationally suggests that such private sector enterprises are more efficient. It should </w:t>
      </w:r>
      <w:r w:rsidR="00831CAA">
        <w:t xml:space="preserve">also </w:t>
      </w:r>
      <w:r>
        <w:t xml:space="preserve">be emphasised that privatisation is not de-regulation. </w:t>
      </w:r>
      <w:r w:rsidR="00021FBB">
        <w:t>In fact, t</w:t>
      </w:r>
      <w:r>
        <w:t>here is a symbiosis between regulation and privatisation. Strong regulation is needed to achieve the private provision of secure, reliable and appropriately priced electricity network services. And privatisation strengthens the effectiveness of incentive regulation.</w:t>
      </w:r>
    </w:p>
    <w:p w:rsidR="00982140" w:rsidRDefault="00982140" w:rsidP="00982140">
      <w:pPr>
        <w:pStyle w:val="BodyText"/>
      </w:pPr>
      <w:r>
        <w:t xml:space="preserve">Privatisation is not a radical move. There have been few problems in Victoria or South Australia. </w:t>
      </w:r>
    </w:p>
    <w:p w:rsidR="007F626D" w:rsidRDefault="007F626D" w:rsidP="007F626D">
      <w:pPr>
        <w:pStyle w:val="BodyText"/>
      </w:pPr>
      <w:r>
        <w:t>In the event that privatisation does not occur, there are strong grounds for different governance arrangements, with the goal of re-invigorating the original purpose of corporatisation of the old state-owned businesses. Among other</w:t>
      </w:r>
      <w:r w:rsidR="000444F0">
        <w:t>s, this includes</w:t>
      </w:r>
      <w:r>
        <w:t xml:space="preserve"> merit</w:t>
      </w:r>
      <w:r w:rsidR="000444F0">
        <w:noBreakHyphen/>
      </w:r>
      <w:r>
        <w:t xml:space="preserve">based appointment of all board members, public disclosure of ministerial directions, and the removal of non-commercial </w:t>
      </w:r>
      <w:r w:rsidR="00096B88">
        <w:t xml:space="preserve">objectives and </w:t>
      </w:r>
      <w:r>
        <w:t xml:space="preserve">obligations (such as procurement </w:t>
      </w:r>
      <w:r w:rsidR="000444F0">
        <w:t xml:space="preserve">and employment </w:t>
      </w:r>
      <w:r>
        <w:t>policies)</w:t>
      </w:r>
      <w:r w:rsidR="005029C1">
        <w:t>.</w:t>
      </w:r>
    </w:p>
    <w:p w:rsidR="005029C1" w:rsidRDefault="005029C1" w:rsidP="005029C1">
      <w:pPr>
        <w:pStyle w:val="Heading2"/>
      </w:pPr>
      <w:r>
        <w:lastRenderedPageBreak/>
        <w:t>The critical role of the Australian Energy Regulator</w:t>
      </w:r>
    </w:p>
    <w:p w:rsidR="005029C1" w:rsidRDefault="005029C1" w:rsidP="005029C1">
      <w:pPr>
        <w:pStyle w:val="BodyText"/>
      </w:pPr>
      <w:r>
        <w:t>The NEM involves multiple interested parties and institutions with clearly defined roles. Ensuring these institutions work well is critical to effective regulation and, in the context of this inquiry, to the degree of discretion that they may wield in using benchmarking, determining new rules and planning the network.</w:t>
      </w:r>
    </w:p>
    <w:p w:rsidR="008275E0" w:rsidRDefault="008275E0" w:rsidP="008275E0">
      <w:pPr>
        <w:pStyle w:val="BodyText"/>
      </w:pPr>
      <w:r>
        <w:t xml:space="preserve">Governments and stakeholders have expressed concerns about the governance of the </w:t>
      </w:r>
      <w:r w:rsidR="00441EE2">
        <w:t>AER</w:t>
      </w:r>
      <w:r>
        <w:t xml:space="preserve">, including its accountability, capability, communication with stakeholders, independence from the </w:t>
      </w:r>
      <w:r w:rsidR="001842CE">
        <w:t>Australian Competition</w:t>
      </w:r>
      <w:r w:rsidR="001842CE" w:rsidRPr="001842CE">
        <w:t xml:space="preserve"> </w:t>
      </w:r>
      <w:r w:rsidR="001842CE">
        <w:t>and Consumer Commission</w:t>
      </w:r>
      <w:r w:rsidR="00C15B49">
        <w:t>,</w:t>
      </w:r>
      <w:r>
        <w:t xml:space="preserve"> and transparency. Many of these perceptions are not backed by solid evidence and may reflect the usual tensions between an economic regulator and the parties it regulates. Others have more foundation, but can be remedied.</w:t>
      </w:r>
    </w:p>
    <w:p w:rsidR="008275E0" w:rsidRDefault="008275E0" w:rsidP="008275E0">
      <w:pPr>
        <w:pStyle w:val="BodyText"/>
      </w:pPr>
      <w:r>
        <w:t xml:space="preserve">While the AER </w:t>
      </w:r>
      <w:r w:rsidR="00F54A57">
        <w:t>appears to be</w:t>
      </w:r>
      <w:r>
        <w:t xml:space="preserve"> strongly independent from industry </w:t>
      </w:r>
      <w:r w:rsidR="00F93A9D">
        <w:t>and</w:t>
      </w:r>
      <w:r>
        <w:t xml:space="preserve"> government influence, </w:t>
      </w:r>
      <w:r w:rsidR="00F54A57">
        <w:t xml:space="preserve">there are </w:t>
      </w:r>
      <w:r>
        <w:t xml:space="preserve">perceptions </w:t>
      </w:r>
      <w:r w:rsidR="00F54A57">
        <w:t xml:space="preserve">that it is unduly influenced by its </w:t>
      </w:r>
      <w:r>
        <w:t>close link</w:t>
      </w:r>
      <w:r w:rsidR="00F54A57">
        <w:t>s</w:t>
      </w:r>
      <w:r>
        <w:t xml:space="preserve"> with the ACCC and lack</w:t>
      </w:r>
      <w:r w:rsidR="00FC2265">
        <w:t>s</w:t>
      </w:r>
      <w:r>
        <w:t xml:space="preserve"> transparency</w:t>
      </w:r>
      <w:r w:rsidR="00FC2265">
        <w:t xml:space="preserve">. </w:t>
      </w:r>
      <w:r w:rsidR="00553D4E">
        <w:t>Such concerns</w:t>
      </w:r>
      <w:r>
        <w:t xml:space="preserve"> would be </w:t>
      </w:r>
      <w:r w:rsidR="00553D4E">
        <w:t>ameliorated</w:t>
      </w:r>
      <w:r>
        <w:t xml:space="preserve"> by giving the AER more control over its budget and resources, and making it more accountable for how it manages those resources. Concerns about resourcing, capability and accountability </w:t>
      </w:r>
      <w:r w:rsidR="00FC2265">
        <w:t>should</w:t>
      </w:r>
      <w:r>
        <w:t xml:space="preserve"> largely be addressed by additional funding announced by the Au</w:t>
      </w:r>
      <w:r w:rsidR="009641E4">
        <w:t>stralian Government in late </w:t>
      </w:r>
      <w:r>
        <w:t xml:space="preserve">2012 and agreement for governance changes to the AER. In that light, further reforms, such as removing the AER from the ACCC and establishing it as a separate entity are not justified at this stage. With modest </w:t>
      </w:r>
      <w:r w:rsidR="00FC2265">
        <w:t xml:space="preserve">but important </w:t>
      </w:r>
      <w:r>
        <w:t xml:space="preserve">modifications, the AER can </w:t>
      </w:r>
      <w:r w:rsidR="00FC2265">
        <w:t>improve its reputation and can then take on further responsibilities from state and territory regulators, thereby becoming, as originally intended,</w:t>
      </w:r>
      <w:r>
        <w:t xml:space="preserve"> the single national energy </w:t>
      </w:r>
      <w:r w:rsidR="00E806CD">
        <w:t xml:space="preserve">economic </w:t>
      </w:r>
      <w:r>
        <w:t>regulator.</w:t>
      </w:r>
    </w:p>
    <w:p w:rsidR="00C62BA2" w:rsidRDefault="00C62BA2" w:rsidP="008275E0">
      <w:pPr>
        <w:pStyle w:val="BodyText"/>
      </w:pPr>
      <w:r>
        <w:t>Nevertheless, a</w:t>
      </w:r>
      <w:r w:rsidR="008275E0">
        <w:t xml:space="preserve">n independent review of the AER — which has also been agreed by COAG — should also assist in addressing any remaining limitations in its operations, and would address any ill-founded perceptions about the organisation. </w:t>
      </w:r>
      <w:r>
        <w:t xml:space="preserve">More broadly, all the major institutions of the NEM should </w:t>
      </w:r>
      <w:r w:rsidR="009641E4">
        <w:t>be subject to review by </w:t>
      </w:r>
      <w:r>
        <w:t>2018</w:t>
      </w:r>
      <w:r w:rsidR="00F93A9D">
        <w:t xml:space="preserve"> (and every 10 years after that)</w:t>
      </w:r>
      <w:r>
        <w:t xml:space="preserve">, recognising that institutional arrangements </w:t>
      </w:r>
      <w:r w:rsidR="00F93A9D">
        <w:t xml:space="preserve">and the NEM </w:t>
      </w:r>
      <w:r>
        <w:t xml:space="preserve">have changed and </w:t>
      </w:r>
      <w:r w:rsidR="00F93A9D">
        <w:t>likely will continue to evolve</w:t>
      </w:r>
      <w:r>
        <w:t xml:space="preserve">. Most recently, the </w:t>
      </w:r>
      <w:r w:rsidR="00FF2C72">
        <w:t>merits review</w:t>
      </w:r>
      <w:r>
        <w:t xml:space="preserve"> process has been reviewed, leaving AEMO, the AEMC and any new consumer representative bodies as the remaining </w:t>
      </w:r>
      <w:r w:rsidR="00EE711F">
        <w:t>institutions</w:t>
      </w:r>
      <w:r>
        <w:t xml:space="preserve"> that should be assessed for their scope to improve.</w:t>
      </w:r>
      <w:r w:rsidR="00EA587C">
        <w:t xml:space="preserve"> </w:t>
      </w:r>
    </w:p>
    <w:p w:rsidR="005C7869" w:rsidRDefault="00EA587C" w:rsidP="008275E0">
      <w:pPr>
        <w:pStyle w:val="BodyText"/>
      </w:pPr>
      <w:r>
        <w:t xml:space="preserve">The </w:t>
      </w:r>
      <w:r w:rsidR="005C7869">
        <w:t>recent assessment of the merit</w:t>
      </w:r>
      <w:r w:rsidR="00FF2C72">
        <w:t>s</w:t>
      </w:r>
      <w:r w:rsidR="005C7869">
        <w:t xml:space="preserve"> review process proposed a significant institutional change, creating a new merit</w:t>
      </w:r>
      <w:r w:rsidR="00FF2C72">
        <w:t>s</w:t>
      </w:r>
      <w:r w:rsidR="005C7869">
        <w:t xml:space="preserve"> review bo</w:t>
      </w:r>
      <w:r>
        <w:t>d</w:t>
      </w:r>
      <w:r w:rsidR="005C7869">
        <w:t xml:space="preserve">y, locating it within the AEMC, and establishing routine consultations between the two bodies. </w:t>
      </w:r>
      <w:r w:rsidR="00F408FB">
        <w:t>Too close a link between the</w:t>
      </w:r>
      <w:r w:rsidR="00BD67FB">
        <w:t>se</w:t>
      </w:r>
      <w:r w:rsidR="00F408FB">
        <w:t xml:space="preserve"> two institutions </w:t>
      </w:r>
      <w:r w:rsidR="00BD67FB">
        <w:t xml:space="preserve">is </w:t>
      </w:r>
      <w:r w:rsidR="005C7869">
        <w:t>not</w:t>
      </w:r>
      <w:r w:rsidR="00831CAA">
        <w:t>,</w:t>
      </w:r>
      <w:r w:rsidR="005C7869">
        <w:t xml:space="preserve"> </w:t>
      </w:r>
      <w:r w:rsidR="00BD67FB">
        <w:t>in the Commission’s view</w:t>
      </w:r>
      <w:r w:rsidR="00831CAA">
        <w:t>,</w:t>
      </w:r>
      <w:r w:rsidR="00BD67FB">
        <w:t xml:space="preserve"> </w:t>
      </w:r>
      <w:r w:rsidR="005C7869">
        <w:t xml:space="preserve">a desirable </w:t>
      </w:r>
      <w:r w:rsidR="005C7869">
        <w:lastRenderedPageBreak/>
        <w:t xml:space="preserve">change. </w:t>
      </w:r>
      <w:r w:rsidR="00422F8D">
        <w:t>The AEMC, w</w:t>
      </w:r>
      <w:r w:rsidR="000907BC">
        <w:t xml:space="preserve">hile notionally a body that converts broad government policy into precise Rules, in many ways </w:t>
      </w:r>
      <w:r w:rsidR="00BD67FB">
        <w:t xml:space="preserve">also </w:t>
      </w:r>
      <w:r w:rsidR="000907BC">
        <w:t>acts</w:t>
      </w:r>
      <w:r w:rsidR="005C7869">
        <w:t xml:space="preserve"> </w:t>
      </w:r>
      <w:r w:rsidR="000907BC">
        <w:t xml:space="preserve">as </w:t>
      </w:r>
      <w:r w:rsidR="005C7869">
        <w:t>a policymaker</w:t>
      </w:r>
      <w:r w:rsidR="00BD67FB">
        <w:t>, or at the very least, an influential policy shaper</w:t>
      </w:r>
      <w:r w:rsidR="005C7869">
        <w:t xml:space="preserve">. For obvious reasons, </w:t>
      </w:r>
      <w:r w:rsidR="00C05877">
        <w:t xml:space="preserve">merits </w:t>
      </w:r>
      <w:r w:rsidR="005C7869">
        <w:t>review bodies are best the cold and distant relatives to the policy process.</w:t>
      </w:r>
    </w:p>
    <w:p w:rsidR="00734B4A" w:rsidRPr="005C40A9" w:rsidRDefault="003A0A54" w:rsidP="001823E5">
      <w:pPr>
        <w:pStyle w:val="Heading2"/>
        <w:spacing w:before="400"/>
        <w:ind w:left="0" w:firstLine="0"/>
      </w:pPr>
      <w:r>
        <w:t>I</w:t>
      </w:r>
      <w:r w:rsidR="00734B4A">
        <w:t>ncentive regulation</w:t>
      </w:r>
      <w:r w:rsidR="00B56AFE">
        <w:t xml:space="preserve"> is </w:t>
      </w:r>
      <w:r w:rsidR="00EE711F">
        <w:t>a ‘work in progress’</w:t>
      </w:r>
      <w:r w:rsidR="001823E5">
        <w:t xml:space="preserve"> inextricably linked to the effectiveness of benchmarking</w:t>
      </w:r>
    </w:p>
    <w:p w:rsidR="00734B4A" w:rsidRDefault="00734B4A" w:rsidP="00734B4A">
      <w:pPr>
        <w:pStyle w:val="BodyText"/>
      </w:pPr>
      <w:r>
        <w:t xml:space="preserve">Under incentive regulations, the regulator </w:t>
      </w:r>
      <w:r w:rsidR="0071684D">
        <w:t>forecasts</w:t>
      </w:r>
      <w:r>
        <w:t xml:space="preserve"> efficient aggregate costs</w:t>
      </w:r>
      <w:r w:rsidR="0071684D">
        <w:t xml:space="preserve"> over the upcoming regulatory period (of usually five years), which it uses to set a revenue allowance</w:t>
      </w:r>
      <w:r w:rsidR="00B56AFE">
        <w:t xml:space="preserve"> for that period</w:t>
      </w:r>
      <w:r w:rsidR="0071684D">
        <w:t xml:space="preserve">. </w:t>
      </w:r>
      <w:r>
        <w:t>The business make</w:t>
      </w:r>
      <w:r w:rsidR="0071684D">
        <w:t>s</w:t>
      </w:r>
      <w:r>
        <w:t xml:space="preserve"> higher profits if it reduce</w:t>
      </w:r>
      <w:r w:rsidR="0071684D">
        <w:t>s</w:t>
      </w:r>
      <w:r>
        <w:t xml:space="preserve"> costs below those forecast by the regulator. In doing so, the business reveal</w:t>
      </w:r>
      <w:r w:rsidR="00701996">
        <w:t>s</w:t>
      </w:r>
      <w:r>
        <w:t xml:space="preserve"> the efficient costs of delivering the service, which would then influence the regulator’s determination in the next period. </w:t>
      </w:r>
      <w:r w:rsidR="00701996">
        <w:t>Accordingly,</w:t>
      </w:r>
      <w:r w:rsidR="0071684D">
        <w:t xml:space="preserve"> incentive regulation encourages efficiency while reducing the risks that networks use their monopoly positions to set unreasonably high prices. Benchmarking — which measures a network supplier’s efficiency against a reference performance — is just one way of assessing whether any </w:t>
      </w:r>
      <w:r w:rsidR="00701996">
        <w:t>given</w:t>
      </w:r>
      <w:r w:rsidR="0071684D">
        <w:t xml:space="preserve"> business’s expenditure proposals are efficient. </w:t>
      </w:r>
    </w:p>
    <w:p w:rsidR="00B56AFE" w:rsidRDefault="003B0749" w:rsidP="00734B4A">
      <w:pPr>
        <w:pStyle w:val="BodyText"/>
      </w:pPr>
      <w:r>
        <w:t xml:space="preserve">The theory is simple. Its practical realisation is not. </w:t>
      </w:r>
      <w:r w:rsidR="00B56AFE">
        <w:t>The regulatory arrangements underpinning incentive regulation are protracted</w:t>
      </w:r>
      <w:r>
        <w:t xml:space="preserve"> and </w:t>
      </w:r>
      <w:r w:rsidR="00B56AFE">
        <w:t>costly</w:t>
      </w:r>
      <w:r>
        <w:t xml:space="preserve">. </w:t>
      </w:r>
      <w:r w:rsidR="003C63E5">
        <w:t xml:space="preserve">The Rules that stipulate many of the requirements for proposals are lengthy and subject to regular changes — currently </w:t>
      </w:r>
      <w:r w:rsidR="007D2D9A">
        <w:t xml:space="preserve">around </w:t>
      </w:r>
      <w:r w:rsidR="003C63E5">
        <w:t>1500</w:t>
      </w:r>
      <w:r w:rsidR="004E5E56">
        <w:t> </w:t>
      </w:r>
      <w:r w:rsidR="003C63E5">
        <w:t>pages, and by earl</w:t>
      </w:r>
      <w:r w:rsidR="009641E4">
        <w:t>y </w:t>
      </w:r>
      <w:r w:rsidR="003C63E5">
        <w:t xml:space="preserve">2013 up to the </w:t>
      </w:r>
      <w:r w:rsidR="007D2D9A">
        <w:t xml:space="preserve">55th </w:t>
      </w:r>
      <w:r w:rsidR="003C63E5">
        <w:t xml:space="preserve">version in just seven years. (The </w:t>
      </w:r>
      <w:r w:rsidR="008378B8">
        <w:t xml:space="preserve">sections of the </w:t>
      </w:r>
      <w:r w:rsidR="003C63E5">
        <w:t xml:space="preserve">Rules most relevant to this inquiry are around 200 pages in length.) </w:t>
      </w:r>
      <w:r>
        <w:t>P</w:t>
      </w:r>
      <w:r w:rsidR="00B56AFE">
        <w:t xml:space="preserve">roposals and the regulator’s determinations </w:t>
      </w:r>
      <w:r>
        <w:t xml:space="preserve">have </w:t>
      </w:r>
      <w:r w:rsidR="003C63E5">
        <w:t xml:space="preserve">also </w:t>
      </w:r>
      <w:r w:rsidR="000C6C3D">
        <w:t xml:space="preserve">become </w:t>
      </w:r>
      <w:r w:rsidR="00B56AFE">
        <w:t>increasingly detailed</w:t>
      </w:r>
      <w:r w:rsidR="00D235FE">
        <w:t xml:space="preserve"> over time</w:t>
      </w:r>
      <w:r w:rsidR="00B56AFE">
        <w:t>. The decision documents for Victorian electricity distributors were around 450 pages in 2000, around 1000 pages in</w:t>
      </w:r>
      <w:r w:rsidR="009641E4">
        <w:t> 2005 and 1800 pages in </w:t>
      </w:r>
      <w:r w:rsidR="00B56AFE">
        <w:t xml:space="preserve">2010 — reflecting the complexity of the proposals and the </w:t>
      </w:r>
      <w:r w:rsidR="000C6C3D">
        <w:t xml:space="preserve">large </w:t>
      </w:r>
      <w:r w:rsidR="00AA7F25">
        <w:t>network revenues</w:t>
      </w:r>
      <w:r w:rsidR="00B56AFE">
        <w:t xml:space="preserve"> involved (</w:t>
      </w:r>
      <w:r w:rsidR="003F11E3">
        <w:t xml:space="preserve">now </w:t>
      </w:r>
      <w:r w:rsidR="00B56AFE">
        <w:t>around $</w:t>
      </w:r>
      <w:r w:rsidR="003C63E5">
        <w:t>13</w:t>
      </w:r>
      <w:r w:rsidR="00B56AFE">
        <w:t xml:space="preserve"> billion </w:t>
      </w:r>
      <w:r w:rsidR="009641E4">
        <w:t>annually in </w:t>
      </w:r>
      <w:r w:rsidR="00553D4E">
        <w:t xml:space="preserve">2011 prices across the </w:t>
      </w:r>
      <w:r w:rsidR="00441EE2">
        <w:t>NEM</w:t>
      </w:r>
      <w:r w:rsidR="00B56AFE">
        <w:t xml:space="preserve">). </w:t>
      </w:r>
      <w:r w:rsidR="00B87122">
        <w:t>T</w:t>
      </w:r>
      <w:r w:rsidR="003C63E5">
        <w:t xml:space="preserve">he AER has felt obliged by the Rules to engage in the </w:t>
      </w:r>
      <w:r w:rsidR="00B87122">
        <w:t>detailed consideration</w:t>
      </w:r>
      <w:r w:rsidR="003C63E5">
        <w:t xml:space="preserve"> of business’s proposals</w:t>
      </w:r>
      <w:r w:rsidR="00C776B4">
        <w:t xml:space="preserve"> in reaching </w:t>
      </w:r>
      <w:r w:rsidR="00B87122">
        <w:t>final revenue determination</w:t>
      </w:r>
      <w:r w:rsidR="00C776B4">
        <w:t>s</w:t>
      </w:r>
      <w:r w:rsidR="003C63E5">
        <w:t>. For example, there have been debates about the efficient number of locks and keys, the length of insulated conductors and appropriate pole treatment processes. In this context, it is not surprising that t</w:t>
      </w:r>
      <w:r w:rsidR="00B56AFE">
        <w:t xml:space="preserve">he </w:t>
      </w:r>
      <w:r w:rsidR="00B56AFE" w:rsidRPr="00E57866">
        <w:t xml:space="preserve">approximate </w:t>
      </w:r>
      <w:r w:rsidR="007861CA">
        <w:t xml:space="preserve">administrative </w:t>
      </w:r>
      <w:r w:rsidR="00C776B4" w:rsidRPr="00E57866">
        <w:t>cost</w:t>
      </w:r>
      <w:r w:rsidR="00C776B4">
        <w:t>s</w:t>
      </w:r>
      <w:r w:rsidR="00C776B4" w:rsidRPr="00E57866">
        <w:t xml:space="preserve"> </w:t>
      </w:r>
      <w:r w:rsidR="008111F2">
        <w:t xml:space="preserve">for the regulator and the businesses </w:t>
      </w:r>
      <w:r w:rsidR="00C776B4" w:rsidRPr="00E57866">
        <w:t xml:space="preserve">of </w:t>
      </w:r>
      <w:r w:rsidR="00C776B4">
        <w:t>the last</w:t>
      </w:r>
      <w:r w:rsidR="00C776B4" w:rsidRPr="00E57866">
        <w:t xml:space="preserve"> complete cycle of revenue determinations </w:t>
      </w:r>
      <w:r w:rsidR="00C776B4">
        <w:t>were</w:t>
      </w:r>
      <w:r w:rsidR="00B87122">
        <w:t xml:space="preserve"> around</w:t>
      </w:r>
      <w:r w:rsidR="00B56AFE" w:rsidRPr="00E57866">
        <w:t xml:space="preserve"> $330</w:t>
      </w:r>
      <w:r w:rsidR="008543D2">
        <w:t> </w:t>
      </w:r>
      <w:r w:rsidR="00B56AFE" w:rsidRPr="00E57866">
        <w:t>million</w:t>
      </w:r>
      <w:r w:rsidR="00A02F32">
        <w:t xml:space="preserve"> (which excludes merit</w:t>
      </w:r>
      <w:r w:rsidR="00FF2C72">
        <w:t>s</w:t>
      </w:r>
      <w:r w:rsidR="00A02F32">
        <w:t xml:space="preserve"> review costs)</w:t>
      </w:r>
      <w:r w:rsidR="00B56AFE">
        <w:t>.</w:t>
      </w:r>
    </w:p>
    <w:p w:rsidR="00C21B6D" w:rsidRDefault="00B95CE9" w:rsidP="001823E5">
      <w:pPr>
        <w:pStyle w:val="BodyText"/>
      </w:pPr>
      <w:r>
        <w:t xml:space="preserve">This focus on detail </w:t>
      </w:r>
      <w:r w:rsidR="00AA25FF">
        <w:t>is counter to</w:t>
      </w:r>
      <w:r>
        <w:t xml:space="preserve"> </w:t>
      </w:r>
      <w:r w:rsidR="00AA25FF">
        <w:t xml:space="preserve">the conceptual underpinnings of </w:t>
      </w:r>
      <w:r>
        <w:t>incentive regulation</w:t>
      </w:r>
      <w:r w:rsidR="001823E5">
        <w:t xml:space="preserve">. The intention of the framework is to limit monopoly pricing (through regulated weighted average price or revenue caps), while leaving </w:t>
      </w:r>
      <w:r>
        <w:t xml:space="preserve">it to </w:t>
      </w:r>
      <w:r w:rsidR="001823E5" w:rsidRPr="00B95CE9">
        <w:rPr>
          <w:i/>
        </w:rPr>
        <w:t>businesses</w:t>
      </w:r>
      <w:r w:rsidR="00980B57">
        <w:rPr>
          <w:i/>
        </w:rPr>
        <w:t>,</w:t>
      </w:r>
      <w:r w:rsidR="001823E5">
        <w:t xml:space="preserve"> </w:t>
      </w:r>
      <w:r>
        <w:t xml:space="preserve">not </w:t>
      </w:r>
      <w:r w:rsidR="00BE4661">
        <w:t xml:space="preserve">the </w:t>
      </w:r>
      <w:r>
        <w:t>regulator</w:t>
      </w:r>
      <w:r w:rsidR="00980B57">
        <w:t>,</w:t>
      </w:r>
      <w:r>
        <w:t xml:space="preserve"> </w:t>
      </w:r>
      <w:r w:rsidR="001823E5">
        <w:t xml:space="preserve">to work out the minutiae of input and output decision-making in </w:t>
      </w:r>
      <w:r w:rsidR="001823E5">
        <w:lastRenderedPageBreak/>
        <w:t xml:space="preserve">any given regulatory period. However, </w:t>
      </w:r>
      <w:r w:rsidR="00AA25FF">
        <w:t xml:space="preserve">to date </w:t>
      </w:r>
      <w:r w:rsidR="001823E5">
        <w:t xml:space="preserve">the AER’s ex ante revenue allowances </w:t>
      </w:r>
      <w:r w:rsidR="00AA25FF">
        <w:t>have been</w:t>
      </w:r>
      <w:r w:rsidR="001823E5">
        <w:t xml:space="preserve"> based on </w:t>
      </w:r>
      <w:r w:rsidR="008378B8">
        <w:t xml:space="preserve">examining and then </w:t>
      </w:r>
      <w:r w:rsidR="001823E5">
        <w:t xml:space="preserve">summing, item by item, the detailed forward cost projections proposed by businesses, even if, ex post, the businesses choose an entirely different set of inputs. </w:t>
      </w:r>
      <w:r w:rsidR="00141EC4">
        <w:t>S</w:t>
      </w:r>
      <w:r w:rsidR="001823E5">
        <w:t xml:space="preserve">ome forms of benchmarking </w:t>
      </w:r>
      <w:r w:rsidR="00141EC4">
        <w:t xml:space="preserve">aim </w:t>
      </w:r>
      <w:r w:rsidR="001823E5">
        <w:t>to</w:t>
      </w:r>
      <w:r w:rsidR="00C21B6D">
        <w:t>:</w:t>
      </w:r>
    </w:p>
    <w:p w:rsidR="00C21B6D" w:rsidRDefault="001823E5" w:rsidP="00C21B6D">
      <w:pPr>
        <w:pStyle w:val="ListBullet"/>
      </w:pPr>
      <w:r>
        <w:t xml:space="preserve">ex ante estimate the </w:t>
      </w:r>
      <w:r w:rsidRPr="00B24BDA">
        <w:rPr>
          <w:i/>
        </w:rPr>
        <w:t>aggregate</w:t>
      </w:r>
      <w:r>
        <w:t xml:space="preserve"> efficient capex and opex of any business (based on the unique characteristics of its customers and network, and assessing efficiency using the performance of other network businesses)</w:t>
      </w:r>
    </w:p>
    <w:p w:rsidR="00C21B6D" w:rsidRDefault="00C21B6D" w:rsidP="00C21B6D">
      <w:pPr>
        <w:pStyle w:val="ListBullet"/>
      </w:pPr>
      <w:r>
        <w:t xml:space="preserve">if possible, avoid </w:t>
      </w:r>
      <w:r w:rsidR="001823E5">
        <w:t xml:space="preserve">engaging in the summation of a large set of </w:t>
      </w:r>
      <w:r w:rsidR="008378B8">
        <w:t xml:space="preserve">what may turn out to be irrelevant </w:t>
      </w:r>
      <w:r w:rsidR="001823E5">
        <w:t>costs.</w:t>
      </w:r>
    </w:p>
    <w:p w:rsidR="001823E5" w:rsidRDefault="001823E5" w:rsidP="001823E5">
      <w:pPr>
        <w:pStyle w:val="BodyText"/>
      </w:pPr>
      <w:r>
        <w:t>If this were feasible, it might reduce the paper</w:t>
      </w:r>
      <w:r w:rsidR="008111F2">
        <w:t>, time</w:t>
      </w:r>
      <w:r>
        <w:t xml:space="preserve"> and </w:t>
      </w:r>
      <w:r w:rsidR="008111F2">
        <w:t>hence financial</w:t>
      </w:r>
      <w:r>
        <w:t xml:space="preserve"> burdens of the current processes</w:t>
      </w:r>
      <w:r w:rsidR="008378B8">
        <w:t xml:space="preserve"> and lead to a greater focus on the National Electricity Objective</w:t>
      </w:r>
      <w:r>
        <w:t>.</w:t>
      </w:r>
    </w:p>
    <w:p w:rsidR="00AA25FF" w:rsidRDefault="009641E4" w:rsidP="001823E5">
      <w:pPr>
        <w:pStyle w:val="BodyText"/>
      </w:pPr>
      <w:r>
        <w:t>In late </w:t>
      </w:r>
      <w:r w:rsidR="00AD4D69">
        <w:t>2012, t</w:t>
      </w:r>
      <w:r w:rsidR="00AA25FF">
        <w:t xml:space="preserve">he AEMC made changes in the </w:t>
      </w:r>
      <w:r w:rsidR="007D60F3">
        <w:t>incentive regulation regime</w:t>
      </w:r>
      <w:r w:rsidR="00AA25FF">
        <w:t xml:space="preserve"> that </w:t>
      </w:r>
      <w:r w:rsidR="00AD4D69">
        <w:t>provide a more promising environment for benchmarking:</w:t>
      </w:r>
    </w:p>
    <w:p w:rsidR="00AD4D69" w:rsidRDefault="00DB016B" w:rsidP="007D60F3">
      <w:pPr>
        <w:pStyle w:val="ListBullet"/>
      </w:pPr>
      <w:r>
        <w:t>in making regulatory decisions</w:t>
      </w:r>
      <w:r w:rsidR="00980B57">
        <w:t xml:space="preserve">, </w:t>
      </w:r>
      <w:r w:rsidR="00AD4D69">
        <w:t>the AER could</w:t>
      </w:r>
      <w:r>
        <w:t>,</w:t>
      </w:r>
      <w:r w:rsidR="00AD4D69">
        <w:t xml:space="preserve"> but would not be obliged to</w:t>
      </w:r>
      <w:r>
        <w:t>,</w:t>
      </w:r>
      <w:r w:rsidR="00AD4D69">
        <w:t xml:space="preserve"> </w:t>
      </w:r>
      <w:r w:rsidR="00D90D67">
        <w:t>dissect</w:t>
      </w:r>
      <w:r w:rsidR="00AD4D69">
        <w:t xml:space="preserve">, bit by bit, </w:t>
      </w:r>
      <w:r w:rsidR="00980B57">
        <w:t>a</w:t>
      </w:r>
      <w:r w:rsidR="00AD4D69">
        <w:t xml:space="preserve"> business’</w:t>
      </w:r>
      <w:r w:rsidR="004249FA">
        <w:t>s</w:t>
      </w:r>
      <w:r w:rsidR="00AD4D69">
        <w:t xml:space="preserve"> </w:t>
      </w:r>
      <w:r>
        <w:t xml:space="preserve">revenue </w:t>
      </w:r>
      <w:r w:rsidR="00AD4D69">
        <w:t>proposal. Accordingly, it would be free to use benchmarking (and other techniques) to make judgments about a reasonable revenue allowance</w:t>
      </w:r>
    </w:p>
    <w:p w:rsidR="007D60F3" w:rsidRDefault="00AD4D69" w:rsidP="007D60F3">
      <w:pPr>
        <w:pStyle w:val="ListBullet"/>
      </w:pPr>
      <w:r>
        <w:t xml:space="preserve">it eliminated flaws in the Rules that permitted (some) businesses to exceed the </w:t>
      </w:r>
      <w:r w:rsidR="00F3661B">
        <w:t xml:space="preserve">forecast </w:t>
      </w:r>
      <w:r>
        <w:t xml:space="preserve">level of </w:t>
      </w:r>
      <w:r w:rsidR="00C21B6D">
        <w:t xml:space="preserve">capital </w:t>
      </w:r>
      <w:r>
        <w:t>spending</w:t>
      </w:r>
      <w:r w:rsidR="00750FB3">
        <w:t xml:space="preserve">, which </w:t>
      </w:r>
      <w:r w:rsidR="00F3661B">
        <w:t>flowed directly into higher network prices without review by the regulator</w:t>
      </w:r>
      <w:r>
        <w:t>. (The Commission proposed similar reforms as part of its draft report.)</w:t>
      </w:r>
      <w:r w:rsidR="002D1E8E">
        <w:t xml:space="preserve"> </w:t>
      </w:r>
      <w:r w:rsidR="00C21B6D">
        <w:t>This strengthens the role of benchmarking</w:t>
      </w:r>
      <w:r w:rsidR="00C407F8">
        <w:t>,</w:t>
      </w:r>
      <w:r w:rsidR="00C21B6D">
        <w:t xml:space="preserve"> as networks that spend more than the efficient benchmark will be exposed to closer scrutiny and may </w:t>
      </w:r>
      <w:r w:rsidR="00C407F8">
        <w:t>lose revenue related to such over</w:t>
      </w:r>
      <w:r w:rsidR="00E43191">
        <w:noBreakHyphen/>
      </w:r>
      <w:r w:rsidR="00C407F8">
        <w:t xml:space="preserve">expenditure </w:t>
      </w:r>
    </w:p>
    <w:p w:rsidR="000214B5" w:rsidRDefault="000214B5" w:rsidP="007D60F3">
      <w:pPr>
        <w:pStyle w:val="ListBullet"/>
      </w:pPr>
      <w:r>
        <w:t>it allowed the AER to introduce a scheme that provides more consistent incentives to reduce inefficient capital and operating expenditure (the ‘Efficiency Benefit Sharing Scheme’)</w:t>
      </w:r>
    </w:p>
    <w:p w:rsidR="002D1E8E" w:rsidRDefault="007D60F3" w:rsidP="0091723C">
      <w:pPr>
        <w:pStyle w:val="ListBullet"/>
      </w:pPr>
      <w:r>
        <w:t>i</w:t>
      </w:r>
      <w:r w:rsidR="00AD4D69">
        <w:t xml:space="preserve">t removed excessively prescriptive </w:t>
      </w:r>
      <w:r w:rsidR="002D1E8E">
        <w:t>arrangements</w:t>
      </w:r>
      <w:r w:rsidR="00AD4D69">
        <w:t xml:space="preserve"> for calculating the weighted </w:t>
      </w:r>
      <w:r w:rsidR="002D1E8E">
        <w:t>average</w:t>
      </w:r>
      <w:r w:rsidR="00AD4D69">
        <w:t xml:space="preserve"> cost of capital </w:t>
      </w:r>
      <w:r w:rsidR="002D1E8E">
        <w:t xml:space="preserve">(WACC) </w:t>
      </w:r>
      <w:r w:rsidR="00AD4D69">
        <w:t xml:space="preserve">and </w:t>
      </w:r>
      <w:r w:rsidR="002D1E8E">
        <w:t>clarified that any merit</w:t>
      </w:r>
      <w:r w:rsidR="00FF2C72">
        <w:t>s</w:t>
      </w:r>
      <w:r w:rsidR="002D1E8E">
        <w:t xml:space="preserve"> review of the AER’s WACC determinations should take account of the interdependencies in its constituent elements. The AER is developing guidelines in this area. The Commission has largely not addressed the detailed aspects of estimating the WACC in this report, but proposes that the AER </w:t>
      </w:r>
      <w:r w:rsidR="000214B5">
        <w:t xml:space="preserve">consider </w:t>
      </w:r>
      <w:r w:rsidR="002D1E8E">
        <w:t>us</w:t>
      </w:r>
      <w:r w:rsidR="000214B5">
        <w:t>ing</w:t>
      </w:r>
      <w:r w:rsidR="002D1E8E" w:rsidRPr="002D1E8E">
        <w:t xml:space="preserve"> a long</w:t>
      </w:r>
      <w:r w:rsidR="00210D69">
        <w:noBreakHyphen/>
      </w:r>
      <w:r w:rsidR="002D1E8E" w:rsidRPr="002D1E8E">
        <w:t xml:space="preserve">term trailing average to estimate the debt risk premium and the </w:t>
      </w:r>
      <w:r w:rsidR="00A9126D">
        <w:t>risk-free</w:t>
      </w:r>
      <w:r w:rsidR="002D1E8E" w:rsidRPr="002D1E8E">
        <w:t xml:space="preserve"> rate</w:t>
      </w:r>
      <w:r w:rsidR="002D1E8E">
        <w:t xml:space="preserve">. </w:t>
      </w:r>
      <w:r w:rsidR="0091723C" w:rsidRPr="0091723C">
        <w:t>Aver</w:t>
      </w:r>
      <w:r w:rsidR="0091723C">
        <w:t>ages taken over a longer period</w:t>
      </w:r>
      <w:r w:rsidR="0091723C" w:rsidRPr="0091723C">
        <w:t xml:space="preserve"> are more stable predictors of market conditions and are more likely to represent the actual borrowing patterns of the </w:t>
      </w:r>
      <w:r w:rsidR="0091723C" w:rsidRPr="0091723C">
        <w:lastRenderedPageBreak/>
        <w:t>firms involved, as no firm would normally roll over its entire debt portfolio in a two-week period every five years.</w:t>
      </w:r>
      <w:r w:rsidR="0091723C">
        <w:t xml:space="preserve"> </w:t>
      </w:r>
      <w:r w:rsidR="002D1E8E">
        <w:t xml:space="preserve">The Commission also recognises that state ownership of network businesses may confer certain financing advantages on businesses. The remedy is not to develop a WACC that depends on ownership, but to ensure that </w:t>
      </w:r>
      <w:r w:rsidR="00BC771F">
        <w:t>state-</w:t>
      </w:r>
      <w:r w:rsidR="002D1E8E" w:rsidRPr="002D1E8E">
        <w:t>owned network service providers obtain financing (both debt and equity) at rates that reflect the risk of the investment</w:t>
      </w:r>
      <w:r w:rsidR="002D1E8E">
        <w:t>. Privatisation would provide one solution, but so too would genuine competitive neutrality.</w:t>
      </w:r>
    </w:p>
    <w:p w:rsidR="00590BBE" w:rsidRDefault="00342D32" w:rsidP="005029C1">
      <w:pPr>
        <w:pStyle w:val="Heading2"/>
      </w:pPr>
      <w:r>
        <w:t xml:space="preserve">What is the practical </w:t>
      </w:r>
      <w:r w:rsidR="005029C1">
        <w:t>role of benchmarking</w:t>
      </w:r>
      <w:r>
        <w:t>?</w:t>
      </w:r>
    </w:p>
    <w:p w:rsidR="00010C4A" w:rsidRDefault="007D60F3" w:rsidP="00075730">
      <w:pPr>
        <w:pStyle w:val="BodyText"/>
      </w:pPr>
      <w:r>
        <w:t>G</w:t>
      </w:r>
      <w:r w:rsidR="00A92E9D">
        <w:t xml:space="preserve">iven the difficulties outlined in box 1, </w:t>
      </w:r>
      <w:r w:rsidR="003E1BFE">
        <w:t>benchmarking</w:t>
      </w:r>
      <w:r w:rsidR="00A92E9D">
        <w:t xml:space="preserve"> is not </w:t>
      </w:r>
      <w:r w:rsidRPr="007D60F3">
        <w:rPr>
          <w:i/>
        </w:rPr>
        <w:t>yet</w:t>
      </w:r>
      <w:r>
        <w:t xml:space="preserve"> </w:t>
      </w:r>
      <w:r w:rsidR="00A92E9D">
        <w:t xml:space="preserve">sufficiently reliable </w:t>
      </w:r>
      <w:r w:rsidR="003F11E3">
        <w:t xml:space="preserve">and </w:t>
      </w:r>
      <w:r w:rsidR="00A92E9D">
        <w:t>robust to</w:t>
      </w:r>
      <w:r w:rsidR="00F3661B">
        <w:t xml:space="preserve"> directly</w:t>
      </w:r>
      <w:r w:rsidR="00A92E9D">
        <w:t xml:space="preserve"> set</w:t>
      </w:r>
      <w:r w:rsidR="00075730">
        <w:t xml:space="preserve"> </w:t>
      </w:r>
      <w:r w:rsidR="00A92E9D">
        <w:t xml:space="preserve">regulated </w:t>
      </w:r>
      <w:r w:rsidR="00075730">
        <w:t>revenue allowances</w:t>
      </w:r>
      <w:r w:rsidR="00A92E9D">
        <w:t xml:space="preserve">. A particular concern is that it is </w:t>
      </w:r>
      <w:r w:rsidR="00E06E21">
        <w:t>difficult</w:t>
      </w:r>
      <w:r w:rsidR="00A92E9D">
        <w:t xml:space="preserve"> to distinguish between inefficiency and errors arising from model misspecification</w:t>
      </w:r>
      <w:r w:rsidR="00E06E21">
        <w:t xml:space="preserve">, poor data, different regulatory settings and varying operating environments. </w:t>
      </w:r>
    </w:p>
    <w:p w:rsidR="006A6318" w:rsidRDefault="006A6318" w:rsidP="009C5886">
      <w:pPr>
        <w:pStyle w:val="BodyText"/>
      </w:pPr>
      <w:r>
        <w:t>Such difficulties are less severe if the purpose of benchmarking is to identify broad efficiency concerns about network businesses. However, in setting regulatory allowances, badly configured benchmarks could lead to under</w:t>
      </w:r>
      <w:r w:rsidR="00E43191">
        <w:noBreakHyphen/>
      </w:r>
      <w:r>
        <w:t>remuneration of businesses, with risks for efficient inv</w:t>
      </w:r>
      <w:r w:rsidR="009C5886">
        <w:t>estments and business solvency.</w:t>
      </w:r>
    </w:p>
    <w:p w:rsidR="009D2993" w:rsidRDefault="009D2993" w:rsidP="009D2993">
      <w:pPr>
        <w:pStyle w:val="BodyText"/>
      </w:pPr>
      <w:r>
        <w:t>In the immediate future, benchmarking would be most useful:</w:t>
      </w:r>
    </w:p>
    <w:p w:rsidR="009D2993" w:rsidRDefault="009D2993" w:rsidP="009D2993">
      <w:pPr>
        <w:pStyle w:val="ListBullet"/>
      </w:pPr>
      <w:r>
        <w:t xml:space="preserve">as a diagnostic tool to help assess the reasonableness of bottom-up detailed proposals. Operating expenses, such as the costs of vegetation clearance around poles and wires, are more generally amenable to benchmarking than capital expenditure. Such specific benchmarking may be reasonably reliable because there are fewer confounding variables. It may also be possible to expand the number of comparisons by analysing performance outcomes from </w:t>
      </w:r>
      <w:r w:rsidR="0098474E">
        <w:t xml:space="preserve">the </w:t>
      </w:r>
      <w:r>
        <w:t xml:space="preserve">many regions of any given </w:t>
      </w:r>
      <w:r w:rsidR="0098474E">
        <w:t xml:space="preserve">network </w:t>
      </w:r>
      <w:r>
        <w:t xml:space="preserve">business. The AER has already made some use of such benchmarking, as have </w:t>
      </w:r>
      <w:r w:rsidR="00FA3D00">
        <w:t xml:space="preserve">the </w:t>
      </w:r>
      <w:r>
        <w:t xml:space="preserve">network businesses </w:t>
      </w:r>
      <w:r w:rsidR="0098474E">
        <w:t xml:space="preserve">themselves </w:t>
      </w:r>
      <w:r>
        <w:t>for commercial purposes, underlining that it is sufficiently robust to be useful.</w:t>
      </w:r>
      <w:r w:rsidRPr="006F3A30">
        <w:t xml:space="preserve"> </w:t>
      </w:r>
      <w:r>
        <w:t>The implication of this role for benchmarking is that it is unlikely to reduce to any degree the page counts of regulatory proposals and counterproposals, though it should improve the quality of the outcomes</w:t>
      </w:r>
    </w:p>
    <w:p w:rsidR="009D2993" w:rsidRDefault="009D2993" w:rsidP="009D2993">
      <w:pPr>
        <w:pStyle w:val="ListBullet"/>
      </w:pPr>
      <w:r>
        <w:t>in providing information to consumers and others, thereby providing pressure for improved perform</w:t>
      </w:r>
      <w:r w:rsidR="009641E4">
        <w:t>ance by network businesses. The </w:t>
      </w:r>
      <w:r>
        <w:t>2012 Rule change requiring the AER to produce annual benchmarking reports about the performance of network business should assist (so long as the benchmarking measures are meaningful and appropriately explained).</w:t>
      </w:r>
    </w:p>
    <w:p w:rsidR="009C5886" w:rsidRDefault="009C588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C5886">
        <w:tc>
          <w:tcPr>
            <w:tcW w:w="8771" w:type="dxa"/>
            <w:tcBorders>
              <w:top w:val="single" w:sz="6" w:space="0" w:color="auto"/>
              <w:bottom w:val="nil"/>
            </w:tcBorders>
          </w:tcPr>
          <w:p w:rsidR="009C5886" w:rsidRDefault="009C5886" w:rsidP="00021FBB">
            <w:pPr>
              <w:pStyle w:val="BoxTitle"/>
            </w:pPr>
            <w:r>
              <w:rPr>
                <w:b w:val="0"/>
              </w:rPr>
              <w:t>Box 1</w:t>
            </w:r>
            <w:r>
              <w:tab/>
              <w:t>The</w:t>
            </w:r>
            <w:r w:rsidR="00021FBB">
              <w:t xml:space="preserve"> difficulties with benchmarking</w:t>
            </w:r>
          </w:p>
        </w:tc>
      </w:tr>
      <w:tr w:rsidR="009C5886">
        <w:trPr>
          <w:cantSplit/>
        </w:trPr>
        <w:tc>
          <w:tcPr>
            <w:tcW w:w="8771" w:type="dxa"/>
            <w:tcBorders>
              <w:top w:val="nil"/>
              <w:left w:val="single" w:sz="6" w:space="0" w:color="auto"/>
              <w:bottom w:val="nil"/>
              <w:right w:val="single" w:sz="6" w:space="0" w:color="auto"/>
            </w:tcBorders>
          </w:tcPr>
          <w:p w:rsidR="009C5886" w:rsidRDefault="009C5886" w:rsidP="0011544F">
            <w:pPr>
              <w:pStyle w:val="Box"/>
            </w:pPr>
            <w:r>
              <w:t>While benchmarking methods are often sophisticated, there are many problems in applying them and uncertainties about the accuracy and robustness of the results:</w:t>
            </w:r>
          </w:p>
          <w:p w:rsidR="009C5886" w:rsidRDefault="009C5886" w:rsidP="00422F8D">
            <w:pPr>
              <w:pStyle w:val="BoxListNumber2"/>
            </w:pPr>
            <w:r>
              <w:t xml:space="preserve">There are many different methods for estimating ‘efficient’ costs. They revolve around the assumption that unexplained differences in the performance of firms reflect managerial inefficiency. Different approaches can result in divergent measures of efficiency — which may not be a sound basis for regulating future revenue or prices. </w:t>
            </w:r>
          </w:p>
          <w:p w:rsidR="009C5886" w:rsidRDefault="009C5886" w:rsidP="00422F8D">
            <w:pPr>
              <w:pStyle w:val="BoxListNumber2"/>
            </w:pPr>
            <w:r>
              <w:t>Incentive regulations require a reward for the vigorous (and risky) pursuit of cost efficiency. Setting the benchmark to that of the highest performer dulls those incentives since no one would have an incentive to be the leader. However, setting the benchmark at the lower end of performance takes pressure off inefficient businesses. The decision about where to set the line is difficult and involves judgment.</w:t>
            </w:r>
          </w:p>
          <w:p w:rsidR="009C5886" w:rsidRDefault="009C5886" w:rsidP="00422F8D">
            <w:pPr>
              <w:pStyle w:val="BoxListNumber2"/>
            </w:pPr>
            <w:r>
              <w:t>Quality must not be overlooked. A business subject to incentive regulation may appear to be performing efficiently in cost terms, but may lower its quality. This is why, regardless of the regime used to set revenue allowances, complementary regulation or incentive schemes specifically related to reliability and safety, are also necessary. This is much more difficult in transmission where there are few good leading output measures of likely future reliability performance.</w:t>
            </w:r>
          </w:p>
          <w:p w:rsidR="009C5886" w:rsidRDefault="009C5886" w:rsidP="00422F8D">
            <w:pPr>
              <w:pStyle w:val="BoxListNumber2"/>
            </w:pPr>
            <w:r>
              <w:t>Different reporting systems produce measurement errors.</w:t>
            </w:r>
          </w:p>
          <w:p w:rsidR="009C5886" w:rsidRDefault="009C5886" w:rsidP="00422F8D">
            <w:pPr>
              <w:pStyle w:val="BoxListNumber2"/>
            </w:pPr>
            <w:r>
              <w:t>Any comparisons between businesses must take into account differences in their operational circumstances (such as topography, customer density, and differences between jurisdictions about which assets lie within transmission or distribution networks) and policy constraints (such as higher or differently defined reliability standards or statutory requirements for non-commercial goals for state-owned corporations). Much of the international academic literature on benchmarking uses too few variables to draw strong inferences about the efficiency of specific firms.</w:t>
            </w:r>
          </w:p>
          <w:p w:rsidR="009C5886" w:rsidRDefault="009C5886" w:rsidP="00D25157">
            <w:pPr>
              <w:pStyle w:val="BoxListNumber2"/>
            </w:pPr>
            <w:r>
              <w:t>There are only 13</w:t>
            </w:r>
            <w:r w:rsidR="00D25157">
              <w:t> </w:t>
            </w:r>
            <w:r>
              <w:t>distribution businesses, five regional transmission businesses and three separate DC interconnectors in Australia, which reduces the capacity for elaborate models that take into account (e). It also means that the performance bar might be set quite low if the highest performing Australian business were still quite inefficient. International benchmarking might assist, but has to be interpreted carefully given that adjusting for the differences noted in (d) and (e) may increase the number of variables at a higher rate than the additional number of businesses used in benchmarking.</w:t>
            </w:r>
          </w:p>
        </w:tc>
      </w:tr>
      <w:tr w:rsidR="009C5886">
        <w:trPr>
          <w:cantSplit/>
        </w:trPr>
        <w:tc>
          <w:tcPr>
            <w:tcW w:w="8771" w:type="dxa"/>
            <w:tcBorders>
              <w:top w:val="nil"/>
              <w:left w:val="single" w:sz="6" w:space="0" w:color="auto"/>
              <w:bottom w:val="single" w:sz="6" w:space="0" w:color="auto"/>
              <w:right w:val="single" w:sz="6" w:space="0" w:color="auto"/>
            </w:tcBorders>
          </w:tcPr>
          <w:p w:rsidR="009C5886" w:rsidRDefault="009C5886">
            <w:pPr>
              <w:pStyle w:val="Box"/>
              <w:spacing w:before="0" w:line="120" w:lineRule="exact"/>
            </w:pPr>
          </w:p>
        </w:tc>
      </w:tr>
      <w:tr w:rsidR="009C5886" w:rsidRPr="000863A5">
        <w:tc>
          <w:tcPr>
            <w:tcW w:w="8771" w:type="dxa"/>
            <w:tcBorders>
              <w:top w:val="nil"/>
              <w:left w:val="nil"/>
              <w:bottom w:val="nil"/>
              <w:right w:val="nil"/>
            </w:tcBorders>
          </w:tcPr>
          <w:p w:rsidR="009C5886" w:rsidRPr="00626D32" w:rsidRDefault="009C5886" w:rsidP="0011544F">
            <w:pPr>
              <w:pStyle w:val="BoxSpaceBelow"/>
            </w:pPr>
          </w:p>
        </w:tc>
      </w:tr>
    </w:tbl>
    <w:p w:rsidR="00610EAA" w:rsidRDefault="00610EAA" w:rsidP="00610EAA">
      <w:pPr>
        <w:pStyle w:val="BodyText"/>
      </w:pPr>
      <w:r>
        <w:t xml:space="preserve">If its rigour and accuracy improves, aggregate benchmarking could also encourage early settlement in determinations, </w:t>
      </w:r>
      <w:r w:rsidRPr="00E27D60">
        <w:t>short-circuit</w:t>
      </w:r>
      <w:r>
        <w:t>ing</w:t>
      </w:r>
      <w:r w:rsidRPr="00E27D60">
        <w:t xml:space="preserve"> </w:t>
      </w:r>
      <w:r>
        <w:t xml:space="preserve">the current costly processes. Depending on the divergence between benchmarking and the business proposal, the AER could immediately accept a proposal as reasonable, following consultation with consumers (through the </w:t>
      </w:r>
      <w:r w:rsidR="00691E57" w:rsidRPr="00691E57">
        <w:t>National Energy Consumer Advocacy Body</w:t>
      </w:r>
      <w:r>
        <w:t xml:space="preserve">). Alternatively, if the proposal were in the ‘ballpark’, it could initiate a settlement process between the advocacy body and network businesses. The AER could also </w:t>
      </w:r>
      <w:r>
        <w:lastRenderedPageBreak/>
        <w:t xml:space="preserve">request further information (a ‘please explain’ notice) to assist the early resolution of an agreement. Failing a quick resolution, the AER would adopt the current forensic and protracted processes. The risks and costs of those processes would encourage parties to seek negotiated settlements. Negotiated settlements of this kind (overseen by a regulator) have </w:t>
      </w:r>
      <w:r w:rsidR="00124B65">
        <w:t xml:space="preserve">proven </w:t>
      </w:r>
      <w:r>
        <w:t>practical and effective in utility regulation in several overseas jurisdictions, such as California, Florida, and Italy.</w:t>
      </w:r>
    </w:p>
    <w:p w:rsidR="00610EAA" w:rsidRDefault="00610EAA" w:rsidP="00610EAA">
      <w:pPr>
        <w:pStyle w:val="BodyText"/>
      </w:pPr>
      <w:r>
        <w:t>A</w:t>
      </w:r>
      <w:r w:rsidRPr="00235B55">
        <w:t xml:space="preserve"> Rule change would be </w:t>
      </w:r>
      <w:r>
        <w:t>required</w:t>
      </w:r>
      <w:r w:rsidRPr="00235B55">
        <w:t xml:space="preserve"> </w:t>
      </w:r>
      <w:r>
        <w:t>to</w:t>
      </w:r>
      <w:r w:rsidRPr="00235B55">
        <w:t xml:space="preserve"> allow the AER to use benchmarking (or any other evidence at its discretion) on a standalone basis</w:t>
      </w:r>
      <w:r>
        <w:t xml:space="preserve">, where it led to an early and </w:t>
      </w:r>
      <w:r w:rsidRPr="00550343">
        <w:rPr>
          <w:i/>
        </w:rPr>
        <w:t>mutually agreed</w:t>
      </w:r>
      <w:r>
        <w:t xml:space="preserve"> outcome between the business, the regulator and consumers. </w:t>
      </w:r>
    </w:p>
    <w:p w:rsidR="008A31A8" w:rsidRDefault="008A31A8" w:rsidP="008A31A8">
      <w:pPr>
        <w:pStyle w:val="Heading3"/>
      </w:pPr>
      <w:r>
        <w:t>What is a reasonable benchmark?</w:t>
      </w:r>
    </w:p>
    <w:p w:rsidR="008A31A8" w:rsidRDefault="00E432B8" w:rsidP="008A31A8">
      <w:pPr>
        <w:pStyle w:val="BodyText"/>
      </w:pPr>
      <w:r>
        <w:t xml:space="preserve">Any use by the AER of </w:t>
      </w:r>
      <w:r w:rsidR="008A31A8">
        <w:t>benchmarking to estimate values for opex and capex allowances</w:t>
      </w:r>
      <w:r>
        <w:t xml:space="preserve"> in determining regulated revenue allowances</w:t>
      </w:r>
      <w:r w:rsidR="008A31A8">
        <w:t xml:space="preserve"> </w:t>
      </w:r>
      <w:r>
        <w:t>should be accompanied by two protections of the long</w:t>
      </w:r>
      <w:r w:rsidR="00210D69">
        <w:noBreakHyphen/>
      </w:r>
      <w:r>
        <w:t xml:space="preserve">run interests of consumers. </w:t>
      </w:r>
    </w:p>
    <w:p w:rsidR="005F440D" w:rsidRDefault="005F440D" w:rsidP="008A31A8">
      <w:pPr>
        <w:pStyle w:val="BodyText"/>
      </w:pPr>
      <w:r>
        <w:t xml:space="preserve">First, the AER should use detailed publication and peer review to </w:t>
      </w:r>
      <w:r w:rsidR="00A8739E">
        <w:t xml:space="preserve">help </w:t>
      </w:r>
      <w:r>
        <w:t>demonstrate that the benchmarking results are robust enough to serve that purpose.</w:t>
      </w:r>
    </w:p>
    <w:p w:rsidR="009D3DF8" w:rsidRDefault="005F440D" w:rsidP="009D3DF8">
      <w:pPr>
        <w:pStyle w:val="BodyText"/>
      </w:pPr>
      <w:r>
        <w:t xml:space="preserve">Second, in making any judgments about allowable revenues, the AER should choose a yardstick more akin to that applying in competitive markets — which would be a firm close to, but not at the efficiency frontier. The current requirement under the Rules that the AER must accept a ‘reasonable’ proposal </w:t>
      </w:r>
      <w:r w:rsidR="000B170C">
        <w:t>appears to be</w:t>
      </w:r>
      <w:r>
        <w:t xml:space="preserve"> consistent with this st</w:t>
      </w:r>
      <w:r w:rsidR="00E432B8">
        <w:t xml:space="preserve">andard for gauging efficiency. </w:t>
      </w:r>
      <w:r w:rsidR="009D3DF8">
        <w:t>Using such a standard recognises that the likelihood of error in trying to estimate the perfectly efficient level of costs is (exactly) 100 per cent. Under incentive regulation, under</w:t>
      </w:r>
      <w:r w:rsidR="009D3DF8">
        <w:noBreakHyphen/>
        <w:t>remuneration is likely,</w:t>
      </w:r>
      <w:r w:rsidR="009D3DF8" w:rsidRPr="00E41FBC">
        <w:rPr>
          <w:szCs w:val="24"/>
        </w:rPr>
        <w:t xml:space="preserve"> </w:t>
      </w:r>
      <w:r w:rsidR="009D3DF8" w:rsidRPr="00E41FBC">
        <w:t>ultimately</w:t>
      </w:r>
      <w:r w:rsidR="009D3DF8">
        <w:t>, to lead to larger costs than over</w:t>
      </w:r>
      <w:r w:rsidR="00E43191">
        <w:noBreakHyphen/>
      </w:r>
      <w:r w:rsidR="009D3DF8">
        <w:t>remuneration of an equal magnitude. This is because the costs of underinvestment affect the long</w:t>
      </w:r>
      <w:r w:rsidR="00210D69">
        <w:noBreakHyphen/>
      </w:r>
      <w:r w:rsidR="009D3DF8">
        <w:t>run provision of reliable network services to consumers. In contrast, if the incentive regime were performing its role</w:t>
      </w:r>
      <w:r w:rsidR="009D3DF8" w:rsidRPr="00F6260E">
        <w:t>, any over</w:t>
      </w:r>
      <w:r w:rsidR="00E43191">
        <w:noBreakHyphen/>
      </w:r>
      <w:r w:rsidR="009D3DF8" w:rsidRPr="00F6260E">
        <w:t>remuneration would not lead to over</w:t>
      </w:r>
      <w:r w:rsidR="00E43191">
        <w:noBreakHyphen/>
      </w:r>
      <w:r w:rsidR="009D3DF8" w:rsidRPr="00F6260E">
        <w:t>investment</w:t>
      </w:r>
      <w:r w:rsidR="009D3DF8">
        <w:t xml:space="preserve"> by a well-governed, profit</w:t>
      </w:r>
      <w:r w:rsidR="00E43191">
        <w:noBreakHyphen/>
      </w:r>
      <w:r w:rsidR="009D3DF8" w:rsidRPr="00F6260E">
        <w:t>motivated network company</w:t>
      </w:r>
      <w:r w:rsidR="009D3DF8">
        <w:t>. Rather it would result in</w:t>
      </w:r>
      <w:r w:rsidR="009D3DF8" w:rsidRPr="00F6260E">
        <w:t xml:space="preserve"> slightly larger profits</w:t>
      </w:r>
      <w:r w:rsidR="009D3DF8">
        <w:t xml:space="preserve"> (which have lower efficiency costs)</w:t>
      </w:r>
      <w:r w:rsidR="009D3DF8" w:rsidRPr="00F6260E">
        <w:t xml:space="preserve">, which the regulator </w:t>
      </w:r>
      <w:r w:rsidR="009D3DF8">
        <w:t>could</w:t>
      </w:r>
      <w:r w:rsidR="009D3DF8" w:rsidRPr="00F6260E">
        <w:t xml:space="preserve"> reduce in subsequent regulatory periods.</w:t>
      </w:r>
      <w:r w:rsidR="009D3DF8">
        <w:t xml:space="preserve"> </w:t>
      </w:r>
    </w:p>
    <w:p w:rsidR="00E432B8" w:rsidRDefault="009D3DF8" w:rsidP="009D3DF8">
      <w:pPr>
        <w:pStyle w:val="BodyText"/>
      </w:pPr>
      <w:r>
        <w:t>This suggests there should be the retention of some bias towards encouraging investment, but not too large a one.</w:t>
      </w:r>
    </w:p>
    <w:p w:rsidR="00734B4A" w:rsidRDefault="00734B4A" w:rsidP="00734B4A">
      <w:pPr>
        <w:pStyle w:val="Heading3"/>
      </w:pPr>
      <w:r>
        <w:lastRenderedPageBreak/>
        <w:t>Processes and resources for benchmarking</w:t>
      </w:r>
    </w:p>
    <w:p w:rsidR="00734B4A" w:rsidRDefault="001C5919" w:rsidP="00734B4A">
      <w:pPr>
        <w:pStyle w:val="BodyText"/>
      </w:pPr>
      <w:r>
        <w:t xml:space="preserve">A major study ranked Australia as a relatively unsophisticated user of benchmarking in electricity networks. Recognising this, the AER has recently reviewed the use and methods of benchmarking by other energy regulators, and is collecting data that would allow it to undertake more elaborate benchmarking. </w:t>
      </w:r>
      <w:r w:rsidR="00727AA9">
        <w:t xml:space="preserve">However, the </w:t>
      </w:r>
      <w:r w:rsidR="00734B4A">
        <w:t xml:space="preserve">AER </w:t>
      </w:r>
      <w:r w:rsidR="00727AA9">
        <w:t>should</w:t>
      </w:r>
      <w:r w:rsidR="00734B4A">
        <w:t xml:space="preserve"> adopt </w:t>
      </w:r>
      <w:r w:rsidR="00727AA9">
        <w:t>further</w:t>
      </w:r>
      <w:r w:rsidR="00734B4A">
        <w:t xml:space="preserve"> </w:t>
      </w:r>
      <w:r w:rsidR="00727AA9">
        <w:t>measures</w:t>
      </w:r>
      <w:r w:rsidR="00734B4A">
        <w:t xml:space="preserve"> to ensure the successful use and evolution of benchmarking, including:</w:t>
      </w:r>
    </w:p>
    <w:p w:rsidR="00734B4A" w:rsidRDefault="00734B4A" w:rsidP="00734B4A">
      <w:pPr>
        <w:pStyle w:val="ListBullet"/>
      </w:pPr>
      <w:r>
        <w:t>the development of publicly available databases and full transparency in the processes and methods the</w:t>
      </w:r>
      <w:r w:rsidR="00E43191">
        <w:t xml:space="preserve"> AER uses in its benchmarking. </w:t>
      </w:r>
      <w:r>
        <w:t>The standard of reporting of benchmarking and testing of its rigo</w:t>
      </w:r>
      <w:r w:rsidR="00D522E4">
        <w:t>u</w:t>
      </w:r>
      <w:r>
        <w:t>r and robustness would need to be high before the results could play a major</w:t>
      </w:r>
      <w:r w:rsidR="00E43191">
        <w:t xml:space="preserve"> role in revenue determinations</w:t>
      </w:r>
      <w:r>
        <w:t xml:space="preserve"> </w:t>
      </w:r>
    </w:p>
    <w:p w:rsidR="00734B4A" w:rsidRDefault="00734B4A" w:rsidP="00734B4A">
      <w:pPr>
        <w:pStyle w:val="ListBullet"/>
      </w:pPr>
      <w:r>
        <w:t>the development and retention of internal expertise, strategies that maximise learning and greater international collaboration with other regulators and benchmarking agencies</w:t>
      </w:r>
    </w:p>
    <w:p w:rsidR="00734B4A" w:rsidRDefault="00734B4A" w:rsidP="00734B4A">
      <w:pPr>
        <w:pStyle w:val="ListBullet"/>
      </w:pPr>
      <w:r>
        <w:t>peer review of its benchmarking practices (‘benchmarking of benchmarking’)</w:t>
      </w:r>
    </w:p>
    <w:p w:rsidR="00734B4A" w:rsidRDefault="00734B4A" w:rsidP="00734B4A">
      <w:pPr>
        <w:pStyle w:val="ListBullet"/>
      </w:pPr>
      <w:r>
        <w:t>appropriate consultation with stakeholders about the required data and appropriate methods</w:t>
      </w:r>
      <w:r w:rsidRPr="00C80C3A">
        <w:t xml:space="preserve"> </w:t>
      </w:r>
      <w:r>
        <w:t xml:space="preserve">and regular checking to ensure that the benefits of its benchmarking practices exceed the </w:t>
      </w:r>
      <w:r w:rsidR="003505C4">
        <w:t>compliance and resource burdens</w:t>
      </w:r>
    </w:p>
    <w:p w:rsidR="00734B4A" w:rsidRDefault="00734B4A" w:rsidP="00734B4A">
      <w:pPr>
        <w:pStyle w:val="ListBullet"/>
      </w:pPr>
      <w:r>
        <w:t xml:space="preserve">effective communication of the results of benchmarking to its diverse audiences, and in particular to consumer groups, which may use the information to place greater pressure for improved performance by network businesses. </w:t>
      </w:r>
    </w:p>
    <w:p w:rsidR="00727AA9" w:rsidRDefault="00727AA9" w:rsidP="00727AA9">
      <w:pPr>
        <w:pStyle w:val="BodyText"/>
      </w:pPr>
      <w:r>
        <w:t>Such initiatives may eventually allow benchmarking to serve a greater role in making regulatory determinations</w:t>
      </w:r>
      <w:r w:rsidR="00787E87">
        <w:t xml:space="preserve"> and policy reforms</w:t>
      </w:r>
      <w:r>
        <w:t xml:space="preserve">. If benchmark methods become sufficiently robust, the current onus of proof might be switched, with a business having to explain why </w:t>
      </w:r>
      <w:r w:rsidR="00A31B61">
        <w:t>its</w:t>
      </w:r>
      <w:r>
        <w:t xml:space="preserve"> alternative </w:t>
      </w:r>
      <w:r w:rsidR="00A31B61">
        <w:t xml:space="preserve">proposal </w:t>
      </w:r>
      <w:r>
        <w:t xml:space="preserve">would be reasonable. Setting the benchmark </w:t>
      </w:r>
      <w:r w:rsidR="00A31B61">
        <w:t xml:space="preserve">target at a slightly less demanding level </w:t>
      </w:r>
      <w:r w:rsidR="00F3661B">
        <w:t xml:space="preserve">than </w:t>
      </w:r>
      <w:r w:rsidR="00A31B61">
        <w:t xml:space="preserve">that of a fully efficient firm could </w:t>
      </w:r>
      <w:r>
        <w:t>provide some protection against regulatory error.</w:t>
      </w:r>
    </w:p>
    <w:p w:rsidR="00AE274D" w:rsidRDefault="00AE274D" w:rsidP="00AE274D">
      <w:pPr>
        <w:pStyle w:val="Heading2"/>
      </w:pPr>
      <w:r>
        <w:t>Interconnectors</w:t>
      </w:r>
    </w:p>
    <w:p w:rsidR="00C84CD5" w:rsidRPr="00C84CD5" w:rsidRDefault="00C84CD5" w:rsidP="00C84CD5">
      <w:pPr>
        <w:pStyle w:val="BodyText"/>
      </w:pPr>
      <w:r w:rsidRPr="00C84CD5">
        <w:t>In contrast to concerns about over-investment in each region’s own network, some stakeholders argue that there has been underinvestment in interconnectors, citing the presence of interconnector congestion as an indicator of this. They claim that underinvestment has led to insufficient trade in energy across borders and the use of market power by some generators, and acted as a barrier to the wider use of low carbon emitting generators (particularly wind).</w:t>
      </w:r>
    </w:p>
    <w:p w:rsidR="00C84CD5" w:rsidRPr="00C84CD5" w:rsidRDefault="00C84CD5" w:rsidP="00C84CD5">
      <w:pPr>
        <w:pStyle w:val="BodyText"/>
      </w:pPr>
      <w:r w:rsidRPr="00C84CD5">
        <w:lastRenderedPageBreak/>
        <w:t>However, there are several major flaws in these claims</w:t>
      </w:r>
      <w:r w:rsidR="00D90D67">
        <w:t>.</w:t>
      </w:r>
    </w:p>
    <w:p w:rsidR="00C84CD5" w:rsidRPr="00C84CD5" w:rsidRDefault="00C84CD5" w:rsidP="00C84CD5">
      <w:pPr>
        <w:pStyle w:val="ListBullet"/>
      </w:pPr>
      <w:r w:rsidRPr="00C84CD5">
        <w:t xml:space="preserve">Congestion is not inherently bad. Just as in roads, some congestion is efficient because the costs of lowering congestion can exceed the benefits. The current evidence suggests that interconnector capacity is close to its optimal level. </w:t>
      </w:r>
    </w:p>
    <w:p w:rsidR="00C84CD5" w:rsidRPr="00C84CD5" w:rsidRDefault="00C84CD5" w:rsidP="00C84CD5">
      <w:pPr>
        <w:pStyle w:val="ListBullet"/>
      </w:pPr>
      <w:r w:rsidRPr="00C84CD5">
        <w:t>There is a cost</w:t>
      </w:r>
      <w:r w:rsidR="00BF755E">
        <w:t>–</w:t>
      </w:r>
      <w:r w:rsidRPr="00C84CD5">
        <w:t>benefit process for determining the desirability of augmentations of interconnectors. One imminently prospective interconnector upgrade — the Heywood interconnector between Victoria and South Australia — appears to pass a cost</w:t>
      </w:r>
      <w:r w:rsidR="00BF755E">
        <w:t>–</w:t>
      </w:r>
      <w:r w:rsidRPr="00C84CD5">
        <w:t xml:space="preserve">benefit test. (Options for upgrading another interconnector, between New South Wales and Queensland, are </w:t>
      </w:r>
      <w:r w:rsidR="00A8739E">
        <w:t xml:space="preserve">also </w:t>
      </w:r>
      <w:r w:rsidRPr="00C84CD5">
        <w:t xml:space="preserve">currently being considered.) </w:t>
      </w:r>
    </w:p>
    <w:p w:rsidR="00C84CD5" w:rsidRPr="00C84CD5" w:rsidRDefault="00C84CD5" w:rsidP="00C84CD5">
      <w:pPr>
        <w:pStyle w:val="ListBullet"/>
      </w:pPr>
      <w:r w:rsidRPr="00C84CD5">
        <w:t xml:space="preserve">The problems attributed to apparent underinvestment in interconnectors — such as the exercise of market power by some generators — are often the consequence of other aspects of the network and the regulatory system. Simply increasing interconnector investment would often not resolve these problems, or would not be the most efficient way of doing so. </w:t>
      </w:r>
    </w:p>
    <w:p w:rsidR="00C84CD5" w:rsidRPr="00C84CD5" w:rsidRDefault="003505C4" w:rsidP="00C84CD5">
      <w:pPr>
        <w:pStyle w:val="BodyText"/>
      </w:pPr>
      <w:r>
        <w:t xml:space="preserve">In fact, the current major problem is </w:t>
      </w:r>
      <w:r w:rsidR="005769A4">
        <w:t xml:space="preserve">that existing interconnector capacity is not always efficiently used </w:t>
      </w:r>
      <w:r w:rsidR="005769A4" w:rsidRPr="00C84CD5">
        <w:t>(quite the opposite of a problem with congestion)</w:t>
      </w:r>
      <w:r w:rsidR="005769A4">
        <w:t xml:space="preserve">. This arises because the Rules </w:t>
      </w:r>
      <w:r w:rsidR="005769A4" w:rsidRPr="00C84CD5">
        <w:t>may sometimes affect the bidding behaviour of generators in perverse ways</w:t>
      </w:r>
      <w:r w:rsidR="005769A4">
        <w:t xml:space="preserve">. </w:t>
      </w:r>
      <w:r w:rsidR="00C84CD5" w:rsidRPr="00C84CD5">
        <w:t>Moreover, the regulatory regime for transmission (of which interconnectors are a part) should be future looking. Accordingly, while existing interconnection infrastructure may be satisfactory, the current system may not deliver efficient future investment.</w:t>
      </w:r>
    </w:p>
    <w:p w:rsidR="00EE2788" w:rsidRDefault="00C84CD5" w:rsidP="00C84CD5">
      <w:pPr>
        <w:pStyle w:val="BodyText"/>
      </w:pPr>
      <w:r w:rsidRPr="00C84CD5">
        <w:t>The reasons for this are highly technical, but the</w:t>
      </w:r>
      <w:r w:rsidR="00A8739E">
        <w:t>re are two main factors undermining the efficient use of interconnectors</w:t>
      </w:r>
      <w:r w:rsidR="005769A4">
        <w:t>:</w:t>
      </w:r>
    </w:p>
    <w:p w:rsidR="00EE2788" w:rsidRDefault="00B06736" w:rsidP="000B5D93">
      <w:pPr>
        <w:pStyle w:val="ListBullet"/>
      </w:pPr>
      <w:r>
        <w:t xml:space="preserve">intra-regional transmission networks are not </w:t>
      </w:r>
      <w:r w:rsidR="000B5D93">
        <w:t>necessarily</w:t>
      </w:r>
      <w:r>
        <w:t xml:space="preserve"> planned </w:t>
      </w:r>
      <w:r w:rsidR="000B5D93">
        <w:t xml:space="preserve">to optimise the use of interconnectors. </w:t>
      </w:r>
      <w:r w:rsidR="00EE2788">
        <w:t xml:space="preserve">As AEMO has pointed out, it is a fallacy to depict interconnectors as </w:t>
      </w:r>
      <w:r>
        <w:t xml:space="preserve">simply </w:t>
      </w:r>
      <w:r w:rsidR="0084368F">
        <w:t xml:space="preserve">a </w:t>
      </w:r>
      <w:r w:rsidR="00EE2788">
        <w:t xml:space="preserve">single </w:t>
      </w:r>
      <w:r>
        <w:t>piece of wire</w:t>
      </w:r>
      <w:r w:rsidR="0084368F">
        <w:t xml:space="preserve"> </w:t>
      </w:r>
      <w:r w:rsidR="00EE2788">
        <w:t>passing over a state border</w:t>
      </w:r>
      <w:r w:rsidR="000B5D93">
        <w:t xml:space="preserve"> and linking in an uncomplicated way to the networks on each side of the border</w:t>
      </w:r>
      <w:r w:rsidR="00EE2788">
        <w:t xml:space="preserve">. In fact, </w:t>
      </w:r>
      <w:r w:rsidR="00EE2788" w:rsidRPr="00EE2788">
        <w:t xml:space="preserve">an </w:t>
      </w:r>
      <w:r w:rsidR="00EE2788">
        <w:t xml:space="preserve">apparently ‘single’ </w:t>
      </w:r>
      <w:r w:rsidR="00EE2788" w:rsidRPr="00EE2788">
        <w:t>interconnector can be composed of several lines</w:t>
      </w:r>
      <w:r>
        <w:t xml:space="preserve"> </w:t>
      </w:r>
      <w:r w:rsidR="00EE2788" w:rsidRPr="00EE2788">
        <w:t>of varying capacity and location</w:t>
      </w:r>
      <w:r>
        <w:t>, and</w:t>
      </w:r>
      <w:r w:rsidR="00EE2788">
        <w:t xml:space="preserve"> the</w:t>
      </w:r>
      <w:r w:rsidR="00EE2788" w:rsidRPr="00EE2788">
        <w:t xml:space="preserve"> operation of an interconnector is affected </w:t>
      </w:r>
      <w:r w:rsidRPr="00EE2788">
        <w:t xml:space="preserve">greatly </w:t>
      </w:r>
      <w:r w:rsidR="00EE2788" w:rsidRPr="00EE2788">
        <w:t xml:space="preserve">by the </w:t>
      </w:r>
      <w:r w:rsidR="0084368F">
        <w:t xml:space="preserve">capacity and </w:t>
      </w:r>
      <w:r w:rsidR="00034B37">
        <w:t>structure</w:t>
      </w:r>
      <w:r w:rsidR="0084368F">
        <w:t xml:space="preserve"> of</w:t>
      </w:r>
      <w:r w:rsidR="00EE2788" w:rsidRPr="00EE2788">
        <w:t xml:space="preserve"> the transmission network</w:t>
      </w:r>
      <w:r w:rsidR="000B5D93">
        <w:t>s</w:t>
      </w:r>
      <w:r w:rsidR="00EE2788" w:rsidRPr="00EE2788">
        <w:t xml:space="preserve"> </w:t>
      </w:r>
      <w:r w:rsidR="00EE2788">
        <w:t xml:space="preserve">to which it connects. </w:t>
      </w:r>
      <w:r w:rsidR="00EE2788" w:rsidRPr="00EE2788">
        <w:t>State based transmission planning regimes currently give insufficient attention to the impacts of their decisions on the effectiveness of transmission systems in other states and on</w:t>
      </w:r>
      <w:r w:rsidR="00AF4224">
        <w:t xml:space="preserve"> the interconnectors themselves</w:t>
      </w:r>
    </w:p>
    <w:p w:rsidR="00C84CD5" w:rsidRPr="00C84CD5" w:rsidRDefault="00B06736" w:rsidP="000B5D93">
      <w:pPr>
        <w:pStyle w:val="ListBullet"/>
      </w:pPr>
      <w:r>
        <w:t>strategic behaviour by generators</w:t>
      </w:r>
      <w:r w:rsidR="00C84CD5" w:rsidRPr="00C84CD5">
        <w:t xml:space="preserve">, which is encouraged by the design of the spot market in the NEM, the physical configuration of both transmission and generation in the NEM and the way that transmission services are priced. </w:t>
      </w:r>
    </w:p>
    <w:p w:rsidR="00C84CD5" w:rsidRPr="00C84CD5" w:rsidRDefault="00C84CD5" w:rsidP="00C84CD5">
      <w:pPr>
        <w:pStyle w:val="BodyText"/>
      </w:pPr>
      <w:r w:rsidRPr="00C84CD5">
        <w:lastRenderedPageBreak/>
        <w:t>When transmission constraints bind, it may be necessary to dispatch higher cost generators ahead of more efficient ones to meet demand. But this can also be the result of, or be exacerbated by, strategic behaviour by generators (so-called ‘disorderly’ bidding) located behind a constrained transmission line. They can also prevent the dispatch of efficient generators in another state and thereby reduce traffic on an interconnector, sometimes precisely when maximising flows would be helpful to meet peak demand in another jurisdiction. Indeed, in certain bizarre instances, generator bidding behaviour may result in ‘counterflows’, in which the pattern of trade violates the usual assumptions of comparative advantage. Generators with higher costs send power to a state with lower-cost generators. Disorderly bidding can be a highly profitable strategy for generators.</w:t>
      </w:r>
    </w:p>
    <w:p w:rsidR="00C84CD5" w:rsidRPr="00C84CD5" w:rsidRDefault="00C54D8B" w:rsidP="00C84CD5">
      <w:pPr>
        <w:pStyle w:val="BodyText"/>
      </w:pPr>
      <w:r>
        <w:t xml:space="preserve">In the short </w:t>
      </w:r>
      <w:r w:rsidR="00C84CD5" w:rsidRPr="00C84CD5">
        <w:t xml:space="preserve">run, this conduct mainly results in income flows between parties, but little inefficiency. However, </w:t>
      </w:r>
      <w:r w:rsidR="000B5D93">
        <w:t xml:space="preserve">despite arguments to the contrary from some generators, the Commission believes that this problem </w:t>
      </w:r>
      <w:r w:rsidR="00C84CD5" w:rsidRPr="00C84CD5">
        <w:t>leads to significant long</w:t>
      </w:r>
      <w:r w:rsidR="00210D69">
        <w:noBreakHyphen/>
      </w:r>
      <w:r w:rsidR="00C84CD5" w:rsidRPr="00C84CD5">
        <w:t>run inefficiencies (a view also held by the AER and the AEMC):</w:t>
      </w:r>
    </w:p>
    <w:p w:rsidR="00C84CD5" w:rsidRPr="00C84CD5" w:rsidRDefault="00C84CD5" w:rsidP="00C84CD5">
      <w:pPr>
        <w:pStyle w:val="ListBullet"/>
      </w:pPr>
      <w:r w:rsidRPr="00C84CD5">
        <w:t xml:space="preserve">generators face inefficient signals about where to locate </w:t>
      </w:r>
    </w:p>
    <w:p w:rsidR="00C84CD5" w:rsidRPr="00C84CD5" w:rsidRDefault="00C84CD5" w:rsidP="00C84CD5">
      <w:pPr>
        <w:pStyle w:val="ListBullet"/>
      </w:pPr>
      <w:r w:rsidRPr="00C84CD5">
        <w:t>older higher-cost generators may not be decommissioned early enough</w:t>
      </w:r>
    </w:p>
    <w:p w:rsidR="00C84CD5" w:rsidRPr="00C84CD5" w:rsidRDefault="00C84CD5" w:rsidP="00C84CD5">
      <w:pPr>
        <w:pStyle w:val="ListBullet"/>
      </w:pPr>
      <w:r w:rsidRPr="00C84CD5">
        <w:t>the capacity of inter-regional contracting across interconnectors to provide insurance through hedging instruments is undermined, forcing parties to use more costly hedging, or to avoid inter-regional trading altogether (raising electricity prices to consumers in either case)</w:t>
      </w:r>
    </w:p>
    <w:p w:rsidR="00C84CD5" w:rsidRPr="00C84CD5" w:rsidRDefault="00C84CD5" w:rsidP="00C84CD5">
      <w:pPr>
        <w:pStyle w:val="ListBullet"/>
      </w:pPr>
      <w:r w:rsidRPr="00C84CD5">
        <w:t>the signals for the efficient investment in interconnectors are distorted, and with that, network planning across the NEM.</w:t>
      </w:r>
    </w:p>
    <w:p w:rsidR="00C84CD5" w:rsidRPr="00C84CD5" w:rsidRDefault="00C84CD5" w:rsidP="00C84CD5">
      <w:pPr>
        <w:pStyle w:val="BodyText"/>
      </w:pPr>
      <w:r w:rsidRPr="00C84CD5">
        <w:t xml:space="preserve">The Commission largely agrees with the option proposed by the AEMC in its transmission frameworks review. </w:t>
      </w:r>
      <w:r w:rsidR="003838D2">
        <w:t>The adoption of ‘optional firm access’ (OFA) can remove the i</w:t>
      </w:r>
      <w:r w:rsidRPr="00C84CD5">
        <w:t xml:space="preserve">ncentives </w:t>
      </w:r>
      <w:r w:rsidR="003838D2">
        <w:t>that lead to disorderly dispatch</w:t>
      </w:r>
      <w:r w:rsidRPr="00C84CD5">
        <w:t xml:space="preserve">. Under </w:t>
      </w:r>
      <w:r w:rsidR="003838D2">
        <w:t>OFA</w:t>
      </w:r>
      <w:r w:rsidRPr="00C84CD5">
        <w:t xml:space="preserve">, generators can </w:t>
      </w:r>
      <w:r w:rsidR="00E97626">
        <w:t xml:space="preserve">choose to </w:t>
      </w:r>
      <w:r w:rsidRPr="00C84CD5">
        <w:t xml:space="preserve">pay for </w:t>
      </w:r>
      <w:r w:rsidR="00E97626">
        <w:t xml:space="preserve">a </w:t>
      </w:r>
      <w:r w:rsidRPr="00C84CD5">
        <w:t xml:space="preserve">privileged </w:t>
      </w:r>
      <w:r w:rsidR="00E97626">
        <w:t>financial right to a given amount of the capacity of a transmission network (‘firm access’). The generator does not have to actually physically d</w:t>
      </w:r>
      <w:r w:rsidR="00BD77B8">
        <w:t>i</w:t>
      </w:r>
      <w:r w:rsidR="00E97626">
        <w:t>spatch power, but any other generator displacing the p</w:t>
      </w:r>
      <w:r w:rsidR="00E97626" w:rsidRPr="00E97626">
        <w:t>urchased capacity must pay the generator that has acquired firm access</w:t>
      </w:r>
      <w:r w:rsidR="00E97626">
        <w:t>.</w:t>
      </w:r>
      <w:r w:rsidRPr="00C84CD5">
        <w:t xml:space="preserve"> </w:t>
      </w:r>
      <w:r w:rsidR="00E97626">
        <w:t xml:space="preserve">OFA </w:t>
      </w:r>
      <w:r w:rsidR="003838D2">
        <w:t xml:space="preserve">would </w:t>
      </w:r>
      <w:r w:rsidRPr="00C84CD5">
        <w:t xml:space="preserve">achieve short-term gains </w:t>
      </w:r>
      <w:r w:rsidR="003838D2">
        <w:t xml:space="preserve">by addressing disorderly bidding </w:t>
      </w:r>
      <w:r w:rsidRPr="00C84CD5">
        <w:t>and provide long</w:t>
      </w:r>
      <w:r w:rsidR="00210D69">
        <w:noBreakHyphen/>
      </w:r>
      <w:r w:rsidRPr="00C84CD5">
        <w:t xml:space="preserve">run signals about the optimal location and investments in transmission and generation. </w:t>
      </w:r>
    </w:p>
    <w:p w:rsidR="00E35746" w:rsidRDefault="00C84CD5" w:rsidP="00C84CD5">
      <w:pPr>
        <w:pStyle w:val="BodyText"/>
      </w:pPr>
      <w:r w:rsidRPr="00C84CD5">
        <w:t>However, the implementation of OFA will require a reasonable transition. This reflects</w:t>
      </w:r>
      <w:r w:rsidR="00E35746">
        <w:t>:</w:t>
      </w:r>
    </w:p>
    <w:p w:rsidR="00E35746" w:rsidRDefault="00C84CD5" w:rsidP="00E35746">
      <w:pPr>
        <w:pStyle w:val="ListBullet"/>
      </w:pPr>
      <w:r w:rsidRPr="00C84CD5">
        <w:t>its complexities</w:t>
      </w:r>
    </w:p>
    <w:p w:rsidR="00E35746" w:rsidRDefault="00C84CD5" w:rsidP="00E35746">
      <w:pPr>
        <w:pStyle w:val="ListBullet"/>
      </w:pPr>
      <w:r w:rsidRPr="00C84CD5">
        <w:lastRenderedPageBreak/>
        <w:t>the need to ensure that parties do not find ways of gaming the new arrangements, (on the one hand,</w:t>
      </w:r>
      <w:r w:rsidR="00E35746">
        <w:t xml:space="preserve"> </w:t>
      </w:r>
      <w:r w:rsidRPr="00C84CD5">
        <w:t>the risk that a transmission business might overprice access, and on the other, that generators may find new ways to game the spot market)</w:t>
      </w:r>
    </w:p>
    <w:p w:rsidR="00E35746" w:rsidRDefault="00C84CD5" w:rsidP="00E35746">
      <w:pPr>
        <w:pStyle w:val="ListBullet"/>
      </w:pPr>
      <w:r w:rsidRPr="00C84CD5">
        <w:t xml:space="preserve">a requirement to undertake adequate consultation on arrangements that will affect all transmission businesses and generators throughout the NEM. </w:t>
      </w:r>
    </w:p>
    <w:p w:rsidR="00857917" w:rsidRPr="00C84CD5" w:rsidRDefault="00C84CD5" w:rsidP="00C84CD5">
      <w:pPr>
        <w:pStyle w:val="BodyText"/>
      </w:pPr>
      <w:r w:rsidRPr="00C84CD5">
        <w:t xml:space="preserve">However, in the meantime, the AER has proposed a relatively simple option based on imposing congestion pricing on generators in constrained parts of the transmission network. This would address some of the most serious aspects of disorderly </w:t>
      </w:r>
      <w:r w:rsidR="003838D2">
        <w:t>dispatch</w:t>
      </w:r>
      <w:r w:rsidRPr="00C84CD5">
        <w:t xml:space="preserve">, and assist the transition to OFA. This should be implemented within two years. </w:t>
      </w:r>
      <w:r w:rsidR="00857917" w:rsidRPr="00C84CD5">
        <w:t>The Commission envisages that</w:t>
      </w:r>
      <w:r w:rsidR="00857917">
        <w:t xml:space="preserve">, subject to the outcomes of </w:t>
      </w:r>
      <w:r w:rsidR="00A65216">
        <w:br/>
      </w:r>
      <w:r w:rsidR="00857917">
        <w:t>cost</w:t>
      </w:r>
      <w:r w:rsidR="00A65216">
        <w:t>–</w:t>
      </w:r>
      <w:r w:rsidR="00857917">
        <w:t xml:space="preserve">benefit analyses (including relative to the AER’s proposal), </w:t>
      </w:r>
      <w:r w:rsidR="00857917" w:rsidRPr="00C84CD5">
        <w:t>OFA would commence operation in</w:t>
      </w:r>
      <w:r w:rsidR="009641E4">
        <w:t> </w:t>
      </w:r>
      <w:r w:rsidR="00857917" w:rsidRPr="00C84CD5">
        <w:t>2018.</w:t>
      </w:r>
    </w:p>
    <w:p w:rsidR="00C84CD5" w:rsidRPr="00C84CD5" w:rsidRDefault="00335788" w:rsidP="00C84CD5">
      <w:pPr>
        <w:pStyle w:val="BodyText"/>
      </w:pPr>
      <w:r>
        <w:t xml:space="preserve">Over the very long </w:t>
      </w:r>
      <w:r w:rsidR="00C84CD5" w:rsidRPr="00C84CD5">
        <w:t>run, a shift from OFA to a more refined transmission pricing model — ‘nodal’ pricing — may be beneficial, but this should be tested in a review ten years after the commencement of OFA.</w:t>
      </w:r>
    </w:p>
    <w:p w:rsidR="00C84CD5" w:rsidRDefault="00C84CD5" w:rsidP="00C84CD5">
      <w:pPr>
        <w:pStyle w:val="BodyText"/>
        <w:rPr>
          <w:b/>
        </w:rPr>
      </w:pPr>
      <w:r w:rsidRPr="00C84CD5">
        <w:t xml:space="preserve">Quite apart from reforms to transmission pricing, the Commission’s preferred NEM-wide planning approach (as discussed earlier) is likely to overcome biases against interconnectors arising from a tendency to favour intra-regional transmission options. </w:t>
      </w:r>
    </w:p>
    <w:p w:rsidR="005623BD" w:rsidRDefault="005623BD" w:rsidP="005623BD">
      <w:pPr>
        <w:pStyle w:val="Heading2"/>
      </w:pPr>
      <w:r>
        <w:t xml:space="preserve">Implementation and outcomes </w:t>
      </w:r>
    </w:p>
    <w:p w:rsidR="005623BD" w:rsidRDefault="0005249B" w:rsidP="005623BD">
      <w:pPr>
        <w:pStyle w:val="BodyText"/>
      </w:pPr>
      <w:r>
        <w:t xml:space="preserve">Notwithstanding some progress in reform — or at least in reviews proposing reform — </w:t>
      </w:r>
      <w:r w:rsidR="005623BD">
        <w:t xml:space="preserve">much of the detail </w:t>
      </w:r>
      <w:r w:rsidR="00857917">
        <w:t xml:space="preserve">of the necessary reforms </w:t>
      </w:r>
      <w:r w:rsidR="005623BD">
        <w:t xml:space="preserve">has yet to </w:t>
      </w:r>
      <w:r w:rsidR="00124B65">
        <w:t xml:space="preserve">be </w:t>
      </w:r>
      <w:r w:rsidR="005623BD">
        <w:t>determined</w:t>
      </w:r>
      <w:r w:rsidR="00857917">
        <w:t xml:space="preserve">, and </w:t>
      </w:r>
      <w:r w:rsidR="002870AF">
        <w:t xml:space="preserve">some crucial </w:t>
      </w:r>
      <w:r w:rsidR="00857917">
        <w:t xml:space="preserve">policy </w:t>
      </w:r>
      <w:r w:rsidR="002870AF">
        <w:t>decisions have yet to be made.</w:t>
      </w:r>
      <w:r w:rsidR="005623BD">
        <w:t xml:space="preserve"> This is apparent in the:</w:t>
      </w:r>
    </w:p>
    <w:p w:rsidR="005623BD" w:rsidRDefault="005623BD" w:rsidP="005623BD">
      <w:pPr>
        <w:pStyle w:val="ListBullet"/>
      </w:pPr>
      <w:r>
        <w:t xml:space="preserve">continued lack of a </w:t>
      </w:r>
      <w:r w:rsidR="00124B65">
        <w:t>nationally consistent</w:t>
      </w:r>
      <w:r>
        <w:t xml:space="preserve"> framework for network reliability and planning that takes into account the customer value of reliability. There remains a genuine risk that the ultimate policy outcomes may preserve a backdoor for parochialism</w:t>
      </w:r>
    </w:p>
    <w:p w:rsidR="005623BD" w:rsidRDefault="005623BD" w:rsidP="005623BD">
      <w:pPr>
        <w:pStyle w:val="ListBullet"/>
      </w:pPr>
      <w:r>
        <w:t>prolonged gradualism of electricity retail reform, and indeed in reform more generally</w:t>
      </w:r>
    </w:p>
    <w:p w:rsidR="005623BD" w:rsidRDefault="005623BD" w:rsidP="005623BD">
      <w:pPr>
        <w:pStyle w:val="ListBullet"/>
      </w:pPr>
      <w:r>
        <w:t>absence of decisions about how a coherent and workable smart meter rollout should proceed</w:t>
      </w:r>
    </w:p>
    <w:p w:rsidR="005623BD" w:rsidRDefault="005623BD" w:rsidP="005623BD">
      <w:pPr>
        <w:pStyle w:val="ListBullet"/>
      </w:pPr>
      <w:r>
        <w:t>continued government ownership of networks, and in some cases, retailers and generators</w:t>
      </w:r>
    </w:p>
    <w:p w:rsidR="005623BD" w:rsidRDefault="005623BD" w:rsidP="005623BD">
      <w:pPr>
        <w:pStyle w:val="ListBullet"/>
      </w:pPr>
      <w:r>
        <w:lastRenderedPageBreak/>
        <w:t xml:space="preserve">as yet, no decision about the best processes for reviewing or appealing the AER’s regulatory decisions. </w:t>
      </w:r>
    </w:p>
    <w:p w:rsidR="005623BD" w:rsidRDefault="005623BD" w:rsidP="005623BD">
      <w:pPr>
        <w:pStyle w:val="BodyText"/>
      </w:pPr>
      <w:r>
        <w:t>Major stakeholders, particularly investors in long</w:t>
      </w:r>
      <w:r w:rsidR="00210D69">
        <w:noBreakHyphen/>
      </w:r>
      <w:r>
        <w:t xml:space="preserve">lived network assets, are understandably nervous about any changes to the rules and regulatory environment that might adversely affect their investments. Meeting the </w:t>
      </w:r>
      <w:r w:rsidRPr="00F744EF">
        <w:rPr>
          <w:i/>
        </w:rPr>
        <w:t>long</w:t>
      </w:r>
      <w:r w:rsidR="00210D69">
        <w:rPr>
          <w:i/>
        </w:rPr>
        <w:noBreakHyphen/>
      </w:r>
      <w:r w:rsidRPr="00F744EF">
        <w:rPr>
          <w:i/>
        </w:rPr>
        <w:t>run</w:t>
      </w:r>
      <w:r>
        <w:t xml:space="preserve"> interests of consumers requires that investors are confident that the regulatory regime will deliver adequate returns on their investment. Some may argue that the Commission’s suite of recommendations represent an unacceptable rate of change and risk to investor confidence. To this, the simple but fundamental point is that the recommendations made by this inquiry do not represent any change to the ‘goal posts’ of the NEM — with the </w:t>
      </w:r>
      <w:r w:rsidR="005D4C6B">
        <w:t xml:space="preserve">inherent </w:t>
      </w:r>
      <w:r>
        <w:t>uncertainty that would entail for consumers and network businesses. Rather, the recommendations are designed to re-orient the framework to better achieve its original objective.</w:t>
      </w:r>
    </w:p>
    <w:p w:rsidR="005623BD" w:rsidRDefault="005623BD" w:rsidP="005623BD">
      <w:pPr>
        <w:pStyle w:val="BodyText"/>
      </w:pPr>
      <w:r>
        <w:t>There have been some legitimate reasons for price increases over the last few years, but the system as a whole is inefficient, and price pressures could be reduced</w:t>
      </w:r>
      <w:r w:rsidRPr="00F744EF">
        <w:t xml:space="preserve"> </w:t>
      </w:r>
      <w:r>
        <w:t>substantially over the longer term if a coordinated set of reforms were introduced. Consumers have much to gain from the proposed reforms.</w:t>
      </w:r>
    </w:p>
    <w:p w:rsidR="005623BD" w:rsidRDefault="005623BD" w:rsidP="005623BD">
      <w:pPr>
        <w:pStyle w:val="Heading3"/>
      </w:pPr>
      <w:r>
        <w:t xml:space="preserve">Reform needs to be </w:t>
      </w:r>
      <w:r w:rsidR="00616D21">
        <w:t>more timely</w:t>
      </w:r>
    </w:p>
    <w:p w:rsidR="005623BD" w:rsidRDefault="005623BD" w:rsidP="005623BD">
      <w:pPr>
        <w:pStyle w:val="BodyText"/>
      </w:pPr>
      <w:r>
        <w:t xml:space="preserve">Some of the more critical reforms in the NEM have already taken far too long. While the complexities of the NEM, the number of stakeholders involved, and the issues relating to investor confidence noted above, justify a considered and thorough examination of reforms before they are implemented, the current system has sometimes descended into paralysis by analysis. Reform appears to have been frustrated by complex processes, constant and overlapping reviews, and a lack of agreement by relevant governments about either the reforms themselves or the need for more timely progress to a genuinely NEM-wide approach to energy regulation. </w:t>
      </w:r>
    </w:p>
    <w:p w:rsidR="005623BD" w:rsidRDefault="005623BD" w:rsidP="005623BD">
      <w:pPr>
        <w:pStyle w:val="BodyText"/>
      </w:pPr>
      <w:r>
        <w:t>This is exemplified by the processes for reforming transmission planning and reliability. Sweeping national reform was first proposed in</w:t>
      </w:r>
      <w:r w:rsidR="009641E4">
        <w:t> </w:t>
      </w:r>
      <w:r>
        <w:t>2002, with follow-up reviews commencing in</w:t>
      </w:r>
      <w:r w:rsidR="009641E4">
        <w:t> </w:t>
      </w:r>
      <w:r>
        <w:t>2006,</w:t>
      </w:r>
      <w:r w:rsidR="009641E4">
        <w:t> </w:t>
      </w:r>
      <w:r>
        <w:t>2007,</w:t>
      </w:r>
      <w:r w:rsidR="009641E4">
        <w:t> </w:t>
      </w:r>
      <w:r>
        <w:t>2009,</w:t>
      </w:r>
      <w:r w:rsidR="009641E4">
        <w:t> </w:t>
      </w:r>
      <w:r>
        <w:t>2010 (the latter AEMC review taking three years) and in</w:t>
      </w:r>
      <w:r w:rsidR="009641E4">
        <w:t> </w:t>
      </w:r>
      <w:r>
        <w:t>2012 (this inquiry). Notwithstanding this extensive pre-existing analysis, SCER has just initiated a new AEMC review, covering much of the same territory. This will trigger to a further protracted process, including:</w:t>
      </w:r>
    </w:p>
    <w:p w:rsidR="005623BD" w:rsidRDefault="005623BD" w:rsidP="005623BD">
      <w:pPr>
        <w:pStyle w:val="ListBullet"/>
      </w:pPr>
      <w:r>
        <w:t xml:space="preserve">the time </w:t>
      </w:r>
      <w:r w:rsidR="001E77A8">
        <w:t xml:space="preserve">required </w:t>
      </w:r>
      <w:r>
        <w:t>to complete the review (scheduled for completion by November</w:t>
      </w:r>
      <w:r w:rsidR="009641E4">
        <w:t> </w:t>
      </w:r>
      <w:r>
        <w:t>2013)</w:t>
      </w:r>
    </w:p>
    <w:p w:rsidR="005623BD" w:rsidRDefault="005623BD" w:rsidP="005623BD">
      <w:pPr>
        <w:pStyle w:val="ListBullet"/>
      </w:pPr>
      <w:r>
        <w:t>the need to alter the National Electricity Law</w:t>
      </w:r>
      <w:r w:rsidRPr="007C4DAF">
        <w:t xml:space="preserve"> </w:t>
      </w:r>
      <w:r>
        <w:t xml:space="preserve">at the conclusion of that review (provided </w:t>
      </w:r>
      <w:r w:rsidR="00441EE2">
        <w:t>SCER</w:t>
      </w:r>
      <w:r>
        <w:t xml:space="preserve"> reaches a consensus). SCER would also need to develop an </w:t>
      </w:r>
      <w:r>
        <w:lastRenderedPageBreak/>
        <w:t xml:space="preserve">implementation plan and then request that the AEMC initiate a Rule change process </w:t>
      </w:r>
    </w:p>
    <w:p w:rsidR="005623BD" w:rsidRDefault="005623BD" w:rsidP="005623BD">
      <w:pPr>
        <w:pStyle w:val="ListBullet"/>
      </w:pPr>
      <w:r>
        <w:t>the time taken to complete the Rule change process (expected to be around one year)</w:t>
      </w:r>
    </w:p>
    <w:p w:rsidR="005623BD" w:rsidRDefault="005623BD" w:rsidP="005623BD">
      <w:pPr>
        <w:pStyle w:val="ListBullet"/>
      </w:pPr>
      <w:r>
        <w:t>the time for transmission businesses to understand the new Rules and to incorporate them into their initial regulatory proposals</w:t>
      </w:r>
    </w:p>
    <w:p w:rsidR="005623BD" w:rsidRDefault="005623BD" w:rsidP="005623BD">
      <w:pPr>
        <w:pStyle w:val="ListBullet"/>
      </w:pPr>
      <w:r>
        <w:t>the fact that regulatory determinations are staggered over several years.</w:t>
      </w:r>
    </w:p>
    <w:p w:rsidR="005623BD" w:rsidRDefault="005623BD" w:rsidP="005623BD">
      <w:pPr>
        <w:pStyle w:val="BodyText"/>
      </w:pPr>
      <w:r>
        <w:t>As a result, under current arrangements, the most optimistic outcome is that national reform could be in place by</w:t>
      </w:r>
      <w:r w:rsidR="009641E4">
        <w:t> </w:t>
      </w:r>
      <w:r>
        <w:t>2019, but a significant risk that a fully national framework for transmission planning and reliability would not be in place until</w:t>
      </w:r>
      <w:r w:rsidR="009641E4">
        <w:t> </w:t>
      </w:r>
      <w:r>
        <w:t>2022 — or 20</w:t>
      </w:r>
      <w:r w:rsidR="009641E4">
        <w:t> </w:t>
      </w:r>
      <w:r>
        <w:t xml:space="preserve">years after initial national reform was proposed. </w:t>
      </w:r>
      <w:r w:rsidR="00617E3B">
        <w:t>At any point in the next nine years, even that extended reform process could be derailed by further reviews or indecision.</w:t>
      </w:r>
    </w:p>
    <w:p w:rsidR="005623BD" w:rsidRDefault="005623BD" w:rsidP="005623BD">
      <w:pPr>
        <w:pStyle w:val="BodyText"/>
      </w:pPr>
      <w:r>
        <w:t xml:space="preserve">This is despite the fact that reform of this area is one of the most critical components to enable achievement of the National Electricity Objective. </w:t>
      </w:r>
      <w:r w:rsidR="00331427">
        <w:t>Slow reform progress has already been costly, and further</w:t>
      </w:r>
      <w:r>
        <w:t xml:space="preserve"> </w:t>
      </w:r>
      <w:r w:rsidR="00331427">
        <w:t xml:space="preserve">delays </w:t>
      </w:r>
      <w:r>
        <w:t xml:space="preserve">will cost consumers </w:t>
      </w:r>
      <w:r w:rsidR="001A7283">
        <w:t xml:space="preserve">hundreds of </w:t>
      </w:r>
      <w:r>
        <w:t>millions of dollars of avoidable costs to their electricity bills. It appears that consumer interests have been subordinate to process. Yet, paradoxically, all jurisdictions, transmission businesses, AEMO, and the AEMC have agreed to many elements of the reforms suggested by the Commission (or close alternatives to these).</w:t>
      </w:r>
    </w:p>
    <w:p w:rsidR="005A19CD" w:rsidRDefault="005A19CD" w:rsidP="005A19CD">
      <w:pPr>
        <w:pStyle w:val="BodyText"/>
      </w:pPr>
      <w:r>
        <w:t xml:space="preserve">There would be equal concern that other major reforms — such as those relating to smart meters and time-based pricing — could also be unduly delayed. </w:t>
      </w:r>
      <w:r w:rsidR="0005249B">
        <w:t xml:space="preserve">As emphasised earlier, SCER must change its processes to accelerate reform. </w:t>
      </w:r>
      <w:r>
        <w:t xml:space="preserve">The current review into transmission and distribution reliability should be </w:t>
      </w:r>
      <w:r w:rsidR="001A7283">
        <w:t>converted into an AEMC Rule change process to be completed by the end of</w:t>
      </w:r>
      <w:r w:rsidR="009641E4">
        <w:t> </w:t>
      </w:r>
      <w:r w:rsidR="001A7283">
        <w:t>2013</w:t>
      </w:r>
      <w:r>
        <w:t xml:space="preserve">, </w:t>
      </w:r>
      <w:r w:rsidR="001A7283">
        <w:t>and should draw</w:t>
      </w:r>
      <w:r>
        <w:t xml:space="preserve"> on the </w:t>
      </w:r>
      <w:r w:rsidR="001A7283">
        <w:t xml:space="preserve">Productivity </w:t>
      </w:r>
      <w:r>
        <w:t xml:space="preserve">Commission’s recommendations and other inputs. </w:t>
      </w:r>
      <w:r w:rsidR="004C62EF">
        <w:t>This more speedy process means that the reform process would be completed by</w:t>
      </w:r>
      <w:r w:rsidR="009641E4">
        <w:t> </w:t>
      </w:r>
      <w:r w:rsidR="004C62EF">
        <w:t xml:space="preserve">2018. </w:t>
      </w:r>
      <w:r w:rsidR="00640EA1">
        <w:t xml:space="preserve">By </w:t>
      </w:r>
      <w:r w:rsidR="004C62EF">
        <w:t>bringing forward reform</w:t>
      </w:r>
      <w:r w:rsidR="00331427">
        <w:t xml:space="preserve"> from the current likely completion date of</w:t>
      </w:r>
      <w:r w:rsidR="009641E4">
        <w:t> </w:t>
      </w:r>
      <w:r w:rsidR="00331427">
        <w:t>2022</w:t>
      </w:r>
      <w:r w:rsidR="00640EA1">
        <w:t xml:space="preserve">, the Commission estimates that even under conservative assumptions, </w:t>
      </w:r>
      <w:r w:rsidR="0005249B">
        <w:t xml:space="preserve">the </w:t>
      </w:r>
      <w:r w:rsidR="00640EA1">
        <w:t xml:space="preserve">gains in transmission alone could generate over $500 million in additional benefits. </w:t>
      </w:r>
    </w:p>
    <w:p w:rsidR="00A73B78" w:rsidRDefault="00A73B78" w:rsidP="00B82BD5">
      <w:pPr>
        <w:pStyle w:val="Heading4"/>
      </w:pPr>
      <w:r>
        <w:t>How can the Commission’s review fit into the reform agenda?</w:t>
      </w:r>
    </w:p>
    <w:p w:rsidR="005F1BDB" w:rsidRDefault="005F1BDB" w:rsidP="005F1BDB">
      <w:pPr>
        <w:pStyle w:val="BodyText"/>
      </w:pPr>
      <w:r>
        <w:t xml:space="preserve">The Commission was struck during this inquiry by an </w:t>
      </w:r>
      <w:r w:rsidR="00D5055F">
        <w:t>anomaly</w:t>
      </w:r>
      <w:r>
        <w:t xml:space="preserve"> in policy decision-making in the NEM</w:t>
      </w:r>
      <w:r w:rsidR="00B82BD5">
        <w:t xml:space="preserve"> that adds yet another friction to efficient decision-making</w:t>
      </w:r>
      <w:r>
        <w:t xml:space="preserve">. The Commission has undertaken an extensive public inquiry into many aspects of network regulation and made many highly specific recommendations that could be </w:t>
      </w:r>
      <w:r>
        <w:lastRenderedPageBreak/>
        <w:t xml:space="preserve">given effect in Rule changes. </w:t>
      </w:r>
      <w:r w:rsidR="001E77A8">
        <w:t xml:space="preserve">The same could be said of several other </w:t>
      </w:r>
      <w:r>
        <w:t xml:space="preserve">reviews concerning electricity network regulation — for example, the independent panel carrying out the limited merits review commissioned by </w:t>
      </w:r>
      <w:r w:rsidR="00441EE2">
        <w:t>SCER</w:t>
      </w:r>
      <w:r w:rsidR="00A75556">
        <w:t xml:space="preserve">, </w:t>
      </w:r>
      <w:r>
        <w:t xml:space="preserve">the </w:t>
      </w:r>
      <w:r w:rsidR="00E15AC6">
        <w:t xml:space="preserve">inquiry of the </w:t>
      </w:r>
      <w:r>
        <w:t xml:space="preserve">Senate </w:t>
      </w:r>
      <w:r w:rsidR="00E15AC6">
        <w:t xml:space="preserve">Select </w:t>
      </w:r>
      <w:r>
        <w:t xml:space="preserve">Committee </w:t>
      </w:r>
      <w:r w:rsidR="00871A0A">
        <w:t xml:space="preserve">on Electricity </w:t>
      </w:r>
      <w:r w:rsidR="00E15AC6">
        <w:t>P</w:t>
      </w:r>
      <w:r w:rsidR="00871A0A">
        <w:t>rices</w:t>
      </w:r>
      <w:r w:rsidR="00A75556">
        <w:t xml:space="preserve"> </w:t>
      </w:r>
      <w:r w:rsidR="00A75556" w:rsidRPr="00A10D8D">
        <w:t>and, indeed, many of the AEMC’s own reviews</w:t>
      </w:r>
      <w:r>
        <w:t xml:space="preserve">. Yet, even if SCER considered that any such recommendations should be implemented, this could not happen with any speed, if at all. </w:t>
      </w:r>
      <w:r w:rsidR="007A1C3C">
        <w:t xml:space="preserve">This is because under the present regime, </w:t>
      </w:r>
      <w:r w:rsidR="00441EE2">
        <w:t>SCER</w:t>
      </w:r>
      <w:r w:rsidR="007A1C3C">
        <w:t xml:space="preserve"> would have to make a request to the AEMC to consider a </w:t>
      </w:r>
      <w:r w:rsidR="00E15AC6">
        <w:t>R</w:t>
      </w:r>
      <w:r w:rsidR="007A1C3C">
        <w:t xml:space="preserve">ule change. The AEMC would normally then go through a lengthy review process (a review of a review), which at best would cause delays and, at worst, might end up with a less effective reform than intended. </w:t>
      </w:r>
      <w:r>
        <w:t>(In contrast, a change to the National Electricity Law could be made quickly, despite the fact that it and the Rules are both statutory instruments giving effect to policy.)</w:t>
      </w:r>
    </w:p>
    <w:p w:rsidR="00A82C12" w:rsidRDefault="005F1BDB" w:rsidP="00A73B78">
      <w:pPr>
        <w:pStyle w:val="BodyText"/>
      </w:pPr>
      <w:r>
        <w:t xml:space="preserve">Three adverse consequences of this are that the usual sovereign powers of parliaments are weakened, the </w:t>
      </w:r>
      <w:r w:rsidR="00161F4D">
        <w:t xml:space="preserve">large </w:t>
      </w:r>
      <w:r>
        <w:t xml:space="preserve">benefits from reforms are delayed, and there is an added consultation burden on stakeholders and duplication in the resourcing of reviews. </w:t>
      </w:r>
      <w:r w:rsidR="00A73B78">
        <w:t xml:space="preserve">The burdens posed by inertia and compliance costs could be resolved by amending the National Electricity Law so that </w:t>
      </w:r>
      <w:r w:rsidR="00986045">
        <w:t xml:space="preserve">SCER can request that a </w:t>
      </w:r>
      <w:r w:rsidR="00A73B78">
        <w:t>Rule</w:t>
      </w:r>
      <w:r w:rsidR="00986045">
        <w:t xml:space="preserve"> change process be completed </w:t>
      </w:r>
      <w:r w:rsidR="007A1C3C">
        <w:t xml:space="preserve">within </w:t>
      </w:r>
      <w:r w:rsidR="00986045">
        <w:t xml:space="preserve">six months, where </w:t>
      </w:r>
      <w:r w:rsidR="00A73B78">
        <w:t xml:space="preserve">the reform proposal is underpinned by an independent and consultative review undertaken by </w:t>
      </w:r>
      <w:r w:rsidR="000922EF">
        <w:t>an appropriate</w:t>
      </w:r>
      <w:r w:rsidR="00A73B78">
        <w:t xml:space="preserve"> agency</w:t>
      </w:r>
      <w:r w:rsidR="000D5E24">
        <w:t xml:space="preserve">, </w:t>
      </w:r>
      <w:r w:rsidR="00F81E09">
        <w:t>including</w:t>
      </w:r>
      <w:r w:rsidR="007A1C3C">
        <w:t xml:space="preserve"> the AEMC itself. </w:t>
      </w:r>
      <w:r w:rsidR="00D554DC">
        <w:t xml:space="preserve">The role of the AEMC would </w:t>
      </w:r>
      <w:r w:rsidR="005B7907">
        <w:t xml:space="preserve">then </w:t>
      </w:r>
      <w:r w:rsidR="00D554DC">
        <w:t>be to draft the relevant Rule changes and seek (expedited) commentary on these, in a manner similar to the release of an exposure draft bill at the Commonwealth level.</w:t>
      </w:r>
      <w:r w:rsidR="00BF1D95">
        <w:t xml:space="preserve"> </w:t>
      </w:r>
    </w:p>
    <w:p w:rsidR="005735D9" w:rsidRDefault="005735D9" w:rsidP="005735D9">
      <w:pPr>
        <w:pStyle w:val="TableTitle"/>
      </w:pPr>
      <w:r>
        <w:rPr>
          <w:b w:val="0"/>
        </w:rPr>
        <w:lastRenderedPageBreak/>
        <w:t>Table</w:t>
      </w:r>
      <w:r w:rsidR="007F388E">
        <w:rPr>
          <w:b w:val="0"/>
        </w:rPr>
        <w:t> 1</w:t>
      </w:r>
      <w:r>
        <w:tab/>
        <w:t xml:space="preserve">A summary of the Commission’s main proposals </w:t>
      </w:r>
    </w:p>
    <w:tbl>
      <w:tblPr>
        <w:tblW w:w="5000" w:type="pct"/>
        <w:tblCellMar>
          <w:left w:w="0" w:type="dxa"/>
          <w:right w:w="0" w:type="dxa"/>
        </w:tblCellMar>
        <w:tblLook w:val="0000" w:firstRow="0" w:lastRow="0" w:firstColumn="0" w:lastColumn="0" w:noHBand="0" w:noVBand="0"/>
      </w:tblPr>
      <w:tblGrid>
        <w:gridCol w:w="2366"/>
        <w:gridCol w:w="3823"/>
        <w:gridCol w:w="2600"/>
      </w:tblGrid>
      <w:tr w:rsidR="005735D9" w:rsidTr="00FA543E">
        <w:tc>
          <w:tcPr>
            <w:tcW w:w="1346" w:type="pct"/>
            <w:tcBorders>
              <w:top w:val="single" w:sz="6" w:space="0" w:color="auto"/>
              <w:bottom w:val="single" w:sz="6" w:space="0" w:color="auto"/>
            </w:tcBorders>
            <w:shd w:val="clear" w:color="auto" w:fill="auto"/>
          </w:tcPr>
          <w:p w:rsidR="005735D9" w:rsidRPr="00FA543E" w:rsidRDefault="005735D9" w:rsidP="004173FB">
            <w:pPr>
              <w:pStyle w:val="TableColumnHeading"/>
              <w:jc w:val="left"/>
              <w:rPr>
                <w:sz w:val="18"/>
                <w:szCs w:val="18"/>
              </w:rPr>
            </w:pPr>
            <w:r w:rsidRPr="00FA543E">
              <w:rPr>
                <w:sz w:val="18"/>
                <w:szCs w:val="18"/>
              </w:rPr>
              <w:t>Current problem</w:t>
            </w:r>
          </w:p>
        </w:tc>
        <w:tc>
          <w:tcPr>
            <w:tcW w:w="2175" w:type="pct"/>
            <w:tcBorders>
              <w:top w:val="single" w:sz="6" w:space="0" w:color="auto"/>
              <w:bottom w:val="single" w:sz="6" w:space="0" w:color="auto"/>
            </w:tcBorders>
            <w:shd w:val="clear" w:color="auto" w:fill="auto"/>
          </w:tcPr>
          <w:p w:rsidR="005735D9" w:rsidRPr="00FA543E" w:rsidRDefault="005735D9" w:rsidP="00665366">
            <w:pPr>
              <w:pStyle w:val="TableColumnHeading"/>
              <w:ind w:right="77"/>
              <w:jc w:val="left"/>
              <w:rPr>
                <w:sz w:val="18"/>
                <w:szCs w:val="18"/>
              </w:rPr>
            </w:pPr>
            <w:r w:rsidRPr="00FA543E">
              <w:rPr>
                <w:sz w:val="18"/>
                <w:szCs w:val="18"/>
              </w:rPr>
              <w:t>Proposed response</w:t>
            </w:r>
          </w:p>
        </w:tc>
        <w:tc>
          <w:tcPr>
            <w:tcW w:w="1479" w:type="pct"/>
            <w:tcBorders>
              <w:top w:val="single" w:sz="6" w:space="0" w:color="auto"/>
              <w:bottom w:val="single" w:sz="6" w:space="0" w:color="auto"/>
            </w:tcBorders>
            <w:shd w:val="clear" w:color="auto" w:fill="auto"/>
          </w:tcPr>
          <w:p w:rsidR="005735D9" w:rsidRPr="00FA543E" w:rsidRDefault="005735D9" w:rsidP="004173FB">
            <w:pPr>
              <w:pStyle w:val="TableColumnHeading"/>
              <w:ind w:right="28"/>
              <w:jc w:val="left"/>
              <w:rPr>
                <w:sz w:val="18"/>
                <w:szCs w:val="18"/>
              </w:rPr>
            </w:pPr>
            <w:r w:rsidRPr="00FA543E">
              <w:rPr>
                <w:sz w:val="18"/>
                <w:szCs w:val="18"/>
              </w:rPr>
              <w:t>Main benefits from reform</w:t>
            </w:r>
          </w:p>
        </w:tc>
      </w:tr>
      <w:tr w:rsidR="006D6BF3" w:rsidTr="00FA543E">
        <w:tc>
          <w:tcPr>
            <w:tcW w:w="1346" w:type="pct"/>
            <w:tcBorders>
              <w:top w:val="single" w:sz="4" w:space="0" w:color="auto"/>
              <w:bottom w:val="single" w:sz="6" w:space="0" w:color="auto"/>
            </w:tcBorders>
            <w:shd w:val="clear" w:color="auto" w:fill="auto"/>
          </w:tcPr>
          <w:p w:rsidR="0015246E" w:rsidRPr="00FA543E" w:rsidRDefault="0015246E" w:rsidP="0090192E">
            <w:pPr>
              <w:pStyle w:val="TableBodyText"/>
              <w:jc w:val="left"/>
              <w:rPr>
                <w:b/>
                <w:i/>
                <w:sz w:val="18"/>
                <w:szCs w:val="18"/>
              </w:rPr>
            </w:pPr>
            <w:r w:rsidRPr="00FA543E">
              <w:rPr>
                <w:b/>
                <w:i/>
                <w:sz w:val="18"/>
                <w:szCs w:val="18"/>
              </w:rPr>
              <w:t>Timeliness in decision-making and Rule changes</w:t>
            </w:r>
          </w:p>
          <w:p w:rsidR="006D6BF3" w:rsidRPr="00FA543E" w:rsidRDefault="006D6BF3" w:rsidP="0015246E">
            <w:pPr>
              <w:pStyle w:val="TableBodyText"/>
              <w:jc w:val="left"/>
              <w:rPr>
                <w:b/>
                <w:i/>
                <w:sz w:val="18"/>
                <w:szCs w:val="18"/>
              </w:rPr>
            </w:pPr>
            <w:r w:rsidRPr="00FA543E">
              <w:rPr>
                <w:sz w:val="18"/>
                <w:szCs w:val="18"/>
              </w:rPr>
              <w:t>SCER</w:t>
            </w:r>
            <w:r w:rsidR="0015246E" w:rsidRPr="00FA543E">
              <w:rPr>
                <w:sz w:val="18"/>
                <w:szCs w:val="18"/>
              </w:rPr>
              <w:t xml:space="preserve"> processes and decision-making, and AEMC Rule change processes take too long</w:t>
            </w:r>
            <w:r w:rsidR="00FA543E" w:rsidRPr="00FA543E">
              <w:rPr>
                <w:sz w:val="18"/>
                <w:szCs w:val="18"/>
              </w:rPr>
              <w:t>.</w:t>
            </w:r>
          </w:p>
        </w:tc>
        <w:tc>
          <w:tcPr>
            <w:tcW w:w="2175" w:type="pct"/>
            <w:tcBorders>
              <w:top w:val="single" w:sz="4" w:space="0" w:color="auto"/>
              <w:bottom w:val="single" w:sz="6" w:space="0" w:color="auto"/>
            </w:tcBorders>
            <w:shd w:val="clear" w:color="auto" w:fill="auto"/>
          </w:tcPr>
          <w:p w:rsidR="00646AEA" w:rsidRPr="00FA543E" w:rsidRDefault="003A5008" w:rsidP="00646AEA">
            <w:pPr>
              <w:pStyle w:val="TableBodyText"/>
              <w:jc w:val="left"/>
              <w:rPr>
                <w:sz w:val="18"/>
                <w:szCs w:val="18"/>
              </w:rPr>
            </w:pPr>
            <w:r>
              <w:rPr>
                <w:sz w:val="18"/>
                <w:szCs w:val="18"/>
              </w:rPr>
              <w:t>A c</w:t>
            </w:r>
            <w:r w:rsidR="006D6BF3" w:rsidRPr="00FA543E">
              <w:rPr>
                <w:sz w:val="18"/>
                <w:szCs w:val="18"/>
              </w:rPr>
              <w:t>ommitment by SCER to identify the critical areas for reform, and to prioritise these through tighter timetables for their implementation. SCER should avoid overlapping and protracted reviews</w:t>
            </w:r>
            <w:r w:rsidR="00646AEA" w:rsidRPr="00FA543E">
              <w:rPr>
                <w:sz w:val="18"/>
                <w:szCs w:val="18"/>
              </w:rPr>
              <w:t>.</w:t>
            </w:r>
            <w:r w:rsidR="006D6BF3" w:rsidRPr="00FA543E">
              <w:rPr>
                <w:sz w:val="18"/>
                <w:szCs w:val="18"/>
              </w:rPr>
              <w:t xml:space="preserve"> </w:t>
            </w:r>
            <w:r w:rsidR="00646AEA" w:rsidRPr="00FA543E">
              <w:rPr>
                <w:sz w:val="18"/>
                <w:szCs w:val="18"/>
              </w:rPr>
              <w:t>Speed up the</w:t>
            </w:r>
            <w:r w:rsidR="006D6BF3" w:rsidRPr="00FA543E">
              <w:rPr>
                <w:sz w:val="18"/>
                <w:szCs w:val="18"/>
              </w:rPr>
              <w:t xml:space="preserve"> current review into transmissi</w:t>
            </w:r>
            <w:r w:rsidR="00646AEA" w:rsidRPr="00FA543E">
              <w:rPr>
                <w:sz w:val="18"/>
                <w:szCs w:val="18"/>
              </w:rPr>
              <w:t>on and distribution reliability.</w:t>
            </w:r>
          </w:p>
          <w:p w:rsidR="006D6BF3" w:rsidRPr="00FA543E" w:rsidRDefault="00646AEA" w:rsidP="00A90637">
            <w:pPr>
              <w:pStyle w:val="TableBodyText"/>
              <w:jc w:val="left"/>
              <w:rPr>
                <w:sz w:val="18"/>
                <w:szCs w:val="18"/>
              </w:rPr>
            </w:pPr>
            <w:r w:rsidRPr="00FA543E">
              <w:rPr>
                <w:sz w:val="18"/>
                <w:szCs w:val="18"/>
              </w:rPr>
              <w:t xml:space="preserve">Accelerated </w:t>
            </w:r>
            <w:r w:rsidR="0015246E" w:rsidRPr="00FA543E">
              <w:rPr>
                <w:sz w:val="18"/>
                <w:szCs w:val="18"/>
              </w:rPr>
              <w:t xml:space="preserve">AEMC </w:t>
            </w:r>
            <w:r w:rsidR="00A90637" w:rsidRPr="00FA543E">
              <w:rPr>
                <w:sz w:val="18"/>
                <w:szCs w:val="18"/>
              </w:rPr>
              <w:t>Rule changes</w:t>
            </w:r>
            <w:r w:rsidRPr="00FA543E">
              <w:rPr>
                <w:sz w:val="18"/>
                <w:szCs w:val="18"/>
              </w:rPr>
              <w:t xml:space="preserve"> for SCER requests arising from independent appropriately conducted reviews.</w:t>
            </w:r>
          </w:p>
        </w:tc>
        <w:tc>
          <w:tcPr>
            <w:tcW w:w="1479" w:type="pct"/>
            <w:tcBorders>
              <w:top w:val="single" w:sz="4" w:space="0" w:color="auto"/>
              <w:bottom w:val="single" w:sz="6" w:space="0" w:color="auto"/>
            </w:tcBorders>
            <w:shd w:val="clear" w:color="auto" w:fill="auto"/>
          </w:tcPr>
          <w:p w:rsidR="006D6BF3" w:rsidRPr="00FA543E" w:rsidRDefault="006D6BF3" w:rsidP="0090192E">
            <w:pPr>
              <w:pStyle w:val="TableBodyText"/>
              <w:ind w:right="28"/>
              <w:jc w:val="left"/>
              <w:rPr>
                <w:sz w:val="18"/>
                <w:szCs w:val="18"/>
              </w:rPr>
            </w:pPr>
            <w:r w:rsidRPr="00FA543E">
              <w:rPr>
                <w:sz w:val="18"/>
                <w:szCs w:val="18"/>
              </w:rPr>
              <w:t>A more coherent reform process and a more rapid realisation of benefits for consumers.</w:t>
            </w:r>
          </w:p>
        </w:tc>
      </w:tr>
      <w:tr w:rsidR="005735D9" w:rsidTr="00FA543E">
        <w:tc>
          <w:tcPr>
            <w:tcW w:w="1346" w:type="pct"/>
            <w:tcBorders>
              <w:bottom w:val="single" w:sz="4" w:space="0" w:color="auto"/>
            </w:tcBorders>
          </w:tcPr>
          <w:p w:rsidR="005735D9" w:rsidRPr="00FA543E" w:rsidRDefault="005735D9" w:rsidP="00366710">
            <w:pPr>
              <w:pStyle w:val="TableBodyText"/>
              <w:jc w:val="left"/>
              <w:rPr>
                <w:sz w:val="18"/>
                <w:szCs w:val="18"/>
              </w:rPr>
            </w:pPr>
            <w:r w:rsidRPr="00FA543E">
              <w:rPr>
                <w:b/>
                <w:i/>
                <w:sz w:val="18"/>
                <w:szCs w:val="18"/>
              </w:rPr>
              <w:t>A focus on consumers</w:t>
            </w:r>
            <w:r w:rsidRPr="00FA543E">
              <w:rPr>
                <w:b/>
                <w:i/>
                <w:sz w:val="18"/>
                <w:szCs w:val="18"/>
              </w:rPr>
              <w:br/>
            </w:r>
            <w:r w:rsidRPr="00FA543E">
              <w:rPr>
                <w:sz w:val="18"/>
                <w:szCs w:val="18"/>
              </w:rPr>
              <w:t xml:space="preserve">The </w:t>
            </w:r>
            <w:r w:rsidR="00366710" w:rsidRPr="00FA543E">
              <w:rPr>
                <w:sz w:val="18"/>
                <w:szCs w:val="18"/>
              </w:rPr>
              <w:t>NEO</w:t>
            </w:r>
            <w:r w:rsidRPr="00FA543E">
              <w:rPr>
                <w:sz w:val="18"/>
                <w:szCs w:val="18"/>
              </w:rPr>
              <w:t xml:space="preserve"> (the long</w:t>
            </w:r>
            <w:r w:rsidR="004E30E5" w:rsidRPr="00FA543E">
              <w:rPr>
                <w:sz w:val="18"/>
                <w:szCs w:val="18"/>
              </w:rPr>
              <w:t>-</w:t>
            </w:r>
            <w:r w:rsidRPr="00FA543E">
              <w:rPr>
                <w:sz w:val="18"/>
                <w:szCs w:val="18"/>
              </w:rPr>
              <w:t>term interests of consumers) has lost its pre-eminence in regulatory decisions</w:t>
            </w:r>
            <w:r w:rsidR="002660DB" w:rsidRPr="00FA543E">
              <w:rPr>
                <w:sz w:val="18"/>
                <w:szCs w:val="18"/>
              </w:rPr>
              <w:t>.</w:t>
            </w:r>
          </w:p>
        </w:tc>
        <w:tc>
          <w:tcPr>
            <w:tcW w:w="2175" w:type="pct"/>
            <w:tcBorders>
              <w:bottom w:val="single" w:sz="4" w:space="0" w:color="auto"/>
            </w:tcBorders>
          </w:tcPr>
          <w:p w:rsidR="005735D9" w:rsidRPr="00FA543E" w:rsidRDefault="00366710" w:rsidP="00665366">
            <w:pPr>
              <w:pStyle w:val="TableBodyText"/>
              <w:ind w:right="77"/>
              <w:jc w:val="left"/>
              <w:rPr>
                <w:sz w:val="18"/>
                <w:szCs w:val="18"/>
              </w:rPr>
            </w:pPr>
            <w:r w:rsidRPr="00FA543E">
              <w:rPr>
                <w:sz w:val="18"/>
                <w:szCs w:val="18"/>
              </w:rPr>
              <w:t xml:space="preserve">The National Energy Consumer Advocacy Body to cover </w:t>
            </w:r>
            <w:r w:rsidR="002D3C9E" w:rsidRPr="00FA543E">
              <w:rPr>
                <w:sz w:val="18"/>
                <w:szCs w:val="18"/>
              </w:rPr>
              <w:t>all consumers</w:t>
            </w:r>
            <w:r w:rsidR="005735D9" w:rsidRPr="00FA543E">
              <w:rPr>
                <w:sz w:val="18"/>
                <w:szCs w:val="18"/>
              </w:rPr>
              <w:t xml:space="preserve">, </w:t>
            </w:r>
            <w:r w:rsidRPr="00FA543E">
              <w:rPr>
                <w:sz w:val="18"/>
                <w:szCs w:val="18"/>
              </w:rPr>
              <w:t>and have</w:t>
            </w:r>
            <w:r w:rsidR="005735D9" w:rsidRPr="00FA543E">
              <w:rPr>
                <w:sz w:val="18"/>
                <w:szCs w:val="18"/>
              </w:rPr>
              <w:t xml:space="preserve"> the expertise and funding to be an effective participant in the regulatory process</w:t>
            </w:r>
            <w:r w:rsidR="00665366" w:rsidRPr="00FA543E">
              <w:rPr>
                <w:sz w:val="18"/>
                <w:szCs w:val="18"/>
              </w:rPr>
              <w:t>.</w:t>
            </w:r>
            <w:r w:rsidRPr="00FA543E">
              <w:rPr>
                <w:sz w:val="18"/>
                <w:szCs w:val="18"/>
              </w:rPr>
              <w:t xml:space="preserve"> </w:t>
            </w:r>
            <w:r w:rsidR="005735D9" w:rsidRPr="00FA543E">
              <w:rPr>
                <w:sz w:val="18"/>
                <w:szCs w:val="18"/>
              </w:rPr>
              <w:t>The limited merits review process should also be reformed</w:t>
            </w:r>
            <w:r w:rsidR="007C636E">
              <w:rPr>
                <w:sz w:val="18"/>
                <w:szCs w:val="18"/>
              </w:rPr>
              <w:t>.</w:t>
            </w:r>
          </w:p>
        </w:tc>
        <w:tc>
          <w:tcPr>
            <w:tcW w:w="1479" w:type="pct"/>
            <w:tcBorders>
              <w:bottom w:val="single" w:sz="4" w:space="0" w:color="auto"/>
            </w:tcBorders>
          </w:tcPr>
          <w:p w:rsidR="005735D9" w:rsidRPr="00FA543E" w:rsidRDefault="005735D9" w:rsidP="00AB6DB0">
            <w:pPr>
              <w:pStyle w:val="TableBodyText"/>
              <w:ind w:right="28"/>
              <w:jc w:val="left"/>
              <w:rPr>
                <w:sz w:val="18"/>
                <w:szCs w:val="18"/>
              </w:rPr>
            </w:pPr>
            <w:r w:rsidRPr="00FA543E">
              <w:rPr>
                <w:sz w:val="18"/>
                <w:szCs w:val="18"/>
              </w:rPr>
              <w:t>Customers would have more power in the regulatory process, keeping the NEO in sight and preventing undue focus on technical, financial and legalistic details.</w:t>
            </w:r>
          </w:p>
        </w:tc>
      </w:tr>
      <w:tr w:rsidR="006D6BF3" w:rsidTr="00FA543E">
        <w:tc>
          <w:tcPr>
            <w:tcW w:w="1346" w:type="pct"/>
            <w:tcBorders>
              <w:top w:val="single" w:sz="4" w:space="0" w:color="auto"/>
              <w:bottom w:val="single" w:sz="4" w:space="0" w:color="auto"/>
            </w:tcBorders>
          </w:tcPr>
          <w:p w:rsidR="006D6BF3" w:rsidRPr="00FA543E" w:rsidRDefault="006D6BF3" w:rsidP="0090192E">
            <w:pPr>
              <w:pStyle w:val="TableBodyText"/>
              <w:jc w:val="left"/>
              <w:rPr>
                <w:sz w:val="18"/>
                <w:szCs w:val="18"/>
              </w:rPr>
            </w:pPr>
            <w:r w:rsidRPr="00FA543E">
              <w:rPr>
                <w:b/>
                <w:i/>
                <w:sz w:val="18"/>
                <w:szCs w:val="18"/>
              </w:rPr>
              <w:t>Reliability</w:t>
            </w:r>
            <w:r w:rsidRPr="00FA543E">
              <w:rPr>
                <w:b/>
                <w:i/>
                <w:sz w:val="18"/>
                <w:szCs w:val="18"/>
              </w:rPr>
              <w:br/>
            </w:r>
            <w:r w:rsidRPr="00FA543E">
              <w:rPr>
                <w:sz w:val="18"/>
                <w:szCs w:val="18"/>
              </w:rPr>
              <w:t xml:space="preserve">Reliability is critical to electricity networks, but the current standards are not set efficiently, and often bear little relationship to the value to customers. </w:t>
            </w:r>
          </w:p>
        </w:tc>
        <w:tc>
          <w:tcPr>
            <w:tcW w:w="2175" w:type="pct"/>
            <w:tcBorders>
              <w:top w:val="single" w:sz="4" w:space="0" w:color="auto"/>
              <w:bottom w:val="single" w:sz="4" w:space="0" w:color="auto"/>
            </w:tcBorders>
          </w:tcPr>
          <w:p w:rsidR="006D6BF3" w:rsidRPr="00FA543E" w:rsidRDefault="006D6BF3" w:rsidP="0090192E">
            <w:pPr>
              <w:pStyle w:val="TableBodyText"/>
              <w:ind w:right="77"/>
              <w:jc w:val="left"/>
              <w:rPr>
                <w:sz w:val="18"/>
                <w:szCs w:val="18"/>
              </w:rPr>
            </w:pPr>
            <w:r w:rsidRPr="00FA543E">
              <w:rPr>
                <w:sz w:val="18"/>
                <w:szCs w:val="18"/>
              </w:rPr>
              <w:t xml:space="preserve">Reliability decisions should be based on customers’ valuations, not prescriptive standards. </w:t>
            </w:r>
          </w:p>
          <w:p w:rsidR="006D6BF3" w:rsidRPr="00FA543E" w:rsidRDefault="006D6BF3" w:rsidP="0069336E">
            <w:pPr>
              <w:pStyle w:val="TableBodyText"/>
              <w:ind w:right="77"/>
              <w:jc w:val="left"/>
              <w:rPr>
                <w:sz w:val="18"/>
                <w:szCs w:val="18"/>
              </w:rPr>
            </w:pPr>
            <w:r w:rsidRPr="00FA543E">
              <w:rPr>
                <w:sz w:val="18"/>
                <w:szCs w:val="18"/>
              </w:rPr>
              <w:t>For distribution, a new national reliability framework should be introduced, and incentive schemes reformed to reflect customer preferences</w:t>
            </w:r>
            <w:r w:rsidR="007C636E">
              <w:rPr>
                <w:sz w:val="18"/>
                <w:szCs w:val="18"/>
              </w:rPr>
              <w:t>.</w:t>
            </w:r>
          </w:p>
          <w:p w:rsidR="006D6BF3" w:rsidRPr="00FA543E" w:rsidRDefault="006D6BF3" w:rsidP="0069336E">
            <w:pPr>
              <w:pStyle w:val="TableBodyText"/>
              <w:ind w:right="77"/>
              <w:jc w:val="left"/>
              <w:rPr>
                <w:sz w:val="18"/>
                <w:szCs w:val="18"/>
              </w:rPr>
            </w:pPr>
            <w:r w:rsidRPr="00FA543E">
              <w:rPr>
                <w:sz w:val="18"/>
                <w:szCs w:val="18"/>
              </w:rPr>
              <w:t xml:space="preserve">For transmission, reliability standards should be set at the connection point level across the NEM. Investment decisions should be made by the transmission businesses, but with scrutiny by the AER and AEMO for large projects (and subject to a </w:t>
            </w:r>
            <w:r w:rsidR="00C12389">
              <w:rPr>
                <w:sz w:val="18"/>
                <w:szCs w:val="18"/>
              </w:rPr>
              <w:t>cost–benefit</w:t>
            </w:r>
            <w:r w:rsidRPr="00FA543E">
              <w:rPr>
                <w:sz w:val="18"/>
                <w:szCs w:val="18"/>
              </w:rPr>
              <w:t xml:space="preserve"> test and consideration of NEM-wide impacts and efficiency).</w:t>
            </w:r>
          </w:p>
        </w:tc>
        <w:tc>
          <w:tcPr>
            <w:tcW w:w="1479" w:type="pct"/>
            <w:tcBorders>
              <w:top w:val="single" w:sz="4" w:space="0" w:color="auto"/>
              <w:bottom w:val="single" w:sz="4" w:space="0" w:color="auto"/>
            </w:tcBorders>
          </w:tcPr>
          <w:p w:rsidR="006D6BF3" w:rsidRPr="0069336E" w:rsidRDefault="006D6BF3" w:rsidP="0069336E">
            <w:pPr>
              <w:pStyle w:val="TableBodyText"/>
              <w:ind w:right="28"/>
              <w:jc w:val="left"/>
              <w:rPr>
                <w:sz w:val="18"/>
                <w:szCs w:val="18"/>
              </w:rPr>
            </w:pPr>
            <w:r w:rsidRPr="0069336E">
              <w:rPr>
                <w:sz w:val="18"/>
                <w:szCs w:val="18"/>
              </w:rPr>
              <w:t xml:space="preserve">Distribution: in </w:t>
            </w:r>
            <w:r w:rsidR="003E3194">
              <w:rPr>
                <w:sz w:val="18"/>
                <w:szCs w:val="18"/>
              </w:rPr>
              <w:t>New South Wales</w:t>
            </w:r>
            <w:r w:rsidRPr="0069336E">
              <w:rPr>
                <w:sz w:val="18"/>
                <w:szCs w:val="18"/>
              </w:rPr>
              <w:t xml:space="preserve"> alone, $1.1 billion of network capital expenditure could be deferred until the next five year regulatory period. The actual, NEM-wide, savings are likely to be larger.</w:t>
            </w:r>
          </w:p>
          <w:p w:rsidR="006D6BF3" w:rsidRPr="00FA543E" w:rsidRDefault="006D6BF3" w:rsidP="004E5E56">
            <w:pPr>
              <w:pStyle w:val="TableBodyText"/>
              <w:ind w:right="28"/>
              <w:jc w:val="left"/>
            </w:pPr>
            <w:r w:rsidRPr="0069336E">
              <w:rPr>
                <w:sz w:val="18"/>
                <w:szCs w:val="18"/>
              </w:rPr>
              <w:t>Transmission: were it implemented in a timely way, a new reliability framework could defer around $2.2 to 3.8 billion of investment across the NEM, over the next 30</w:t>
            </w:r>
            <w:r w:rsidR="004E5E56">
              <w:rPr>
                <w:sz w:val="18"/>
                <w:szCs w:val="18"/>
              </w:rPr>
              <w:t> </w:t>
            </w:r>
            <w:r w:rsidRPr="0069336E">
              <w:rPr>
                <w:sz w:val="18"/>
                <w:szCs w:val="18"/>
              </w:rPr>
              <w:t xml:space="preserve">years. </w:t>
            </w:r>
          </w:p>
        </w:tc>
      </w:tr>
      <w:tr w:rsidR="005735D9" w:rsidTr="00FA543E">
        <w:tc>
          <w:tcPr>
            <w:tcW w:w="1346" w:type="pct"/>
            <w:tcBorders>
              <w:top w:val="single" w:sz="4" w:space="0" w:color="auto"/>
              <w:bottom w:val="single" w:sz="4" w:space="0" w:color="auto"/>
            </w:tcBorders>
          </w:tcPr>
          <w:p w:rsidR="005735D9" w:rsidRPr="00FA543E" w:rsidRDefault="005735D9" w:rsidP="003E3194">
            <w:pPr>
              <w:pStyle w:val="TableBodyText"/>
              <w:jc w:val="left"/>
              <w:rPr>
                <w:sz w:val="18"/>
                <w:szCs w:val="18"/>
              </w:rPr>
            </w:pPr>
            <w:r w:rsidRPr="00FA543E">
              <w:rPr>
                <w:b/>
                <w:i/>
                <w:sz w:val="18"/>
                <w:szCs w:val="18"/>
              </w:rPr>
              <w:t xml:space="preserve">Demand </w:t>
            </w:r>
            <w:r w:rsidR="002660DB" w:rsidRPr="00FA543E">
              <w:rPr>
                <w:b/>
                <w:i/>
                <w:sz w:val="18"/>
                <w:szCs w:val="18"/>
              </w:rPr>
              <w:t>m</w:t>
            </w:r>
            <w:r w:rsidRPr="00FA543E">
              <w:rPr>
                <w:b/>
                <w:i/>
                <w:sz w:val="18"/>
                <w:szCs w:val="18"/>
              </w:rPr>
              <w:t>anagement</w:t>
            </w:r>
            <w:r w:rsidRPr="00FA543E">
              <w:rPr>
                <w:b/>
                <w:i/>
                <w:sz w:val="18"/>
                <w:szCs w:val="18"/>
              </w:rPr>
              <w:br/>
            </w:r>
            <w:r w:rsidRPr="00FA543E">
              <w:rPr>
                <w:sz w:val="18"/>
                <w:szCs w:val="18"/>
              </w:rPr>
              <w:t>Some 25 per cent of (expensive) system investment is required just to meet 40 hours of critical peak demand each year</w:t>
            </w:r>
            <w:r w:rsidR="00BE6C5F" w:rsidRPr="00FA543E">
              <w:rPr>
                <w:sz w:val="18"/>
                <w:szCs w:val="18"/>
              </w:rPr>
              <w:t xml:space="preserve"> (in </w:t>
            </w:r>
            <w:r w:rsidR="003E3194">
              <w:rPr>
                <w:sz w:val="18"/>
                <w:szCs w:val="18"/>
              </w:rPr>
              <w:t>New South Wales</w:t>
            </w:r>
            <w:r w:rsidR="00BE6C5F" w:rsidRPr="00FA543E">
              <w:rPr>
                <w:sz w:val="18"/>
                <w:szCs w:val="18"/>
              </w:rPr>
              <w:t>)</w:t>
            </w:r>
            <w:r w:rsidR="002660DB" w:rsidRPr="00FA543E">
              <w:rPr>
                <w:sz w:val="18"/>
                <w:szCs w:val="18"/>
              </w:rPr>
              <w:t>.</w:t>
            </w:r>
          </w:p>
        </w:tc>
        <w:tc>
          <w:tcPr>
            <w:tcW w:w="2175" w:type="pct"/>
            <w:tcBorders>
              <w:top w:val="single" w:sz="4" w:space="0" w:color="auto"/>
              <w:bottom w:val="single" w:sz="4" w:space="0" w:color="auto"/>
            </w:tcBorders>
          </w:tcPr>
          <w:p w:rsidR="005735D9" w:rsidRPr="00FA543E" w:rsidRDefault="005735D9" w:rsidP="001027A8">
            <w:pPr>
              <w:pStyle w:val="TableBodyText"/>
              <w:ind w:right="77"/>
              <w:jc w:val="left"/>
              <w:rPr>
                <w:sz w:val="18"/>
                <w:szCs w:val="18"/>
              </w:rPr>
            </w:pPr>
            <w:r w:rsidRPr="00FA543E">
              <w:rPr>
                <w:sz w:val="18"/>
                <w:szCs w:val="18"/>
              </w:rPr>
              <w:t>A coordinated suite of reforms should be introduced over time, including consumer consultation</w:t>
            </w:r>
            <w:r w:rsidR="00697084" w:rsidRPr="00FA543E">
              <w:rPr>
                <w:sz w:val="18"/>
                <w:szCs w:val="18"/>
              </w:rPr>
              <w:t>;</w:t>
            </w:r>
            <w:r w:rsidRPr="00FA543E">
              <w:rPr>
                <w:sz w:val="18"/>
                <w:szCs w:val="18"/>
              </w:rPr>
              <w:t xml:space="preserve"> removal of retail price regulation</w:t>
            </w:r>
            <w:r w:rsidR="00697084" w:rsidRPr="00FA543E">
              <w:rPr>
                <w:sz w:val="18"/>
                <w:szCs w:val="18"/>
              </w:rPr>
              <w:t>;</w:t>
            </w:r>
            <w:r w:rsidRPr="00FA543E">
              <w:rPr>
                <w:sz w:val="18"/>
                <w:szCs w:val="18"/>
              </w:rPr>
              <w:t xml:space="preserve"> </w:t>
            </w:r>
            <w:r w:rsidR="00697084" w:rsidRPr="00FA543E">
              <w:rPr>
                <w:sz w:val="18"/>
                <w:szCs w:val="18"/>
              </w:rPr>
              <w:t>the capacity for distributors to include the installation of smart meters as part of standard regulatory arrangements; common meter standards; a capacity for all parties to install meter add-ons</w:t>
            </w:r>
            <w:r w:rsidR="002D3C9E" w:rsidRPr="00FA543E">
              <w:rPr>
                <w:sz w:val="18"/>
                <w:szCs w:val="18"/>
              </w:rPr>
              <w:t xml:space="preserve"> or upgrades</w:t>
            </w:r>
            <w:r w:rsidR="00697084" w:rsidRPr="00FA543E">
              <w:rPr>
                <w:sz w:val="18"/>
                <w:szCs w:val="18"/>
              </w:rPr>
              <w:t xml:space="preserve">; and </w:t>
            </w:r>
            <w:r w:rsidRPr="00FA543E">
              <w:rPr>
                <w:sz w:val="18"/>
                <w:szCs w:val="18"/>
              </w:rPr>
              <w:t>time-based pricing for critical peak periods</w:t>
            </w:r>
            <w:r w:rsidR="00104447" w:rsidRPr="00FA543E">
              <w:rPr>
                <w:sz w:val="18"/>
                <w:szCs w:val="18"/>
              </w:rPr>
              <w:t>. Direct load control options would also play a role.</w:t>
            </w:r>
            <w:r w:rsidR="00B41BF0" w:rsidRPr="00FA543E">
              <w:rPr>
                <w:sz w:val="18"/>
                <w:szCs w:val="18"/>
              </w:rPr>
              <w:t xml:space="preserve"> </w:t>
            </w:r>
          </w:p>
        </w:tc>
        <w:tc>
          <w:tcPr>
            <w:tcW w:w="1479" w:type="pct"/>
            <w:tcBorders>
              <w:top w:val="single" w:sz="4" w:space="0" w:color="auto"/>
              <w:bottom w:val="single" w:sz="4" w:space="0" w:color="auto"/>
            </w:tcBorders>
          </w:tcPr>
          <w:p w:rsidR="005735D9" w:rsidRPr="00FA543E" w:rsidRDefault="005735D9" w:rsidP="00FA543E">
            <w:pPr>
              <w:pStyle w:val="TableBodyText"/>
              <w:ind w:right="28"/>
              <w:jc w:val="left"/>
              <w:rPr>
                <w:sz w:val="18"/>
                <w:szCs w:val="18"/>
              </w:rPr>
            </w:pPr>
            <w:r w:rsidRPr="00FA543E">
              <w:rPr>
                <w:sz w:val="18"/>
                <w:szCs w:val="18"/>
              </w:rPr>
              <w:t>System use and investment would be better aligned, reducing the amount of expenditure requ</w:t>
            </w:r>
            <w:r w:rsidR="00B41BF0" w:rsidRPr="00FA543E">
              <w:rPr>
                <w:sz w:val="18"/>
                <w:szCs w:val="18"/>
              </w:rPr>
              <w:t xml:space="preserve">ired just to meet peak periods. Critical peak pricing </w:t>
            </w:r>
            <w:r w:rsidR="00FA543E" w:rsidRPr="00FA543E">
              <w:rPr>
                <w:sz w:val="18"/>
                <w:szCs w:val="18"/>
              </w:rPr>
              <w:t xml:space="preserve">and smart meters </w:t>
            </w:r>
            <w:r w:rsidR="00B41BF0" w:rsidRPr="00FA543E">
              <w:rPr>
                <w:sz w:val="18"/>
                <w:szCs w:val="18"/>
              </w:rPr>
              <w:t xml:space="preserve">could produce average </w:t>
            </w:r>
            <w:r w:rsidR="00FA543E" w:rsidRPr="00FA543E">
              <w:rPr>
                <w:sz w:val="18"/>
                <w:szCs w:val="18"/>
              </w:rPr>
              <w:t xml:space="preserve">net </w:t>
            </w:r>
            <w:r w:rsidR="00B41BF0" w:rsidRPr="00FA543E">
              <w:rPr>
                <w:sz w:val="18"/>
                <w:szCs w:val="18"/>
              </w:rPr>
              <w:t>savings of around $100–$2</w:t>
            </w:r>
            <w:r w:rsidR="00A25288" w:rsidRPr="00FA543E">
              <w:rPr>
                <w:sz w:val="18"/>
                <w:szCs w:val="18"/>
              </w:rPr>
              <w:t>0</w:t>
            </w:r>
            <w:r w:rsidR="00B41BF0" w:rsidRPr="00FA543E">
              <w:rPr>
                <w:sz w:val="18"/>
                <w:szCs w:val="18"/>
              </w:rPr>
              <w:t>0 per household each year in regions close to capacity constraints</w:t>
            </w:r>
            <w:r w:rsidR="00FA5621">
              <w:rPr>
                <w:sz w:val="18"/>
                <w:szCs w:val="18"/>
              </w:rPr>
              <w:t>.</w:t>
            </w:r>
            <w:r w:rsidR="00B41BF0" w:rsidRPr="00FA543E">
              <w:rPr>
                <w:sz w:val="18"/>
                <w:szCs w:val="18"/>
              </w:rPr>
              <w:t xml:space="preserve"> </w:t>
            </w:r>
          </w:p>
        </w:tc>
      </w:tr>
      <w:tr w:rsidR="005735D9" w:rsidTr="00FA543E">
        <w:tc>
          <w:tcPr>
            <w:tcW w:w="1346" w:type="pct"/>
            <w:tcBorders>
              <w:top w:val="single" w:sz="4" w:space="0" w:color="auto"/>
              <w:bottom w:val="single" w:sz="4" w:space="0" w:color="auto"/>
            </w:tcBorders>
          </w:tcPr>
          <w:p w:rsidR="005735D9" w:rsidRPr="00FA543E" w:rsidRDefault="005735D9" w:rsidP="0067190D">
            <w:pPr>
              <w:pStyle w:val="TableBodyText"/>
              <w:jc w:val="left"/>
              <w:rPr>
                <w:sz w:val="18"/>
                <w:szCs w:val="18"/>
              </w:rPr>
            </w:pPr>
            <w:r w:rsidRPr="00FA543E">
              <w:rPr>
                <w:b/>
                <w:i/>
                <w:sz w:val="18"/>
                <w:szCs w:val="18"/>
              </w:rPr>
              <w:t xml:space="preserve">Network </w:t>
            </w:r>
            <w:r w:rsidR="002660DB" w:rsidRPr="00FA543E">
              <w:rPr>
                <w:b/>
                <w:i/>
                <w:sz w:val="18"/>
                <w:szCs w:val="18"/>
              </w:rPr>
              <w:t>o</w:t>
            </w:r>
            <w:r w:rsidRPr="00FA543E">
              <w:rPr>
                <w:b/>
                <w:i/>
                <w:sz w:val="18"/>
                <w:szCs w:val="18"/>
              </w:rPr>
              <w:t>wnership</w:t>
            </w:r>
            <w:r w:rsidRPr="00FA543E">
              <w:rPr>
                <w:b/>
                <w:i/>
                <w:sz w:val="18"/>
                <w:szCs w:val="18"/>
              </w:rPr>
              <w:br/>
            </w:r>
            <w:r w:rsidR="00BC771F">
              <w:rPr>
                <w:sz w:val="18"/>
                <w:szCs w:val="18"/>
              </w:rPr>
              <w:t>State-</w:t>
            </w:r>
            <w:r w:rsidRPr="00FA543E">
              <w:rPr>
                <w:sz w:val="18"/>
                <w:szCs w:val="18"/>
              </w:rPr>
              <w:t>owned network businesses and their owners have conflicting objectives, frustrat</w:t>
            </w:r>
            <w:r w:rsidR="00697084" w:rsidRPr="00FA543E">
              <w:rPr>
                <w:sz w:val="18"/>
                <w:szCs w:val="18"/>
              </w:rPr>
              <w:t>ing</w:t>
            </w:r>
            <w:r w:rsidRPr="00FA543E">
              <w:rPr>
                <w:sz w:val="18"/>
                <w:szCs w:val="18"/>
              </w:rPr>
              <w:t xml:space="preserve"> the effectiveness of incentive regulation. </w:t>
            </w:r>
            <w:r w:rsidR="00697084" w:rsidRPr="00FA543E">
              <w:rPr>
                <w:sz w:val="18"/>
                <w:szCs w:val="18"/>
              </w:rPr>
              <w:t>S</w:t>
            </w:r>
            <w:r w:rsidR="00BC771F">
              <w:rPr>
                <w:sz w:val="18"/>
                <w:szCs w:val="18"/>
              </w:rPr>
              <w:t>tate-</w:t>
            </w:r>
            <w:r w:rsidRPr="00FA543E">
              <w:rPr>
                <w:sz w:val="18"/>
                <w:szCs w:val="18"/>
              </w:rPr>
              <w:t xml:space="preserve">owned businesses </w:t>
            </w:r>
            <w:r w:rsidR="00D740C6" w:rsidRPr="00FA543E">
              <w:rPr>
                <w:sz w:val="18"/>
                <w:szCs w:val="18"/>
              </w:rPr>
              <w:t>perform worse than</w:t>
            </w:r>
            <w:r w:rsidRPr="00FA543E">
              <w:rPr>
                <w:sz w:val="18"/>
                <w:szCs w:val="18"/>
              </w:rPr>
              <w:t xml:space="preserve"> private ones.</w:t>
            </w:r>
          </w:p>
        </w:tc>
        <w:tc>
          <w:tcPr>
            <w:tcW w:w="2175" w:type="pct"/>
            <w:tcBorders>
              <w:top w:val="single" w:sz="4" w:space="0" w:color="auto"/>
              <w:bottom w:val="single" w:sz="4" w:space="0" w:color="auto"/>
            </w:tcBorders>
          </w:tcPr>
          <w:p w:rsidR="007F388E" w:rsidRPr="00FA543E" w:rsidRDefault="005735D9" w:rsidP="00665366">
            <w:pPr>
              <w:pStyle w:val="TableBodyText"/>
              <w:ind w:right="77"/>
              <w:jc w:val="left"/>
              <w:rPr>
                <w:sz w:val="18"/>
                <w:szCs w:val="18"/>
              </w:rPr>
            </w:pPr>
            <w:r w:rsidRPr="00FA543E">
              <w:rPr>
                <w:sz w:val="18"/>
                <w:szCs w:val="18"/>
              </w:rPr>
              <w:t xml:space="preserve">State-owned network businesses should be privatised. </w:t>
            </w:r>
          </w:p>
          <w:p w:rsidR="007F388E" w:rsidRPr="00FA543E" w:rsidRDefault="007F388E" w:rsidP="00665366">
            <w:pPr>
              <w:pStyle w:val="TableBodyText"/>
              <w:ind w:right="77"/>
              <w:jc w:val="left"/>
              <w:rPr>
                <w:sz w:val="18"/>
                <w:szCs w:val="18"/>
              </w:rPr>
            </w:pPr>
            <w:r w:rsidRPr="00FA543E">
              <w:rPr>
                <w:sz w:val="18"/>
                <w:szCs w:val="18"/>
              </w:rPr>
              <w:t>If not, governance should be improved, and non-commercial objectives and policies should be removed.</w:t>
            </w:r>
          </w:p>
          <w:p w:rsidR="00FA543E" w:rsidRPr="00FA543E" w:rsidRDefault="00FA543E" w:rsidP="00665366">
            <w:pPr>
              <w:pStyle w:val="TableBodyText"/>
              <w:ind w:right="77"/>
              <w:jc w:val="left"/>
              <w:rPr>
                <w:sz w:val="18"/>
                <w:szCs w:val="18"/>
              </w:rPr>
            </w:pPr>
            <w:r w:rsidRPr="00FA543E">
              <w:rPr>
                <w:sz w:val="18"/>
                <w:szCs w:val="18"/>
              </w:rPr>
              <w:t>An orderly, well planned privatisation process, with consumer engagement</w:t>
            </w:r>
            <w:r w:rsidR="00FA5621">
              <w:rPr>
                <w:sz w:val="18"/>
                <w:szCs w:val="18"/>
              </w:rPr>
              <w:t>.</w:t>
            </w:r>
          </w:p>
        </w:tc>
        <w:tc>
          <w:tcPr>
            <w:tcW w:w="1479" w:type="pct"/>
            <w:tcBorders>
              <w:top w:val="single" w:sz="4" w:space="0" w:color="auto"/>
              <w:bottom w:val="single" w:sz="4" w:space="0" w:color="auto"/>
            </w:tcBorders>
          </w:tcPr>
          <w:p w:rsidR="005735D9" w:rsidRPr="00FA543E" w:rsidRDefault="005735D9" w:rsidP="00AB6DB0">
            <w:pPr>
              <w:pStyle w:val="TableBodyText"/>
              <w:ind w:right="28"/>
              <w:jc w:val="left"/>
              <w:rPr>
                <w:sz w:val="18"/>
                <w:szCs w:val="18"/>
              </w:rPr>
            </w:pPr>
            <w:r w:rsidRPr="00FA543E">
              <w:rPr>
                <w:sz w:val="18"/>
                <w:szCs w:val="18"/>
              </w:rPr>
              <w:t xml:space="preserve">In the first instance, the efficiency of network businesses can be expected to improve, reducing costs to customers. </w:t>
            </w:r>
          </w:p>
          <w:p w:rsidR="005735D9" w:rsidRPr="00FA543E" w:rsidRDefault="005735D9" w:rsidP="00AB6DB0">
            <w:pPr>
              <w:pStyle w:val="TableBodyText"/>
              <w:ind w:right="28"/>
              <w:jc w:val="left"/>
              <w:rPr>
                <w:sz w:val="18"/>
                <w:szCs w:val="18"/>
              </w:rPr>
            </w:pPr>
            <w:r w:rsidRPr="00FA543E">
              <w:rPr>
                <w:sz w:val="18"/>
                <w:szCs w:val="18"/>
              </w:rPr>
              <w:t>Incentive regulation would also become more effective, reinforcing efficiency improvements.</w:t>
            </w:r>
          </w:p>
        </w:tc>
      </w:tr>
    </w:tbl>
    <w:p w:rsidR="00FA543E" w:rsidRDefault="00FA543E">
      <w:pPr>
        <w:rPr>
          <w:rFonts w:ascii="Arial" w:hAnsi="Arial"/>
        </w:rPr>
      </w:pPr>
      <w:r>
        <w:rPr>
          <w:b/>
        </w:rPr>
        <w:br w:type="page"/>
      </w:r>
    </w:p>
    <w:p w:rsidR="005735D9" w:rsidRDefault="005735D9" w:rsidP="005735D9">
      <w:pPr>
        <w:pStyle w:val="TableTitle"/>
      </w:pPr>
      <w:r>
        <w:rPr>
          <w:b w:val="0"/>
        </w:rPr>
        <w:lastRenderedPageBreak/>
        <w:t>Table</w:t>
      </w:r>
      <w:r w:rsidR="007F388E">
        <w:rPr>
          <w:b w:val="0"/>
        </w:rPr>
        <w:t> 1</w:t>
      </w:r>
      <w:r>
        <w:tab/>
        <w:t>continued</w:t>
      </w:r>
    </w:p>
    <w:tbl>
      <w:tblPr>
        <w:tblW w:w="5000" w:type="pct"/>
        <w:tblCellMar>
          <w:left w:w="0" w:type="dxa"/>
          <w:right w:w="0" w:type="dxa"/>
        </w:tblCellMar>
        <w:tblLook w:val="0000" w:firstRow="0" w:lastRow="0" w:firstColumn="0" w:lastColumn="0" w:noHBand="0" w:noVBand="0"/>
      </w:tblPr>
      <w:tblGrid>
        <w:gridCol w:w="2254"/>
        <w:gridCol w:w="3800"/>
        <w:gridCol w:w="2735"/>
      </w:tblGrid>
      <w:tr w:rsidR="005735D9" w:rsidTr="004823AE">
        <w:tc>
          <w:tcPr>
            <w:tcW w:w="1282" w:type="pct"/>
            <w:tcBorders>
              <w:top w:val="single" w:sz="6" w:space="0" w:color="auto"/>
              <w:bottom w:val="single" w:sz="6" w:space="0" w:color="auto"/>
            </w:tcBorders>
            <w:shd w:val="clear" w:color="auto" w:fill="auto"/>
          </w:tcPr>
          <w:p w:rsidR="005735D9" w:rsidRPr="00FA543E" w:rsidRDefault="005735D9" w:rsidP="002660DB">
            <w:pPr>
              <w:pStyle w:val="TableColumnHeading"/>
              <w:jc w:val="left"/>
              <w:rPr>
                <w:sz w:val="18"/>
                <w:szCs w:val="18"/>
              </w:rPr>
            </w:pPr>
            <w:r w:rsidRPr="00FA543E">
              <w:rPr>
                <w:sz w:val="18"/>
                <w:szCs w:val="18"/>
              </w:rPr>
              <w:t>Current problem</w:t>
            </w:r>
          </w:p>
        </w:tc>
        <w:tc>
          <w:tcPr>
            <w:tcW w:w="2162" w:type="pct"/>
            <w:tcBorders>
              <w:top w:val="single" w:sz="6" w:space="0" w:color="auto"/>
              <w:bottom w:val="single" w:sz="6" w:space="0" w:color="auto"/>
            </w:tcBorders>
            <w:shd w:val="clear" w:color="auto" w:fill="auto"/>
          </w:tcPr>
          <w:p w:rsidR="005735D9" w:rsidRPr="00FA543E" w:rsidRDefault="005735D9" w:rsidP="002660DB">
            <w:pPr>
              <w:pStyle w:val="TableColumnHeading"/>
              <w:jc w:val="left"/>
              <w:rPr>
                <w:sz w:val="18"/>
                <w:szCs w:val="18"/>
              </w:rPr>
            </w:pPr>
            <w:r w:rsidRPr="00FA543E">
              <w:rPr>
                <w:sz w:val="18"/>
                <w:szCs w:val="18"/>
              </w:rPr>
              <w:t>Proposed response</w:t>
            </w:r>
          </w:p>
        </w:tc>
        <w:tc>
          <w:tcPr>
            <w:tcW w:w="1557" w:type="pct"/>
            <w:tcBorders>
              <w:top w:val="single" w:sz="6" w:space="0" w:color="auto"/>
              <w:bottom w:val="single" w:sz="6" w:space="0" w:color="auto"/>
            </w:tcBorders>
            <w:shd w:val="clear" w:color="auto" w:fill="auto"/>
          </w:tcPr>
          <w:p w:rsidR="005735D9" w:rsidRPr="00FA543E" w:rsidRDefault="005735D9" w:rsidP="002660DB">
            <w:pPr>
              <w:pStyle w:val="TableColumnHeading"/>
              <w:ind w:right="28"/>
              <w:jc w:val="left"/>
              <w:rPr>
                <w:sz w:val="18"/>
                <w:szCs w:val="18"/>
              </w:rPr>
            </w:pPr>
            <w:r w:rsidRPr="00FA543E">
              <w:rPr>
                <w:sz w:val="18"/>
                <w:szCs w:val="18"/>
              </w:rPr>
              <w:t>Main benefits from reform</w:t>
            </w:r>
          </w:p>
        </w:tc>
      </w:tr>
      <w:tr w:rsidR="00653EC1" w:rsidTr="004823AE">
        <w:tc>
          <w:tcPr>
            <w:tcW w:w="1282" w:type="pct"/>
            <w:tcBorders>
              <w:top w:val="single" w:sz="4" w:space="0" w:color="auto"/>
              <w:bottom w:val="single" w:sz="4" w:space="0" w:color="auto"/>
            </w:tcBorders>
          </w:tcPr>
          <w:p w:rsidR="00653EC1" w:rsidRPr="00FA543E" w:rsidRDefault="00653EC1" w:rsidP="00653EC1">
            <w:pPr>
              <w:pStyle w:val="TableBodyText"/>
              <w:jc w:val="left"/>
              <w:rPr>
                <w:b/>
                <w:i/>
                <w:sz w:val="18"/>
                <w:szCs w:val="18"/>
              </w:rPr>
            </w:pPr>
            <w:r w:rsidRPr="00FA543E">
              <w:rPr>
                <w:b/>
                <w:i/>
                <w:sz w:val="18"/>
                <w:szCs w:val="18"/>
              </w:rPr>
              <w:t>Incentive regulation</w:t>
            </w:r>
          </w:p>
          <w:p w:rsidR="00653EC1" w:rsidRPr="00FA543E" w:rsidRDefault="00653EC1" w:rsidP="00653EC1">
            <w:pPr>
              <w:pStyle w:val="TableBodyText"/>
              <w:jc w:val="left"/>
              <w:rPr>
                <w:sz w:val="18"/>
                <w:szCs w:val="18"/>
              </w:rPr>
            </w:pPr>
            <w:r w:rsidRPr="00FA543E">
              <w:rPr>
                <w:sz w:val="18"/>
                <w:szCs w:val="18"/>
              </w:rPr>
              <w:t xml:space="preserve">The current incentive regulation regime encourages businesses, especially state-owned ones, to build too much. </w:t>
            </w:r>
          </w:p>
        </w:tc>
        <w:tc>
          <w:tcPr>
            <w:tcW w:w="2162" w:type="pct"/>
            <w:tcBorders>
              <w:top w:val="single" w:sz="4" w:space="0" w:color="auto"/>
              <w:bottom w:val="single" w:sz="4" w:space="0" w:color="auto"/>
            </w:tcBorders>
          </w:tcPr>
          <w:p w:rsidR="00653EC1" w:rsidRPr="00FA543E" w:rsidRDefault="00653EC1" w:rsidP="00653EC1">
            <w:pPr>
              <w:pStyle w:val="TableBodyText"/>
              <w:ind w:right="77"/>
              <w:jc w:val="left"/>
              <w:rPr>
                <w:sz w:val="18"/>
                <w:szCs w:val="18"/>
              </w:rPr>
            </w:pPr>
            <w:r w:rsidRPr="00FA543E">
              <w:rPr>
                <w:sz w:val="18"/>
                <w:szCs w:val="18"/>
              </w:rPr>
              <w:t>Ensure that state</w:t>
            </w:r>
            <w:r w:rsidR="00DC39E5">
              <w:rPr>
                <w:sz w:val="18"/>
                <w:szCs w:val="18"/>
              </w:rPr>
              <w:t>-</w:t>
            </w:r>
            <w:r w:rsidRPr="00FA543E">
              <w:rPr>
                <w:sz w:val="18"/>
                <w:szCs w:val="18"/>
              </w:rPr>
              <w:t>owned network service providers obtain financing (both debt and equity) at rates that reflect the risk of the investment.</w:t>
            </w:r>
          </w:p>
          <w:p w:rsidR="00653EC1" w:rsidRPr="00FA543E" w:rsidRDefault="00653EC1" w:rsidP="00750FB3">
            <w:pPr>
              <w:pStyle w:val="TableBodyText"/>
              <w:ind w:right="77"/>
              <w:jc w:val="left"/>
              <w:rPr>
                <w:sz w:val="18"/>
                <w:szCs w:val="18"/>
              </w:rPr>
            </w:pPr>
            <w:r w:rsidRPr="00FA543E">
              <w:rPr>
                <w:sz w:val="18"/>
                <w:szCs w:val="18"/>
              </w:rPr>
              <w:t>The AER should use a long</w:t>
            </w:r>
            <w:r w:rsidR="00750FB3">
              <w:rPr>
                <w:sz w:val="18"/>
                <w:szCs w:val="18"/>
              </w:rPr>
              <w:noBreakHyphen/>
            </w:r>
            <w:r w:rsidRPr="00FA543E">
              <w:rPr>
                <w:sz w:val="18"/>
                <w:szCs w:val="18"/>
              </w:rPr>
              <w:t xml:space="preserve">term trailing average to estimate the debt risk premium and the </w:t>
            </w:r>
            <w:r w:rsidR="00A9126D">
              <w:rPr>
                <w:sz w:val="18"/>
                <w:szCs w:val="18"/>
              </w:rPr>
              <w:t>risk-free</w:t>
            </w:r>
            <w:r w:rsidRPr="00FA543E">
              <w:rPr>
                <w:sz w:val="18"/>
                <w:szCs w:val="18"/>
              </w:rPr>
              <w:t xml:space="preserve"> rate. </w:t>
            </w:r>
          </w:p>
        </w:tc>
        <w:tc>
          <w:tcPr>
            <w:tcW w:w="1557" w:type="pct"/>
            <w:tcBorders>
              <w:top w:val="single" w:sz="4" w:space="0" w:color="auto"/>
              <w:bottom w:val="single" w:sz="4" w:space="0" w:color="auto"/>
            </w:tcBorders>
          </w:tcPr>
          <w:p w:rsidR="00653EC1" w:rsidRPr="00FA543E" w:rsidRDefault="00653EC1" w:rsidP="00653EC1">
            <w:pPr>
              <w:pStyle w:val="TableBodyText"/>
              <w:ind w:right="28"/>
              <w:jc w:val="left"/>
              <w:rPr>
                <w:sz w:val="18"/>
                <w:szCs w:val="18"/>
              </w:rPr>
            </w:pPr>
            <w:r w:rsidRPr="00FA543E">
              <w:rPr>
                <w:sz w:val="18"/>
                <w:szCs w:val="18"/>
              </w:rPr>
              <w:t xml:space="preserve">Incentive regulation would be more effective at encouraging efficient investment. </w:t>
            </w:r>
          </w:p>
        </w:tc>
      </w:tr>
      <w:tr w:rsidR="005735D9" w:rsidTr="004823AE">
        <w:tc>
          <w:tcPr>
            <w:tcW w:w="1282" w:type="pct"/>
            <w:tcBorders>
              <w:top w:val="single" w:sz="4" w:space="0" w:color="auto"/>
            </w:tcBorders>
          </w:tcPr>
          <w:p w:rsidR="005735D9" w:rsidRPr="00FA543E" w:rsidRDefault="005735D9" w:rsidP="00AB6DB0">
            <w:pPr>
              <w:pStyle w:val="TableBodyText"/>
              <w:jc w:val="left"/>
              <w:rPr>
                <w:b/>
                <w:i/>
                <w:sz w:val="18"/>
                <w:szCs w:val="18"/>
              </w:rPr>
            </w:pPr>
            <w:r w:rsidRPr="00FA543E">
              <w:rPr>
                <w:b/>
                <w:i/>
                <w:sz w:val="18"/>
                <w:szCs w:val="18"/>
              </w:rPr>
              <w:t>Governance of</w:t>
            </w:r>
            <w:r w:rsidR="00475AC2" w:rsidRPr="00FA543E">
              <w:rPr>
                <w:b/>
                <w:i/>
                <w:sz w:val="18"/>
                <w:szCs w:val="18"/>
              </w:rPr>
              <w:t xml:space="preserve"> NEM institutions</w:t>
            </w:r>
          </w:p>
          <w:p w:rsidR="005735D9" w:rsidRPr="00FA543E" w:rsidRDefault="00A176C1" w:rsidP="00A176C1">
            <w:pPr>
              <w:pStyle w:val="TableBodyText"/>
              <w:jc w:val="left"/>
              <w:rPr>
                <w:sz w:val="18"/>
                <w:szCs w:val="18"/>
              </w:rPr>
            </w:pPr>
            <w:r w:rsidRPr="00FA543E">
              <w:rPr>
                <w:sz w:val="18"/>
                <w:szCs w:val="18"/>
              </w:rPr>
              <w:t xml:space="preserve">AER </w:t>
            </w:r>
            <w:r w:rsidR="00282D4B" w:rsidRPr="00FA543E">
              <w:rPr>
                <w:sz w:val="18"/>
                <w:szCs w:val="18"/>
              </w:rPr>
              <w:t xml:space="preserve">governance arrangements are not clear. </w:t>
            </w:r>
            <w:r w:rsidR="005735D9" w:rsidRPr="00FA543E">
              <w:rPr>
                <w:sz w:val="18"/>
                <w:szCs w:val="18"/>
              </w:rPr>
              <w:t>There</w:t>
            </w:r>
            <w:r w:rsidR="00926921" w:rsidRPr="00FA543E">
              <w:rPr>
                <w:sz w:val="18"/>
                <w:szCs w:val="18"/>
              </w:rPr>
              <w:t xml:space="preserve"> are mixed perceptions about the capacity of the </w:t>
            </w:r>
            <w:r w:rsidR="005735D9" w:rsidRPr="00FA543E">
              <w:rPr>
                <w:sz w:val="18"/>
                <w:szCs w:val="18"/>
              </w:rPr>
              <w:t xml:space="preserve">AER to fulfil </w:t>
            </w:r>
            <w:r w:rsidR="00926921" w:rsidRPr="00FA543E">
              <w:rPr>
                <w:sz w:val="18"/>
                <w:szCs w:val="18"/>
              </w:rPr>
              <w:t xml:space="preserve">its </w:t>
            </w:r>
            <w:r w:rsidR="005735D9" w:rsidRPr="00FA543E">
              <w:rPr>
                <w:sz w:val="18"/>
                <w:szCs w:val="18"/>
              </w:rPr>
              <w:t>current obligations. Future reforms would only add to these obligations.</w:t>
            </w:r>
          </w:p>
          <w:p w:rsidR="006D6BF3" w:rsidRPr="00FA543E" w:rsidRDefault="006D6BF3" w:rsidP="00A176C1">
            <w:pPr>
              <w:pStyle w:val="TableBodyText"/>
              <w:jc w:val="left"/>
              <w:rPr>
                <w:sz w:val="18"/>
                <w:szCs w:val="18"/>
              </w:rPr>
            </w:pPr>
            <w:r w:rsidRPr="00FA543E">
              <w:rPr>
                <w:sz w:val="18"/>
                <w:szCs w:val="18"/>
              </w:rPr>
              <w:t>Other bodies need periodic review</w:t>
            </w:r>
            <w:r w:rsidR="00FA5621">
              <w:rPr>
                <w:sz w:val="18"/>
                <w:szCs w:val="18"/>
              </w:rPr>
              <w:t>.</w:t>
            </w:r>
          </w:p>
        </w:tc>
        <w:tc>
          <w:tcPr>
            <w:tcW w:w="2162" w:type="pct"/>
            <w:tcBorders>
              <w:top w:val="single" w:sz="4" w:space="0" w:color="auto"/>
            </w:tcBorders>
          </w:tcPr>
          <w:p w:rsidR="006D6BF3" w:rsidRPr="00FA543E" w:rsidRDefault="004823AE" w:rsidP="00475AC2">
            <w:pPr>
              <w:pStyle w:val="TableUnitsRow"/>
              <w:jc w:val="left"/>
              <w:rPr>
                <w:sz w:val="18"/>
                <w:szCs w:val="18"/>
              </w:rPr>
            </w:pPr>
            <w:r w:rsidRPr="00FA543E">
              <w:rPr>
                <w:sz w:val="18"/>
                <w:szCs w:val="18"/>
              </w:rPr>
              <w:t>T</w:t>
            </w:r>
            <w:r w:rsidR="005735D9" w:rsidRPr="00FA543E">
              <w:rPr>
                <w:sz w:val="18"/>
                <w:szCs w:val="18"/>
              </w:rPr>
              <w:t xml:space="preserve">he AER </w:t>
            </w:r>
            <w:r w:rsidRPr="00FA543E">
              <w:rPr>
                <w:sz w:val="18"/>
                <w:szCs w:val="18"/>
              </w:rPr>
              <w:t>to</w:t>
            </w:r>
            <w:r w:rsidR="005735D9" w:rsidRPr="00FA543E">
              <w:rPr>
                <w:sz w:val="18"/>
                <w:szCs w:val="18"/>
              </w:rPr>
              <w:t xml:space="preserve"> </w:t>
            </w:r>
            <w:r w:rsidR="00926921" w:rsidRPr="00FA543E">
              <w:rPr>
                <w:sz w:val="18"/>
                <w:szCs w:val="18"/>
              </w:rPr>
              <w:t xml:space="preserve">issue a separate annual report; have administrative control over its budget </w:t>
            </w:r>
            <w:r w:rsidR="002D3C9E" w:rsidRPr="00FA543E">
              <w:rPr>
                <w:sz w:val="18"/>
                <w:szCs w:val="18"/>
              </w:rPr>
              <w:t xml:space="preserve">and resources </w:t>
            </w:r>
            <w:r w:rsidR="00926921" w:rsidRPr="00FA543E">
              <w:rPr>
                <w:sz w:val="18"/>
                <w:szCs w:val="18"/>
              </w:rPr>
              <w:t xml:space="preserve">(including a capacity to acquire specialist expertise); publicly reveal its strategies for improving its performance; negotiate resource sharing agreements with other agencies as it feels appropriate; </w:t>
            </w:r>
            <w:r w:rsidR="00475AC2" w:rsidRPr="00FA543E">
              <w:rPr>
                <w:sz w:val="18"/>
                <w:szCs w:val="18"/>
              </w:rPr>
              <w:t>strengthen and retain its specialist expertise</w:t>
            </w:r>
            <w:r w:rsidR="0090192E" w:rsidRPr="00FA543E">
              <w:rPr>
                <w:sz w:val="18"/>
                <w:szCs w:val="18"/>
              </w:rPr>
              <w:t>;</w:t>
            </w:r>
            <w:r w:rsidR="00475AC2" w:rsidRPr="00FA543E">
              <w:rPr>
                <w:sz w:val="18"/>
                <w:szCs w:val="18"/>
              </w:rPr>
              <w:t xml:space="preserve"> </w:t>
            </w:r>
            <w:r w:rsidR="00926921" w:rsidRPr="00FA543E">
              <w:rPr>
                <w:sz w:val="18"/>
                <w:szCs w:val="18"/>
              </w:rPr>
              <w:t>and develop a program for regular consultation with all stakeholders.</w:t>
            </w:r>
          </w:p>
          <w:p w:rsidR="00A176C1" w:rsidRPr="00FA543E" w:rsidRDefault="0090192E" w:rsidP="0090192E">
            <w:pPr>
              <w:pStyle w:val="TableUnitsRow"/>
              <w:jc w:val="left"/>
              <w:rPr>
                <w:sz w:val="18"/>
                <w:szCs w:val="18"/>
              </w:rPr>
            </w:pPr>
            <w:r w:rsidRPr="00FA543E">
              <w:rPr>
                <w:sz w:val="18"/>
                <w:szCs w:val="18"/>
              </w:rPr>
              <w:t>A</w:t>
            </w:r>
            <w:r w:rsidR="006D6BF3" w:rsidRPr="00FA543E">
              <w:rPr>
                <w:sz w:val="18"/>
                <w:szCs w:val="18"/>
              </w:rPr>
              <w:t xml:space="preserve">ll NEM institutions </w:t>
            </w:r>
            <w:r w:rsidRPr="00FA543E">
              <w:rPr>
                <w:sz w:val="18"/>
                <w:szCs w:val="18"/>
              </w:rPr>
              <w:t>should be</w:t>
            </w:r>
            <w:r w:rsidR="009641E4">
              <w:rPr>
                <w:sz w:val="18"/>
                <w:szCs w:val="18"/>
              </w:rPr>
              <w:t xml:space="preserve"> reviewed by </w:t>
            </w:r>
            <w:r w:rsidR="006D6BF3" w:rsidRPr="00FA543E">
              <w:rPr>
                <w:sz w:val="18"/>
                <w:szCs w:val="18"/>
              </w:rPr>
              <w:t>2018 and, thereafter, at regular 10 yearly intervals.</w:t>
            </w:r>
          </w:p>
        </w:tc>
        <w:tc>
          <w:tcPr>
            <w:tcW w:w="1557" w:type="pct"/>
            <w:tcBorders>
              <w:top w:val="single" w:sz="4" w:space="0" w:color="auto"/>
            </w:tcBorders>
          </w:tcPr>
          <w:p w:rsidR="005735D9" w:rsidRPr="00FA543E" w:rsidRDefault="006D6BF3" w:rsidP="00FA543E">
            <w:pPr>
              <w:pStyle w:val="TableUnitsRow"/>
              <w:ind w:right="28"/>
              <w:jc w:val="left"/>
              <w:rPr>
                <w:sz w:val="18"/>
                <w:szCs w:val="18"/>
              </w:rPr>
            </w:pPr>
            <w:r w:rsidRPr="00FA543E">
              <w:rPr>
                <w:sz w:val="18"/>
                <w:szCs w:val="18"/>
              </w:rPr>
              <w:t xml:space="preserve">Ensure effective performance of </w:t>
            </w:r>
            <w:r w:rsidR="00FA543E" w:rsidRPr="00FA543E">
              <w:rPr>
                <w:sz w:val="18"/>
                <w:szCs w:val="18"/>
              </w:rPr>
              <w:t>the AER, AEMC, AEMO and the new consumer advocacy body.</w:t>
            </w:r>
          </w:p>
        </w:tc>
      </w:tr>
      <w:tr w:rsidR="005735D9" w:rsidTr="004823AE">
        <w:tc>
          <w:tcPr>
            <w:tcW w:w="1282" w:type="pct"/>
            <w:tcBorders>
              <w:top w:val="single" w:sz="4" w:space="0" w:color="auto"/>
              <w:bottom w:val="single" w:sz="4" w:space="0" w:color="auto"/>
            </w:tcBorders>
          </w:tcPr>
          <w:p w:rsidR="005735D9" w:rsidRPr="00FA543E" w:rsidRDefault="005735D9" w:rsidP="00AB6DB0">
            <w:pPr>
              <w:pStyle w:val="TableBodyText"/>
              <w:jc w:val="left"/>
              <w:rPr>
                <w:b/>
                <w:i/>
                <w:sz w:val="18"/>
                <w:szCs w:val="18"/>
              </w:rPr>
            </w:pPr>
            <w:r w:rsidRPr="00FA543E">
              <w:rPr>
                <w:b/>
                <w:i/>
                <w:sz w:val="18"/>
                <w:szCs w:val="18"/>
              </w:rPr>
              <w:t>Benchmarking</w:t>
            </w:r>
          </w:p>
          <w:p w:rsidR="005735D9" w:rsidRPr="00FA543E" w:rsidRDefault="005735D9" w:rsidP="00AB6DB0">
            <w:pPr>
              <w:pStyle w:val="TableBodyText"/>
              <w:jc w:val="left"/>
              <w:rPr>
                <w:sz w:val="18"/>
                <w:szCs w:val="18"/>
              </w:rPr>
            </w:pPr>
            <w:r w:rsidRPr="00FA543E">
              <w:rPr>
                <w:sz w:val="18"/>
                <w:szCs w:val="18"/>
              </w:rPr>
              <w:t>Information asymmetries make it difficult for the regulator to accurately assess the efficiency of businesses’ proposals</w:t>
            </w:r>
            <w:r w:rsidR="00FA5621">
              <w:rPr>
                <w:sz w:val="18"/>
                <w:szCs w:val="18"/>
              </w:rPr>
              <w:t>.</w:t>
            </w:r>
          </w:p>
        </w:tc>
        <w:tc>
          <w:tcPr>
            <w:tcW w:w="2162" w:type="pct"/>
            <w:tcBorders>
              <w:top w:val="single" w:sz="4" w:space="0" w:color="auto"/>
              <w:bottom w:val="single" w:sz="4" w:space="0" w:color="auto"/>
            </w:tcBorders>
          </w:tcPr>
          <w:p w:rsidR="005735D9" w:rsidRPr="00FA543E" w:rsidRDefault="004D5CD0" w:rsidP="00AB6DB0">
            <w:pPr>
              <w:pStyle w:val="TableBodyText"/>
              <w:jc w:val="left"/>
              <w:rPr>
                <w:sz w:val="18"/>
                <w:szCs w:val="18"/>
              </w:rPr>
            </w:pPr>
            <w:r w:rsidRPr="00FA543E">
              <w:rPr>
                <w:sz w:val="18"/>
                <w:szCs w:val="18"/>
              </w:rPr>
              <w:t>B</w:t>
            </w:r>
            <w:r w:rsidR="005735D9" w:rsidRPr="00FA543E">
              <w:rPr>
                <w:sz w:val="18"/>
                <w:szCs w:val="18"/>
              </w:rPr>
              <w:t xml:space="preserve">enchmarking is </w:t>
            </w:r>
            <w:r w:rsidRPr="00FA543E">
              <w:rPr>
                <w:sz w:val="18"/>
                <w:szCs w:val="18"/>
              </w:rPr>
              <w:t xml:space="preserve">currently </w:t>
            </w:r>
            <w:r w:rsidR="005735D9" w:rsidRPr="00FA543E">
              <w:rPr>
                <w:sz w:val="18"/>
                <w:szCs w:val="18"/>
              </w:rPr>
              <w:t>too unreliable to set regulated revenue allowances, but could better inf</w:t>
            </w:r>
            <w:r w:rsidRPr="00FA543E">
              <w:rPr>
                <w:sz w:val="18"/>
                <w:szCs w:val="18"/>
              </w:rPr>
              <w:t xml:space="preserve">orm the regulator’s decisions. </w:t>
            </w:r>
            <w:r w:rsidR="005735D9" w:rsidRPr="00FA543E">
              <w:rPr>
                <w:sz w:val="18"/>
                <w:szCs w:val="18"/>
              </w:rPr>
              <w:t>In the future (after the rigo</w:t>
            </w:r>
            <w:r w:rsidR="00D522E4" w:rsidRPr="00FA543E">
              <w:rPr>
                <w:sz w:val="18"/>
                <w:szCs w:val="18"/>
              </w:rPr>
              <w:t>u</w:t>
            </w:r>
            <w:r w:rsidR="005735D9" w:rsidRPr="00FA543E">
              <w:rPr>
                <w:sz w:val="18"/>
                <w:szCs w:val="18"/>
              </w:rPr>
              <w:t>r and accuracy of benchmarking improves), reforms could be made to underpin negotiations for ‘early settlements’ with businesses, and potentially to base allowances on benchmarking.</w:t>
            </w:r>
          </w:p>
        </w:tc>
        <w:tc>
          <w:tcPr>
            <w:tcW w:w="1557" w:type="pct"/>
            <w:tcBorders>
              <w:top w:val="single" w:sz="4" w:space="0" w:color="auto"/>
              <w:bottom w:val="single" w:sz="4" w:space="0" w:color="auto"/>
            </w:tcBorders>
          </w:tcPr>
          <w:p w:rsidR="005735D9" w:rsidRPr="00FA543E" w:rsidRDefault="005735D9" w:rsidP="00AB6DB0">
            <w:pPr>
              <w:pStyle w:val="TableBodyText"/>
              <w:ind w:right="28"/>
              <w:jc w:val="left"/>
              <w:rPr>
                <w:sz w:val="18"/>
                <w:szCs w:val="18"/>
              </w:rPr>
            </w:pPr>
            <w:r w:rsidRPr="00FA543E">
              <w:rPr>
                <w:sz w:val="18"/>
                <w:szCs w:val="18"/>
              </w:rPr>
              <w:t xml:space="preserve">Better information could improve the accuracy and effectiveness of incentive regulation, lowering prices to consumers. </w:t>
            </w:r>
          </w:p>
          <w:p w:rsidR="005735D9" w:rsidRPr="00FA543E" w:rsidRDefault="005735D9" w:rsidP="00AB6DB0">
            <w:pPr>
              <w:pStyle w:val="TableBodyText"/>
              <w:ind w:right="28"/>
              <w:jc w:val="left"/>
              <w:rPr>
                <w:sz w:val="18"/>
                <w:szCs w:val="18"/>
              </w:rPr>
            </w:pPr>
            <w:r w:rsidRPr="00FA543E">
              <w:rPr>
                <w:sz w:val="18"/>
                <w:szCs w:val="18"/>
              </w:rPr>
              <w:t>Additionally, in the future, lengthy regulatory determinations could be avoided, reducing compliance costs.</w:t>
            </w:r>
          </w:p>
        </w:tc>
      </w:tr>
      <w:tr w:rsidR="005735D9" w:rsidTr="004823AE">
        <w:tc>
          <w:tcPr>
            <w:tcW w:w="1282" w:type="pct"/>
            <w:tcBorders>
              <w:top w:val="single" w:sz="4" w:space="0" w:color="auto"/>
              <w:bottom w:val="single" w:sz="6" w:space="0" w:color="auto"/>
            </w:tcBorders>
            <w:shd w:val="clear" w:color="auto" w:fill="auto"/>
          </w:tcPr>
          <w:p w:rsidR="005735D9" w:rsidRPr="00FA543E" w:rsidRDefault="005735D9" w:rsidP="00AB6DB0">
            <w:pPr>
              <w:pStyle w:val="TableBodyText"/>
              <w:jc w:val="left"/>
              <w:rPr>
                <w:b/>
                <w:i/>
                <w:sz w:val="18"/>
                <w:szCs w:val="18"/>
              </w:rPr>
            </w:pPr>
            <w:r w:rsidRPr="00FA543E">
              <w:rPr>
                <w:b/>
                <w:i/>
                <w:sz w:val="18"/>
                <w:szCs w:val="18"/>
              </w:rPr>
              <w:t>Interconnectors</w:t>
            </w:r>
          </w:p>
          <w:p w:rsidR="005735D9" w:rsidRPr="00FA543E" w:rsidRDefault="00350A7B" w:rsidP="00350A7B">
            <w:pPr>
              <w:pStyle w:val="TableBodyText"/>
              <w:jc w:val="left"/>
              <w:rPr>
                <w:sz w:val="18"/>
                <w:szCs w:val="18"/>
              </w:rPr>
            </w:pPr>
            <w:r w:rsidRPr="00FA543E">
              <w:rPr>
                <w:sz w:val="18"/>
                <w:szCs w:val="18"/>
              </w:rPr>
              <w:t>T</w:t>
            </w:r>
            <w:r w:rsidR="005735D9" w:rsidRPr="00FA543E">
              <w:rPr>
                <w:sz w:val="18"/>
                <w:szCs w:val="18"/>
              </w:rPr>
              <w:t>here is no evidence of insufficient physical capacity of interconnectors</w:t>
            </w:r>
            <w:r w:rsidR="002D3C9E" w:rsidRPr="00FA543E">
              <w:rPr>
                <w:sz w:val="18"/>
                <w:szCs w:val="18"/>
              </w:rPr>
              <w:t xml:space="preserve"> at present</w:t>
            </w:r>
            <w:r w:rsidRPr="00FA543E">
              <w:rPr>
                <w:sz w:val="18"/>
                <w:szCs w:val="18"/>
              </w:rPr>
              <w:t>. Indeed, t</w:t>
            </w:r>
            <w:r w:rsidR="005735D9" w:rsidRPr="00FA543E">
              <w:rPr>
                <w:sz w:val="18"/>
                <w:szCs w:val="18"/>
              </w:rPr>
              <w:t xml:space="preserve">hey are </w:t>
            </w:r>
            <w:r w:rsidRPr="00FA543E">
              <w:rPr>
                <w:sz w:val="18"/>
                <w:szCs w:val="18"/>
              </w:rPr>
              <w:t xml:space="preserve">sometimes </w:t>
            </w:r>
            <w:r w:rsidR="005735D9" w:rsidRPr="00FA543E">
              <w:rPr>
                <w:sz w:val="18"/>
                <w:szCs w:val="18"/>
              </w:rPr>
              <w:t>underutilised due to perverse incentives in the structure of the wholesale market.</w:t>
            </w:r>
            <w:r w:rsidRPr="00FA543E">
              <w:rPr>
                <w:sz w:val="18"/>
                <w:szCs w:val="18"/>
              </w:rPr>
              <w:t xml:space="preserve"> Underutilisation may often coincide with periods of peak demand when the interconnectors would be most valuable.</w:t>
            </w:r>
            <w:r w:rsidR="005735D9" w:rsidRPr="00FA543E">
              <w:rPr>
                <w:sz w:val="18"/>
                <w:szCs w:val="18"/>
              </w:rPr>
              <w:t xml:space="preserve"> </w:t>
            </w:r>
          </w:p>
        </w:tc>
        <w:tc>
          <w:tcPr>
            <w:tcW w:w="2162" w:type="pct"/>
            <w:tcBorders>
              <w:top w:val="single" w:sz="4" w:space="0" w:color="auto"/>
              <w:bottom w:val="single" w:sz="6" w:space="0" w:color="auto"/>
            </w:tcBorders>
            <w:shd w:val="clear" w:color="auto" w:fill="auto"/>
          </w:tcPr>
          <w:p w:rsidR="001027A8" w:rsidRPr="00FA543E" w:rsidRDefault="001027A8" w:rsidP="00AB6DB0">
            <w:pPr>
              <w:pStyle w:val="TableBodyText"/>
              <w:jc w:val="left"/>
              <w:rPr>
                <w:sz w:val="18"/>
                <w:szCs w:val="18"/>
              </w:rPr>
            </w:pPr>
            <w:r w:rsidRPr="00FA543E">
              <w:rPr>
                <w:sz w:val="18"/>
                <w:szCs w:val="18"/>
              </w:rPr>
              <w:t>R</w:t>
            </w:r>
            <w:r w:rsidR="005735D9" w:rsidRPr="00FA543E">
              <w:rPr>
                <w:sz w:val="18"/>
                <w:szCs w:val="18"/>
              </w:rPr>
              <w:t>eform the wholesale market to influence generator bidding behaviour, and change the way they pay for acces</w:t>
            </w:r>
            <w:r w:rsidRPr="00FA543E">
              <w:rPr>
                <w:sz w:val="18"/>
                <w:szCs w:val="18"/>
              </w:rPr>
              <w:t xml:space="preserve">s to the transmission network. </w:t>
            </w:r>
          </w:p>
          <w:p w:rsidR="005735D9" w:rsidRPr="00FA543E" w:rsidRDefault="002D3C9E" w:rsidP="00AB6DB0">
            <w:pPr>
              <w:pStyle w:val="TableBodyText"/>
              <w:jc w:val="left"/>
              <w:rPr>
                <w:sz w:val="18"/>
                <w:szCs w:val="18"/>
              </w:rPr>
            </w:pPr>
            <w:r w:rsidRPr="00FA543E">
              <w:rPr>
                <w:sz w:val="18"/>
                <w:szCs w:val="18"/>
              </w:rPr>
              <w:t>Ensure intra-regional transmission networks are planned to optimise the use of interconnectors</w:t>
            </w:r>
            <w:r w:rsidR="00AB41F7" w:rsidRPr="00FA543E">
              <w:rPr>
                <w:sz w:val="18"/>
                <w:szCs w:val="18"/>
              </w:rPr>
              <w:t xml:space="preserve">. </w:t>
            </w:r>
            <w:r w:rsidR="001027A8" w:rsidRPr="00FA543E">
              <w:rPr>
                <w:sz w:val="18"/>
                <w:szCs w:val="18"/>
              </w:rPr>
              <w:t>Implement a short-term congestion pricing mechanism as the precursor to</w:t>
            </w:r>
            <w:r w:rsidR="00F51EFB" w:rsidRPr="00FA543E">
              <w:rPr>
                <w:sz w:val="18"/>
                <w:szCs w:val="18"/>
              </w:rPr>
              <w:t xml:space="preserve"> the potential </w:t>
            </w:r>
            <w:r w:rsidR="001027A8" w:rsidRPr="00FA543E">
              <w:rPr>
                <w:sz w:val="18"/>
                <w:szCs w:val="18"/>
              </w:rPr>
              <w:t>adoption of the</w:t>
            </w:r>
            <w:r w:rsidR="005735D9" w:rsidRPr="00FA543E">
              <w:rPr>
                <w:sz w:val="18"/>
                <w:szCs w:val="18"/>
              </w:rPr>
              <w:t xml:space="preserve"> ‘optional firm access’ package currently being considered by the AEMC</w:t>
            </w:r>
            <w:r w:rsidR="00FA5621">
              <w:rPr>
                <w:sz w:val="18"/>
                <w:szCs w:val="18"/>
              </w:rPr>
              <w:t>.</w:t>
            </w:r>
          </w:p>
          <w:p w:rsidR="005735D9" w:rsidRPr="00FA543E" w:rsidRDefault="005735D9" w:rsidP="00AB6DB0">
            <w:pPr>
              <w:pStyle w:val="TableBodyText"/>
              <w:jc w:val="left"/>
              <w:rPr>
                <w:sz w:val="18"/>
                <w:szCs w:val="18"/>
              </w:rPr>
            </w:pPr>
            <w:r w:rsidRPr="00FA543E">
              <w:rPr>
                <w:sz w:val="18"/>
                <w:szCs w:val="18"/>
              </w:rPr>
              <w:t>In the long</w:t>
            </w:r>
            <w:r w:rsidR="00750FB3">
              <w:rPr>
                <w:sz w:val="18"/>
                <w:szCs w:val="18"/>
              </w:rPr>
              <w:t xml:space="preserve"> </w:t>
            </w:r>
            <w:r w:rsidRPr="00FA543E">
              <w:rPr>
                <w:sz w:val="18"/>
                <w:szCs w:val="18"/>
              </w:rPr>
              <w:t xml:space="preserve">term, </w:t>
            </w:r>
            <w:r w:rsidR="00282D4B" w:rsidRPr="00FA543E">
              <w:rPr>
                <w:sz w:val="18"/>
                <w:szCs w:val="18"/>
              </w:rPr>
              <w:t xml:space="preserve">the potential for </w:t>
            </w:r>
            <w:r w:rsidRPr="00FA543E">
              <w:rPr>
                <w:sz w:val="18"/>
                <w:szCs w:val="18"/>
              </w:rPr>
              <w:t>‘nodal pricing’ with a system of</w:t>
            </w:r>
            <w:r w:rsidR="00135EE4" w:rsidRPr="00FA543E">
              <w:rPr>
                <w:sz w:val="18"/>
                <w:szCs w:val="18"/>
              </w:rPr>
              <w:t xml:space="preserve"> financial transmission rights should be considered, </w:t>
            </w:r>
            <w:r w:rsidRPr="00FA543E">
              <w:rPr>
                <w:sz w:val="18"/>
                <w:szCs w:val="18"/>
              </w:rPr>
              <w:t>pending a review</w:t>
            </w:r>
            <w:r w:rsidR="00135EE4" w:rsidRPr="00FA543E">
              <w:rPr>
                <w:sz w:val="18"/>
                <w:szCs w:val="18"/>
              </w:rPr>
              <w:t xml:space="preserve"> of its merits compared with the firm access arrangements</w:t>
            </w:r>
            <w:r w:rsidR="008C43D8" w:rsidRPr="00FA543E">
              <w:rPr>
                <w:sz w:val="18"/>
                <w:szCs w:val="18"/>
              </w:rPr>
              <w:t>.</w:t>
            </w:r>
            <w:r w:rsidR="00135EE4" w:rsidRPr="00FA543E">
              <w:rPr>
                <w:sz w:val="18"/>
                <w:szCs w:val="18"/>
              </w:rPr>
              <w:t xml:space="preserve"> </w:t>
            </w:r>
          </w:p>
          <w:p w:rsidR="002D3C9E" w:rsidRPr="00FA543E" w:rsidRDefault="002D3C9E" w:rsidP="00AB6DB0">
            <w:pPr>
              <w:pStyle w:val="TableBodyText"/>
              <w:jc w:val="left"/>
              <w:rPr>
                <w:sz w:val="18"/>
                <w:szCs w:val="18"/>
              </w:rPr>
            </w:pPr>
          </w:p>
        </w:tc>
        <w:tc>
          <w:tcPr>
            <w:tcW w:w="1557" w:type="pct"/>
            <w:tcBorders>
              <w:top w:val="single" w:sz="4" w:space="0" w:color="auto"/>
              <w:bottom w:val="single" w:sz="6" w:space="0" w:color="auto"/>
            </w:tcBorders>
            <w:shd w:val="clear" w:color="auto" w:fill="auto"/>
          </w:tcPr>
          <w:p w:rsidR="00A61BBB" w:rsidRPr="00FA543E" w:rsidRDefault="005735D9" w:rsidP="00AB6DB0">
            <w:pPr>
              <w:pStyle w:val="TableBodyText"/>
              <w:ind w:right="28"/>
              <w:jc w:val="left"/>
              <w:rPr>
                <w:sz w:val="18"/>
                <w:szCs w:val="18"/>
              </w:rPr>
            </w:pPr>
            <w:r w:rsidRPr="00FA543E">
              <w:rPr>
                <w:sz w:val="18"/>
                <w:szCs w:val="18"/>
              </w:rPr>
              <w:t>Generator bidding behaviour (and locational choices) would be more close</w:t>
            </w:r>
            <w:r w:rsidR="00AB41F7" w:rsidRPr="00FA543E">
              <w:rPr>
                <w:sz w:val="18"/>
                <w:szCs w:val="18"/>
              </w:rPr>
              <w:t xml:space="preserve">ly aligned to efficient levels. </w:t>
            </w:r>
            <w:r w:rsidRPr="00FA543E">
              <w:rPr>
                <w:sz w:val="18"/>
                <w:szCs w:val="18"/>
              </w:rPr>
              <w:t>In the long</w:t>
            </w:r>
            <w:r w:rsidR="002660DB" w:rsidRPr="00FA543E">
              <w:rPr>
                <w:sz w:val="18"/>
                <w:szCs w:val="18"/>
              </w:rPr>
              <w:t xml:space="preserve"> </w:t>
            </w:r>
            <w:r w:rsidRPr="00FA543E">
              <w:rPr>
                <w:sz w:val="18"/>
                <w:szCs w:val="18"/>
              </w:rPr>
              <w:t>term, this would allow better flows along interconnectors</w:t>
            </w:r>
            <w:r w:rsidR="00AF391B" w:rsidRPr="00FA543E">
              <w:rPr>
                <w:sz w:val="18"/>
                <w:szCs w:val="18"/>
              </w:rPr>
              <w:t xml:space="preserve">; </w:t>
            </w:r>
            <w:r w:rsidRPr="00FA543E">
              <w:rPr>
                <w:sz w:val="18"/>
                <w:szCs w:val="18"/>
              </w:rPr>
              <w:t>improve certainty in (electricity) financial markets</w:t>
            </w:r>
            <w:r w:rsidR="00AF391B" w:rsidRPr="00FA543E">
              <w:rPr>
                <w:sz w:val="18"/>
                <w:szCs w:val="18"/>
              </w:rPr>
              <w:t>;</w:t>
            </w:r>
            <w:r w:rsidRPr="00FA543E">
              <w:rPr>
                <w:sz w:val="18"/>
                <w:szCs w:val="18"/>
              </w:rPr>
              <w:t xml:space="preserve"> and improve interconnector planning. </w:t>
            </w:r>
          </w:p>
          <w:p w:rsidR="005735D9" w:rsidRPr="00FA543E" w:rsidRDefault="005735D9" w:rsidP="00AB6DB0">
            <w:pPr>
              <w:pStyle w:val="TableBodyText"/>
              <w:ind w:right="28"/>
              <w:jc w:val="left"/>
              <w:rPr>
                <w:sz w:val="18"/>
                <w:szCs w:val="18"/>
              </w:rPr>
            </w:pPr>
            <w:r w:rsidRPr="00FA543E">
              <w:rPr>
                <w:sz w:val="18"/>
                <w:szCs w:val="18"/>
              </w:rPr>
              <w:t xml:space="preserve">Introduction of ‘optional firm access’ would lead some transmission investments becoming market-driven, improving the alignment of investment </w:t>
            </w:r>
            <w:r w:rsidR="00AB41F7" w:rsidRPr="00FA543E">
              <w:rPr>
                <w:sz w:val="18"/>
                <w:szCs w:val="18"/>
              </w:rPr>
              <w:t>expenditure with user benefits.</w:t>
            </w:r>
          </w:p>
          <w:p w:rsidR="002D3C9E" w:rsidRPr="00FA543E" w:rsidRDefault="002D3C9E" w:rsidP="00AB41F7">
            <w:pPr>
              <w:pStyle w:val="TableBodyText"/>
              <w:ind w:right="28"/>
              <w:jc w:val="left"/>
              <w:rPr>
                <w:sz w:val="18"/>
                <w:szCs w:val="18"/>
              </w:rPr>
            </w:pPr>
            <w:r w:rsidRPr="00FA543E">
              <w:rPr>
                <w:sz w:val="18"/>
                <w:szCs w:val="18"/>
              </w:rPr>
              <w:t xml:space="preserve">The networks on either side of an interconnector would be better designed to help utilise </w:t>
            </w:r>
            <w:r w:rsidR="00AB41F7" w:rsidRPr="00FA543E">
              <w:rPr>
                <w:sz w:val="18"/>
                <w:szCs w:val="18"/>
              </w:rPr>
              <w:t>its</w:t>
            </w:r>
            <w:r w:rsidRPr="00FA543E">
              <w:rPr>
                <w:sz w:val="18"/>
                <w:szCs w:val="18"/>
              </w:rPr>
              <w:t xml:space="preserve"> full potential</w:t>
            </w:r>
            <w:r w:rsidR="00AB41F7" w:rsidRPr="00FA543E">
              <w:rPr>
                <w:sz w:val="18"/>
                <w:szCs w:val="18"/>
              </w:rPr>
              <w:t>.</w:t>
            </w:r>
            <w:r w:rsidRPr="00FA543E">
              <w:rPr>
                <w:sz w:val="18"/>
                <w:szCs w:val="18"/>
              </w:rPr>
              <w:t xml:space="preserve"> </w:t>
            </w:r>
          </w:p>
        </w:tc>
      </w:tr>
    </w:tbl>
    <w:p w:rsidR="003A5008" w:rsidRDefault="003A5008">
      <w:pPr>
        <w:rPr>
          <w:rFonts w:ascii="Arial" w:hAnsi="Arial"/>
        </w:rPr>
      </w:pPr>
      <w:r>
        <w:rPr>
          <w:b/>
        </w:rPr>
        <w:br w:type="page"/>
      </w:r>
    </w:p>
    <w:p w:rsidR="003C2696" w:rsidRDefault="003C2696" w:rsidP="003C2696">
      <w:pPr>
        <w:pStyle w:val="TableTitle"/>
        <w:rPr>
          <w:b w:val="0"/>
        </w:rPr>
      </w:pPr>
      <w:r>
        <w:rPr>
          <w:b w:val="0"/>
        </w:rPr>
        <w:lastRenderedPageBreak/>
        <w:t>Table 2</w:t>
      </w:r>
      <w:r>
        <w:rPr>
          <w:b w:val="0"/>
        </w:rPr>
        <w:tab/>
      </w:r>
      <w:r>
        <w:t>The timing of reform</w:t>
      </w:r>
    </w:p>
    <w:tbl>
      <w:tblPr>
        <w:tblW w:w="5000" w:type="pct"/>
        <w:tblCellMar>
          <w:left w:w="0" w:type="dxa"/>
          <w:right w:w="0" w:type="dxa"/>
        </w:tblCellMar>
        <w:tblLook w:val="04A0" w:firstRow="1" w:lastRow="0" w:firstColumn="1" w:lastColumn="0" w:noHBand="0" w:noVBand="1"/>
      </w:tblPr>
      <w:tblGrid>
        <w:gridCol w:w="1134"/>
        <w:gridCol w:w="7655"/>
      </w:tblGrid>
      <w:tr w:rsidR="003C2696" w:rsidTr="0067190D">
        <w:tc>
          <w:tcPr>
            <w:tcW w:w="645" w:type="pct"/>
            <w:tcBorders>
              <w:top w:val="single" w:sz="6" w:space="0" w:color="auto"/>
              <w:left w:val="nil"/>
              <w:bottom w:val="single" w:sz="6" w:space="0" w:color="auto"/>
              <w:right w:val="nil"/>
            </w:tcBorders>
            <w:hideMark/>
          </w:tcPr>
          <w:p w:rsidR="003C2696" w:rsidRDefault="003C2696" w:rsidP="00E02981">
            <w:pPr>
              <w:pStyle w:val="TableColumnHeading"/>
              <w:jc w:val="left"/>
            </w:pPr>
            <w:r>
              <w:t>Timing</w:t>
            </w:r>
          </w:p>
        </w:tc>
        <w:tc>
          <w:tcPr>
            <w:tcW w:w="4355" w:type="pct"/>
            <w:tcBorders>
              <w:top w:val="single" w:sz="6" w:space="0" w:color="auto"/>
              <w:left w:val="nil"/>
              <w:bottom w:val="single" w:sz="6" w:space="0" w:color="auto"/>
              <w:right w:val="nil"/>
            </w:tcBorders>
            <w:hideMark/>
          </w:tcPr>
          <w:p w:rsidR="003C2696" w:rsidRDefault="003C2696" w:rsidP="00E02981">
            <w:pPr>
              <w:pStyle w:val="TableColumnHeading"/>
              <w:ind w:right="28"/>
              <w:jc w:val="center"/>
            </w:pPr>
            <w:r>
              <w:t>Measure (and corresponding recommendations)</w:t>
            </w:r>
          </w:p>
        </w:tc>
      </w:tr>
      <w:tr w:rsidR="003C2696" w:rsidTr="0067190D">
        <w:tc>
          <w:tcPr>
            <w:tcW w:w="645" w:type="pct"/>
            <w:tcBorders>
              <w:top w:val="single" w:sz="6" w:space="0" w:color="auto"/>
              <w:left w:val="nil"/>
              <w:bottom w:val="single" w:sz="6" w:space="0" w:color="auto"/>
              <w:right w:val="nil"/>
            </w:tcBorders>
            <w:shd w:val="clear" w:color="auto" w:fill="D9D9D9" w:themeFill="background1" w:themeFillShade="D9"/>
            <w:hideMark/>
          </w:tcPr>
          <w:p w:rsidR="003C2696" w:rsidRDefault="003C2696" w:rsidP="00E02981">
            <w:pPr>
              <w:pStyle w:val="TableBodyText"/>
              <w:jc w:val="left"/>
              <w:rPr>
                <w:b/>
              </w:rPr>
            </w:pPr>
            <w:r>
              <w:rPr>
                <w:b/>
              </w:rPr>
              <w:t>Already underway</w:t>
            </w:r>
          </w:p>
        </w:tc>
        <w:tc>
          <w:tcPr>
            <w:tcW w:w="4355" w:type="pct"/>
            <w:tcBorders>
              <w:top w:val="single" w:sz="6" w:space="0" w:color="auto"/>
              <w:left w:val="nil"/>
              <w:bottom w:val="single" w:sz="6" w:space="0" w:color="auto"/>
              <w:right w:val="nil"/>
            </w:tcBorders>
            <w:shd w:val="clear" w:color="auto" w:fill="D9D9D9" w:themeFill="background1" w:themeFillShade="D9"/>
            <w:hideMark/>
          </w:tcPr>
          <w:p w:rsidR="003C2696" w:rsidRDefault="003C2696" w:rsidP="00B9480D">
            <w:pPr>
              <w:pStyle w:val="TableBullet"/>
              <w:numPr>
                <w:ilvl w:val="0"/>
                <w:numId w:val="18"/>
              </w:numPr>
            </w:pPr>
            <w:r>
              <w:t xml:space="preserve">Changes to incentive regulation </w:t>
            </w:r>
            <w:r w:rsidR="00402526">
              <w:t>were</w:t>
            </w:r>
            <w:r>
              <w:t xml:space="preserve"> ma</w:t>
            </w:r>
            <w:r w:rsidR="009641E4">
              <w:t>de in a Rule change in November </w:t>
            </w:r>
            <w:r>
              <w:t xml:space="preserve">2012, but the AER must develop guidelines to give effect to some of these </w:t>
            </w:r>
            <w:r w:rsidRPr="00F0167C">
              <w:t>(r. 5.2</w:t>
            </w:r>
            <w:r w:rsidR="00F0167C" w:rsidRPr="00F0167C">
              <w:t>).</w:t>
            </w:r>
          </w:p>
        </w:tc>
      </w:tr>
      <w:tr w:rsidR="003C2696" w:rsidRPr="00C23E26" w:rsidTr="0067190D">
        <w:tc>
          <w:tcPr>
            <w:tcW w:w="645" w:type="pct"/>
            <w:tcBorders>
              <w:top w:val="single" w:sz="6" w:space="0" w:color="auto"/>
              <w:left w:val="nil"/>
              <w:bottom w:val="single" w:sz="4" w:space="0" w:color="auto"/>
              <w:right w:val="nil"/>
            </w:tcBorders>
            <w:hideMark/>
          </w:tcPr>
          <w:p w:rsidR="003C2696" w:rsidRPr="00C23E26" w:rsidRDefault="003C2696" w:rsidP="00E02981">
            <w:pPr>
              <w:pStyle w:val="TableBodyText"/>
              <w:jc w:val="left"/>
              <w:rPr>
                <w:b/>
              </w:rPr>
            </w:pPr>
            <w:r w:rsidRPr="00C23E26">
              <w:rPr>
                <w:b/>
              </w:rPr>
              <w:t>Initiate now</w:t>
            </w:r>
          </w:p>
        </w:tc>
        <w:tc>
          <w:tcPr>
            <w:tcW w:w="4355" w:type="pct"/>
            <w:tcBorders>
              <w:top w:val="single" w:sz="6" w:space="0" w:color="auto"/>
              <w:left w:val="nil"/>
              <w:bottom w:val="single" w:sz="4" w:space="0" w:color="auto"/>
              <w:right w:val="nil"/>
            </w:tcBorders>
            <w:hideMark/>
          </w:tcPr>
          <w:p w:rsidR="003C2696" w:rsidRPr="00C23E26" w:rsidRDefault="003C2696" w:rsidP="0067190D">
            <w:pPr>
              <w:pStyle w:val="TableBullet"/>
              <w:numPr>
                <w:ilvl w:val="0"/>
                <w:numId w:val="19"/>
              </w:numPr>
              <w:spacing w:before="40" w:after="0" w:line="200" w:lineRule="atLeast"/>
            </w:pPr>
            <w:r w:rsidRPr="00C23E26">
              <w:t xml:space="preserve">SCER </w:t>
            </w:r>
            <w:r w:rsidR="00AF391B">
              <w:t xml:space="preserve">to </w:t>
            </w:r>
            <w:r w:rsidRPr="00C23E26">
              <w:t xml:space="preserve">commit to more speedy reform and acceleration of the current review into transmission and distribution reliability </w:t>
            </w:r>
            <w:r w:rsidRPr="0067190D">
              <w:t>(r. 21.</w:t>
            </w:r>
            <w:r w:rsidR="00BE4661">
              <w:t>7</w:t>
            </w:r>
            <w:r w:rsidR="000B1575" w:rsidRPr="0067190D">
              <w:t>,</w:t>
            </w:r>
            <w:r w:rsidRPr="0067190D">
              <w:t xml:space="preserve"> 21.</w:t>
            </w:r>
            <w:r w:rsidR="00BE4661">
              <w:t>8</w:t>
            </w:r>
            <w:r w:rsidRPr="0067190D">
              <w:t>)</w:t>
            </w:r>
            <w:r w:rsidR="00F0167C">
              <w:t>.</w:t>
            </w:r>
          </w:p>
          <w:p w:rsidR="003C2696" w:rsidRPr="00C23E26" w:rsidRDefault="0090192E" w:rsidP="0067190D">
            <w:pPr>
              <w:pStyle w:val="TableBullet"/>
              <w:numPr>
                <w:ilvl w:val="0"/>
                <w:numId w:val="19"/>
              </w:numPr>
              <w:spacing w:before="40" w:after="0" w:line="200" w:lineRule="atLeast"/>
            </w:pPr>
            <w:r>
              <w:t>SCER to e</w:t>
            </w:r>
            <w:r w:rsidR="00BE4661">
              <w:t>stablish an</w:t>
            </w:r>
            <w:r w:rsidR="003C2696" w:rsidRPr="00C23E26">
              <w:t xml:space="preserve"> </w:t>
            </w:r>
            <w:r w:rsidR="00BE4661">
              <w:t>accelerated</w:t>
            </w:r>
            <w:r w:rsidR="00BE4661" w:rsidRPr="00C23E26">
              <w:t xml:space="preserve"> </w:t>
            </w:r>
            <w:r w:rsidR="003C2696" w:rsidRPr="00C23E26">
              <w:t xml:space="preserve">process </w:t>
            </w:r>
            <w:r w:rsidR="00BE4661">
              <w:t>for</w:t>
            </w:r>
            <w:r w:rsidR="00BE4661" w:rsidRPr="00C23E26">
              <w:t xml:space="preserve"> </w:t>
            </w:r>
            <w:r w:rsidR="00BE4661">
              <w:t>Rule changes</w:t>
            </w:r>
            <w:r>
              <w:t xml:space="preserve"> where policies </w:t>
            </w:r>
            <w:r w:rsidR="00BE4661">
              <w:t>arise from the recommendations of</w:t>
            </w:r>
            <w:r w:rsidR="003C2696" w:rsidRPr="00C23E26">
              <w:t xml:space="preserve"> independent and appropriately undertaken reviews </w:t>
            </w:r>
            <w:r w:rsidR="003C2696" w:rsidRPr="0067190D">
              <w:t>(r. 21.</w:t>
            </w:r>
            <w:r w:rsidR="00BE4661">
              <w:t>6</w:t>
            </w:r>
            <w:r w:rsidR="00F0167C">
              <w:t>).</w:t>
            </w:r>
          </w:p>
          <w:p w:rsidR="003C2696" w:rsidRPr="00C23E26" w:rsidRDefault="003C2696" w:rsidP="0067190D">
            <w:pPr>
              <w:pStyle w:val="TableBullet"/>
              <w:numPr>
                <w:ilvl w:val="0"/>
                <w:numId w:val="19"/>
              </w:numPr>
              <w:spacing w:before="40" w:after="0" w:line="200" w:lineRule="atLeast"/>
            </w:pPr>
            <w:r w:rsidRPr="00C23E26">
              <w:t>Ensure guidelines for the WACC take account of long</w:t>
            </w:r>
            <w:r w:rsidR="00750FB3">
              <w:noBreakHyphen/>
            </w:r>
            <w:r w:rsidRPr="00C23E26">
              <w:t>run conditions</w:t>
            </w:r>
            <w:r w:rsidRPr="0067190D">
              <w:t xml:space="preserve"> (r. 5.1</w:t>
            </w:r>
            <w:r w:rsidR="00F0167C">
              <w:t>).</w:t>
            </w:r>
          </w:p>
          <w:p w:rsidR="003C2696" w:rsidRPr="00C23E26" w:rsidRDefault="003A5008" w:rsidP="0067190D">
            <w:pPr>
              <w:pStyle w:val="TableBullet"/>
              <w:numPr>
                <w:ilvl w:val="0"/>
                <w:numId w:val="19"/>
              </w:numPr>
              <w:spacing w:before="40" w:after="0" w:line="200" w:lineRule="atLeast"/>
            </w:pPr>
            <w:r>
              <w:t>State and territory government</w:t>
            </w:r>
            <w:r w:rsidR="00BC771F">
              <w:t>s</w:t>
            </w:r>
            <w:r>
              <w:t xml:space="preserve"> to p</w:t>
            </w:r>
            <w:r w:rsidR="003C2696" w:rsidRPr="00C23E26">
              <w:t xml:space="preserve">hase out retail price regulation, subject to </w:t>
            </w:r>
            <w:r w:rsidR="00C12CB0">
              <w:t>effective</w:t>
            </w:r>
            <w:r w:rsidR="00C12CB0" w:rsidRPr="00C23E26">
              <w:t xml:space="preserve"> </w:t>
            </w:r>
            <w:r w:rsidR="00C12CB0">
              <w:t xml:space="preserve">retail </w:t>
            </w:r>
            <w:r w:rsidR="003C2696" w:rsidRPr="00C23E26">
              <w:t xml:space="preserve">competition </w:t>
            </w:r>
            <w:r w:rsidR="003C2696" w:rsidRPr="0067190D">
              <w:t>(</w:t>
            </w:r>
            <w:r w:rsidR="000B1575" w:rsidRPr="0067190D">
              <w:t>r. 12.2</w:t>
            </w:r>
            <w:r w:rsidR="00F0167C">
              <w:t>).</w:t>
            </w:r>
            <w:r>
              <w:t xml:space="preserve"> </w:t>
            </w:r>
          </w:p>
          <w:p w:rsidR="003C2696" w:rsidRPr="00C23E26" w:rsidRDefault="003C2696" w:rsidP="0067190D">
            <w:pPr>
              <w:pStyle w:val="TableBullet"/>
              <w:numPr>
                <w:ilvl w:val="0"/>
                <w:numId w:val="19"/>
              </w:numPr>
              <w:spacing w:before="40" w:after="0" w:line="200" w:lineRule="atLeast"/>
            </w:pPr>
            <w:r w:rsidRPr="00C23E26">
              <w:t xml:space="preserve">State and territory governments to introduce feed-in tariffs that reflect the value of providing power to the grid at peak and non-peak time </w:t>
            </w:r>
            <w:r w:rsidRPr="0067190D">
              <w:t>(</w:t>
            </w:r>
            <w:r w:rsidR="00402526" w:rsidRPr="0067190D">
              <w:t>r. </w:t>
            </w:r>
            <w:r w:rsidRPr="0067190D">
              <w:t>13.1</w:t>
            </w:r>
            <w:r w:rsidR="00F0167C">
              <w:t>).</w:t>
            </w:r>
          </w:p>
          <w:p w:rsidR="003C2696" w:rsidRPr="00C23E26" w:rsidRDefault="003C2696" w:rsidP="0067190D">
            <w:pPr>
              <w:pStyle w:val="TableBullet"/>
              <w:numPr>
                <w:ilvl w:val="0"/>
                <w:numId w:val="19"/>
              </w:numPr>
              <w:spacing w:before="40" w:after="0" w:line="200" w:lineRule="atLeast"/>
            </w:pPr>
            <w:r w:rsidRPr="00C23E26">
              <w:t xml:space="preserve">The </w:t>
            </w:r>
            <w:r w:rsidR="00C12CB0">
              <w:t>AER</w:t>
            </w:r>
            <w:r w:rsidRPr="00C23E26">
              <w:t xml:space="preserve"> to: </w:t>
            </w:r>
          </w:p>
          <w:p w:rsidR="003C2696" w:rsidRPr="00F0167C" w:rsidRDefault="003C2696" w:rsidP="00B9480D">
            <w:pPr>
              <w:pStyle w:val="TableBullet"/>
              <w:numPr>
                <w:ilvl w:val="0"/>
                <w:numId w:val="17"/>
              </w:numPr>
              <w:spacing w:before="60" w:after="0"/>
              <w:ind w:left="454"/>
            </w:pPr>
            <w:r w:rsidRPr="00F0167C">
              <w:t>at this stage, use aggregate benchmarking to inform (but not use as the exclusive basis for) determinations (</w:t>
            </w:r>
            <w:r w:rsidR="00402526" w:rsidRPr="00F0167C">
              <w:t>r. </w:t>
            </w:r>
            <w:r w:rsidRPr="00F0167C">
              <w:t>8.1</w:t>
            </w:r>
            <w:r w:rsidR="000B1575" w:rsidRPr="00F0167C">
              <w:t>,</w:t>
            </w:r>
            <w:r w:rsidRPr="00F0167C">
              <w:t xml:space="preserve"> 8.5)</w:t>
            </w:r>
          </w:p>
          <w:p w:rsidR="003C2696" w:rsidRPr="00F0167C" w:rsidRDefault="003C2696" w:rsidP="00B9480D">
            <w:pPr>
              <w:pStyle w:val="TableBullet"/>
              <w:numPr>
                <w:ilvl w:val="0"/>
                <w:numId w:val="17"/>
              </w:numPr>
              <w:spacing w:before="60" w:after="0"/>
              <w:ind w:left="454"/>
            </w:pPr>
            <w:r w:rsidRPr="00F0167C">
              <w:t>begin (ongoing) development of detailed benchmarking performance and control variables, with periodic review for relevance and compliance costs (r. 8.2, 8.3, 8.6, 8.8, 8.9, 8.10, 8.12). Benchmarking results and data to be public (r. 8.7, 8.11)</w:t>
            </w:r>
          </w:p>
          <w:p w:rsidR="003C2696" w:rsidRPr="00F0167C" w:rsidRDefault="003C2696" w:rsidP="00B9480D">
            <w:pPr>
              <w:pStyle w:val="TableBullet"/>
              <w:numPr>
                <w:ilvl w:val="0"/>
                <w:numId w:val="17"/>
              </w:numPr>
              <w:spacing w:before="60" w:after="0"/>
              <w:ind w:left="454"/>
            </w:pPr>
            <w:r w:rsidRPr="00F0167C">
              <w:t>be given greater control over, and accountability for the resourcing and management of its functions (r. 21.1)</w:t>
            </w:r>
            <w:r w:rsidR="00A65FB7">
              <w:t>.</w:t>
            </w:r>
          </w:p>
          <w:p w:rsidR="003C2696" w:rsidRPr="00C23E26" w:rsidRDefault="00C12CB0" w:rsidP="0067190D">
            <w:pPr>
              <w:pStyle w:val="TableBullet"/>
              <w:numPr>
                <w:ilvl w:val="0"/>
                <w:numId w:val="19"/>
              </w:numPr>
              <w:spacing w:before="40" w:after="0" w:line="200" w:lineRule="atLeast"/>
            </w:pPr>
            <w:r>
              <w:t xml:space="preserve">AEMO </w:t>
            </w:r>
            <w:r w:rsidR="003C2696" w:rsidRPr="00C23E26">
              <w:t xml:space="preserve">to: </w:t>
            </w:r>
          </w:p>
          <w:p w:rsidR="003C2696" w:rsidRPr="00F0167C" w:rsidRDefault="003C2696" w:rsidP="00B9480D">
            <w:pPr>
              <w:pStyle w:val="TableBullet"/>
              <w:numPr>
                <w:ilvl w:val="0"/>
                <w:numId w:val="17"/>
              </w:numPr>
              <w:spacing w:before="60" w:after="0"/>
              <w:ind w:left="454"/>
            </w:pPr>
            <w:r w:rsidRPr="00F0167C">
              <w:t>review the technical aspects of probabilistic planning, in consultation with network businesses and experts (</w:t>
            </w:r>
            <w:r w:rsidR="00402526" w:rsidRPr="00F0167C">
              <w:t>r. </w:t>
            </w:r>
            <w:r w:rsidRPr="00F0167C">
              <w:t>16.5)</w:t>
            </w:r>
          </w:p>
          <w:p w:rsidR="003C2696" w:rsidRPr="00F0167C" w:rsidRDefault="003C2696" w:rsidP="00B9480D">
            <w:pPr>
              <w:pStyle w:val="TableBullet"/>
              <w:numPr>
                <w:ilvl w:val="0"/>
                <w:numId w:val="17"/>
              </w:numPr>
              <w:spacing w:before="60" w:after="0"/>
              <w:ind w:left="454"/>
            </w:pPr>
            <w:r w:rsidRPr="00F0167C">
              <w:t xml:space="preserve">assist the </w:t>
            </w:r>
            <w:r w:rsidR="00C12CB0" w:rsidRPr="00F0167C">
              <w:t>AER</w:t>
            </w:r>
            <w:r w:rsidRPr="00F0167C">
              <w:t xml:space="preserve"> in its compliance and auditing of transmission networks (r. 16.6) and act as planner of last resort where it considers underinvestment could expose the network to serious reliability problems (r. 16.7) </w:t>
            </w:r>
          </w:p>
          <w:p w:rsidR="003C2696" w:rsidRPr="00F0167C" w:rsidRDefault="003C2696" w:rsidP="00B9480D">
            <w:pPr>
              <w:pStyle w:val="TableBullet"/>
              <w:numPr>
                <w:ilvl w:val="0"/>
                <w:numId w:val="17"/>
              </w:numPr>
              <w:spacing w:before="60" w:after="0"/>
              <w:ind w:left="454"/>
            </w:pPr>
            <w:r w:rsidRPr="00F0167C">
              <w:t>oversee the contestability arrangements for the connection of new generators to the NEM (r. 16.10).</w:t>
            </w:r>
          </w:p>
          <w:p w:rsidR="003C2696" w:rsidRPr="00C23E26" w:rsidRDefault="003C2696" w:rsidP="0067190D">
            <w:pPr>
              <w:pStyle w:val="TableBullet"/>
              <w:numPr>
                <w:ilvl w:val="0"/>
                <w:numId w:val="19"/>
              </w:numPr>
              <w:spacing w:before="40" w:after="0" w:line="200" w:lineRule="atLeast"/>
            </w:pPr>
            <w:r w:rsidRPr="00C23E26">
              <w:t xml:space="preserve">Transmission businesses that do not already use them should transition to dynamic capacity ratings </w:t>
            </w:r>
            <w:r w:rsidRPr="0067190D">
              <w:t>(r. 16.9)</w:t>
            </w:r>
            <w:r w:rsidR="00F0167C">
              <w:t>.</w:t>
            </w:r>
          </w:p>
          <w:p w:rsidR="003C2696" w:rsidRPr="00C23E26" w:rsidRDefault="003C2696" w:rsidP="00A97594">
            <w:pPr>
              <w:pStyle w:val="TableBullet"/>
              <w:numPr>
                <w:ilvl w:val="0"/>
                <w:numId w:val="19"/>
              </w:numPr>
              <w:spacing w:before="40" w:after="0" w:line="200" w:lineRule="atLeast"/>
            </w:pPr>
            <w:r w:rsidRPr="00C23E26">
              <w:t xml:space="preserve">Amend the Rules so smart meter investment can be part of regulatory determinations for </w:t>
            </w:r>
            <w:r w:rsidR="00F0167C">
              <w:t>distribution businesses</w:t>
            </w:r>
            <w:r w:rsidR="00F0167C" w:rsidRPr="0067190D">
              <w:t xml:space="preserve"> </w:t>
            </w:r>
            <w:r w:rsidRPr="0067190D">
              <w:t>(r. 10.</w:t>
            </w:r>
            <w:r w:rsidR="00A97594">
              <w:t>3</w:t>
            </w:r>
            <w:r w:rsidRPr="0067190D">
              <w:t>)</w:t>
            </w:r>
            <w:r w:rsidR="00F0167C">
              <w:t>.</w:t>
            </w:r>
          </w:p>
        </w:tc>
      </w:tr>
      <w:tr w:rsidR="003C2696" w:rsidRPr="00C23E26" w:rsidTr="0067190D">
        <w:tc>
          <w:tcPr>
            <w:tcW w:w="645" w:type="pct"/>
            <w:tcBorders>
              <w:top w:val="single" w:sz="4" w:space="0" w:color="auto"/>
              <w:bottom w:val="single" w:sz="4" w:space="0" w:color="auto"/>
            </w:tcBorders>
            <w:shd w:val="clear" w:color="auto" w:fill="D9D9D9" w:themeFill="background1" w:themeFillShade="D9"/>
            <w:hideMark/>
          </w:tcPr>
          <w:p w:rsidR="003C2696" w:rsidRPr="00C23E26" w:rsidRDefault="003C2696" w:rsidP="00E02981">
            <w:pPr>
              <w:pStyle w:val="TableBodyText"/>
              <w:jc w:val="left"/>
              <w:rPr>
                <w:b/>
              </w:rPr>
            </w:pPr>
            <w:r w:rsidRPr="00C23E26">
              <w:rPr>
                <w:b/>
              </w:rPr>
              <w:t>By end 2013</w:t>
            </w:r>
          </w:p>
        </w:tc>
        <w:tc>
          <w:tcPr>
            <w:tcW w:w="4355" w:type="pct"/>
            <w:tcBorders>
              <w:top w:val="single" w:sz="4" w:space="0" w:color="auto"/>
              <w:bottom w:val="single" w:sz="4" w:space="0" w:color="auto"/>
            </w:tcBorders>
            <w:shd w:val="clear" w:color="auto" w:fill="D9D9D9" w:themeFill="background1" w:themeFillShade="D9"/>
            <w:hideMark/>
          </w:tcPr>
          <w:p w:rsidR="003C2696" w:rsidRPr="00F0167C" w:rsidRDefault="003C2696" w:rsidP="0067190D">
            <w:pPr>
              <w:pStyle w:val="TableBullet"/>
              <w:numPr>
                <w:ilvl w:val="0"/>
                <w:numId w:val="19"/>
              </w:numPr>
              <w:spacing w:before="40" w:after="0" w:line="200" w:lineRule="atLeast"/>
            </w:pPr>
            <w:r w:rsidRPr="00F0167C">
              <w:t>Reliability standards in the NEM to be based on the value customers place on reliability (r. 14.1)</w:t>
            </w:r>
            <w:r w:rsidR="00537DFE">
              <w:t xml:space="preserve"> </w:t>
            </w:r>
            <w:r w:rsidRPr="00F0167C">
              <w:t xml:space="preserve">and </w:t>
            </w:r>
            <w:r w:rsidR="00C12CB0" w:rsidRPr="00F0167C">
              <w:t>AEMO</w:t>
            </w:r>
            <w:r w:rsidRPr="00F0167C">
              <w:t xml:space="preserve"> to commission the Australian Bureau of Statistics to undertake surveys to identify the value of</w:t>
            </w:r>
            <w:r w:rsidR="00A65FB7">
              <w:t xml:space="preserve"> customer reliability (r. 14.2).</w:t>
            </w:r>
          </w:p>
          <w:p w:rsidR="003C2696" w:rsidRPr="00F0167C" w:rsidRDefault="00C12CB0" w:rsidP="0067190D">
            <w:pPr>
              <w:pStyle w:val="TableBullet"/>
              <w:numPr>
                <w:ilvl w:val="0"/>
                <w:numId w:val="19"/>
              </w:numPr>
              <w:spacing w:before="40" w:after="0" w:line="200" w:lineRule="atLeast"/>
            </w:pPr>
            <w:r w:rsidRPr="00F0167C">
              <w:t>SCER</w:t>
            </w:r>
            <w:r w:rsidR="003C2696" w:rsidRPr="00F0167C">
              <w:t xml:space="preserve"> to develop common criteria for assistance to vulnerable consumers (r. 11.8)</w:t>
            </w:r>
            <w:r w:rsidR="00F0167C" w:rsidRPr="00F0167C">
              <w:t>.</w:t>
            </w:r>
          </w:p>
          <w:p w:rsidR="003C2696" w:rsidRPr="00F0167C" w:rsidRDefault="00A97594" w:rsidP="0067190D">
            <w:pPr>
              <w:pStyle w:val="TableBullet"/>
              <w:numPr>
                <w:ilvl w:val="0"/>
                <w:numId w:val="19"/>
              </w:numPr>
              <w:spacing w:before="40" w:after="0" w:line="200" w:lineRule="atLeast"/>
            </w:pPr>
            <w:r>
              <w:t>Change the RIT-D and f</w:t>
            </w:r>
            <w:r w:rsidR="003C2696" w:rsidRPr="00F0167C">
              <w:t>inalise advanced metering infrastructure standards (r. 10.1</w:t>
            </w:r>
            <w:r>
              <w:t xml:space="preserve"> and r. 10.2</w:t>
            </w:r>
            <w:r w:rsidR="003C2696" w:rsidRPr="00F0167C">
              <w:t>)</w:t>
            </w:r>
            <w:r w:rsidR="00F0167C" w:rsidRPr="00F0167C">
              <w:t>.</w:t>
            </w:r>
          </w:p>
          <w:p w:rsidR="003C2696" w:rsidRPr="00F0167C" w:rsidRDefault="00FA3D00" w:rsidP="00EA4437">
            <w:pPr>
              <w:pStyle w:val="TableBullet"/>
              <w:numPr>
                <w:ilvl w:val="0"/>
                <w:numId w:val="19"/>
              </w:numPr>
              <w:spacing w:before="40" w:after="0" w:line="200" w:lineRule="atLeast"/>
            </w:pPr>
            <w:r>
              <w:t xml:space="preserve">The </w:t>
            </w:r>
            <w:r w:rsidR="00C12CB0" w:rsidRPr="00F0167C">
              <w:t xml:space="preserve">AER </w:t>
            </w:r>
            <w:r w:rsidR="00EA4437">
              <w:t xml:space="preserve">to </w:t>
            </w:r>
            <w:r w:rsidR="003C2696" w:rsidRPr="00F0167C">
              <w:t>complete a review of the Service Target Performance Incentive Scheme for transmission to ensure consistency with the new reliability framework (r. 16.8)</w:t>
            </w:r>
            <w:r w:rsidR="00EA4437">
              <w:t xml:space="preserve">; and </w:t>
            </w:r>
            <w:r w:rsidR="003C2696" w:rsidRPr="00F0167C">
              <w:t>amend the Service Target Performance Incentive Scheme for distribution (r. 15.2) and move to determinations based on revenue caps (r. 12.1)</w:t>
            </w:r>
            <w:r w:rsidR="00F0167C">
              <w:t>.</w:t>
            </w:r>
          </w:p>
          <w:p w:rsidR="003C2696" w:rsidRDefault="003C2696" w:rsidP="0067190D">
            <w:pPr>
              <w:pStyle w:val="TableBullet"/>
              <w:numPr>
                <w:ilvl w:val="0"/>
                <w:numId w:val="19"/>
              </w:numPr>
              <w:spacing w:before="40" w:after="0" w:line="200" w:lineRule="atLeast"/>
            </w:pPr>
            <w:r w:rsidRPr="00F0167C">
              <w:t>A short-term congestion pricing mechanism be introduced as a precursor to the ‘optional firm access’ package of reforms (r. 19.1)</w:t>
            </w:r>
            <w:r w:rsidR="00F0167C">
              <w:t>.</w:t>
            </w:r>
          </w:p>
          <w:p w:rsidR="00105F8F" w:rsidRPr="00F0167C" w:rsidRDefault="00105F8F" w:rsidP="00105F8F">
            <w:pPr>
              <w:pStyle w:val="TableBullet"/>
              <w:numPr>
                <w:ilvl w:val="0"/>
                <w:numId w:val="19"/>
              </w:numPr>
              <w:spacing w:before="40" w:after="0" w:line="200" w:lineRule="atLeast"/>
            </w:pPr>
            <w:r w:rsidRPr="00F0167C">
              <w:t xml:space="preserve">The proposed new </w:t>
            </w:r>
            <w:r w:rsidRPr="00691E57">
              <w:t>National Energy Consumer Advocacy Body</w:t>
            </w:r>
            <w:r w:rsidRPr="00F0167C">
              <w:t xml:space="preserve"> should have certain characteristics, including </w:t>
            </w:r>
            <w:r>
              <w:t>adequate</w:t>
            </w:r>
            <w:r w:rsidRPr="00F0167C">
              <w:t xml:space="preserve"> fund</w:t>
            </w:r>
            <w:r>
              <w:t>ing and expertise</w:t>
            </w:r>
            <w:r w:rsidRPr="00F0167C">
              <w:t xml:space="preserve"> (r. 21.5)</w:t>
            </w:r>
            <w:r>
              <w:t>.</w:t>
            </w:r>
          </w:p>
        </w:tc>
      </w:tr>
    </w:tbl>
    <w:p w:rsidR="003C2696" w:rsidRPr="00C23E26" w:rsidRDefault="003C2696" w:rsidP="003C2696">
      <w:pPr>
        <w:pStyle w:val="Continued"/>
      </w:pPr>
      <w:r w:rsidRPr="00C23E26">
        <w:t>(continued on next page)</w:t>
      </w:r>
    </w:p>
    <w:p w:rsidR="003C2696" w:rsidRPr="00C23E26" w:rsidRDefault="003C2696" w:rsidP="003C2696">
      <w:pPr>
        <w:pStyle w:val="TableTitle"/>
        <w:rPr>
          <w:b w:val="0"/>
        </w:rPr>
      </w:pPr>
      <w:r w:rsidRPr="00C23E26">
        <w:rPr>
          <w:b w:val="0"/>
        </w:rPr>
        <w:lastRenderedPageBreak/>
        <w:t>Table 2</w:t>
      </w:r>
      <w:r w:rsidRPr="00C23E26">
        <w:rPr>
          <w:b w:val="0"/>
        </w:rPr>
        <w:tab/>
      </w:r>
      <w:r w:rsidRPr="00C23E26">
        <w:t>continued</w:t>
      </w:r>
    </w:p>
    <w:tbl>
      <w:tblPr>
        <w:tblW w:w="5000" w:type="pct"/>
        <w:tblCellMar>
          <w:left w:w="0" w:type="dxa"/>
          <w:right w:w="0" w:type="dxa"/>
        </w:tblCellMar>
        <w:tblLook w:val="04A0" w:firstRow="1" w:lastRow="0" w:firstColumn="1" w:lastColumn="0" w:noHBand="0" w:noVBand="1"/>
      </w:tblPr>
      <w:tblGrid>
        <w:gridCol w:w="851"/>
        <w:gridCol w:w="7938"/>
      </w:tblGrid>
      <w:tr w:rsidR="003C2696" w:rsidRPr="00C23E26" w:rsidTr="006065AC">
        <w:tc>
          <w:tcPr>
            <w:tcW w:w="484" w:type="pct"/>
            <w:tcBorders>
              <w:top w:val="single" w:sz="6" w:space="0" w:color="auto"/>
              <w:left w:val="nil"/>
              <w:bottom w:val="single" w:sz="6" w:space="0" w:color="auto"/>
              <w:right w:val="nil"/>
            </w:tcBorders>
            <w:hideMark/>
          </w:tcPr>
          <w:p w:rsidR="003C2696" w:rsidRPr="00C23E26" w:rsidRDefault="003C2696" w:rsidP="00E02981">
            <w:pPr>
              <w:pStyle w:val="TableColumnHeading"/>
              <w:jc w:val="left"/>
            </w:pPr>
            <w:r w:rsidRPr="00C23E26">
              <w:t>Timing</w:t>
            </w:r>
          </w:p>
        </w:tc>
        <w:tc>
          <w:tcPr>
            <w:tcW w:w="4516" w:type="pct"/>
            <w:tcBorders>
              <w:top w:val="single" w:sz="6" w:space="0" w:color="auto"/>
              <w:left w:val="nil"/>
              <w:bottom w:val="single" w:sz="6" w:space="0" w:color="auto"/>
              <w:right w:val="nil"/>
            </w:tcBorders>
            <w:hideMark/>
          </w:tcPr>
          <w:p w:rsidR="003C2696" w:rsidRPr="00C23E26" w:rsidRDefault="003C2696" w:rsidP="00E02981">
            <w:pPr>
              <w:pStyle w:val="TableColumnHeading"/>
              <w:ind w:right="28"/>
              <w:jc w:val="center"/>
            </w:pPr>
            <w:r w:rsidRPr="00C23E26">
              <w:t>Measure (and corresponding recommendations)</w:t>
            </w:r>
          </w:p>
        </w:tc>
      </w:tr>
      <w:tr w:rsidR="003C2696" w:rsidRPr="00C23E26" w:rsidTr="006065AC">
        <w:tc>
          <w:tcPr>
            <w:tcW w:w="484" w:type="pct"/>
            <w:tcBorders>
              <w:top w:val="single" w:sz="4" w:space="0" w:color="auto"/>
              <w:bottom w:val="single" w:sz="6" w:space="0" w:color="auto"/>
            </w:tcBorders>
            <w:shd w:val="clear" w:color="auto" w:fill="FFFFFF" w:themeFill="background1"/>
          </w:tcPr>
          <w:p w:rsidR="003C2696" w:rsidRPr="00C23E26" w:rsidRDefault="003C2696" w:rsidP="00E02981">
            <w:pPr>
              <w:pStyle w:val="TableBodyText"/>
              <w:jc w:val="left"/>
              <w:rPr>
                <w:b/>
              </w:rPr>
            </w:pPr>
            <w:r w:rsidRPr="00C23E26">
              <w:rPr>
                <w:b/>
              </w:rPr>
              <w:t>2013–2018</w:t>
            </w:r>
          </w:p>
        </w:tc>
        <w:tc>
          <w:tcPr>
            <w:tcW w:w="4516" w:type="pct"/>
            <w:tcBorders>
              <w:top w:val="single" w:sz="4" w:space="0" w:color="auto"/>
              <w:bottom w:val="single" w:sz="6" w:space="0" w:color="auto"/>
            </w:tcBorders>
            <w:shd w:val="clear" w:color="auto" w:fill="FFFFFF" w:themeFill="background1"/>
          </w:tcPr>
          <w:p w:rsidR="003C2696" w:rsidRPr="00F0167C" w:rsidRDefault="00C12CB0" w:rsidP="00B9480D">
            <w:pPr>
              <w:pStyle w:val="TableBullet"/>
              <w:numPr>
                <w:ilvl w:val="0"/>
                <w:numId w:val="19"/>
              </w:numPr>
              <w:spacing w:before="60" w:after="0"/>
            </w:pPr>
            <w:r w:rsidRPr="00F0167C">
              <w:t>SCER</w:t>
            </w:r>
            <w:r w:rsidR="003C2696" w:rsidRPr="00F0167C">
              <w:t xml:space="preserve"> to remove jurisdiction</w:t>
            </w:r>
            <w:r w:rsidR="003C2696" w:rsidRPr="00F0167C">
              <w:noBreakHyphen/>
              <w:t>specific distribution reliability requirements. Distribution reliability settings to be contained in the Service Target Performance Incentive Scheme, with the reliability settings</w:t>
            </w:r>
            <w:r w:rsidRPr="00F0167C">
              <w:t xml:space="preserve"> driven by consumer preferences</w:t>
            </w:r>
            <w:r w:rsidR="003C2696" w:rsidRPr="00F0167C">
              <w:t xml:space="preserve"> (r. 15.1)</w:t>
            </w:r>
            <w:r w:rsidR="00F0167C">
              <w:t>.</w:t>
            </w:r>
          </w:p>
          <w:p w:rsidR="00A47903" w:rsidRPr="00F0167C" w:rsidRDefault="005E74C0" w:rsidP="00B9480D">
            <w:pPr>
              <w:pStyle w:val="TableBullet"/>
              <w:numPr>
                <w:ilvl w:val="0"/>
                <w:numId w:val="19"/>
              </w:numPr>
              <w:spacing w:before="60" w:after="0"/>
            </w:pPr>
            <w:r>
              <w:t>Undertake the</w:t>
            </w:r>
            <w:r w:rsidR="009641E4">
              <w:t> </w:t>
            </w:r>
            <w:r w:rsidR="00A47903" w:rsidRPr="00F0167C">
              <w:t>2014 review of the</w:t>
            </w:r>
            <w:r w:rsidR="00885C67" w:rsidRPr="00F0167C">
              <w:t xml:space="preserve"> </w:t>
            </w:r>
            <w:r w:rsidR="00C12CB0" w:rsidRPr="00F0167C">
              <w:t>AER</w:t>
            </w:r>
            <w:r w:rsidR="00127634">
              <w:t>,</w:t>
            </w:r>
            <w:r w:rsidR="00A47903" w:rsidRPr="00F0167C">
              <w:t xml:space="preserve"> </w:t>
            </w:r>
            <w:r w:rsidR="00C12CB0" w:rsidRPr="00F0167C">
              <w:t xml:space="preserve">and </w:t>
            </w:r>
            <w:r>
              <w:t xml:space="preserve">in </w:t>
            </w:r>
            <w:r w:rsidR="00A86037">
              <w:t>a</w:t>
            </w:r>
            <w:r w:rsidR="009641E4">
              <w:t> </w:t>
            </w:r>
            <w:r>
              <w:t>2018</w:t>
            </w:r>
            <w:r w:rsidR="00A86037">
              <w:t xml:space="preserve"> </w:t>
            </w:r>
            <w:r>
              <w:t>review</w:t>
            </w:r>
            <w:r w:rsidR="00A86037">
              <w:t xml:space="preserve">, consider further changes, including to its </w:t>
            </w:r>
            <w:r w:rsidR="00C12CB0" w:rsidRPr="00F0167C">
              <w:t xml:space="preserve">location within the ACCC </w:t>
            </w:r>
            <w:r w:rsidR="00A47903" w:rsidRPr="00F0167C">
              <w:t>(r. 21.2, r. 21.3).</w:t>
            </w:r>
          </w:p>
          <w:p w:rsidR="003C2696" w:rsidRPr="00F0167C" w:rsidRDefault="00C12CB0" w:rsidP="00B9480D">
            <w:pPr>
              <w:pStyle w:val="TableBullet"/>
              <w:numPr>
                <w:ilvl w:val="0"/>
                <w:numId w:val="19"/>
              </w:numPr>
              <w:spacing w:before="60" w:after="0"/>
            </w:pPr>
            <w:r w:rsidRPr="00F0167C">
              <w:t>AEMO</w:t>
            </w:r>
            <w:r w:rsidR="003C2696" w:rsidRPr="00F0167C">
              <w:t xml:space="preserve"> to take on the role of a national transmission reliability setter, using probabilistic planning and a cost–benefit framework for the entire NEM network to set standards at the connection point level (r. 16.1, 16.2)</w:t>
            </w:r>
            <w:r w:rsidR="00F0167C">
              <w:t>.</w:t>
            </w:r>
          </w:p>
          <w:p w:rsidR="003C2696" w:rsidRPr="00F0167C" w:rsidRDefault="003C2696" w:rsidP="00B9480D">
            <w:pPr>
              <w:pStyle w:val="TableBullet"/>
              <w:numPr>
                <w:ilvl w:val="0"/>
                <w:numId w:val="19"/>
              </w:numPr>
              <w:spacing w:before="60" w:after="0"/>
            </w:pPr>
            <w:r w:rsidRPr="00F0167C">
              <w:t xml:space="preserve">Transmission businesses to plan reliability investments and </w:t>
            </w:r>
            <w:r w:rsidR="00F53387">
              <w:t xml:space="preserve">be </w:t>
            </w:r>
            <w:r w:rsidRPr="00F0167C">
              <w:t>subject to a RIT</w:t>
            </w:r>
            <w:r w:rsidRPr="00F0167C">
              <w:noBreakHyphen/>
              <w:t>T for large projects</w:t>
            </w:r>
            <w:r w:rsidR="00693A4D" w:rsidRPr="00F0167C">
              <w:t xml:space="preserve"> </w:t>
            </w:r>
            <w:r w:rsidRPr="00F0167C">
              <w:t>(r. 16.3, r. 17.1, 17.2, 17.3, 17.4, 17.5)</w:t>
            </w:r>
            <w:r w:rsidR="00F0167C">
              <w:t>.</w:t>
            </w:r>
          </w:p>
          <w:p w:rsidR="003C2696" w:rsidRPr="00F0167C" w:rsidRDefault="003C2696" w:rsidP="00B9480D">
            <w:pPr>
              <w:pStyle w:val="TableBullet"/>
              <w:numPr>
                <w:ilvl w:val="0"/>
                <w:numId w:val="19"/>
              </w:numPr>
              <w:spacing w:before="60" w:after="0"/>
            </w:pPr>
            <w:r w:rsidRPr="00F0167C">
              <w:t xml:space="preserve">The </w:t>
            </w:r>
            <w:r w:rsidR="00C12CB0" w:rsidRPr="00F0167C">
              <w:t xml:space="preserve">AER </w:t>
            </w:r>
            <w:r w:rsidRPr="00F0167C">
              <w:t xml:space="preserve">to review the adequacy of </w:t>
            </w:r>
            <w:r w:rsidR="00C12CB0" w:rsidRPr="00F0167C">
              <w:t>AEMO’s</w:t>
            </w:r>
            <w:r w:rsidRPr="00F0167C">
              <w:t xml:space="preserve"> transmission standard setting role (r. 16.4)</w:t>
            </w:r>
            <w:r w:rsidR="00F0167C">
              <w:t>.</w:t>
            </w:r>
          </w:p>
          <w:p w:rsidR="003C2696" w:rsidRPr="00F0167C" w:rsidRDefault="001302E5" w:rsidP="005F02CC">
            <w:pPr>
              <w:pStyle w:val="TableBullet"/>
              <w:numPr>
                <w:ilvl w:val="0"/>
                <w:numId w:val="19"/>
              </w:numPr>
              <w:spacing w:before="60" w:after="0"/>
            </w:pPr>
            <w:r w:rsidRPr="00F0167C">
              <w:t xml:space="preserve">State and territory governments </w:t>
            </w:r>
            <w:r w:rsidR="003C2696" w:rsidRPr="00F0167C">
              <w:t xml:space="preserve">to </w:t>
            </w:r>
            <w:r w:rsidRPr="00F0167C">
              <w:t>adopt</w:t>
            </w:r>
            <w:r w:rsidR="003C2696" w:rsidRPr="00F0167C">
              <w:t xml:space="preserve"> a single set of licence conditions for network businesses, expressed in the National Electricity Rules and administered by the </w:t>
            </w:r>
            <w:r w:rsidR="00C12CB0" w:rsidRPr="00F0167C">
              <w:t>AER</w:t>
            </w:r>
            <w:r w:rsidR="003C2696" w:rsidRPr="00F0167C">
              <w:t xml:space="preserve"> (r. 11.2, 11.3, 11.4)</w:t>
            </w:r>
            <w:r w:rsidR="00F0167C">
              <w:t>.</w:t>
            </w:r>
          </w:p>
          <w:p w:rsidR="003C2696" w:rsidRDefault="003C2696" w:rsidP="00B9480D">
            <w:pPr>
              <w:pStyle w:val="TableBullet"/>
              <w:numPr>
                <w:ilvl w:val="0"/>
                <w:numId w:val="19"/>
              </w:numPr>
              <w:spacing w:before="60" w:after="0"/>
            </w:pPr>
            <w:r w:rsidRPr="00F0167C">
              <w:t>Time-based network charges to be implemented after guideline development, consultation and policies for vulnerable consumers (r. 11.1, 11.5, 11.6, 11.7, 11.8, 11.9)</w:t>
            </w:r>
            <w:r w:rsidR="00F0167C">
              <w:t>.</w:t>
            </w:r>
          </w:p>
          <w:p w:rsidR="003A5008" w:rsidRPr="00F0167C" w:rsidRDefault="00127634" w:rsidP="00B9480D">
            <w:pPr>
              <w:pStyle w:val="TableBullet"/>
              <w:numPr>
                <w:ilvl w:val="0"/>
                <w:numId w:val="19"/>
              </w:numPr>
              <w:spacing w:before="60" w:after="0"/>
            </w:pPr>
            <w:r>
              <w:t xml:space="preserve">Complete phase out of </w:t>
            </w:r>
            <w:r w:rsidR="003A5008">
              <w:t>retail price regulation by</w:t>
            </w:r>
            <w:r w:rsidR="009641E4">
              <w:t> </w:t>
            </w:r>
            <w:r w:rsidR="003A5008">
              <w:t>2015 (r. 12.3).</w:t>
            </w:r>
          </w:p>
          <w:p w:rsidR="003C2696" w:rsidRPr="00F0167C" w:rsidRDefault="003C2696" w:rsidP="00B9480D">
            <w:pPr>
              <w:pStyle w:val="TableBullet"/>
              <w:numPr>
                <w:ilvl w:val="0"/>
                <w:numId w:val="19"/>
              </w:numPr>
              <w:spacing w:before="120" w:after="120"/>
            </w:pPr>
            <w:r w:rsidRPr="00F0167C">
              <w:t>State and territory governments should privatise network businesses (r. 7.1), after announcing the new reliability framework, ensure adequate communication to all stakeholders, and follow a coherent privatisation pathway (r. 7.3). If not, they should improve the governance of those businesses (r. 7.2)</w:t>
            </w:r>
            <w:r w:rsidR="00F0167C">
              <w:t>.</w:t>
            </w:r>
          </w:p>
          <w:p w:rsidR="000923B9" w:rsidRPr="00F0167C" w:rsidRDefault="00CE4563" w:rsidP="00B9480D">
            <w:pPr>
              <w:pStyle w:val="TableBullet"/>
              <w:numPr>
                <w:ilvl w:val="0"/>
                <w:numId w:val="19"/>
              </w:numPr>
              <w:spacing w:before="120" w:after="120"/>
            </w:pPr>
            <w:r w:rsidRPr="00F0167C">
              <w:t xml:space="preserve">Subject to the completion of </w:t>
            </w:r>
            <w:r w:rsidR="00C12389">
              <w:t>cost–benefit</w:t>
            </w:r>
            <w:r w:rsidRPr="00F0167C">
              <w:t xml:space="preserve"> analys</w:t>
            </w:r>
            <w:r w:rsidR="009B5856">
              <w:t>e</w:t>
            </w:r>
            <w:r w:rsidRPr="00F0167C">
              <w:t>s, t</w:t>
            </w:r>
            <w:r w:rsidR="003C2696" w:rsidRPr="00F0167C">
              <w:t xml:space="preserve">he </w:t>
            </w:r>
            <w:r w:rsidR="00C12CB0" w:rsidRPr="00F0167C">
              <w:t>AEMC’s</w:t>
            </w:r>
            <w:r w:rsidR="003C2696" w:rsidRPr="00F0167C">
              <w:t xml:space="preserve"> ‘optional firm access’ package to be implemented by</w:t>
            </w:r>
            <w:r w:rsidR="009641E4">
              <w:t> </w:t>
            </w:r>
            <w:r w:rsidR="003C2696" w:rsidRPr="00F0167C">
              <w:t xml:space="preserve">2018. It should: </w:t>
            </w:r>
          </w:p>
          <w:p w:rsidR="000923B9" w:rsidRPr="00F0167C" w:rsidRDefault="000923B9" w:rsidP="00B9480D">
            <w:pPr>
              <w:pStyle w:val="TableBullet"/>
              <w:numPr>
                <w:ilvl w:val="0"/>
                <w:numId w:val="17"/>
              </w:numPr>
              <w:spacing w:before="40" w:after="0" w:line="180" w:lineRule="atLeast"/>
              <w:ind w:left="454"/>
            </w:pPr>
            <w:r w:rsidRPr="00F0167C">
              <w:t>operate for at least</w:t>
            </w:r>
            <w:r w:rsidR="009641E4">
              <w:t> </w:t>
            </w:r>
            <w:r w:rsidRPr="00F0167C">
              <w:t xml:space="preserve">10 years </w:t>
            </w:r>
          </w:p>
          <w:p w:rsidR="000923B9" w:rsidRPr="00F0167C" w:rsidRDefault="000923B9" w:rsidP="00B9480D">
            <w:pPr>
              <w:pStyle w:val="TableBullet"/>
              <w:numPr>
                <w:ilvl w:val="0"/>
                <w:numId w:val="17"/>
              </w:numPr>
              <w:spacing w:before="40" w:after="0" w:line="180" w:lineRule="atLeast"/>
              <w:ind w:left="454"/>
            </w:pPr>
            <w:r w:rsidRPr="00F0167C">
              <w:t xml:space="preserve">be monitored by </w:t>
            </w:r>
            <w:r w:rsidR="00C12CB0" w:rsidRPr="00F0167C">
              <w:t>AEMO</w:t>
            </w:r>
            <w:r w:rsidRPr="00F0167C">
              <w:t xml:space="preserve"> for effects on network planning and, in concert with the </w:t>
            </w:r>
            <w:r w:rsidR="00C12CB0" w:rsidRPr="00F0167C">
              <w:t>AER</w:t>
            </w:r>
            <w:r w:rsidRPr="00F0167C">
              <w:t xml:space="preserve">, for changes in observed patterns of generator bidding behaviour. </w:t>
            </w:r>
            <w:r w:rsidR="00F0167C" w:rsidRPr="00F0167C">
              <w:t>AEMO</w:t>
            </w:r>
            <w:r w:rsidRPr="00F0167C">
              <w:t xml:space="preserve"> should also provide information to applicants for firm access relating to the (long term) upgrades required, and benchmark indicators of their cost (r. 19.2)</w:t>
            </w:r>
            <w:r w:rsidR="00F0167C">
              <w:t>.</w:t>
            </w:r>
          </w:p>
          <w:p w:rsidR="000923B9" w:rsidRPr="00F0167C" w:rsidRDefault="003C2696" w:rsidP="00B9480D">
            <w:pPr>
              <w:pStyle w:val="TableBullet"/>
              <w:numPr>
                <w:ilvl w:val="0"/>
                <w:numId w:val="19"/>
              </w:numPr>
              <w:spacing w:before="120" w:after="120"/>
            </w:pPr>
            <w:r w:rsidRPr="00F0167C">
              <w:t xml:space="preserve">Incentives for more efficient </w:t>
            </w:r>
            <w:r w:rsidR="00402526" w:rsidRPr="00F0167C">
              <w:t xml:space="preserve">investment in </w:t>
            </w:r>
            <w:r w:rsidRPr="00F0167C">
              <w:t>distributed generat</w:t>
            </w:r>
            <w:r w:rsidR="00402526" w:rsidRPr="00F0167C">
              <w:t>ion</w:t>
            </w:r>
            <w:r w:rsidRPr="00F0167C">
              <w:t xml:space="preserve"> (r. 13.1) would be created by:</w:t>
            </w:r>
          </w:p>
          <w:p w:rsidR="000923B9" w:rsidRPr="00F0167C" w:rsidRDefault="000923B9" w:rsidP="00B9480D">
            <w:pPr>
              <w:pStyle w:val="TableBullet"/>
              <w:numPr>
                <w:ilvl w:val="0"/>
                <w:numId w:val="17"/>
              </w:numPr>
              <w:spacing w:before="40" w:after="0" w:line="180" w:lineRule="atLeast"/>
              <w:ind w:left="454"/>
            </w:pPr>
            <w:r w:rsidRPr="00F0167C">
              <w:t>fully phasing out subsidies that stimulate inefficient investment in and positioning of rooftop photovoltaic units (but existing feed-in contracts should be honoured)</w:t>
            </w:r>
          </w:p>
          <w:p w:rsidR="000923B9" w:rsidRPr="00F0167C" w:rsidRDefault="00F0167C" w:rsidP="00B9480D">
            <w:pPr>
              <w:pStyle w:val="TableBullet"/>
              <w:numPr>
                <w:ilvl w:val="0"/>
                <w:numId w:val="17"/>
              </w:numPr>
              <w:spacing w:before="40" w:after="0" w:line="180" w:lineRule="atLeast"/>
              <w:ind w:left="454"/>
            </w:pPr>
            <w:r>
              <w:t>distribution businesses</w:t>
            </w:r>
            <w:r w:rsidRPr="00F0167C">
              <w:t xml:space="preserve"> </w:t>
            </w:r>
            <w:r w:rsidR="000923B9" w:rsidRPr="00F0167C">
              <w:t>remunerating distributed generation providers at a level that reflects the network value of the distributed generation capacity and output</w:t>
            </w:r>
            <w:r>
              <w:t>.</w:t>
            </w:r>
            <w:r w:rsidR="000923B9" w:rsidRPr="00F0167C">
              <w:t xml:space="preserve"> </w:t>
            </w:r>
          </w:p>
          <w:p w:rsidR="003C2696" w:rsidRPr="00F0167C" w:rsidRDefault="003C2696" w:rsidP="009641E4">
            <w:pPr>
              <w:pStyle w:val="TableBullet"/>
              <w:numPr>
                <w:ilvl w:val="0"/>
                <w:numId w:val="19"/>
              </w:numPr>
              <w:spacing w:before="120" w:after="120"/>
            </w:pPr>
            <w:r w:rsidRPr="00F0167C">
              <w:t xml:space="preserve">Review </w:t>
            </w:r>
            <w:r w:rsidR="00402526" w:rsidRPr="00F0167C">
              <w:t xml:space="preserve">the </w:t>
            </w:r>
            <w:r w:rsidRPr="00F0167C">
              <w:t>AEM</w:t>
            </w:r>
            <w:r w:rsidR="003D0523" w:rsidRPr="00F0167C">
              <w:t>C</w:t>
            </w:r>
            <w:r w:rsidRPr="00F0167C">
              <w:t>, AEM</w:t>
            </w:r>
            <w:r w:rsidR="003D0523" w:rsidRPr="00F0167C">
              <w:t>O</w:t>
            </w:r>
            <w:r w:rsidRPr="00F0167C">
              <w:t xml:space="preserve"> </w:t>
            </w:r>
            <w:r w:rsidR="003D0523" w:rsidRPr="00F0167C">
              <w:t xml:space="preserve">and the </w:t>
            </w:r>
            <w:r w:rsidR="00E738A3">
              <w:t>proposed new N</w:t>
            </w:r>
            <w:r w:rsidRPr="00F0167C">
              <w:t xml:space="preserve">ational </w:t>
            </w:r>
            <w:r w:rsidR="00E738A3">
              <w:t>Energy C</w:t>
            </w:r>
            <w:r w:rsidR="003D0523" w:rsidRPr="00F0167C">
              <w:t xml:space="preserve">onsumer </w:t>
            </w:r>
            <w:r w:rsidR="00E738A3">
              <w:t>A</w:t>
            </w:r>
            <w:r w:rsidR="003D0523" w:rsidRPr="00F0167C">
              <w:t xml:space="preserve">dvocacy </w:t>
            </w:r>
            <w:r w:rsidR="00E738A3">
              <w:t>B</w:t>
            </w:r>
            <w:r w:rsidRPr="00F0167C">
              <w:t xml:space="preserve">ody </w:t>
            </w:r>
            <w:r w:rsidR="00E738A3">
              <w:t>by</w:t>
            </w:r>
            <w:r w:rsidR="009641E4">
              <w:t> </w:t>
            </w:r>
            <w:r w:rsidR="00E738A3">
              <w:t>2018,</w:t>
            </w:r>
            <w:r w:rsidR="009641E4">
              <w:t xml:space="preserve"> </w:t>
            </w:r>
            <w:r w:rsidR="00F0167C" w:rsidRPr="00F0167C">
              <w:t xml:space="preserve">and, thereafter, review </w:t>
            </w:r>
            <w:r w:rsidR="00E738A3">
              <w:t>these</w:t>
            </w:r>
            <w:r w:rsidR="00F0167C" w:rsidRPr="00F0167C">
              <w:t xml:space="preserve"> institutions </w:t>
            </w:r>
            <w:r w:rsidR="00E738A3">
              <w:t xml:space="preserve">and the AER </w:t>
            </w:r>
            <w:r w:rsidR="00F0167C" w:rsidRPr="00F0167C">
              <w:t xml:space="preserve">at 10 year intervals </w:t>
            </w:r>
            <w:r w:rsidRPr="00F0167C">
              <w:t>(r. 21.4)</w:t>
            </w:r>
            <w:r w:rsidR="00F0167C">
              <w:t>.</w:t>
            </w:r>
          </w:p>
        </w:tc>
      </w:tr>
      <w:tr w:rsidR="003C2696" w:rsidRPr="00C23E26" w:rsidTr="006065AC">
        <w:tc>
          <w:tcPr>
            <w:tcW w:w="484" w:type="pct"/>
            <w:tcBorders>
              <w:top w:val="single" w:sz="6" w:space="0" w:color="auto"/>
              <w:left w:val="nil"/>
              <w:bottom w:val="single" w:sz="6" w:space="0" w:color="auto"/>
              <w:right w:val="nil"/>
            </w:tcBorders>
            <w:shd w:val="clear" w:color="auto" w:fill="D9D9D9" w:themeFill="background1" w:themeFillShade="D9"/>
            <w:hideMark/>
          </w:tcPr>
          <w:p w:rsidR="003C2696" w:rsidRPr="00C23E26" w:rsidRDefault="003C2696" w:rsidP="00E02981">
            <w:pPr>
              <w:pStyle w:val="TableBodyText"/>
              <w:jc w:val="left"/>
              <w:rPr>
                <w:b/>
              </w:rPr>
            </w:pPr>
            <w:r w:rsidRPr="00C23E26">
              <w:rPr>
                <w:b/>
              </w:rPr>
              <w:t>2019</w:t>
            </w:r>
          </w:p>
        </w:tc>
        <w:tc>
          <w:tcPr>
            <w:tcW w:w="4516" w:type="pct"/>
            <w:tcBorders>
              <w:top w:val="single" w:sz="6" w:space="0" w:color="auto"/>
              <w:left w:val="nil"/>
              <w:bottom w:val="single" w:sz="6" w:space="0" w:color="auto"/>
              <w:right w:val="nil"/>
            </w:tcBorders>
            <w:shd w:val="clear" w:color="auto" w:fill="D9D9D9" w:themeFill="background1" w:themeFillShade="D9"/>
            <w:hideMark/>
          </w:tcPr>
          <w:p w:rsidR="003C2696" w:rsidRPr="00F0167C" w:rsidRDefault="003C2696" w:rsidP="00B9480D">
            <w:pPr>
              <w:pStyle w:val="TableBullet"/>
              <w:numPr>
                <w:ilvl w:val="0"/>
                <w:numId w:val="19"/>
              </w:numPr>
              <w:spacing w:before="120" w:after="120"/>
            </w:pPr>
            <w:r w:rsidRPr="00F0167C">
              <w:t>If benchmarking becomes robust enough, and where the divergence between estimates is narrow, the AER to have discretion to reach a mutually acceptable negotiated settlement with a network business, with the involvement of the representative c</w:t>
            </w:r>
            <w:r w:rsidR="00B372F7" w:rsidRPr="00F0167C">
              <w:t>onsu</w:t>
            </w:r>
            <w:r w:rsidRPr="00F0167C">
              <w:t>mer body (r. 8.4)</w:t>
            </w:r>
            <w:r w:rsidR="00F0167C">
              <w:t>.</w:t>
            </w:r>
          </w:p>
        </w:tc>
      </w:tr>
      <w:tr w:rsidR="003C2696" w:rsidTr="006065AC">
        <w:tc>
          <w:tcPr>
            <w:tcW w:w="484" w:type="pct"/>
            <w:tcBorders>
              <w:top w:val="single" w:sz="6" w:space="0" w:color="auto"/>
              <w:left w:val="nil"/>
              <w:bottom w:val="single" w:sz="6" w:space="0" w:color="auto"/>
              <w:right w:val="nil"/>
            </w:tcBorders>
            <w:shd w:val="clear" w:color="auto" w:fill="FFFFFF" w:themeFill="background1"/>
            <w:hideMark/>
          </w:tcPr>
          <w:p w:rsidR="003C2696" w:rsidRPr="00C23E26" w:rsidRDefault="003C2696" w:rsidP="00E02981">
            <w:pPr>
              <w:pStyle w:val="TableBodyText"/>
              <w:jc w:val="left"/>
              <w:rPr>
                <w:b/>
              </w:rPr>
            </w:pPr>
            <w:r w:rsidRPr="00C23E26">
              <w:rPr>
                <w:b/>
              </w:rPr>
              <w:t>2028</w:t>
            </w:r>
          </w:p>
        </w:tc>
        <w:tc>
          <w:tcPr>
            <w:tcW w:w="4516" w:type="pct"/>
            <w:tcBorders>
              <w:top w:val="single" w:sz="6" w:space="0" w:color="auto"/>
              <w:left w:val="nil"/>
              <w:bottom w:val="single" w:sz="6" w:space="0" w:color="auto"/>
              <w:right w:val="nil"/>
            </w:tcBorders>
            <w:shd w:val="clear" w:color="auto" w:fill="FFFFFF" w:themeFill="background1"/>
            <w:hideMark/>
          </w:tcPr>
          <w:p w:rsidR="003C2696" w:rsidRPr="00F0167C" w:rsidRDefault="00402526" w:rsidP="00B9480D">
            <w:pPr>
              <w:pStyle w:val="TableBullet"/>
              <w:numPr>
                <w:ilvl w:val="0"/>
                <w:numId w:val="19"/>
              </w:numPr>
              <w:spacing w:before="120" w:after="120"/>
            </w:pPr>
            <w:r w:rsidRPr="00F0167C">
              <w:t>Conduct a</w:t>
            </w:r>
            <w:r w:rsidR="003C2696" w:rsidRPr="00F0167C">
              <w:t xml:space="preserve"> review to consider whether the introduction of nodal pricing is warranted on cost–benefit grounds, or if other reforms (such as alterations to the </w:t>
            </w:r>
            <w:r w:rsidR="002227CB">
              <w:t>‘</w:t>
            </w:r>
            <w:r w:rsidR="003C2696" w:rsidRPr="00F0167C">
              <w:t>optional firm access</w:t>
            </w:r>
            <w:r w:rsidR="002227CB">
              <w:t>’</w:t>
            </w:r>
            <w:r w:rsidR="003C2696" w:rsidRPr="00F0167C">
              <w:t xml:space="preserve"> model) offer greater benefits (r. 19.3).</w:t>
            </w:r>
          </w:p>
        </w:tc>
      </w:tr>
    </w:tbl>
    <w:p w:rsidR="002E3585" w:rsidRDefault="002E3585" w:rsidP="008802AB">
      <w:pPr>
        <w:pStyle w:val="BodyText"/>
        <w:spacing w:before="0" w:line="20" w:lineRule="exact"/>
      </w:pPr>
    </w:p>
    <w:sectPr w:rsidR="002E3585" w:rsidSect="00963E8C">
      <w:headerReference w:type="even" r:id="rId17"/>
      <w:headerReference w:type="default" r:id="rId18"/>
      <w:footerReference w:type="even" r:id="rId19"/>
      <w:footerReference w:type="default" r:id="rId20"/>
      <w:pgSz w:w="11907" w:h="16840" w:code="9"/>
      <w:pgMar w:top="1985" w:right="1304" w:bottom="1418" w:left="1814" w:header="1701" w:footer="567" w:gutter="0"/>
      <w:pgNumType w:start="1" w:chapSep="period"/>
      <w:cols w:space="720"/>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055" w:rsidRDefault="00692055">
      <w:r>
        <w:separator/>
      </w:r>
    </w:p>
  </w:endnote>
  <w:endnote w:type="continuationSeparator" w:id="0">
    <w:p w:rsidR="00692055" w:rsidRDefault="00692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OlSt BT">
    <w:altName w:val="Georgia"/>
    <w:charset w:val="00"/>
    <w:family w:val="roman"/>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692055">
      <w:trPr>
        <w:trHeight w:hRule="exact" w:val="740"/>
      </w:trPr>
      <w:tc>
        <w:tcPr>
          <w:tcW w:w="510" w:type="dxa"/>
          <w:tcBorders>
            <w:top w:val="single" w:sz="6" w:space="0" w:color="auto"/>
          </w:tcBorders>
        </w:tcPr>
        <w:p w:rsidR="00692055" w:rsidRDefault="00692055"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A05059">
            <w:rPr>
              <w:rStyle w:val="PageNumber"/>
              <w:noProof/>
            </w:rPr>
            <w:t>42</w:t>
          </w:r>
          <w:r>
            <w:rPr>
              <w:rStyle w:val="PageNumber"/>
            </w:rPr>
            <w:fldChar w:fldCharType="end"/>
          </w:r>
        </w:p>
      </w:tc>
      <w:tc>
        <w:tcPr>
          <w:tcW w:w="1644" w:type="dxa"/>
          <w:tcBorders>
            <w:top w:val="single" w:sz="6" w:space="0" w:color="auto"/>
          </w:tcBorders>
        </w:tcPr>
        <w:p w:rsidR="00692055" w:rsidRDefault="0089085C" w:rsidP="0071324C">
          <w:pPr>
            <w:pStyle w:val="Footer"/>
          </w:pPr>
          <w:fldSimple w:instr=" SUBJECT  \* MERGEFORMAT ">
            <w:r w:rsidR="00692055">
              <w:t>Electricity network regulation</w:t>
            </w:r>
          </w:fldSimple>
        </w:p>
      </w:tc>
      <w:tc>
        <w:tcPr>
          <w:tcW w:w="6634" w:type="dxa"/>
        </w:tcPr>
        <w:p w:rsidR="00692055" w:rsidRDefault="00692055" w:rsidP="0019293B">
          <w:pPr>
            <w:pStyle w:val="Footer"/>
          </w:pPr>
        </w:p>
      </w:tc>
    </w:tr>
  </w:tbl>
  <w:p w:rsidR="00692055" w:rsidRDefault="0069205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692055" w:rsidTr="00963E8C">
      <w:trPr>
        <w:trHeight w:hRule="exact" w:val="740"/>
      </w:trPr>
      <w:tc>
        <w:tcPr>
          <w:tcW w:w="6663" w:type="dxa"/>
        </w:tcPr>
        <w:p w:rsidR="00692055" w:rsidRDefault="00692055">
          <w:pPr>
            <w:pStyle w:val="Footer"/>
            <w:ind w:right="360" w:firstLine="360"/>
          </w:pPr>
        </w:p>
      </w:tc>
      <w:tc>
        <w:tcPr>
          <w:tcW w:w="1615" w:type="dxa"/>
          <w:tcBorders>
            <w:top w:val="single" w:sz="6" w:space="0" w:color="auto"/>
          </w:tcBorders>
        </w:tcPr>
        <w:p w:rsidR="00692055" w:rsidRDefault="00692055">
          <w:pPr>
            <w:pStyle w:val="Footer"/>
          </w:pPr>
          <w:r>
            <w:t>Overview</w:t>
          </w:r>
        </w:p>
      </w:tc>
      <w:tc>
        <w:tcPr>
          <w:tcW w:w="510" w:type="dxa"/>
          <w:tcBorders>
            <w:top w:val="single" w:sz="6" w:space="0" w:color="auto"/>
          </w:tcBorders>
        </w:tcPr>
        <w:p w:rsidR="00692055" w:rsidRDefault="00692055">
          <w:pPr>
            <w:pStyle w:val="Footer"/>
            <w:jc w:val="right"/>
          </w:pPr>
          <w:r>
            <w:rPr>
              <w:rStyle w:val="PageNumber"/>
            </w:rPr>
            <w:fldChar w:fldCharType="begin"/>
          </w:r>
          <w:r>
            <w:rPr>
              <w:rStyle w:val="PageNumber"/>
            </w:rPr>
            <w:instrText xml:space="preserve">PAGE  </w:instrText>
          </w:r>
          <w:r>
            <w:rPr>
              <w:rStyle w:val="PageNumber"/>
            </w:rPr>
            <w:fldChar w:fldCharType="separate"/>
          </w:r>
          <w:r w:rsidR="00A05059">
            <w:rPr>
              <w:rStyle w:val="PageNumber"/>
              <w:noProof/>
            </w:rPr>
            <w:t>41</w:t>
          </w:r>
          <w:r>
            <w:rPr>
              <w:rStyle w:val="PageNumber"/>
            </w:rPr>
            <w:fldChar w:fldCharType="end"/>
          </w:r>
        </w:p>
      </w:tc>
    </w:tr>
  </w:tbl>
  <w:p w:rsidR="00692055" w:rsidRDefault="0069205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055" w:rsidRDefault="00692055">
      <w:r>
        <w:separator/>
      </w:r>
    </w:p>
  </w:footnote>
  <w:footnote w:type="continuationSeparator" w:id="0">
    <w:p w:rsidR="00692055" w:rsidRDefault="006920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92055">
      <w:tc>
        <w:tcPr>
          <w:tcW w:w="2155" w:type="dxa"/>
          <w:tcBorders>
            <w:top w:val="single" w:sz="24" w:space="0" w:color="auto"/>
          </w:tcBorders>
        </w:tcPr>
        <w:p w:rsidR="00692055" w:rsidRDefault="00692055" w:rsidP="0019293B">
          <w:pPr>
            <w:pStyle w:val="HeaderEven"/>
          </w:pPr>
        </w:p>
      </w:tc>
      <w:tc>
        <w:tcPr>
          <w:tcW w:w="6634" w:type="dxa"/>
          <w:tcBorders>
            <w:top w:val="single" w:sz="6" w:space="0" w:color="auto"/>
          </w:tcBorders>
        </w:tcPr>
        <w:p w:rsidR="00692055" w:rsidRDefault="00692055" w:rsidP="0019293B">
          <w:pPr>
            <w:pStyle w:val="HeaderEven"/>
          </w:pPr>
        </w:p>
      </w:tc>
    </w:tr>
  </w:tbl>
  <w:p w:rsidR="00692055" w:rsidRDefault="0069205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92055">
      <w:tc>
        <w:tcPr>
          <w:tcW w:w="6634" w:type="dxa"/>
          <w:tcBorders>
            <w:top w:val="single" w:sz="6" w:space="0" w:color="auto"/>
          </w:tcBorders>
        </w:tcPr>
        <w:p w:rsidR="00692055" w:rsidRDefault="00692055" w:rsidP="00E669E2">
          <w:pPr>
            <w:pStyle w:val="HeaderOdd"/>
          </w:pPr>
        </w:p>
      </w:tc>
      <w:tc>
        <w:tcPr>
          <w:tcW w:w="2155" w:type="dxa"/>
          <w:tcBorders>
            <w:top w:val="single" w:sz="24" w:space="0" w:color="auto"/>
          </w:tcBorders>
        </w:tcPr>
        <w:p w:rsidR="00692055" w:rsidRDefault="00692055" w:rsidP="00E669E2">
          <w:pPr>
            <w:pStyle w:val="HeaderOdd"/>
          </w:pPr>
        </w:p>
      </w:tc>
    </w:tr>
  </w:tbl>
  <w:p w:rsidR="00692055" w:rsidRDefault="0069205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2">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6">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7">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8">
    <w:nsid w:val="309879CE"/>
    <w:multiLevelType w:val="hybridMultilevel"/>
    <w:tmpl w:val="29B09662"/>
    <w:lvl w:ilvl="0" w:tplc="0C090001">
      <w:start w:val="1"/>
      <w:numFmt w:val="bullet"/>
      <w:lvlText w:val=""/>
      <w:lvlJc w:val="left"/>
      <w:pPr>
        <w:tabs>
          <w:tab w:val="num" w:pos="170"/>
        </w:tabs>
        <w:ind w:left="170" w:hanging="170"/>
      </w:pPr>
      <w:rPr>
        <w:rFonts w:ascii="Symbol" w:hAnsi="Symbol" w:hint="default"/>
        <w:b w:val="0"/>
        <w:i w:val="0"/>
        <w:sz w:val="18"/>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2">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4">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5">
    <w:nsid w:val="6F833604"/>
    <w:multiLevelType w:val="hybridMultilevel"/>
    <w:tmpl w:val="CEAC4F10"/>
    <w:lvl w:ilvl="0" w:tplc="128A8F38">
      <w:start w:val="1"/>
      <w:numFmt w:val="bullet"/>
      <w:lvlText w:val=""/>
      <w:lvlJc w:val="left"/>
      <w:pPr>
        <w:tabs>
          <w:tab w:val="num" w:pos="170"/>
        </w:tabs>
        <w:ind w:left="170" w:hanging="170"/>
      </w:pPr>
      <w:rPr>
        <w:rFonts w:ascii="Symbol" w:hAnsi="Symbol" w:hint="default"/>
        <w:b w:val="0"/>
        <w:i w:val="0"/>
        <w:sz w:val="18"/>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6">
    <w:nsid w:val="763C3CF5"/>
    <w:multiLevelType w:val="hybridMultilevel"/>
    <w:tmpl w:val="8E82AE8C"/>
    <w:lvl w:ilvl="0" w:tplc="0C090001">
      <w:start w:val="1"/>
      <w:numFmt w:val="bullet"/>
      <w:lvlText w:val=""/>
      <w:lvlJc w:val="left"/>
      <w:pPr>
        <w:tabs>
          <w:tab w:val="num" w:pos="170"/>
        </w:tabs>
        <w:ind w:left="170" w:hanging="170"/>
      </w:pPr>
      <w:rPr>
        <w:rFonts w:ascii="Symbol" w:hAnsi="Symbol" w:hint="default"/>
        <w:b w:val="0"/>
        <w:i w:val="0"/>
        <w:sz w:val="18"/>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7">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8">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9"/>
  </w:num>
  <w:num w:numId="2">
    <w:abstractNumId w:val="2"/>
  </w:num>
  <w:num w:numId="3">
    <w:abstractNumId w:val="17"/>
  </w:num>
  <w:num w:numId="4">
    <w:abstractNumId w:val="0"/>
  </w:num>
  <w:num w:numId="5">
    <w:abstractNumId w:val="11"/>
  </w:num>
  <w:num w:numId="6">
    <w:abstractNumId w:val="1"/>
  </w:num>
  <w:num w:numId="7">
    <w:abstractNumId w:val="14"/>
  </w:num>
  <w:num w:numId="8">
    <w:abstractNumId w:val="13"/>
  </w:num>
  <w:num w:numId="9">
    <w:abstractNumId w:val="18"/>
  </w:num>
  <w:num w:numId="10">
    <w:abstractNumId w:val="5"/>
  </w:num>
  <w:num w:numId="11">
    <w:abstractNumId w:val="12"/>
  </w:num>
  <w:num w:numId="12">
    <w:abstractNumId w:val="4"/>
  </w:num>
  <w:num w:numId="13">
    <w:abstractNumId w:val="3"/>
  </w:num>
  <w:num w:numId="14">
    <w:abstractNumId w:val="6"/>
  </w:num>
  <w:num w:numId="15">
    <w:abstractNumId w:val="7"/>
  </w:num>
  <w:num w:numId="16">
    <w:abstractNumId w:val="10"/>
  </w:num>
  <w:num w:numId="17">
    <w:abstractNumId w:val="15"/>
  </w:num>
  <w:num w:numId="18">
    <w:abstractNumId w:val="8"/>
  </w:num>
  <w:num w:numId="19">
    <w:abstractNumId w:val="16"/>
  </w:num>
  <w:num w:numId="20">
    <w:abstractNumId w:val="12"/>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1"/>
  </w:num>
  <w:num w:numId="33">
    <w:abstractNumId w:val="9"/>
  </w:num>
  <w:num w:numId="34">
    <w:abstractNumId w:val="9"/>
  </w:num>
  <w:num w:numId="35">
    <w:abstractNumId w:val="9"/>
  </w:num>
  <w:num w:numId="36">
    <w:abstractNumId w:val="2"/>
  </w:num>
  <w:num w:numId="37">
    <w:abstractNumId w:val="2"/>
  </w:num>
  <w:num w:numId="38">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AU" w:vendorID="64" w:dllVersion="131078" w:nlCheck="1" w:checkStyle="0"/>
  <w:activeWritingStyle w:appName="MSWord" w:lang="en-US" w:vendorID="64" w:dllVersion="131078" w:nlCheck="1" w:checkStyle="1"/>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027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Electricity network regulation"/>
  </w:docVars>
  <w:rsids>
    <w:rsidRoot w:val="003A15DE"/>
    <w:rsid w:val="000015E9"/>
    <w:rsid w:val="00002EE7"/>
    <w:rsid w:val="00003075"/>
    <w:rsid w:val="0000310F"/>
    <w:rsid w:val="0000350C"/>
    <w:rsid w:val="00006A55"/>
    <w:rsid w:val="00006C55"/>
    <w:rsid w:val="00006CCB"/>
    <w:rsid w:val="00010908"/>
    <w:rsid w:val="00010C4A"/>
    <w:rsid w:val="00011285"/>
    <w:rsid w:val="000134B0"/>
    <w:rsid w:val="00014574"/>
    <w:rsid w:val="00014868"/>
    <w:rsid w:val="000149FB"/>
    <w:rsid w:val="00014C2A"/>
    <w:rsid w:val="00014C45"/>
    <w:rsid w:val="0001522A"/>
    <w:rsid w:val="00017F8E"/>
    <w:rsid w:val="00020DDB"/>
    <w:rsid w:val="000214B5"/>
    <w:rsid w:val="00021EE3"/>
    <w:rsid w:val="00021FBB"/>
    <w:rsid w:val="000223B7"/>
    <w:rsid w:val="00023F27"/>
    <w:rsid w:val="000245AA"/>
    <w:rsid w:val="000246BE"/>
    <w:rsid w:val="0002684F"/>
    <w:rsid w:val="00031542"/>
    <w:rsid w:val="00032A87"/>
    <w:rsid w:val="00032DE0"/>
    <w:rsid w:val="0003318D"/>
    <w:rsid w:val="00033528"/>
    <w:rsid w:val="000335DA"/>
    <w:rsid w:val="00033CD4"/>
    <w:rsid w:val="00034B37"/>
    <w:rsid w:val="00035F4A"/>
    <w:rsid w:val="0003664B"/>
    <w:rsid w:val="0003690E"/>
    <w:rsid w:val="00037252"/>
    <w:rsid w:val="00040589"/>
    <w:rsid w:val="0004111F"/>
    <w:rsid w:val="00043B19"/>
    <w:rsid w:val="000444F0"/>
    <w:rsid w:val="00044AFC"/>
    <w:rsid w:val="00044BDB"/>
    <w:rsid w:val="00045A5E"/>
    <w:rsid w:val="00045AD4"/>
    <w:rsid w:val="000474FB"/>
    <w:rsid w:val="0005041C"/>
    <w:rsid w:val="000505EC"/>
    <w:rsid w:val="00050FB8"/>
    <w:rsid w:val="0005249B"/>
    <w:rsid w:val="00053E15"/>
    <w:rsid w:val="000564E3"/>
    <w:rsid w:val="000565B3"/>
    <w:rsid w:val="00057F7F"/>
    <w:rsid w:val="00060080"/>
    <w:rsid w:val="00062187"/>
    <w:rsid w:val="00064CE6"/>
    <w:rsid w:val="000667CF"/>
    <w:rsid w:val="00070127"/>
    <w:rsid w:val="0007150B"/>
    <w:rsid w:val="000752C6"/>
    <w:rsid w:val="00075730"/>
    <w:rsid w:val="00076560"/>
    <w:rsid w:val="000766EA"/>
    <w:rsid w:val="00077109"/>
    <w:rsid w:val="00077385"/>
    <w:rsid w:val="000774D6"/>
    <w:rsid w:val="0007764F"/>
    <w:rsid w:val="00077D2C"/>
    <w:rsid w:val="0008151A"/>
    <w:rsid w:val="00081756"/>
    <w:rsid w:val="00082B0A"/>
    <w:rsid w:val="000849D7"/>
    <w:rsid w:val="00084B11"/>
    <w:rsid w:val="000864AC"/>
    <w:rsid w:val="00086560"/>
    <w:rsid w:val="00087840"/>
    <w:rsid w:val="00090292"/>
    <w:rsid w:val="000907BC"/>
    <w:rsid w:val="00090852"/>
    <w:rsid w:val="00091A8F"/>
    <w:rsid w:val="000922EF"/>
    <w:rsid w:val="000923B9"/>
    <w:rsid w:val="000924EE"/>
    <w:rsid w:val="000938F5"/>
    <w:rsid w:val="00093ABA"/>
    <w:rsid w:val="00095768"/>
    <w:rsid w:val="000957C0"/>
    <w:rsid w:val="000964C7"/>
    <w:rsid w:val="000967C0"/>
    <w:rsid w:val="00096B88"/>
    <w:rsid w:val="0009738B"/>
    <w:rsid w:val="00097D5A"/>
    <w:rsid w:val="00097EAA"/>
    <w:rsid w:val="000A17D6"/>
    <w:rsid w:val="000A180D"/>
    <w:rsid w:val="000A2087"/>
    <w:rsid w:val="000A37AB"/>
    <w:rsid w:val="000A4112"/>
    <w:rsid w:val="000A437B"/>
    <w:rsid w:val="000A47A1"/>
    <w:rsid w:val="000A47A7"/>
    <w:rsid w:val="000A5853"/>
    <w:rsid w:val="000A6590"/>
    <w:rsid w:val="000A6B03"/>
    <w:rsid w:val="000A6B3D"/>
    <w:rsid w:val="000A7C1E"/>
    <w:rsid w:val="000B01A7"/>
    <w:rsid w:val="000B1575"/>
    <w:rsid w:val="000B170C"/>
    <w:rsid w:val="000B2683"/>
    <w:rsid w:val="000B282F"/>
    <w:rsid w:val="000B360E"/>
    <w:rsid w:val="000B3867"/>
    <w:rsid w:val="000B3B10"/>
    <w:rsid w:val="000B468D"/>
    <w:rsid w:val="000B496B"/>
    <w:rsid w:val="000B525D"/>
    <w:rsid w:val="000B52E1"/>
    <w:rsid w:val="000B5D93"/>
    <w:rsid w:val="000B601B"/>
    <w:rsid w:val="000B660D"/>
    <w:rsid w:val="000B716C"/>
    <w:rsid w:val="000B7616"/>
    <w:rsid w:val="000B77A5"/>
    <w:rsid w:val="000C1D86"/>
    <w:rsid w:val="000C207E"/>
    <w:rsid w:val="000C3186"/>
    <w:rsid w:val="000C3993"/>
    <w:rsid w:val="000C4469"/>
    <w:rsid w:val="000C6C3D"/>
    <w:rsid w:val="000C7F65"/>
    <w:rsid w:val="000D1EE2"/>
    <w:rsid w:val="000D4280"/>
    <w:rsid w:val="000D4831"/>
    <w:rsid w:val="000D4F79"/>
    <w:rsid w:val="000D5529"/>
    <w:rsid w:val="000D55C1"/>
    <w:rsid w:val="000D5E24"/>
    <w:rsid w:val="000E09F1"/>
    <w:rsid w:val="000E1012"/>
    <w:rsid w:val="000E1BFD"/>
    <w:rsid w:val="000E3315"/>
    <w:rsid w:val="000E334E"/>
    <w:rsid w:val="000E5256"/>
    <w:rsid w:val="000F11E3"/>
    <w:rsid w:val="000F1D02"/>
    <w:rsid w:val="000F2C6E"/>
    <w:rsid w:val="000F4459"/>
    <w:rsid w:val="000F5147"/>
    <w:rsid w:val="000F5575"/>
    <w:rsid w:val="000F571A"/>
    <w:rsid w:val="00100FD4"/>
    <w:rsid w:val="00102755"/>
    <w:rsid w:val="001027A8"/>
    <w:rsid w:val="00103217"/>
    <w:rsid w:val="00104419"/>
    <w:rsid w:val="00104447"/>
    <w:rsid w:val="00105466"/>
    <w:rsid w:val="00105E7D"/>
    <w:rsid w:val="00105F8F"/>
    <w:rsid w:val="001061EC"/>
    <w:rsid w:val="001062D9"/>
    <w:rsid w:val="00110116"/>
    <w:rsid w:val="0011125C"/>
    <w:rsid w:val="001132C1"/>
    <w:rsid w:val="001152C7"/>
    <w:rsid w:val="0011544F"/>
    <w:rsid w:val="0012009A"/>
    <w:rsid w:val="00120DE9"/>
    <w:rsid w:val="001215B3"/>
    <w:rsid w:val="0012186B"/>
    <w:rsid w:val="0012193B"/>
    <w:rsid w:val="00122373"/>
    <w:rsid w:val="00122501"/>
    <w:rsid w:val="0012376A"/>
    <w:rsid w:val="00124000"/>
    <w:rsid w:val="00124B60"/>
    <w:rsid w:val="00124B65"/>
    <w:rsid w:val="00124DFC"/>
    <w:rsid w:val="0012546A"/>
    <w:rsid w:val="00126EB8"/>
    <w:rsid w:val="001274D4"/>
    <w:rsid w:val="00127634"/>
    <w:rsid w:val="001302E5"/>
    <w:rsid w:val="00133018"/>
    <w:rsid w:val="001355B8"/>
    <w:rsid w:val="00135EE4"/>
    <w:rsid w:val="001363AA"/>
    <w:rsid w:val="00136722"/>
    <w:rsid w:val="001379EF"/>
    <w:rsid w:val="00137C80"/>
    <w:rsid w:val="00140B79"/>
    <w:rsid w:val="0014164C"/>
    <w:rsid w:val="00141EC4"/>
    <w:rsid w:val="001457F1"/>
    <w:rsid w:val="00147760"/>
    <w:rsid w:val="00150801"/>
    <w:rsid w:val="00151773"/>
    <w:rsid w:val="00151AC5"/>
    <w:rsid w:val="0015246E"/>
    <w:rsid w:val="00152648"/>
    <w:rsid w:val="00152A1E"/>
    <w:rsid w:val="00152CFD"/>
    <w:rsid w:val="00154402"/>
    <w:rsid w:val="001579DD"/>
    <w:rsid w:val="00161639"/>
    <w:rsid w:val="0016183B"/>
    <w:rsid w:val="001618AA"/>
    <w:rsid w:val="00161F4D"/>
    <w:rsid w:val="0016309A"/>
    <w:rsid w:val="001647EC"/>
    <w:rsid w:val="001666D9"/>
    <w:rsid w:val="0016675B"/>
    <w:rsid w:val="00166893"/>
    <w:rsid w:val="00166A63"/>
    <w:rsid w:val="00167A41"/>
    <w:rsid w:val="00170EE2"/>
    <w:rsid w:val="001717A8"/>
    <w:rsid w:val="00171983"/>
    <w:rsid w:val="00172754"/>
    <w:rsid w:val="00173C04"/>
    <w:rsid w:val="00174E86"/>
    <w:rsid w:val="00175073"/>
    <w:rsid w:val="00176E2A"/>
    <w:rsid w:val="00177E0B"/>
    <w:rsid w:val="00180AA1"/>
    <w:rsid w:val="00181C93"/>
    <w:rsid w:val="00182089"/>
    <w:rsid w:val="001823E5"/>
    <w:rsid w:val="0018333E"/>
    <w:rsid w:val="0018358D"/>
    <w:rsid w:val="00183E82"/>
    <w:rsid w:val="00183EA0"/>
    <w:rsid w:val="001842CE"/>
    <w:rsid w:val="00186055"/>
    <w:rsid w:val="00186170"/>
    <w:rsid w:val="00187186"/>
    <w:rsid w:val="001911C2"/>
    <w:rsid w:val="00191484"/>
    <w:rsid w:val="00191AE0"/>
    <w:rsid w:val="00192299"/>
    <w:rsid w:val="0019293B"/>
    <w:rsid w:val="00192B28"/>
    <w:rsid w:val="00193EED"/>
    <w:rsid w:val="00194033"/>
    <w:rsid w:val="00195359"/>
    <w:rsid w:val="00196951"/>
    <w:rsid w:val="001A19A2"/>
    <w:rsid w:val="001A3065"/>
    <w:rsid w:val="001A35FE"/>
    <w:rsid w:val="001A4DC6"/>
    <w:rsid w:val="001A4DFF"/>
    <w:rsid w:val="001A5964"/>
    <w:rsid w:val="001A6C74"/>
    <w:rsid w:val="001A7283"/>
    <w:rsid w:val="001A7D5A"/>
    <w:rsid w:val="001A7D67"/>
    <w:rsid w:val="001B04DE"/>
    <w:rsid w:val="001B24AE"/>
    <w:rsid w:val="001B2A05"/>
    <w:rsid w:val="001B4263"/>
    <w:rsid w:val="001B4442"/>
    <w:rsid w:val="001B660B"/>
    <w:rsid w:val="001C01A0"/>
    <w:rsid w:val="001C0865"/>
    <w:rsid w:val="001C131C"/>
    <w:rsid w:val="001C3AA5"/>
    <w:rsid w:val="001C3ABA"/>
    <w:rsid w:val="001C4386"/>
    <w:rsid w:val="001C45B7"/>
    <w:rsid w:val="001C49F9"/>
    <w:rsid w:val="001C4A20"/>
    <w:rsid w:val="001C5919"/>
    <w:rsid w:val="001D01D9"/>
    <w:rsid w:val="001D0EB0"/>
    <w:rsid w:val="001D1017"/>
    <w:rsid w:val="001D1453"/>
    <w:rsid w:val="001D1900"/>
    <w:rsid w:val="001D2167"/>
    <w:rsid w:val="001D3C16"/>
    <w:rsid w:val="001D3EAE"/>
    <w:rsid w:val="001D589E"/>
    <w:rsid w:val="001D5A85"/>
    <w:rsid w:val="001D5D72"/>
    <w:rsid w:val="001D60F1"/>
    <w:rsid w:val="001D624D"/>
    <w:rsid w:val="001E2189"/>
    <w:rsid w:val="001E4806"/>
    <w:rsid w:val="001E77A8"/>
    <w:rsid w:val="001E79B0"/>
    <w:rsid w:val="001E7BE8"/>
    <w:rsid w:val="001F0248"/>
    <w:rsid w:val="001F0371"/>
    <w:rsid w:val="001F2B73"/>
    <w:rsid w:val="001F3EB3"/>
    <w:rsid w:val="001F5F64"/>
    <w:rsid w:val="001F6651"/>
    <w:rsid w:val="001F731D"/>
    <w:rsid w:val="00200627"/>
    <w:rsid w:val="00201069"/>
    <w:rsid w:val="00202C2C"/>
    <w:rsid w:val="00203740"/>
    <w:rsid w:val="00206E59"/>
    <w:rsid w:val="00207498"/>
    <w:rsid w:val="002100A0"/>
    <w:rsid w:val="002101D9"/>
    <w:rsid w:val="0021073B"/>
    <w:rsid w:val="00210A81"/>
    <w:rsid w:val="00210D69"/>
    <w:rsid w:val="0021199D"/>
    <w:rsid w:val="00213E8E"/>
    <w:rsid w:val="00214642"/>
    <w:rsid w:val="00214ADF"/>
    <w:rsid w:val="00214DF7"/>
    <w:rsid w:val="002151C8"/>
    <w:rsid w:val="00215D33"/>
    <w:rsid w:val="00217B3A"/>
    <w:rsid w:val="00220F11"/>
    <w:rsid w:val="00220FC0"/>
    <w:rsid w:val="002210FF"/>
    <w:rsid w:val="002220C2"/>
    <w:rsid w:val="002227CB"/>
    <w:rsid w:val="00222EFA"/>
    <w:rsid w:val="002264B9"/>
    <w:rsid w:val="002278E0"/>
    <w:rsid w:val="002300F5"/>
    <w:rsid w:val="0023096B"/>
    <w:rsid w:val="00230DD1"/>
    <w:rsid w:val="0023306E"/>
    <w:rsid w:val="00233EC3"/>
    <w:rsid w:val="00234A7F"/>
    <w:rsid w:val="00235B55"/>
    <w:rsid w:val="00236118"/>
    <w:rsid w:val="002369F6"/>
    <w:rsid w:val="00237048"/>
    <w:rsid w:val="00237C13"/>
    <w:rsid w:val="00241285"/>
    <w:rsid w:val="00242279"/>
    <w:rsid w:val="002427C3"/>
    <w:rsid w:val="00243E82"/>
    <w:rsid w:val="002454A1"/>
    <w:rsid w:val="002455FA"/>
    <w:rsid w:val="00245C82"/>
    <w:rsid w:val="00246D0B"/>
    <w:rsid w:val="00246E8A"/>
    <w:rsid w:val="00247388"/>
    <w:rsid w:val="00247F8D"/>
    <w:rsid w:val="00250D01"/>
    <w:rsid w:val="00250F27"/>
    <w:rsid w:val="00252398"/>
    <w:rsid w:val="00252AA9"/>
    <w:rsid w:val="00253428"/>
    <w:rsid w:val="00253A55"/>
    <w:rsid w:val="00254391"/>
    <w:rsid w:val="002543F4"/>
    <w:rsid w:val="00254673"/>
    <w:rsid w:val="002569C1"/>
    <w:rsid w:val="00256E9E"/>
    <w:rsid w:val="0025734E"/>
    <w:rsid w:val="00257579"/>
    <w:rsid w:val="0025762D"/>
    <w:rsid w:val="0026048C"/>
    <w:rsid w:val="00261B7B"/>
    <w:rsid w:val="00264408"/>
    <w:rsid w:val="002660DB"/>
    <w:rsid w:val="00266736"/>
    <w:rsid w:val="00267CB2"/>
    <w:rsid w:val="0027043B"/>
    <w:rsid w:val="00271F10"/>
    <w:rsid w:val="002732E7"/>
    <w:rsid w:val="002739C5"/>
    <w:rsid w:val="00273F18"/>
    <w:rsid w:val="002763AC"/>
    <w:rsid w:val="002772BF"/>
    <w:rsid w:val="00277E07"/>
    <w:rsid w:val="002823D8"/>
    <w:rsid w:val="002826D8"/>
    <w:rsid w:val="00282D4B"/>
    <w:rsid w:val="002830D4"/>
    <w:rsid w:val="0028382B"/>
    <w:rsid w:val="002848DF"/>
    <w:rsid w:val="00284B18"/>
    <w:rsid w:val="00285709"/>
    <w:rsid w:val="002858F7"/>
    <w:rsid w:val="0028602E"/>
    <w:rsid w:val="00286A4D"/>
    <w:rsid w:val="002870AF"/>
    <w:rsid w:val="00290CE7"/>
    <w:rsid w:val="002910DB"/>
    <w:rsid w:val="002913A7"/>
    <w:rsid w:val="00291B40"/>
    <w:rsid w:val="0029323F"/>
    <w:rsid w:val="002952D2"/>
    <w:rsid w:val="00296BC0"/>
    <w:rsid w:val="00296BD9"/>
    <w:rsid w:val="0029706D"/>
    <w:rsid w:val="00297C96"/>
    <w:rsid w:val="002A03F0"/>
    <w:rsid w:val="002A2374"/>
    <w:rsid w:val="002A2E4D"/>
    <w:rsid w:val="002A5B8C"/>
    <w:rsid w:val="002A6E5A"/>
    <w:rsid w:val="002A7CC3"/>
    <w:rsid w:val="002A7E95"/>
    <w:rsid w:val="002B0AD4"/>
    <w:rsid w:val="002B1E29"/>
    <w:rsid w:val="002B1F09"/>
    <w:rsid w:val="002B3724"/>
    <w:rsid w:val="002B4008"/>
    <w:rsid w:val="002B6B21"/>
    <w:rsid w:val="002B701E"/>
    <w:rsid w:val="002B785A"/>
    <w:rsid w:val="002B7D3C"/>
    <w:rsid w:val="002C2804"/>
    <w:rsid w:val="002C2B01"/>
    <w:rsid w:val="002C2DD4"/>
    <w:rsid w:val="002C4205"/>
    <w:rsid w:val="002C4461"/>
    <w:rsid w:val="002C5724"/>
    <w:rsid w:val="002C6390"/>
    <w:rsid w:val="002C7651"/>
    <w:rsid w:val="002D0E8E"/>
    <w:rsid w:val="002D1E8E"/>
    <w:rsid w:val="002D256D"/>
    <w:rsid w:val="002D2BC4"/>
    <w:rsid w:val="002D34CD"/>
    <w:rsid w:val="002D3C9E"/>
    <w:rsid w:val="002D66D4"/>
    <w:rsid w:val="002D6B33"/>
    <w:rsid w:val="002D7640"/>
    <w:rsid w:val="002E0548"/>
    <w:rsid w:val="002E082C"/>
    <w:rsid w:val="002E1238"/>
    <w:rsid w:val="002E2A26"/>
    <w:rsid w:val="002E3016"/>
    <w:rsid w:val="002E3520"/>
    <w:rsid w:val="002E3585"/>
    <w:rsid w:val="002E45E4"/>
    <w:rsid w:val="002E4B1C"/>
    <w:rsid w:val="002E4F8F"/>
    <w:rsid w:val="002E6599"/>
    <w:rsid w:val="002E7377"/>
    <w:rsid w:val="002E7410"/>
    <w:rsid w:val="002F041F"/>
    <w:rsid w:val="002F202A"/>
    <w:rsid w:val="002F2BD8"/>
    <w:rsid w:val="002F2D13"/>
    <w:rsid w:val="002F5C75"/>
    <w:rsid w:val="002F5C90"/>
    <w:rsid w:val="002F7235"/>
    <w:rsid w:val="002F7FBB"/>
    <w:rsid w:val="00301189"/>
    <w:rsid w:val="003011FA"/>
    <w:rsid w:val="0030265B"/>
    <w:rsid w:val="00302BD7"/>
    <w:rsid w:val="00302D4E"/>
    <w:rsid w:val="00303164"/>
    <w:rsid w:val="003032AE"/>
    <w:rsid w:val="003034E3"/>
    <w:rsid w:val="00303906"/>
    <w:rsid w:val="003039C1"/>
    <w:rsid w:val="003042BF"/>
    <w:rsid w:val="00304B3B"/>
    <w:rsid w:val="003055B0"/>
    <w:rsid w:val="00305B17"/>
    <w:rsid w:val="00305E8C"/>
    <w:rsid w:val="00305EB4"/>
    <w:rsid w:val="00307086"/>
    <w:rsid w:val="0030741F"/>
    <w:rsid w:val="00310549"/>
    <w:rsid w:val="00311F59"/>
    <w:rsid w:val="003120DC"/>
    <w:rsid w:val="00312DD1"/>
    <w:rsid w:val="003137D9"/>
    <w:rsid w:val="003201F4"/>
    <w:rsid w:val="00320360"/>
    <w:rsid w:val="0032068D"/>
    <w:rsid w:val="00320932"/>
    <w:rsid w:val="00322210"/>
    <w:rsid w:val="00322E02"/>
    <w:rsid w:val="00323468"/>
    <w:rsid w:val="003235F9"/>
    <w:rsid w:val="00323E09"/>
    <w:rsid w:val="00325482"/>
    <w:rsid w:val="003259D8"/>
    <w:rsid w:val="00325A41"/>
    <w:rsid w:val="00330537"/>
    <w:rsid w:val="00331427"/>
    <w:rsid w:val="0033302E"/>
    <w:rsid w:val="00333890"/>
    <w:rsid w:val="00333932"/>
    <w:rsid w:val="00333EB8"/>
    <w:rsid w:val="003347E7"/>
    <w:rsid w:val="0033569E"/>
    <w:rsid w:val="00335788"/>
    <w:rsid w:val="00337373"/>
    <w:rsid w:val="0034014F"/>
    <w:rsid w:val="00341142"/>
    <w:rsid w:val="00341528"/>
    <w:rsid w:val="00342D32"/>
    <w:rsid w:val="0034333A"/>
    <w:rsid w:val="00344284"/>
    <w:rsid w:val="00345964"/>
    <w:rsid w:val="003461FB"/>
    <w:rsid w:val="003468D5"/>
    <w:rsid w:val="00347EF2"/>
    <w:rsid w:val="003505C4"/>
    <w:rsid w:val="00350A7B"/>
    <w:rsid w:val="00350F65"/>
    <w:rsid w:val="003518AA"/>
    <w:rsid w:val="003518C5"/>
    <w:rsid w:val="00351914"/>
    <w:rsid w:val="00351A36"/>
    <w:rsid w:val="00352165"/>
    <w:rsid w:val="00353182"/>
    <w:rsid w:val="00353227"/>
    <w:rsid w:val="0035439E"/>
    <w:rsid w:val="00355305"/>
    <w:rsid w:val="003556B9"/>
    <w:rsid w:val="00356105"/>
    <w:rsid w:val="00356393"/>
    <w:rsid w:val="003565D9"/>
    <w:rsid w:val="003602E1"/>
    <w:rsid w:val="00360681"/>
    <w:rsid w:val="00360966"/>
    <w:rsid w:val="00361D4D"/>
    <w:rsid w:val="003631D1"/>
    <w:rsid w:val="003652B9"/>
    <w:rsid w:val="00366710"/>
    <w:rsid w:val="003675BE"/>
    <w:rsid w:val="0037026F"/>
    <w:rsid w:val="003711B4"/>
    <w:rsid w:val="00371240"/>
    <w:rsid w:val="003717A0"/>
    <w:rsid w:val="0037278F"/>
    <w:rsid w:val="00374731"/>
    <w:rsid w:val="00374785"/>
    <w:rsid w:val="00375D00"/>
    <w:rsid w:val="00377642"/>
    <w:rsid w:val="0038024D"/>
    <w:rsid w:val="00380701"/>
    <w:rsid w:val="00380FEC"/>
    <w:rsid w:val="0038131C"/>
    <w:rsid w:val="003816CF"/>
    <w:rsid w:val="003838D2"/>
    <w:rsid w:val="003847F1"/>
    <w:rsid w:val="00385569"/>
    <w:rsid w:val="003855EE"/>
    <w:rsid w:val="00385FF4"/>
    <w:rsid w:val="0038651A"/>
    <w:rsid w:val="00386CDF"/>
    <w:rsid w:val="003879FE"/>
    <w:rsid w:val="00390829"/>
    <w:rsid w:val="003919F9"/>
    <w:rsid w:val="00391DE3"/>
    <w:rsid w:val="0039234A"/>
    <w:rsid w:val="003940C2"/>
    <w:rsid w:val="00394225"/>
    <w:rsid w:val="00394523"/>
    <w:rsid w:val="003949D0"/>
    <w:rsid w:val="00394CCE"/>
    <w:rsid w:val="0039794C"/>
    <w:rsid w:val="00397CD4"/>
    <w:rsid w:val="003A0A54"/>
    <w:rsid w:val="003A0C20"/>
    <w:rsid w:val="003A15DE"/>
    <w:rsid w:val="003A3ED5"/>
    <w:rsid w:val="003A4935"/>
    <w:rsid w:val="003A5008"/>
    <w:rsid w:val="003A6FB7"/>
    <w:rsid w:val="003A7615"/>
    <w:rsid w:val="003B0520"/>
    <w:rsid w:val="003B072E"/>
    <w:rsid w:val="003B0749"/>
    <w:rsid w:val="003B17F2"/>
    <w:rsid w:val="003B19EF"/>
    <w:rsid w:val="003B2585"/>
    <w:rsid w:val="003B2CEA"/>
    <w:rsid w:val="003B4A7F"/>
    <w:rsid w:val="003B58E0"/>
    <w:rsid w:val="003B5966"/>
    <w:rsid w:val="003B6973"/>
    <w:rsid w:val="003B72E8"/>
    <w:rsid w:val="003B76E3"/>
    <w:rsid w:val="003C076A"/>
    <w:rsid w:val="003C1020"/>
    <w:rsid w:val="003C2696"/>
    <w:rsid w:val="003C35DE"/>
    <w:rsid w:val="003C38B5"/>
    <w:rsid w:val="003C3B04"/>
    <w:rsid w:val="003C5D99"/>
    <w:rsid w:val="003C63E5"/>
    <w:rsid w:val="003C6B06"/>
    <w:rsid w:val="003C7E14"/>
    <w:rsid w:val="003D0523"/>
    <w:rsid w:val="003D0980"/>
    <w:rsid w:val="003D12F6"/>
    <w:rsid w:val="003D2005"/>
    <w:rsid w:val="003D27B5"/>
    <w:rsid w:val="003D2A91"/>
    <w:rsid w:val="003D2F81"/>
    <w:rsid w:val="003D42B3"/>
    <w:rsid w:val="003D4F61"/>
    <w:rsid w:val="003D62DB"/>
    <w:rsid w:val="003D7C49"/>
    <w:rsid w:val="003D7E16"/>
    <w:rsid w:val="003E0838"/>
    <w:rsid w:val="003E1047"/>
    <w:rsid w:val="003E17AD"/>
    <w:rsid w:val="003E1BFE"/>
    <w:rsid w:val="003E2F59"/>
    <w:rsid w:val="003E3194"/>
    <w:rsid w:val="003E4365"/>
    <w:rsid w:val="003E4967"/>
    <w:rsid w:val="003E5B5E"/>
    <w:rsid w:val="003E633D"/>
    <w:rsid w:val="003E637D"/>
    <w:rsid w:val="003E664A"/>
    <w:rsid w:val="003E7533"/>
    <w:rsid w:val="003F0789"/>
    <w:rsid w:val="003F07E6"/>
    <w:rsid w:val="003F0B94"/>
    <w:rsid w:val="003F0F2F"/>
    <w:rsid w:val="003F11E3"/>
    <w:rsid w:val="003F1AA9"/>
    <w:rsid w:val="003F3047"/>
    <w:rsid w:val="003F5B22"/>
    <w:rsid w:val="003F5C15"/>
    <w:rsid w:val="003F630D"/>
    <w:rsid w:val="003F7193"/>
    <w:rsid w:val="00400398"/>
    <w:rsid w:val="004011C2"/>
    <w:rsid w:val="00401218"/>
    <w:rsid w:val="00401882"/>
    <w:rsid w:val="00402080"/>
    <w:rsid w:val="004024A6"/>
    <w:rsid w:val="00402526"/>
    <w:rsid w:val="00403AC6"/>
    <w:rsid w:val="00403EF6"/>
    <w:rsid w:val="004100C8"/>
    <w:rsid w:val="004101E5"/>
    <w:rsid w:val="00411DBD"/>
    <w:rsid w:val="0041238D"/>
    <w:rsid w:val="00412ACE"/>
    <w:rsid w:val="00413175"/>
    <w:rsid w:val="00413B04"/>
    <w:rsid w:val="00416BD0"/>
    <w:rsid w:val="004173FB"/>
    <w:rsid w:val="00417E7E"/>
    <w:rsid w:val="0042215E"/>
    <w:rsid w:val="00422F8D"/>
    <w:rsid w:val="0042331C"/>
    <w:rsid w:val="0042468F"/>
    <w:rsid w:val="004249FA"/>
    <w:rsid w:val="00425FB0"/>
    <w:rsid w:val="004265E8"/>
    <w:rsid w:val="0042714D"/>
    <w:rsid w:val="0042774E"/>
    <w:rsid w:val="00430033"/>
    <w:rsid w:val="00431249"/>
    <w:rsid w:val="004328B7"/>
    <w:rsid w:val="004349DB"/>
    <w:rsid w:val="00434C19"/>
    <w:rsid w:val="00435964"/>
    <w:rsid w:val="0043602B"/>
    <w:rsid w:val="004370DE"/>
    <w:rsid w:val="004404B1"/>
    <w:rsid w:val="004405F1"/>
    <w:rsid w:val="004414C7"/>
    <w:rsid w:val="00441EE2"/>
    <w:rsid w:val="004431BB"/>
    <w:rsid w:val="00443C83"/>
    <w:rsid w:val="0044634D"/>
    <w:rsid w:val="00450810"/>
    <w:rsid w:val="00450C6F"/>
    <w:rsid w:val="00452934"/>
    <w:rsid w:val="00452F82"/>
    <w:rsid w:val="00453286"/>
    <w:rsid w:val="004534CD"/>
    <w:rsid w:val="00453B6C"/>
    <w:rsid w:val="00453E29"/>
    <w:rsid w:val="00454541"/>
    <w:rsid w:val="004548F4"/>
    <w:rsid w:val="0045658D"/>
    <w:rsid w:val="0045719E"/>
    <w:rsid w:val="00457B0C"/>
    <w:rsid w:val="00460AB4"/>
    <w:rsid w:val="00463B2D"/>
    <w:rsid w:val="004661A0"/>
    <w:rsid w:val="00466EEE"/>
    <w:rsid w:val="00467591"/>
    <w:rsid w:val="00467F7F"/>
    <w:rsid w:val="00470B45"/>
    <w:rsid w:val="00471A43"/>
    <w:rsid w:val="00472FFA"/>
    <w:rsid w:val="00475AC2"/>
    <w:rsid w:val="00476575"/>
    <w:rsid w:val="00477144"/>
    <w:rsid w:val="00477C45"/>
    <w:rsid w:val="00477C7F"/>
    <w:rsid w:val="00477CF6"/>
    <w:rsid w:val="00480E26"/>
    <w:rsid w:val="00480EB7"/>
    <w:rsid w:val="004813A0"/>
    <w:rsid w:val="00481652"/>
    <w:rsid w:val="00481C48"/>
    <w:rsid w:val="004821C6"/>
    <w:rsid w:val="004823AE"/>
    <w:rsid w:val="004825DE"/>
    <w:rsid w:val="00485376"/>
    <w:rsid w:val="00485B14"/>
    <w:rsid w:val="00486F93"/>
    <w:rsid w:val="004873EE"/>
    <w:rsid w:val="00491A2F"/>
    <w:rsid w:val="0049459F"/>
    <w:rsid w:val="00495887"/>
    <w:rsid w:val="004A1A07"/>
    <w:rsid w:val="004A2DB3"/>
    <w:rsid w:val="004A38DD"/>
    <w:rsid w:val="004A3F29"/>
    <w:rsid w:val="004A49C0"/>
    <w:rsid w:val="004A4F0E"/>
    <w:rsid w:val="004A5917"/>
    <w:rsid w:val="004A5F60"/>
    <w:rsid w:val="004A67AF"/>
    <w:rsid w:val="004A6B89"/>
    <w:rsid w:val="004A79E3"/>
    <w:rsid w:val="004A7F95"/>
    <w:rsid w:val="004B006E"/>
    <w:rsid w:val="004B0E41"/>
    <w:rsid w:val="004B2530"/>
    <w:rsid w:val="004B43AE"/>
    <w:rsid w:val="004B4C8C"/>
    <w:rsid w:val="004C0392"/>
    <w:rsid w:val="004C0DBF"/>
    <w:rsid w:val="004C1268"/>
    <w:rsid w:val="004C30B0"/>
    <w:rsid w:val="004C30ED"/>
    <w:rsid w:val="004C3957"/>
    <w:rsid w:val="004C461B"/>
    <w:rsid w:val="004C57C6"/>
    <w:rsid w:val="004C62EF"/>
    <w:rsid w:val="004C6C13"/>
    <w:rsid w:val="004C7C58"/>
    <w:rsid w:val="004D2949"/>
    <w:rsid w:val="004D5675"/>
    <w:rsid w:val="004D597E"/>
    <w:rsid w:val="004D5CD0"/>
    <w:rsid w:val="004D7503"/>
    <w:rsid w:val="004D77E1"/>
    <w:rsid w:val="004E30E5"/>
    <w:rsid w:val="004E4C55"/>
    <w:rsid w:val="004E5A49"/>
    <w:rsid w:val="004E5E56"/>
    <w:rsid w:val="004E6909"/>
    <w:rsid w:val="004F09ED"/>
    <w:rsid w:val="004F0C48"/>
    <w:rsid w:val="004F1521"/>
    <w:rsid w:val="004F1863"/>
    <w:rsid w:val="004F21B2"/>
    <w:rsid w:val="004F3075"/>
    <w:rsid w:val="004F4800"/>
    <w:rsid w:val="004F4826"/>
    <w:rsid w:val="004F5149"/>
    <w:rsid w:val="004F5CE2"/>
    <w:rsid w:val="00500318"/>
    <w:rsid w:val="00500672"/>
    <w:rsid w:val="00502043"/>
    <w:rsid w:val="005029C1"/>
    <w:rsid w:val="00503552"/>
    <w:rsid w:val="00506977"/>
    <w:rsid w:val="00507569"/>
    <w:rsid w:val="005076FF"/>
    <w:rsid w:val="00507B9F"/>
    <w:rsid w:val="00507FBC"/>
    <w:rsid w:val="0051173E"/>
    <w:rsid w:val="00511A43"/>
    <w:rsid w:val="005124ED"/>
    <w:rsid w:val="00512775"/>
    <w:rsid w:val="00512A75"/>
    <w:rsid w:val="00512D2C"/>
    <w:rsid w:val="00513AF9"/>
    <w:rsid w:val="00514173"/>
    <w:rsid w:val="00514670"/>
    <w:rsid w:val="00515537"/>
    <w:rsid w:val="00515A68"/>
    <w:rsid w:val="00515B1B"/>
    <w:rsid w:val="00516A29"/>
    <w:rsid w:val="005170DE"/>
    <w:rsid w:val="0051754A"/>
    <w:rsid w:val="0051768B"/>
    <w:rsid w:val="00520A4C"/>
    <w:rsid w:val="0052160B"/>
    <w:rsid w:val="0052247F"/>
    <w:rsid w:val="00522C03"/>
    <w:rsid w:val="00523639"/>
    <w:rsid w:val="00523CE2"/>
    <w:rsid w:val="00526360"/>
    <w:rsid w:val="005305A0"/>
    <w:rsid w:val="00534489"/>
    <w:rsid w:val="00535907"/>
    <w:rsid w:val="00535D12"/>
    <w:rsid w:val="00537C62"/>
    <w:rsid w:val="00537DFE"/>
    <w:rsid w:val="00541056"/>
    <w:rsid w:val="005421C7"/>
    <w:rsid w:val="00542362"/>
    <w:rsid w:val="0054295D"/>
    <w:rsid w:val="00543807"/>
    <w:rsid w:val="0054446B"/>
    <w:rsid w:val="0054568F"/>
    <w:rsid w:val="00550100"/>
    <w:rsid w:val="00550343"/>
    <w:rsid w:val="00550857"/>
    <w:rsid w:val="00550A4F"/>
    <w:rsid w:val="00551F10"/>
    <w:rsid w:val="00552043"/>
    <w:rsid w:val="005521F9"/>
    <w:rsid w:val="005524BB"/>
    <w:rsid w:val="005526ED"/>
    <w:rsid w:val="00553D4E"/>
    <w:rsid w:val="00553DCF"/>
    <w:rsid w:val="0055583C"/>
    <w:rsid w:val="00555C1B"/>
    <w:rsid w:val="00555EC1"/>
    <w:rsid w:val="00556264"/>
    <w:rsid w:val="005564B8"/>
    <w:rsid w:val="0055651E"/>
    <w:rsid w:val="00556D0D"/>
    <w:rsid w:val="00556F0A"/>
    <w:rsid w:val="0055722B"/>
    <w:rsid w:val="00557E2E"/>
    <w:rsid w:val="005602B7"/>
    <w:rsid w:val="0056108D"/>
    <w:rsid w:val="00561AC3"/>
    <w:rsid w:val="005623BD"/>
    <w:rsid w:val="0056355D"/>
    <w:rsid w:val="005659AB"/>
    <w:rsid w:val="00565D1C"/>
    <w:rsid w:val="00565DD1"/>
    <w:rsid w:val="00566537"/>
    <w:rsid w:val="00566A02"/>
    <w:rsid w:val="00566E67"/>
    <w:rsid w:val="00570F18"/>
    <w:rsid w:val="00571664"/>
    <w:rsid w:val="00571719"/>
    <w:rsid w:val="00571789"/>
    <w:rsid w:val="00571F3B"/>
    <w:rsid w:val="0057292A"/>
    <w:rsid w:val="00572B84"/>
    <w:rsid w:val="00573068"/>
    <w:rsid w:val="00573575"/>
    <w:rsid w:val="005735D9"/>
    <w:rsid w:val="00573CE7"/>
    <w:rsid w:val="00575178"/>
    <w:rsid w:val="005764A9"/>
    <w:rsid w:val="005764B4"/>
    <w:rsid w:val="005767FB"/>
    <w:rsid w:val="005769A4"/>
    <w:rsid w:val="00576EA2"/>
    <w:rsid w:val="005772AE"/>
    <w:rsid w:val="00581248"/>
    <w:rsid w:val="00582FB8"/>
    <w:rsid w:val="00583C39"/>
    <w:rsid w:val="005846A5"/>
    <w:rsid w:val="005874A3"/>
    <w:rsid w:val="005909CF"/>
    <w:rsid w:val="00590BBE"/>
    <w:rsid w:val="00591E71"/>
    <w:rsid w:val="0059231D"/>
    <w:rsid w:val="005925B2"/>
    <w:rsid w:val="00593C63"/>
    <w:rsid w:val="005950AD"/>
    <w:rsid w:val="005951A9"/>
    <w:rsid w:val="00596A43"/>
    <w:rsid w:val="005973F9"/>
    <w:rsid w:val="005A0D41"/>
    <w:rsid w:val="005A19CD"/>
    <w:rsid w:val="005A2CE1"/>
    <w:rsid w:val="005A3BEC"/>
    <w:rsid w:val="005A3E1D"/>
    <w:rsid w:val="005A48DE"/>
    <w:rsid w:val="005A499C"/>
    <w:rsid w:val="005A561C"/>
    <w:rsid w:val="005A569F"/>
    <w:rsid w:val="005A56D9"/>
    <w:rsid w:val="005A58DB"/>
    <w:rsid w:val="005A5D61"/>
    <w:rsid w:val="005A6F7F"/>
    <w:rsid w:val="005B1190"/>
    <w:rsid w:val="005B36FB"/>
    <w:rsid w:val="005B3DE7"/>
    <w:rsid w:val="005B4D90"/>
    <w:rsid w:val="005B533C"/>
    <w:rsid w:val="005B56A2"/>
    <w:rsid w:val="005B5BB6"/>
    <w:rsid w:val="005B5C68"/>
    <w:rsid w:val="005B67FA"/>
    <w:rsid w:val="005B7907"/>
    <w:rsid w:val="005C0577"/>
    <w:rsid w:val="005C0DB8"/>
    <w:rsid w:val="005C21EB"/>
    <w:rsid w:val="005C22C3"/>
    <w:rsid w:val="005C29D3"/>
    <w:rsid w:val="005C2F43"/>
    <w:rsid w:val="005C3154"/>
    <w:rsid w:val="005C391E"/>
    <w:rsid w:val="005C417E"/>
    <w:rsid w:val="005C51B0"/>
    <w:rsid w:val="005C53F7"/>
    <w:rsid w:val="005C59F1"/>
    <w:rsid w:val="005C5A9F"/>
    <w:rsid w:val="005C5E77"/>
    <w:rsid w:val="005C5F29"/>
    <w:rsid w:val="005C6ACB"/>
    <w:rsid w:val="005C7869"/>
    <w:rsid w:val="005C78C0"/>
    <w:rsid w:val="005C7DA3"/>
    <w:rsid w:val="005D0A0E"/>
    <w:rsid w:val="005D0A18"/>
    <w:rsid w:val="005D18F3"/>
    <w:rsid w:val="005D1AC4"/>
    <w:rsid w:val="005D3421"/>
    <w:rsid w:val="005D4B87"/>
    <w:rsid w:val="005D4C6B"/>
    <w:rsid w:val="005D53DD"/>
    <w:rsid w:val="005D5A71"/>
    <w:rsid w:val="005D63F7"/>
    <w:rsid w:val="005D720B"/>
    <w:rsid w:val="005E0888"/>
    <w:rsid w:val="005E0A42"/>
    <w:rsid w:val="005E181A"/>
    <w:rsid w:val="005E2CEF"/>
    <w:rsid w:val="005E30F0"/>
    <w:rsid w:val="005E3725"/>
    <w:rsid w:val="005E3D6B"/>
    <w:rsid w:val="005E4FA6"/>
    <w:rsid w:val="005E51D8"/>
    <w:rsid w:val="005E6D4E"/>
    <w:rsid w:val="005E7349"/>
    <w:rsid w:val="005E74C0"/>
    <w:rsid w:val="005E7B3C"/>
    <w:rsid w:val="005F02CC"/>
    <w:rsid w:val="005F1BDB"/>
    <w:rsid w:val="005F2735"/>
    <w:rsid w:val="005F440D"/>
    <w:rsid w:val="005F47E8"/>
    <w:rsid w:val="005F4C11"/>
    <w:rsid w:val="005F4C43"/>
    <w:rsid w:val="005F7540"/>
    <w:rsid w:val="005F7AE8"/>
    <w:rsid w:val="006029A2"/>
    <w:rsid w:val="00603BA4"/>
    <w:rsid w:val="0060440F"/>
    <w:rsid w:val="0060541A"/>
    <w:rsid w:val="00605CE8"/>
    <w:rsid w:val="00605E2A"/>
    <w:rsid w:val="006065AC"/>
    <w:rsid w:val="00607BF1"/>
    <w:rsid w:val="0061019D"/>
    <w:rsid w:val="00610AED"/>
    <w:rsid w:val="00610EAA"/>
    <w:rsid w:val="00610EC9"/>
    <w:rsid w:val="00611896"/>
    <w:rsid w:val="00612E2C"/>
    <w:rsid w:val="006140DD"/>
    <w:rsid w:val="00615B94"/>
    <w:rsid w:val="0061640B"/>
    <w:rsid w:val="00616555"/>
    <w:rsid w:val="00616D21"/>
    <w:rsid w:val="00617DAE"/>
    <w:rsid w:val="00617E3B"/>
    <w:rsid w:val="006201C7"/>
    <w:rsid w:val="00622339"/>
    <w:rsid w:val="006230C6"/>
    <w:rsid w:val="00623FD9"/>
    <w:rsid w:val="00624BD5"/>
    <w:rsid w:val="0062569A"/>
    <w:rsid w:val="00627F6E"/>
    <w:rsid w:val="00630967"/>
    <w:rsid w:val="006309DC"/>
    <w:rsid w:val="00630D4D"/>
    <w:rsid w:val="00632A74"/>
    <w:rsid w:val="00633D9E"/>
    <w:rsid w:val="006355E8"/>
    <w:rsid w:val="00636610"/>
    <w:rsid w:val="00637101"/>
    <w:rsid w:val="00637E31"/>
    <w:rsid w:val="00640466"/>
    <w:rsid w:val="00640EA1"/>
    <w:rsid w:val="00641C3A"/>
    <w:rsid w:val="00641CDD"/>
    <w:rsid w:val="00643F42"/>
    <w:rsid w:val="0064430B"/>
    <w:rsid w:val="00644665"/>
    <w:rsid w:val="00645AA2"/>
    <w:rsid w:val="00646AEA"/>
    <w:rsid w:val="006508C9"/>
    <w:rsid w:val="00652658"/>
    <w:rsid w:val="0065397E"/>
    <w:rsid w:val="00653EC1"/>
    <w:rsid w:val="00654388"/>
    <w:rsid w:val="006558CC"/>
    <w:rsid w:val="006565B9"/>
    <w:rsid w:val="00656750"/>
    <w:rsid w:val="006571A0"/>
    <w:rsid w:val="00660354"/>
    <w:rsid w:val="0066122B"/>
    <w:rsid w:val="00661BE1"/>
    <w:rsid w:val="00662776"/>
    <w:rsid w:val="00662EE6"/>
    <w:rsid w:val="00663AF1"/>
    <w:rsid w:val="00663EE4"/>
    <w:rsid w:val="0066469D"/>
    <w:rsid w:val="00664812"/>
    <w:rsid w:val="00664FF8"/>
    <w:rsid w:val="00665366"/>
    <w:rsid w:val="00667CE1"/>
    <w:rsid w:val="0067002E"/>
    <w:rsid w:val="00670073"/>
    <w:rsid w:val="0067044E"/>
    <w:rsid w:val="00670679"/>
    <w:rsid w:val="00670FA2"/>
    <w:rsid w:val="0067190D"/>
    <w:rsid w:val="00676307"/>
    <w:rsid w:val="00677D00"/>
    <w:rsid w:val="006818B6"/>
    <w:rsid w:val="00683107"/>
    <w:rsid w:val="00684313"/>
    <w:rsid w:val="00684E98"/>
    <w:rsid w:val="006863FC"/>
    <w:rsid w:val="006875BB"/>
    <w:rsid w:val="0069150C"/>
    <w:rsid w:val="00691546"/>
    <w:rsid w:val="00691E57"/>
    <w:rsid w:val="00692055"/>
    <w:rsid w:val="0069304D"/>
    <w:rsid w:val="00693343"/>
    <w:rsid w:val="0069336E"/>
    <w:rsid w:val="00693A4D"/>
    <w:rsid w:val="0069661E"/>
    <w:rsid w:val="00696FD5"/>
    <w:rsid w:val="00697084"/>
    <w:rsid w:val="00697824"/>
    <w:rsid w:val="006A1F4C"/>
    <w:rsid w:val="006A2FDB"/>
    <w:rsid w:val="006A3137"/>
    <w:rsid w:val="006A4655"/>
    <w:rsid w:val="006A5044"/>
    <w:rsid w:val="006A58AD"/>
    <w:rsid w:val="006A6318"/>
    <w:rsid w:val="006A761F"/>
    <w:rsid w:val="006A7EF2"/>
    <w:rsid w:val="006B1449"/>
    <w:rsid w:val="006B15B0"/>
    <w:rsid w:val="006B1994"/>
    <w:rsid w:val="006B1B28"/>
    <w:rsid w:val="006B2B3C"/>
    <w:rsid w:val="006B3118"/>
    <w:rsid w:val="006B3603"/>
    <w:rsid w:val="006B404E"/>
    <w:rsid w:val="006B4098"/>
    <w:rsid w:val="006B4518"/>
    <w:rsid w:val="006B6C87"/>
    <w:rsid w:val="006C1D81"/>
    <w:rsid w:val="006C290B"/>
    <w:rsid w:val="006C2EF8"/>
    <w:rsid w:val="006C39B3"/>
    <w:rsid w:val="006C3B88"/>
    <w:rsid w:val="006C3EEA"/>
    <w:rsid w:val="006C4F98"/>
    <w:rsid w:val="006C540A"/>
    <w:rsid w:val="006C58AB"/>
    <w:rsid w:val="006C5F96"/>
    <w:rsid w:val="006C6F51"/>
    <w:rsid w:val="006C7038"/>
    <w:rsid w:val="006C76A2"/>
    <w:rsid w:val="006D255F"/>
    <w:rsid w:val="006D257D"/>
    <w:rsid w:val="006D4A25"/>
    <w:rsid w:val="006D6BF3"/>
    <w:rsid w:val="006E032B"/>
    <w:rsid w:val="006E0849"/>
    <w:rsid w:val="006E0859"/>
    <w:rsid w:val="006E0BDE"/>
    <w:rsid w:val="006E22B3"/>
    <w:rsid w:val="006E3F14"/>
    <w:rsid w:val="006E4C41"/>
    <w:rsid w:val="006E4EB9"/>
    <w:rsid w:val="006E5372"/>
    <w:rsid w:val="006E5857"/>
    <w:rsid w:val="006E5EB0"/>
    <w:rsid w:val="006E7147"/>
    <w:rsid w:val="006E73EF"/>
    <w:rsid w:val="006E7764"/>
    <w:rsid w:val="006E77E1"/>
    <w:rsid w:val="006E7ACE"/>
    <w:rsid w:val="006F1537"/>
    <w:rsid w:val="006F164B"/>
    <w:rsid w:val="006F31D2"/>
    <w:rsid w:val="006F3A30"/>
    <w:rsid w:val="006F3D7F"/>
    <w:rsid w:val="006F552B"/>
    <w:rsid w:val="006F5BAF"/>
    <w:rsid w:val="006F621A"/>
    <w:rsid w:val="006F71F4"/>
    <w:rsid w:val="00700176"/>
    <w:rsid w:val="007009A3"/>
    <w:rsid w:val="0070162A"/>
    <w:rsid w:val="00701996"/>
    <w:rsid w:val="00702AFB"/>
    <w:rsid w:val="00703620"/>
    <w:rsid w:val="00703651"/>
    <w:rsid w:val="0070371F"/>
    <w:rsid w:val="00705637"/>
    <w:rsid w:val="00705AF4"/>
    <w:rsid w:val="00705D45"/>
    <w:rsid w:val="00705F79"/>
    <w:rsid w:val="0071016F"/>
    <w:rsid w:val="0071170E"/>
    <w:rsid w:val="00711B98"/>
    <w:rsid w:val="0071227E"/>
    <w:rsid w:val="007122F7"/>
    <w:rsid w:val="0071247F"/>
    <w:rsid w:val="0071324C"/>
    <w:rsid w:val="00713453"/>
    <w:rsid w:val="0071476B"/>
    <w:rsid w:val="00714D4D"/>
    <w:rsid w:val="0071684D"/>
    <w:rsid w:val="0072181F"/>
    <w:rsid w:val="00721C4E"/>
    <w:rsid w:val="00724901"/>
    <w:rsid w:val="00725177"/>
    <w:rsid w:val="00725E52"/>
    <w:rsid w:val="00727AA9"/>
    <w:rsid w:val="00730C58"/>
    <w:rsid w:val="00731A55"/>
    <w:rsid w:val="00731AF1"/>
    <w:rsid w:val="00731B60"/>
    <w:rsid w:val="00731C77"/>
    <w:rsid w:val="00732D01"/>
    <w:rsid w:val="00734B4A"/>
    <w:rsid w:val="00735B80"/>
    <w:rsid w:val="00736564"/>
    <w:rsid w:val="00737030"/>
    <w:rsid w:val="00740227"/>
    <w:rsid w:val="007417A7"/>
    <w:rsid w:val="007422AC"/>
    <w:rsid w:val="0074336C"/>
    <w:rsid w:val="00744D07"/>
    <w:rsid w:val="007461FC"/>
    <w:rsid w:val="00746853"/>
    <w:rsid w:val="007501BA"/>
    <w:rsid w:val="00750FB3"/>
    <w:rsid w:val="007513B7"/>
    <w:rsid w:val="00751409"/>
    <w:rsid w:val="007514DF"/>
    <w:rsid w:val="00751DF8"/>
    <w:rsid w:val="00752638"/>
    <w:rsid w:val="00754893"/>
    <w:rsid w:val="007554D3"/>
    <w:rsid w:val="007573C4"/>
    <w:rsid w:val="00760393"/>
    <w:rsid w:val="007604BB"/>
    <w:rsid w:val="0076110B"/>
    <w:rsid w:val="00763333"/>
    <w:rsid w:val="00763A59"/>
    <w:rsid w:val="0076404B"/>
    <w:rsid w:val="00764B4E"/>
    <w:rsid w:val="007659FA"/>
    <w:rsid w:val="0076779A"/>
    <w:rsid w:val="00770420"/>
    <w:rsid w:val="00771C6D"/>
    <w:rsid w:val="00771F74"/>
    <w:rsid w:val="0077380A"/>
    <w:rsid w:val="0077535E"/>
    <w:rsid w:val="00775ED2"/>
    <w:rsid w:val="007762EE"/>
    <w:rsid w:val="00776778"/>
    <w:rsid w:val="007777A1"/>
    <w:rsid w:val="00780CB7"/>
    <w:rsid w:val="00781470"/>
    <w:rsid w:val="0078192E"/>
    <w:rsid w:val="0078249F"/>
    <w:rsid w:val="0078307A"/>
    <w:rsid w:val="007832E4"/>
    <w:rsid w:val="00783FF1"/>
    <w:rsid w:val="0078400A"/>
    <w:rsid w:val="00785232"/>
    <w:rsid w:val="00785BE5"/>
    <w:rsid w:val="007861CA"/>
    <w:rsid w:val="007873FF"/>
    <w:rsid w:val="00787827"/>
    <w:rsid w:val="00787833"/>
    <w:rsid w:val="00787E87"/>
    <w:rsid w:val="0079270F"/>
    <w:rsid w:val="0079324B"/>
    <w:rsid w:val="0079473A"/>
    <w:rsid w:val="007957C9"/>
    <w:rsid w:val="00796BE8"/>
    <w:rsid w:val="007A1C3C"/>
    <w:rsid w:val="007A21EB"/>
    <w:rsid w:val="007A22AE"/>
    <w:rsid w:val="007A254A"/>
    <w:rsid w:val="007A4F2B"/>
    <w:rsid w:val="007A74D9"/>
    <w:rsid w:val="007B0A6F"/>
    <w:rsid w:val="007B0C3A"/>
    <w:rsid w:val="007B1A93"/>
    <w:rsid w:val="007B226D"/>
    <w:rsid w:val="007B3548"/>
    <w:rsid w:val="007B3928"/>
    <w:rsid w:val="007B4574"/>
    <w:rsid w:val="007B5706"/>
    <w:rsid w:val="007B683E"/>
    <w:rsid w:val="007C14B1"/>
    <w:rsid w:val="007C2352"/>
    <w:rsid w:val="007C2886"/>
    <w:rsid w:val="007C2ED4"/>
    <w:rsid w:val="007C36C9"/>
    <w:rsid w:val="007C3D0B"/>
    <w:rsid w:val="007C4DAF"/>
    <w:rsid w:val="007C4E30"/>
    <w:rsid w:val="007C51C9"/>
    <w:rsid w:val="007C636E"/>
    <w:rsid w:val="007C63BE"/>
    <w:rsid w:val="007C7B53"/>
    <w:rsid w:val="007D1183"/>
    <w:rsid w:val="007D13CA"/>
    <w:rsid w:val="007D1666"/>
    <w:rsid w:val="007D1861"/>
    <w:rsid w:val="007D2D9A"/>
    <w:rsid w:val="007D332B"/>
    <w:rsid w:val="007D54A4"/>
    <w:rsid w:val="007D60F3"/>
    <w:rsid w:val="007D6401"/>
    <w:rsid w:val="007D6588"/>
    <w:rsid w:val="007D6C9F"/>
    <w:rsid w:val="007D70BA"/>
    <w:rsid w:val="007E01E4"/>
    <w:rsid w:val="007E1E3F"/>
    <w:rsid w:val="007E2A16"/>
    <w:rsid w:val="007E3175"/>
    <w:rsid w:val="007E4899"/>
    <w:rsid w:val="007E4A34"/>
    <w:rsid w:val="007E69E1"/>
    <w:rsid w:val="007E76AA"/>
    <w:rsid w:val="007E7AA0"/>
    <w:rsid w:val="007F0512"/>
    <w:rsid w:val="007F051E"/>
    <w:rsid w:val="007F0BC6"/>
    <w:rsid w:val="007F0E02"/>
    <w:rsid w:val="007F18B1"/>
    <w:rsid w:val="007F1C61"/>
    <w:rsid w:val="007F388E"/>
    <w:rsid w:val="007F3E4E"/>
    <w:rsid w:val="007F42A5"/>
    <w:rsid w:val="007F44AB"/>
    <w:rsid w:val="007F4C7F"/>
    <w:rsid w:val="007F531B"/>
    <w:rsid w:val="007F578E"/>
    <w:rsid w:val="007F626D"/>
    <w:rsid w:val="007F6CF5"/>
    <w:rsid w:val="007F6E33"/>
    <w:rsid w:val="007F7107"/>
    <w:rsid w:val="007F76A1"/>
    <w:rsid w:val="007F7EBF"/>
    <w:rsid w:val="00800216"/>
    <w:rsid w:val="008014ED"/>
    <w:rsid w:val="0080337B"/>
    <w:rsid w:val="00804FD3"/>
    <w:rsid w:val="00807522"/>
    <w:rsid w:val="0081030F"/>
    <w:rsid w:val="0081056B"/>
    <w:rsid w:val="008111F2"/>
    <w:rsid w:val="00812B4D"/>
    <w:rsid w:val="0081332D"/>
    <w:rsid w:val="008148C8"/>
    <w:rsid w:val="008149CD"/>
    <w:rsid w:val="00814F4A"/>
    <w:rsid w:val="008163F4"/>
    <w:rsid w:val="00816F3F"/>
    <w:rsid w:val="008174A8"/>
    <w:rsid w:val="00817B37"/>
    <w:rsid w:val="008205EF"/>
    <w:rsid w:val="0082087D"/>
    <w:rsid w:val="00821063"/>
    <w:rsid w:val="00821266"/>
    <w:rsid w:val="00822395"/>
    <w:rsid w:val="00822FEE"/>
    <w:rsid w:val="0082394C"/>
    <w:rsid w:val="00824645"/>
    <w:rsid w:val="008254AB"/>
    <w:rsid w:val="008254FD"/>
    <w:rsid w:val="0082740C"/>
    <w:rsid w:val="008275E0"/>
    <w:rsid w:val="008300A0"/>
    <w:rsid w:val="00830E8C"/>
    <w:rsid w:val="008311F8"/>
    <w:rsid w:val="00831CAA"/>
    <w:rsid w:val="0083222D"/>
    <w:rsid w:val="00835116"/>
    <w:rsid w:val="00835502"/>
    <w:rsid w:val="00836086"/>
    <w:rsid w:val="0083737A"/>
    <w:rsid w:val="008378B8"/>
    <w:rsid w:val="008423B9"/>
    <w:rsid w:val="008423E3"/>
    <w:rsid w:val="00842933"/>
    <w:rsid w:val="008433E8"/>
    <w:rsid w:val="0084368F"/>
    <w:rsid w:val="00844358"/>
    <w:rsid w:val="008458EE"/>
    <w:rsid w:val="00845921"/>
    <w:rsid w:val="00845C78"/>
    <w:rsid w:val="00846D16"/>
    <w:rsid w:val="0084764A"/>
    <w:rsid w:val="0084789E"/>
    <w:rsid w:val="00850D43"/>
    <w:rsid w:val="00850F38"/>
    <w:rsid w:val="00851ADC"/>
    <w:rsid w:val="008525F3"/>
    <w:rsid w:val="00852EDD"/>
    <w:rsid w:val="00853188"/>
    <w:rsid w:val="0085330C"/>
    <w:rsid w:val="008535A6"/>
    <w:rsid w:val="008543D2"/>
    <w:rsid w:val="008567C5"/>
    <w:rsid w:val="0085759B"/>
    <w:rsid w:val="00857885"/>
    <w:rsid w:val="00857917"/>
    <w:rsid w:val="0086082C"/>
    <w:rsid w:val="008626AD"/>
    <w:rsid w:val="00862BB1"/>
    <w:rsid w:val="008634F3"/>
    <w:rsid w:val="00863BC8"/>
    <w:rsid w:val="00864AD5"/>
    <w:rsid w:val="00864ADC"/>
    <w:rsid w:val="0086622A"/>
    <w:rsid w:val="0086699D"/>
    <w:rsid w:val="008672DE"/>
    <w:rsid w:val="00867805"/>
    <w:rsid w:val="00871A0A"/>
    <w:rsid w:val="00872197"/>
    <w:rsid w:val="00873B3A"/>
    <w:rsid w:val="008740AA"/>
    <w:rsid w:val="0087755C"/>
    <w:rsid w:val="00880153"/>
    <w:rsid w:val="0088022B"/>
    <w:rsid w:val="008802AB"/>
    <w:rsid w:val="00880F97"/>
    <w:rsid w:val="0088133A"/>
    <w:rsid w:val="00881A6D"/>
    <w:rsid w:val="00882BEF"/>
    <w:rsid w:val="008836A4"/>
    <w:rsid w:val="00883BCF"/>
    <w:rsid w:val="00885C67"/>
    <w:rsid w:val="00886205"/>
    <w:rsid w:val="0089008C"/>
    <w:rsid w:val="0089085C"/>
    <w:rsid w:val="00891301"/>
    <w:rsid w:val="00891B80"/>
    <w:rsid w:val="00892726"/>
    <w:rsid w:val="0089285E"/>
    <w:rsid w:val="00893163"/>
    <w:rsid w:val="00893B20"/>
    <w:rsid w:val="00893BDC"/>
    <w:rsid w:val="0089436C"/>
    <w:rsid w:val="00894790"/>
    <w:rsid w:val="00897048"/>
    <w:rsid w:val="00897486"/>
    <w:rsid w:val="008A31A8"/>
    <w:rsid w:val="008A4129"/>
    <w:rsid w:val="008A55BD"/>
    <w:rsid w:val="008A6A78"/>
    <w:rsid w:val="008A6F1C"/>
    <w:rsid w:val="008B03B5"/>
    <w:rsid w:val="008B0A05"/>
    <w:rsid w:val="008B1AF7"/>
    <w:rsid w:val="008B2BDC"/>
    <w:rsid w:val="008B36D5"/>
    <w:rsid w:val="008B3F54"/>
    <w:rsid w:val="008B4BFF"/>
    <w:rsid w:val="008B5B3B"/>
    <w:rsid w:val="008B7DF4"/>
    <w:rsid w:val="008C07E9"/>
    <w:rsid w:val="008C084F"/>
    <w:rsid w:val="008C0CBD"/>
    <w:rsid w:val="008C1142"/>
    <w:rsid w:val="008C1B52"/>
    <w:rsid w:val="008C1EB1"/>
    <w:rsid w:val="008C3AB4"/>
    <w:rsid w:val="008C3E75"/>
    <w:rsid w:val="008C4004"/>
    <w:rsid w:val="008C43D8"/>
    <w:rsid w:val="008C52BD"/>
    <w:rsid w:val="008C6562"/>
    <w:rsid w:val="008C666F"/>
    <w:rsid w:val="008C708E"/>
    <w:rsid w:val="008D15F6"/>
    <w:rsid w:val="008D22B1"/>
    <w:rsid w:val="008D2A16"/>
    <w:rsid w:val="008D365C"/>
    <w:rsid w:val="008D3EDD"/>
    <w:rsid w:val="008D4786"/>
    <w:rsid w:val="008D514A"/>
    <w:rsid w:val="008D6889"/>
    <w:rsid w:val="008D6FAF"/>
    <w:rsid w:val="008E253E"/>
    <w:rsid w:val="008E29DF"/>
    <w:rsid w:val="008E2B72"/>
    <w:rsid w:val="008E2D80"/>
    <w:rsid w:val="008E31CB"/>
    <w:rsid w:val="008E3748"/>
    <w:rsid w:val="008E4932"/>
    <w:rsid w:val="008E577D"/>
    <w:rsid w:val="008E6400"/>
    <w:rsid w:val="008E64A8"/>
    <w:rsid w:val="008E747F"/>
    <w:rsid w:val="008F1C35"/>
    <w:rsid w:val="008F2891"/>
    <w:rsid w:val="008F3A55"/>
    <w:rsid w:val="008F3BAC"/>
    <w:rsid w:val="008F40B4"/>
    <w:rsid w:val="008F49A5"/>
    <w:rsid w:val="008F6A53"/>
    <w:rsid w:val="008F6C71"/>
    <w:rsid w:val="008F72E1"/>
    <w:rsid w:val="008F746C"/>
    <w:rsid w:val="00900714"/>
    <w:rsid w:val="00900961"/>
    <w:rsid w:val="00900B5B"/>
    <w:rsid w:val="00900BED"/>
    <w:rsid w:val="00900E76"/>
    <w:rsid w:val="00901335"/>
    <w:rsid w:val="0090192E"/>
    <w:rsid w:val="009030BF"/>
    <w:rsid w:val="009037F0"/>
    <w:rsid w:val="009048B7"/>
    <w:rsid w:val="0090643C"/>
    <w:rsid w:val="0091032F"/>
    <w:rsid w:val="00910CE2"/>
    <w:rsid w:val="00911511"/>
    <w:rsid w:val="00913B44"/>
    <w:rsid w:val="00914368"/>
    <w:rsid w:val="00914EE7"/>
    <w:rsid w:val="0091509F"/>
    <w:rsid w:val="00915E4E"/>
    <w:rsid w:val="0091723C"/>
    <w:rsid w:val="00917DC6"/>
    <w:rsid w:val="00921DA7"/>
    <w:rsid w:val="0092210B"/>
    <w:rsid w:val="0092266C"/>
    <w:rsid w:val="00923813"/>
    <w:rsid w:val="00923F30"/>
    <w:rsid w:val="00924323"/>
    <w:rsid w:val="009246CB"/>
    <w:rsid w:val="0092494D"/>
    <w:rsid w:val="00924A14"/>
    <w:rsid w:val="009268B2"/>
    <w:rsid w:val="00926921"/>
    <w:rsid w:val="00926BB9"/>
    <w:rsid w:val="00926ECC"/>
    <w:rsid w:val="0092761D"/>
    <w:rsid w:val="0092798D"/>
    <w:rsid w:val="009300CE"/>
    <w:rsid w:val="0093025D"/>
    <w:rsid w:val="00931076"/>
    <w:rsid w:val="0093161E"/>
    <w:rsid w:val="0093183A"/>
    <w:rsid w:val="00931BCB"/>
    <w:rsid w:val="00931F9A"/>
    <w:rsid w:val="00932FB4"/>
    <w:rsid w:val="009345D9"/>
    <w:rsid w:val="00934B15"/>
    <w:rsid w:val="009352DD"/>
    <w:rsid w:val="00935749"/>
    <w:rsid w:val="00935896"/>
    <w:rsid w:val="0093641B"/>
    <w:rsid w:val="00937D75"/>
    <w:rsid w:val="009401F2"/>
    <w:rsid w:val="0094136E"/>
    <w:rsid w:val="009417D6"/>
    <w:rsid w:val="00941DB8"/>
    <w:rsid w:val="00942706"/>
    <w:rsid w:val="00942B62"/>
    <w:rsid w:val="00942BCC"/>
    <w:rsid w:val="00943E36"/>
    <w:rsid w:val="0094518A"/>
    <w:rsid w:val="009500E3"/>
    <w:rsid w:val="00950FF1"/>
    <w:rsid w:val="00951750"/>
    <w:rsid w:val="00951DD6"/>
    <w:rsid w:val="00952892"/>
    <w:rsid w:val="00954920"/>
    <w:rsid w:val="00954D0C"/>
    <w:rsid w:val="00954F6C"/>
    <w:rsid w:val="00955286"/>
    <w:rsid w:val="00955B33"/>
    <w:rsid w:val="009560C7"/>
    <w:rsid w:val="00956A0C"/>
    <w:rsid w:val="00956BD9"/>
    <w:rsid w:val="0095798E"/>
    <w:rsid w:val="00957DF3"/>
    <w:rsid w:val="0096055A"/>
    <w:rsid w:val="009619E1"/>
    <w:rsid w:val="00962489"/>
    <w:rsid w:val="00963004"/>
    <w:rsid w:val="00963E67"/>
    <w:rsid w:val="00963E8C"/>
    <w:rsid w:val="009641E4"/>
    <w:rsid w:val="00965237"/>
    <w:rsid w:val="0096585D"/>
    <w:rsid w:val="0097209F"/>
    <w:rsid w:val="009726A7"/>
    <w:rsid w:val="009738A5"/>
    <w:rsid w:val="009744C5"/>
    <w:rsid w:val="0097493D"/>
    <w:rsid w:val="0097645F"/>
    <w:rsid w:val="00976EAD"/>
    <w:rsid w:val="00980B1F"/>
    <w:rsid w:val="00980B57"/>
    <w:rsid w:val="0098167B"/>
    <w:rsid w:val="00981D09"/>
    <w:rsid w:val="00981E58"/>
    <w:rsid w:val="00982140"/>
    <w:rsid w:val="00982512"/>
    <w:rsid w:val="009845C2"/>
    <w:rsid w:val="0098474E"/>
    <w:rsid w:val="009855C3"/>
    <w:rsid w:val="00985F51"/>
    <w:rsid w:val="00986045"/>
    <w:rsid w:val="00986BBD"/>
    <w:rsid w:val="00987B41"/>
    <w:rsid w:val="009900C4"/>
    <w:rsid w:val="00990C2C"/>
    <w:rsid w:val="00996842"/>
    <w:rsid w:val="00996928"/>
    <w:rsid w:val="00996B6B"/>
    <w:rsid w:val="009A0624"/>
    <w:rsid w:val="009A0767"/>
    <w:rsid w:val="009A313E"/>
    <w:rsid w:val="009A401D"/>
    <w:rsid w:val="009A42A8"/>
    <w:rsid w:val="009A430F"/>
    <w:rsid w:val="009A49DD"/>
    <w:rsid w:val="009A5F08"/>
    <w:rsid w:val="009B1082"/>
    <w:rsid w:val="009B1234"/>
    <w:rsid w:val="009B3B04"/>
    <w:rsid w:val="009B440D"/>
    <w:rsid w:val="009B45D0"/>
    <w:rsid w:val="009B5856"/>
    <w:rsid w:val="009B7830"/>
    <w:rsid w:val="009B7FE6"/>
    <w:rsid w:val="009C0500"/>
    <w:rsid w:val="009C266A"/>
    <w:rsid w:val="009C4C92"/>
    <w:rsid w:val="009C4EB2"/>
    <w:rsid w:val="009C5133"/>
    <w:rsid w:val="009C5886"/>
    <w:rsid w:val="009D055A"/>
    <w:rsid w:val="009D0C0C"/>
    <w:rsid w:val="009D1037"/>
    <w:rsid w:val="009D1D1F"/>
    <w:rsid w:val="009D2993"/>
    <w:rsid w:val="009D33C3"/>
    <w:rsid w:val="009D3DF8"/>
    <w:rsid w:val="009D436F"/>
    <w:rsid w:val="009D497F"/>
    <w:rsid w:val="009D7D2E"/>
    <w:rsid w:val="009E0AA3"/>
    <w:rsid w:val="009E191F"/>
    <w:rsid w:val="009E256C"/>
    <w:rsid w:val="009E498D"/>
    <w:rsid w:val="009E55A4"/>
    <w:rsid w:val="009E5CFD"/>
    <w:rsid w:val="009E5D52"/>
    <w:rsid w:val="009E5EF4"/>
    <w:rsid w:val="009E6920"/>
    <w:rsid w:val="009E74C2"/>
    <w:rsid w:val="009F0074"/>
    <w:rsid w:val="009F0784"/>
    <w:rsid w:val="009F142E"/>
    <w:rsid w:val="009F1444"/>
    <w:rsid w:val="009F2867"/>
    <w:rsid w:val="009F696D"/>
    <w:rsid w:val="009F6BC6"/>
    <w:rsid w:val="00A00A69"/>
    <w:rsid w:val="00A00B18"/>
    <w:rsid w:val="00A00DBF"/>
    <w:rsid w:val="00A02031"/>
    <w:rsid w:val="00A02EDF"/>
    <w:rsid w:val="00A02F32"/>
    <w:rsid w:val="00A05059"/>
    <w:rsid w:val="00A0614F"/>
    <w:rsid w:val="00A064C9"/>
    <w:rsid w:val="00A06C96"/>
    <w:rsid w:val="00A10279"/>
    <w:rsid w:val="00A10B8A"/>
    <w:rsid w:val="00A10E2D"/>
    <w:rsid w:val="00A133DE"/>
    <w:rsid w:val="00A14619"/>
    <w:rsid w:val="00A14A0E"/>
    <w:rsid w:val="00A14C45"/>
    <w:rsid w:val="00A166BB"/>
    <w:rsid w:val="00A169D3"/>
    <w:rsid w:val="00A16C7C"/>
    <w:rsid w:val="00A17328"/>
    <w:rsid w:val="00A176C1"/>
    <w:rsid w:val="00A2090E"/>
    <w:rsid w:val="00A23897"/>
    <w:rsid w:val="00A23A20"/>
    <w:rsid w:val="00A25288"/>
    <w:rsid w:val="00A25F89"/>
    <w:rsid w:val="00A2618A"/>
    <w:rsid w:val="00A26810"/>
    <w:rsid w:val="00A268B9"/>
    <w:rsid w:val="00A2703A"/>
    <w:rsid w:val="00A31B61"/>
    <w:rsid w:val="00A32527"/>
    <w:rsid w:val="00A329BC"/>
    <w:rsid w:val="00A32A56"/>
    <w:rsid w:val="00A33DFF"/>
    <w:rsid w:val="00A33E8F"/>
    <w:rsid w:val="00A35115"/>
    <w:rsid w:val="00A364EA"/>
    <w:rsid w:val="00A36909"/>
    <w:rsid w:val="00A36F7B"/>
    <w:rsid w:val="00A36FE6"/>
    <w:rsid w:val="00A37097"/>
    <w:rsid w:val="00A37223"/>
    <w:rsid w:val="00A37F43"/>
    <w:rsid w:val="00A44756"/>
    <w:rsid w:val="00A45353"/>
    <w:rsid w:val="00A4615F"/>
    <w:rsid w:val="00A4648F"/>
    <w:rsid w:val="00A465FE"/>
    <w:rsid w:val="00A46616"/>
    <w:rsid w:val="00A47903"/>
    <w:rsid w:val="00A47C6B"/>
    <w:rsid w:val="00A510D8"/>
    <w:rsid w:val="00A5121D"/>
    <w:rsid w:val="00A51366"/>
    <w:rsid w:val="00A52B85"/>
    <w:rsid w:val="00A5394A"/>
    <w:rsid w:val="00A53D1E"/>
    <w:rsid w:val="00A543A1"/>
    <w:rsid w:val="00A54B15"/>
    <w:rsid w:val="00A554AB"/>
    <w:rsid w:val="00A55FE3"/>
    <w:rsid w:val="00A5613C"/>
    <w:rsid w:val="00A57128"/>
    <w:rsid w:val="00A57CAD"/>
    <w:rsid w:val="00A6053F"/>
    <w:rsid w:val="00A60A7F"/>
    <w:rsid w:val="00A60EF0"/>
    <w:rsid w:val="00A60FA1"/>
    <w:rsid w:val="00A61BBB"/>
    <w:rsid w:val="00A61CFE"/>
    <w:rsid w:val="00A63A41"/>
    <w:rsid w:val="00A63DF8"/>
    <w:rsid w:val="00A63E9C"/>
    <w:rsid w:val="00A64263"/>
    <w:rsid w:val="00A65216"/>
    <w:rsid w:val="00A65B40"/>
    <w:rsid w:val="00A65B8C"/>
    <w:rsid w:val="00A65FB7"/>
    <w:rsid w:val="00A673FC"/>
    <w:rsid w:val="00A674AD"/>
    <w:rsid w:val="00A67AEF"/>
    <w:rsid w:val="00A70C29"/>
    <w:rsid w:val="00A70E45"/>
    <w:rsid w:val="00A71666"/>
    <w:rsid w:val="00A720A6"/>
    <w:rsid w:val="00A725F1"/>
    <w:rsid w:val="00A72C18"/>
    <w:rsid w:val="00A73B78"/>
    <w:rsid w:val="00A74A07"/>
    <w:rsid w:val="00A75556"/>
    <w:rsid w:val="00A76D97"/>
    <w:rsid w:val="00A80383"/>
    <w:rsid w:val="00A808E4"/>
    <w:rsid w:val="00A82C12"/>
    <w:rsid w:val="00A8423E"/>
    <w:rsid w:val="00A84B21"/>
    <w:rsid w:val="00A8527B"/>
    <w:rsid w:val="00A85C2A"/>
    <w:rsid w:val="00A86037"/>
    <w:rsid w:val="00A8739E"/>
    <w:rsid w:val="00A90637"/>
    <w:rsid w:val="00A9126D"/>
    <w:rsid w:val="00A922C9"/>
    <w:rsid w:val="00A92650"/>
    <w:rsid w:val="00A927D8"/>
    <w:rsid w:val="00A92B53"/>
    <w:rsid w:val="00A92E9D"/>
    <w:rsid w:val="00A92FF5"/>
    <w:rsid w:val="00A932D5"/>
    <w:rsid w:val="00A933F9"/>
    <w:rsid w:val="00A93402"/>
    <w:rsid w:val="00A93CB5"/>
    <w:rsid w:val="00A94FA6"/>
    <w:rsid w:val="00A94FC9"/>
    <w:rsid w:val="00A95369"/>
    <w:rsid w:val="00A95C7A"/>
    <w:rsid w:val="00A95E94"/>
    <w:rsid w:val="00A95F18"/>
    <w:rsid w:val="00A97594"/>
    <w:rsid w:val="00AA178D"/>
    <w:rsid w:val="00AA1FDA"/>
    <w:rsid w:val="00AA25FF"/>
    <w:rsid w:val="00AA455F"/>
    <w:rsid w:val="00AA49A0"/>
    <w:rsid w:val="00AA51F3"/>
    <w:rsid w:val="00AA558D"/>
    <w:rsid w:val="00AA55BF"/>
    <w:rsid w:val="00AA600D"/>
    <w:rsid w:val="00AA6710"/>
    <w:rsid w:val="00AA6DC6"/>
    <w:rsid w:val="00AA7164"/>
    <w:rsid w:val="00AA7F25"/>
    <w:rsid w:val="00AB0681"/>
    <w:rsid w:val="00AB0AF9"/>
    <w:rsid w:val="00AB39AB"/>
    <w:rsid w:val="00AB41F7"/>
    <w:rsid w:val="00AB4421"/>
    <w:rsid w:val="00AB55CC"/>
    <w:rsid w:val="00AB5E24"/>
    <w:rsid w:val="00AB6DB0"/>
    <w:rsid w:val="00AB6E4D"/>
    <w:rsid w:val="00AB7019"/>
    <w:rsid w:val="00AC20CA"/>
    <w:rsid w:val="00AC25FA"/>
    <w:rsid w:val="00AC2A46"/>
    <w:rsid w:val="00AC4C19"/>
    <w:rsid w:val="00AC6994"/>
    <w:rsid w:val="00AC71D3"/>
    <w:rsid w:val="00AC7A91"/>
    <w:rsid w:val="00AC7CC6"/>
    <w:rsid w:val="00AD01B5"/>
    <w:rsid w:val="00AD03CA"/>
    <w:rsid w:val="00AD045B"/>
    <w:rsid w:val="00AD07C0"/>
    <w:rsid w:val="00AD227D"/>
    <w:rsid w:val="00AD2C2F"/>
    <w:rsid w:val="00AD3134"/>
    <w:rsid w:val="00AD34E6"/>
    <w:rsid w:val="00AD3F26"/>
    <w:rsid w:val="00AD4CFF"/>
    <w:rsid w:val="00AD4D69"/>
    <w:rsid w:val="00AD520B"/>
    <w:rsid w:val="00AD68B9"/>
    <w:rsid w:val="00AD695A"/>
    <w:rsid w:val="00AD7F1D"/>
    <w:rsid w:val="00AE01A2"/>
    <w:rsid w:val="00AE0342"/>
    <w:rsid w:val="00AE1029"/>
    <w:rsid w:val="00AE10B2"/>
    <w:rsid w:val="00AE2584"/>
    <w:rsid w:val="00AE274D"/>
    <w:rsid w:val="00AE4174"/>
    <w:rsid w:val="00AE55B1"/>
    <w:rsid w:val="00AE6CDF"/>
    <w:rsid w:val="00AE75ED"/>
    <w:rsid w:val="00AF060B"/>
    <w:rsid w:val="00AF0A14"/>
    <w:rsid w:val="00AF1173"/>
    <w:rsid w:val="00AF24DD"/>
    <w:rsid w:val="00AF2B69"/>
    <w:rsid w:val="00AF3803"/>
    <w:rsid w:val="00AF391B"/>
    <w:rsid w:val="00AF4224"/>
    <w:rsid w:val="00AF619F"/>
    <w:rsid w:val="00AF75C6"/>
    <w:rsid w:val="00AF7D4D"/>
    <w:rsid w:val="00B02BB2"/>
    <w:rsid w:val="00B053C1"/>
    <w:rsid w:val="00B06733"/>
    <w:rsid w:val="00B06736"/>
    <w:rsid w:val="00B06B67"/>
    <w:rsid w:val="00B06E34"/>
    <w:rsid w:val="00B07C83"/>
    <w:rsid w:val="00B07CC3"/>
    <w:rsid w:val="00B108FD"/>
    <w:rsid w:val="00B10A12"/>
    <w:rsid w:val="00B12A7C"/>
    <w:rsid w:val="00B139E8"/>
    <w:rsid w:val="00B1430E"/>
    <w:rsid w:val="00B17721"/>
    <w:rsid w:val="00B17E70"/>
    <w:rsid w:val="00B17EE8"/>
    <w:rsid w:val="00B209CD"/>
    <w:rsid w:val="00B21EE0"/>
    <w:rsid w:val="00B22120"/>
    <w:rsid w:val="00B24318"/>
    <w:rsid w:val="00B24502"/>
    <w:rsid w:val="00B24BDA"/>
    <w:rsid w:val="00B25641"/>
    <w:rsid w:val="00B263E2"/>
    <w:rsid w:val="00B26E7C"/>
    <w:rsid w:val="00B30543"/>
    <w:rsid w:val="00B30957"/>
    <w:rsid w:val="00B32004"/>
    <w:rsid w:val="00B32874"/>
    <w:rsid w:val="00B328A2"/>
    <w:rsid w:val="00B32D36"/>
    <w:rsid w:val="00B33BAF"/>
    <w:rsid w:val="00B33D6E"/>
    <w:rsid w:val="00B3417D"/>
    <w:rsid w:val="00B3471F"/>
    <w:rsid w:val="00B364F0"/>
    <w:rsid w:val="00B372F7"/>
    <w:rsid w:val="00B374DA"/>
    <w:rsid w:val="00B37A4B"/>
    <w:rsid w:val="00B41106"/>
    <w:rsid w:val="00B41A9A"/>
    <w:rsid w:val="00B41BF0"/>
    <w:rsid w:val="00B41DD8"/>
    <w:rsid w:val="00B41DF2"/>
    <w:rsid w:val="00B42705"/>
    <w:rsid w:val="00B42A86"/>
    <w:rsid w:val="00B42DF7"/>
    <w:rsid w:val="00B42E48"/>
    <w:rsid w:val="00B43550"/>
    <w:rsid w:val="00B440AD"/>
    <w:rsid w:val="00B46F35"/>
    <w:rsid w:val="00B5193F"/>
    <w:rsid w:val="00B53DAE"/>
    <w:rsid w:val="00B53E7E"/>
    <w:rsid w:val="00B5458E"/>
    <w:rsid w:val="00B54E93"/>
    <w:rsid w:val="00B5612B"/>
    <w:rsid w:val="00B56AFE"/>
    <w:rsid w:val="00B60223"/>
    <w:rsid w:val="00B60C01"/>
    <w:rsid w:val="00B60D81"/>
    <w:rsid w:val="00B61DD7"/>
    <w:rsid w:val="00B63152"/>
    <w:rsid w:val="00B6342E"/>
    <w:rsid w:val="00B66AE3"/>
    <w:rsid w:val="00B67AFC"/>
    <w:rsid w:val="00B701B5"/>
    <w:rsid w:val="00B7113F"/>
    <w:rsid w:val="00B712DA"/>
    <w:rsid w:val="00B72F2E"/>
    <w:rsid w:val="00B73D4A"/>
    <w:rsid w:val="00B76314"/>
    <w:rsid w:val="00B770F9"/>
    <w:rsid w:val="00B80183"/>
    <w:rsid w:val="00B82BD5"/>
    <w:rsid w:val="00B832BD"/>
    <w:rsid w:val="00B8455F"/>
    <w:rsid w:val="00B84C45"/>
    <w:rsid w:val="00B8596B"/>
    <w:rsid w:val="00B87122"/>
    <w:rsid w:val="00B873B4"/>
    <w:rsid w:val="00B875B6"/>
    <w:rsid w:val="00B91552"/>
    <w:rsid w:val="00B919F8"/>
    <w:rsid w:val="00B91ABD"/>
    <w:rsid w:val="00B9233F"/>
    <w:rsid w:val="00B92DAA"/>
    <w:rsid w:val="00B93283"/>
    <w:rsid w:val="00B93508"/>
    <w:rsid w:val="00B93CC3"/>
    <w:rsid w:val="00B942F6"/>
    <w:rsid w:val="00B9480D"/>
    <w:rsid w:val="00B955EF"/>
    <w:rsid w:val="00B95C03"/>
    <w:rsid w:val="00B95CE9"/>
    <w:rsid w:val="00B96734"/>
    <w:rsid w:val="00B967DF"/>
    <w:rsid w:val="00B96876"/>
    <w:rsid w:val="00B96EBF"/>
    <w:rsid w:val="00B972B4"/>
    <w:rsid w:val="00B97CB8"/>
    <w:rsid w:val="00BA0567"/>
    <w:rsid w:val="00BA0D7D"/>
    <w:rsid w:val="00BA2641"/>
    <w:rsid w:val="00BA44E4"/>
    <w:rsid w:val="00BA5177"/>
    <w:rsid w:val="00BA6AA9"/>
    <w:rsid w:val="00BA6EC9"/>
    <w:rsid w:val="00BA73B6"/>
    <w:rsid w:val="00BA76ED"/>
    <w:rsid w:val="00BA7AF7"/>
    <w:rsid w:val="00BB2603"/>
    <w:rsid w:val="00BB4A41"/>
    <w:rsid w:val="00BB4FCD"/>
    <w:rsid w:val="00BB5558"/>
    <w:rsid w:val="00BB5898"/>
    <w:rsid w:val="00BB60F6"/>
    <w:rsid w:val="00BB767A"/>
    <w:rsid w:val="00BC0616"/>
    <w:rsid w:val="00BC197C"/>
    <w:rsid w:val="00BC1E1D"/>
    <w:rsid w:val="00BC2D5B"/>
    <w:rsid w:val="00BC49AC"/>
    <w:rsid w:val="00BC57AD"/>
    <w:rsid w:val="00BC74FA"/>
    <w:rsid w:val="00BC771F"/>
    <w:rsid w:val="00BD08CC"/>
    <w:rsid w:val="00BD13EA"/>
    <w:rsid w:val="00BD3311"/>
    <w:rsid w:val="00BD36F1"/>
    <w:rsid w:val="00BD3840"/>
    <w:rsid w:val="00BD409D"/>
    <w:rsid w:val="00BD5027"/>
    <w:rsid w:val="00BD67FB"/>
    <w:rsid w:val="00BD755A"/>
    <w:rsid w:val="00BD77B8"/>
    <w:rsid w:val="00BE0F0D"/>
    <w:rsid w:val="00BE1FC6"/>
    <w:rsid w:val="00BE276D"/>
    <w:rsid w:val="00BE2E65"/>
    <w:rsid w:val="00BE34AB"/>
    <w:rsid w:val="00BE3808"/>
    <w:rsid w:val="00BE3B18"/>
    <w:rsid w:val="00BE3D7D"/>
    <w:rsid w:val="00BE44DA"/>
    <w:rsid w:val="00BE464C"/>
    <w:rsid w:val="00BE4661"/>
    <w:rsid w:val="00BE4802"/>
    <w:rsid w:val="00BE49D9"/>
    <w:rsid w:val="00BE5023"/>
    <w:rsid w:val="00BE5240"/>
    <w:rsid w:val="00BE5A73"/>
    <w:rsid w:val="00BE69EB"/>
    <w:rsid w:val="00BE6C5F"/>
    <w:rsid w:val="00BE70DE"/>
    <w:rsid w:val="00BF0921"/>
    <w:rsid w:val="00BF0E37"/>
    <w:rsid w:val="00BF1D95"/>
    <w:rsid w:val="00BF29C0"/>
    <w:rsid w:val="00BF3AC5"/>
    <w:rsid w:val="00BF4B24"/>
    <w:rsid w:val="00BF4F8B"/>
    <w:rsid w:val="00BF6011"/>
    <w:rsid w:val="00BF6FB0"/>
    <w:rsid w:val="00BF755E"/>
    <w:rsid w:val="00C00BD2"/>
    <w:rsid w:val="00C0121D"/>
    <w:rsid w:val="00C01AF2"/>
    <w:rsid w:val="00C01BE4"/>
    <w:rsid w:val="00C029A7"/>
    <w:rsid w:val="00C03E19"/>
    <w:rsid w:val="00C05877"/>
    <w:rsid w:val="00C062E9"/>
    <w:rsid w:val="00C078E8"/>
    <w:rsid w:val="00C07B64"/>
    <w:rsid w:val="00C07D72"/>
    <w:rsid w:val="00C07E5A"/>
    <w:rsid w:val="00C10595"/>
    <w:rsid w:val="00C10F8E"/>
    <w:rsid w:val="00C12389"/>
    <w:rsid w:val="00C12AF9"/>
    <w:rsid w:val="00C12CB0"/>
    <w:rsid w:val="00C12DCC"/>
    <w:rsid w:val="00C12F38"/>
    <w:rsid w:val="00C13721"/>
    <w:rsid w:val="00C143AD"/>
    <w:rsid w:val="00C14EF5"/>
    <w:rsid w:val="00C15B49"/>
    <w:rsid w:val="00C16165"/>
    <w:rsid w:val="00C168ED"/>
    <w:rsid w:val="00C16A03"/>
    <w:rsid w:val="00C17133"/>
    <w:rsid w:val="00C172ED"/>
    <w:rsid w:val="00C17B3E"/>
    <w:rsid w:val="00C2042A"/>
    <w:rsid w:val="00C20A8A"/>
    <w:rsid w:val="00C21B6D"/>
    <w:rsid w:val="00C22544"/>
    <w:rsid w:val="00C23E26"/>
    <w:rsid w:val="00C24EF9"/>
    <w:rsid w:val="00C25BCD"/>
    <w:rsid w:val="00C26020"/>
    <w:rsid w:val="00C274B1"/>
    <w:rsid w:val="00C27841"/>
    <w:rsid w:val="00C27F57"/>
    <w:rsid w:val="00C304C0"/>
    <w:rsid w:val="00C3066D"/>
    <w:rsid w:val="00C31195"/>
    <w:rsid w:val="00C31675"/>
    <w:rsid w:val="00C31A76"/>
    <w:rsid w:val="00C32042"/>
    <w:rsid w:val="00C3465B"/>
    <w:rsid w:val="00C374AC"/>
    <w:rsid w:val="00C407F8"/>
    <w:rsid w:val="00C42CC1"/>
    <w:rsid w:val="00C450EB"/>
    <w:rsid w:val="00C45C08"/>
    <w:rsid w:val="00C47074"/>
    <w:rsid w:val="00C474B4"/>
    <w:rsid w:val="00C50D19"/>
    <w:rsid w:val="00C51E4B"/>
    <w:rsid w:val="00C532AB"/>
    <w:rsid w:val="00C53C22"/>
    <w:rsid w:val="00C53E0A"/>
    <w:rsid w:val="00C543F4"/>
    <w:rsid w:val="00C5462A"/>
    <w:rsid w:val="00C54D8B"/>
    <w:rsid w:val="00C56E57"/>
    <w:rsid w:val="00C60497"/>
    <w:rsid w:val="00C619A9"/>
    <w:rsid w:val="00C6291C"/>
    <w:rsid w:val="00C62BA2"/>
    <w:rsid w:val="00C633CB"/>
    <w:rsid w:val="00C64CF0"/>
    <w:rsid w:val="00C65900"/>
    <w:rsid w:val="00C65AED"/>
    <w:rsid w:val="00C67114"/>
    <w:rsid w:val="00C70A9D"/>
    <w:rsid w:val="00C70D5E"/>
    <w:rsid w:val="00C723BB"/>
    <w:rsid w:val="00C72455"/>
    <w:rsid w:val="00C733B2"/>
    <w:rsid w:val="00C73618"/>
    <w:rsid w:val="00C73F6D"/>
    <w:rsid w:val="00C745E2"/>
    <w:rsid w:val="00C76CCD"/>
    <w:rsid w:val="00C776B4"/>
    <w:rsid w:val="00C7788E"/>
    <w:rsid w:val="00C806D5"/>
    <w:rsid w:val="00C80C3A"/>
    <w:rsid w:val="00C813CC"/>
    <w:rsid w:val="00C81CD9"/>
    <w:rsid w:val="00C82570"/>
    <w:rsid w:val="00C829F8"/>
    <w:rsid w:val="00C84CD5"/>
    <w:rsid w:val="00C8587B"/>
    <w:rsid w:val="00C85A1B"/>
    <w:rsid w:val="00C85C55"/>
    <w:rsid w:val="00C85CBC"/>
    <w:rsid w:val="00C8762C"/>
    <w:rsid w:val="00C90672"/>
    <w:rsid w:val="00C90C5B"/>
    <w:rsid w:val="00C92169"/>
    <w:rsid w:val="00C94F96"/>
    <w:rsid w:val="00C96199"/>
    <w:rsid w:val="00CA00F9"/>
    <w:rsid w:val="00CA0160"/>
    <w:rsid w:val="00CA22A5"/>
    <w:rsid w:val="00CA2823"/>
    <w:rsid w:val="00CA2961"/>
    <w:rsid w:val="00CA3D6C"/>
    <w:rsid w:val="00CA44E9"/>
    <w:rsid w:val="00CA5ED4"/>
    <w:rsid w:val="00CA62C0"/>
    <w:rsid w:val="00CB0675"/>
    <w:rsid w:val="00CB257C"/>
    <w:rsid w:val="00CB3DA9"/>
    <w:rsid w:val="00CB4721"/>
    <w:rsid w:val="00CB50D7"/>
    <w:rsid w:val="00CB520D"/>
    <w:rsid w:val="00CB7177"/>
    <w:rsid w:val="00CB7F7B"/>
    <w:rsid w:val="00CC0333"/>
    <w:rsid w:val="00CC0E52"/>
    <w:rsid w:val="00CC1998"/>
    <w:rsid w:val="00CC2303"/>
    <w:rsid w:val="00CC2A76"/>
    <w:rsid w:val="00CC31F8"/>
    <w:rsid w:val="00CC43FC"/>
    <w:rsid w:val="00CC4946"/>
    <w:rsid w:val="00CC5BF4"/>
    <w:rsid w:val="00CC5C47"/>
    <w:rsid w:val="00CC5F33"/>
    <w:rsid w:val="00CC652B"/>
    <w:rsid w:val="00CC6FF1"/>
    <w:rsid w:val="00CC7442"/>
    <w:rsid w:val="00CC7650"/>
    <w:rsid w:val="00CD1571"/>
    <w:rsid w:val="00CD2C44"/>
    <w:rsid w:val="00CD3EAF"/>
    <w:rsid w:val="00CD4EA6"/>
    <w:rsid w:val="00CD522A"/>
    <w:rsid w:val="00CD6B47"/>
    <w:rsid w:val="00CD6EA8"/>
    <w:rsid w:val="00CD781A"/>
    <w:rsid w:val="00CE0EB2"/>
    <w:rsid w:val="00CE1A78"/>
    <w:rsid w:val="00CE25E2"/>
    <w:rsid w:val="00CE2D03"/>
    <w:rsid w:val="00CE2E24"/>
    <w:rsid w:val="00CE2F2F"/>
    <w:rsid w:val="00CE4563"/>
    <w:rsid w:val="00CE571D"/>
    <w:rsid w:val="00CE6542"/>
    <w:rsid w:val="00CE7E54"/>
    <w:rsid w:val="00CF0CEA"/>
    <w:rsid w:val="00CF18D5"/>
    <w:rsid w:val="00CF3259"/>
    <w:rsid w:val="00CF3D02"/>
    <w:rsid w:val="00CF4B3D"/>
    <w:rsid w:val="00CF5E01"/>
    <w:rsid w:val="00CF5EE7"/>
    <w:rsid w:val="00CF612A"/>
    <w:rsid w:val="00CF62B9"/>
    <w:rsid w:val="00CF6A72"/>
    <w:rsid w:val="00CF6EF2"/>
    <w:rsid w:val="00CF745C"/>
    <w:rsid w:val="00CF7CF2"/>
    <w:rsid w:val="00CF7FF7"/>
    <w:rsid w:val="00D03CFB"/>
    <w:rsid w:val="00D0579C"/>
    <w:rsid w:val="00D05EB1"/>
    <w:rsid w:val="00D06EF0"/>
    <w:rsid w:val="00D07AA3"/>
    <w:rsid w:val="00D1057E"/>
    <w:rsid w:val="00D119F1"/>
    <w:rsid w:val="00D13E96"/>
    <w:rsid w:val="00D1447E"/>
    <w:rsid w:val="00D14731"/>
    <w:rsid w:val="00D16C86"/>
    <w:rsid w:val="00D17AC2"/>
    <w:rsid w:val="00D17C5D"/>
    <w:rsid w:val="00D17CD2"/>
    <w:rsid w:val="00D206C4"/>
    <w:rsid w:val="00D20941"/>
    <w:rsid w:val="00D20B53"/>
    <w:rsid w:val="00D22B23"/>
    <w:rsid w:val="00D22C1D"/>
    <w:rsid w:val="00D235FE"/>
    <w:rsid w:val="00D25157"/>
    <w:rsid w:val="00D261C2"/>
    <w:rsid w:val="00D270A4"/>
    <w:rsid w:val="00D31FE9"/>
    <w:rsid w:val="00D3201B"/>
    <w:rsid w:val="00D32490"/>
    <w:rsid w:val="00D32A4F"/>
    <w:rsid w:val="00D32D73"/>
    <w:rsid w:val="00D3308B"/>
    <w:rsid w:val="00D33269"/>
    <w:rsid w:val="00D3371A"/>
    <w:rsid w:val="00D341E8"/>
    <w:rsid w:val="00D34230"/>
    <w:rsid w:val="00D34300"/>
    <w:rsid w:val="00D34E1B"/>
    <w:rsid w:val="00D358F8"/>
    <w:rsid w:val="00D35A05"/>
    <w:rsid w:val="00D36FD1"/>
    <w:rsid w:val="00D376BA"/>
    <w:rsid w:val="00D40A5C"/>
    <w:rsid w:val="00D429B6"/>
    <w:rsid w:val="00D47622"/>
    <w:rsid w:val="00D5055F"/>
    <w:rsid w:val="00D5119A"/>
    <w:rsid w:val="00D512AC"/>
    <w:rsid w:val="00D522E4"/>
    <w:rsid w:val="00D52933"/>
    <w:rsid w:val="00D53399"/>
    <w:rsid w:val="00D5376B"/>
    <w:rsid w:val="00D54BB9"/>
    <w:rsid w:val="00D54C92"/>
    <w:rsid w:val="00D554DC"/>
    <w:rsid w:val="00D5568A"/>
    <w:rsid w:val="00D55AE9"/>
    <w:rsid w:val="00D55DD7"/>
    <w:rsid w:val="00D56A08"/>
    <w:rsid w:val="00D56EFE"/>
    <w:rsid w:val="00D5745D"/>
    <w:rsid w:val="00D578EC"/>
    <w:rsid w:val="00D57AE0"/>
    <w:rsid w:val="00D60333"/>
    <w:rsid w:val="00D60578"/>
    <w:rsid w:val="00D612D9"/>
    <w:rsid w:val="00D62E72"/>
    <w:rsid w:val="00D6342B"/>
    <w:rsid w:val="00D63D73"/>
    <w:rsid w:val="00D6597D"/>
    <w:rsid w:val="00D6607A"/>
    <w:rsid w:val="00D6656A"/>
    <w:rsid w:val="00D667EE"/>
    <w:rsid w:val="00D66C57"/>
    <w:rsid w:val="00D66E1E"/>
    <w:rsid w:val="00D7174E"/>
    <w:rsid w:val="00D73B1E"/>
    <w:rsid w:val="00D740C6"/>
    <w:rsid w:val="00D74F17"/>
    <w:rsid w:val="00D75722"/>
    <w:rsid w:val="00D75A97"/>
    <w:rsid w:val="00D75D3F"/>
    <w:rsid w:val="00D77426"/>
    <w:rsid w:val="00D8032C"/>
    <w:rsid w:val="00D80F28"/>
    <w:rsid w:val="00D8220E"/>
    <w:rsid w:val="00D8240C"/>
    <w:rsid w:val="00D826B6"/>
    <w:rsid w:val="00D83473"/>
    <w:rsid w:val="00D84E45"/>
    <w:rsid w:val="00D8521A"/>
    <w:rsid w:val="00D879AE"/>
    <w:rsid w:val="00D87FC1"/>
    <w:rsid w:val="00D90D67"/>
    <w:rsid w:val="00D91CE2"/>
    <w:rsid w:val="00D94195"/>
    <w:rsid w:val="00D95A65"/>
    <w:rsid w:val="00D95B84"/>
    <w:rsid w:val="00D967D6"/>
    <w:rsid w:val="00DA0D8E"/>
    <w:rsid w:val="00DA3A41"/>
    <w:rsid w:val="00DA480B"/>
    <w:rsid w:val="00DA4A1C"/>
    <w:rsid w:val="00DA4F1D"/>
    <w:rsid w:val="00DA5609"/>
    <w:rsid w:val="00DA5960"/>
    <w:rsid w:val="00DA5BBA"/>
    <w:rsid w:val="00DA6B84"/>
    <w:rsid w:val="00DA7138"/>
    <w:rsid w:val="00DA7DDD"/>
    <w:rsid w:val="00DB016B"/>
    <w:rsid w:val="00DB07BA"/>
    <w:rsid w:val="00DB08FA"/>
    <w:rsid w:val="00DB0E2D"/>
    <w:rsid w:val="00DB2906"/>
    <w:rsid w:val="00DB319D"/>
    <w:rsid w:val="00DB4B98"/>
    <w:rsid w:val="00DB509C"/>
    <w:rsid w:val="00DB67C9"/>
    <w:rsid w:val="00DC0C95"/>
    <w:rsid w:val="00DC2954"/>
    <w:rsid w:val="00DC39AC"/>
    <w:rsid w:val="00DC39E5"/>
    <w:rsid w:val="00DC45A6"/>
    <w:rsid w:val="00DC47EC"/>
    <w:rsid w:val="00DC49EC"/>
    <w:rsid w:val="00DC4EA0"/>
    <w:rsid w:val="00DC58C4"/>
    <w:rsid w:val="00DC5C60"/>
    <w:rsid w:val="00DC609C"/>
    <w:rsid w:val="00DD0642"/>
    <w:rsid w:val="00DD3CC4"/>
    <w:rsid w:val="00DD45AE"/>
    <w:rsid w:val="00DD4CC5"/>
    <w:rsid w:val="00DD6580"/>
    <w:rsid w:val="00DD7268"/>
    <w:rsid w:val="00DD7C16"/>
    <w:rsid w:val="00DD7EB5"/>
    <w:rsid w:val="00DE252B"/>
    <w:rsid w:val="00DE2AC2"/>
    <w:rsid w:val="00DE3171"/>
    <w:rsid w:val="00DE3BD3"/>
    <w:rsid w:val="00DE3D1C"/>
    <w:rsid w:val="00DE40A5"/>
    <w:rsid w:val="00DE4916"/>
    <w:rsid w:val="00DE49F3"/>
    <w:rsid w:val="00DE50E6"/>
    <w:rsid w:val="00DE5324"/>
    <w:rsid w:val="00DE559E"/>
    <w:rsid w:val="00DE5F8D"/>
    <w:rsid w:val="00DE626F"/>
    <w:rsid w:val="00DE6430"/>
    <w:rsid w:val="00DE7AA7"/>
    <w:rsid w:val="00DE7C91"/>
    <w:rsid w:val="00DF08AA"/>
    <w:rsid w:val="00DF1157"/>
    <w:rsid w:val="00DF20A0"/>
    <w:rsid w:val="00DF2ADB"/>
    <w:rsid w:val="00DF4C88"/>
    <w:rsid w:val="00DF56BE"/>
    <w:rsid w:val="00DF77DA"/>
    <w:rsid w:val="00E0136A"/>
    <w:rsid w:val="00E017AD"/>
    <w:rsid w:val="00E0184C"/>
    <w:rsid w:val="00E0229B"/>
    <w:rsid w:val="00E02981"/>
    <w:rsid w:val="00E02F0A"/>
    <w:rsid w:val="00E03AF2"/>
    <w:rsid w:val="00E03CB4"/>
    <w:rsid w:val="00E06450"/>
    <w:rsid w:val="00E06E21"/>
    <w:rsid w:val="00E06EEF"/>
    <w:rsid w:val="00E10F29"/>
    <w:rsid w:val="00E130D1"/>
    <w:rsid w:val="00E13583"/>
    <w:rsid w:val="00E13D81"/>
    <w:rsid w:val="00E1489E"/>
    <w:rsid w:val="00E15AC6"/>
    <w:rsid w:val="00E16237"/>
    <w:rsid w:val="00E1756C"/>
    <w:rsid w:val="00E17C72"/>
    <w:rsid w:val="00E20E2E"/>
    <w:rsid w:val="00E21FC6"/>
    <w:rsid w:val="00E2340E"/>
    <w:rsid w:val="00E2421F"/>
    <w:rsid w:val="00E27AE1"/>
    <w:rsid w:val="00E27D60"/>
    <w:rsid w:val="00E3319A"/>
    <w:rsid w:val="00E35746"/>
    <w:rsid w:val="00E36845"/>
    <w:rsid w:val="00E37C93"/>
    <w:rsid w:val="00E41555"/>
    <w:rsid w:val="00E41FBC"/>
    <w:rsid w:val="00E42F26"/>
    <w:rsid w:val="00E42F3A"/>
    <w:rsid w:val="00E43181"/>
    <w:rsid w:val="00E43191"/>
    <w:rsid w:val="00E431A9"/>
    <w:rsid w:val="00E432B8"/>
    <w:rsid w:val="00E43E06"/>
    <w:rsid w:val="00E44382"/>
    <w:rsid w:val="00E46316"/>
    <w:rsid w:val="00E471E0"/>
    <w:rsid w:val="00E519F7"/>
    <w:rsid w:val="00E522A5"/>
    <w:rsid w:val="00E532BD"/>
    <w:rsid w:val="00E53955"/>
    <w:rsid w:val="00E54C2F"/>
    <w:rsid w:val="00E5572D"/>
    <w:rsid w:val="00E564B8"/>
    <w:rsid w:val="00E57305"/>
    <w:rsid w:val="00E577E7"/>
    <w:rsid w:val="00E57866"/>
    <w:rsid w:val="00E604AA"/>
    <w:rsid w:val="00E64424"/>
    <w:rsid w:val="00E64553"/>
    <w:rsid w:val="00E6490A"/>
    <w:rsid w:val="00E655FC"/>
    <w:rsid w:val="00E657C6"/>
    <w:rsid w:val="00E65850"/>
    <w:rsid w:val="00E65F84"/>
    <w:rsid w:val="00E660AE"/>
    <w:rsid w:val="00E66458"/>
    <w:rsid w:val="00E669E2"/>
    <w:rsid w:val="00E6708C"/>
    <w:rsid w:val="00E67B92"/>
    <w:rsid w:val="00E703FA"/>
    <w:rsid w:val="00E7073D"/>
    <w:rsid w:val="00E70E62"/>
    <w:rsid w:val="00E72047"/>
    <w:rsid w:val="00E738A3"/>
    <w:rsid w:val="00E743AA"/>
    <w:rsid w:val="00E76135"/>
    <w:rsid w:val="00E761EA"/>
    <w:rsid w:val="00E76666"/>
    <w:rsid w:val="00E806CD"/>
    <w:rsid w:val="00E80796"/>
    <w:rsid w:val="00E8126D"/>
    <w:rsid w:val="00E81933"/>
    <w:rsid w:val="00E848CE"/>
    <w:rsid w:val="00E84D16"/>
    <w:rsid w:val="00E863AA"/>
    <w:rsid w:val="00E8747D"/>
    <w:rsid w:val="00E90EF0"/>
    <w:rsid w:val="00E91747"/>
    <w:rsid w:val="00E91C50"/>
    <w:rsid w:val="00E93417"/>
    <w:rsid w:val="00E93840"/>
    <w:rsid w:val="00E9482C"/>
    <w:rsid w:val="00E94E42"/>
    <w:rsid w:val="00E95C9D"/>
    <w:rsid w:val="00E97396"/>
    <w:rsid w:val="00E97626"/>
    <w:rsid w:val="00E97C92"/>
    <w:rsid w:val="00EA0538"/>
    <w:rsid w:val="00EA160E"/>
    <w:rsid w:val="00EA1E53"/>
    <w:rsid w:val="00EA2339"/>
    <w:rsid w:val="00EA4437"/>
    <w:rsid w:val="00EA4601"/>
    <w:rsid w:val="00EA4EEA"/>
    <w:rsid w:val="00EA4F56"/>
    <w:rsid w:val="00EA587C"/>
    <w:rsid w:val="00EA6504"/>
    <w:rsid w:val="00EB142D"/>
    <w:rsid w:val="00EB14B5"/>
    <w:rsid w:val="00EB1A22"/>
    <w:rsid w:val="00EB4AC7"/>
    <w:rsid w:val="00EB4ECF"/>
    <w:rsid w:val="00EB54FB"/>
    <w:rsid w:val="00EB5EC9"/>
    <w:rsid w:val="00EB74B2"/>
    <w:rsid w:val="00EB79A4"/>
    <w:rsid w:val="00EC0C02"/>
    <w:rsid w:val="00EC232E"/>
    <w:rsid w:val="00EC2844"/>
    <w:rsid w:val="00EC389E"/>
    <w:rsid w:val="00EC3985"/>
    <w:rsid w:val="00EC3F3C"/>
    <w:rsid w:val="00EC5857"/>
    <w:rsid w:val="00EC5E6A"/>
    <w:rsid w:val="00EC6581"/>
    <w:rsid w:val="00EC67E5"/>
    <w:rsid w:val="00EC6BFB"/>
    <w:rsid w:val="00EC6D7E"/>
    <w:rsid w:val="00EC7073"/>
    <w:rsid w:val="00ED0B45"/>
    <w:rsid w:val="00ED162B"/>
    <w:rsid w:val="00ED5A99"/>
    <w:rsid w:val="00EE0582"/>
    <w:rsid w:val="00EE16C1"/>
    <w:rsid w:val="00EE1E50"/>
    <w:rsid w:val="00EE2578"/>
    <w:rsid w:val="00EE2788"/>
    <w:rsid w:val="00EE30A0"/>
    <w:rsid w:val="00EE35A8"/>
    <w:rsid w:val="00EE4106"/>
    <w:rsid w:val="00EE45C8"/>
    <w:rsid w:val="00EE465A"/>
    <w:rsid w:val="00EE56AD"/>
    <w:rsid w:val="00EE651F"/>
    <w:rsid w:val="00EE68FA"/>
    <w:rsid w:val="00EE711F"/>
    <w:rsid w:val="00EE762F"/>
    <w:rsid w:val="00EE76FF"/>
    <w:rsid w:val="00EE7A7F"/>
    <w:rsid w:val="00EF0259"/>
    <w:rsid w:val="00EF02DD"/>
    <w:rsid w:val="00EF063F"/>
    <w:rsid w:val="00EF1003"/>
    <w:rsid w:val="00EF285C"/>
    <w:rsid w:val="00EF31E7"/>
    <w:rsid w:val="00EF416C"/>
    <w:rsid w:val="00EF55B3"/>
    <w:rsid w:val="00EF63D2"/>
    <w:rsid w:val="00EF6929"/>
    <w:rsid w:val="00EF6C6C"/>
    <w:rsid w:val="00EF7581"/>
    <w:rsid w:val="00EF7F39"/>
    <w:rsid w:val="00F001C6"/>
    <w:rsid w:val="00F0131E"/>
    <w:rsid w:val="00F0167C"/>
    <w:rsid w:val="00F01B6E"/>
    <w:rsid w:val="00F04330"/>
    <w:rsid w:val="00F043FE"/>
    <w:rsid w:val="00F056FC"/>
    <w:rsid w:val="00F057EA"/>
    <w:rsid w:val="00F075AF"/>
    <w:rsid w:val="00F10476"/>
    <w:rsid w:val="00F1237D"/>
    <w:rsid w:val="00F13030"/>
    <w:rsid w:val="00F135D8"/>
    <w:rsid w:val="00F139F5"/>
    <w:rsid w:val="00F15149"/>
    <w:rsid w:val="00F1633F"/>
    <w:rsid w:val="00F175B9"/>
    <w:rsid w:val="00F200C4"/>
    <w:rsid w:val="00F20DAB"/>
    <w:rsid w:val="00F21B04"/>
    <w:rsid w:val="00F21C33"/>
    <w:rsid w:val="00F23158"/>
    <w:rsid w:val="00F23401"/>
    <w:rsid w:val="00F2497B"/>
    <w:rsid w:val="00F24B9F"/>
    <w:rsid w:val="00F25430"/>
    <w:rsid w:val="00F25AC5"/>
    <w:rsid w:val="00F25EBA"/>
    <w:rsid w:val="00F26098"/>
    <w:rsid w:val="00F26116"/>
    <w:rsid w:val="00F26CDE"/>
    <w:rsid w:val="00F27512"/>
    <w:rsid w:val="00F306B4"/>
    <w:rsid w:val="00F30880"/>
    <w:rsid w:val="00F31299"/>
    <w:rsid w:val="00F3207C"/>
    <w:rsid w:val="00F32D31"/>
    <w:rsid w:val="00F33358"/>
    <w:rsid w:val="00F34D42"/>
    <w:rsid w:val="00F3534A"/>
    <w:rsid w:val="00F36255"/>
    <w:rsid w:val="00F3661B"/>
    <w:rsid w:val="00F37EA5"/>
    <w:rsid w:val="00F404BE"/>
    <w:rsid w:val="00F408FB"/>
    <w:rsid w:val="00F4132A"/>
    <w:rsid w:val="00F41C7D"/>
    <w:rsid w:val="00F4377C"/>
    <w:rsid w:val="00F468CA"/>
    <w:rsid w:val="00F4749F"/>
    <w:rsid w:val="00F4796B"/>
    <w:rsid w:val="00F50C4A"/>
    <w:rsid w:val="00F515AF"/>
    <w:rsid w:val="00F5176D"/>
    <w:rsid w:val="00F51B69"/>
    <w:rsid w:val="00F51BE7"/>
    <w:rsid w:val="00F51EFB"/>
    <w:rsid w:val="00F52B6E"/>
    <w:rsid w:val="00F53387"/>
    <w:rsid w:val="00F53A02"/>
    <w:rsid w:val="00F5403F"/>
    <w:rsid w:val="00F54590"/>
    <w:rsid w:val="00F54A57"/>
    <w:rsid w:val="00F54B6B"/>
    <w:rsid w:val="00F550D1"/>
    <w:rsid w:val="00F5580F"/>
    <w:rsid w:val="00F56DC3"/>
    <w:rsid w:val="00F60A75"/>
    <w:rsid w:val="00F611D7"/>
    <w:rsid w:val="00F6260E"/>
    <w:rsid w:val="00F6351A"/>
    <w:rsid w:val="00F63C5D"/>
    <w:rsid w:val="00F64017"/>
    <w:rsid w:val="00F6485B"/>
    <w:rsid w:val="00F64958"/>
    <w:rsid w:val="00F66B5A"/>
    <w:rsid w:val="00F71171"/>
    <w:rsid w:val="00F71D14"/>
    <w:rsid w:val="00F7237C"/>
    <w:rsid w:val="00F726B9"/>
    <w:rsid w:val="00F72E47"/>
    <w:rsid w:val="00F7411C"/>
    <w:rsid w:val="00F744EF"/>
    <w:rsid w:val="00F75539"/>
    <w:rsid w:val="00F769E3"/>
    <w:rsid w:val="00F77794"/>
    <w:rsid w:val="00F7788D"/>
    <w:rsid w:val="00F7795C"/>
    <w:rsid w:val="00F77ED9"/>
    <w:rsid w:val="00F8099B"/>
    <w:rsid w:val="00F813DA"/>
    <w:rsid w:val="00F81E09"/>
    <w:rsid w:val="00F8202B"/>
    <w:rsid w:val="00F8216D"/>
    <w:rsid w:val="00F82531"/>
    <w:rsid w:val="00F83102"/>
    <w:rsid w:val="00F85325"/>
    <w:rsid w:val="00F86C62"/>
    <w:rsid w:val="00F90EB4"/>
    <w:rsid w:val="00F92904"/>
    <w:rsid w:val="00F93A9D"/>
    <w:rsid w:val="00F95246"/>
    <w:rsid w:val="00F95B3B"/>
    <w:rsid w:val="00F96692"/>
    <w:rsid w:val="00F97CB8"/>
    <w:rsid w:val="00FA05A8"/>
    <w:rsid w:val="00FA0C31"/>
    <w:rsid w:val="00FA13FB"/>
    <w:rsid w:val="00FA16AC"/>
    <w:rsid w:val="00FA2792"/>
    <w:rsid w:val="00FA37FA"/>
    <w:rsid w:val="00FA3D00"/>
    <w:rsid w:val="00FA543E"/>
    <w:rsid w:val="00FA5621"/>
    <w:rsid w:val="00FA5DE7"/>
    <w:rsid w:val="00FA6B5B"/>
    <w:rsid w:val="00FB02B4"/>
    <w:rsid w:val="00FB0893"/>
    <w:rsid w:val="00FB0CA7"/>
    <w:rsid w:val="00FB0E14"/>
    <w:rsid w:val="00FB3324"/>
    <w:rsid w:val="00FB3D4A"/>
    <w:rsid w:val="00FB42AF"/>
    <w:rsid w:val="00FB4A82"/>
    <w:rsid w:val="00FB4B96"/>
    <w:rsid w:val="00FB533A"/>
    <w:rsid w:val="00FB5B8E"/>
    <w:rsid w:val="00FB7014"/>
    <w:rsid w:val="00FB7329"/>
    <w:rsid w:val="00FC0737"/>
    <w:rsid w:val="00FC2265"/>
    <w:rsid w:val="00FC289E"/>
    <w:rsid w:val="00FC2BCA"/>
    <w:rsid w:val="00FC32FE"/>
    <w:rsid w:val="00FC368B"/>
    <w:rsid w:val="00FC37E1"/>
    <w:rsid w:val="00FC39B6"/>
    <w:rsid w:val="00FC428A"/>
    <w:rsid w:val="00FC4FFE"/>
    <w:rsid w:val="00FC502C"/>
    <w:rsid w:val="00FC5637"/>
    <w:rsid w:val="00FC6F8E"/>
    <w:rsid w:val="00FD0B56"/>
    <w:rsid w:val="00FD0D07"/>
    <w:rsid w:val="00FD117F"/>
    <w:rsid w:val="00FD1343"/>
    <w:rsid w:val="00FD1725"/>
    <w:rsid w:val="00FD22B1"/>
    <w:rsid w:val="00FD3258"/>
    <w:rsid w:val="00FD3921"/>
    <w:rsid w:val="00FD3C4E"/>
    <w:rsid w:val="00FD59CC"/>
    <w:rsid w:val="00FD5E6E"/>
    <w:rsid w:val="00FD67A7"/>
    <w:rsid w:val="00FD6895"/>
    <w:rsid w:val="00FD7792"/>
    <w:rsid w:val="00FD78F5"/>
    <w:rsid w:val="00FE0999"/>
    <w:rsid w:val="00FE0D73"/>
    <w:rsid w:val="00FE0D78"/>
    <w:rsid w:val="00FE0DE6"/>
    <w:rsid w:val="00FE20A4"/>
    <w:rsid w:val="00FE2C3A"/>
    <w:rsid w:val="00FE2D91"/>
    <w:rsid w:val="00FE3136"/>
    <w:rsid w:val="00FE3F0C"/>
    <w:rsid w:val="00FE4145"/>
    <w:rsid w:val="00FE4B44"/>
    <w:rsid w:val="00FE51DF"/>
    <w:rsid w:val="00FE5239"/>
    <w:rsid w:val="00FE633C"/>
    <w:rsid w:val="00FE725A"/>
    <w:rsid w:val="00FF1FDA"/>
    <w:rsid w:val="00FF278A"/>
    <w:rsid w:val="00FF2C72"/>
    <w:rsid w:val="00FF336A"/>
    <w:rsid w:val="00FF368A"/>
    <w:rsid w:val="00FF4F79"/>
    <w:rsid w:val="00FF5C62"/>
    <w:rsid w:val="00FF640B"/>
    <w:rsid w:val="00FF6828"/>
    <w:rsid w:val="00FF736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27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Default Paragraph Font" w:uiPriority="1"/>
    <w:lsdException w:name="Body Text" w:qFormat="1"/>
    <w:lsdException w:name="Subtitle" w:qFormat="1"/>
    <w:lsdException w:name="Hyperlink" w:uiPriority="99"/>
    <w:lsdException w:name="Strong"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3C2696"/>
    <w:rPr>
      <w:sz w:val="26"/>
      <w:szCs w:val="24"/>
    </w:rPr>
  </w:style>
  <w:style w:type="paragraph" w:styleId="Heading1">
    <w:name w:val="heading 1"/>
    <w:basedOn w:val="BodyText"/>
    <w:next w:val="BodyText"/>
    <w:qFormat/>
    <w:rsid w:val="00470B45"/>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470B45"/>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470B45"/>
    <w:pPr>
      <w:spacing w:before="560" w:line="320" w:lineRule="exact"/>
      <w:ind w:left="0" w:firstLine="0"/>
      <w:outlineLvl w:val="2"/>
    </w:pPr>
    <w:rPr>
      <w:sz w:val="26"/>
    </w:rPr>
  </w:style>
  <w:style w:type="paragraph" w:styleId="Heading4">
    <w:name w:val="heading 4"/>
    <w:basedOn w:val="Heading3"/>
    <w:next w:val="BodyText"/>
    <w:link w:val="Heading4Char"/>
    <w:qFormat/>
    <w:rsid w:val="00470B45"/>
    <w:pPr>
      <w:spacing w:before="480"/>
      <w:outlineLvl w:val="3"/>
    </w:pPr>
    <w:rPr>
      <w:b w:val="0"/>
      <w:i/>
      <w:sz w:val="24"/>
    </w:rPr>
  </w:style>
  <w:style w:type="paragraph" w:styleId="Heading5">
    <w:name w:val="heading 5"/>
    <w:basedOn w:val="Heading4"/>
    <w:next w:val="BodyText"/>
    <w:link w:val="Heading5Char"/>
    <w:qFormat/>
    <w:rsid w:val="00470B45"/>
    <w:pPr>
      <w:outlineLvl w:val="4"/>
    </w:pPr>
    <w:rPr>
      <w:rFonts w:ascii="Times New Roman" w:hAnsi="Times New Roman"/>
      <w:sz w:val="26"/>
    </w:rPr>
  </w:style>
  <w:style w:type="paragraph" w:styleId="Heading6">
    <w:name w:val="heading 6"/>
    <w:basedOn w:val="BodyText"/>
    <w:next w:val="BodyText"/>
    <w:rsid w:val="00470B45"/>
    <w:pPr>
      <w:spacing w:after="60"/>
      <w:jc w:val="left"/>
      <w:outlineLvl w:val="5"/>
    </w:pPr>
    <w:rPr>
      <w:i/>
      <w:sz w:val="22"/>
    </w:rPr>
  </w:style>
  <w:style w:type="paragraph" w:styleId="Heading7">
    <w:name w:val="heading 7"/>
    <w:basedOn w:val="BodyText"/>
    <w:next w:val="BodyText"/>
    <w:rsid w:val="00470B45"/>
    <w:pPr>
      <w:spacing w:after="60" w:line="240" w:lineRule="auto"/>
      <w:jc w:val="left"/>
      <w:outlineLvl w:val="6"/>
    </w:pPr>
    <w:rPr>
      <w:rFonts w:ascii="Arial" w:hAnsi="Arial"/>
      <w:sz w:val="20"/>
    </w:rPr>
  </w:style>
  <w:style w:type="paragraph" w:styleId="Heading8">
    <w:name w:val="heading 8"/>
    <w:basedOn w:val="BodyText"/>
    <w:next w:val="BodyText"/>
    <w:rsid w:val="00470B45"/>
    <w:pPr>
      <w:spacing w:after="60" w:line="240" w:lineRule="auto"/>
      <w:jc w:val="left"/>
      <w:outlineLvl w:val="7"/>
    </w:pPr>
    <w:rPr>
      <w:rFonts w:ascii="Arial" w:hAnsi="Arial"/>
      <w:i/>
      <w:sz w:val="20"/>
    </w:rPr>
  </w:style>
  <w:style w:type="paragraph" w:styleId="Heading9">
    <w:name w:val="heading 9"/>
    <w:basedOn w:val="BodyText"/>
    <w:next w:val="BodyText"/>
    <w:rsid w:val="00470B4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B440D"/>
    <w:pPr>
      <w:spacing w:before="240" w:line="320" w:lineRule="atLeast"/>
      <w:jc w:val="both"/>
    </w:pPr>
    <w:rPr>
      <w:sz w:val="26"/>
    </w:rPr>
  </w:style>
  <w:style w:type="paragraph" w:styleId="Footer">
    <w:name w:val="footer"/>
    <w:basedOn w:val="BodyText"/>
    <w:rsid w:val="00470B45"/>
    <w:pPr>
      <w:spacing w:before="80" w:line="200" w:lineRule="exact"/>
      <w:ind w:right="6"/>
      <w:jc w:val="left"/>
    </w:pPr>
    <w:rPr>
      <w:caps/>
      <w:spacing w:val="-4"/>
      <w:sz w:val="16"/>
    </w:rPr>
  </w:style>
  <w:style w:type="paragraph" w:customStyle="1" w:styleId="FooterEnd">
    <w:name w:val="Footer End"/>
    <w:basedOn w:val="Footer"/>
    <w:rsid w:val="00470B45"/>
    <w:pPr>
      <w:spacing w:before="0" w:line="20" w:lineRule="exact"/>
    </w:pPr>
  </w:style>
  <w:style w:type="paragraph" w:styleId="Header">
    <w:name w:val="header"/>
    <w:basedOn w:val="BodyText"/>
    <w:rsid w:val="00470B4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470B45"/>
    <w:pPr>
      <w:spacing w:line="20" w:lineRule="exact"/>
    </w:pPr>
    <w:rPr>
      <w:sz w:val="16"/>
    </w:rPr>
  </w:style>
  <w:style w:type="paragraph" w:customStyle="1" w:styleId="HeaderEven">
    <w:name w:val="Header Even"/>
    <w:basedOn w:val="Header"/>
    <w:rsid w:val="00470B45"/>
  </w:style>
  <w:style w:type="paragraph" w:customStyle="1" w:styleId="HeaderOdd">
    <w:name w:val="Header Odd"/>
    <w:basedOn w:val="Header"/>
    <w:rsid w:val="00470B45"/>
  </w:style>
  <w:style w:type="character" w:styleId="PageNumber">
    <w:name w:val="page number"/>
    <w:basedOn w:val="DefaultParagraphFont"/>
    <w:rsid w:val="00470B45"/>
    <w:rPr>
      <w:rFonts w:ascii="Arial" w:hAnsi="Arial"/>
      <w:b/>
      <w:sz w:val="16"/>
    </w:rPr>
  </w:style>
  <w:style w:type="paragraph" w:customStyle="1" w:styleId="Abbreviation">
    <w:name w:val="Abbreviation"/>
    <w:basedOn w:val="BodyText"/>
    <w:rsid w:val="00470B45"/>
    <w:pPr>
      <w:spacing w:before="120"/>
      <w:ind w:left="2381" w:hanging="2381"/>
      <w:jc w:val="left"/>
    </w:pPr>
  </w:style>
  <w:style w:type="paragraph" w:customStyle="1" w:styleId="Box">
    <w:name w:val="Box"/>
    <w:basedOn w:val="BodyText"/>
    <w:link w:val="BoxChar"/>
    <w:qFormat/>
    <w:rsid w:val="00470B45"/>
    <w:pPr>
      <w:keepNext/>
      <w:spacing w:before="120" w:line="280" w:lineRule="atLeast"/>
    </w:pPr>
    <w:rPr>
      <w:rFonts w:ascii="Arial" w:hAnsi="Arial"/>
      <w:sz w:val="22"/>
    </w:rPr>
  </w:style>
  <w:style w:type="paragraph" w:customStyle="1" w:styleId="BoxContinued">
    <w:name w:val="Box Continued"/>
    <w:basedOn w:val="BodyText"/>
    <w:next w:val="BodyText"/>
    <w:rsid w:val="00470B45"/>
    <w:pPr>
      <w:spacing w:before="180" w:line="220" w:lineRule="exact"/>
      <w:jc w:val="right"/>
    </w:pPr>
    <w:rPr>
      <w:rFonts w:ascii="Arial" w:hAnsi="Arial"/>
      <w:sz w:val="18"/>
    </w:rPr>
  </w:style>
  <w:style w:type="paragraph" w:customStyle="1" w:styleId="BoxHeading1">
    <w:name w:val="Box Heading 1"/>
    <w:basedOn w:val="BodyText"/>
    <w:next w:val="Box"/>
    <w:rsid w:val="00470B45"/>
    <w:pPr>
      <w:keepNext/>
      <w:spacing w:before="200" w:line="280" w:lineRule="atLeast"/>
    </w:pPr>
    <w:rPr>
      <w:rFonts w:ascii="Arial" w:hAnsi="Arial"/>
      <w:b/>
      <w:sz w:val="22"/>
    </w:rPr>
  </w:style>
  <w:style w:type="paragraph" w:customStyle="1" w:styleId="BoxHeading2">
    <w:name w:val="Box Heading 2"/>
    <w:basedOn w:val="BoxHeading1"/>
    <w:next w:val="Normal"/>
    <w:rsid w:val="00470B45"/>
    <w:rPr>
      <w:b w:val="0"/>
      <w:i/>
    </w:rPr>
  </w:style>
  <w:style w:type="paragraph" w:customStyle="1" w:styleId="BoxListBullet">
    <w:name w:val="Box List Bullet"/>
    <w:basedOn w:val="BodyText"/>
    <w:rsid w:val="00470B45"/>
    <w:pPr>
      <w:keepNext/>
      <w:numPr>
        <w:numId w:val="1"/>
      </w:numPr>
      <w:spacing w:before="120" w:line="280" w:lineRule="atLeast"/>
    </w:pPr>
    <w:rPr>
      <w:rFonts w:ascii="Arial" w:hAnsi="Arial"/>
      <w:sz w:val="22"/>
    </w:rPr>
  </w:style>
  <w:style w:type="paragraph" w:customStyle="1" w:styleId="BoxListBullet2">
    <w:name w:val="Box List Bullet 2"/>
    <w:basedOn w:val="BodyText"/>
    <w:rsid w:val="00470B45"/>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470B45"/>
    <w:pPr>
      <w:keepNext/>
      <w:numPr>
        <w:numId w:val="13"/>
      </w:numPr>
      <w:tabs>
        <w:tab w:val="clear" w:pos="284"/>
        <w:tab w:val="num" w:pos="360"/>
      </w:tabs>
      <w:spacing w:before="120" w:line="280" w:lineRule="atLeast"/>
      <w:ind w:left="0" w:firstLine="0"/>
    </w:pPr>
    <w:rPr>
      <w:rFonts w:ascii="Arial" w:hAnsi="Arial"/>
      <w:sz w:val="22"/>
    </w:rPr>
  </w:style>
  <w:style w:type="paragraph" w:customStyle="1" w:styleId="BoxListNumber2">
    <w:name w:val="Box List Number 2"/>
    <w:basedOn w:val="BoxListNumber"/>
    <w:rsid w:val="00470B45"/>
    <w:pPr>
      <w:numPr>
        <w:ilvl w:val="1"/>
      </w:numPr>
      <w:tabs>
        <w:tab w:val="clear" w:pos="680"/>
        <w:tab w:val="num" w:pos="360"/>
      </w:tabs>
      <w:spacing w:before="60"/>
      <w:ind w:left="0" w:firstLine="0"/>
    </w:pPr>
  </w:style>
  <w:style w:type="paragraph" w:customStyle="1" w:styleId="BoxQuote">
    <w:name w:val="Box Quote"/>
    <w:basedOn w:val="BodyText"/>
    <w:next w:val="Box"/>
    <w:rsid w:val="00470B45"/>
    <w:pPr>
      <w:keepNext/>
      <w:spacing w:before="60" w:line="260" w:lineRule="exact"/>
      <w:ind w:left="284"/>
    </w:pPr>
    <w:rPr>
      <w:rFonts w:ascii="Arial" w:hAnsi="Arial"/>
      <w:sz w:val="20"/>
    </w:rPr>
  </w:style>
  <w:style w:type="paragraph" w:customStyle="1" w:styleId="Note">
    <w:name w:val="Note"/>
    <w:basedOn w:val="BodyText"/>
    <w:next w:val="Normal"/>
    <w:rsid w:val="00470B45"/>
    <w:pPr>
      <w:keepLines/>
      <w:spacing w:before="80" w:line="220" w:lineRule="exact"/>
    </w:pPr>
    <w:rPr>
      <w:rFonts w:ascii="Arial" w:hAnsi="Arial"/>
      <w:sz w:val="18"/>
    </w:rPr>
  </w:style>
  <w:style w:type="paragraph" w:customStyle="1" w:styleId="Source">
    <w:name w:val="Source"/>
    <w:basedOn w:val="Note"/>
    <w:next w:val="BodyText"/>
    <w:rsid w:val="00470B45"/>
    <w:pPr>
      <w:spacing w:after="120"/>
    </w:pPr>
  </w:style>
  <w:style w:type="paragraph" w:customStyle="1" w:styleId="BoxSource">
    <w:name w:val="Box Source"/>
    <w:basedOn w:val="Source"/>
    <w:next w:val="BodyText"/>
    <w:rsid w:val="00470B45"/>
    <w:pPr>
      <w:spacing w:before="180" w:after="0"/>
    </w:pPr>
  </w:style>
  <w:style w:type="paragraph" w:customStyle="1" w:styleId="BoxSpace">
    <w:name w:val="Box Space"/>
    <w:basedOn w:val="BodyText"/>
    <w:rsid w:val="00470B45"/>
    <w:pPr>
      <w:keepNext/>
      <w:spacing w:before="360" w:line="80" w:lineRule="exact"/>
      <w:jc w:val="left"/>
    </w:pPr>
  </w:style>
  <w:style w:type="paragraph" w:styleId="Caption">
    <w:name w:val="caption"/>
    <w:basedOn w:val="Normal"/>
    <w:next w:val="BodyText"/>
    <w:rsid w:val="00470B45"/>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470B45"/>
    <w:pPr>
      <w:spacing w:before="120" w:after="0"/>
      <w:ind w:left="1304" w:hanging="1304"/>
    </w:pPr>
  </w:style>
  <w:style w:type="paragraph" w:customStyle="1" w:styleId="BoxSubtitle">
    <w:name w:val="Box Subtitle"/>
    <w:basedOn w:val="BoxTitle"/>
    <w:next w:val="Normal"/>
    <w:rsid w:val="00470B45"/>
    <w:pPr>
      <w:spacing w:after="80" w:line="200" w:lineRule="exact"/>
      <w:ind w:firstLine="0"/>
    </w:pPr>
    <w:rPr>
      <w:b w:val="0"/>
      <w:sz w:val="20"/>
    </w:rPr>
  </w:style>
  <w:style w:type="paragraph" w:customStyle="1" w:styleId="Chapter">
    <w:name w:val="Chapter"/>
    <w:basedOn w:val="Heading1"/>
    <w:next w:val="BodyText"/>
    <w:rsid w:val="00470B45"/>
    <w:pPr>
      <w:ind w:left="0" w:firstLine="0"/>
      <w:outlineLvl w:val="9"/>
    </w:pPr>
  </w:style>
  <w:style w:type="paragraph" w:customStyle="1" w:styleId="ChapterSummary">
    <w:name w:val="Chapter Summary"/>
    <w:basedOn w:val="BodyText"/>
    <w:rsid w:val="00470B45"/>
    <w:pPr>
      <w:ind w:left="907"/>
    </w:pPr>
    <w:rPr>
      <w:rFonts w:ascii="Arial" w:hAnsi="Arial"/>
      <w:b/>
      <w:sz w:val="22"/>
    </w:rPr>
  </w:style>
  <w:style w:type="character" w:styleId="CommentReference">
    <w:name w:val="annotation reference"/>
    <w:basedOn w:val="DefaultParagraphFont"/>
    <w:semiHidden/>
    <w:rsid w:val="00470B45"/>
    <w:rPr>
      <w:b/>
      <w:vanish/>
      <w:color w:val="FF00FF"/>
      <w:sz w:val="20"/>
    </w:rPr>
  </w:style>
  <w:style w:type="paragraph" w:styleId="CommentText">
    <w:name w:val="annotation text"/>
    <w:basedOn w:val="Normal"/>
    <w:link w:val="CommentTextChar"/>
    <w:semiHidden/>
    <w:rsid w:val="00470B45"/>
    <w:pPr>
      <w:spacing w:before="120" w:line="240" w:lineRule="atLeast"/>
      <w:ind w:left="567" w:hanging="567"/>
    </w:pPr>
    <w:rPr>
      <w:sz w:val="20"/>
    </w:rPr>
  </w:style>
  <w:style w:type="paragraph" w:customStyle="1" w:styleId="Continued">
    <w:name w:val="Continued"/>
    <w:basedOn w:val="BoxContinued"/>
    <w:next w:val="BodyText"/>
    <w:rsid w:val="00470B45"/>
  </w:style>
  <w:style w:type="character" w:customStyle="1" w:styleId="DocumentInfo">
    <w:name w:val="Document Info"/>
    <w:basedOn w:val="DefaultParagraphFont"/>
    <w:rsid w:val="00470B45"/>
    <w:rPr>
      <w:rFonts w:ascii="Arial" w:hAnsi="Arial"/>
      <w:sz w:val="14"/>
    </w:rPr>
  </w:style>
  <w:style w:type="character" w:customStyle="1" w:styleId="DraftingNote">
    <w:name w:val="Drafting Note"/>
    <w:basedOn w:val="DefaultParagraphFont"/>
    <w:rsid w:val="00470B45"/>
    <w:rPr>
      <w:b/>
      <w:color w:val="FF0000"/>
      <w:sz w:val="24"/>
      <w:u w:val="dotted"/>
    </w:rPr>
  </w:style>
  <w:style w:type="paragraph" w:customStyle="1" w:styleId="Figure">
    <w:name w:val="Figure"/>
    <w:basedOn w:val="BodyText"/>
    <w:rsid w:val="00470B45"/>
    <w:pPr>
      <w:keepNext/>
      <w:spacing w:before="120" w:after="120" w:line="240" w:lineRule="atLeast"/>
      <w:jc w:val="center"/>
    </w:pPr>
  </w:style>
  <w:style w:type="paragraph" w:customStyle="1" w:styleId="FigureTitle">
    <w:name w:val="Figure Title"/>
    <w:basedOn w:val="Caption"/>
    <w:next w:val="Subtitle"/>
    <w:rsid w:val="00470B45"/>
  </w:style>
  <w:style w:type="paragraph" w:styleId="Subtitle">
    <w:name w:val="Subtitle"/>
    <w:basedOn w:val="Caption"/>
    <w:link w:val="SubtitleChar"/>
    <w:qFormat/>
    <w:rsid w:val="00470B45"/>
    <w:pPr>
      <w:spacing w:before="0" w:line="200" w:lineRule="exact"/>
      <w:ind w:firstLine="0"/>
    </w:pPr>
    <w:rPr>
      <w:b w:val="0"/>
      <w:sz w:val="20"/>
    </w:rPr>
  </w:style>
  <w:style w:type="paragraph" w:customStyle="1" w:styleId="Finding">
    <w:name w:val="Finding"/>
    <w:basedOn w:val="BodyText"/>
    <w:rsid w:val="00470B45"/>
    <w:pPr>
      <w:keepLines/>
      <w:spacing w:before="180"/>
    </w:pPr>
    <w:rPr>
      <w:i/>
    </w:rPr>
  </w:style>
  <w:style w:type="paragraph" w:customStyle="1" w:styleId="FindingBullet">
    <w:name w:val="Finding Bullet"/>
    <w:basedOn w:val="Finding"/>
    <w:rsid w:val="00470B45"/>
    <w:pPr>
      <w:numPr>
        <w:numId w:val="3"/>
      </w:numPr>
      <w:spacing w:before="80"/>
    </w:pPr>
  </w:style>
  <w:style w:type="paragraph" w:customStyle="1" w:styleId="FindingNoTitle">
    <w:name w:val="Finding NoTitle"/>
    <w:basedOn w:val="Finding"/>
    <w:rsid w:val="00470B45"/>
    <w:pPr>
      <w:spacing w:before="240"/>
    </w:pPr>
  </w:style>
  <w:style w:type="paragraph" w:customStyle="1" w:styleId="RecTitle">
    <w:name w:val="Rec Title"/>
    <w:basedOn w:val="BodyText"/>
    <w:next w:val="Normal"/>
    <w:rsid w:val="00470B45"/>
    <w:pPr>
      <w:keepNext/>
      <w:framePr w:hSpace="181" w:wrap="notBeside" w:vAnchor="text" w:hAnchor="text" w:xAlign="outside" w:y="1"/>
    </w:pPr>
    <w:rPr>
      <w:caps/>
      <w:sz w:val="16"/>
    </w:rPr>
  </w:style>
  <w:style w:type="paragraph" w:customStyle="1" w:styleId="FindingTitle">
    <w:name w:val="Finding Title"/>
    <w:basedOn w:val="RecTitle"/>
    <w:next w:val="Finding"/>
    <w:rsid w:val="00470B45"/>
    <w:pPr>
      <w:framePr w:wrap="notBeside"/>
    </w:pPr>
  </w:style>
  <w:style w:type="character" w:styleId="FootnoteReference">
    <w:name w:val="footnote reference"/>
    <w:basedOn w:val="DefaultParagraphFont"/>
    <w:semiHidden/>
    <w:rsid w:val="00470B45"/>
    <w:rPr>
      <w:rFonts w:ascii="Times New Roman" w:hAnsi="Times New Roman"/>
      <w:position w:val="6"/>
      <w:sz w:val="22"/>
      <w:vertAlign w:val="baseline"/>
    </w:rPr>
  </w:style>
  <w:style w:type="paragraph" w:styleId="FootnoteText">
    <w:name w:val="footnote text"/>
    <w:basedOn w:val="BodyText"/>
    <w:link w:val="FootnoteTextChar"/>
    <w:rsid w:val="00470B4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470B45"/>
    <w:pPr>
      <w:spacing w:before="360" w:after="120"/>
    </w:pPr>
    <w:rPr>
      <w:rFonts w:ascii="Arial" w:hAnsi="Arial"/>
      <w:sz w:val="24"/>
    </w:rPr>
  </w:style>
  <w:style w:type="paragraph" w:customStyle="1" w:styleId="Jurisdictioncommentsbodytext">
    <w:name w:val="Jurisdiction comments body text"/>
    <w:rsid w:val="00470B45"/>
    <w:pPr>
      <w:spacing w:after="140"/>
      <w:jc w:val="both"/>
    </w:pPr>
    <w:rPr>
      <w:rFonts w:ascii="Arial" w:hAnsi="Arial"/>
      <w:sz w:val="24"/>
      <w:lang w:eastAsia="en-US"/>
    </w:rPr>
  </w:style>
  <w:style w:type="paragraph" w:customStyle="1" w:styleId="Jurisdictioncommentsheading">
    <w:name w:val="Jurisdiction comments heading"/>
    <w:rsid w:val="00470B45"/>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470B45"/>
    <w:pPr>
      <w:numPr>
        <w:numId w:val="4"/>
      </w:numPr>
      <w:spacing w:after="140"/>
      <w:jc w:val="both"/>
    </w:pPr>
    <w:rPr>
      <w:rFonts w:ascii="Arial" w:hAnsi="Arial"/>
      <w:sz w:val="24"/>
      <w:lang w:eastAsia="en-US"/>
    </w:rPr>
  </w:style>
  <w:style w:type="paragraph" w:styleId="ListBullet">
    <w:name w:val="List Bullet"/>
    <w:basedOn w:val="BodyText"/>
    <w:rsid w:val="00470B45"/>
    <w:pPr>
      <w:numPr>
        <w:numId w:val="5"/>
      </w:numPr>
      <w:spacing w:before="120"/>
    </w:pPr>
  </w:style>
  <w:style w:type="paragraph" w:styleId="ListBullet2">
    <w:name w:val="List Bullet 2"/>
    <w:basedOn w:val="BodyText"/>
    <w:rsid w:val="00470B45"/>
    <w:pPr>
      <w:numPr>
        <w:numId w:val="6"/>
      </w:numPr>
      <w:spacing w:before="120"/>
    </w:pPr>
  </w:style>
  <w:style w:type="paragraph" w:styleId="ListBullet3">
    <w:name w:val="List Bullet 3"/>
    <w:basedOn w:val="BodyText"/>
    <w:rsid w:val="00470B45"/>
    <w:pPr>
      <w:numPr>
        <w:numId w:val="7"/>
      </w:numPr>
      <w:spacing w:before="120"/>
    </w:pPr>
  </w:style>
  <w:style w:type="paragraph" w:styleId="ListNumber">
    <w:name w:val="List Number"/>
    <w:basedOn w:val="BodyText"/>
    <w:rsid w:val="00470B45"/>
    <w:pPr>
      <w:numPr>
        <w:numId w:val="12"/>
      </w:numPr>
      <w:spacing w:before="120"/>
    </w:pPr>
  </w:style>
  <w:style w:type="paragraph" w:styleId="ListNumber2">
    <w:name w:val="List Number 2"/>
    <w:basedOn w:val="ListNumber"/>
    <w:rsid w:val="00470B45"/>
    <w:pPr>
      <w:numPr>
        <w:ilvl w:val="1"/>
      </w:numPr>
    </w:pPr>
  </w:style>
  <w:style w:type="paragraph" w:styleId="ListNumber3">
    <w:name w:val="List Number 3"/>
    <w:basedOn w:val="ListNumber2"/>
    <w:rsid w:val="00470B45"/>
    <w:pPr>
      <w:numPr>
        <w:ilvl w:val="2"/>
      </w:numPr>
    </w:pPr>
  </w:style>
  <w:style w:type="character" w:customStyle="1" w:styleId="NoteLabel">
    <w:name w:val="Note Label"/>
    <w:basedOn w:val="DefaultParagraphFont"/>
    <w:rsid w:val="00470B45"/>
    <w:rPr>
      <w:rFonts w:ascii="Arial" w:hAnsi="Arial"/>
      <w:b/>
      <w:position w:val="6"/>
      <w:sz w:val="18"/>
    </w:rPr>
  </w:style>
  <w:style w:type="paragraph" w:customStyle="1" w:styleId="PartDivider">
    <w:name w:val="Part Divider"/>
    <w:basedOn w:val="BodyText"/>
    <w:next w:val="BodyText"/>
    <w:rsid w:val="00470B45"/>
    <w:pPr>
      <w:spacing w:before="0" w:line="40" w:lineRule="exact"/>
      <w:jc w:val="right"/>
    </w:pPr>
    <w:rPr>
      <w:smallCaps/>
      <w:sz w:val="16"/>
    </w:rPr>
  </w:style>
  <w:style w:type="paragraph" w:customStyle="1" w:styleId="PartNumber">
    <w:name w:val="Part Number"/>
    <w:basedOn w:val="BodyText"/>
    <w:next w:val="BodyText"/>
    <w:rsid w:val="00470B45"/>
    <w:pPr>
      <w:spacing w:before="4000" w:line="320" w:lineRule="exact"/>
      <w:ind w:left="6634"/>
      <w:jc w:val="right"/>
    </w:pPr>
    <w:rPr>
      <w:smallCaps/>
      <w:spacing w:val="60"/>
      <w:sz w:val="32"/>
    </w:rPr>
  </w:style>
  <w:style w:type="paragraph" w:customStyle="1" w:styleId="PartTitle">
    <w:name w:val="Part Title"/>
    <w:basedOn w:val="BodyText"/>
    <w:rsid w:val="00470B45"/>
    <w:pPr>
      <w:spacing w:before="160" w:after="1360" w:line="520" w:lineRule="exact"/>
      <w:ind w:right="2381"/>
      <w:jc w:val="right"/>
    </w:pPr>
    <w:rPr>
      <w:smallCaps/>
      <w:sz w:val="52"/>
    </w:rPr>
  </w:style>
  <w:style w:type="paragraph" w:styleId="Quote">
    <w:name w:val="Quote"/>
    <w:basedOn w:val="BodyText"/>
    <w:next w:val="BodyText"/>
    <w:link w:val="QuoteChar"/>
    <w:qFormat/>
    <w:rsid w:val="00470B45"/>
    <w:pPr>
      <w:spacing w:before="120" w:line="280" w:lineRule="exact"/>
      <w:ind w:left="340"/>
    </w:pPr>
    <w:rPr>
      <w:sz w:val="24"/>
    </w:rPr>
  </w:style>
  <w:style w:type="paragraph" w:customStyle="1" w:styleId="QuoteBullet">
    <w:name w:val="Quote Bullet"/>
    <w:basedOn w:val="Quote"/>
    <w:rsid w:val="00470B45"/>
    <w:pPr>
      <w:numPr>
        <w:numId w:val="8"/>
      </w:numPr>
    </w:pPr>
  </w:style>
  <w:style w:type="paragraph" w:customStyle="1" w:styleId="Rec">
    <w:name w:val="Rec"/>
    <w:basedOn w:val="BodyText"/>
    <w:rsid w:val="00470B45"/>
    <w:pPr>
      <w:keepLines/>
      <w:spacing w:before="180"/>
    </w:pPr>
    <w:rPr>
      <w:b/>
      <w:i/>
    </w:rPr>
  </w:style>
  <w:style w:type="paragraph" w:customStyle="1" w:styleId="RecBullet">
    <w:name w:val="Rec Bullet"/>
    <w:basedOn w:val="Rec"/>
    <w:rsid w:val="00470B45"/>
    <w:pPr>
      <w:numPr>
        <w:numId w:val="9"/>
      </w:numPr>
      <w:spacing w:before="80"/>
    </w:pPr>
  </w:style>
  <w:style w:type="paragraph" w:customStyle="1" w:styleId="RecB">
    <w:name w:val="RecB"/>
    <w:basedOn w:val="Normal"/>
    <w:rsid w:val="00470B4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470B45"/>
    <w:pPr>
      <w:numPr>
        <w:numId w:val="14"/>
      </w:numPr>
      <w:spacing w:before="80"/>
    </w:pPr>
  </w:style>
  <w:style w:type="paragraph" w:customStyle="1" w:styleId="RecBNoTitle">
    <w:name w:val="RecB NoTitle"/>
    <w:basedOn w:val="RecB"/>
    <w:rsid w:val="00470B45"/>
    <w:pPr>
      <w:spacing w:before="240"/>
    </w:pPr>
  </w:style>
  <w:style w:type="paragraph" w:customStyle="1" w:styleId="Reference">
    <w:name w:val="Reference"/>
    <w:basedOn w:val="BodyText"/>
    <w:rsid w:val="00470B45"/>
    <w:pPr>
      <w:spacing w:before="120"/>
      <w:ind w:left="340" w:hanging="340"/>
    </w:pPr>
  </w:style>
  <w:style w:type="paragraph" w:customStyle="1" w:styleId="SequenceInfo">
    <w:name w:val="Sequence Info"/>
    <w:basedOn w:val="BodyText"/>
    <w:rsid w:val="00470B45"/>
    <w:rPr>
      <w:vanish/>
      <w:sz w:val="16"/>
    </w:rPr>
  </w:style>
  <w:style w:type="paragraph" w:customStyle="1" w:styleId="SideNote">
    <w:name w:val="Side Note"/>
    <w:basedOn w:val="BodyText"/>
    <w:next w:val="BodyText"/>
    <w:rsid w:val="00470B45"/>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rsid w:val="00470B45"/>
    <w:pPr>
      <w:framePr w:wrap="around"/>
      <w:numPr>
        <w:numId w:val="10"/>
      </w:numPr>
      <w:tabs>
        <w:tab w:val="left" w:pos="227"/>
      </w:tabs>
    </w:pPr>
  </w:style>
  <w:style w:type="paragraph" w:customStyle="1" w:styleId="SideNoteGraphic">
    <w:name w:val="Side Note Graphic"/>
    <w:basedOn w:val="SideNote"/>
    <w:next w:val="BodyText"/>
    <w:rsid w:val="00470B45"/>
    <w:pPr>
      <w:framePr w:wrap="around"/>
    </w:pPr>
  </w:style>
  <w:style w:type="paragraph" w:customStyle="1" w:styleId="TableBodyText">
    <w:name w:val="Table Body Text"/>
    <w:basedOn w:val="BodyText"/>
    <w:rsid w:val="00470B45"/>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470B45"/>
    <w:pPr>
      <w:numPr>
        <w:numId w:val="11"/>
      </w:numPr>
      <w:tabs>
        <w:tab w:val="clear" w:pos="170"/>
        <w:tab w:val="num" w:pos="360"/>
      </w:tabs>
      <w:ind w:left="6" w:firstLine="0"/>
      <w:jc w:val="left"/>
    </w:pPr>
  </w:style>
  <w:style w:type="paragraph" w:customStyle="1" w:styleId="TableColumnHeading">
    <w:name w:val="Table Column Heading"/>
    <w:basedOn w:val="TableBodyText"/>
    <w:rsid w:val="00470B45"/>
    <w:pPr>
      <w:spacing w:before="80" w:after="80"/>
    </w:pPr>
    <w:rPr>
      <w:i/>
    </w:rPr>
  </w:style>
  <w:style w:type="paragraph" w:styleId="TOC2">
    <w:name w:val="toc 2"/>
    <w:basedOn w:val="BodyText"/>
    <w:uiPriority w:val="39"/>
    <w:rsid w:val="00470B45"/>
    <w:pPr>
      <w:tabs>
        <w:tab w:val="right" w:pos="8789"/>
      </w:tabs>
      <w:ind w:left="510" w:right="851" w:hanging="510"/>
      <w:jc w:val="left"/>
    </w:pPr>
    <w:rPr>
      <w:b/>
    </w:rPr>
  </w:style>
  <w:style w:type="paragraph" w:styleId="TOC3">
    <w:name w:val="toc 3"/>
    <w:basedOn w:val="TOC2"/>
    <w:uiPriority w:val="39"/>
    <w:rsid w:val="00470B45"/>
    <w:pPr>
      <w:spacing w:before="60"/>
      <w:ind w:left="1190" w:hanging="680"/>
    </w:pPr>
    <w:rPr>
      <w:b w:val="0"/>
    </w:rPr>
  </w:style>
  <w:style w:type="paragraph" w:styleId="TableofFigures">
    <w:name w:val="table of figures"/>
    <w:basedOn w:val="TOC3"/>
    <w:next w:val="BodyText"/>
    <w:semiHidden/>
    <w:rsid w:val="00470B45"/>
    <w:pPr>
      <w:ind w:left="737" w:hanging="737"/>
    </w:pPr>
  </w:style>
  <w:style w:type="paragraph" w:customStyle="1" w:styleId="TableTitle">
    <w:name w:val="Table Title"/>
    <w:basedOn w:val="Caption"/>
    <w:next w:val="Subtitle"/>
    <w:rsid w:val="00470B45"/>
  </w:style>
  <w:style w:type="paragraph" w:customStyle="1" w:styleId="TableUnitsRow">
    <w:name w:val="Table Units Row"/>
    <w:basedOn w:val="TableBodyText"/>
    <w:rsid w:val="00470B45"/>
    <w:pPr>
      <w:spacing w:before="80" w:after="80"/>
    </w:pPr>
  </w:style>
  <w:style w:type="paragraph" w:styleId="TOC1">
    <w:name w:val="toc 1"/>
    <w:basedOn w:val="Normal"/>
    <w:next w:val="TOC2"/>
    <w:uiPriority w:val="39"/>
    <w:rsid w:val="00470B45"/>
    <w:pPr>
      <w:tabs>
        <w:tab w:val="right" w:pos="8789"/>
      </w:tabs>
      <w:spacing w:before="480" w:after="60" w:line="320" w:lineRule="exact"/>
      <w:ind w:left="1191" w:right="851" w:hanging="1191"/>
    </w:pPr>
    <w:rPr>
      <w:b/>
      <w:caps/>
    </w:rPr>
  </w:style>
  <w:style w:type="paragraph" w:styleId="TOC4">
    <w:name w:val="toc 4"/>
    <w:basedOn w:val="TOC3"/>
    <w:semiHidden/>
    <w:rsid w:val="00470B45"/>
    <w:pPr>
      <w:ind w:left="1191" w:firstLine="0"/>
    </w:pPr>
  </w:style>
  <w:style w:type="paragraph" w:customStyle="1" w:styleId="RecBBullet2">
    <w:name w:val="RecB Bullet 2"/>
    <w:basedOn w:val="ListBullet2"/>
    <w:rsid w:val="00470B45"/>
    <w:pPr>
      <w:pBdr>
        <w:left w:val="single" w:sz="24" w:space="29" w:color="C0C0C0"/>
      </w:pBdr>
    </w:pPr>
    <w:rPr>
      <w:b/>
      <w:i/>
    </w:rPr>
  </w:style>
  <w:style w:type="paragraph" w:styleId="BalloonText">
    <w:name w:val="Balloon Text"/>
    <w:basedOn w:val="Normal"/>
    <w:link w:val="BalloonTextChar"/>
    <w:rsid w:val="00470B45"/>
    <w:rPr>
      <w:rFonts w:ascii="Tahoma" w:hAnsi="Tahoma" w:cs="Tahoma"/>
      <w:sz w:val="16"/>
      <w:szCs w:val="16"/>
    </w:rPr>
  </w:style>
  <w:style w:type="character" w:customStyle="1" w:styleId="BalloonTextChar">
    <w:name w:val="Balloon Text Char"/>
    <w:basedOn w:val="DefaultParagraphFont"/>
    <w:link w:val="BalloonText"/>
    <w:rsid w:val="00470B45"/>
    <w:rPr>
      <w:rFonts w:ascii="Tahoma" w:hAnsi="Tahoma" w:cs="Tahoma"/>
      <w:sz w:val="16"/>
      <w:szCs w:val="16"/>
    </w:rPr>
  </w:style>
  <w:style w:type="character" w:customStyle="1" w:styleId="SubtitleChar">
    <w:name w:val="Subtitle Char"/>
    <w:basedOn w:val="DefaultParagraphFont"/>
    <w:link w:val="Subtitle"/>
    <w:rsid w:val="00470B45"/>
    <w:rPr>
      <w:rFonts w:ascii="Arial" w:hAnsi="Arial"/>
      <w:szCs w:val="24"/>
    </w:rPr>
  </w:style>
  <w:style w:type="paragraph" w:customStyle="1" w:styleId="BoxListBullet3">
    <w:name w:val="Box List Bullet 3"/>
    <w:basedOn w:val="ListBullet3"/>
    <w:rsid w:val="00470B45"/>
    <w:pPr>
      <w:spacing w:before="60" w:line="280" w:lineRule="atLeast"/>
      <w:ind w:left="907" w:hanging="340"/>
    </w:pPr>
    <w:rPr>
      <w:rFonts w:ascii="Arial" w:hAnsi="Arial"/>
      <w:sz w:val="22"/>
    </w:rPr>
  </w:style>
  <w:style w:type="character" w:styleId="Emphasis">
    <w:name w:val="Emphasis"/>
    <w:basedOn w:val="DefaultParagraphFont"/>
    <w:rsid w:val="00470B45"/>
    <w:rPr>
      <w:i/>
      <w:iCs/>
    </w:rPr>
  </w:style>
  <w:style w:type="character" w:customStyle="1" w:styleId="BoxChar">
    <w:name w:val="Box Char"/>
    <w:link w:val="Box"/>
    <w:rsid w:val="00F36255"/>
    <w:rPr>
      <w:rFonts w:ascii="Arial" w:hAnsi="Arial"/>
      <w:sz w:val="22"/>
    </w:rPr>
  </w:style>
  <w:style w:type="character" w:styleId="Strong">
    <w:name w:val="Strong"/>
    <w:qFormat/>
    <w:rsid w:val="00F36255"/>
    <w:rPr>
      <w:b/>
      <w:bCs/>
    </w:rPr>
  </w:style>
  <w:style w:type="paragraph" w:customStyle="1" w:styleId="Circulartext">
    <w:name w:val="Circular text"/>
    <w:basedOn w:val="BodyText"/>
    <w:link w:val="CirculartextChar"/>
    <w:rsid w:val="00F36255"/>
    <w:pPr>
      <w:spacing w:line="240" w:lineRule="auto"/>
    </w:pPr>
    <w:rPr>
      <w:rFonts w:ascii="GoudyOlSt BT" w:hAnsi="GoudyOlSt BT"/>
      <w:sz w:val="24"/>
    </w:rPr>
  </w:style>
  <w:style w:type="character" w:customStyle="1" w:styleId="CirculartextChar">
    <w:name w:val="Circular text Char"/>
    <w:link w:val="Circulartext"/>
    <w:locked/>
    <w:rsid w:val="00F36255"/>
    <w:rPr>
      <w:rFonts w:ascii="GoudyOlSt BT" w:hAnsi="GoudyOlSt BT"/>
      <w:sz w:val="24"/>
    </w:rPr>
  </w:style>
  <w:style w:type="character" w:customStyle="1" w:styleId="BodyTextChar">
    <w:name w:val="Body Text Char"/>
    <w:link w:val="BodyText"/>
    <w:locked/>
    <w:rsid w:val="009B440D"/>
    <w:rPr>
      <w:sz w:val="26"/>
    </w:rPr>
  </w:style>
  <w:style w:type="table" w:styleId="TableGrid">
    <w:name w:val="Table Grid"/>
    <w:basedOn w:val="TableNormal"/>
    <w:rsid w:val="00F362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TextChar">
    <w:name w:val="Comment Text Char"/>
    <w:basedOn w:val="DefaultParagraphFont"/>
    <w:link w:val="CommentText"/>
    <w:semiHidden/>
    <w:rsid w:val="00F36255"/>
    <w:rPr>
      <w:szCs w:val="24"/>
    </w:rPr>
  </w:style>
  <w:style w:type="character" w:customStyle="1" w:styleId="Heading2Char">
    <w:name w:val="Heading 2 Char"/>
    <w:link w:val="Heading2"/>
    <w:rsid w:val="007F531B"/>
    <w:rPr>
      <w:rFonts w:ascii="Arial" w:hAnsi="Arial"/>
      <w:b/>
      <w:sz w:val="32"/>
    </w:rPr>
  </w:style>
  <w:style w:type="character" w:customStyle="1" w:styleId="Heading3Char">
    <w:name w:val="Heading 3 Char"/>
    <w:link w:val="Heading3"/>
    <w:rsid w:val="007F531B"/>
    <w:rPr>
      <w:rFonts w:ascii="Arial" w:hAnsi="Arial"/>
      <w:b/>
      <w:sz w:val="26"/>
    </w:rPr>
  </w:style>
  <w:style w:type="character" w:customStyle="1" w:styleId="Heading4Char">
    <w:name w:val="Heading 4 Char"/>
    <w:link w:val="Heading4"/>
    <w:rsid w:val="007F531B"/>
    <w:rPr>
      <w:rFonts w:ascii="Arial" w:hAnsi="Arial"/>
      <w:i/>
      <w:sz w:val="24"/>
    </w:rPr>
  </w:style>
  <w:style w:type="character" w:customStyle="1" w:styleId="Heading5Char">
    <w:name w:val="Heading 5 Char"/>
    <w:basedOn w:val="DefaultParagraphFont"/>
    <w:link w:val="Heading5"/>
    <w:rsid w:val="007F531B"/>
    <w:rPr>
      <w:i/>
      <w:sz w:val="26"/>
    </w:rPr>
  </w:style>
  <w:style w:type="character" w:customStyle="1" w:styleId="QuoteChar">
    <w:name w:val="Quote Char"/>
    <w:basedOn w:val="DefaultParagraphFont"/>
    <w:link w:val="Quote"/>
    <w:rsid w:val="007F531B"/>
    <w:rPr>
      <w:sz w:val="24"/>
    </w:rPr>
  </w:style>
  <w:style w:type="character" w:customStyle="1" w:styleId="FootnoteTextChar">
    <w:name w:val="Footnote Text Char"/>
    <w:basedOn w:val="DefaultParagraphFont"/>
    <w:link w:val="FootnoteText"/>
    <w:rsid w:val="00F36255"/>
    <w:rPr>
      <w:sz w:val="22"/>
    </w:rPr>
  </w:style>
  <w:style w:type="character" w:styleId="Hyperlink">
    <w:name w:val="Hyperlink"/>
    <w:basedOn w:val="DefaultParagraphFont"/>
    <w:uiPriority w:val="99"/>
    <w:rsid w:val="00F36255"/>
    <w:rPr>
      <w:color w:val="0000FF" w:themeColor="hyperlink"/>
      <w:u w:val="single"/>
    </w:rPr>
  </w:style>
  <w:style w:type="paragraph" w:customStyle="1" w:styleId="BoxQuoteBullet">
    <w:name w:val="Box Quote Bullet"/>
    <w:basedOn w:val="BoxQuote"/>
    <w:next w:val="Box"/>
    <w:rsid w:val="00FB7014"/>
    <w:pPr>
      <w:numPr>
        <w:numId w:val="15"/>
      </w:numPr>
      <w:ind w:left="568" w:hanging="284"/>
    </w:pPr>
  </w:style>
  <w:style w:type="paragraph" w:customStyle="1" w:styleId="InformationRequestBullet">
    <w:name w:val="Information Request Bullet"/>
    <w:basedOn w:val="ListBullet"/>
    <w:next w:val="BodyText"/>
    <w:rsid w:val="00FB7014"/>
    <w:pPr>
      <w:numPr>
        <w:numId w:val="16"/>
      </w:numPr>
      <w:ind w:left="340" w:hanging="340"/>
    </w:pPr>
    <w:rPr>
      <w:rFonts w:ascii="Arial" w:hAnsi="Arial"/>
      <w:i/>
      <w:sz w:val="24"/>
    </w:rPr>
  </w:style>
  <w:style w:type="paragraph" w:styleId="TOCHeading">
    <w:name w:val="TOC Heading"/>
    <w:basedOn w:val="Heading1"/>
    <w:next w:val="Normal"/>
    <w:uiPriority w:val="39"/>
    <w:semiHidden/>
    <w:unhideWhenUsed/>
    <w:qFormat/>
    <w:rsid w:val="00852EDD"/>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paragraph" w:styleId="CommentSubject">
    <w:name w:val="annotation subject"/>
    <w:basedOn w:val="CommentText"/>
    <w:next w:val="CommentText"/>
    <w:link w:val="CommentSubjectChar"/>
    <w:rsid w:val="00F60A75"/>
    <w:pPr>
      <w:spacing w:before="0" w:line="240" w:lineRule="auto"/>
      <w:ind w:left="0" w:firstLine="0"/>
    </w:pPr>
    <w:rPr>
      <w:b/>
      <w:bCs/>
      <w:szCs w:val="20"/>
    </w:rPr>
  </w:style>
  <w:style w:type="character" w:customStyle="1" w:styleId="CommentSubjectChar">
    <w:name w:val="Comment Subject Char"/>
    <w:basedOn w:val="CommentTextChar"/>
    <w:link w:val="CommentSubject"/>
    <w:rsid w:val="00F60A75"/>
    <w:rPr>
      <w:b/>
      <w:bCs/>
      <w:szCs w:val="24"/>
    </w:rPr>
  </w:style>
  <w:style w:type="paragraph" w:styleId="NormalWeb">
    <w:name w:val="Normal (Web)"/>
    <w:basedOn w:val="Normal"/>
    <w:uiPriority w:val="99"/>
    <w:unhideWhenUsed/>
    <w:rsid w:val="00B53DAE"/>
    <w:pPr>
      <w:spacing w:before="100" w:beforeAutospacing="1" w:after="100" w:afterAutospacing="1"/>
    </w:pPr>
    <w:rPr>
      <w:rFonts w:eastAsiaTheme="minorEastAsia"/>
      <w:sz w:val="24"/>
    </w:rPr>
  </w:style>
  <w:style w:type="paragraph" w:styleId="ListParagraph">
    <w:name w:val="List Paragraph"/>
    <w:basedOn w:val="Normal"/>
    <w:uiPriority w:val="34"/>
    <w:qFormat/>
    <w:rsid w:val="00B53DAE"/>
    <w:pPr>
      <w:ind w:left="720"/>
      <w:contextualSpacing/>
    </w:pPr>
    <w:rPr>
      <w:rFonts w:eastAsiaTheme="minorEastAsia"/>
      <w:sz w:val="24"/>
    </w:rPr>
  </w:style>
  <w:style w:type="paragraph" w:styleId="Revision">
    <w:name w:val="Revision"/>
    <w:hidden/>
    <w:uiPriority w:val="99"/>
    <w:semiHidden/>
    <w:rsid w:val="00596A43"/>
    <w:rPr>
      <w:sz w:val="26"/>
      <w:szCs w:val="24"/>
    </w:rPr>
  </w:style>
  <w:style w:type="paragraph" w:customStyle="1" w:styleId="BoxSpaceAbove">
    <w:name w:val="Box Space Above"/>
    <w:basedOn w:val="BodyText"/>
    <w:rsid w:val="006A6318"/>
    <w:pPr>
      <w:keepNext/>
      <w:spacing w:before="360" w:line="80" w:lineRule="exact"/>
      <w:jc w:val="left"/>
    </w:pPr>
  </w:style>
  <w:style w:type="paragraph" w:customStyle="1" w:styleId="BoxSpaceBelow">
    <w:name w:val="Box Space Below"/>
    <w:basedOn w:val="Box"/>
    <w:rsid w:val="006A6318"/>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Default Paragraph Font" w:uiPriority="1"/>
    <w:lsdException w:name="Body Text" w:qFormat="1"/>
    <w:lsdException w:name="Subtitle" w:qFormat="1"/>
    <w:lsdException w:name="Hyperlink" w:uiPriority="99"/>
    <w:lsdException w:name="Strong"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3C2696"/>
    <w:rPr>
      <w:sz w:val="26"/>
      <w:szCs w:val="24"/>
    </w:rPr>
  </w:style>
  <w:style w:type="paragraph" w:styleId="Heading1">
    <w:name w:val="heading 1"/>
    <w:basedOn w:val="BodyText"/>
    <w:next w:val="BodyText"/>
    <w:qFormat/>
    <w:rsid w:val="00470B45"/>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470B45"/>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470B45"/>
    <w:pPr>
      <w:spacing w:before="560" w:line="320" w:lineRule="exact"/>
      <w:ind w:left="0" w:firstLine="0"/>
      <w:outlineLvl w:val="2"/>
    </w:pPr>
    <w:rPr>
      <w:sz w:val="26"/>
    </w:rPr>
  </w:style>
  <w:style w:type="paragraph" w:styleId="Heading4">
    <w:name w:val="heading 4"/>
    <w:basedOn w:val="Heading3"/>
    <w:next w:val="BodyText"/>
    <w:link w:val="Heading4Char"/>
    <w:qFormat/>
    <w:rsid w:val="00470B45"/>
    <w:pPr>
      <w:spacing w:before="480"/>
      <w:outlineLvl w:val="3"/>
    </w:pPr>
    <w:rPr>
      <w:b w:val="0"/>
      <w:i/>
      <w:sz w:val="24"/>
    </w:rPr>
  </w:style>
  <w:style w:type="paragraph" w:styleId="Heading5">
    <w:name w:val="heading 5"/>
    <w:basedOn w:val="Heading4"/>
    <w:next w:val="BodyText"/>
    <w:link w:val="Heading5Char"/>
    <w:qFormat/>
    <w:rsid w:val="00470B45"/>
    <w:pPr>
      <w:outlineLvl w:val="4"/>
    </w:pPr>
    <w:rPr>
      <w:rFonts w:ascii="Times New Roman" w:hAnsi="Times New Roman"/>
      <w:sz w:val="26"/>
    </w:rPr>
  </w:style>
  <w:style w:type="paragraph" w:styleId="Heading6">
    <w:name w:val="heading 6"/>
    <w:basedOn w:val="BodyText"/>
    <w:next w:val="BodyText"/>
    <w:rsid w:val="00470B45"/>
    <w:pPr>
      <w:spacing w:after="60"/>
      <w:jc w:val="left"/>
      <w:outlineLvl w:val="5"/>
    </w:pPr>
    <w:rPr>
      <w:i/>
      <w:sz w:val="22"/>
    </w:rPr>
  </w:style>
  <w:style w:type="paragraph" w:styleId="Heading7">
    <w:name w:val="heading 7"/>
    <w:basedOn w:val="BodyText"/>
    <w:next w:val="BodyText"/>
    <w:rsid w:val="00470B45"/>
    <w:pPr>
      <w:spacing w:after="60" w:line="240" w:lineRule="auto"/>
      <w:jc w:val="left"/>
      <w:outlineLvl w:val="6"/>
    </w:pPr>
    <w:rPr>
      <w:rFonts w:ascii="Arial" w:hAnsi="Arial"/>
      <w:sz w:val="20"/>
    </w:rPr>
  </w:style>
  <w:style w:type="paragraph" w:styleId="Heading8">
    <w:name w:val="heading 8"/>
    <w:basedOn w:val="BodyText"/>
    <w:next w:val="BodyText"/>
    <w:rsid w:val="00470B45"/>
    <w:pPr>
      <w:spacing w:after="60" w:line="240" w:lineRule="auto"/>
      <w:jc w:val="left"/>
      <w:outlineLvl w:val="7"/>
    </w:pPr>
    <w:rPr>
      <w:rFonts w:ascii="Arial" w:hAnsi="Arial"/>
      <w:i/>
      <w:sz w:val="20"/>
    </w:rPr>
  </w:style>
  <w:style w:type="paragraph" w:styleId="Heading9">
    <w:name w:val="heading 9"/>
    <w:basedOn w:val="BodyText"/>
    <w:next w:val="BodyText"/>
    <w:rsid w:val="00470B4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B440D"/>
    <w:pPr>
      <w:spacing w:before="240" w:line="320" w:lineRule="atLeast"/>
      <w:jc w:val="both"/>
    </w:pPr>
    <w:rPr>
      <w:sz w:val="26"/>
    </w:rPr>
  </w:style>
  <w:style w:type="paragraph" w:styleId="Footer">
    <w:name w:val="footer"/>
    <w:basedOn w:val="BodyText"/>
    <w:rsid w:val="00470B45"/>
    <w:pPr>
      <w:spacing w:before="80" w:line="200" w:lineRule="exact"/>
      <w:ind w:right="6"/>
      <w:jc w:val="left"/>
    </w:pPr>
    <w:rPr>
      <w:caps/>
      <w:spacing w:val="-4"/>
      <w:sz w:val="16"/>
    </w:rPr>
  </w:style>
  <w:style w:type="paragraph" w:customStyle="1" w:styleId="FooterEnd">
    <w:name w:val="Footer End"/>
    <w:basedOn w:val="Footer"/>
    <w:rsid w:val="00470B45"/>
    <w:pPr>
      <w:spacing w:before="0" w:line="20" w:lineRule="exact"/>
    </w:pPr>
  </w:style>
  <w:style w:type="paragraph" w:styleId="Header">
    <w:name w:val="header"/>
    <w:basedOn w:val="BodyText"/>
    <w:rsid w:val="00470B4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470B45"/>
    <w:pPr>
      <w:spacing w:line="20" w:lineRule="exact"/>
    </w:pPr>
    <w:rPr>
      <w:sz w:val="16"/>
    </w:rPr>
  </w:style>
  <w:style w:type="paragraph" w:customStyle="1" w:styleId="HeaderEven">
    <w:name w:val="Header Even"/>
    <w:basedOn w:val="Header"/>
    <w:rsid w:val="00470B45"/>
  </w:style>
  <w:style w:type="paragraph" w:customStyle="1" w:styleId="HeaderOdd">
    <w:name w:val="Header Odd"/>
    <w:basedOn w:val="Header"/>
    <w:rsid w:val="00470B45"/>
  </w:style>
  <w:style w:type="character" w:styleId="PageNumber">
    <w:name w:val="page number"/>
    <w:basedOn w:val="DefaultParagraphFont"/>
    <w:rsid w:val="00470B45"/>
    <w:rPr>
      <w:rFonts w:ascii="Arial" w:hAnsi="Arial"/>
      <w:b/>
      <w:sz w:val="16"/>
    </w:rPr>
  </w:style>
  <w:style w:type="paragraph" w:customStyle="1" w:styleId="Abbreviation">
    <w:name w:val="Abbreviation"/>
    <w:basedOn w:val="BodyText"/>
    <w:rsid w:val="00470B45"/>
    <w:pPr>
      <w:spacing w:before="120"/>
      <w:ind w:left="2381" w:hanging="2381"/>
      <w:jc w:val="left"/>
    </w:pPr>
  </w:style>
  <w:style w:type="paragraph" w:customStyle="1" w:styleId="Box">
    <w:name w:val="Box"/>
    <w:basedOn w:val="BodyText"/>
    <w:link w:val="BoxChar"/>
    <w:qFormat/>
    <w:rsid w:val="00470B45"/>
    <w:pPr>
      <w:keepNext/>
      <w:spacing w:before="120" w:line="280" w:lineRule="atLeast"/>
    </w:pPr>
    <w:rPr>
      <w:rFonts w:ascii="Arial" w:hAnsi="Arial"/>
      <w:sz w:val="22"/>
    </w:rPr>
  </w:style>
  <w:style w:type="paragraph" w:customStyle="1" w:styleId="BoxContinued">
    <w:name w:val="Box Continued"/>
    <w:basedOn w:val="BodyText"/>
    <w:next w:val="BodyText"/>
    <w:rsid w:val="00470B45"/>
    <w:pPr>
      <w:spacing w:before="180" w:line="220" w:lineRule="exact"/>
      <w:jc w:val="right"/>
    </w:pPr>
    <w:rPr>
      <w:rFonts w:ascii="Arial" w:hAnsi="Arial"/>
      <w:sz w:val="18"/>
    </w:rPr>
  </w:style>
  <w:style w:type="paragraph" w:customStyle="1" w:styleId="BoxHeading1">
    <w:name w:val="Box Heading 1"/>
    <w:basedOn w:val="BodyText"/>
    <w:next w:val="Box"/>
    <w:rsid w:val="00470B45"/>
    <w:pPr>
      <w:keepNext/>
      <w:spacing w:before="200" w:line="280" w:lineRule="atLeast"/>
    </w:pPr>
    <w:rPr>
      <w:rFonts w:ascii="Arial" w:hAnsi="Arial"/>
      <w:b/>
      <w:sz w:val="22"/>
    </w:rPr>
  </w:style>
  <w:style w:type="paragraph" w:customStyle="1" w:styleId="BoxHeading2">
    <w:name w:val="Box Heading 2"/>
    <w:basedOn w:val="BoxHeading1"/>
    <w:next w:val="Normal"/>
    <w:rsid w:val="00470B45"/>
    <w:rPr>
      <w:b w:val="0"/>
      <w:i/>
    </w:rPr>
  </w:style>
  <w:style w:type="paragraph" w:customStyle="1" w:styleId="BoxListBullet">
    <w:name w:val="Box List Bullet"/>
    <w:basedOn w:val="BodyText"/>
    <w:rsid w:val="00470B45"/>
    <w:pPr>
      <w:keepNext/>
      <w:numPr>
        <w:numId w:val="1"/>
      </w:numPr>
      <w:spacing w:before="120" w:line="280" w:lineRule="atLeast"/>
    </w:pPr>
    <w:rPr>
      <w:rFonts w:ascii="Arial" w:hAnsi="Arial"/>
      <w:sz w:val="22"/>
    </w:rPr>
  </w:style>
  <w:style w:type="paragraph" w:customStyle="1" w:styleId="BoxListBullet2">
    <w:name w:val="Box List Bullet 2"/>
    <w:basedOn w:val="BodyText"/>
    <w:rsid w:val="00470B45"/>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470B45"/>
    <w:pPr>
      <w:keepNext/>
      <w:numPr>
        <w:numId w:val="13"/>
      </w:numPr>
      <w:tabs>
        <w:tab w:val="clear" w:pos="284"/>
        <w:tab w:val="num" w:pos="360"/>
      </w:tabs>
      <w:spacing w:before="120" w:line="280" w:lineRule="atLeast"/>
      <w:ind w:left="0" w:firstLine="0"/>
    </w:pPr>
    <w:rPr>
      <w:rFonts w:ascii="Arial" w:hAnsi="Arial"/>
      <w:sz w:val="22"/>
    </w:rPr>
  </w:style>
  <w:style w:type="paragraph" w:customStyle="1" w:styleId="BoxListNumber2">
    <w:name w:val="Box List Number 2"/>
    <w:basedOn w:val="BoxListNumber"/>
    <w:rsid w:val="00470B45"/>
    <w:pPr>
      <w:numPr>
        <w:ilvl w:val="1"/>
      </w:numPr>
      <w:tabs>
        <w:tab w:val="clear" w:pos="680"/>
        <w:tab w:val="num" w:pos="360"/>
      </w:tabs>
      <w:spacing w:before="60"/>
      <w:ind w:left="0" w:firstLine="0"/>
    </w:pPr>
  </w:style>
  <w:style w:type="paragraph" w:customStyle="1" w:styleId="BoxQuote">
    <w:name w:val="Box Quote"/>
    <w:basedOn w:val="BodyText"/>
    <w:next w:val="Box"/>
    <w:rsid w:val="00470B45"/>
    <w:pPr>
      <w:keepNext/>
      <w:spacing w:before="60" w:line="260" w:lineRule="exact"/>
      <w:ind w:left="284"/>
    </w:pPr>
    <w:rPr>
      <w:rFonts w:ascii="Arial" w:hAnsi="Arial"/>
      <w:sz w:val="20"/>
    </w:rPr>
  </w:style>
  <w:style w:type="paragraph" w:customStyle="1" w:styleId="Note">
    <w:name w:val="Note"/>
    <w:basedOn w:val="BodyText"/>
    <w:next w:val="Normal"/>
    <w:rsid w:val="00470B45"/>
    <w:pPr>
      <w:keepLines/>
      <w:spacing w:before="80" w:line="220" w:lineRule="exact"/>
    </w:pPr>
    <w:rPr>
      <w:rFonts w:ascii="Arial" w:hAnsi="Arial"/>
      <w:sz w:val="18"/>
    </w:rPr>
  </w:style>
  <w:style w:type="paragraph" w:customStyle="1" w:styleId="Source">
    <w:name w:val="Source"/>
    <w:basedOn w:val="Note"/>
    <w:next w:val="BodyText"/>
    <w:rsid w:val="00470B45"/>
    <w:pPr>
      <w:spacing w:after="120"/>
    </w:pPr>
  </w:style>
  <w:style w:type="paragraph" w:customStyle="1" w:styleId="BoxSource">
    <w:name w:val="Box Source"/>
    <w:basedOn w:val="Source"/>
    <w:next w:val="BodyText"/>
    <w:rsid w:val="00470B45"/>
    <w:pPr>
      <w:spacing w:before="180" w:after="0"/>
    </w:pPr>
  </w:style>
  <w:style w:type="paragraph" w:customStyle="1" w:styleId="BoxSpace">
    <w:name w:val="Box Space"/>
    <w:basedOn w:val="BodyText"/>
    <w:rsid w:val="00470B45"/>
    <w:pPr>
      <w:keepNext/>
      <w:spacing w:before="360" w:line="80" w:lineRule="exact"/>
      <w:jc w:val="left"/>
    </w:pPr>
  </w:style>
  <w:style w:type="paragraph" w:styleId="Caption">
    <w:name w:val="caption"/>
    <w:basedOn w:val="Normal"/>
    <w:next w:val="BodyText"/>
    <w:rsid w:val="00470B45"/>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470B45"/>
    <w:pPr>
      <w:spacing w:before="120" w:after="0"/>
      <w:ind w:left="1304" w:hanging="1304"/>
    </w:pPr>
  </w:style>
  <w:style w:type="paragraph" w:customStyle="1" w:styleId="BoxSubtitle">
    <w:name w:val="Box Subtitle"/>
    <w:basedOn w:val="BoxTitle"/>
    <w:next w:val="Normal"/>
    <w:rsid w:val="00470B45"/>
    <w:pPr>
      <w:spacing w:after="80" w:line="200" w:lineRule="exact"/>
      <w:ind w:firstLine="0"/>
    </w:pPr>
    <w:rPr>
      <w:b w:val="0"/>
      <w:sz w:val="20"/>
    </w:rPr>
  </w:style>
  <w:style w:type="paragraph" w:customStyle="1" w:styleId="Chapter">
    <w:name w:val="Chapter"/>
    <w:basedOn w:val="Heading1"/>
    <w:next w:val="BodyText"/>
    <w:rsid w:val="00470B45"/>
    <w:pPr>
      <w:ind w:left="0" w:firstLine="0"/>
      <w:outlineLvl w:val="9"/>
    </w:pPr>
  </w:style>
  <w:style w:type="paragraph" w:customStyle="1" w:styleId="ChapterSummary">
    <w:name w:val="Chapter Summary"/>
    <w:basedOn w:val="BodyText"/>
    <w:rsid w:val="00470B45"/>
    <w:pPr>
      <w:ind w:left="907"/>
    </w:pPr>
    <w:rPr>
      <w:rFonts w:ascii="Arial" w:hAnsi="Arial"/>
      <w:b/>
      <w:sz w:val="22"/>
    </w:rPr>
  </w:style>
  <w:style w:type="character" w:styleId="CommentReference">
    <w:name w:val="annotation reference"/>
    <w:basedOn w:val="DefaultParagraphFont"/>
    <w:semiHidden/>
    <w:rsid w:val="00470B45"/>
    <w:rPr>
      <w:b/>
      <w:vanish/>
      <w:color w:val="FF00FF"/>
      <w:sz w:val="20"/>
    </w:rPr>
  </w:style>
  <w:style w:type="paragraph" w:styleId="CommentText">
    <w:name w:val="annotation text"/>
    <w:basedOn w:val="Normal"/>
    <w:link w:val="CommentTextChar"/>
    <w:semiHidden/>
    <w:rsid w:val="00470B45"/>
    <w:pPr>
      <w:spacing w:before="120" w:line="240" w:lineRule="atLeast"/>
      <w:ind w:left="567" w:hanging="567"/>
    </w:pPr>
    <w:rPr>
      <w:sz w:val="20"/>
    </w:rPr>
  </w:style>
  <w:style w:type="paragraph" w:customStyle="1" w:styleId="Continued">
    <w:name w:val="Continued"/>
    <w:basedOn w:val="BoxContinued"/>
    <w:next w:val="BodyText"/>
    <w:rsid w:val="00470B45"/>
  </w:style>
  <w:style w:type="character" w:customStyle="1" w:styleId="DocumentInfo">
    <w:name w:val="Document Info"/>
    <w:basedOn w:val="DefaultParagraphFont"/>
    <w:rsid w:val="00470B45"/>
    <w:rPr>
      <w:rFonts w:ascii="Arial" w:hAnsi="Arial"/>
      <w:sz w:val="14"/>
    </w:rPr>
  </w:style>
  <w:style w:type="character" w:customStyle="1" w:styleId="DraftingNote">
    <w:name w:val="Drafting Note"/>
    <w:basedOn w:val="DefaultParagraphFont"/>
    <w:rsid w:val="00470B45"/>
    <w:rPr>
      <w:b/>
      <w:color w:val="FF0000"/>
      <w:sz w:val="24"/>
      <w:u w:val="dotted"/>
    </w:rPr>
  </w:style>
  <w:style w:type="paragraph" w:customStyle="1" w:styleId="Figure">
    <w:name w:val="Figure"/>
    <w:basedOn w:val="BodyText"/>
    <w:rsid w:val="00470B45"/>
    <w:pPr>
      <w:keepNext/>
      <w:spacing w:before="120" w:after="120" w:line="240" w:lineRule="atLeast"/>
      <w:jc w:val="center"/>
    </w:pPr>
  </w:style>
  <w:style w:type="paragraph" w:customStyle="1" w:styleId="FigureTitle">
    <w:name w:val="Figure Title"/>
    <w:basedOn w:val="Caption"/>
    <w:next w:val="Subtitle"/>
    <w:rsid w:val="00470B45"/>
  </w:style>
  <w:style w:type="paragraph" w:styleId="Subtitle">
    <w:name w:val="Subtitle"/>
    <w:basedOn w:val="Caption"/>
    <w:link w:val="SubtitleChar"/>
    <w:qFormat/>
    <w:rsid w:val="00470B45"/>
    <w:pPr>
      <w:spacing w:before="0" w:line="200" w:lineRule="exact"/>
      <w:ind w:firstLine="0"/>
    </w:pPr>
    <w:rPr>
      <w:b w:val="0"/>
      <w:sz w:val="20"/>
    </w:rPr>
  </w:style>
  <w:style w:type="paragraph" w:customStyle="1" w:styleId="Finding">
    <w:name w:val="Finding"/>
    <w:basedOn w:val="BodyText"/>
    <w:rsid w:val="00470B45"/>
    <w:pPr>
      <w:keepLines/>
      <w:spacing w:before="180"/>
    </w:pPr>
    <w:rPr>
      <w:i/>
    </w:rPr>
  </w:style>
  <w:style w:type="paragraph" w:customStyle="1" w:styleId="FindingBullet">
    <w:name w:val="Finding Bullet"/>
    <w:basedOn w:val="Finding"/>
    <w:rsid w:val="00470B45"/>
    <w:pPr>
      <w:numPr>
        <w:numId w:val="3"/>
      </w:numPr>
      <w:spacing w:before="80"/>
    </w:pPr>
  </w:style>
  <w:style w:type="paragraph" w:customStyle="1" w:styleId="FindingNoTitle">
    <w:name w:val="Finding NoTitle"/>
    <w:basedOn w:val="Finding"/>
    <w:rsid w:val="00470B45"/>
    <w:pPr>
      <w:spacing w:before="240"/>
    </w:pPr>
  </w:style>
  <w:style w:type="paragraph" w:customStyle="1" w:styleId="RecTitle">
    <w:name w:val="Rec Title"/>
    <w:basedOn w:val="BodyText"/>
    <w:next w:val="Normal"/>
    <w:rsid w:val="00470B45"/>
    <w:pPr>
      <w:keepNext/>
      <w:framePr w:hSpace="181" w:wrap="notBeside" w:vAnchor="text" w:hAnchor="text" w:xAlign="outside" w:y="1"/>
    </w:pPr>
    <w:rPr>
      <w:caps/>
      <w:sz w:val="16"/>
    </w:rPr>
  </w:style>
  <w:style w:type="paragraph" w:customStyle="1" w:styleId="FindingTitle">
    <w:name w:val="Finding Title"/>
    <w:basedOn w:val="RecTitle"/>
    <w:next w:val="Finding"/>
    <w:rsid w:val="00470B45"/>
    <w:pPr>
      <w:framePr w:wrap="notBeside"/>
    </w:pPr>
  </w:style>
  <w:style w:type="character" w:styleId="FootnoteReference">
    <w:name w:val="footnote reference"/>
    <w:basedOn w:val="DefaultParagraphFont"/>
    <w:semiHidden/>
    <w:rsid w:val="00470B45"/>
    <w:rPr>
      <w:rFonts w:ascii="Times New Roman" w:hAnsi="Times New Roman"/>
      <w:position w:val="6"/>
      <w:sz w:val="22"/>
      <w:vertAlign w:val="baseline"/>
    </w:rPr>
  </w:style>
  <w:style w:type="paragraph" w:styleId="FootnoteText">
    <w:name w:val="footnote text"/>
    <w:basedOn w:val="BodyText"/>
    <w:link w:val="FootnoteTextChar"/>
    <w:rsid w:val="00470B4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470B45"/>
    <w:pPr>
      <w:spacing w:before="360" w:after="120"/>
    </w:pPr>
    <w:rPr>
      <w:rFonts w:ascii="Arial" w:hAnsi="Arial"/>
      <w:sz w:val="24"/>
    </w:rPr>
  </w:style>
  <w:style w:type="paragraph" w:customStyle="1" w:styleId="Jurisdictioncommentsbodytext">
    <w:name w:val="Jurisdiction comments body text"/>
    <w:rsid w:val="00470B45"/>
    <w:pPr>
      <w:spacing w:after="140"/>
      <w:jc w:val="both"/>
    </w:pPr>
    <w:rPr>
      <w:rFonts w:ascii="Arial" w:hAnsi="Arial"/>
      <w:sz w:val="24"/>
      <w:lang w:eastAsia="en-US"/>
    </w:rPr>
  </w:style>
  <w:style w:type="paragraph" w:customStyle="1" w:styleId="Jurisdictioncommentsheading">
    <w:name w:val="Jurisdiction comments heading"/>
    <w:rsid w:val="00470B45"/>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470B45"/>
    <w:pPr>
      <w:numPr>
        <w:numId w:val="4"/>
      </w:numPr>
      <w:spacing w:after="140"/>
      <w:jc w:val="both"/>
    </w:pPr>
    <w:rPr>
      <w:rFonts w:ascii="Arial" w:hAnsi="Arial"/>
      <w:sz w:val="24"/>
      <w:lang w:eastAsia="en-US"/>
    </w:rPr>
  </w:style>
  <w:style w:type="paragraph" w:styleId="ListBullet">
    <w:name w:val="List Bullet"/>
    <w:basedOn w:val="BodyText"/>
    <w:rsid w:val="00470B45"/>
    <w:pPr>
      <w:numPr>
        <w:numId w:val="5"/>
      </w:numPr>
      <w:spacing w:before="120"/>
    </w:pPr>
  </w:style>
  <w:style w:type="paragraph" w:styleId="ListBullet2">
    <w:name w:val="List Bullet 2"/>
    <w:basedOn w:val="BodyText"/>
    <w:rsid w:val="00470B45"/>
    <w:pPr>
      <w:numPr>
        <w:numId w:val="6"/>
      </w:numPr>
      <w:spacing w:before="120"/>
    </w:pPr>
  </w:style>
  <w:style w:type="paragraph" w:styleId="ListBullet3">
    <w:name w:val="List Bullet 3"/>
    <w:basedOn w:val="BodyText"/>
    <w:rsid w:val="00470B45"/>
    <w:pPr>
      <w:numPr>
        <w:numId w:val="7"/>
      </w:numPr>
      <w:spacing w:before="120"/>
    </w:pPr>
  </w:style>
  <w:style w:type="paragraph" w:styleId="ListNumber">
    <w:name w:val="List Number"/>
    <w:basedOn w:val="BodyText"/>
    <w:rsid w:val="00470B45"/>
    <w:pPr>
      <w:numPr>
        <w:numId w:val="12"/>
      </w:numPr>
      <w:spacing w:before="120"/>
    </w:pPr>
  </w:style>
  <w:style w:type="paragraph" w:styleId="ListNumber2">
    <w:name w:val="List Number 2"/>
    <w:basedOn w:val="ListNumber"/>
    <w:rsid w:val="00470B45"/>
    <w:pPr>
      <w:numPr>
        <w:ilvl w:val="1"/>
      </w:numPr>
    </w:pPr>
  </w:style>
  <w:style w:type="paragraph" w:styleId="ListNumber3">
    <w:name w:val="List Number 3"/>
    <w:basedOn w:val="ListNumber2"/>
    <w:rsid w:val="00470B45"/>
    <w:pPr>
      <w:numPr>
        <w:ilvl w:val="2"/>
      </w:numPr>
    </w:pPr>
  </w:style>
  <w:style w:type="character" w:customStyle="1" w:styleId="NoteLabel">
    <w:name w:val="Note Label"/>
    <w:basedOn w:val="DefaultParagraphFont"/>
    <w:rsid w:val="00470B45"/>
    <w:rPr>
      <w:rFonts w:ascii="Arial" w:hAnsi="Arial"/>
      <w:b/>
      <w:position w:val="6"/>
      <w:sz w:val="18"/>
    </w:rPr>
  </w:style>
  <w:style w:type="paragraph" w:customStyle="1" w:styleId="PartDivider">
    <w:name w:val="Part Divider"/>
    <w:basedOn w:val="BodyText"/>
    <w:next w:val="BodyText"/>
    <w:rsid w:val="00470B45"/>
    <w:pPr>
      <w:spacing w:before="0" w:line="40" w:lineRule="exact"/>
      <w:jc w:val="right"/>
    </w:pPr>
    <w:rPr>
      <w:smallCaps/>
      <w:sz w:val="16"/>
    </w:rPr>
  </w:style>
  <w:style w:type="paragraph" w:customStyle="1" w:styleId="PartNumber">
    <w:name w:val="Part Number"/>
    <w:basedOn w:val="BodyText"/>
    <w:next w:val="BodyText"/>
    <w:rsid w:val="00470B45"/>
    <w:pPr>
      <w:spacing w:before="4000" w:line="320" w:lineRule="exact"/>
      <w:ind w:left="6634"/>
      <w:jc w:val="right"/>
    </w:pPr>
    <w:rPr>
      <w:smallCaps/>
      <w:spacing w:val="60"/>
      <w:sz w:val="32"/>
    </w:rPr>
  </w:style>
  <w:style w:type="paragraph" w:customStyle="1" w:styleId="PartTitle">
    <w:name w:val="Part Title"/>
    <w:basedOn w:val="BodyText"/>
    <w:rsid w:val="00470B45"/>
    <w:pPr>
      <w:spacing w:before="160" w:after="1360" w:line="520" w:lineRule="exact"/>
      <w:ind w:right="2381"/>
      <w:jc w:val="right"/>
    </w:pPr>
    <w:rPr>
      <w:smallCaps/>
      <w:sz w:val="52"/>
    </w:rPr>
  </w:style>
  <w:style w:type="paragraph" w:styleId="Quote">
    <w:name w:val="Quote"/>
    <w:basedOn w:val="BodyText"/>
    <w:next w:val="BodyText"/>
    <w:link w:val="QuoteChar"/>
    <w:qFormat/>
    <w:rsid w:val="00470B45"/>
    <w:pPr>
      <w:spacing w:before="120" w:line="280" w:lineRule="exact"/>
      <w:ind w:left="340"/>
    </w:pPr>
    <w:rPr>
      <w:sz w:val="24"/>
    </w:rPr>
  </w:style>
  <w:style w:type="paragraph" w:customStyle="1" w:styleId="QuoteBullet">
    <w:name w:val="Quote Bullet"/>
    <w:basedOn w:val="Quote"/>
    <w:rsid w:val="00470B45"/>
    <w:pPr>
      <w:numPr>
        <w:numId w:val="8"/>
      </w:numPr>
    </w:pPr>
  </w:style>
  <w:style w:type="paragraph" w:customStyle="1" w:styleId="Rec">
    <w:name w:val="Rec"/>
    <w:basedOn w:val="BodyText"/>
    <w:rsid w:val="00470B45"/>
    <w:pPr>
      <w:keepLines/>
      <w:spacing w:before="180"/>
    </w:pPr>
    <w:rPr>
      <w:b/>
      <w:i/>
    </w:rPr>
  </w:style>
  <w:style w:type="paragraph" w:customStyle="1" w:styleId="RecBullet">
    <w:name w:val="Rec Bullet"/>
    <w:basedOn w:val="Rec"/>
    <w:rsid w:val="00470B45"/>
    <w:pPr>
      <w:numPr>
        <w:numId w:val="9"/>
      </w:numPr>
      <w:spacing w:before="80"/>
    </w:pPr>
  </w:style>
  <w:style w:type="paragraph" w:customStyle="1" w:styleId="RecB">
    <w:name w:val="RecB"/>
    <w:basedOn w:val="Normal"/>
    <w:rsid w:val="00470B4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470B45"/>
    <w:pPr>
      <w:numPr>
        <w:numId w:val="14"/>
      </w:numPr>
      <w:spacing w:before="80"/>
    </w:pPr>
  </w:style>
  <w:style w:type="paragraph" w:customStyle="1" w:styleId="RecBNoTitle">
    <w:name w:val="RecB NoTitle"/>
    <w:basedOn w:val="RecB"/>
    <w:rsid w:val="00470B45"/>
    <w:pPr>
      <w:spacing w:before="240"/>
    </w:pPr>
  </w:style>
  <w:style w:type="paragraph" w:customStyle="1" w:styleId="Reference">
    <w:name w:val="Reference"/>
    <w:basedOn w:val="BodyText"/>
    <w:rsid w:val="00470B45"/>
    <w:pPr>
      <w:spacing w:before="120"/>
      <w:ind w:left="340" w:hanging="340"/>
    </w:pPr>
  </w:style>
  <w:style w:type="paragraph" w:customStyle="1" w:styleId="SequenceInfo">
    <w:name w:val="Sequence Info"/>
    <w:basedOn w:val="BodyText"/>
    <w:rsid w:val="00470B45"/>
    <w:rPr>
      <w:vanish/>
      <w:sz w:val="16"/>
    </w:rPr>
  </w:style>
  <w:style w:type="paragraph" w:customStyle="1" w:styleId="SideNote">
    <w:name w:val="Side Note"/>
    <w:basedOn w:val="BodyText"/>
    <w:next w:val="BodyText"/>
    <w:rsid w:val="00470B45"/>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rsid w:val="00470B45"/>
    <w:pPr>
      <w:framePr w:wrap="around"/>
      <w:numPr>
        <w:numId w:val="10"/>
      </w:numPr>
      <w:tabs>
        <w:tab w:val="left" w:pos="227"/>
      </w:tabs>
    </w:pPr>
  </w:style>
  <w:style w:type="paragraph" w:customStyle="1" w:styleId="SideNoteGraphic">
    <w:name w:val="Side Note Graphic"/>
    <w:basedOn w:val="SideNote"/>
    <w:next w:val="BodyText"/>
    <w:rsid w:val="00470B45"/>
    <w:pPr>
      <w:framePr w:wrap="around"/>
    </w:pPr>
  </w:style>
  <w:style w:type="paragraph" w:customStyle="1" w:styleId="TableBodyText">
    <w:name w:val="Table Body Text"/>
    <w:basedOn w:val="BodyText"/>
    <w:rsid w:val="00470B45"/>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470B45"/>
    <w:pPr>
      <w:numPr>
        <w:numId w:val="11"/>
      </w:numPr>
      <w:tabs>
        <w:tab w:val="clear" w:pos="170"/>
        <w:tab w:val="num" w:pos="360"/>
      </w:tabs>
      <w:ind w:left="6" w:firstLine="0"/>
      <w:jc w:val="left"/>
    </w:pPr>
  </w:style>
  <w:style w:type="paragraph" w:customStyle="1" w:styleId="TableColumnHeading">
    <w:name w:val="Table Column Heading"/>
    <w:basedOn w:val="TableBodyText"/>
    <w:rsid w:val="00470B45"/>
    <w:pPr>
      <w:spacing w:before="80" w:after="80"/>
    </w:pPr>
    <w:rPr>
      <w:i/>
    </w:rPr>
  </w:style>
  <w:style w:type="paragraph" w:styleId="TOC2">
    <w:name w:val="toc 2"/>
    <w:basedOn w:val="BodyText"/>
    <w:uiPriority w:val="39"/>
    <w:rsid w:val="00470B45"/>
    <w:pPr>
      <w:tabs>
        <w:tab w:val="right" w:pos="8789"/>
      </w:tabs>
      <w:ind w:left="510" w:right="851" w:hanging="510"/>
      <w:jc w:val="left"/>
    </w:pPr>
    <w:rPr>
      <w:b/>
    </w:rPr>
  </w:style>
  <w:style w:type="paragraph" w:styleId="TOC3">
    <w:name w:val="toc 3"/>
    <w:basedOn w:val="TOC2"/>
    <w:uiPriority w:val="39"/>
    <w:rsid w:val="00470B45"/>
    <w:pPr>
      <w:spacing w:before="60"/>
      <w:ind w:left="1190" w:hanging="680"/>
    </w:pPr>
    <w:rPr>
      <w:b w:val="0"/>
    </w:rPr>
  </w:style>
  <w:style w:type="paragraph" w:styleId="TableofFigures">
    <w:name w:val="table of figures"/>
    <w:basedOn w:val="TOC3"/>
    <w:next w:val="BodyText"/>
    <w:semiHidden/>
    <w:rsid w:val="00470B45"/>
    <w:pPr>
      <w:ind w:left="737" w:hanging="737"/>
    </w:pPr>
  </w:style>
  <w:style w:type="paragraph" w:customStyle="1" w:styleId="TableTitle">
    <w:name w:val="Table Title"/>
    <w:basedOn w:val="Caption"/>
    <w:next w:val="Subtitle"/>
    <w:rsid w:val="00470B45"/>
  </w:style>
  <w:style w:type="paragraph" w:customStyle="1" w:styleId="TableUnitsRow">
    <w:name w:val="Table Units Row"/>
    <w:basedOn w:val="TableBodyText"/>
    <w:rsid w:val="00470B45"/>
    <w:pPr>
      <w:spacing w:before="80" w:after="80"/>
    </w:pPr>
  </w:style>
  <w:style w:type="paragraph" w:styleId="TOC1">
    <w:name w:val="toc 1"/>
    <w:basedOn w:val="Normal"/>
    <w:next w:val="TOC2"/>
    <w:uiPriority w:val="39"/>
    <w:rsid w:val="00470B45"/>
    <w:pPr>
      <w:tabs>
        <w:tab w:val="right" w:pos="8789"/>
      </w:tabs>
      <w:spacing w:before="480" w:after="60" w:line="320" w:lineRule="exact"/>
      <w:ind w:left="1191" w:right="851" w:hanging="1191"/>
    </w:pPr>
    <w:rPr>
      <w:b/>
      <w:caps/>
    </w:rPr>
  </w:style>
  <w:style w:type="paragraph" w:styleId="TOC4">
    <w:name w:val="toc 4"/>
    <w:basedOn w:val="TOC3"/>
    <w:semiHidden/>
    <w:rsid w:val="00470B45"/>
    <w:pPr>
      <w:ind w:left="1191" w:firstLine="0"/>
    </w:pPr>
  </w:style>
  <w:style w:type="paragraph" w:customStyle="1" w:styleId="RecBBullet2">
    <w:name w:val="RecB Bullet 2"/>
    <w:basedOn w:val="ListBullet2"/>
    <w:rsid w:val="00470B45"/>
    <w:pPr>
      <w:pBdr>
        <w:left w:val="single" w:sz="24" w:space="29" w:color="C0C0C0"/>
      </w:pBdr>
    </w:pPr>
    <w:rPr>
      <w:b/>
      <w:i/>
    </w:rPr>
  </w:style>
  <w:style w:type="paragraph" w:styleId="BalloonText">
    <w:name w:val="Balloon Text"/>
    <w:basedOn w:val="Normal"/>
    <w:link w:val="BalloonTextChar"/>
    <w:rsid w:val="00470B45"/>
    <w:rPr>
      <w:rFonts w:ascii="Tahoma" w:hAnsi="Tahoma" w:cs="Tahoma"/>
      <w:sz w:val="16"/>
      <w:szCs w:val="16"/>
    </w:rPr>
  </w:style>
  <w:style w:type="character" w:customStyle="1" w:styleId="BalloonTextChar">
    <w:name w:val="Balloon Text Char"/>
    <w:basedOn w:val="DefaultParagraphFont"/>
    <w:link w:val="BalloonText"/>
    <w:rsid w:val="00470B45"/>
    <w:rPr>
      <w:rFonts w:ascii="Tahoma" w:hAnsi="Tahoma" w:cs="Tahoma"/>
      <w:sz w:val="16"/>
      <w:szCs w:val="16"/>
    </w:rPr>
  </w:style>
  <w:style w:type="character" w:customStyle="1" w:styleId="SubtitleChar">
    <w:name w:val="Subtitle Char"/>
    <w:basedOn w:val="DefaultParagraphFont"/>
    <w:link w:val="Subtitle"/>
    <w:rsid w:val="00470B45"/>
    <w:rPr>
      <w:rFonts w:ascii="Arial" w:hAnsi="Arial"/>
      <w:szCs w:val="24"/>
    </w:rPr>
  </w:style>
  <w:style w:type="paragraph" w:customStyle="1" w:styleId="BoxListBullet3">
    <w:name w:val="Box List Bullet 3"/>
    <w:basedOn w:val="ListBullet3"/>
    <w:rsid w:val="00470B45"/>
    <w:pPr>
      <w:spacing w:before="60" w:line="280" w:lineRule="atLeast"/>
      <w:ind w:left="907" w:hanging="340"/>
    </w:pPr>
    <w:rPr>
      <w:rFonts w:ascii="Arial" w:hAnsi="Arial"/>
      <w:sz w:val="22"/>
    </w:rPr>
  </w:style>
  <w:style w:type="character" w:styleId="Emphasis">
    <w:name w:val="Emphasis"/>
    <w:basedOn w:val="DefaultParagraphFont"/>
    <w:rsid w:val="00470B45"/>
    <w:rPr>
      <w:i/>
      <w:iCs/>
    </w:rPr>
  </w:style>
  <w:style w:type="character" w:customStyle="1" w:styleId="BoxChar">
    <w:name w:val="Box Char"/>
    <w:link w:val="Box"/>
    <w:rsid w:val="00F36255"/>
    <w:rPr>
      <w:rFonts w:ascii="Arial" w:hAnsi="Arial"/>
      <w:sz w:val="22"/>
    </w:rPr>
  </w:style>
  <w:style w:type="character" w:styleId="Strong">
    <w:name w:val="Strong"/>
    <w:qFormat/>
    <w:rsid w:val="00F36255"/>
    <w:rPr>
      <w:b/>
      <w:bCs/>
    </w:rPr>
  </w:style>
  <w:style w:type="paragraph" w:customStyle="1" w:styleId="Circulartext">
    <w:name w:val="Circular text"/>
    <w:basedOn w:val="BodyText"/>
    <w:link w:val="CirculartextChar"/>
    <w:rsid w:val="00F36255"/>
    <w:pPr>
      <w:spacing w:line="240" w:lineRule="auto"/>
    </w:pPr>
    <w:rPr>
      <w:rFonts w:ascii="GoudyOlSt BT" w:hAnsi="GoudyOlSt BT"/>
      <w:sz w:val="24"/>
    </w:rPr>
  </w:style>
  <w:style w:type="character" w:customStyle="1" w:styleId="CirculartextChar">
    <w:name w:val="Circular text Char"/>
    <w:link w:val="Circulartext"/>
    <w:locked/>
    <w:rsid w:val="00F36255"/>
    <w:rPr>
      <w:rFonts w:ascii="GoudyOlSt BT" w:hAnsi="GoudyOlSt BT"/>
      <w:sz w:val="24"/>
    </w:rPr>
  </w:style>
  <w:style w:type="character" w:customStyle="1" w:styleId="BodyTextChar">
    <w:name w:val="Body Text Char"/>
    <w:link w:val="BodyText"/>
    <w:locked/>
    <w:rsid w:val="009B440D"/>
    <w:rPr>
      <w:sz w:val="26"/>
    </w:rPr>
  </w:style>
  <w:style w:type="table" w:styleId="TableGrid">
    <w:name w:val="Table Grid"/>
    <w:basedOn w:val="TableNormal"/>
    <w:rsid w:val="00F362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TextChar">
    <w:name w:val="Comment Text Char"/>
    <w:basedOn w:val="DefaultParagraphFont"/>
    <w:link w:val="CommentText"/>
    <w:semiHidden/>
    <w:rsid w:val="00F36255"/>
    <w:rPr>
      <w:szCs w:val="24"/>
    </w:rPr>
  </w:style>
  <w:style w:type="character" w:customStyle="1" w:styleId="Heading2Char">
    <w:name w:val="Heading 2 Char"/>
    <w:link w:val="Heading2"/>
    <w:rsid w:val="007F531B"/>
    <w:rPr>
      <w:rFonts w:ascii="Arial" w:hAnsi="Arial"/>
      <w:b/>
      <w:sz w:val="32"/>
    </w:rPr>
  </w:style>
  <w:style w:type="character" w:customStyle="1" w:styleId="Heading3Char">
    <w:name w:val="Heading 3 Char"/>
    <w:link w:val="Heading3"/>
    <w:rsid w:val="007F531B"/>
    <w:rPr>
      <w:rFonts w:ascii="Arial" w:hAnsi="Arial"/>
      <w:b/>
      <w:sz w:val="26"/>
    </w:rPr>
  </w:style>
  <w:style w:type="character" w:customStyle="1" w:styleId="Heading4Char">
    <w:name w:val="Heading 4 Char"/>
    <w:link w:val="Heading4"/>
    <w:rsid w:val="007F531B"/>
    <w:rPr>
      <w:rFonts w:ascii="Arial" w:hAnsi="Arial"/>
      <w:i/>
      <w:sz w:val="24"/>
    </w:rPr>
  </w:style>
  <w:style w:type="character" w:customStyle="1" w:styleId="Heading5Char">
    <w:name w:val="Heading 5 Char"/>
    <w:basedOn w:val="DefaultParagraphFont"/>
    <w:link w:val="Heading5"/>
    <w:rsid w:val="007F531B"/>
    <w:rPr>
      <w:i/>
      <w:sz w:val="26"/>
    </w:rPr>
  </w:style>
  <w:style w:type="character" w:customStyle="1" w:styleId="QuoteChar">
    <w:name w:val="Quote Char"/>
    <w:basedOn w:val="DefaultParagraphFont"/>
    <w:link w:val="Quote"/>
    <w:rsid w:val="007F531B"/>
    <w:rPr>
      <w:sz w:val="24"/>
    </w:rPr>
  </w:style>
  <w:style w:type="character" w:customStyle="1" w:styleId="FootnoteTextChar">
    <w:name w:val="Footnote Text Char"/>
    <w:basedOn w:val="DefaultParagraphFont"/>
    <w:link w:val="FootnoteText"/>
    <w:rsid w:val="00F36255"/>
    <w:rPr>
      <w:sz w:val="22"/>
    </w:rPr>
  </w:style>
  <w:style w:type="character" w:styleId="Hyperlink">
    <w:name w:val="Hyperlink"/>
    <w:basedOn w:val="DefaultParagraphFont"/>
    <w:uiPriority w:val="99"/>
    <w:rsid w:val="00F36255"/>
    <w:rPr>
      <w:color w:val="0000FF" w:themeColor="hyperlink"/>
      <w:u w:val="single"/>
    </w:rPr>
  </w:style>
  <w:style w:type="paragraph" w:customStyle="1" w:styleId="BoxQuoteBullet">
    <w:name w:val="Box Quote Bullet"/>
    <w:basedOn w:val="BoxQuote"/>
    <w:next w:val="Box"/>
    <w:rsid w:val="00FB7014"/>
    <w:pPr>
      <w:numPr>
        <w:numId w:val="15"/>
      </w:numPr>
      <w:ind w:left="568" w:hanging="284"/>
    </w:pPr>
  </w:style>
  <w:style w:type="paragraph" w:customStyle="1" w:styleId="InformationRequestBullet">
    <w:name w:val="Information Request Bullet"/>
    <w:basedOn w:val="ListBullet"/>
    <w:next w:val="BodyText"/>
    <w:rsid w:val="00FB7014"/>
    <w:pPr>
      <w:numPr>
        <w:numId w:val="16"/>
      </w:numPr>
      <w:ind w:left="340" w:hanging="340"/>
    </w:pPr>
    <w:rPr>
      <w:rFonts w:ascii="Arial" w:hAnsi="Arial"/>
      <w:i/>
      <w:sz w:val="24"/>
    </w:rPr>
  </w:style>
  <w:style w:type="paragraph" w:styleId="TOCHeading">
    <w:name w:val="TOC Heading"/>
    <w:basedOn w:val="Heading1"/>
    <w:next w:val="Normal"/>
    <w:uiPriority w:val="39"/>
    <w:semiHidden/>
    <w:unhideWhenUsed/>
    <w:qFormat/>
    <w:rsid w:val="00852EDD"/>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paragraph" w:styleId="CommentSubject">
    <w:name w:val="annotation subject"/>
    <w:basedOn w:val="CommentText"/>
    <w:next w:val="CommentText"/>
    <w:link w:val="CommentSubjectChar"/>
    <w:rsid w:val="00F60A75"/>
    <w:pPr>
      <w:spacing w:before="0" w:line="240" w:lineRule="auto"/>
      <w:ind w:left="0" w:firstLine="0"/>
    </w:pPr>
    <w:rPr>
      <w:b/>
      <w:bCs/>
      <w:szCs w:val="20"/>
    </w:rPr>
  </w:style>
  <w:style w:type="character" w:customStyle="1" w:styleId="CommentSubjectChar">
    <w:name w:val="Comment Subject Char"/>
    <w:basedOn w:val="CommentTextChar"/>
    <w:link w:val="CommentSubject"/>
    <w:rsid w:val="00F60A75"/>
    <w:rPr>
      <w:b/>
      <w:bCs/>
      <w:szCs w:val="24"/>
    </w:rPr>
  </w:style>
  <w:style w:type="paragraph" w:styleId="NormalWeb">
    <w:name w:val="Normal (Web)"/>
    <w:basedOn w:val="Normal"/>
    <w:uiPriority w:val="99"/>
    <w:unhideWhenUsed/>
    <w:rsid w:val="00B53DAE"/>
    <w:pPr>
      <w:spacing w:before="100" w:beforeAutospacing="1" w:after="100" w:afterAutospacing="1"/>
    </w:pPr>
    <w:rPr>
      <w:rFonts w:eastAsiaTheme="minorEastAsia"/>
      <w:sz w:val="24"/>
    </w:rPr>
  </w:style>
  <w:style w:type="paragraph" w:styleId="ListParagraph">
    <w:name w:val="List Paragraph"/>
    <w:basedOn w:val="Normal"/>
    <w:uiPriority w:val="34"/>
    <w:qFormat/>
    <w:rsid w:val="00B53DAE"/>
    <w:pPr>
      <w:ind w:left="720"/>
      <w:contextualSpacing/>
    </w:pPr>
    <w:rPr>
      <w:rFonts w:eastAsiaTheme="minorEastAsia"/>
      <w:sz w:val="24"/>
    </w:rPr>
  </w:style>
  <w:style w:type="paragraph" w:styleId="Revision">
    <w:name w:val="Revision"/>
    <w:hidden/>
    <w:uiPriority w:val="99"/>
    <w:semiHidden/>
    <w:rsid w:val="00596A43"/>
    <w:rPr>
      <w:sz w:val="26"/>
      <w:szCs w:val="24"/>
    </w:rPr>
  </w:style>
  <w:style w:type="paragraph" w:customStyle="1" w:styleId="BoxSpaceAbove">
    <w:name w:val="Box Space Above"/>
    <w:basedOn w:val="BodyText"/>
    <w:rsid w:val="006A6318"/>
    <w:pPr>
      <w:keepNext/>
      <w:spacing w:before="360" w:line="80" w:lineRule="exact"/>
      <w:jc w:val="left"/>
    </w:pPr>
  </w:style>
  <w:style w:type="paragraph" w:customStyle="1" w:styleId="BoxSpaceBelow">
    <w:name w:val="Box Space Below"/>
    <w:basedOn w:val="Box"/>
    <w:rsid w:val="006A6318"/>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912649">
      <w:bodyDiv w:val="1"/>
      <w:marLeft w:val="0"/>
      <w:marRight w:val="0"/>
      <w:marTop w:val="0"/>
      <w:marBottom w:val="0"/>
      <w:divBdr>
        <w:top w:val="none" w:sz="0" w:space="0" w:color="auto"/>
        <w:left w:val="none" w:sz="0" w:space="0" w:color="auto"/>
        <w:bottom w:val="none" w:sz="0" w:space="0" w:color="auto"/>
        <w:right w:val="none" w:sz="0" w:space="0" w:color="auto"/>
      </w:divBdr>
    </w:div>
    <w:div w:id="628436880">
      <w:bodyDiv w:val="1"/>
      <w:marLeft w:val="0"/>
      <w:marRight w:val="0"/>
      <w:marTop w:val="0"/>
      <w:marBottom w:val="0"/>
      <w:divBdr>
        <w:top w:val="none" w:sz="0" w:space="0" w:color="auto"/>
        <w:left w:val="none" w:sz="0" w:space="0" w:color="auto"/>
        <w:bottom w:val="none" w:sz="0" w:space="0" w:color="auto"/>
        <w:right w:val="none" w:sz="0" w:space="0" w:color="auto"/>
      </w:divBdr>
      <w:divsChild>
        <w:div w:id="2097628260">
          <w:marLeft w:val="0"/>
          <w:marRight w:val="0"/>
          <w:marTop w:val="240"/>
          <w:marBottom w:val="0"/>
          <w:divBdr>
            <w:top w:val="none" w:sz="0" w:space="0" w:color="auto"/>
            <w:left w:val="none" w:sz="0" w:space="0" w:color="auto"/>
            <w:bottom w:val="none" w:sz="0" w:space="0" w:color="auto"/>
            <w:right w:val="none" w:sz="0" w:space="0" w:color="auto"/>
          </w:divBdr>
        </w:div>
        <w:div w:id="1307709963">
          <w:marLeft w:val="0"/>
          <w:marRight w:val="0"/>
          <w:marTop w:val="180"/>
          <w:marBottom w:val="0"/>
          <w:divBdr>
            <w:top w:val="none" w:sz="0" w:space="0" w:color="auto"/>
            <w:left w:val="none" w:sz="0" w:space="0" w:color="auto"/>
            <w:bottom w:val="none" w:sz="0" w:space="0" w:color="auto"/>
            <w:right w:val="none" w:sz="0" w:space="0" w:color="auto"/>
          </w:divBdr>
        </w:div>
        <w:div w:id="950815595">
          <w:marLeft w:val="0"/>
          <w:marRight w:val="0"/>
          <w:marTop w:val="240"/>
          <w:marBottom w:val="0"/>
          <w:divBdr>
            <w:top w:val="none" w:sz="0" w:space="0" w:color="auto"/>
            <w:left w:val="none" w:sz="0" w:space="0" w:color="auto"/>
            <w:bottom w:val="none" w:sz="0" w:space="0" w:color="auto"/>
            <w:right w:val="none" w:sz="0" w:space="0" w:color="auto"/>
          </w:divBdr>
        </w:div>
        <w:div w:id="1749812620">
          <w:marLeft w:val="0"/>
          <w:marRight w:val="0"/>
          <w:marTop w:val="180"/>
          <w:marBottom w:val="0"/>
          <w:divBdr>
            <w:top w:val="none" w:sz="0" w:space="0" w:color="auto"/>
            <w:left w:val="none" w:sz="0" w:space="0" w:color="auto"/>
            <w:bottom w:val="none" w:sz="0" w:space="0" w:color="auto"/>
            <w:right w:val="none" w:sz="0" w:space="0" w:color="auto"/>
          </w:divBdr>
        </w:div>
        <w:div w:id="2056655929">
          <w:marLeft w:val="0"/>
          <w:marRight w:val="0"/>
          <w:marTop w:val="180"/>
          <w:marBottom w:val="0"/>
          <w:divBdr>
            <w:top w:val="none" w:sz="0" w:space="0" w:color="auto"/>
            <w:left w:val="none" w:sz="0" w:space="0" w:color="auto"/>
            <w:bottom w:val="none" w:sz="0" w:space="0" w:color="auto"/>
            <w:right w:val="none" w:sz="0" w:space="0" w:color="auto"/>
          </w:divBdr>
        </w:div>
        <w:div w:id="1536309453">
          <w:marLeft w:val="0"/>
          <w:marRight w:val="0"/>
          <w:marTop w:val="240"/>
          <w:marBottom w:val="0"/>
          <w:divBdr>
            <w:top w:val="none" w:sz="0" w:space="0" w:color="auto"/>
            <w:left w:val="none" w:sz="0" w:space="0" w:color="auto"/>
            <w:bottom w:val="none" w:sz="0" w:space="0" w:color="auto"/>
            <w:right w:val="none" w:sz="0" w:space="0" w:color="auto"/>
          </w:divBdr>
        </w:div>
        <w:div w:id="969092929">
          <w:marLeft w:val="0"/>
          <w:marRight w:val="0"/>
          <w:marTop w:val="180"/>
          <w:marBottom w:val="0"/>
          <w:divBdr>
            <w:top w:val="none" w:sz="0" w:space="0" w:color="auto"/>
            <w:left w:val="none" w:sz="0" w:space="0" w:color="auto"/>
            <w:bottom w:val="none" w:sz="0" w:space="0" w:color="auto"/>
            <w:right w:val="none" w:sz="0" w:space="0" w:color="auto"/>
          </w:divBdr>
        </w:div>
        <w:div w:id="1314918104">
          <w:marLeft w:val="0"/>
          <w:marRight w:val="0"/>
          <w:marTop w:val="240"/>
          <w:marBottom w:val="0"/>
          <w:divBdr>
            <w:top w:val="none" w:sz="0" w:space="0" w:color="auto"/>
            <w:left w:val="none" w:sz="0" w:space="0" w:color="auto"/>
            <w:bottom w:val="none" w:sz="0" w:space="0" w:color="auto"/>
            <w:right w:val="none" w:sz="0" w:space="0" w:color="auto"/>
          </w:divBdr>
        </w:div>
        <w:div w:id="1925452549">
          <w:marLeft w:val="0"/>
          <w:marRight w:val="0"/>
          <w:marTop w:val="180"/>
          <w:marBottom w:val="0"/>
          <w:divBdr>
            <w:top w:val="none" w:sz="0" w:space="0" w:color="auto"/>
            <w:left w:val="none" w:sz="0" w:space="0" w:color="auto"/>
            <w:bottom w:val="none" w:sz="0" w:space="0" w:color="auto"/>
            <w:right w:val="none" w:sz="0" w:space="0" w:color="auto"/>
          </w:divBdr>
        </w:div>
        <w:div w:id="902564986">
          <w:marLeft w:val="0"/>
          <w:marRight w:val="0"/>
          <w:marTop w:val="180"/>
          <w:marBottom w:val="0"/>
          <w:divBdr>
            <w:top w:val="none" w:sz="0" w:space="0" w:color="auto"/>
            <w:left w:val="none" w:sz="0" w:space="0" w:color="auto"/>
            <w:bottom w:val="none" w:sz="0" w:space="0" w:color="auto"/>
            <w:right w:val="none" w:sz="0" w:space="0" w:color="auto"/>
          </w:divBdr>
        </w:div>
      </w:divsChild>
    </w:div>
    <w:div w:id="838737422">
      <w:bodyDiv w:val="1"/>
      <w:marLeft w:val="0"/>
      <w:marRight w:val="0"/>
      <w:marTop w:val="0"/>
      <w:marBottom w:val="0"/>
      <w:divBdr>
        <w:top w:val="none" w:sz="0" w:space="0" w:color="auto"/>
        <w:left w:val="none" w:sz="0" w:space="0" w:color="auto"/>
        <w:bottom w:val="none" w:sz="0" w:space="0" w:color="auto"/>
        <w:right w:val="none" w:sz="0" w:space="0" w:color="auto"/>
      </w:divBdr>
    </w:div>
    <w:div w:id="1132288969">
      <w:bodyDiv w:val="1"/>
      <w:marLeft w:val="0"/>
      <w:marRight w:val="0"/>
      <w:marTop w:val="0"/>
      <w:marBottom w:val="0"/>
      <w:divBdr>
        <w:top w:val="none" w:sz="0" w:space="0" w:color="auto"/>
        <w:left w:val="none" w:sz="0" w:space="0" w:color="auto"/>
        <w:bottom w:val="none" w:sz="0" w:space="0" w:color="auto"/>
        <w:right w:val="none" w:sz="0" w:space="0" w:color="auto"/>
      </w:divBdr>
    </w:div>
    <w:div w:id="1448158375">
      <w:bodyDiv w:val="1"/>
      <w:marLeft w:val="0"/>
      <w:marRight w:val="0"/>
      <w:marTop w:val="0"/>
      <w:marBottom w:val="0"/>
      <w:divBdr>
        <w:top w:val="none" w:sz="0" w:space="0" w:color="auto"/>
        <w:left w:val="none" w:sz="0" w:space="0" w:color="auto"/>
        <w:bottom w:val="none" w:sz="0" w:space="0" w:color="auto"/>
        <w:right w:val="none" w:sz="0" w:space="0" w:color="auto"/>
      </w:divBdr>
    </w:div>
    <w:div w:id="1599368798">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91403928">
      <w:bodyDiv w:val="1"/>
      <w:marLeft w:val="0"/>
      <w:marRight w:val="0"/>
      <w:marTop w:val="0"/>
      <w:marBottom w:val="0"/>
      <w:divBdr>
        <w:top w:val="none" w:sz="0" w:space="0" w:color="auto"/>
        <w:left w:val="none" w:sz="0" w:space="0" w:color="auto"/>
        <w:bottom w:val="none" w:sz="0" w:space="0" w:color="auto"/>
        <w:right w:val="none" w:sz="0" w:space="0" w:color="auto"/>
      </w:divBdr>
    </w:div>
    <w:div w:id="207874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embeddings/oleObject1.bin"/></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577185185185185"/>
          <c:y val="6.8231483917980687E-2"/>
          <c:w val="0.84880925925925921"/>
          <c:h val="0.76564797009628294"/>
        </c:manualLayout>
      </c:layout>
      <c:scatterChart>
        <c:scatterStyle val="lineMarker"/>
        <c:varyColors val="0"/>
        <c:ser>
          <c:idx val="4"/>
          <c:order val="0"/>
          <c:tx>
            <c:strRef>
              <c:f>'Fig 4.9'!$C$3</c:f>
              <c:strCache>
                <c:ptCount val="1"/>
                <c:pt idx="0">
                  <c:v>2010-11 daily maximum</c:v>
                </c:pt>
              </c:strCache>
            </c:strRef>
          </c:tx>
          <c:spPr>
            <a:ln w="25400">
              <a:noFill/>
            </a:ln>
          </c:spPr>
          <c:marker>
            <c:symbol val="circle"/>
            <c:size val="4"/>
            <c:spPr>
              <a:solidFill>
                <a:schemeClr val="tx1">
                  <a:lumMod val="85000"/>
                  <a:lumOff val="15000"/>
                </a:schemeClr>
              </a:solidFill>
              <a:ln w="9525">
                <a:noFill/>
              </a:ln>
            </c:spPr>
          </c:marker>
          <c:xVal>
            <c:numRef>
              <c:f>'Fig 4.9'!$A$4:$A$368</c:f>
              <c:numCache>
                <c:formatCode>d\-mmm</c:formatCode>
                <c:ptCount val="365"/>
                <c:pt idx="0">
                  <c:v>40360</c:v>
                </c:pt>
                <c:pt idx="1">
                  <c:v>40361</c:v>
                </c:pt>
                <c:pt idx="2">
                  <c:v>40362</c:v>
                </c:pt>
                <c:pt idx="3">
                  <c:v>40363</c:v>
                </c:pt>
                <c:pt idx="4">
                  <c:v>40364</c:v>
                </c:pt>
                <c:pt idx="5">
                  <c:v>40365</c:v>
                </c:pt>
                <c:pt idx="6">
                  <c:v>40366</c:v>
                </c:pt>
                <c:pt idx="7">
                  <c:v>40367</c:v>
                </c:pt>
                <c:pt idx="8">
                  <c:v>40368</c:v>
                </c:pt>
                <c:pt idx="9">
                  <c:v>40369</c:v>
                </c:pt>
                <c:pt idx="10">
                  <c:v>40370</c:v>
                </c:pt>
                <c:pt idx="11">
                  <c:v>40371</c:v>
                </c:pt>
                <c:pt idx="12">
                  <c:v>40372</c:v>
                </c:pt>
                <c:pt idx="13">
                  <c:v>40373</c:v>
                </c:pt>
                <c:pt idx="14">
                  <c:v>40374</c:v>
                </c:pt>
                <c:pt idx="15">
                  <c:v>40375</c:v>
                </c:pt>
                <c:pt idx="16">
                  <c:v>40376</c:v>
                </c:pt>
                <c:pt idx="17">
                  <c:v>40377</c:v>
                </c:pt>
                <c:pt idx="18">
                  <c:v>40378</c:v>
                </c:pt>
                <c:pt idx="19">
                  <c:v>40379</c:v>
                </c:pt>
                <c:pt idx="20">
                  <c:v>40380</c:v>
                </c:pt>
                <c:pt idx="21">
                  <c:v>40381</c:v>
                </c:pt>
                <c:pt idx="22">
                  <c:v>40382</c:v>
                </c:pt>
                <c:pt idx="23">
                  <c:v>40383</c:v>
                </c:pt>
                <c:pt idx="24">
                  <c:v>40384</c:v>
                </c:pt>
                <c:pt idx="25">
                  <c:v>40385</c:v>
                </c:pt>
                <c:pt idx="26">
                  <c:v>40386</c:v>
                </c:pt>
                <c:pt idx="27">
                  <c:v>40387</c:v>
                </c:pt>
                <c:pt idx="28">
                  <c:v>40388</c:v>
                </c:pt>
                <c:pt idx="29">
                  <c:v>40389</c:v>
                </c:pt>
                <c:pt idx="30">
                  <c:v>40390</c:v>
                </c:pt>
                <c:pt idx="31">
                  <c:v>40391</c:v>
                </c:pt>
                <c:pt idx="32">
                  <c:v>40392</c:v>
                </c:pt>
                <c:pt idx="33">
                  <c:v>40393</c:v>
                </c:pt>
                <c:pt idx="34">
                  <c:v>40394</c:v>
                </c:pt>
                <c:pt idx="35">
                  <c:v>40395</c:v>
                </c:pt>
                <c:pt idx="36">
                  <c:v>40396</c:v>
                </c:pt>
                <c:pt idx="37">
                  <c:v>40397</c:v>
                </c:pt>
                <c:pt idx="38">
                  <c:v>40398</c:v>
                </c:pt>
                <c:pt idx="39">
                  <c:v>40399</c:v>
                </c:pt>
                <c:pt idx="40">
                  <c:v>40400</c:v>
                </c:pt>
                <c:pt idx="41">
                  <c:v>40401</c:v>
                </c:pt>
                <c:pt idx="42">
                  <c:v>40402</c:v>
                </c:pt>
                <c:pt idx="43">
                  <c:v>40403</c:v>
                </c:pt>
                <c:pt idx="44">
                  <c:v>40404</c:v>
                </c:pt>
                <c:pt idx="45">
                  <c:v>40405</c:v>
                </c:pt>
                <c:pt idx="46">
                  <c:v>40406</c:v>
                </c:pt>
                <c:pt idx="47">
                  <c:v>40407</c:v>
                </c:pt>
                <c:pt idx="48">
                  <c:v>40408</c:v>
                </c:pt>
                <c:pt idx="49">
                  <c:v>40409</c:v>
                </c:pt>
                <c:pt idx="50">
                  <c:v>40410</c:v>
                </c:pt>
                <c:pt idx="51">
                  <c:v>40411</c:v>
                </c:pt>
                <c:pt idx="52">
                  <c:v>40412</c:v>
                </c:pt>
                <c:pt idx="53">
                  <c:v>40413</c:v>
                </c:pt>
                <c:pt idx="54">
                  <c:v>40414</c:v>
                </c:pt>
                <c:pt idx="55">
                  <c:v>40415</c:v>
                </c:pt>
                <c:pt idx="56">
                  <c:v>40416</c:v>
                </c:pt>
                <c:pt idx="57">
                  <c:v>40417</c:v>
                </c:pt>
                <c:pt idx="58">
                  <c:v>40418</c:v>
                </c:pt>
                <c:pt idx="59">
                  <c:v>40419</c:v>
                </c:pt>
                <c:pt idx="60">
                  <c:v>40420</c:v>
                </c:pt>
                <c:pt idx="61">
                  <c:v>40421</c:v>
                </c:pt>
                <c:pt idx="62">
                  <c:v>40422</c:v>
                </c:pt>
                <c:pt idx="63">
                  <c:v>40423</c:v>
                </c:pt>
                <c:pt idx="64">
                  <c:v>40424</c:v>
                </c:pt>
                <c:pt idx="65">
                  <c:v>40425</c:v>
                </c:pt>
                <c:pt idx="66">
                  <c:v>40426</c:v>
                </c:pt>
                <c:pt idx="67">
                  <c:v>40427</c:v>
                </c:pt>
                <c:pt idx="68">
                  <c:v>40428</c:v>
                </c:pt>
                <c:pt idx="69">
                  <c:v>40429</c:v>
                </c:pt>
                <c:pt idx="70">
                  <c:v>40430</c:v>
                </c:pt>
                <c:pt idx="71">
                  <c:v>40431</c:v>
                </c:pt>
                <c:pt idx="72">
                  <c:v>40432</c:v>
                </c:pt>
                <c:pt idx="73">
                  <c:v>40433</c:v>
                </c:pt>
                <c:pt idx="74">
                  <c:v>40434</c:v>
                </c:pt>
                <c:pt idx="75">
                  <c:v>40435</c:v>
                </c:pt>
                <c:pt idx="76">
                  <c:v>40436</c:v>
                </c:pt>
                <c:pt idx="77">
                  <c:v>40437</c:v>
                </c:pt>
                <c:pt idx="78">
                  <c:v>40438</c:v>
                </c:pt>
                <c:pt idx="79">
                  <c:v>40439</c:v>
                </c:pt>
                <c:pt idx="80">
                  <c:v>40440</c:v>
                </c:pt>
                <c:pt idx="81">
                  <c:v>40441</c:v>
                </c:pt>
                <c:pt idx="82">
                  <c:v>40442</c:v>
                </c:pt>
                <c:pt idx="83">
                  <c:v>40443</c:v>
                </c:pt>
                <c:pt idx="84">
                  <c:v>40444</c:v>
                </c:pt>
                <c:pt idx="85">
                  <c:v>40445</c:v>
                </c:pt>
                <c:pt idx="86">
                  <c:v>40446</c:v>
                </c:pt>
                <c:pt idx="87">
                  <c:v>40447</c:v>
                </c:pt>
                <c:pt idx="88">
                  <c:v>40448</c:v>
                </c:pt>
                <c:pt idx="89">
                  <c:v>40449</c:v>
                </c:pt>
                <c:pt idx="90">
                  <c:v>40450</c:v>
                </c:pt>
                <c:pt idx="91">
                  <c:v>40451</c:v>
                </c:pt>
                <c:pt idx="92">
                  <c:v>40452</c:v>
                </c:pt>
                <c:pt idx="93">
                  <c:v>40453</c:v>
                </c:pt>
                <c:pt idx="94">
                  <c:v>40454</c:v>
                </c:pt>
                <c:pt idx="95">
                  <c:v>40455</c:v>
                </c:pt>
                <c:pt idx="96">
                  <c:v>40456</c:v>
                </c:pt>
                <c:pt idx="97">
                  <c:v>40457</c:v>
                </c:pt>
                <c:pt idx="98">
                  <c:v>40458</c:v>
                </c:pt>
                <c:pt idx="99">
                  <c:v>40459</c:v>
                </c:pt>
                <c:pt idx="100">
                  <c:v>40460</c:v>
                </c:pt>
                <c:pt idx="101">
                  <c:v>40461</c:v>
                </c:pt>
                <c:pt idx="102">
                  <c:v>40462</c:v>
                </c:pt>
                <c:pt idx="103">
                  <c:v>40463</c:v>
                </c:pt>
                <c:pt idx="104">
                  <c:v>40464</c:v>
                </c:pt>
                <c:pt idx="105">
                  <c:v>40465</c:v>
                </c:pt>
                <c:pt idx="106">
                  <c:v>40466</c:v>
                </c:pt>
                <c:pt idx="107">
                  <c:v>40467</c:v>
                </c:pt>
                <c:pt idx="108">
                  <c:v>40468</c:v>
                </c:pt>
                <c:pt idx="109">
                  <c:v>40469</c:v>
                </c:pt>
                <c:pt idx="110">
                  <c:v>40470</c:v>
                </c:pt>
                <c:pt idx="111">
                  <c:v>40471</c:v>
                </c:pt>
                <c:pt idx="112">
                  <c:v>40472</c:v>
                </c:pt>
                <c:pt idx="113">
                  <c:v>40473</c:v>
                </c:pt>
                <c:pt idx="114">
                  <c:v>40474</c:v>
                </c:pt>
                <c:pt idx="115">
                  <c:v>40475</c:v>
                </c:pt>
                <c:pt idx="116">
                  <c:v>40476</c:v>
                </c:pt>
                <c:pt idx="117">
                  <c:v>40477</c:v>
                </c:pt>
                <c:pt idx="118">
                  <c:v>40478</c:v>
                </c:pt>
                <c:pt idx="119">
                  <c:v>40479</c:v>
                </c:pt>
                <c:pt idx="120">
                  <c:v>40480</c:v>
                </c:pt>
                <c:pt idx="121">
                  <c:v>40481</c:v>
                </c:pt>
                <c:pt idx="122">
                  <c:v>40482</c:v>
                </c:pt>
                <c:pt idx="123">
                  <c:v>40483</c:v>
                </c:pt>
                <c:pt idx="124">
                  <c:v>40484</c:v>
                </c:pt>
                <c:pt idx="125">
                  <c:v>40485</c:v>
                </c:pt>
                <c:pt idx="126">
                  <c:v>40486</c:v>
                </c:pt>
                <c:pt idx="127">
                  <c:v>40487</c:v>
                </c:pt>
                <c:pt idx="128">
                  <c:v>40488</c:v>
                </c:pt>
                <c:pt idx="129">
                  <c:v>40489</c:v>
                </c:pt>
                <c:pt idx="130">
                  <c:v>40490</c:v>
                </c:pt>
                <c:pt idx="131">
                  <c:v>40491</c:v>
                </c:pt>
                <c:pt idx="132">
                  <c:v>40492</c:v>
                </c:pt>
                <c:pt idx="133">
                  <c:v>40493</c:v>
                </c:pt>
                <c:pt idx="134">
                  <c:v>40494</c:v>
                </c:pt>
                <c:pt idx="135">
                  <c:v>40495</c:v>
                </c:pt>
                <c:pt idx="136">
                  <c:v>40496</c:v>
                </c:pt>
                <c:pt idx="137">
                  <c:v>40497</c:v>
                </c:pt>
                <c:pt idx="138">
                  <c:v>40498</c:v>
                </c:pt>
                <c:pt idx="139">
                  <c:v>40499</c:v>
                </c:pt>
                <c:pt idx="140">
                  <c:v>40500</c:v>
                </c:pt>
                <c:pt idx="141">
                  <c:v>40501</c:v>
                </c:pt>
                <c:pt idx="142">
                  <c:v>40502</c:v>
                </c:pt>
                <c:pt idx="143">
                  <c:v>40503</c:v>
                </c:pt>
                <c:pt idx="144">
                  <c:v>40504</c:v>
                </c:pt>
                <c:pt idx="145">
                  <c:v>40505</c:v>
                </c:pt>
                <c:pt idx="146">
                  <c:v>40506</c:v>
                </c:pt>
                <c:pt idx="147">
                  <c:v>40507</c:v>
                </c:pt>
                <c:pt idx="148">
                  <c:v>40508</c:v>
                </c:pt>
                <c:pt idx="149">
                  <c:v>40509</c:v>
                </c:pt>
                <c:pt idx="150">
                  <c:v>40510</c:v>
                </c:pt>
                <c:pt idx="151">
                  <c:v>40511</c:v>
                </c:pt>
                <c:pt idx="152">
                  <c:v>40512</c:v>
                </c:pt>
                <c:pt idx="153">
                  <c:v>40513</c:v>
                </c:pt>
                <c:pt idx="154">
                  <c:v>40514</c:v>
                </c:pt>
                <c:pt idx="155">
                  <c:v>40515</c:v>
                </c:pt>
                <c:pt idx="156">
                  <c:v>40516</c:v>
                </c:pt>
                <c:pt idx="157">
                  <c:v>40517</c:v>
                </c:pt>
                <c:pt idx="158">
                  <c:v>40518</c:v>
                </c:pt>
                <c:pt idx="159">
                  <c:v>40519</c:v>
                </c:pt>
                <c:pt idx="160">
                  <c:v>40520</c:v>
                </c:pt>
                <c:pt idx="161">
                  <c:v>40521</c:v>
                </c:pt>
                <c:pt idx="162">
                  <c:v>40522</c:v>
                </c:pt>
                <c:pt idx="163">
                  <c:v>40523</c:v>
                </c:pt>
                <c:pt idx="164">
                  <c:v>40524</c:v>
                </c:pt>
                <c:pt idx="165">
                  <c:v>40525</c:v>
                </c:pt>
                <c:pt idx="166">
                  <c:v>40526</c:v>
                </c:pt>
                <c:pt idx="167">
                  <c:v>40527</c:v>
                </c:pt>
                <c:pt idx="168">
                  <c:v>40528</c:v>
                </c:pt>
                <c:pt idx="169">
                  <c:v>40529</c:v>
                </c:pt>
                <c:pt idx="170">
                  <c:v>40530</c:v>
                </c:pt>
                <c:pt idx="171">
                  <c:v>40531</c:v>
                </c:pt>
                <c:pt idx="172">
                  <c:v>40532</c:v>
                </c:pt>
                <c:pt idx="173">
                  <c:v>40533</c:v>
                </c:pt>
                <c:pt idx="174">
                  <c:v>40534</c:v>
                </c:pt>
                <c:pt idx="175">
                  <c:v>40535</c:v>
                </c:pt>
                <c:pt idx="176">
                  <c:v>40536</c:v>
                </c:pt>
                <c:pt idx="177">
                  <c:v>40537</c:v>
                </c:pt>
                <c:pt idx="178">
                  <c:v>40538</c:v>
                </c:pt>
                <c:pt idx="179">
                  <c:v>40539</c:v>
                </c:pt>
                <c:pt idx="180">
                  <c:v>40540</c:v>
                </c:pt>
                <c:pt idx="181">
                  <c:v>40541</c:v>
                </c:pt>
                <c:pt idx="182">
                  <c:v>40542</c:v>
                </c:pt>
                <c:pt idx="183">
                  <c:v>40543</c:v>
                </c:pt>
                <c:pt idx="184">
                  <c:v>40544</c:v>
                </c:pt>
                <c:pt idx="185">
                  <c:v>40545</c:v>
                </c:pt>
                <c:pt idx="186">
                  <c:v>40546</c:v>
                </c:pt>
                <c:pt idx="187">
                  <c:v>40547</c:v>
                </c:pt>
                <c:pt idx="188">
                  <c:v>40548</c:v>
                </c:pt>
                <c:pt idx="189">
                  <c:v>40549</c:v>
                </c:pt>
                <c:pt idx="190">
                  <c:v>40550</c:v>
                </c:pt>
                <c:pt idx="191">
                  <c:v>40551</c:v>
                </c:pt>
                <c:pt idx="192">
                  <c:v>40552</c:v>
                </c:pt>
                <c:pt idx="193">
                  <c:v>40553</c:v>
                </c:pt>
                <c:pt idx="194">
                  <c:v>40554</c:v>
                </c:pt>
                <c:pt idx="195">
                  <c:v>40555</c:v>
                </c:pt>
                <c:pt idx="196">
                  <c:v>40556</c:v>
                </c:pt>
                <c:pt idx="197">
                  <c:v>40557</c:v>
                </c:pt>
                <c:pt idx="198">
                  <c:v>40558</c:v>
                </c:pt>
                <c:pt idx="199">
                  <c:v>40559</c:v>
                </c:pt>
                <c:pt idx="200">
                  <c:v>40560</c:v>
                </c:pt>
                <c:pt idx="201">
                  <c:v>40561</c:v>
                </c:pt>
                <c:pt idx="202">
                  <c:v>40562</c:v>
                </c:pt>
                <c:pt idx="203">
                  <c:v>40563</c:v>
                </c:pt>
                <c:pt idx="204">
                  <c:v>40564</c:v>
                </c:pt>
                <c:pt idx="205">
                  <c:v>40565</c:v>
                </c:pt>
                <c:pt idx="206">
                  <c:v>40566</c:v>
                </c:pt>
                <c:pt idx="207">
                  <c:v>40567</c:v>
                </c:pt>
                <c:pt idx="208">
                  <c:v>40568</c:v>
                </c:pt>
                <c:pt idx="209">
                  <c:v>40569</c:v>
                </c:pt>
                <c:pt idx="210">
                  <c:v>40570</c:v>
                </c:pt>
                <c:pt idx="211">
                  <c:v>40571</c:v>
                </c:pt>
                <c:pt idx="212">
                  <c:v>40572</c:v>
                </c:pt>
                <c:pt idx="213">
                  <c:v>40573</c:v>
                </c:pt>
                <c:pt idx="214">
                  <c:v>40574</c:v>
                </c:pt>
                <c:pt idx="215">
                  <c:v>40575</c:v>
                </c:pt>
                <c:pt idx="216">
                  <c:v>40576</c:v>
                </c:pt>
                <c:pt idx="217">
                  <c:v>40577</c:v>
                </c:pt>
                <c:pt idx="218">
                  <c:v>40578</c:v>
                </c:pt>
                <c:pt idx="219">
                  <c:v>40579</c:v>
                </c:pt>
                <c:pt idx="220">
                  <c:v>40580</c:v>
                </c:pt>
                <c:pt idx="221">
                  <c:v>40581</c:v>
                </c:pt>
                <c:pt idx="222">
                  <c:v>40582</c:v>
                </c:pt>
                <c:pt idx="223">
                  <c:v>40583</c:v>
                </c:pt>
                <c:pt idx="224">
                  <c:v>40584</c:v>
                </c:pt>
                <c:pt idx="225">
                  <c:v>40585</c:v>
                </c:pt>
                <c:pt idx="226">
                  <c:v>40586</c:v>
                </c:pt>
                <c:pt idx="227">
                  <c:v>40587</c:v>
                </c:pt>
                <c:pt idx="228">
                  <c:v>40588</c:v>
                </c:pt>
                <c:pt idx="229">
                  <c:v>40589</c:v>
                </c:pt>
                <c:pt idx="230">
                  <c:v>40590</c:v>
                </c:pt>
                <c:pt idx="231">
                  <c:v>40591</c:v>
                </c:pt>
                <c:pt idx="232">
                  <c:v>40592</c:v>
                </c:pt>
                <c:pt idx="233">
                  <c:v>40593</c:v>
                </c:pt>
                <c:pt idx="234">
                  <c:v>40594</c:v>
                </c:pt>
                <c:pt idx="235">
                  <c:v>40595</c:v>
                </c:pt>
                <c:pt idx="236">
                  <c:v>40596</c:v>
                </c:pt>
                <c:pt idx="237">
                  <c:v>40597</c:v>
                </c:pt>
                <c:pt idx="238">
                  <c:v>40598</c:v>
                </c:pt>
                <c:pt idx="239">
                  <c:v>40599</c:v>
                </c:pt>
                <c:pt idx="240">
                  <c:v>40600</c:v>
                </c:pt>
                <c:pt idx="241">
                  <c:v>40601</c:v>
                </c:pt>
                <c:pt idx="242">
                  <c:v>40602</c:v>
                </c:pt>
                <c:pt idx="243">
                  <c:v>40603</c:v>
                </c:pt>
                <c:pt idx="244">
                  <c:v>40604</c:v>
                </c:pt>
                <c:pt idx="245">
                  <c:v>40605</c:v>
                </c:pt>
                <c:pt idx="246">
                  <c:v>40606</c:v>
                </c:pt>
                <c:pt idx="247">
                  <c:v>40607</c:v>
                </c:pt>
                <c:pt idx="248">
                  <c:v>40608</c:v>
                </c:pt>
                <c:pt idx="249">
                  <c:v>40609</c:v>
                </c:pt>
                <c:pt idx="250">
                  <c:v>40610</c:v>
                </c:pt>
                <c:pt idx="251">
                  <c:v>40611</c:v>
                </c:pt>
                <c:pt idx="252">
                  <c:v>40612</c:v>
                </c:pt>
                <c:pt idx="253">
                  <c:v>40613</c:v>
                </c:pt>
                <c:pt idx="254">
                  <c:v>40614</c:v>
                </c:pt>
                <c:pt idx="255">
                  <c:v>40615</c:v>
                </c:pt>
                <c:pt idx="256">
                  <c:v>40616</c:v>
                </c:pt>
                <c:pt idx="257">
                  <c:v>40617</c:v>
                </c:pt>
                <c:pt idx="258">
                  <c:v>40618</c:v>
                </c:pt>
                <c:pt idx="259">
                  <c:v>40619</c:v>
                </c:pt>
                <c:pt idx="260">
                  <c:v>40620</c:v>
                </c:pt>
                <c:pt idx="261">
                  <c:v>40621</c:v>
                </c:pt>
                <c:pt idx="262">
                  <c:v>40622</c:v>
                </c:pt>
                <c:pt idx="263">
                  <c:v>40623</c:v>
                </c:pt>
                <c:pt idx="264">
                  <c:v>40624</c:v>
                </c:pt>
                <c:pt idx="265">
                  <c:v>40625</c:v>
                </c:pt>
                <c:pt idx="266">
                  <c:v>40626</c:v>
                </c:pt>
                <c:pt idx="267">
                  <c:v>40627</c:v>
                </c:pt>
                <c:pt idx="268">
                  <c:v>40628</c:v>
                </c:pt>
                <c:pt idx="269">
                  <c:v>40629</c:v>
                </c:pt>
                <c:pt idx="270">
                  <c:v>40630</c:v>
                </c:pt>
                <c:pt idx="271">
                  <c:v>40631</c:v>
                </c:pt>
                <c:pt idx="272">
                  <c:v>40632</c:v>
                </c:pt>
                <c:pt idx="273">
                  <c:v>40633</c:v>
                </c:pt>
                <c:pt idx="274">
                  <c:v>40634</c:v>
                </c:pt>
                <c:pt idx="275">
                  <c:v>40635</c:v>
                </c:pt>
                <c:pt idx="276">
                  <c:v>40636</c:v>
                </c:pt>
                <c:pt idx="277">
                  <c:v>40637</c:v>
                </c:pt>
                <c:pt idx="278">
                  <c:v>40638</c:v>
                </c:pt>
                <c:pt idx="279">
                  <c:v>40639</c:v>
                </c:pt>
                <c:pt idx="280">
                  <c:v>40640</c:v>
                </c:pt>
                <c:pt idx="281">
                  <c:v>40641</c:v>
                </c:pt>
                <c:pt idx="282">
                  <c:v>40642</c:v>
                </c:pt>
                <c:pt idx="283">
                  <c:v>40643</c:v>
                </c:pt>
                <c:pt idx="284">
                  <c:v>40644</c:v>
                </c:pt>
                <c:pt idx="285">
                  <c:v>40645</c:v>
                </c:pt>
                <c:pt idx="286">
                  <c:v>40646</c:v>
                </c:pt>
                <c:pt idx="287">
                  <c:v>40647</c:v>
                </c:pt>
                <c:pt idx="288">
                  <c:v>40648</c:v>
                </c:pt>
                <c:pt idx="289">
                  <c:v>40649</c:v>
                </c:pt>
                <c:pt idx="290">
                  <c:v>40650</c:v>
                </c:pt>
                <c:pt idx="291">
                  <c:v>40651</c:v>
                </c:pt>
                <c:pt idx="292">
                  <c:v>40652</c:v>
                </c:pt>
                <c:pt idx="293">
                  <c:v>40653</c:v>
                </c:pt>
                <c:pt idx="294">
                  <c:v>40654</c:v>
                </c:pt>
                <c:pt idx="295">
                  <c:v>40655</c:v>
                </c:pt>
                <c:pt idx="296">
                  <c:v>40656</c:v>
                </c:pt>
                <c:pt idx="297">
                  <c:v>40657</c:v>
                </c:pt>
                <c:pt idx="298">
                  <c:v>40658</c:v>
                </c:pt>
                <c:pt idx="299">
                  <c:v>40659</c:v>
                </c:pt>
                <c:pt idx="300">
                  <c:v>40660</c:v>
                </c:pt>
                <c:pt idx="301">
                  <c:v>40661</c:v>
                </c:pt>
                <c:pt idx="302">
                  <c:v>40662</c:v>
                </c:pt>
                <c:pt idx="303">
                  <c:v>40663</c:v>
                </c:pt>
                <c:pt idx="304">
                  <c:v>40664</c:v>
                </c:pt>
                <c:pt idx="305">
                  <c:v>40665</c:v>
                </c:pt>
                <c:pt idx="306">
                  <c:v>40666</c:v>
                </c:pt>
                <c:pt idx="307">
                  <c:v>40667</c:v>
                </c:pt>
                <c:pt idx="308">
                  <c:v>40668</c:v>
                </c:pt>
                <c:pt idx="309">
                  <c:v>40669</c:v>
                </c:pt>
                <c:pt idx="310">
                  <c:v>40670</c:v>
                </c:pt>
                <c:pt idx="311">
                  <c:v>40671</c:v>
                </c:pt>
                <c:pt idx="312">
                  <c:v>40672</c:v>
                </c:pt>
                <c:pt idx="313">
                  <c:v>40673</c:v>
                </c:pt>
                <c:pt idx="314">
                  <c:v>40674</c:v>
                </c:pt>
                <c:pt idx="315">
                  <c:v>40675</c:v>
                </c:pt>
                <c:pt idx="316">
                  <c:v>40676</c:v>
                </c:pt>
                <c:pt idx="317">
                  <c:v>40677</c:v>
                </c:pt>
                <c:pt idx="318">
                  <c:v>40678</c:v>
                </c:pt>
                <c:pt idx="319">
                  <c:v>40679</c:v>
                </c:pt>
                <c:pt idx="320">
                  <c:v>40680</c:v>
                </c:pt>
                <c:pt idx="321">
                  <c:v>40681</c:v>
                </c:pt>
                <c:pt idx="322">
                  <c:v>40682</c:v>
                </c:pt>
                <c:pt idx="323">
                  <c:v>40683</c:v>
                </c:pt>
                <c:pt idx="324">
                  <c:v>40684</c:v>
                </c:pt>
                <c:pt idx="325">
                  <c:v>40685</c:v>
                </c:pt>
                <c:pt idx="326">
                  <c:v>40686</c:v>
                </c:pt>
                <c:pt idx="327">
                  <c:v>40687</c:v>
                </c:pt>
                <c:pt idx="328">
                  <c:v>40688</c:v>
                </c:pt>
                <c:pt idx="329">
                  <c:v>40689</c:v>
                </c:pt>
                <c:pt idx="330">
                  <c:v>40690</c:v>
                </c:pt>
                <c:pt idx="331">
                  <c:v>40691</c:v>
                </c:pt>
                <c:pt idx="332">
                  <c:v>40692</c:v>
                </c:pt>
                <c:pt idx="333">
                  <c:v>40693</c:v>
                </c:pt>
                <c:pt idx="334">
                  <c:v>40694</c:v>
                </c:pt>
                <c:pt idx="335">
                  <c:v>40695</c:v>
                </c:pt>
                <c:pt idx="336">
                  <c:v>40696</c:v>
                </c:pt>
                <c:pt idx="337">
                  <c:v>40697</c:v>
                </c:pt>
                <c:pt idx="338">
                  <c:v>40698</c:v>
                </c:pt>
                <c:pt idx="339">
                  <c:v>40699</c:v>
                </c:pt>
                <c:pt idx="340">
                  <c:v>40700</c:v>
                </c:pt>
                <c:pt idx="341">
                  <c:v>40701</c:v>
                </c:pt>
                <c:pt idx="342">
                  <c:v>40702</c:v>
                </c:pt>
                <c:pt idx="343">
                  <c:v>40703</c:v>
                </c:pt>
                <c:pt idx="344">
                  <c:v>40704</c:v>
                </c:pt>
                <c:pt idx="345">
                  <c:v>40705</c:v>
                </c:pt>
                <c:pt idx="346">
                  <c:v>40706</c:v>
                </c:pt>
                <c:pt idx="347">
                  <c:v>40707</c:v>
                </c:pt>
                <c:pt idx="348">
                  <c:v>40708</c:v>
                </c:pt>
                <c:pt idx="349">
                  <c:v>40709</c:v>
                </c:pt>
                <c:pt idx="350">
                  <c:v>40710</c:v>
                </c:pt>
                <c:pt idx="351">
                  <c:v>40711</c:v>
                </c:pt>
                <c:pt idx="352">
                  <c:v>40712</c:v>
                </c:pt>
                <c:pt idx="353">
                  <c:v>40713</c:v>
                </c:pt>
                <c:pt idx="354">
                  <c:v>40714</c:v>
                </c:pt>
                <c:pt idx="355">
                  <c:v>40715</c:v>
                </c:pt>
                <c:pt idx="356">
                  <c:v>40716</c:v>
                </c:pt>
                <c:pt idx="357">
                  <c:v>40717</c:v>
                </c:pt>
                <c:pt idx="358">
                  <c:v>40718</c:v>
                </c:pt>
                <c:pt idx="359">
                  <c:v>40719</c:v>
                </c:pt>
                <c:pt idx="360">
                  <c:v>40720</c:v>
                </c:pt>
                <c:pt idx="361">
                  <c:v>40721</c:v>
                </c:pt>
                <c:pt idx="362">
                  <c:v>40722</c:v>
                </c:pt>
                <c:pt idx="363">
                  <c:v>40723</c:v>
                </c:pt>
                <c:pt idx="364">
                  <c:v>40724</c:v>
                </c:pt>
              </c:numCache>
            </c:numRef>
          </c:xVal>
          <c:yVal>
            <c:numRef>
              <c:f>'Fig 4.9'!$C$4:$C$368</c:f>
              <c:numCache>
                <c:formatCode>0</c:formatCode>
                <c:ptCount val="365"/>
                <c:pt idx="0">
                  <c:v>31552.26</c:v>
                </c:pt>
                <c:pt idx="1">
                  <c:v>31257.23</c:v>
                </c:pt>
                <c:pt idx="2">
                  <c:v>28776.05</c:v>
                </c:pt>
                <c:pt idx="3">
                  <c:v>28723.31</c:v>
                </c:pt>
                <c:pt idx="4">
                  <c:v>31025.41</c:v>
                </c:pt>
                <c:pt idx="5">
                  <c:v>30708.38</c:v>
                </c:pt>
                <c:pt idx="6">
                  <c:v>30976.63</c:v>
                </c:pt>
                <c:pt idx="7">
                  <c:v>30661.75</c:v>
                </c:pt>
                <c:pt idx="8">
                  <c:v>29042.880000000001</c:v>
                </c:pt>
                <c:pt idx="9">
                  <c:v>26775.59</c:v>
                </c:pt>
                <c:pt idx="10">
                  <c:v>26839.82</c:v>
                </c:pt>
                <c:pt idx="11">
                  <c:v>29275.27</c:v>
                </c:pt>
                <c:pt idx="12">
                  <c:v>28918.240000000002</c:v>
                </c:pt>
                <c:pt idx="13">
                  <c:v>29196.53</c:v>
                </c:pt>
                <c:pt idx="14">
                  <c:v>29975.21</c:v>
                </c:pt>
                <c:pt idx="15">
                  <c:v>29142.31</c:v>
                </c:pt>
                <c:pt idx="16">
                  <c:v>27204.61</c:v>
                </c:pt>
                <c:pt idx="17">
                  <c:v>28060.799999999999</c:v>
                </c:pt>
                <c:pt idx="18">
                  <c:v>31102.55</c:v>
                </c:pt>
                <c:pt idx="19">
                  <c:v>30971.26</c:v>
                </c:pt>
                <c:pt idx="20">
                  <c:v>31399.93</c:v>
                </c:pt>
                <c:pt idx="21">
                  <c:v>31023.119999999999</c:v>
                </c:pt>
                <c:pt idx="22">
                  <c:v>29559.69</c:v>
                </c:pt>
                <c:pt idx="23">
                  <c:v>27560.91</c:v>
                </c:pt>
                <c:pt idx="24">
                  <c:v>28068.71</c:v>
                </c:pt>
                <c:pt idx="25">
                  <c:v>30450.5</c:v>
                </c:pt>
                <c:pt idx="26">
                  <c:v>30363.81</c:v>
                </c:pt>
                <c:pt idx="27">
                  <c:v>30277.99</c:v>
                </c:pt>
                <c:pt idx="28">
                  <c:v>29727.22</c:v>
                </c:pt>
                <c:pt idx="29">
                  <c:v>27557.599999999999</c:v>
                </c:pt>
                <c:pt idx="30">
                  <c:v>25376.44</c:v>
                </c:pt>
                <c:pt idx="31">
                  <c:v>26688.62</c:v>
                </c:pt>
                <c:pt idx="32">
                  <c:v>30619.919999999998</c:v>
                </c:pt>
                <c:pt idx="33">
                  <c:v>30279.09</c:v>
                </c:pt>
                <c:pt idx="34">
                  <c:v>29575.83</c:v>
                </c:pt>
                <c:pt idx="35">
                  <c:v>30170.79</c:v>
                </c:pt>
                <c:pt idx="36">
                  <c:v>29657.1</c:v>
                </c:pt>
                <c:pt idx="37">
                  <c:v>27677.22</c:v>
                </c:pt>
                <c:pt idx="38">
                  <c:v>27983.49</c:v>
                </c:pt>
                <c:pt idx="39">
                  <c:v>29653.72</c:v>
                </c:pt>
                <c:pt idx="40">
                  <c:v>30087.86</c:v>
                </c:pt>
                <c:pt idx="41">
                  <c:v>29738.799999999999</c:v>
                </c:pt>
                <c:pt idx="42">
                  <c:v>30201.58</c:v>
                </c:pt>
                <c:pt idx="43">
                  <c:v>28378.35</c:v>
                </c:pt>
                <c:pt idx="44">
                  <c:v>25876.959999999999</c:v>
                </c:pt>
                <c:pt idx="45">
                  <c:v>26133.91</c:v>
                </c:pt>
                <c:pt idx="46">
                  <c:v>29535.040000000001</c:v>
                </c:pt>
                <c:pt idx="47">
                  <c:v>29628.62</c:v>
                </c:pt>
                <c:pt idx="48">
                  <c:v>28750.66</c:v>
                </c:pt>
                <c:pt idx="49">
                  <c:v>27897.55</c:v>
                </c:pt>
                <c:pt idx="50">
                  <c:v>28091.75</c:v>
                </c:pt>
                <c:pt idx="51">
                  <c:v>26353.200000000001</c:v>
                </c:pt>
                <c:pt idx="52">
                  <c:v>26632.16</c:v>
                </c:pt>
                <c:pt idx="53">
                  <c:v>29882.32</c:v>
                </c:pt>
                <c:pt idx="54">
                  <c:v>29251.02</c:v>
                </c:pt>
                <c:pt idx="55">
                  <c:v>29961.99</c:v>
                </c:pt>
                <c:pt idx="56">
                  <c:v>29564.3</c:v>
                </c:pt>
                <c:pt idx="57">
                  <c:v>27978.73</c:v>
                </c:pt>
                <c:pt idx="58">
                  <c:v>26547.83</c:v>
                </c:pt>
                <c:pt idx="59">
                  <c:v>26726.03</c:v>
                </c:pt>
                <c:pt idx="60">
                  <c:v>28297.49</c:v>
                </c:pt>
                <c:pt idx="61">
                  <c:v>27715.78</c:v>
                </c:pt>
                <c:pt idx="62">
                  <c:v>27708.05</c:v>
                </c:pt>
                <c:pt idx="63">
                  <c:v>27836.959999999999</c:v>
                </c:pt>
                <c:pt idx="64">
                  <c:v>27292.5</c:v>
                </c:pt>
                <c:pt idx="65">
                  <c:v>24645.34</c:v>
                </c:pt>
                <c:pt idx="66">
                  <c:v>25002.68</c:v>
                </c:pt>
                <c:pt idx="67">
                  <c:v>28234.37</c:v>
                </c:pt>
                <c:pt idx="68">
                  <c:v>28320.09</c:v>
                </c:pt>
                <c:pt idx="69">
                  <c:v>27335.83</c:v>
                </c:pt>
                <c:pt idx="70">
                  <c:v>27602.33</c:v>
                </c:pt>
                <c:pt idx="71">
                  <c:v>26621.78</c:v>
                </c:pt>
                <c:pt idx="72">
                  <c:v>24526.14</c:v>
                </c:pt>
                <c:pt idx="73">
                  <c:v>24705.34</c:v>
                </c:pt>
                <c:pt idx="74">
                  <c:v>27118.89</c:v>
                </c:pt>
                <c:pt idx="75">
                  <c:v>27770.53</c:v>
                </c:pt>
                <c:pt idx="76">
                  <c:v>26963.01</c:v>
                </c:pt>
                <c:pt idx="77">
                  <c:v>27545.38</c:v>
                </c:pt>
                <c:pt idx="78">
                  <c:v>26561.69</c:v>
                </c:pt>
                <c:pt idx="79">
                  <c:v>24572.48</c:v>
                </c:pt>
                <c:pt idx="80">
                  <c:v>25200.06</c:v>
                </c:pt>
                <c:pt idx="81">
                  <c:v>27362.84</c:v>
                </c:pt>
                <c:pt idx="82">
                  <c:v>27081.43</c:v>
                </c:pt>
                <c:pt idx="83">
                  <c:v>26631.26</c:v>
                </c:pt>
                <c:pt idx="84">
                  <c:v>26819.200000000001</c:v>
                </c:pt>
                <c:pt idx="85">
                  <c:v>25873.37</c:v>
                </c:pt>
                <c:pt idx="86">
                  <c:v>23322.06</c:v>
                </c:pt>
                <c:pt idx="87">
                  <c:v>23395.279999999999</c:v>
                </c:pt>
                <c:pt idx="88">
                  <c:v>26176.080000000002</c:v>
                </c:pt>
                <c:pt idx="89">
                  <c:v>26633.7</c:v>
                </c:pt>
                <c:pt idx="90">
                  <c:v>27234.39</c:v>
                </c:pt>
                <c:pt idx="91">
                  <c:v>27312.7</c:v>
                </c:pt>
                <c:pt idx="92">
                  <c:v>25845.39</c:v>
                </c:pt>
                <c:pt idx="93">
                  <c:v>23346.14</c:v>
                </c:pt>
                <c:pt idx="94">
                  <c:v>22567.65</c:v>
                </c:pt>
                <c:pt idx="95">
                  <c:v>24021.61</c:v>
                </c:pt>
                <c:pt idx="96">
                  <c:v>25333.51</c:v>
                </c:pt>
                <c:pt idx="97">
                  <c:v>25303.119999999999</c:v>
                </c:pt>
                <c:pt idx="98">
                  <c:v>25516.82</c:v>
                </c:pt>
                <c:pt idx="99">
                  <c:v>25801.47</c:v>
                </c:pt>
                <c:pt idx="100">
                  <c:v>23038.89</c:v>
                </c:pt>
                <c:pt idx="101">
                  <c:v>22955.31</c:v>
                </c:pt>
                <c:pt idx="102">
                  <c:v>24952.01</c:v>
                </c:pt>
                <c:pt idx="103">
                  <c:v>25284.799999999999</c:v>
                </c:pt>
                <c:pt idx="104">
                  <c:v>25464.23</c:v>
                </c:pt>
                <c:pt idx="105">
                  <c:v>25116.25</c:v>
                </c:pt>
                <c:pt idx="106">
                  <c:v>25613.29</c:v>
                </c:pt>
                <c:pt idx="107">
                  <c:v>23580.97</c:v>
                </c:pt>
                <c:pt idx="108">
                  <c:v>23457.79</c:v>
                </c:pt>
                <c:pt idx="109">
                  <c:v>25203.19</c:v>
                </c:pt>
                <c:pt idx="110">
                  <c:v>25763.01</c:v>
                </c:pt>
                <c:pt idx="111">
                  <c:v>25129.38</c:v>
                </c:pt>
                <c:pt idx="112">
                  <c:v>24864.28</c:v>
                </c:pt>
                <c:pt idx="113">
                  <c:v>24853.42</c:v>
                </c:pt>
                <c:pt idx="114">
                  <c:v>22473.38</c:v>
                </c:pt>
                <c:pt idx="115">
                  <c:v>23216.799999999999</c:v>
                </c:pt>
                <c:pt idx="116">
                  <c:v>25319.279999999999</c:v>
                </c:pt>
                <c:pt idx="117">
                  <c:v>25108.12</c:v>
                </c:pt>
                <c:pt idx="118">
                  <c:v>25249.200000000001</c:v>
                </c:pt>
                <c:pt idx="119">
                  <c:v>25166.62</c:v>
                </c:pt>
                <c:pt idx="120">
                  <c:v>25101.78</c:v>
                </c:pt>
                <c:pt idx="121">
                  <c:v>22543.919999999998</c:v>
                </c:pt>
                <c:pt idx="122">
                  <c:v>23023.41</c:v>
                </c:pt>
                <c:pt idx="123">
                  <c:v>25100.73</c:v>
                </c:pt>
                <c:pt idx="124">
                  <c:v>24217.06</c:v>
                </c:pt>
                <c:pt idx="125">
                  <c:v>24893.81</c:v>
                </c:pt>
                <c:pt idx="126">
                  <c:v>25210.29</c:v>
                </c:pt>
                <c:pt idx="127">
                  <c:v>25002.03</c:v>
                </c:pt>
                <c:pt idx="128">
                  <c:v>22468.46</c:v>
                </c:pt>
                <c:pt idx="129">
                  <c:v>22524.11</c:v>
                </c:pt>
                <c:pt idx="130">
                  <c:v>25657.47</c:v>
                </c:pt>
                <c:pt idx="131">
                  <c:v>26082.18</c:v>
                </c:pt>
                <c:pt idx="132">
                  <c:v>26434.81</c:v>
                </c:pt>
                <c:pt idx="133">
                  <c:v>27325.78</c:v>
                </c:pt>
                <c:pt idx="134">
                  <c:v>27792.5</c:v>
                </c:pt>
                <c:pt idx="135">
                  <c:v>23622.21</c:v>
                </c:pt>
                <c:pt idx="136">
                  <c:v>23876.14</c:v>
                </c:pt>
                <c:pt idx="137">
                  <c:v>26495.39</c:v>
                </c:pt>
                <c:pt idx="138">
                  <c:v>25979.33</c:v>
                </c:pt>
                <c:pt idx="139">
                  <c:v>25528.83</c:v>
                </c:pt>
                <c:pt idx="140">
                  <c:v>25483.83</c:v>
                </c:pt>
                <c:pt idx="141">
                  <c:v>25130.04</c:v>
                </c:pt>
                <c:pt idx="142">
                  <c:v>22601.37</c:v>
                </c:pt>
                <c:pt idx="143">
                  <c:v>22293.39</c:v>
                </c:pt>
                <c:pt idx="144">
                  <c:v>27703.52</c:v>
                </c:pt>
                <c:pt idx="145">
                  <c:v>28624.41</c:v>
                </c:pt>
                <c:pt idx="146">
                  <c:v>27937.49</c:v>
                </c:pt>
                <c:pt idx="147">
                  <c:v>27213.46</c:v>
                </c:pt>
                <c:pt idx="148">
                  <c:v>27144.7</c:v>
                </c:pt>
                <c:pt idx="149">
                  <c:v>23565.59</c:v>
                </c:pt>
                <c:pt idx="150">
                  <c:v>22007.39</c:v>
                </c:pt>
                <c:pt idx="151">
                  <c:v>25355.03</c:v>
                </c:pt>
                <c:pt idx="152">
                  <c:v>25430.04</c:v>
                </c:pt>
                <c:pt idx="153">
                  <c:v>25586.21</c:v>
                </c:pt>
                <c:pt idx="154">
                  <c:v>26659.19</c:v>
                </c:pt>
                <c:pt idx="155">
                  <c:v>26845.61</c:v>
                </c:pt>
                <c:pt idx="156">
                  <c:v>24800.57</c:v>
                </c:pt>
                <c:pt idx="157">
                  <c:v>23728.880000000001</c:v>
                </c:pt>
                <c:pt idx="158">
                  <c:v>28438.54</c:v>
                </c:pt>
                <c:pt idx="159">
                  <c:v>28254.78</c:v>
                </c:pt>
                <c:pt idx="160">
                  <c:v>28001.38</c:v>
                </c:pt>
                <c:pt idx="161">
                  <c:v>28392.58</c:v>
                </c:pt>
                <c:pt idx="162">
                  <c:v>26652.75</c:v>
                </c:pt>
                <c:pt idx="163">
                  <c:v>23027.59</c:v>
                </c:pt>
                <c:pt idx="164">
                  <c:v>22722.23</c:v>
                </c:pt>
                <c:pt idx="165">
                  <c:v>27314.1</c:v>
                </c:pt>
                <c:pt idx="166">
                  <c:v>27784.54</c:v>
                </c:pt>
                <c:pt idx="167">
                  <c:v>27731.32</c:v>
                </c:pt>
                <c:pt idx="168">
                  <c:v>27164.31</c:v>
                </c:pt>
                <c:pt idx="169">
                  <c:v>25877.67</c:v>
                </c:pt>
                <c:pt idx="170">
                  <c:v>22902.95</c:v>
                </c:pt>
                <c:pt idx="171">
                  <c:v>21795.48</c:v>
                </c:pt>
                <c:pt idx="172">
                  <c:v>24399.360000000001</c:v>
                </c:pt>
                <c:pt idx="173">
                  <c:v>24606.27</c:v>
                </c:pt>
                <c:pt idx="174">
                  <c:v>24885.95</c:v>
                </c:pt>
                <c:pt idx="175">
                  <c:v>24764.68</c:v>
                </c:pt>
                <c:pt idx="176">
                  <c:v>23661.040000000001</c:v>
                </c:pt>
                <c:pt idx="177">
                  <c:v>20527.439999999999</c:v>
                </c:pt>
                <c:pt idx="178">
                  <c:v>20182.810000000001</c:v>
                </c:pt>
                <c:pt idx="179">
                  <c:v>20738.55</c:v>
                </c:pt>
                <c:pt idx="180">
                  <c:v>21166.31</c:v>
                </c:pt>
                <c:pt idx="181">
                  <c:v>23923.03</c:v>
                </c:pt>
                <c:pt idx="182">
                  <c:v>25845.85</c:v>
                </c:pt>
                <c:pt idx="183">
                  <c:v>28494.63</c:v>
                </c:pt>
                <c:pt idx="184">
                  <c:v>23550.880000000001</c:v>
                </c:pt>
                <c:pt idx="185">
                  <c:v>22559.07</c:v>
                </c:pt>
                <c:pt idx="186">
                  <c:v>22339.99</c:v>
                </c:pt>
                <c:pt idx="187">
                  <c:v>25071.48</c:v>
                </c:pt>
                <c:pt idx="188">
                  <c:v>25134.71</c:v>
                </c:pt>
                <c:pt idx="189">
                  <c:v>26329.57</c:v>
                </c:pt>
                <c:pt idx="190">
                  <c:v>28137.62</c:v>
                </c:pt>
                <c:pt idx="191">
                  <c:v>25349.05</c:v>
                </c:pt>
                <c:pt idx="192">
                  <c:v>23116.240000000002</c:v>
                </c:pt>
                <c:pt idx="193">
                  <c:v>27271.27</c:v>
                </c:pt>
                <c:pt idx="194">
                  <c:v>27049.5</c:v>
                </c:pt>
                <c:pt idx="195">
                  <c:v>27558.51</c:v>
                </c:pt>
                <c:pt idx="196">
                  <c:v>27646.98</c:v>
                </c:pt>
                <c:pt idx="197">
                  <c:v>27652.82</c:v>
                </c:pt>
                <c:pt idx="198">
                  <c:v>25841.02</c:v>
                </c:pt>
                <c:pt idx="199">
                  <c:v>25143.55</c:v>
                </c:pt>
                <c:pt idx="200">
                  <c:v>28169.03</c:v>
                </c:pt>
                <c:pt idx="201">
                  <c:v>27625.49</c:v>
                </c:pt>
                <c:pt idx="202">
                  <c:v>27600.04</c:v>
                </c:pt>
                <c:pt idx="203">
                  <c:v>28946.23</c:v>
                </c:pt>
                <c:pt idx="204">
                  <c:v>29364.39</c:v>
                </c:pt>
                <c:pt idx="205">
                  <c:v>25394.51</c:v>
                </c:pt>
                <c:pt idx="206">
                  <c:v>25780.639999999999</c:v>
                </c:pt>
                <c:pt idx="207">
                  <c:v>28940.82</c:v>
                </c:pt>
                <c:pt idx="208">
                  <c:v>30745</c:v>
                </c:pt>
                <c:pt idx="209">
                  <c:v>27287.77</c:v>
                </c:pt>
                <c:pt idx="210">
                  <c:v>30657.89</c:v>
                </c:pt>
                <c:pt idx="211">
                  <c:v>28243.78</c:v>
                </c:pt>
                <c:pt idx="212">
                  <c:v>25507.279999999999</c:v>
                </c:pt>
                <c:pt idx="213">
                  <c:v>29272.7</c:v>
                </c:pt>
                <c:pt idx="214">
                  <c:v>34395.07</c:v>
                </c:pt>
                <c:pt idx="215">
                  <c:v>34788.589999999997</c:v>
                </c:pt>
                <c:pt idx="216">
                  <c:v>34887.65</c:v>
                </c:pt>
                <c:pt idx="217">
                  <c:v>33483.78</c:v>
                </c:pt>
                <c:pt idx="218">
                  <c:v>33546.449999999997</c:v>
                </c:pt>
                <c:pt idx="219">
                  <c:v>28274.36</c:v>
                </c:pt>
                <c:pt idx="220">
                  <c:v>25598.2</c:v>
                </c:pt>
                <c:pt idx="221">
                  <c:v>26387.89</c:v>
                </c:pt>
                <c:pt idx="222">
                  <c:v>26260.03</c:v>
                </c:pt>
                <c:pt idx="223">
                  <c:v>27253.279999999999</c:v>
                </c:pt>
                <c:pt idx="224">
                  <c:v>29365.52</c:v>
                </c:pt>
                <c:pt idx="225">
                  <c:v>28813.54</c:v>
                </c:pt>
                <c:pt idx="226">
                  <c:v>23967.7</c:v>
                </c:pt>
                <c:pt idx="227">
                  <c:v>23540.68</c:v>
                </c:pt>
                <c:pt idx="228">
                  <c:v>27290.77</c:v>
                </c:pt>
                <c:pt idx="229">
                  <c:v>28158.12</c:v>
                </c:pt>
                <c:pt idx="230">
                  <c:v>28505.31</c:v>
                </c:pt>
                <c:pt idx="231">
                  <c:v>29431.13</c:v>
                </c:pt>
                <c:pt idx="232">
                  <c:v>28813.59</c:v>
                </c:pt>
                <c:pt idx="233">
                  <c:v>26823.03</c:v>
                </c:pt>
                <c:pt idx="234">
                  <c:v>26317.48</c:v>
                </c:pt>
                <c:pt idx="235">
                  <c:v>28083.95</c:v>
                </c:pt>
                <c:pt idx="236">
                  <c:v>26037.97</c:v>
                </c:pt>
                <c:pt idx="237">
                  <c:v>26483.59</c:v>
                </c:pt>
                <c:pt idx="238">
                  <c:v>27877.43</c:v>
                </c:pt>
                <c:pt idx="239">
                  <c:v>27745.91</c:v>
                </c:pt>
                <c:pt idx="240">
                  <c:v>26086.04</c:v>
                </c:pt>
                <c:pt idx="241">
                  <c:v>24999.3</c:v>
                </c:pt>
                <c:pt idx="242">
                  <c:v>28995.42</c:v>
                </c:pt>
                <c:pt idx="243">
                  <c:v>28448.13</c:v>
                </c:pt>
                <c:pt idx="244">
                  <c:v>26799.3</c:v>
                </c:pt>
                <c:pt idx="245">
                  <c:v>27551.05</c:v>
                </c:pt>
                <c:pt idx="246">
                  <c:v>26600.25</c:v>
                </c:pt>
                <c:pt idx="247">
                  <c:v>22962.14</c:v>
                </c:pt>
                <c:pt idx="248">
                  <c:v>22935.439999999999</c:v>
                </c:pt>
                <c:pt idx="249">
                  <c:v>27199.78</c:v>
                </c:pt>
                <c:pt idx="250">
                  <c:v>27038.92</c:v>
                </c:pt>
                <c:pt idx="251">
                  <c:v>26796.85</c:v>
                </c:pt>
                <c:pt idx="252">
                  <c:v>26487.26</c:v>
                </c:pt>
                <c:pt idx="253">
                  <c:v>27141.11</c:v>
                </c:pt>
                <c:pt idx="254">
                  <c:v>25112.880000000001</c:v>
                </c:pt>
                <c:pt idx="255">
                  <c:v>24622.22</c:v>
                </c:pt>
                <c:pt idx="256">
                  <c:v>25386.31</c:v>
                </c:pt>
                <c:pt idx="257">
                  <c:v>27259.65</c:v>
                </c:pt>
                <c:pt idx="258">
                  <c:v>27071.91</c:v>
                </c:pt>
                <c:pt idx="259">
                  <c:v>26761.16</c:v>
                </c:pt>
                <c:pt idx="260">
                  <c:v>26047.18</c:v>
                </c:pt>
                <c:pt idx="261">
                  <c:v>23415</c:v>
                </c:pt>
                <c:pt idx="262">
                  <c:v>23852.65</c:v>
                </c:pt>
                <c:pt idx="263">
                  <c:v>27495.41</c:v>
                </c:pt>
                <c:pt idx="264">
                  <c:v>28514.65</c:v>
                </c:pt>
                <c:pt idx="265">
                  <c:v>27483.7</c:v>
                </c:pt>
                <c:pt idx="266">
                  <c:v>25781.87</c:v>
                </c:pt>
                <c:pt idx="267">
                  <c:v>25214.3</c:v>
                </c:pt>
                <c:pt idx="268">
                  <c:v>22740.74</c:v>
                </c:pt>
                <c:pt idx="269">
                  <c:v>22896.799999999999</c:v>
                </c:pt>
                <c:pt idx="270">
                  <c:v>25821.43</c:v>
                </c:pt>
                <c:pt idx="271">
                  <c:v>26482.34</c:v>
                </c:pt>
                <c:pt idx="272">
                  <c:v>25668.5</c:v>
                </c:pt>
                <c:pt idx="273">
                  <c:v>25378.65</c:v>
                </c:pt>
                <c:pt idx="274">
                  <c:v>25443.07</c:v>
                </c:pt>
                <c:pt idx="275">
                  <c:v>22627.48</c:v>
                </c:pt>
                <c:pt idx="276">
                  <c:v>23671.02</c:v>
                </c:pt>
                <c:pt idx="277">
                  <c:v>25970.97</c:v>
                </c:pt>
                <c:pt idx="278">
                  <c:v>25689.52</c:v>
                </c:pt>
                <c:pt idx="279">
                  <c:v>25694.81</c:v>
                </c:pt>
                <c:pt idx="280">
                  <c:v>25956.35</c:v>
                </c:pt>
                <c:pt idx="281">
                  <c:v>25032.82</c:v>
                </c:pt>
                <c:pt idx="282">
                  <c:v>23200.67</c:v>
                </c:pt>
                <c:pt idx="283">
                  <c:v>23647.55</c:v>
                </c:pt>
                <c:pt idx="284">
                  <c:v>26609.98</c:v>
                </c:pt>
                <c:pt idx="285">
                  <c:v>26561.4</c:v>
                </c:pt>
                <c:pt idx="286">
                  <c:v>26657.599999999999</c:v>
                </c:pt>
                <c:pt idx="287">
                  <c:v>26437.5</c:v>
                </c:pt>
                <c:pt idx="288">
                  <c:v>25328.19</c:v>
                </c:pt>
                <c:pt idx="289">
                  <c:v>23648.12</c:v>
                </c:pt>
                <c:pt idx="290">
                  <c:v>24189.33</c:v>
                </c:pt>
                <c:pt idx="291">
                  <c:v>26389.25</c:v>
                </c:pt>
                <c:pt idx="292">
                  <c:v>26570.43</c:v>
                </c:pt>
                <c:pt idx="293">
                  <c:v>26386.73</c:v>
                </c:pt>
                <c:pt idx="294">
                  <c:v>25218.720000000001</c:v>
                </c:pt>
                <c:pt idx="295">
                  <c:v>22999.67</c:v>
                </c:pt>
                <c:pt idx="296">
                  <c:v>23519.23</c:v>
                </c:pt>
                <c:pt idx="297">
                  <c:v>22677.05</c:v>
                </c:pt>
                <c:pt idx="298">
                  <c:v>23427.15</c:v>
                </c:pt>
                <c:pt idx="299">
                  <c:v>24431.919999999998</c:v>
                </c:pt>
                <c:pt idx="300">
                  <c:v>26510.95</c:v>
                </c:pt>
                <c:pt idx="301">
                  <c:v>26589.09</c:v>
                </c:pt>
                <c:pt idx="302">
                  <c:v>26116.74</c:v>
                </c:pt>
                <c:pt idx="303">
                  <c:v>24185.51</c:v>
                </c:pt>
                <c:pt idx="304">
                  <c:v>24654.799999999999</c:v>
                </c:pt>
                <c:pt idx="305">
                  <c:v>26959.759999999998</c:v>
                </c:pt>
                <c:pt idx="306">
                  <c:v>27483.439999999999</c:v>
                </c:pt>
                <c:pt idx="307">
                  <c:v>27127.52</c:v>
                </c:pt>
                <c:pt idx="308">
                  <c:v>27704.959999999999</c:v>
                </c:pt>
                <c:pt idx="309">
                  <c:v>26984.61</c:v>
                </c:pt>
                <c:pt idx="310">
                  <c:v>25324.42</c:v>
                </c:pt>
                <c:pt idx="311">
                  <c:v>24971.66</c:v>
                </c:pt>
                <c:pt idx="312">
                  <c:v>29044.77</c:v>
                </c:pt>
                <c:pt idx="313">
                  <c:v>28676.48</c:v>
                </c:pt>
                <c:pt idx="314">
                  <c:v>29989.19</c:v>
                </c:pt>
                <c:pt idx="315">
                  <c:v>29284.880000000001</c:v>
                </c:pt>
                <c:pt idx="316">
                  <c:v>27703.96</c:v>
                </c:pt>
                <c:pt idx="317">
                  <c:v>26933.45</c:v>
                </c:pt>
                <c:pt idx="318">
                  <c:v>27051.35</c:v>
                </c:pt>
                <c:pt idx="319">
                  <c:v>29492.33</c:v>
                </c:pt>
                <c:pt idx="320">
                  <c:v>29177.439999999999</c:v>
                </c:pt>
                <c:pt idx="321">
                  <c:v>28636.92</c:v>
                </c:pt>
                <c:pt idx="322">
                  <c:v>28041.39</c:v>
                </c:pt>
                <c:pt idx="323">
                  <c:v>27109.79</c:v>
                </c:pt>
                <c:pt idx="324">
                  <c:v>24717.22</c:v>
                </c:pt>
                <c:pt idx="325">
                  <c:v>25339.62</c:v>
                </c:pt>
                <c:pt idx="326">
                  <c:v>28040.799999999999</c:v>
                </c:pt>
                <c:pt idx="327">
                  <c:v>29041.18</c:v>
                </c:pt>
                <c:pt idx="328">
                  <c:v>30013.14</c:v>
                </c:pt>
                <c:pt idx="329">
                  <c:v>29241.200000000001</c:v>
                </c:pt>
                <c:pt idx="330">
                  <c:v>28424.19</c:v>
                </c:pt>
                <c:pt idx="331">
                  <c:v>26809.77</c:v>
                </c:pt>
                <c:pt idx="332">
                  <c:v>27067.75</c:v>
                </c:pt>
                <c:pt idx="333">
                  <c:v>30001.71</c:v>
                </c:pt>
                <c:pt idx="334">
                  <c:v>29751.66</c:v>
                </c:pt>
                <c:pt idx="335">
                  <c:v>28904.14</c:v>
                </c:pt>
                <c:pt idx="336">
                  <c:v>27980.98</c:v>
                </c:pt>
                <c:pt idx="337">
                  <c:v>27506.66</c:v>
                </c:pt>
                <c:pt idx="338">
                  <c:v>26010.1</c:v>
                </c:pt>
                <c:pt idx="339">
                  <c:v>26504.880000000001</c:v>
                </c:pt>
                <c:pt idx="340">
                  <c:v>30188.99</c:v>
                </c:pt>
                <c:pt idx="341">
                  <c:v>30701.56</c:v>
                </c:pt>
                <c:pt idx="342">
                  <c:v>31167.55</c:v>
                </c:pt>
                <c:pt idx="343">
                  <c:v>31139.919999999998</c:v>
                </c:pt>
                <c:pt idx="344">
                  <c:v>29729.599999999999</c:v>
                </c:pt>
                <c:pt idx="345">
                  <c:v>28034.87</c:v>
                </c:pt>
                <c:pt idx="346">
                  <c:v>27137.75</c:v>
                </c:pt>
                <c:pt idx="347">
                  <c:v>28204.74</c:v>
                </c:pt>
                <c:pt idx="348">
                  <c:v>30448.45</c:v>
                </c:pt>
                <c:pt idx="349">
                  <c:v>30325.360000000001</c:v>
                </c:pt>
                <c:pt idx="350">
                  <c:v>29507.53</c:v>
                </c:pt>
                <c:pt idx="351">
                  <c:v>28902.69</c:v>
                </c:pt>
                <c:pt idx="352">
                  <c:v>27188.880000000001</c:v>
                </c:pt>
                <c:pt idx="353">
                  <c:v>27500.35</c:v>
                </c:pt>
                <c:pt idx="354">
                  <c:v>29577.23</c:v>
                </c:pt>
                <c:pt idx="355">
                  <c:v>30516.15</c:v>
                </c:pt>
                <c:pt idx="356">
                  <c:v>30582.61</c:v>
                </c:pt>
                <c:pt idx="357">
                  <c:v>29856.77</c:v>
                </c:pt>
                <c:pt idx="358">
                  <c:v>28624.47</c:v>
                </c:pt>
                <c:pt idx="359">
                  <c:v>26409.74</c:v>
                </c:pt>
                <c:pt idx="360">
                  <c:v>27228.240000000002</c:v>
                </c:pt>
                <c:pt idx="361">
                  <c:v>29972.21</c:v>
                </c:pt>
                <c:pt idx="362">
                  <c:v>30156.98</c:v>
                </c:pt>
                <c:pt idx="363">
                  <c:v>29642.06</c:v>
                </c:pt>
                <c:pt idx="364">
                  <c:v>29113.1</c:v>
                </c:pt>
              </c:numCache>
            </c:numRef>
          </c:yVal>
          <c:smooth val="0"/>
        </c:ser>
        <c:dLbls>
          <c:showLegendKey val="0"/>
          <c:showVal val="0"/>
          <c:showCatName val="0"/>
          <c:showSerName val="0"/>
          <c:showPercent val="0"/>
          <c:showBubbleSize val="0"/>
        </c:dLbls>
        <c:axId val="176139648"/>
        <c:axId val="154285184"/>
      </c:scatterChart>
      <c:valAx>
        <c:axId val="176139648"/>
        <c:scaling>
          <c:orientation val="minMax"/>
          <c:max val="40724"/>
          <c:min val="40360"/>
        </c:scaling>
        <c:delete val="0"/>
        <c:axPos val="b"/>
        <c:majorGridlines>
          <c:spPr>
            <a:ln>
              <a:solidFill>
                <a:srgbClr val="000000"/>
              </a:solidFill>
              <a:prstDash val="sysDot"/>
            </a:ln>
          </c:spPr>
        </c:majorGridlines>
        <c:title>
          <c:tx>
            <c:rich>
              <a:bodyPr/>
              <a:lstStyle/>
              <a:p>
                <a:pPr>
                  <a:defRPr sz="1000" b="1"/>
                </a:pPr>
                <a:r>
                  <a:rPr lang="en-AU" sz="1000" b="1"/>
                  <a:t>1 July 2010 to 30 June 2011</a:t>
                </a:r>
              </a:p>
            </c:rich>
          </c:tx>
          <c:overlay val="0"/>
        </c:title>
        <c:numFmt formatCode="mmm" sourceLinked="0"/>
        <c:majorTickMark val="out"/>
        <c:minorTickMark val="none"/>
        <c:tickLblPos val="nextTo"/>
        <c:spPr>
          <a:ln w="3175">
            <a:solidFill>
              <a:srgbClr val="000000"/>
            </a:solidFill>
            <a:prstDash val="solid"/>
          </a:ln>
        </c:spPr>
        <c:txPr>
          <a:bodyPr rot="0" vert="horz"/>
          <a:lstStyle/>
          <a:p>
            <a:pPr>
              <a:defRPr sz="1000"/>
            </a:pPr>
            <a:endParaRPr lang="en-US"/>
          </a:p>
        </c:txPr>
        <c:crossAx val="154285184"/>
        <c:crosses val="autoZero"/>
        <c:crossBetween val="midCat"/>
      </c:valAx>
      <c:valAx>
        <c:axId val="154285184"/>
        <c:scaling>
          <c:orientation val="minMax"/>
          <c:max val="35000"/>
          <c:min val="20000"/>
        </c:scaling>
        <c:delete val="0"/>
        <c:axPos val="l"/>
        <c:majorGridlines>
          <c:spPr>
            <a:ln w="3175">
              <a:solidFill>
                <a:srgbClr val="000000"/>
              </a:solidFill>
              <a:prstDash val="sysDot"/>
            </a:ln>
          </c:spPr>
        </c:majorGridlines>
        <c:title>
          <c:tx>
            <c:rich>
              <a:bodyPr rot="-5400000" vert="horz"/>
              <a:lstStyle/>
              <a:p>
                <a:pPr>
                  <a:defRPr sz="1000" b="1"/>
                </a:pPr>
                <a:r>
                  <a:rPr lang="en-AU" sz="1000" b="1"/>
                  <a:t>NEM Peak (maximum) demand (GW) </a:t>
                </a:r>
              </a:p>
            </c:rich>
          </c:tx>
          <c:layout>
            <c:manualLayout>
              <c:xMode val="edge"/>
              <c:yMode val="edge"/>
              <c:x val="2.8222222222222221E-2"/>
              <c:y val="0.14395158188773957"/>
            </c:manualLayout>
          </c:layout>
          <c:overlay val="0"/>
        </c:title>
        <c:numFmt formatCode="#,##0" sourceLinked="0"/>
        <c:majorTickMark val="out"/>
        <c:minorTickMark val="none"/>
        <c:tickLblPos val="nextTo"/>
        <c:spPr>
          <a:ln w="3175">
            <a:solidFill>
              <a:srgbClr val="000000"/>
            </a:solidFill>
            <a:prstDash val="solid"/>
          </a:ln>
        </c:spPr>
        <c:txPr>
          <a:bodyPr rot="0" vert="horz"/>
          <a:lstStyle/>
          <a:p>
            <a:pPr>
              <a:defRPr sz="1000"/>
            </a:pPr>
            <a:endParaRPr lang="en-US"/>
          </a:p>
        </c:txPr>
        <c:crossAx val="176139648"/>
        <c:crosses val="autoZero"/>
        <c:crossBetween val="midCat"/>
        <c:majorUnit val="5000"/>
        <c:dispUnits>
          <c:builtInUnit val="thousands"/>
        </c:dispUnits>
      </c:valAx>
      <c:spPr>
        <a:noFill/>
        <a:ln w="12700">
          <a:solidFill>
            <a:srgbClr val="808080"/>
          </a:solidFill>
          <a:prstDash val="solid"/>
        </a:ln>
      </c:spPr>
    </c:plotArea>
    <c:plotVisOnly val="1"/>
    <c:dispBlanksAs val="gap"/>
    <c:showDLblsOverMax val="0"/>
  </c:chart>
  <c:spPr>
    <a:solidFill>
      <a:schemeClr val="bg1"/>
    </a:solidFill>
    <a:ln w="9525">
      <a:noFill/>
    </a:ln>
  </c:spPr>
  <c:txPr>
    <a:bodyPr/>
    <a:lstStyle/>
    <a:p>
      <a:pPr>
        <a:defRPr sz="1600"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v>Public</c:v>
          </c:tx>
          <c:spPr>
            <a:ln w="28575">
              <a:noFill/>
            </a:ln>
          </c:spPr>
          <c:marker>
            <c:symbol val="circle"/>
            <c:size val="7"/>
            <c:spPr>
              <a:solidFill>
                <a:schemeClr val="bg1"/>
              </a:solidFill>
              <a:ln>
                <a:solidFill>
                  <a:schemeClr val="tx1"/>
                </a:solidFill>
              </a:ln>
            </c:spPr>
          </c:marker>
          <c:trendline>
            <c:trendlineType val="linear"/>
            <c:dispRSqr val="0"/>
            <c:dispEq val="0"/>
          </c:trendline>
          <c:xVal>
            <c:numRef>
              <c:f>('State of Energy 2011'!$M$3:$M$7,'State of Energy 2011'!$M$10,'State of Energy 2011'!$M$18:$M$19)</c:f>
              <c:numCache>
                <c:formatCode>0</c:formatCode>
                <c:ptCount val="8"/>
                <c:pt idx="0">
                  <c:v>24.387674628210906</c:v>
                </c:pt>
                <c:pt idx="1">
                  <c:v>4.6581849315068498</c:v>
                </c:pt>
                <c:pt idx="2">
                  <c:v>32.4751223656001</c:v>
                </c:pt>
                <c:pt idx="3">
                  <c:v>25.629831150013306</c:v>
                </c:pt>
                <c:pt idx="4">
                  <c:v>4.20192932447444</c:v>
                </c:pt>
                <c:pt idx="5">
                  <c:v>32.448538493207082</c:v>
                </c:pt>
                <c:pt idx="6">
                  <c:v>11.144145991388148</c:v>
                </c:pt>
                <c:pt idx="7">
                  <c:v>12.15442183152595</c:v>
                </c:pt>
              </c:numCache>
            </c:numRef>
          </c:xVal>
          <c:yVal>
            <c:numRef>
              <c:f>('State of Energy 2011'!$AK$3:$AK$7,'State of Energy 2011'!$AK$10,'State of Energy 2011'!$AK$18)</c:f>
              <c:numCache>
                <c:formatCode>General</c:formatCode>
                <c:ptCount val="7"/>
                <c:pt idx="0">
                  <c:v>30683.866606579541</c:v>
                </c:pt>
                <c:pt idx="1">
                  <c:v>12336.986301369863</c:v>
                </c:pt>
                <c:pt idx="2">
                  <c:v>53155.212167792568</c:v>
                </c:pt>
                <c:pt idx="3">
                  <c:v>44844.309075317149</c:v>
                </c:pt>
                <c:pt idx="4">
                  <c:v>10752.23742952359</c:v>
                </c:pt>
                <c:pt idx="5">
                  <c:v>70275.833676410039</c:v>
                </c:pt>
                <c:pt idx="6">
                  <c:v>12753.742054541726</c:v>
                </c:pt>
              </c:numCache>
            </c:numRef>
          </c:yVal>
          <c:smooth val="0"/>
        </c:ser>
        <c:ser>
          <c:idx val="1"/>
          <c:order val="1"/>
          <c:tx>
            <c:v>Private</c:v>
          </c:tx>
          <c:spPr>
            <a:ln w="28575">
              <a:noFill/>
            </a:ln>
          </c:spPr>
          <c:marker>
            <c:symbol val="circle"/>
            <c:size val="7"/>
            <c:spPr>
              <a:solidFill>
                <a:schemeClr val="tx1"/>
              </a:solidFill>
              <a:ln>
                <a:solidFill>
                  <a:schemeClr val="tx1"/>
                </a:solidFill>
              </a:ln>
            </c:spPr>
          </c:marker>
          <c:trendline>
            <c:spPr>
              <a:ln w="22225">
                <a:solidFill>
                  <a:schemeClr val="tx1"/>
                </a:solidFill>
                <a:prstDash val="sysDot"/>
              </a:ln>
            </c:spPr>
            <c:trendlineType val="linear"/>
            <c:dispRSqr val="0"/>
            <c:dispEq val="0"/>
          </c:trendline>
          <c:xVal>
            <c:numRef>
              <c:f>('State of Energy 2011'!$M$11:$M$12,'State of Energy 2011'!$M$14:$M$17)</c:f>
              <c:numCache>
                <c:formatCode>0</c:formatCode>
                <c:ptCount val="6"/>
                <c:pt idx="0">
                  <c:v>8.4089280826401041</c:v>
                </c:pt>
                <c:pt idx="1">
                  <c:v>47.372118044881645</c:v>
                </c:pt>
                <c:pt idx="2">
                  <c:v>12.9158706148076</c:v>
                </c:pt>
                <c:pt idx="3">
                  <c:v>50.246119733924616</c:v>
                </c:pt>
                <c:pt idx="4">
                  <c:v>51.83470105509965</c:v>
                </c:pt>
                <c:pt idx="5">
                  <c:v>9.3705572116487037</c:v>
                </c:pt>
              </c:numCache>
            </c:numRef>
          </c:xVal>
          <c:yVal>
            <c:numRef>
              <c:f>('State of Energy 2011'!$AK$11:$AK$12,'State of Energy 2011'!$AK$14:$AK$17)</c:f>
              <c:numCache>
                <c:formatCode>General</c:formatCode>
                <c:ptCount val="6"/>
                <c:pt idx="0">
                  <c:v>9501.7077844026317</c:v>
                </c:pt>
                <c:pt idx="1">
                  <c:v>35136.796802951125</c:v>
                </c:pt>
                <c:pt idx="2">
                  <c:v>17718.974699019873</c:v>
                </c:pt>
                <c:pt idx="3">
                  <c:v>43356.034209692749</c:v>
                </c:pt>
                <c:pt idx="4">
                  <c:v>47563.222240830684</c:v>
                </c:pt>
                <c:pt idx="5">
                  <c:v>11842.467324008256</c:v>
                </c:pt>
              </c:numCache>
            </c:numRef>
          </c:yVal>
          <c:smooth val="0"/>
        </c:ser>
        <c:dLbls>
          <c:showLegendKey val="0"/>
          <c:showVal val="0"/>
          <c:showCatName val="0"/>
          <c:showSerName val="0"/>
          <c:showPercent val="0"/>
          <c:showBubbleSize val="0"/>
        </c:dLbls>
        <c:axId val="173798144"/>
        <c:axId val="173800064"/>
      </c:scatterChart>
      <c:valAx>
        <c:axId val="173798144"/>
        <c:scaling>
          <c:orientation val="minMax"/>
        </c:scaling>
        <c:delete val="0"/>
        <c:axPos val="b"/>
        <c:majorGridlines/>
        <c:title>
          <c:tx>
            <c:rich>
              <a:bodyPr/>
              <a:lstStyle/>
              <a:p>
                <a:pPr>
                  <a:defRPr/>
                </a:pPr>
                <a:r>
                  <a:rPr lang="en-AU"/>
                  <a:t>Customers per km</a:t>
                </a:r>
              </a:p>
            </c:rich>
          </c:tx>
          <c:overlay val="0"/>
        </c:title>
        <c:numFmt formatCode="0" sourceLinked="1"/>
        <c:majorTickMark val="none"/>
        <c:minorTickMark val="none"/>
        <c:tickLblPos val="nextTo"/>
        <c:crossAx val="173800064"/>
        <c:crosses val="autoZero"/>
        <c:crossBetween val="midCat"/>
      </c:valAx>
      <c:valAx>
        <c:axId val="173800064"/>
        <c:scaling>
          <c:orientation val="minMax"/>
        </c:scaling>
        <c:delete val="0"/>
        <c:axPos val="l"/>
        <c:majorGridlines/>
        <c:title>
          <c:tx>
            <c:rich>
              <a:bodyPr/>
              <a:lstStyle/>
              <a:p>
                <a:pPr>
                  <a:defRPr/>
                </a:pPr>
                <a:r>
                  <a:rPr lang="en-AU"/>
                  <a:t>Opex per km ($)</a:t>
                </a:r>
              </a:p>
            </c:rich>
          </c:tx>
          <c:overlay val="0"/>
        </c:title>
        <c:numFmt formatCode="General" sourceLinked="1"/>
        <c:majorTickMark val="none"/>
        <c:minorTickMark val="none"/>
        <c:tickLblPos val="nextTo"/>
        <c:crossAx val="173798144"/>
        <c:crosses val="autoZero"/>
        <c:crossBetween val="midCat"/>
        <c:majorUnit val="20000"/>
      </c:valAx>
    </c:plotArea>
    <c:plotVisOnly val="1"/>
    <c:dispBlanksAs val="gap"/>
    <c:showDLblsOverMax val="0"/>
  </c:chart>
  <c:spPr>
    <a:ln>
      <a:noFill/>
    </a:ln>
  </c:spPr>
  <c:txPr>
    <a:bodyPr/>
    <a:lstStyle/>
    <a:p>
      <a:pPr>
        <a:defRPr baseline="0">
          <a:latin typeface="Arial" pitchFamily="34" charset="0"/>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0.2275</cdr:x>
      <cdr:y>0.09504</cdr:y>
    </cdr:from>
    <cdr:to>
      <cdr:x>0.52736</cdr:x>
      <cdr:y>0.23759</cdr:y>
    </cdr:to>
    <cdr:sp macro="" textlink="">
      <cdr:nvSpPr>
        <cdr:cNvPr id="2" name="TextBox 1"/>
        <cdr:cNvSpPr txBox="1"/>
      </cdr:nvSpPr>
      <cdr:spPr>
        <a:xfrm xmlns:a="http://schemas.openxmlformats.org/drawingml/2006/main">
          <a:off x="1228480" y="352136"/>
          <a:ext cx="1619251" cy="528204"/>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1100">
              <a:latin typeface="Arial" pitchFamily="34" charset="0"/>
              <a:cs typeface="Arial" pitchFamily="34" charset="0"/>
            </a:rPr>
            <a:t>Networks must be built </a:t>
          </a:r>
        </a:p>
        <a:p xmlns:a="http://schemas.openxmlformats.org/drawingml/2006/main">
          <a:r>
            <a:rPr lang="en-AU" sz="1100">
              <a:latin typeface="Arial" pitchFamily="34" charset="0"/>
              <a:cs typeface="Arial" pitchFamily="34" charset="0"/>
            </a:rPr>
            <a:t>for the peakiest events</a:t>
          </a:r>
        </a:p>
      </cdr:txBody>
    </cdr:sp>
  </cdr:relSizeAnchor>
  <cdr:relSizeAnchor xmlns:cdr="http://schemas.openxmlformats.org/drawingml/2006/chartDrawing">
    <cdr:from>
      <cdr:x>0.57012</cdr:x>
      <cdr:y>0.06185</cdr:y>
    </cdr:from>
    <cdr:to>
      <cdr:x>0.66066</cdr:x>
      <cdr:y>0.19724</cdr:y>
    </cdr:to>
    <cdr:sp macro="" textlink="">
      <cdr:nvSpPr>
        <cdr:cNvPr id="4" name="Oval 3"/>
        <cdr:cNvSpPr/>
      </cdr:nvSpPr>
      <cdr:spPr>
        <a:xfrm xmlns:a="http://schemas.openxmlformats.org/drawingml/2006/main">
          <a:off x="3078640" y="229177"/>
          <a:ext cx="488950" cy="501650"/>
        </a:xfrm>
        <a:prstGeom xmlns:a="http://schemas.openxmlformats.org/drawingml/2006/main" prst="ellipse">
          <a:avLst/>
        </a:prstGeom>
        <a:solidFill xmlns:a="http://schemas.openxmlformats.org/drawingml/2006/main">
          <a:schemeClr val="accent1">
            <a:alpha val="18000"/>
          </a:schemeClr>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0.51485</cdr:x>
      <cdr:y>0.1424</cdr:y>
    </cdr:from>
    <cdr:to>
      <cdr:x>0.58658</cdr:x>
      <cdr:y>0.1544</cdr:y>
    </cdr:to>
    <cdr:cxnSp macro="">
      <cdr:nvCxnSpPr>
        <cdr:cNvPr id="6" name="Straight Arrow Connector 5"/>
        <cdr:cNvCxnSpPr/>
      </cdr:nvCxnSpPr>
      <cdr:spPr>
        <a:xfrm xmlns:a="http://schemas.openxmlformats.org/drawingml/2006/main" flipV="1">
          <a:off x="2780190" y="527627"/>
          <a:ext cx="387350" cy="44450"/>
        </a:xfrm>
        <a:prstGeom xmlns:a="http://schemas.openxmlformats.org/drawingml/2006/main" prst="straightConnector1">
          <a:avLst/>
        </a:prstGeom>
        <a:ln xmlns:a="http://schemas.openxmlformats.org/drawingml/2006/main" w="19050">
          <a:solidFill>
            <a:schemeClr val="tx1"/>
          </a:solidFill>
          <a:headEnd type="none" w="med" len="med"/>
          <a:tailEnd type="triangle" w="med" len="med"/>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2.xml><?xml version="1.0" encoding="utf-8"?>
<c:userShapes xmlns:c="http://schemas.openxmlformats.org/drawingml/2006/chart">
  <cdr:relSizeAnchor xmlns:cdr="http://schemas.openxmlformats.org/drawingml/2006/chartDrawing">
    <cdr:from>
      <cdr:x>0.81476</cdr:x>
      <cdr:y>0.47826</cdr:y>
    </cdr:from>
    <cdr:to>
      <cdr:x>0.94295</cdr:x>
      <cdr:y>0.58551</cdr:y>
    </cdr:to>
    <cdr:sp macro="" textlink="">
      <cdr:nvSpPr>
        <cdr:cNvPr id="2" name="Text Box 1"/>
        <cdr:cNvSpPr txBox="1"/>
      </cdr:nvSpPr>
      <cdr:spPr>
        <a:xfrm xmlns:a="http://schemas.openxmlformats.org/drawingml/2006/main">
          <a:off x="3689406" y="1311964"/>
          <a:ext cx="580445" cy="294198"/>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1100"/>
            <a:t>Private</a:t>
          </a:r>
        </a:p>
      </cdr:txBody>
    </cdr:sp>
  </cdr:relSizeAnchor>
  <cdr:relSizeAnchor xmlns:cdr="http://schemas.openxmlformats.org/drawingml/2006/chartDrawing">
    <cdr:from>
      <cdr:x>0.37578</cdr:x>
      <cdr:y>0.15652</cdr:y>
    </cdr:from>
    <cdr:to>
      <cdr:x>0.57771</cdr:x>
      <cdr:y>0.25797</cdr:y>
    </cdr:to>
    <cdr:sp macro="" textlink="">
      <cdr:nvSpPr>
        <cdr:cNvPr id="4" name="Text Box 3"/>
        <cdr:cNvSpPr txBox="1"/>
      </cdr:nvSpPr>
      <cdr:spPr>
        <a:xfrm xmlns:a="http://schemas.openxmlformats.org/drawingml/2006/main">
          <a:off x="1701580" y="429369"/>
          <a:ext cx="914400" cy="278296"/>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1100"/>
            <a:t>State-owned</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38189-EC42-4BC0-9B39-BB29710E9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42</Pages>
  <Words>14646</Words>
  <Characters>84502</Characters>
  <Application>Microsoft Office Word</Application>
  <DocSecurity>0</DocSecurity>
  <Lines>704</Lines>
  <Paragraphs>197</Paragraphs>
  <ScaleCrop>false</ScaleCrop>
  <HeadingPairs>
    <vt:vector size="2" baseType="variant">
      <vt:variant>
        <vt:lpstr>Title</vt:lpstr>
      </vt:variant>
      <vt:variant>
        <vt:i4>1</vt:i4>
      </vt:variant>
    </vt:vector>
  </HeadingPairs>
  <TitlesOfParts>
    <vt:vector size="1" baseType="lpstr">
      <vt:lpstr>Chapter</vt:lpstr>
    </vt:vector>
  </TitlesOfParts>
  <Company>Productivity Commission</Company>
  <LinksUpToDate>false</LinksUpToDate>
  <CharactersWithSpaces>98951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dc:title>
  <dc:subject>Electricity network regulation</dc:subject>
  <dc:creator/>
  <dc:description>1.</dc:description>
  <cp:lastModifiedBy>Productivity Commission</cp:lastModifiedBy>
  <cp:revision>3</cp:revision>
  <cp:lastPrinted>2013-03-07T03:00:00Z</cp:lastPrinted>
  <dcterms:created xsi:type="dcterms:W3CDTF">2013-04-19T05:52:00Z</dcterms:created>
  <dcterms:modified xsi:type="dcterms:W3CDTF">2013-04-19T05:52:00Z</dcterms:modified>
</cp:coreProperties>
</file>