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A61D03" w:rsidP="00CD5E6B">
      <w:pPr>
        <w:pStyle w:val="BodyText"/>
        <w:rPr>
          <w:b/>
          <w:szCs w:val="26"/>
        </w:rPr>
      </w:pPr>
      <w:r>
        <w:rPr>
          <w:noProof/>
          <w:lang w:eastAsia="en-AU"/>
        </w:rPr>
        <w:drawing>
          <wp:anchor distT="0" distB="0" distL="114300" distR="114300" simplePos="0" relativeHeight="251658240" behindDoc="1" locked="0" layoutInCell="1" allowOverlap="1">
            <wp:simplePos x="1152939" y="1049572"/>
            <wp:positionH relativeFrom="page">
              <wp:align>center</wp:align>
            </wp:positionH>
            <wp:positionV relativeFrom="page">
              <wp:align>bottom</wp:align>
            </wp:positionV>
            <wp:extent cx="7560000" cy="10126800"/>
            <wp:effectExtent l="0" t="0" r="3175" b="8255"/>
            <wp:wrapNone/>
            <wp:docPr id="2" name="Picture 2" descr="Cover for 'Electricity Network Regulartory Frameworks' Productivity Commission Inquiry Report Volume 2. Report number 62. Published 9 April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electricity-final-inquiry-vo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BE2B53" w:rsidRDefault="00BE2B53" w:rsidP="00BE2B53">
      <w:pPr>
        <w:pStyle w:val="BodyText"/>
        <w:tabs>
          <w:tab w:val="left" w:pos="851"/>
        </w:tabs>
        <w:spacing w:before="200"/>
        <w:jc w:val="left"/>
        <w:rPr>
          <w:b/>
          <w:sz w:val="24"/>
        </w:rPr>
      </w:pPr>
      <w:bookmarkStart w:id="0" w:name="ISSN"/>
      <w:bookmarkEnd w:id="0"/>
      <w:r>
        <w:rPr>
          <w:b/>
          <w:sz w:val="24"/>
        </w:rPr>
        <w:t>ISSN</w:t>
      </w:r>
      <w:r>
        <w:rPr>
          <w:b/>
          <w:sz w:val="24"/>
        </w:rPr>
        <w:tab/>
        <w:t>1447-1329</w:t>
      </w:r>
      <w:r>
        <w:rPr>
          <w:b/>
          <w:sz w:val="24"/>
        </w:rPr>
        <w:br/>
        <w:t>ISBN</w:t>
      </w:r>
      <w:r>
        <w:rPr>
          <w:b/>
          <w:sz w:val="24"/>
        </w:rPr>
        <w:tab/>
        <w:t>978-1-74037-</w:t>
      </w:r>
      <w:r w:rsidR="005F45B7" w:rsidRPr="00EC3905">
        <w:rPr>
          <w:b/>
          <w:sz w:val="24"/>
        </w:rPr>
        <w:t xml:space="preserve">435-4 </w:t>
      </w:r>
      <w:r>
        <w:rPr>
          <w:b/>
          <w:sz w:val="24"/>
        </w:rPr>
        <w:t>(Volume 1)</w:t>
      </w:r>
    </w:p>
    <w:p w:rsidR="00BE2B53" w:rsidRDefault="00BE2B53" w:rsidP="00BE2B53">
      <w:pPr>
        <w:pStyle w:val="BodyText"/>
        <w:tabs>
          <w:tab w:val="left" w:pos="851"/>
        </w:tabs>
        <w:spacing w:before="0"/>
        <w:jc w:val="left"/>
        <w:rPr>
          <w:b/>
          <w:sz w:val="24"/>
        </w:rPr>
      </w:pPr>
      <w:r>
        <w:rPr>
          <w:b/>
          <w:sz w:val="24"/>
        </w:rPr>
        <w:t>ISBN</w:t>
      </w:r>
      <w:r>
        <w:rPr>
          <w:b/>
          <w:sz w:val="24"/>
        </w:rPr>
        <w:tab/>
        <w:t>978-1-74037-436-7 (Volume 2)</w:t>
      </w:r>
    </w:p>
    <w:p w:rsidR="00BE2B53" w:rsidRDefault="00BE2B53" w:rsidP="00BE2B53">
      <w:pPr>
        <w:pStyle w:val="BodyText"/>
        <w:tabs>
          <w:tab w:val="left" w:pos="851"/>
        </w:tabs>
        <w:spacing w:before="0" w:after="120"/>
        <w:jc w:val="left"/>
        <w:rPr>
          <w:b/>
          <w:sz w:val="24"/>
        </w:rPr>
      </w:pPr>
      <w:r>
        <w:rPr>
          <w:b/>
          <w:sz w:val="24"/>
        </w:rPr>
        <w:t>ISBN</w:t>
      </w:r>
      <w:r>
        <w:rPr>
          <w:b/>
          <w:sz w:val="24"/>
        </w:rPr>
        <w:tab/>
        <w:t>978-1-74037-436-1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BE2B53" w:rsidRPr="0075285E" w:rsidRDefault="00BE2B53" w:rsidP="00BE2B53">
      <w:pPr>
        <w:pStyle w:val="BodyText"/>
        <w:spacing w:before="160" w:after="120" w:line="240" w:lineRule="auto"/>
        <w:rPr>
          <w:sz w:val="24"/>
          <w:szCs w:val="24"/>
        </w:rPr>
      </w:pPr>
      <w:bookmarkStart w:id="1" w:name="JEL"/>
      <w:bookmarkEnd w:id="1"/>
      <w:r>
        <w:rPr>
          <w:sz w:val="24"/>
          <w:szCs w:val="24"/>
        </w:rPr>
        <w:t xml:space="preserve">Productivity Commission 2013, </w:t>
      </w:r>
      <w:r>
        <w:rPr>
          <w:i/>
          <w:sz w:val="24"/>
          <w:szCs w:val="24"/>
        </w:rPr>
        <w:t>Electricity Network Regulatory Frameworks</w:t>
      </w:r>
      <w:r>
        <w:rPr>
          <w:sz w:val="24"/>
          <w:szCs w:val="24"/>
        </w:rPr>
        <w:t xml:space="preserve">, Report </w:t>
      </w:r>
      <w:r w:rsidR="005F45B7">
        <w:rPr>
          <w:sz w:val="24"/>
          <w:szCs w:val="24"/>
        </w:rPr>
        <w:t>N</w:t>
      </w:r>
      <w:r>
        <w:rPr>
          <w:sz w:val="24"/>
          <w:szCs w:val="24"/>
        </w:rPr>
        <w:t>o.</w:t>
      </w:r>
      <w:r w:rsidR="005F45B7">
        <w:rPr>
          <w:sz w:val="24"/>
          <w:szCs w:val="24"/>
        </w:rPr>
        <w:t> </w:t>
      </w:r>
      <w:r>
        <w:rPr>
          <w:sz w:val="24"/>
          <w:szCs w:val="24"/>
        </w:rPr>
        <w:t>62,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9811F8" w:rsidRDefault="009811F8">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9811F8" w:rsidTr="00875DC0">
        <w:trPr>
          <w:cantSplit/>
          <w:trHeight w:hRule="exact" w:val="996"/>
        </w:trPr>
        <w:tc>
          <w:tcPr>
            <w:tcW w:w="2434" w:type="dxa"/>
          </w:tcPr>
          <w:p w:rsidR="009811F8" w:rsidRPr="00205C77" w:rsidRDefault="009811F8">
            <w:pPr>
              <w:pStyle w:val="PCAddress"/>
              <w:ind w:left="709"/>
              <w:rPr>
                <w:rFonts w:ascii="Goudy Old Style" w:hAnsi="Goudy Old Style"/>
                <w:b/>
                <w:i/>
              </w:rPr>
            </w:pPr>
          </w:p>
        </w:tc>
        <w:tc>
          <w:tcPr>
            <w:tcW w:w="1824" w:type="dxa"/>
          </w:tcPr>
          <w:p w:rsidR="009811F8" w:rsidRPr="00205C77" w:rsidRDefault="009811F8">
            <w:pPr>
              <w:pStyle w:val="PCAddress"/>
              <w:ind w:left="709"/>
              <w:rPr>
                <w:rFonts w:ascii="Goudy Old Style" w:hAnsi="Goudy Old Style"/>
                <w:b/>
                <w:i/>
              </w:rPr>
            </w:pPr>
          </w:p>
        </w:tc>
        <w:tc>
          <w:tcPr>
            <w:tcW w:w="4815" w:type="dxa"/>
            <w:gridSpan w:val="2"/>
          </w:tcPr>
          <w:p w:rsidR="009811F8" w:rsidRPr="00205C77" w:rsidRDefault="009811F8" w:rsidP="00875DC0">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5BDB4B19" wp14:editId="06DCE7BC">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9811F8" w:rsidTr="00875DC0">
        <w:trPr>
          <w:cantSplit/>
          <w:trHeight w:hRule="exact" w:val="2793"/>
        </w:trPr>
        <w:tc>
          <w:tcPr>
            <w:tcW w:w="5954" w:type="dxa"/>
            <w:gridSpan w:val="3"/>
            <w:vAlign w:val="bottom"/>
          </w:tcPr>
          <w:p w:rsidR="009811F8" w:rsidRPr="00E61DA2" w:rsidRDefault="009811F8" w:rsidP="00875DC0">
            <w:pPr>
              <w:pStyle w:val="LetterAddress"/>
              <w:ind w:left="-113"/>
            </w:pPr>
            <w:bookmarkStart w:id="3" w:name="YourRef"/>
            <w:bookmarkStart w:id="4" w:name="OurRef"/>
            <w:bookmarkStart w:id="5" w:name="graphics" w:colFirst="1" w:colLast="1"/>
            <w:bookmarkEnd w:id="3"/>
            <w:bookmarkEnd w:id="4"/>
            <w:r w:rsidRPr="00E61DA2">
              <w:cr/>
            </w:r>
            <w:r w:rsidR="00BE2B53">
              <w:t>9 April 2013</w:t>
            </w:r>
          </w:p>
        </w:tc>
        <w:tc>
          <w:tcPr>
            <w:tcW w:w="3119" w:type="dxa"/>
            <w:vAlign w:val="center"/>
          </w:tcPr>
          <w:p w:rsidR="009811F8" w:rsidRPr="00205C77" w:rsidRDefault="009811F8">
            <w:pPr>
              <w:pStyle w:val="PCAddress"/>
              <w:ind w:left="709"/>
              <w:rPr>
                <w:rFonts w:ascii="Goudy Old Style" w:hAnsi="Goudy Old Style"/>
                <w:b/>
                <w:i/>
              </w:rPr>
            </w:pPr>
            <w:r w:rsidRPr="00205C77">
              <w:rPr>
                <w:rFonts w:ascii="Goudy Old Style" w:hAnsi="Goudy Old Style"/>
                <w:b/>
                <w:i/>
              </w:rPr>
              <w:t>Melbourne Office</w:t>
            </w:r>
          </w:p>
          <w:p w:rsidR="009811F8" w:rsidRPr="00205C77" w:rsidRDefault="009811F8">
            <w:pPr>
              <w:pStyle w:val="PCAddress"/>
              <w:spacing w:after="0"/>
              <w:ind w:left="709"/>
              <w:rPr>
                <w:rFonts w:ascii="Goudy Old Style" w:hAnsi="Goudy Old Style"/>
              </w:rPr>
            </w:pPr>
            <w:r w:rsidRPr="00205C77">
              <w:rPr>
                <w:rFonts w:ascii="Goudy Old Style" w:hAnsi="Goudy Old Style"/>
              </w:rPr>
              <w:t>Level 12, 530 Collins Street</w:t>
            </w:r>
          </w:p>
          <w:p w:rsidR="009811F8" w:rsidRPr="00205C77" w:rsidRDefault="009811F8">
            <w:pPr>
              <w:pStyle w:val="PCAddress"/>
              <w:ind w:left="709"/>
              <w:rPr>
                <w:rFonts w:ascii="Goudy Old Style" w:hAnsi="Goudy Old Style"/>
              </w:rPr>
            </w:pPr>
            <w:r w:rsidRPr="00205C77">
              <w:rPr>
                <w:rFonts w:ascii="Goudy Old Style" w:hAnsi="Goudy Old Style"/>
              </w:rPr>
              <w:t>Melbourne  VIC  3000</w:t>
            </w:r>
          </w:p>
          <w:p w:rsidR="009811F8" w:rsidRPr="00205C77" w:rsidRDefault="009811F8">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9811F8" w:rsidRPr="00205C77" w:rsidRDefault="009811F8">
            <w:pPr>
              <w:pStyle w:val="PCAddress"/>
              <w:ind w:left="709"/>
              <w:rPr>
                <w:rFonts w:ascii="Goudy Old Style" w:hAnsi="Goudy Old Style"/>
              </w:rPr>
            </w:pPr>
            <w:r w:rsidRPr="00205C77">
              <w:rPr>
                <w:rFonts w:ascii="Goudy Old Style" w:hAnsi="Goudy Old Style"/>
              </w:rPr>
              <w:t>Melbourne  VIC  8003</w:t>
            </w:r>
          </w:p>
          <w:p w:rsidR="009811F8" w:rsidRPr="00205C77" w:rsidRDefault="009811F8">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9811F8" w:rsidRPr="00205C77" w:rsidRDefault="009811F8">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9811F8" w:rsidRPr="00205C77" w:rsidRDefault="009811F8">
            <w:pPr>
              <w:pStyle w:val="PCAddress"/>
              <w:ind w:left="709"/>
              <w:rPr>
                <w:rFonts w:ascii="Goudy Old Style" w:hAnsi="Goudy Old Style"/>
                <w:b/>
                <w:i/>
              </w:rPr>
            </w:pPr>
            <w:r w:rsidRPr="00205C77">
              <w:rPr>
                <w:rFonts w:ascii="Goudy Old Style" w:hAnsi="Goudy Old Style"/>
                <w:b/>
                <w:i/>
              </w:rPr>
              <w:t>Canberra Office</w:t>
            </w:r>
          </w:p>
          <w:p w:rsidR="009811F8" w:rsidRPr="00205C77" w:rsidRDefault="009811F8">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9811F8" w:rsidRPr="00205C77" w:rsidRDefault="009811F8">
            <w:pPr>
              <w:pStyle w:val="PCAddress"/>
              <w:ind w:left="709"/>
              <w:rPr>
                <w:rFonts w:ascii="Goudy Old Style" w:hAnsi="Goudy Old Style"/>
              </w:rPr>
            </w:pPr>
            <w:r w:rsidRPr="00205C77">
              <w:rPr>
                <w:rFonts w:ascii="Goudy Old Style" w:hAnsi="Goudy Old Style"/>
              </w:rPr>
              <w:t>www.pc.gov.au</w:t>
            </w:r>
          </w:p>
        </w:tc>
      </w:tr>
      <w:bookmarkEnd w:id="5"/>
    </w:tbl>
    <w:p w:rsidR="009811F8" w:rsidRPr="00C76C25" w:rsidRDefault="009811F8" w:rsidP="00875DC0">
      <w:pPr>
        <w:pStyle w:val="LetterAddress"/>
      </w:pPr>
    </w:p>
    <w:p w:rsidR="009811F8" w:rsidRPr="00C76C25" w:rsidRDefault="009811F8">
      <w:pPr>
        <w:pStyle w:val="LetterAddress"/>
      </w:pPr>
      <w:r>
        <w:t>T</w:t>
      </w:r>
      <w:r w:rsidRPr="00C76C25">
        <w:t xml:space="preserve">he Hon </w:t>
      </w:r>
      <w:r>
        <w:t>David Bradbury MP</w:t>
      </w:r>
      <w:r w:rsidRPr="00C76C25">
        <w:br/>
        <w:t>Assistant Treasurer</w:t>
      </w:r>
    </w:p>
    <w:p w:rsidR="009811F8" w:rsidRPr="00C76C25" w:rsidRDefault="009811F8">
      <w:pPr>
        <w:pStyle w:val="LetterAddress"/>
      </w:pPr>
      <w:r w:rsidRPr="00C76C25">
        <w:t>Parliament House</w:t>
      </w:r>
    </w:p>
    <w:p w:rsidR="009811F8" w:rsidRPr="00C76C25" w:rsidRDefault="009811F8">
      <w:pPr>
        <w:pStyle w:val="LetterAddress"/>
      </w:pPr>
      <w:r w:rsidRPr="00C76C25">
        <w:t>CANBERRA  ACT  2600</w:t>
      </w:r>
    </w:p>
    <w:p w:rsidR="009811F8" w:rsidRDefault="009811F8">
      <w:pPr>
        <w:pStyle w:val="Salutation"/>
      </w:pPr>
      <w:bookmarkStart w:id="6" w:name="Salutation"/>
      <w:bookmarkEnd w:id="6"/>
    </w:p>
    <w:p w:rsidR="009811F8" w:rsidRPr="00C76C25" w:rsidRDefault="009811F8">
      <w:pPr>
        <w:pStyle w:val="Salutation"/>
      </w:pPr>
      <w:r w:rsidRPr="00C76C25">
        <w:t>Dear Assistant Treasurer</w:t>
      </w:r>
    </w:p>
    <w:p w:rsidR="00F7481F" w:rsidRPr="00C76C25" w:rsidRDefault="00F7481F" w:rsidP="00F7481F">
      <w:pPr>
        <w:pStyle w:val="BodyText"/>
        <w:ind w:right="142"/>
        <w:rPr>
          <w:sz w:val="24"/>
          <w:szCs w:val="24"/>
        </w:rPr>
      </w:pPr>
      <w:bookmarkStart w:id="7" w:name="Body"/>
      <w:bookmarkStart w:id="8" w:name="signoff"/>
      <w:bookmarkEnd w:id="7"/>
      <w:bookmarkEnd w:id="8"/>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Commission’s final report into </w:t>
      </w:r>
      <w:r>
        <w:rPr>
          <w:sz w:val="24"/>
          <w:szCs w:val="24"/>
        </w:rPr>
        <w:t>Electricity Network Regulatory Frameworks.</w:t>
      </w:r>
    </w:p>
    <w:p w:rsidR="00BE2B53" w:rsidRDefault="00BE2B53" w:rsidP="00BE2B53">
      <w:pPr>
        <w:pStyle w:val="Signoff"/>
        <w:rPr>
          <w:szCs w:val="24"/>
        </w:rPr>
      </w:pPr>
      <w:r w:rsidRPr="00C76C25">
        <w:rPr>
          <w:szCs w:val="24"/>
        </w:rPr>
        <w:t>Yours sincerely</w:t>
      </w:r>
      <w:bookmarkStart w:id="9" w:name="_GoBack"/>
      <w:bookmarkEnd w:id="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209"/>
        <w:gridCol w:w="3002"/>
      </w:tblGrid>
      <w:tr w:rsidR="00BE2B53" w:rsidTr="00875DC0">
        <w:tc>
          <w:tcPr>
            <w:tcW w:w="3794" w:type="dxa"/>
          </w:tcPr>
          <w:p w:rsidR="00BE2B53" w:rsidRPr="00C76C25" w:rsidRDefault="00BE2B53" w:rsidP="00875DC0">
            <w:pPr>
              <w:pStyle w:val="BodyText"/>
              <w:rPr>
                <w:sz w:val="24"/>
                <w:szCs w:val="24"/>
              </w:rPr>
            </w:pPr>
            <w:bookmarkStart w:id="10" w:name="author"/>
            <w:bookmarkEnd w:id="10"/>
            <w:r>
              <w:rPr>
                <w:sz w:val="24"/>
                <w:szCs w:val="24"/>
              </w:rPr>
              <w:t>Philip Weickhardt</w:t>
            </w:r>
          </w:p>
          <w:p w:rsidR="00BE2B53" w:rsidRDefault="00BE2B53" w:rsidP="00875DC0">
            <w:pPr>
              <w:pStyle w:val="LetterAddress"/>
              <w:rPr>
                <w:szCs w:val="24"/>
              </w:rPr>
            </w:pPr>
            <w:r w:rsidRPr="00C76C25">
              <w:t>Presiding Commissioner</w:t>
            </w:r>
          </w:p>
        </w:tc>
        <w:tc>
          <w:tcPr>
            <w:tcW w:w="2209" w:type="dxa"/>
          </w:tcPr>
          <w:p w:rsidR="00BE2B53" w:rsidRPr="00C76C25" w:rsidRDefault="00BE2B53" w:rsidP="00875DC0">
            <w:pPr>
              <w:pStyle w:val="BodyText"/>
              <w:rPr>
                <w:sz w:val="24"/>
                <w:szCs w:val="24"/>
              </w:rPr>
            </w:pPr>
            <w:r>
              <w:rPr>
                <w:sz w:val="24"/>
                <w:szCs w:val="24"/>
              </w:rPr>
              <w:t>Wendy Craik AM</w:t>
            </w:r>
          </w:p>
          <w:p w:rsidR="00BE2B53" w:rsidRDefault="00BE2B53" w:rsidP="00875DC0">
            <w:pPr>
              <w:pStyle w:val="LetterAddress"/>
              <w:rPr>
                <w:szCs w:val="24"/>
              </w:rPr>
            </w:pPr>
            <w:r w:rsidRPr="00C76C25">
              <w:t>Commissioner</w:t>
            </w:r>
          </w:p>
        </w:tc>
        <w:tc>
          <w:tcPr>
            <w:tcW w:w="3002" w:type="dxa"/>
          </w:tcPr>
          <w:p w:rsidR="00BE2B53" w:rsidRDefault="00BE2B53" w:rsidP="00875DC0">
            <w:pPr>
              <w:pStyle w:val="LetterAddress"/>
              <w:rPr>
                <w:szCs w:val="24"/>
              </w:rPr>
            </w:pPr>
          </w:p>
        </w:tc>
      </w:tr>
    </w:tbl>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9811F8" w:rsidRDefault="009811F8" w:rsidP="00875DC0">
      <w:pPr>
        <w:pStyle w:val="Heading1"/>
      </w:pPr>
      <w:bookmarkStart w:id="11" w:name="_Toc353374642"/>
      <w:r>
        <w:lastRenderedPageBreak/>
        <w:t>Terms of reference</w:t>
      </w:r>
      <w:bookmarkEnd w:id="11"/>
    </w:p>
    <w:p w:rsidR="00BE2B53" w:rsidRDefault="00BE2B53" w:rsidP="00BE2B53">
      <w:pPr>
        <w:pStyle w:val="BodyText"/>
      </w:pPr>
      <w:r>
        <w:t>I, Wayne Swan, Deputy Prime Minister and Treasurer, pursuant to Parts 2 and 3 of the Productivity Commission Act 1998, hereby request that the Productivity Commission undertake an inquiry into electricity network frameworks, focussing on benchmarking arrangements and the effectiveness of the application by network businesses of the current regulatory regime for the evaluation and development of interregional network capacity in the National Electricity Market (</w:t>
      </w:r>
      <w:proofErr w:type="spellStart"/>
      <w:r>
        <w:t>NEM</w:t>
      </w:r>
      <w:proofErr w:type="spellEnd"/>
      <w:r>
        <w:t xml:space="preserve">). </w:t>
      </w:r>
    </w:p>
    <w:p w:rsidR="00BE2B53" w:rsidRPr="00232FD8" w:rsidRDefault="00BE2B53" w:rsidP="00BE2B53">
      <w:pPr>
        <w:pStyle w:val="BodyText"/>
        <w:rPr>
          <w:i/>
        </w:rPr>
      </w:pPr>
      <w:r w:rsidRPr="00232FD8">
        <w:rPr>
          <w:i/>
        </w:rPr>
        <w:t>Background</w:t>
      </w:r>
    </w:p>
    <w:p w:rsidR="00BE2B53" w:rsidRDefault="00BE2B53" w:rsidP="00BE2B53">
      <w:pPr>
        <w:pStyle w:val="BodyText"/>
      </w:pPr>
      <w:r>
        <w:t>Australia’s electricity sector is facing a number of challenges over the coming years. This includes a large investment requirement for networks to replace ageing assets, meet growing levels of peak demand, reliability requirements and to facilitate the transition towards Australia’s clean energy future.</w:t>
      </w:r>
    </w:p>
    <w:p w:rsidR="00BE2B53" w:rsidRDefault="00BE2B53" w:rsidP="00BE2B53">
      <w:pPr>
        <w:pStyle w:val="BodyText"/>
      </w:pPr>
      <w:r>
        <w:t>Recent increases in network expenditure, and the resultant flow on to increases in electricity prices for end users, have highlighted the need to ensure networks continue to deliver efficient outcomes for consumers. Network regulation is a complex task requiring difficult and technical judgements. This inquiry will inform the Australian Government about whether there are any practical or empirical constraints on the use of benchmarking of network businesses and then provide advice on how benchmarking could deliver efficient outcomes, consistent with the National Electricity Objective (NEO). In addition, a second stream of this inquiry will examine if efficient levels of transmission interconnectors are being delivered, to inform the Australian Government about whether the regulatory regime is delivering efficient levels of interconnection to support the market.</w:t>
      </w:r>
    </w:p>
    <w:p w:rsidR="00BE2B53" w:rsidRPr="00232FD8" w:rsidRDefault="00BE2B53" w:rsidP="00BE2B53">
      <w:pPr>
        <w:pStyle w:val="BodyText"/>
        <w:rPr>
          <w:i/>
        </w:rPr>
      </w:pPr>
      <w:r w:rsidRPr="00232FD8">
        <w:rPr>
          <w:i/>
        </w:rPr>
        <w:t>Scope of the Inquiry</w:t>
      </w:r>
    </w:p>
    <w:p w:rsidR="00BE2B53" w:rsidRDefault="00BE2B53" w:rsidP="00BE2B53">
      <w:pPr>
        <w:pStyle w:val="BodyText"/>
      </w:pPr>
      <w:r>
        <w:t xml:space="preserve">The Commission is requested to assess the use of benchmarking as a means of achieving the efficient delivery of network services and electricity infrastructure to meet the long term interests of consumers, consistent with the NEO. In addition, the Commission is requested to assess whether the current regulatory regime, as applied to interconnectors, is delivering efficient levels of network and generation investment across the </w:t>
      </w:r>
      <w:proofErr w:type="spellStart"/>
      <w:r>
        <w:t>NEM</w:t>
      </w:r>
      <w:proofErr w:type="spellEnd"/>
      <w:r>
        <w:t>.</w:t>
      </w:r>
    </w:p>
    <w:p w:rsidR="00BE2B53" w:rsidRDefault="00BE2B53" w:rsidP="00BE2B53">
      <w:pPr>
        <w:pStyle w:val="BodyText"/>
      </w:pPr>
      <w:r>
        <w:br w:type="page"/>
      </w:r>
    </w:p>
    <w:p w:rsidR="00BE2B53" w:rsidRDefault="00BE2B53" w:rsidP="00BE2B53">
      <w:pPr>
        <w:pStyle w:val="BodyText"/>
      </w:pPr>
      <w:r>
        <w:lastRenderedPageBreak/>
        <w:t>In undertaking the review, the Commission should:</w:t>
      </w:r>
    </w:p>
    <w:p w:rsidR="00BE2B53" w:rsidRDefault="00BE2B53" w:rsidP="00BE2B53">
      <w:pPr>
        <w:pStyle w:val="ListBullet"/>
      </w:pPr>
      <w:r>
        <w:t>examine the use of benchmarking under the regulatory framework, incorporating any amendments introduced in the review period, in the National Electricity Rules and provide advice on how different benchmarking methodologies could be used to enhance efficient outcomes; and</w:t>
      </w:r>
    </w:p>
    <w:p w:rsidR="00BE2B53" w:rsidRDefault="00BE2B53" w:rsidP="00BE2B53">
      <w:pPr>
        <w:pStyle w:val="ListBullet"/>
      </w:pPr>
      <w:r>
        <w:t xml:space="preserve">examine whether the regulatory regime, with respect to the delivery of interconnector investment in the </w:t>
      </w:r>
      <w:proofErr w:type="spellStart"/>
      <w:r>
        <w:t>NEM</w:t>
      </w:r>
      <w:proofErr w:type="spellEnd"/>
      <w:r>
        <w:t>, is delivering economically efficient outcomes.</w:t>
      </w:r>
    </w:p>
    <w:p w:rsidR="00BE2B53" w:rsidRDefault="00BE2B53" w:rsidP="00BE2B53">
      <w:pPr>
        <w:pStyle w:val="BodyText"/>
      </w:pPr>
      <w:r>
        <w:t>In undertaking the inquiry, the Commission should consider and take into account the work that is currently being progressed through the Standing Council on Energy and Resources, the Australian Energy Market Commission (</w:t>
      </w:r>
      <w:proofErr w:type="spellStart"/>
      <w:r>
        <w:t>AEMC</w:t>
      </w:r>
      <w:proofErr w:type="spellEnd"/>
      <w:r>
        <w:t>) and the Australian Energy Regulator (</w:t>
      </w:r>
      <w:proofErr w:type="spellStart"/>
      <w:r>
        <w:t>AER</w:t>
      </w:r>
      <w:proofErr w:type="spellEnd"/>
      <w:r>
        <w:t xml:space="preserve">). The Commission should have particular regard for the </w:t>
      </w:r>
      <w:proofErr w:type="spellStart"/>
      <w:r>
        <w:t>AEMC</w:t>
      </w:r>
      <w:proofErr w:type="spellEnd"/>
      <w:r>
        <w:t xml:space="preserve"> reviews into transmission frameworks, power of choice (demand side participation) and the suite of rule changes relating to network regulation currently under consideration by the </w:t>
      </w:r>
      <w:proofErr w:type="spellStart"/>
      <w:r>
        <w:t>AEMC</w:t>
      </w:r>
      <w:proofErr w:type="spellEnd"/>
      <w:r>
        <w:t xml:space="preserve"> in accordance with its statutory obligations. </w:t>
      </w:r>
    </w:p>
    <w:p w:rsidR="00BE2B53" w:rsidRDefault="00BE2B53" w:rsidP="00BE2B53">
      <w:pPr>
        <w:pStyle w:val="BodyText"/>
      </w:pPr>
      <w:r>
        <w:t xml:space="preserve">The Commission should engage with the </w:t>
      </w:r>
      <w:proofErr w:type="spellStart"/>
      <w:r>
        <w:t>AEMC</w:t>
      </w:r>
      <w:proofErr w:type="spellEnd"/>
      <w:r>
        <w:t xml:space="preserve">, the </w:t>
      </w:r>
      <w:proofErr w:type="spellStart"/>
      <w:r>
        <w:t>AER</w:t>
      </w:r>
      <w:proofErr w:type="spellEnd"/>
      <w:r>
        <w:t xml:space="preserve"> and the Australian Energy Market Operator in undertaking the review. In addition, the Commission should consult with Australian Government agencies, state and territory government agencies and other key stakeholders in undertaking the review.</w:t>
      </w:r>
    </w:p>
    <w:p w:rsidR="00BE2B53" w:rsidRDefault="00BE2B53" w:rsidP="00BE2B53">
      <w:pPr>
        <w:pStyle w:val="BodyText"/>
      </w:pPr>
      <w:r>
        <w:t xml:space="preserve">The Commission will report within 15 months of receipt of this reference and will hold hearings for the purpose of this inquiry. The Commission is to provide both a draft and a final report, and the reports will be published. The Government will consider the Commission’s recommendations, and its response will be announced as soon as possible after the receipt of the Commission’s final report. </w:t>
      </w:r>
    </w:p>
    <w:p w:rsidR="00BE2B53" w:rsidRPr="006B1AA9" w:rsidRDefault="00BE2B53" w:rsidP="00BE2B53">
      <w:pPr>
        <w:pStyle w:val="BodyText"/>
        <w:rPr>
          <w:caps/>
        </w:rPr>
      </w:pPr>
      <w:r w:rsidRPr="006B1AA9">
        <w:rPr>
          <w:caps/>
        </w:rPr>
        <w:t>Wayne Swan</w:t>
      </w:r>
    </w:p>
    <w:p w:rsidR="009811F8" w:rsidRDefault="006B1AA9" w:rsidP="00875DC0">
      <w:pPr>
        <w:pStyle w:val="BodyText"/>
      </w:pPr>
      <w:r>
        <w:t>9 January 2012</w:t>
      </w:r>
    </w:p>
    <w:p w:rsidR="009811F8" w:rsidRDefault="009811F8" w:rsidP="00875DC0">
      <w:pPr>
        <w:pStyle w:val="BodyText"/>
        <w:sectPr w:rsidR="009811F8" w:rsidSect="00875DC0">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9811F8" w:rsidRDefault="009811F8" w:rsidP="00BE2B53">
      <w:pPr>
        <w:pStyle w:val="Heading1"/>
      </w:pPr>
      <w:bookmarkStart w:id="12" w:name="_Toc353374643"/>
      <w:r>
        <w:lastRenderedPageBreak/>
        <w:t>Disclosure of interests</w:t>
      </w:r>
      <w:bookmarkEnd w:id="12"/>
    </w:p>
    <w:p w:rsidR="00BE2B53" w:rsidRDefault="00BE2B53" w:rsidP="00BE2B53">
      <w:pPr>
        <w:pStyle w:val="BodyText"/>
      </w:pPr>
      <w:r>
        <w:t xml:space="preserve">The </w:t>
      </w:r>
      <w:r w:rsidRPr="00550710">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rsidR="00BE2B53" w:rsidRDefault="00BE2B53" w:rsidP="00BE2B53">
      <w:pPr>
        <w:pStyle w:val="BodyText"/>
      </w:pPr>
      <w:r>
        <w:t>Dr Craik has advised the Commission that she is the beneficiary of subsidised solar PV panels.</w:t>
      </w:r>
    </w:p>
    <w:p w:rsidR="009811F8" w:rsidRDefault="009811F8">
      <w:pPr>
        <w:pStyle w:val="BodyText"/>
      </w:pPr>
    </w:p>
    <w:p w:rsidR="00BE2B53" w:rsidRDefault="00BE2B53">
      <w:pPr>
        <w:pStyle w:val="BodyText"/>
      </w:pPr>
    </w:p>
    <w:p w:rsidR="00BE2B53" w:rsidRDefault="00BE2B53">
      <w:pPr>
        <w:pStyle w:val="BodyText"/>
      </w:pPr>
    </w:p>
    <w:p w:rsidR="00BE2B53" w:rsidRDefault="00BE2B53">
      <w:pPr>
        <w:pStyle w:val="BodyText"/>
      </w:pPr>
    </w:p>
    <w:p w:rsidR="00BE2B53" w:rsidRDefault="00BE2B53">
      <w:pPr>
        <w:pStyle w:val="BodyText"/>
        <w:sectPr w:rsidR="00BE2B53" w:rsidSect="00875DC0">
          <w:headerReference w:type="even" r:id="rId14"/>
          <w:headerReference w:type="default" r:id="rId15"/>
          <w:footerReference w:type="even" r:id="rId16"/>
          <w:footerReference w:type="default" r:id="rId17"/>
          <w:pgSz w:w="11906" w:h="16838" w:code="9"/>
          <w:pgMar w:top="1985" w:right="1304" w:bottom="1418" w:left="1814" w:header="1701" w:footer="567" w:gutter="0"/>
          <w:pgNumType w:fmt="lowerRoman"/>
          <w:cols w:space="708"/>
          <w:docGrid w:linePitch="360"/>
        </w:sectPr>
      </w:pPr>
    </w:p>
    <w:p w:rsidR="009D6D9C" w:rsidRDefault="00735FEA" w:rsidP="008206EE">
      <w:pPr>
        <w:pStyle w:val="Heading1NotTOC"/>
      </w:pPr>
      <w:bookmarkStart w:id="13" w:name="Contents"/>
      <w:bookmarkEnd w:id="13"/>
      <w:r w:rsidRPr="00B153C3">
        <w:lastRenderedPageBreak/>
        <w:t>Contents</w:t>
      </w:r>
      <w:bookmarkStart w:id="14" w:name="InsertContents"/>
      <w:bookmarkEnd w:id="14"/>
    </w:p>
    <w:p w:rsidR="00F52AFD" w:rsidRPr="00A633F0" w:rsidRDefault="00F52AFD" w:rsidP="00F52AFD">
      <w:pPr>
        <w:pStyle w:val="BodyText"/>
      </w:pPr>
      <w:r>
        <w:t xml:space="preserve">The Commission’s report is in two volumes. </w:t>
      </w:r>
      <w:r w:rsidRPr="00D26039">
        <w:rPr>
          <w:b/>
        </w:rPr>
        <w:t xml:space="preserve">This volume </w:t>
      </w:r>
      <w:r w:rsidR="00D26039" w:rsidRPr="00D26039">
        <w:rPr>
          <w:b/>
        </w:rPr>
        <w:t>2 contains chapters 9 to 21, Appendix A and the References</w:t>
      </w:r>
      <w:r w:rsidR="00D26039">
        <w:t>.</w:t>
      </w:r>
      <w:r w:rsidR="00D26039">
        <w:rPr>
          <w:b/>
        </w:rPr>
        <w:t xml:space="preserve"> </w:t>
      </w:r>
      <w:r w:rsidR="00D26039" w:rsidRPr="00D26039">
        <w:t>Volume 1</w:t>
      </w:r>
      <w:r w:rsidRPr="00D26039">
        <w:t xml:space="preserve"> contains the Overview, the Recommendations and findings and chapters 1 to 8.</w:t>
      </w:r>
      <w:r>
        <w:t xml:space="preserve"> </w:t>
      </w:r>
      <w:proofErr w:type="spellStart"/>
      <w:r>
        <w:t>Appendices</w:t>
      </w:r>
      <w:proofErr w:type="spellEnd"/>
      <w:r>
        <w:t xml:space="preserve"> B to F will only be available on the Commission’s web site (http://</w:t>
      </w:r>
      <w:proofErr w:type="spellStart"/>
      <w:r>
        <w:t>www.pv.gov.au</w:t>
      </w:r>
      <w:proofErr w:type="spellEnd"/>
      <w:r>
        <w:t xml:space="preserve">). Below is the table of contents for both volumes. </w:t>
      </w:r>
    </w:p>
    <w:p w:rsidR="00F52AFD" w:rsidRPr="00A633F0" w:rsidRDefault="00F52AFD" w:rsidP="00F52AFD">
      <w:pPr>
        <w:pStyle w:val="TOC1"/>
        <w:pBdr>
          <w:top w:val="single" w:sz="4" w:space="1" w:color="auto"/>
          <w:left w:val="single" w:sz="4" w:space="4" w:color="auto"/>
          <w:bottom w:val="single" w:sz="4" w:space="1" w:color="auto"/>
          <w:right w:val="single" w:sz="4" w:space="31" w:color="auto"/>
        </w:pBdr>
        <w:shd w:val="clear" w:color="auto" w:fill="000000"/>
        <w:jc w:val="center"/>
        <w:rPr>
          <w:color w:val="FFFFFF"/>
        </w:rPr>
      </w:pPr>
      <w:r w:rsidRPr="0070462F">
        <w:rPr>
          <w:color w:val="FFFFFF"/>
        </w:rPr>
        <w:t>Volume 1</w:t>
      </w:r>
    </w:p>
    <w:p w:rsidR="009D6D9C" w:rsidRDefault="009D6D9C">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9D6D9C" w:rsidRDefault="009D6D9C">
      <w:pPr>
        <w:pStyle w:val="TOC1"/>
        <w:rPr>
          <w:rFonts w:asciiTheme="minorHAnsi" w:eastAsiaTheme="minorEastAsia" w:hAnsiTheme="minorHAnsi" w:cstheme="minorBidi"/>
          <w:b w:val="0"/>
          <w:noProof/>
          <w:sz w:val="22"/>
          <w:szCs w:val="22"/>
          <w:lang w:eastAsia="en-AU"/>
        </w:rPr>
      </w:pPr>
      <w:r>
        <w:rPr>
          <w:noProof/>
        </w:rPr>
        <w:t>Disclosure of interests</w:t>
      </w:r>
      <w:r>
        <w:rPr>
          <w:noProof/>
        </w:rPr>
        <w:tab/>
        <w:t>vii</w:t>
      </w:r>
    </w:p>
    <w:p w:rsidR="009D6D9C" w:rsidRDefault="009D6D9C">
      <w:pPr>
        <w:pStyle w:val="TOC1"/>
        <w:rPr>
          <w:rFonts w:asciiTheme="minorHAnsi" w:eastAsiaTheme="minorEastAsia" w:hAnsiTheme="minorHAnsi" w:cstheme="minorBidi"/>
          <w:b w:val="0"/>
          <w:noProof/>
          <w:sz w:val="22"/>
          <w:szCs w:val="22"/>
          <w:lang w:eastAsia="en-AU"/>
        </w:rPr>
      </w:pPr>
      <w:r>
        <w:rPr>
          <w:noProof/>
        </w:rPr>
        <w:t>Acknowledgments</w:t>
      </w:r>
      <w:r>
        <w:rPr>
          <w:noProof/>
        </w:rPr>
        <w:tab/>
        <w:t>xvi</w:t>
      </w:r>
    </w:p>
    <w:p w:rsidR="009D6D9C" w:rsidRDefault="009D6D9C">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xvii</w:t>
      </w:r>
    </w:p>
    <w:p w:rsidR="009D6D9C" w:rsidRDefault="009D6D9C">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9D6D9C" w:rsidRDefault="009D6D9C">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43</w:t>
      </w:r>
    </w:p>
    <w:p w:rsidR="009D6D9C" w:rsidRDefault="009D6D9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65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are the perceived problems?</w:t>
      </w:r>
      <w:r>
        <w:rPr>
          <w:noProof/>
        </w:rPr>
        <w:tab/>
        <w:t>65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Overview of the regulatory framework and its institutions</w:t>
      </w:r>
      <w:r>
        <w:rPr>
          <w:noProof/>
        </w:rPr>
        <w:tab/>
        <w:t>68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 to its terms of reference</w:t>
      </w:r>
      <w:r>
        <w:rPr>
          <w:noProof/>
        </w:rPr>
        <w:tab/>
        <w:t>71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A guide to the report</w:t>
      </w:r>
      <w:r>
        <w:rPr>
          <w:noProof/>
        </w:rPr>
        <w:tab/>
        <w:t>77</w:t>
      </w:r>
    </w:p>
    <w:p w:rsidR="009D6D9C" w:rsidRDefault="009D6D9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structure and performance of the National Electricity Market</w:t>
      </w:r>
      <w:r>
        <w:rPr>
          <w:noProof/>
        </w:rPr>
        <w:tab/>
        <w:t>83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structure of the National Electricity Market</w:t>
      </w:r>
      <w:r>
        <w:rPr>
          <w:noProof/>
        </w:rPr>
        <w:tab/>
        <w:t>84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scale of the network and its costs</w:t>
      </w:r>
      <w:r>
        <w:rPr>
          <w:noProof/>
        </w:rPr>
        <w:tab/>
        <w:t>95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nature of demand</w:t>
      </w:r>
      <w:r>
        <w:rPr>
          <w:noProof/>
        </w:rPr>
        <w:tab/>
        <w:t>98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Prices have been rising</w:t>
      </w:r>
      <w:r>
        <w:rPr>
          <w:noProof/>
        </w:rPr>
        <w:tab/>
        <w:t>104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The proximate reasons for higher network charges</w:t>
      </w:r>
      <w:r>
        <w:rPr>
          <w:noProof/>
        </w:rPr>
        <w:tab/>
        <w:t>110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Reliability</w:t>
      </w:r>
      <w:r>
        <w:rPr>
          <w:noProof/>
        </w:rPr>
        <w:tab/>
        <w:t>113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2.7</w:t>
      </w:r>
      <w:r>
        <w:rPr>
          <w:rFonts w:asciiTheme="minorHAnsi" w:eastAsiaTheme="minorEastAsia" w:hAnsiTheme="minorHAnsi" w:cstheme="minorBidi"/>
          <w:noProof/>
          <w:sz w:val="22"/>
          <w:szCs w:val="22"/>
          <w:lang w:eastAsia="en-AU"/>
        </w:rPr>
        <w:tab/>
      </w:r>
      <w:r>
        <w:rPr>
          <w:noProof/>
        </w:rPr>
        <w:t>What is at stake?</w:t>
      </w:r>
      <w:r>
        <w:rPr>
          <w:noProof/>
        </w:rPr>
        <w:tab/>
        <w:t>114</w:t>
      </w:r>
    </w:p>
    <w:p w:rsidR="009D6D9C" w:rsidRDefault="009D6D9C">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rationale for regulation of electricity networks</w:t>
      </w:r>
      <w:r>
        <w:rPr>
          <w:noProof/>
        </w:rPr>
        <w:tab/>
        <w:t>121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lastRenderedPageBreak/>
        <w:t>3.1</w:t>
      </w:r>
      <w:r>
        <w:rPr>
          <w:rFonts w:asciiTheme="minorHAnsi" w:eastAsiaTheme="minorEastAsia" w:hAnsiTheme="minorHAnsi" w:cstheme="minorBidi"/>
          <w:noProof/>
          <w:sz w:val="22"/>
          <w:szCs w:val="22"/>
          <w:lang w:eastAsia="en-AU"/>
        </w:rPr>
        <w:tab/>
      </w:r>
      <w:r>
        <w:rPr>
          <w:noProof/>
        </w:rPr>
        <w:t>The characteristics of electricity networks</w:t>
      </w:r>
      <w:r>
        <w:rPr>
          <w:noProof/>
        </w:rPr>
        <w:tab/>
        <w:t>122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Evidence about the costs of market power</w:t>
      </w:r>
      <w:r>
        <w:rPr>
          <w:noProof/>
        </w:rPr>
        <w:tab/>
        <w:t>125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The case for regulating monopolies</w:t>
      </w:r>
      <w:r>
        <w:rPr>
          <w:noProof/>
        </w:rPr>
        <w:tab/>
        <w:t>126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Are deadweight losses passé? New theories of why monopolies should be regulated</w:t>
      </w:r>
      <w:r>
        <w:rPr>
          <w:noProof/>
        </w:rPr>
        <w:tab/>
        <w:t>139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The alternative policy implications of different theories of monopoly regulation</w:t>
      </w:r>
      <w:r>
        <w:rPr>
          <w:noProof/>
        </w:rPr>
        <w:tab/>
        <w:t>144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In summary</w:t>
      </w:r>
      <w:r>
        <w:rPr>
          <w:noProof/>
        </w:rPr>
        <w:tab/>
        <w:t>145</w:t>
      </w:r>
    </w:p>
    <w:p w:rsidR="009D6D9C" w:rsidRDefault="009D6D9C">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A framework for benchmarking</w:t>
      </w:r>
      <w:r>
        <w:rPr>
          <w:noProof/>
        </w:rPr>
        <w:tab/>
        <w:t>147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Benchmarking managerial efficiency and performance</w:t>
      </w:r>
      <w:r>
        <w:rPr>
          <w:noProof/>
        </w:rPr>
        <w:tab/>
        <w:t>148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Benchmarking techniques</w:t>
      </w:r>
      <w:r>
        <w:rPr>
          <w:noProof/>
        </w:rPr>
        <w:tab/>
        <w:t>156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should be benchmarked?</w:t>
      </w:r>
      <w:r>
        <w:rPr>
          <w:noProof/>
        </w:rPr>
        <w:tab/>
        <w:t>160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The use of benchmarking for Australian electricity networks</w:t>
      </w:r>
      <w:r>
        <w:rPr>
          <w:noProof/>
        </w:rPr>
        <w:tab/>
        <w:t>162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Criteria for judging benchmarking</w:t>
      </w:r>
      <w:r>
        <w:rPr>
          <w:noProof/>
        </w:rPr>
        <w:tab/>
        <w:t>163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Validity — does the measure test what it claims to?</w:t>
      </w:r>
      <w:r>
        <w:rPr>
          <w:noProof/>
        </w:rPr>
        <w:tab/>
        <w:t>168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Other scientific criteria for judging benchmarking</w:t>
      </w:r>
      <w:r>
        <w:rPr>
          <w:noProof/>
        </w:rPr>
        <w:tab/>
        <w:t>178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4.8</w:t>
      </w:r>
      <w:r>
        <w:rPr>
          <w:rFonts w:asciiTheme="minorHAnsi" w:eastAsiaTheme="minorEastAsia" w:hAnsiTheme="minorHAnsi" w:cstheme="minorBidi"/>
          <w:noProof/>
          <w:sz w:val="22"/>
          <w:szCs w:val="22"/>
          <w:lang w:eastAsia="en-AU"/>
        </w:rPr>
        <w:tab/>
      </w:r>
      <w:r>
        <w:rPr>
          <w:noProof/>
        </w:rPr>
        <w:t>Testing the credibility of results</w:t>
      </w:r>
      <w:r>
        <w:rPr>
          <w:noProof/>
        </w:rPr>
        <w:tab/>
        <w:t>182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4.9</w:t>
      </w:r>
      <w:r>
        <w:rPr>
          <w:rFonts w:asciiTheme="minorHAnsi" w:eastAsiaTheme="minorEastAsia" w:hAnsiTheme="minorHAnsi" w:cstheme="minorBidi"/>
          <w:noProof/>
          <w:sz w:val="22"/>
          <w:szCs w:val="22"/>
          <w:lang w:eastAsia="en-AU"/>
        </w:rPr>
        <w:tab/>
      </w:r>
      <w:r>
        <w:rPr>
          <w:noProof/>
        </w:rPr>
        <w:t>No perfect measure is possible</w:t>
      </w:r>
      <w:r>
        <w:rPr>
          <w:noProof/>
        </w:rPr>
        <w:tab/>
        <w:t>185</w:t>
      </w:r>
    </w:p>
    <w:p w:rsidR="009D6D9C" w:rsidRDefault="009D6D9C">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Incentive regulation and benchmarking</w:t>
      </w:r>
      <w:r>
        <w:rPr>
          <w:noProof/>
        </w:rPr>
        <w:tab/>
        <w:t>187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Incentive regulation</w:t>
      </w:r>
      <w:r>
        <w:rPr>
          <w:noProof/>
        </w:rPr>
        <w:tab/>
        <w:t>188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Incentive regulation and the electricity sector</w:t>
      </w:r>
      <w:r>
        <w:rPr>
          <w:noProof/>
        </w:rPr>
        <w:tab/>
        <w:t>192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Ensuring effective incentives</w:t>
      </w:r>
      <w:r>
        <w:rPr>
          <w:noProof/>
        </w:rPr>
        <w:tab/>
        <w:t>201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The AER’s ability to determine expenditure forecasts</w:t>
      </w:r>
      <w:r>
        <w:rPr>
          <w:noProof/>
        </w:rPr>
        <w:tab/>
        <w:t>221</w:t>
      </w:r>
    </w:p>
    <w:p w:rsidR="009D6D9C" w:rsidRDefault="009D6D9C">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Empirical evidence of network efficiency</w:t>
      </w:r>
      <w:r>
        <w:rPr>
          <w:noProof/>
        </w:rPr>
        <w:tab/>
        <w:t>227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Existing evidence and arguments</w:t>
      </w:r>
      <w:r>
        <w:rPr>
          <w:noProof/>
        </w:rPr>
        <w:tab/>
        <w:t>228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relative impacts of the WACC, capex and opex</w:t>
      </w:r>
      <w:r>
        <w:rPr>
          <w:noProof/>
        </w:rPr>
        <w:tab/>
        <w:t>238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Demand driven augmentation</w:t>
      </w:r>
      <w:r>
        <w:rPr>
          <w:noProof/>
        </w:rPr>
        <w:tab/>
        <w:t>242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What does the RAB tell us?</w:t>
      </w:r>
      <w:r>
        <w:rPr>
          <w:noProof/>
        </w:rPr>
        <w:tab/>
        <w:t>248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Expenditure, allowances and timing</w:t>
      </w:r>
      <w:r>
        <w:rPr>
          <w:noProof/>
        </w:rPr>
        <w:tab/>
        <w:t>254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Public and private ownership</w:t>
      </w:r>
      <w:r>
        <w:rPr>
          <w:noProof/>
        </w:rPr>
        <w:tab/>
        <w:t>257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Conclusions</w:t>
      </w:r>
      <w:r>
        <w:rPr>
          <w:noProof/>
        </w:rPr>
        <w:tab/>
        <w:t>260</w:t>
      </w:r>
    </w:p>
    <w:p w:rsidR="009D6D9C" w:rsidRDefault="009D6D9C">
      <w:pPr>
        <w:pStyle w:val="TOC1"/>
        <w:rPr>
          <w:rFonts w:asciiTheme="minorHAnsi" w:eastAsiaTheme="minorEastAsia" w:hAnsiTheme="minorHAnsi" w:cstheme="minorBidi"/>
          <w:b w:val="0"/>
          <w:noProof/>
          <w:sz w:val="22"/>
          <w:szCs w:val="22"/>
          <w:lang w:eastAsia="en-AU"/>
        </w:rPr>
      </w:pPr>
      <w:r>
        <w:rPr>
          <w:noProof/>
        </w:rPr>
        <w:lastRenderedPageBreak/>
        <w:t>7</w:t>
      </w:r>
      <w:r>
        <w:rPr>
          <w:rFonts w:asciiTheme="minorHAnsi" w:eastAsiaTheme="minorEastAsia" w:hAnsiTheme="minorHAnsi" w:cstheme="minorBidi"/>
          <w:b w:val="0"/>
          <w:noProof/>
          <w:sz w:val="22"/>
          <w:szCs w:val="22"/>
          <w:lang w:eastAsia="en-AU"/>
        </w:rPr>
        <w:tab/>
      </w:r>
      <w:r>
        <w:rPr>
          <w:noProof/>
        </w:rPr>
        <w:t>Ownership</w:t>
      </w:r>
      <w:r>
        <w:rPr>
          <w:noProof/>
        </w:rPr>
        <w:tab/>
        <w:t>263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A framework for considering ownership</w:t>
      </w:r>
      <w:r>
        <w:rPr>
          <w:noProof/>
        </w:rPr>
        <w:tab/>
        <w:t>264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Incentive regulation and state-owned corporations</w:t>
      </w:r>
      <w:r>
        <w:rPr>
          <w:noProof/>
        </w:rPr>
        <w:tab/>
        <w:t>267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Non-commercial imperatives and interference</w:t>
      </w:r>
      <w:r>
        <w:rPr>
          <w:noProof/>
        </w:rPr>
        <w:tab/>
        <w:t>270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The productivity and performance of state-owned network businesses</w:t>
      </w:r>
      <w:r>
        <w:rPr>
          <w:noProof/>
        </w:rPr>
        <w:tab/>
        <w:t>279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The perceived risks of privatisation</w:t>
      </w:r>
      <w:r>
        <w:rPr>
          <w:noProof/>
        </w:rPr>
        <w:tab/>
        <w:t>284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The bottom line on private ownership</w:t>
      </w:r>
      <w:r>
        <w:rPr>
          <w:noProof/>
        </w:rPr>
        <w:tab/>
        <w:t>287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7.7</w:t>
      </w:r>
      <w:r>
        <w:rPr>
          <w:rFonts w:asciiTheme="minorHAnsi" w:eastAsiaTheme="minorEastAsia" w:hAnsiTheme="minorHAnsi" w:cstheme="minorBidi"/>
          <w:noProof/>
          <w:sz w:val="22"/>
          <w:szCs w:val="22"/>
          <w:lang w:eastAsia="en-AU"/>
        </w:rPr>
        <w:tab/>
      </w:r>
      <w:r>
        <w:rPr>
          <w:noProof/>
        </w:rPr>
        <w:t>The transition to privatisation</w:t>
      </w:r>
      <w:r>
        <w:rPr>
          <w:noProof/>
        </w:rPr>
        <w:tab/>
        <w:t>290</w:t>
      </w:r>
    </w:p>
    <w:p w:rsidR="009D6D9C" w:rsidRDefault="009D6D9C">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How should the Australian Energy Regulator use benchmarking?</w:t>
      </w:r>
      <w:r>
        <w:rPr>
          <w:noProof/>
        </w:rPr>
        <w:tab/>
        <w:t>295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Should benchmarking be used in a mechanistic role to set revenue allowances?</w:t>
      </w:r>
      <w:r>
        <w:rPr>
          <w:noProof/>
        </w:rPr>
        <w:tab/>
        <w:t>298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Benchmarking the effectiveness of the regulatory regime</w:t>
      </w:r>
      <w:r>
        <w:rPr>
          <w:noProof/>
        </w:rPr>
        <w:tab/>
        <w:t>305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Could more targeted analysis act as a filter?</w:t>
      </w:r>
      <w:r>
        <w:rPr>
          <w:noProof/>
        </w:rPr>
        <w:tab/>
        <w:t>308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Benchmarking could be a trigger for negotiated settlements</w:t>
      </w:r>
      <w:r>
        <w:rPr>
          <w:noProof/>
        </w:rPr>
        <w:tab/>
        <w:t>316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Information and ‘moral suasion’</w:t>
      </w:r>
      <w:r>
        <w:rPr>
          <w:noProof/>
        </w:rPr>
        <w:tab/>
        <w:t>322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The long-run application of benchmarking</w:t>
      </w:r>
      <w:r>
        <w:rPr>
          <w:noProof/>
        </w:rPr>
        <w:tab/>
        <w:t>323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8.7</w:t>
      </w:r>
      <w:r>
        <w:rPr>
          <w:rFonts w:asciiTheme="minorHAnsi" w:eastAsiaTheme="minorEastAsia" w:hAnsiTheme="minorHAnsi" w:cstheme="minorBidi"/>
          <w:noProof/>
          <w:sz w:val="22"/>
          <w:szCs w:val="22"/>
          <w:lang w:eastAsia="en-AU"/>
        </w:rPr>
        <w:tab/>
      </w:r>
      <w:r>
        <w:rPr>
          <w:noProof/>
        </w:rPr>
        <w:t>The regulator’s benchmarking practices</w:t>
      </w:r>
      <w:r>
        <w:rPr>
          <w:noProof/>
        </w:rPr>
        <w:tab/>
        <w:t>325</w:t>
      </w:r>
    </w:p>
    <w:p w:rsidR="009D6D9C" w:rsidRDefault="009D6D9C">
      <w:pPr>
        <w:pStyle w:val="TOC2"/>
        <w:tabs>
          <w:tab w:val="left" w:pos="1190"/>
        </w:tabs>
        <w:rPr>
          <w:noProof/>
        </w:rPr>
      </w:pPr>
      <w:r>
        <w:rPr>
          <w:noProof/>
        </w:rPr>
        <w:t>8.8</w:t>
      </w:r>
      <w:r>
        <w:rPr>
          <w:rFonts w:asciiTheme="minorHAnsi" w:eastAsiaTheme="minorEastAsia" w:hAnsiTheme="minorHAnsi" w:cstheme="minorBidi"/>
          <w:noProof/>
          <w:sz w:val="22"/>
          <w:szCs w:val="22"/>
          <w:lang w:eastAsia="en-AU"/>
        </w:rPr>
        <w:tab/>
      </w:r>
      <w:r>
        <w:rPr>
          <w:noProof/>
        </w:rPr>
        <w:t>Conclusion</w:t>
      </w:r>
      <w:r>
        <w:rPr>
          <w:noProof/>
        </w:rPr>
        <w:tab/>
        <w:t>334</w:t>
      </w:r>
    </w:p>
    <w:p w:rsidR="00F52AFD" w:rsidRDefault="00F52AFD">
      <w:pPr>
        <w:pStyle w:val="TOC2"/>
        <w:tabs>
          <w:tab w:val="left" w:pos="1190"/>
        </w:tabs>
        <w:rPr>
          <w:noProof/>
        </w:rPr>
      </w:pPr>
    </w:p>
    <w:p w:rsidR="00F52AFD" w:rsidRPr="00A633F0" w:rsidRDefault="00F52AFD" w:rsidP="00F52AFD">
      <w:pPr>
        <w:pStyle w:val="TOC1"/>
        <w:pBdr>
          <w:top w:val="single" w:sz="4" w:space="1" w:color="auto"/>
          <w:left w:val="single" w:sz="4" w:space="4" w:color="auto"/>
          <w:bottom w:val="single" w:sz="4" w:space="1" w:color="auto"/>
          <w:right w:val="single" w:sz="4" w:space="31" w:color="auto"/>
        </w:pBdr>
        <w:shd w:val="clear" w:color="auto" w:fill="000000"/>
        <w:jc w:val="center"/>
        <w:rPr>
          <w:color w:val="FFFFFF"/>
        </w:rPr>
      </w:pPr>
      <w:r>
        <w:rPr>
          <w:color w:val="FFFFFF"/>
        </w:rPr>
        <w:t>Volume 2</w:t>
      </w:r>
    </w:p>
    <w:p w:rsidR="00F52AFD" w:rsidRDefault="00F52AFD">
      <w:pPr>
        <w:pStyle w:val="TOC2"/>
        <w:tabs>
          <w:tab w:val="left" w:pos="1190"/>
        </w:tabs>
        <w:rPr>
          <w:rFonts w:asciiTheme="minorHAnsi" w:eastAsiaTheme="minorEastAsia" w:hAnsiTheme="minorHAnsi" w:cstheme="minorBidi"/>
          <w:noProof/>
          <w:sz w:val="22"/>
          <w:szCs w:val="22"/>
          <w:lang w:eastAsia="en-AU"/>
        </w:rPr>
      </w:pPr>
    </w:p>
    <w:p w:rsidR="009D6D9C" w:rsidRDefault="009D6D9C">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Peak demand and demand management</w:t>
      </w:r>
      <w:r>
        <w:rPr>
          <w:noProof/>
        </w:rPr>
        <w:tab/>
        <w:t>335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What is peak demand and why is it a problem?</w:t>
      </w:r>
      <w:r>
        <w:rPr>
          <w:noProof/>
        </w:rPr>
        <w:tab/>
        <w:t>336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A roadmap for how this report addresses peak demand management</w:t>
      </w:r>
      <w:r>
        <w:rPr>
          <w:noProof/>
        </w:rPr>
        <w:tab/>
        <w:t>339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Facets of the peak demand problem</w:t>
      </w:r>
      <w:r>
        <w:rPr>
          <w:noProof/>
        </w:rPr>
        <w:tab/>
        <w:t>341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What is demand management and how can it provide a solution?</w:t>
      </w:r>
      <w:r>
        <w:rPr>
          <w:noProof/>
        </w:rPr>
        <w:tab/>
        <w:t>353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Demand management is not widely implemented</w:t>
      </w:r>
      <w:r>
        <w:rPr>
          <w:noProof/>
        </w:rPr>
        <w:tab/>
        <w:t>360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Why is the uptake of demand management so low?</w:t>
      </w:r>
      <w:r>
        <w:rPr>
          <w:noProof/>
        </w:rPr>
        <w:tab/>
        <w:t>366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lastRenderedPageBreak/>
        <w:t>9.7</w:t>
      </w:r>
      <w:r>
        <w:rPr>
          <w:rFonts w:asciiTheme="minorHAnsi" w:eastAsiaTheme="minorEastAsia" w:hAnsiTheme="minorHAnsi" w:cstheme="minorBidi"/>
          <w:noProof/>
          <w:sz w:val="22"/>
          <w:szCs w:val="22"/>
          <w:lang w:eastAsia="en-AU"/>
        </w:rPr>
        <w:tab/>
      </w:r>
      <w:r>
        <w:rPr>
          <w:noProof/>
        </w:rPr>
        <w:t>Gauging the prospective benefits and costs of demand management</w:t>
      </w:r>
      <w:r>
        <w:rPr>
          <w:noProof/>
        </w:rPr>
        <w:tab/>
        <w:t>367</w:t>
      </w:r>
    </w:p>
    <w:p w:rsidR="009D6D9C" w:rsidRDefault="009D6D9C">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Technologies to achieve demand management</w:t>
      </w:r>
      <w:r>
        <w:rPr>
          <w:noProof/>
        </w:rPr>
        <w:tab/>
        <w:t>377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Understanding smart meters</w:t>
      </w:r>
      <w:r>
        <w:rPr>
          <w:noProof/>
        </w:rPr>
        <w:tab/>
        <w:t>380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Rolling out smart meters involves major challenges</w:t>
      </w:r>
      <w:r>
        <w:rPr>
          <w:noProof/>
        </w:rPr>
        <w:tab/>
        <w:t>386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Creating the optimal incentives for deploying demand management technologies</w:t>
      </w:r>
      <w:r>
        <w:rPr>
          <w:noProof/>
        </w:rPr>
        <w:tab/>
        <w:t>391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A hybrid approach that blends a market-based and regulated approach</w:t>
      </w:r>
      <w:r>
        <w:rPr>
          <w:noProof/>
        </w:rPr>
        <w:tab/>
        <w:t>399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There must be a role for other parties</w:t>
      </w:r>
      <w:r>
        <w:rPr>
          <w:noProof/>
        </w:rPr>
        <w:tab/>
        <w:t>411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Control of the information hub</w:t>
      </w:r>
      <w:r>
        <w:rPr>
          <w:noProof/>
        </w:rPr>
        <w:tab/>
        <w:t>419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r>
      <w:r>
        <w:rPr>
          <w:noProof/>
        </w:rPr>
        <w:t>Direct load as an alternative or complementary option</w:t>
      </w:r>
      <w:r>
        <w:rPr>
          <w:noProof/>
        </w:rPr>
        <w:tab/>
        <w:t>421</w:t>
      </w:r>
    </w:p>
    <w:p w:rsidR="009D6D9C" w:rsidRDefault="009D6D9C">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Moving to time-based pricing for the distribution network</w:t>
      </w:r>
      <w:r>
        <w:rPr>
          <w:noProof/>
        </w:rPr>
        <w:tab/>
        <w:t>427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Introduction</w:t>
      </w:r>
      <w:r>
        <w:rPr>
          <w:noProof/>
        </w:rPr>
        <w:tab/>
        <w:t>428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How do distribution businesses currently price?</w:t>
      </w:r>
      <w:r>
        <w:rPr>
          <w:noProof/>
        </w:rPr>
        <w:tab/>
        <w:t>430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Do the National Electricity Rules facilitate time-based and other efficient pricing approaches?</w:t>
      </w:r>
      <w:r>
        <w:rPr>
          <w:noProof/>
        </w:rPr>
        <w:tab/>
        <w:t>433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Designing time-based prices for distribution networks</w:t>
      </w:r>
      <w:r>
        <w:rPr>
          <w:noProof/>
        </w:rPr>
        <w:tab/>
        <w:t>435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A supervising role for SCER is a first step in implementing time-based pricing</w:t>
      </w:r>
      <w:r>
        <w:rPr>
          <w:noProof/>
        </w:rPr>
        <w:tab/>
        <w:t>442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A NEM-wide licensing regime for network providers</w:t>
      </w:r>
      <w:r>
        <w:rPr>
          <w:noProof/>
        </w:rPr>
        <w:tab/>
        <w:t>443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r>
      <w:r>
        <w:rPr>
          <w:noProof/>
        </w:rPr>
        <w:t>Tightening and augmenting aspects of the Rules</w:t>
      </w:r>
      <w:r>
        <w:rPr>
          <w:noProof/>
        </w:rPr>
        <w:tab/>
        <w:t>447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11.8</w:t>
      </w:r>
      <w:r>
        <w:rPr>
          <w:rFonts w:asciiTheme="minorHAnsi" w:eastAsiaTheme="minorEastAsia" w:hAnsiTheme="minorHAnsi" w:cstheme="minorBidi"/>
          <w:noProof/>
          <w:sz w:val="22"/>
          <w:szCs w:val="22"/>
          <w:lang w:eastAsia="en-AU"/>
        </w:rPr>
        <w:tab/>
      </w:r>
      <w:r>
        <w:rPr>
          <w:noProof/>
        </w:rPr>
        <w:t>Guidelines to support methodological development and data collection</w:t>
      </w:r>
      <w:r>
        <w:rPr>
          <w:noProof/>
        </w:rPr>
        <w:tab/>
        <w:t>450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11.9</w:t>
      </w:r>
      <w:r>
        <w:rPr>
          <w:rFonts w:asciiTheme="minorHAnsi" w:eastAsiaTheme="minorEastAsia" w:hAnsiTheme="minorHAnsi" w:cstheme="minorBidi"/>
          <w:noProof/>
          <w:sz w:val="22"/>
          <w:szCs w:val="22"/>
          <w:lang w:eastAsia="en-AU"/>
        </w:rPr>
        <w:tab/>
      </w:r>
      <w:r>
        <w:rPr>
          <w:noProof/>
        </w:rPr>
        <w:t>Addressing affordability and equity issues</w:t>
      </w:r>
      <w:r>
        <w:rPr>
          <w:noProof/>
        </w:rPr>
        <w:tab/>
        <w:t>451</w:t>
      </w:r>
    </w:p>
    <w:p w:rsidR="009D6D9C" w:rsidRDefault="009D6D9C">
      <w:pPr>
        <w:pStyle w:val="TOC2"/>
        <w:tabs>
          <w:tab w:val="left" w:pos="1320"/>
        </w:tabs>
        <w:rPr>
          <w:rFonts w:asciiTheme="minorHAnsi" w:eastAsiaTheme="minorEastAsia" w:hAnsiTheme="minorHAnsi" w:cstheme="minorBidi"/>
          <w:noProof/>
          <w:sz w:val="22"/>
          <w:szCs w:val="22"/>
          <w:lang w:eastAsia="en-AU"/>
        </w:rPr>
      </w:pPr>
      <w:r>
        <w:rPr>
          <w:noProof/>
        </w:rPr>
        <w:t>11.10</w:t>
      </w:r>
      <w:r>
        <w:rPr>
          <w:rFonts w:asciiTheme="minorHAnsi" w:eastAsiaTheme="minorEastAsia" w:hAnsiTheme="minorHAnsi" w:cstheme="minorBidi"/>
          <w:noProof/>
          <w:sz w:val="22"/>
          <w:szCs w:val="22"/>
          <w:lang w:eastAsia="en-AU"/>
        </w:rPr>
        <w:tab/>
      </w:r>
      <w:r>
        <w:rPr>
          <w:noProof/>
        </w:rPr>
        <w:t>The nature of the transition to time-based pricing</w:t>
      </w:r>
      <w:r>
        <w:rPr>
          <w:noProof/>
        </w:rPr>
        <w:tab/>
        <w:t>455</w:t>
      </w:r>
    </w:p>
    <w:p w:rsidR="009D6D9C" w:rsidRDefault="009D6D9C">
      <w:pPr>
        <w:pStyle w:val="TOC2"/>
        <w:tabs>
          <w:tab w:val="left" w:pos="1320"/>
        </w:tabs>
        <w:rPr>
          <w:rFonts w:asciiTheme="minorHAnsi" w:eastAsiaTheme="minorEastAsia" w:hAnsiTheme="minorHAnsi" w:cstheme="minorBidi"/>
          <w:noProof/>
          <w:sz w:val="22"/>
          <w:szCs w:val="22"/>
          <w:lang w:eastAsia="en-AU"/>
        </w:rPr>
      </w:pPr>
      <w:r>
        <w:rPr>
          <w:noProof/>
        </w:rPr>
        <w:t>11.11</w:t>
      </w:r>
      <w:r>
        <w:rPr>
          <w:rFonts w:asciiTheme="minorHAnsi" w:eastAsiaTheme="minorEastAsia" w:hAnsiTheme="minorHAnsi" w:cstheme="minorBidi"/>
          <w:noProof/>
          <w:sz w:val="22"/>
          <w:szCs w:val="22"/>
          <w:lang w:eastAsia="en-AU"/>
        </w:rPr>
        <w:tab/>
      </w:r>
      <w:r>
        <w:rPr>
          <w:noProof/>
        </w:rPr>
        <w:t>The importance of effective engagement and customer education</w:t>
      </w:r>
      <w:r>
        <w:rPr>
          <w:noProof/>
        </w:rPr>
        <w:tab/>
        <w:t>460</w:t>
      </w:r>
    </w:p>
    <w:p w:rsidR="009D6D9C" w:rsidRDefault="009D6D9C">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Complementary reforms to support demand management</w:t>
      </w:r>
      <w:r>
        <w:rPr>
          <w:noProof/>
        </w:rPr>
        <w:tab/>
        <w:t>465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Choice of revenue control mechanism — revenue caps versus weighted average price caps</w:t>
      </w:r>
      <w:r>
        <w:rPr>
          <w:noProof/>
        </w:rPr>
        <w:tab/>
        <w:t>466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The incentives of network businesses to undertake demand management</w:t>
      </w:r>
      <w:r>
        <w:rPr>
          <w:noProof/>
        </w:rPr>
        <w:tab/>
        <w:t>479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lastRenderedPageBreak/>
        <w:t>12.3</w:t>
      </w:r>
      <w:r>
        <w:rPr>
          <w:rFonts w:asciiTheme="minorHAnsi" w:eastAsiaTheme="minorEastAsia" w:hAnsiTheme="minorHAnsi" w:cstheme="minorBidi"/>
          <w:noProof/>
          <w:sz w:val="22"/>
          <w:szCs w:val="22"/>
          <w:lang w:eastAsia="en-AU"/>
        </w:rPr>
        <w:tab/>
      </w:r>
      <w:r>
        <w:rPr>
          <w:noProof/>
        </w:rPr>
        <w:t>Retailers’ incentives and price regulation</w:t>
      </w:r>
      <w:r>
        <w:rPr>
          <w:noProof/>
        </w:rPr>
        <w:tab/>
        <w:t>483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The AEMC’s proposed ‘demand response mechanism’ in the Power of Choice</w:t>
      </w:r>
      <w:r w:rsidRPr="00EA27C1">
        <w:rPr>
          <w:i/>
          <w:noProof/>
        </w:rPr>
        <w:t xml:space="preserve"> </w:t>
      </w:r>
      <w:r>
        <w:rPr>
          <w:noProof/>
        </w:rPr>
        <w:t>review</w:t>
      </w:r>
      <w:r>
        <w:rPr>
          <w:noProof/>
        </w:rPr>
        <w:tab/>
        <w:t>498</w:t>
      </w:r>
    </w:p>
    <w:p w:rsidR="009D6D9C" w:rsidRDefault="009D6D9C">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Distributed generation</w:t>
      </w:r>
      <w:r>
        <w:rPr>
          <w:noProof/>
        </w:rPr>
        <w:tab/>
        <w:t>501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What is distributed generation?</w:t>
      </w:r>
      <w:r>
        <w:rPr>
          <w:noProof/>
        </w:rPr>
        <w:tab/>
        <w:t>502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Scale of distributed generation in Australia</w:t>
      </w:r>
      <w:r>
        <w:rPr>
          <w:noProof/>
        </w:rPr>
        <w:tab/>
        <w:t>504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Potential benefits of distributed generation</w:t>
      </w:r>
      <w:r>
        <w:rPr>
          <w:noProof/>
        </w:rPr>
        <w:tab/>
        <w:t>505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Effects of distributed generation on network costs</w:t>
      </w:r>
      <w:r>
        <w:rPr>
          <w:noProof/>
        </w:rPr>
        <w:tab/>
        <w:t>506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Obstacles to efficient network investment</w:t>
      </w:r>
      <w:r>
        <w:rPr>
          <w:noProof/>
        </w:rPr>
        <w:tab/>
        <w:t>511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Benchmarking to achieve efficient levels of network use of distributed generation</w:t>
      </w:r>
      <w:r>
        <w:rPr>
          <w:noProof/>
        </w:rPr>
        <w:tab/>
        <w:t>522</w:t>
      </w:r>
    </w:p>
    <w:p w:rsidR="009D6D9C" w:rsidRDefault="009D6D9C">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Building a reliability framework in order to benchmark</w:t>
      </w:r>
      <w:r>
        <w:rPr>
          <w:noProof/>
        </w:rPr>
        <w:tab/>
        <w:t>525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What issues does reliability raise?</w:t>
      </w:r>
      <w:r>
        <w:rPr>
          <w:noProof/>
        </w:rPr>
        <w:tab/>
        <w:t>527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Reliability under incentive regulation</w:t>
      </w:r>
      <w:r>
        <w:rPr>
          <w:noProof/>
        </w:rPr>
        <w:tab/>
        <w:t>529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The costs of reliability for network businesses</w:t>
      </w:r>
      <w:r>
        <w:rPr>
          <w:noProof/>
        </w:rPr>
        <w:tab/>
        <w:t>530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What level of reliability is efficient?</w:t>
      </w:r>
      <w:r>
        <w:rPr>
          <w:noProof/>
        </w:rPr>
        <w:tab/>
        <w:t>533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Measuring the value of reliability</w:t>
      </w:r>
      <w:r>
        <w:rPr>
          <w:noProof/>
        </w:rPr>
        <w:tab/>
        <w:t>534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14.6</w:t>
      </w:r>
      <w:r>
        <w:rPr>
          <w:rFonts w:asciiTheme="minorHAnsi" w:eastAsiaTheme="minorEastAsia" w:hAnsiTheme="minorHAnsi" w:cstheme="minorBidi"/>
          <w:noProof/>
          <w:sz w:val="22"/>
          <w:szCs w:val="22"/>
          <w:lang w:eastAsia="en-AU"/>
        </w:rPr>
        <w:tab/>
      </w:r>
      <w:r>
        <w:rPr>
          <w:noProof/>
        </w:rPr>
        <w:t>Concluding comments</w:t>
      </w:r>
      <w:r>
        <w:rPr>
          <w:noProof/>
        </w:rPr>
        <w:tab/>
        <w:t>545</w:t>
      </w:r>
    </w:p>
    <w:p w:rsidR="009D6D9C" w:rsidRDefault="009D6D9C">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Distribution reliability</w:t>
      </w:r>
      <w:r>
        <w:rPr>
          <w:noProof/>
        </w:rPr>
        <w:tab/>
        <w:t>547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Introduction</w:t>
      </w:r>
      <w:r>
        <w:rPr>
          <w:noProof/>
        </w:rPr>
        <w:tab/>
        <w:t>548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Reliability performance of distribution businesses in the National Electricity Market</w:t>
      </w:r>
      <w:r>
        <w:rPr>
          <w:noProof/>
        </w:rPr>
        <w:tab/>
        <w:t>549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Reliability settings for distribution networks in the National Electricity Market</w:t>
      </w:r>
      <w:r>
        <w:rPr>
          <w:noProof/>
        </w:rPr>
        <w:tab/>
        <w:t>552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An efficient and effective distribution reliability framework — a bolstered STPIS</w:t>
      </w:r>
      <w:r>
        <w:rPr>
          <w:noProof/>
        </w:rPr>
        <w:tab/>
        <w:t>570</w:t>
      </w:r>
    </w:p>
    <w:p w:rsidR="009D6D9C" w:rsidRDefault="009D6D9C">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Transmission reliability and planning</w:t>
      </w:r>
      <w:r>
        <w:rPr>
          <w:noProof/>
        </w:rPr>
        <w:tab/>
        <w:t>581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Introduction</w:t>
      </w:r>
      <w:r>
        <w:rPr>
          <w:noProof/>
        </w:rPr>
        <w:tab/>
        <w:t>582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The special characteristics of transmission networks</w:t>
      </w:r>
      <w:r>
        <w:rPr>
          <w:noProof/>
        </w:rPr>
        <w:tab/>
        <w:t>583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The broader planning context and economic regulation</w:t>
      </w:r>
      <w:r>
        <w:rPr>
          <w:noProof/>
        </w:rPr>
        <w:tab/>
        <w:t>586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An efficient transmission framework?</w:t>
      </w:r>
      <w:r>
        <w:rPr>
          <w:noProof/>
        </w:rPr>
        <w:tab/>
        <w:t>588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16.5</w:t>
      </w:r>
      <w:r>
        <w:rPr>
          <w:rFonts w:asciiTheme="minorHAnsi" w:eastAsiaTheme="minorEastAsia" w:hAnsiTheme="minorHAnsi" w:cstheme="minorBidi"/>
          <w:noProof/>
          <w:sz w:val="22"/>
          <w:szCs w:val="22"/>
          <w:lang w:eastAsia="en-AU"/>
        </w:rPr>
        <w:tab/>
      </w:r>
      <w:r>
        <w:rPr>
          <w:noProof/>
        </w:rPr>
        <w:t>The way forward</w:t>
      </w:r>
      <w:r>
        <w:rPr>
          <w:noProof/>
        </w:rPr>
        <w:tab/>
        <w:t>596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lastRenderedPageBreak/>
        <w:t>16.6</w:t>
      </w:r>
      <w:r>
        <w:rPr>
          <w:rFonts w:asciiTheme="minorHAnsi" w:eastAsiaTheme="minorEastAsia" w:hAnsiTheme="minorHAnsi" w:cstheme="minorBidi"/>
          <w:noProof/>
          <w:sz w:val="22"/>
          <w:szCs w:val="22"/>
          <w:lang w:eastAsia="en-AU"/>
        </w:rPr>
        <w:tab/>
      </w:r>
      <w:r>
        <w:rPr>
          <w:noProof/>
        </w:rPr>
        <w:t>Delivering reliability in the shorter term</w:t>
      </w:r>
      <w:r>
        <w:rPr>
          <w:noProof/>
        </w:rPr>
        <w:tab/>
        <w:t>611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16.7</w:t>
      </w:r>
      <w:r>
        <w:rPr>
          <w:rFonts w:asciiTheme="minorHAnsi" w:eastAsiaTheme="minorEastAsia" w:hAnsiTheme="minorHAnsi" w:cstheme="minorBidi"/>
          <w:noProof/>
          <w:sz w:val="22"/>
          <w:szCs w:val="22"/>
          <w:lang w:eastAsia="en-AU"/>
        </w:rPr>
        <w:tab/>
      </w:r>
      <w:r>
        <w:rPr>
          <w:noProof/>
        </w:rPr>
        <w:t>Changes to transmission reliability</w:t>
      </w:r>
      <w:r>
        <w:rPr>
          <w:noProof/>
        </w:rPr>
        <w:tab/>
        <w:t>614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16.8</w:t>
      </w:r>
      <w:r>
        <w:rPr>
          <w:rFonts w:asciiTheme="minorHAnsi" w:eastAsiaTheme="minorEastAsia" w:hAnsiTheme="minorHAnsi" w:cstheme="minorBidi"/>
          <w:noProof/>
          <w:sz w:val="22"/>
          <w:szCs w:val="22"/>
          <w:lang w:eastAsia="en-AU"/>
        </w:rPr>
        <w:tab/>
      </w:r>
      <w:r>
        <w:rPr>
          <w:noProof/>
        </w:rPr>
        <w:t>Contestability in new connections and other separable transmission investments</w:t>
      </w:r>
      <w:r>
        <w:rPr>
          <w:noProof/>
        </w:rPr>
        <w:tab/>
        <w:t>617</w:t>
      </w:r>
    </w:p>
    <w:p w:rsidR="009D6D9C" w:rsidRDefault="009D6D9C">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The Regulatory Investment Test for Transmission</w:t>
      </w:r>
      <w:r>
        <w:rPr>
          <w:noProof/>
        </w:rPr>
        <w:tab/>
        <w:t>627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The current framework</w:t>
      </w:r>
      <w:r>
        <w:rPr>
          <w:noProof/>
        </w:rPr>
        <w:tab/>
        <w:t>628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Issues with the current RIT</w:t>
      </w:r>
      <w:r>
        <w:rPr>
          <w:noProof/>
        </w:rPr>
        <w:noBreakHyphen/>
        <w:t>T</w:t>
      </w:r>
      <w:r>
        <w:rPr>
          <w:noProof/>
        </w:rPr>
        <w:tab/>
        <w:t>632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The future role of the RIT-T</w:t>
      </w:r>
      <w:r>
        <w:rPr>
          <w:noProof/>
        </w:rPr>
        <w:tab/>
        <w:t>636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Other potential improvements</w:t>
      </w:r>
      <w:r>
        <w:rPr>
          <w:noProof/>
        </w:rPr>
        <w:tab/>
        <w:t>646</w:t>
      </w:r>
    </w:p>
    <w:p w:rsidR="009D6D9C" w:rsidRDefault="009D6D9C">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The role of interconnectors</w:t>
      </w:r>
      <w:r>
        <w:rPr>
          <w:noProof/>
        </w:rPr>
        <w:tab/>
        <w:t>653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Background and perceived problems</w:t>
      </w:r>
      <w:r>
        <w:rPr>
          <w:noProof/>
        </w:rPr>
        <w:tab/>
        <w:t>654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18.2</w:t>
      </w:r>
      <w:r>
        <w:rPr>
          <w:rFonts w:asciiTheme="minorHAnsi" w:eastAsiaTheme="minorEastAsia" w:hAnsiTheme="minorHAnsi" w:cstheme="minorBidi"/>
          <w:noProof/>
          <w:sz w:val="22"/>
          <w:szCs w:val="22"/>
          <w:lang w:eastAsia="en-AU"/>
        </w:rPr>
        <w:tab/>
      </w:r>
      <w:r>
        <w:rPr>
          <w:noProof/>
        </w:rPr>
        <w:t>Some conceptual considerations</w:t>
      </w:r>
      <w:r>
        <w:rPr>
          <w:noProof/>
        </w:rPr>
        <w:tab/>
        <w:t>663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Evidence of the efficiency of interconnection</w:t>
      </w:r>
      <w:r>
        <w:rPr>
          <w:noProof/>
        </w:rPr>
        <w:tab/>
        <w:t>668</w:t>
      </w:r>
    </w:p>
    <w:p w:rsidR="009D6D9C" w:rsidRDefault="009D6D9C">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Pr>
          <w:noProof/>
        </w:rPr>
        <w:t>Efficient use of interconnectors</w:t>
      </w:r>
      <w:r>
        <w:rPr>
          <w:noProof/>
        </w:rPr>
        <w:tab/>
        <w:t>681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19.1</w:t>
      </w:r>
      <w:r>
        <w:rPr>
          <w:rFonts w:asciiTheme="minorHAnsi" w:eastAsiaTheme="minorEastAsia" w:hAnsiTheme="minorHAnsi" w:cstheme="minorBidi"/>
          <w:noProof/>
          <w:sz w:val="22"/>
          <w:szCs w:val="22"/>
          <w:lang w:eastAsia="en-AU"/>
        </w:rPr>
        <w:tab/>
      </w:r>
      <w:r>
        <w:rPr>
          <w:noProof/>
        </w:rPr>
        <w:t>The spot market</w:t>
      </w:r>
      <w:r>
        <w:rPr>
          <w:noProof/>
        </w:rPr>
        <w:tab/>
        <w:t>682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19.2</w:t>
      </w:r>
      <w:r>
        <w:rPr>
          <w:rFonts w:asciiTheme="minorHAnsi" w:eastAsiaTheme="minorEastAsia" w:hAnsiTheme="minorHAnsi" w:cstheme="minorBidi"/>
          <w:noProof/>
          <w:sz w:val="22"/>
          <w:szCs w:val="22"/>
          <w:lang w:eastAsia="en-AU"/>
        </w:rPr>
        <w:tab/>
      </w:r>
      <w:r>
        <w:rPr>
          <w:noProof/>
        </w:rPr>
        <w:t>Disorderly bidding</w:t>
      </w:r>
      <w:r>
        <w:rPr>
          <w:noProof/>
        </w:rPr>
        <w:tab/>
        <w:t>684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19.3</w:t>
      </w:r>
      <w:r>
        <w:rPr>
          <w:rFonts w:asciiTheme="minorHAnsi" w:eastAsiaTheme="minorEastAsia" w:hAnsiTheme="minorHAnsi" w:cstheme="minorBidi"/>
          <w:noProof/>
          <w:sz w:val="22"/>
          <w:szCs w:val="22"/>
          <w:lang w:eastAsia="en-AU"/>
        </w:rPr>
        <w:tab/>
      </w:r>
      <w:r>
        <w:rPr>
          <w:noProof/>
        </w:rPr>
        <w:t>Potential solutions</w:t>
      </w:r>
      <w:r>
        <w:rPr>
          <w:noProof/>
        </w:rPr>
        <w:tab/>
        <w:t>69</w:t>
      </w:r>
      <w:r w:rsidR="00CA284B">
        <w:rPr>
          <w:noProof/>
        </w:rPr>
        <w:t>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19.4</w:t>
      </w:r>
      <w:r>
        <w:rPr>
          <w:rFonts w:asciiTheme="minorHAnsi" w:eastAsiaTheme="minorEastAsia" w:hAnsiTheme="minorHAnsi" w:cstheme="minorBidi"/>
          <w:noProof/>
          <w:sz w:val="22"/>
          <w:szCs w:val="22"/>
          <w:lang w:eastAsia="en-AU"/>
        </w:rPr>
        <w:tab/>
      </w:r>
      <w:r>
        <w:rPr>
          <w:noProof/>
        </w:rPr>
        <w:t>More fundamental reforms</w:t>
      </w:r>
      <w:r>
        <w:rPr>
          <w:noProof/>
        </w:rPr>
        <w:tab/>
        <w:t>71</w:t>
      </w:r>
      <w:r w:rsidR="00CA284B">
        <w:rPr>
          <w:noProof/>
        </w:rPr>
        <w:t>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19.5</w:t>
      </w:r>
      <w:r>
        <w:rPr>
          <w:rFonts w:asciiTheme="minorHAnsi" w:eastAsiaTheme="minorEastAsia" w:hAnsiTheme="minorHAnsi" w:cstheme="minorBidi"/>
          <w:noProof/>
          <w:sz w:val="22"/>
          <w:szCs w:val="22"/>
          <w:lang w:eastAsia="en-AU"/>
        </w:rPr>
        <w:tab/>
      </w:r>
      <w:r>
        <w:rPr>
          <w:noProof/>
        </w:rPr>
        <w:t>The hedging market</w:t>
      </w:r>
      <w:r>
        <w:rPr>
          <w:noProof/>
        </w:rPr>
        <w:tab/>
        <w:t>72</w:t>
      </w:r>
      <w:r w:rsidR="00CA284B">
        <w:rPr>
          <w:noProof/>
        </w:rPr>
        <w:t>3</w:t>
      </w:r>
    </w:p>
    <w:p w:rsidR="009D6D9C" w:rsidRDefault="009D6D9C">
      <w:pPr>
        <w:pStyle w:val="TOC1"/>
        <w:rPr>
          <w:rFonts w:asciiTheme="minorHAnsi" w:eastAsiaTheme="minorEastAsia" w:hAnsiTheme="minorHAnsi" w:cstheme="minorBidi"/>
          <w:b w:val="0"/>
          <w:noProof/>
          <w:sz w:val="22"/>
          <w:szCs w:val="22"/>
          <w:lang w:eastAsia="en-AU"/>
        </w:rPr>
      </w:pPr>
      <w:r>
        <w:rPr>
          <w:noProof/>
        </w:rPr>
        <w:t>20</w:t>
      </w:r>
      <w:r>
        <w:rPr>
          <w:rFonts w:asciiTheme="minorHAnsi" w:eastAsiaTheme="minorEastAsia" w:hAnsiTheme="minorHAnsi" w:cstheme="minorBidi"/>
          <w:b w:val="0"/>
          <w:noProof/>
          <w:sz w:val="22"/>
          <w:szCs w:val="22"/>
          <w:lang w:eastAsia="en-AU"/>
        </w:rPr>
        <w:tab/>
      </w:r>
      <w:r>
        <w:rPr>
          <w:noProof/>
        </w:rPr>
        <w:t>Merchant interconnectors</w:t>
      </w:r>
      <w:r>
        <w:rPr>
          <w:noProof/>
        </w:rPr>
        <w:tab/>
        <w:t>733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20.1</w:t>
      </w:r>
      <w:r>
        <w:rPr>
          <w:rFonts w:asciiTheme="minorHAnsi" w:eastAsiaTheme="minorEastAsia" w:hAnsiTheme="minorHAnsi" w:cstheme="minorBidi"/>
          <w:noProof/>
          <w:sz w:val="22"/>
          <w:szCs w:val="22"/>
          <w:lang w:eastAsia="en-AU"/>
        </w:rPr>
        <w:tab/>
      </w:r>
      <w:r>
        <w:rPr>
          <w:noProof/>
        </w:rPr>
        <w:t>The role of merchant interconnectors in the National Electricity Market</w:t>
      </w:r>
      <w:r>
        <w:rPr>
          <w:noProof/>
        </w:rPr>
        <w:tab/>
        <w:t>734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20.2</w:t>
      </w:r>
      <w:r>
        <w:rPr>
          <w:rFonts w:asciiTheme="minorHAnsi" w:eastAsiaTheme="minorEastAsia" w:hAnsiTheme="minorHAnsi" w:cstheme="minorBidi"/>
          <w:noProof/>
          <w:sz w:val="22"/>
          <w:szCs w:val="22"/>
          <w:lang w:eastAsia="en-AU"/>
        </w:rPr>
        <w:tab/>
      </w:r>
      <w:r>
        <w:rPr>
          <w:noProof/>
        </w:rPr>
        <w:t>Regulatory biases</w:t>
      </w:r>
      <w:r>
        <w:rPr>
          <w:noProof/>
        </w:rPr>
        <w:tab/>
        <w:t>745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20.3</w:t>
      </w:r>
      <w:r>
        <w:rPr>
          <w:rFonts w:asciiTheme="minorHAnsi" w:eastAsiaTheme="minorEastAsia" w:hAnsiTheme="minorHAnsi" w:cstheme="minorBidi"/>
          <w:noProof/>
          <w:sz w:val="22"/>
          <w:szCs w:val="22"/>
          <w:lang w:eastAsia="en-AU"/>
        </w:rPr>
        <w:tab/>
      </w:r>
      <w:r>
        <w:rPr>
          <w:noProof/>
        </w:rPr>
        <w:t>Beneficiary pays</w:t>
      </w:r>
      <w:r>
        <w:rPr>
          <w:noProof/>
        </w:rPr>
        <w:tab/>
        <w:t>753</w:t>
      </w:r>
    </w:p>
    <w:p w:rsidR="009D6D9C" w:rsidRDefault="009D6D9C">
      <w:pPr>
        <w:pStyle w:val="TOC1"/>
        <w:rPr>
          <w:rFonts w:asciiTheme="minorHAnsi" w:eastAsiaTheme="minorEastAsia" w:hAnsiTheme="minorHAnsi" w:cstheme="minorBidi"/>
          <w:b w:val="0"/>
          <w:noProof/>
          <w:sz w:val="22"/>
          <w:szCs w:val="22"/>
          <w:lang w:eastAsia="en-AU"/>
        </w:rPr>
      </w:pPr>
      <w:r>
        <w:rPr>
          <w:noProof/>
        </w:rPr>
        <w:t>21</w:t>
      </w:r>
      <w:r>
        <w:rPr>
          <w:rFonts w:asciiTheme="minorHAnsi" w:eastAsiaTheme="minorEastAsia" w:hAnsiTheme="minorHAnsi" w:cstheme="minorBidi"/>
          <w:b w:val="0"/>
          <w:noProof/>
          <w:sz w:val="22"/>
          <w:szCs w:val="22"/>
          <w:lang w:eastAsia="en-AU"/>
        </w:rPr>
        <w:tab/>
      </w:r>
      <w:r>
        <w:rPr>
          <w:noProof/>
        </w:rPr>
        <w:t>Governance</w:t>
      </w:r>
      <w:r>
        <w:rPr>
          <w:noProof/>
        </w:rPr>
        <w:tab/>
        <w:t>759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21.1</w:t>
      </w:r>
      <w:r>
        <w:rPr>
          <w:rFonts w:asciiTheme="minorHAnsi" w:eastAsiaTheme="minorEastAsia" w:hAnsiTheme="minorHAnsi" w:cstheme="minorBidi"/>
          <w:noProof/>
          <w:sz w:val="22"/>
          <w:szCs w:val="22"/>
          <w:lang w:eastAsia="en-AU"/>
        </w:rPr>
        <w:tab/>
      </w:r>
      <w:r>
        <w:rPr>
          <w:noProof/>
        </w:rPr>
        <w:t>Governance and performance of the Australian Energy Regulator</w:t>
      </w:r>
      <w:r>
        <w:rPr>
          <w:noProof/>
        </w:rPr>
        <w:tab/>
        <w:t>762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21.2</w:t>
      </w:r>
      <w:r>
        <w:rPr>
          <w:rFonts w:asciiTheme="minorHAnsi" w:eastAsiaTheme="minorEastAsia" w:hAnsiTheme="minorHAnsi" w:cstheme="minorBidi"/>
          <w:noProof/>
          <w:sz w:val="22"/>
          <w:szCs w:val="22"/>
          <w:lang w:eastAsia="en-AU"/>
        </w:rPr>
        <w:tab/>
      </w:r>
      <w:r>
        <w:rPr>
          <w:noProof/>
        </w:rPr>
        <w:t>Reform of Australian Energy Regulator governance</w:t>
      </w:r>
      <w:r>
        <w:rPr>
          <w:noProof/>
        </w:rPr>
        <w:tab/>
        <w:t>776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21.3</w:t>
      </w:r>
      <w:r>
        <w:rPr>
          <w:rFonts w:asciiTheme="minorHAnsi" w:eastAsiaTheme="minorEastAsia" w:hAnsiTheme="minorHAnsi" w:cstheme="minorBidi"/>
          <w:noProof/>
          <w:sz w:val="22"/>
          <w:szCs w:val="22"/>
          <w:lang w:eastAsia="en-AU"/>
        </w:rPr>
        <w:tab/>
      </w:r>
      <w:r>
        <w:rPr>
          <w:noProof/>
        </w:rPr>
        <w:t>What about AEMO, the AEMC and other NEM bodies?</w:t>
      </w:r>
      <w:r>
        <w:rPr>
          <w:noProof/>
        </w:rPr>
        <w:tab/>
        <w:t>786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21.4</w:t>
      </w:r>
      <w:r>
        <w:rPr>
          <w:rFonts w:asciiTheme="minorHAnsi" w:eastAsiaTheme="minorEastAsia" w:hAnsiTheme="minorHAnsi" w:cstheme="minorBidi"/>
          <w:noProof/>
          <w:sz w:val="22"/>
          <w:szCs w:val="22"/>
          <w:lang w:eastAsia="en-AU"/>
        </w:rPr>
        <w:tab/>
      </w:r>
      <w:r>
        <w:rPr>
          <w:noProof/>
        </w:rPr>
        <w:t>Consumer engagement and representation</w:t>
      </w:r>
      <w:r>
        <w:rPr>
          <w:noProof/>
        </w:rPr>
        <w:tab/>
        <w:t>787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21.5</w:t>
      </w:r>
      <w:r>
        <w:rPr>
          <w:rFonts w:asciiTheme="minorHAnsi" w:eastAsiaTheme="minorEastAsia" w:hAnsiTheme="minorHAnsi" w:cstheme="minorBidi"/>
          <w:noProof/>
          <w:sz w:val="22"/>
          <w:szCs w:val="22"/>
          <w:lang w:eastAsia="en-AU"/>
        </w:rPr>
        <w:tab/>
      </w:r>
      <w:r>
        <w:rPr>
          <w:noProof/>
        </w:rPr>
        <w:t>Processes for amending electricity network regulation</w:t>
      </w:r>
      <w:r>
        <w:rPr>
          <w:noProof/>
        </w:rPr>
        <w:tab/>
        <w:t>797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21.6</w:t>
      </w:r>
      <w:r>
        <w:rPr>
          <w:rFonts w:asciiTheme="minorHAnsi" w:eastAsiaTheme="minorEastAsia" w:hAnsiTheme="minorHAnsi" w:cstheme="minorBidi"/>
          <w:noProof/>
          <w:sz w:val="22"/>
          <w:szCs w:val="22"/>
          <w:lang w:eastAsia="en-AU"/>
        </w:rPr>
        <w:tab/>
      </w:r>
      <w:r>
        <w:rPr>
          <w:noProof/>
        </w:rPr>
        <w:t>Merits review processes</w:t>
      </w:r>
      <w:r>
        <w:rPr>
          <w:noProof/>
        </w:rPr>
        <w:tab/>
        <w:t>809</w:t>
      </w:r>
    </w:p>
    <w:p w:rsidR="00F52AFD" w:rsidRDefault="00F52AFD" w:rsidP="00F52AFD">
      <w:pPr>
        <w:pStyle w:val="TOC1"/>
        <w:rPr>
          <w:noProof/>
        </w:rPr>
      </w:pPr>
      <w:r>
        <w:rPr>
          <w:noProof/>
        </w:rPr>
        <w:lastRenderedPageBreak/>
        <w:t>Appendices</w:t>
      </w:r>
    </w:p>
    <w:p w:rsidR="009D6D9C" w:rsidRDefault="009D6D9C">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811</w:t>
      </w:r>
    </w:p>
    <w:p w:rsidR="009D6D9C" w:rsidRDefault="009D6D9C">
      <w:pPr>
        <w:pStyle w:val="TOC1"/>
        <w:rPr>
          <w:rFonts w:asciiTheme="minorHAnsi" w:eastAsiaTheme="minorEastAsia" w:hAnsiTheme="minorHAnsi" w:cstheme="minorBidi"/>
          <w:b w:val="0"/>
          <w:noProof/>
          <w:sz w:val="22"/>
          <w:szCs w:val="22"/>
          <w:lang w:eastAsia="en-AU"/>
        </w:rPr>
      </w:pPr>
      <w:r>
        <w:rPr>
          <w:noProof/>
        </w:rPr>
        <w:t>References</w:t>
      </w:r>
      <w:r>
        <w:rPr>
          <w:noProof/>
        </w:rPr>
        <w:tab/>
        <w:t>8</w:t>
      </w:r>
      <w:r w:rsidR="00EB1E2D">
        <w:rPr>
          <w:noProof/>
        </w:rPr>
        <w:t>19</w:t>
      </w:r>
    </w:p>
    <w:p w:rsidR="00F52AFD" w:rsidRPr="007F1C6D" w:rsidRDefault="00F52AFD" w:rsidP="00F52AFD">
      <w:pPr>
        <w:pStyle w:val="TOC2"/>
      </w:pPr>
    </w:p>
    <w:p w:rsidR="00F52AFD" w:rsidRDefault="00F52AFD" w:rsidP="00F52AFD">
      <w:pPr>
        <w:pStyle w:val="TOC1"/>
        <w:rPr>
          <w:noProof/>
        </w:rPr>
      </w:pPr>
    </w:p>
    <w:p w:rsidR="00F52AFD" w:rsidRDefault="00F52AFD" w:rsidP="00F52AFD">
      <w:pPr>
        <w:pStyle w:val="TOC1"/>
        <w:rPr>
          <w:noProof/>
        </w:rPr>
      </w:pPr>
      <w:r>
        <w:rPr>
          <w:noProof/>
        </w:rPr>
        <w:t>Online Appendices</w:t>
      </w:r>
    </w:p>
    <w:p w:rsidR="00F52AFD" w:rsidRDefault="00F52AFD" w:rsidP="00F52AFD">
      <w:pPr>
        <w:pStyle w:val="TOC1"/>
        <w:rPr>
          <w:noProof/>
        </w:rPr>
      </w:pPr>
      <w:r>
        <w:rPr>
          <w:noProof/>
        </w:rPr>
        <w:t>B</w:t>
      </w:r>
      <w:r>
        <w:rPr>
          <w:rFonts w:asciiTheme="minorHAnsi" w:eastAsiaTheme="minorEastAsia" w:hAnsiTheme="minorHAnsi" w:cstheme="minorBidi"/>
          <w:b w:val="0"/>
          <w:noProof/>
          <w:sz w:val="22"/>
          <w:szCs w:val="22"/>
          <w:lang w:eastAsia="en-AU"/>
        </w:rPr>
        <w:tab/>
      </w:r>
      <w:r>
        <w:rPr>
          <w:noProof/>
        </w:rPr>
        <w:t>The hold-up problem</w:t>
      </w:r>
    </w:p>
    <w:p w:rsidR="00F52AFD" w:rsidRDefault="00F52AFD" w:rsidP="00F52AFD">
      <w:pPr>
        <w:pStyle w:val="TOC1"/>
        <w:rPr>
          <w:noProof/>
        </w:rPr>
      </w:pPr>
      <w:r>
        <w:rPr>
          <w:noProof/>
        </w:rPr>
        <w:t>C</w:t>
      </w:r>
      <w:r>
        <w:rPr>
          <w:rFonts w:asciiTheme="minorHAnsi" w:eastAsiaTheme="minorEastAsia" w:hAnsiTheme="minorHAnsi" w:cstheme="minorBidi"/>
          <w:b w:val="0"/>
          <w:noProof/>
          <w:sz w:val="22"/>
          <w:szCs w:val="22"/>
          <w:lang w:eastAsia="en-AU"/>
        </w:rPr>
        <w:tab/>
      </w:r>
      <w:r>
        <w:rPr>
          <w:noProof/>
        </w:rPr>
        <w:t>Hedging in the electricity market</w:t>
      </w:r>
    </w:p>
    <w:p w:rsidR="00F52AFD" w:rsidRDefault="00F52AFD" w:rsidP="00F52AFD">
      <w:pPr>
        <w:pStyle w:val="TOC1"/>
        <w:rPr>
          <w:noProof/>
        </w:rPr>
      </w:pPr>
      <w:r>
        <w:rPr>
          <w:noProof/>
        </w:rPr>
        <w:t>D</w:t>
      </w:r>
      <w:r>
        <w:rPr>
          <w:rFonts w:asciiTheme="minorHAnsi" w:eastAsiaTheme="minorEastAsia" w:hAnsiTheme="minorHAnsi" w:cstheme="minorBidi"/>
          <w:b w:val="0"/>
          <w:noProof/>
          <w:sz w:val="22"/>
          <w:szCs w:val="22"/>
          <w:lang w:eastAsia="en-AU"/>
        </w:rPr>
        <w:tab/>
      </w:r>
      <w:r>
        <w:rPr>
          <w:noProof/>
        </w:rPr>
        <w:t>Modelling indirect effects in the RIT-T</w:t>
      </w:r>
    </w:p>
    <w:p w:rsidR="00F52AFD" w:rsidRDefault="00F52AFD" w:rsidP="00F52AFD">
      <w:pPr>
        <w:pStyle w:val="TOC1"/>
        <w:rPr>
          <w:noProof/>
        </w:rPr>
      </w:pPr>
      <w:r>
        <w:rPr>
          <w:noProof/>
        </w:rPr>
        <w:t>E</w:t>
      </w:r>
      <w:r>
        <w:rPr>
          <w:rFonts w:asciiTheme="minorHAnsi" w:eastAsiaTheme="minorEastAsia" w:hAnsiTheme="minorHAnsi" w:cstheme="minorBidi"/>
          <w:b w:val="0"/>
          <w:noProof/>
          <w:sz w:val="22"/>
          <w:szCs w:val="22"/>
          <w:lang w:eastAsia="en-AU"/>
        </w:rPr>
        <w:tab/>
      </w:r>
      <w:r>
        <w:rPr>
          <w:noProof/>
        </w:rPr>
        <w:t>International regulators’ approach to merchant transmission investment</w:t>
      </w:r>
    </w:p>
    <w:p w:rsidR="00F52AFD" w:rsidRDefault="00F52AFD" w:rsidP="00F52AFD">
      <w:pPr>
        <w:pStyle w:val="TOC1"/>
        <w:rPr>
          <w:noProof/>
        </w:rPr>
      </w:pPr>
      <w:r>
        <w:rPr>
          <w:noProof/>
        </w:rPr>
        <w:t>F</w:t>
      </w:r>
      <w:r>
        <w:rPr>
          <w:rFonts w:asciiTheme="minorHAnsi" w:eastAsiaTheme="minorEastAsia" w:hAnsiTheme="minorHAnsi" w:cstheme="minorBidi"/>
          <w:b w:val="0"/>
          <w:noProof/>
          <w:sz w:val="22"/>
          <w:szCs w:val="22"/>
          <w:lang w:eastAsia="en-AU"/>
        </w:rPr>
        <w:tab/>
      </w:r>
      <w:r>
        <w:rPr>
          <w:noProof/>
        </w:rPr>
        <w:t>Current transmission reliability and planning frameworks</w:t>
      </w:r>
    </w:p>
    <w:p w:rsidR="00F52AFD" w:rsidRDefault="00F52AFD" w:rsidP="00F52AFD"/>
    <w:p w:rsidR="00F52AFD" w:rsidRPr="00F52AFD" w:rsidRDefault="00F52AFD" w:rsidP="00F52AFD">
      <w:pPr>
        <w:pStyle w:val="BodyText"/>
      </w:pPr>
    </w:p>
    <w:p w:rsidR="009D6D9C" w:rsidRPr="009D6D9C" w:rsidRDefault="009D6D9C" w:rsidP="009D6D9C">
      <w:pPr>
        <w:pStyle w:val="BodyText"/>
      </w:pPr>
    </w:p>
    <w:p w:rsidR="00735FEA" w:rsidRDefault="00735FEA">
      <w:pPr>
        <w:pStyle w:val="BodyText"/>
        <w:sectPr w:rsidR="00735FEA" w:rsidSect="005537F6">
          <w:headerReference w:type="even" r:id="rId18"/>
          <w:headerReference w:type="default" r:id="rId19"/>
          <w:footerReference w:type="even" r:id="rId20"/>
          <w:footerReference w:type="default" r:id="rId21"/>
          <w:type w:val="oddPage"/>
          <w:pgSz w:w="11907" w:h="16840" w:code="9"/>
          <w:pgMar w:top="1985" w:right="1304" w:bottom="1418" w:left="1814" w:header="1701" w:footer="567" w:gutter="0"/>
          <w:pgNumType w:fmt="lowerRoman"/>
          <w:cols w:space="720"/>
        </w:sectPr>
      </w:pPr>
    </w:p>
    <w:p w:rsidR="009811F8" w:rsidRDefault="009811F8">
      <w:pPr>
        <w:pStyle w:val="Heading1"/>
      </w:pPr>
      <w:bookmarkStart w:id="15" w:name="Abbreviations"/>
      <w:bookmarkStart w:id="16" w:name="RDnote"/>
      <w:bookmarkStart w:id="17" w:name="_Toc353374644"/>
      <w:bookmarkEnd w:id="15"/>
      <w:bookmarkEnd w:id="16"/>
      <w:r>
        <w:lastRenderedPageBreak/>
        <w:t>Acknowledgments</w:t>
      </w:r>
      <w:bookmarkEnd w:id="17"/>
    </w:p>
    <w:p w:rsidR="009811F8" w:rsidRDefault="009811F8">
      <w:pPr>
        <w:pStyle w:val="BodyText"/>
      </w:pPr>
    </w:p>
    <w:p w:rsidR="00BE2B53" w:rsidRDefault="00BE2B53">
      <w:pPr>
        <w:pStyle w:val="BodyText"/>
      </w:pPr>
      <w:r w:rsidRPr="00427613">
        <w:t xml:space="preserve">The Commission engaged the services of Dr John </w:t>
      </w:r>
      <w:proofErr w:type="spellStart"/>
      <w:r w:rsidRPr="00427613">
        <w:t>Tamblyn</w:t>
      </w:r>
      <w:proofErr w:type="spellEnd"/>
      <w:r w:rsidRPr="00427613">
        <w:t>, a well-known expert on the National Electricity Market (who has recently been involved in two other independent reviews of aspects of the electricity industry) to review some chapters and the overview for th</w:t>
      </w:r>
      <w:r>
        <w:t>e draft of this</w:t>
      </w:r>
      <w:r w:rsidRPr="00427613">
        <w:t xml:space="preserve"> report. Dr </w:t>
      </w:r>
      <w:proofErr w:type="spellStart"/>
      <w:r w:rsidRPr="00427613">
        <w:t>Tamblyn</w:t>
      </w:r>
      <w:proofErr w:type="spellEnd"/>
      <w:r w:rsidRPr="00427613">
        <w:t xml:space="preserve"> provided valuable feedback to the Commission, for which we are most grateful. However, the views and judgements in this report are those of the Commission alone, and should not be attributed to Dr </w:t>
      </w:r>
      <w:proofErr w:type="spellStart"/>
      <w:r w:rsidRPr="00427613">
        <w:t>Tamblyn</w:t>
      </w:r>
      <w:proofErr w:type="spellEnd"/>
      <w:r w:rsidRPr="00427613">
        <w:t xml:space="preserve"> or any other participa</w:t>
      </w:r>
      <w:r>
        <w:t>nt, except where clearly stated.</w:t>
      </w:r>
    </w:p>
    <w:p w:rsidR="00BE2B53" w:rsidRDefault="00BE2B53">
      <w:pPr>
        <w:pStyle w:val="BodyText"/>
      </w:pPr>
    </w:p>
    <w:p w:rsidR="00BE2B53" w:rsidRDefault="00BE2B53">
      <w:pPr>
        <w:pStyle w:val="BodyText"/>
        <w:sectPr w:rsidR="00BE2B53" w:rsidSect="00875DC0">
          <w:headerReference w:type="even" r:id="rId22"/>
          <w:headerReference w:type="default" r:id="rId23"/>
          <w:footerReference w:type="even" r:id="rId24"/>
          <w:footerReference w:type="default" r:id="rId25"/>
          <w:pgSz w:w="11906" w:h="16838" w:code="9"/>
          <w:pgMar w:top="1985" w:right="1304" w:bottom="1418" w:left="1814" w:header="1701" w:footer="567" w:gutter="0"/>
          <w:pgNumType w:fmt="lowerRoman"/>
          <w:cols w:space="708"/>
          <w:docGrid w:linePitch="360"/>
        </w:sectPr>
      </w:pPr>
    </w:p>
    <w:p w:rsidR="00735FEA" w:rsidRDefault="00735FEA" w:rsidP="00F7477E">
      <w:pPr>
        <w:pStyle w:val="Heading1"/>
      </w:pPr>
      <w:bookmarkStart w:id="18" w:name="EndContents"/>
      <w:bookmarkStart w:id="19" w:name="_Toc353374645"/>
      <w:bookmarkEnd w:id="18"/>
      <w:r>
        <w:lastRenderedPageBreak/>
        <w:t>Abbreviations and explanations</w:t>
      </w:r>
      <w:bookmarkEnd w:id="19"/>
    </w:p>
    <w:p w:rsidR="00735FEA" w:rsidRDefault="00735FEA" w:rsidP="00F7477E">
      <w:pPr>
        <w:pStyle w:val="Heading2NotTOC"/>
      </w:pPr>
      <w:r>
        <w:t>Abbrevia</w:t>
      </w:r>
      <w:r w:rsidRPr="00F85393">
        <w:t>t</w:t>
      </w:r>
      <w:r>
        <w:t>ions</w:t>
      </w:r>
    </w:p>
    <w:p w:rsidR="00BE2B53" w:rsidRDefault="00BE2B53" w:rsidP="00BE2B53">
      <w:pPr>
        <w:pStyle w:val="Abbreviation"/>
      </w:pPr>
      <w:proofErr w:type="spellStart"/>
      <w:r>
        <w:t>AATSE</w:t>
      </w:r>
      <w:proofErr w:type="spellEnd"/>
      <w:r>
        <w:tab/>
        <w:t>Australian Academy of Technological Sciences and Engineering</w:t>
      </w:r>
    </w:p>
    <w:p w:rsidR="00BE2B53" w:rsidRDefault="00BE2B53" w:rsidP="00BE2B53">
      <w:pPr>
        <w:pStyle w:val="Abbreviation"/>
      </w:pPr>
      <w:r>
        <w:t>ABS</w:t>
      </w:r>
      <w:r>
        <w:tab/>
        <w:t>Australian Bureau of Statistics</w:t>
      </w:r>
    </w:p>
    <w:p w:rsidR="00BE2B53" w:rsidRDefault="00BE2B53" w:rsidP="00BE2B53">
      <w:pPr>
        <w:pStyle w:val="Abbreviation"/>
      </w:pPr>
      <w:proofErr w:type="spellStart"/>
      <w:r>
        <w:t>ACCC</w:t>
      </w:r>
      <w:proofErr w:type="spellEnd"/>
      <w:r>
        <w:tab/>
      </w:r>
      <w:r w:rsidRPr="00A65032">
        <w:t>Australian Competition and Consumer Commission</w:t>
      </w:r>
    </w:p>
    <w:p w:rsidR="00BE2B53" w:rsidRDefault="00BE2B53" w:rsidP="00BE2B53">
      <w:pPr>
        <w:pStyle w:val="Abbreviation"/>
      </w:pPr>
      <w:r>
        <w:t>ACT</w:t>
      </w:r>
      <w:r>
        <w:tab/>
      </w:r>
      <w:r w:rsidRPr="00F722CC">
        <w:t>Australian Competition Tribunal</w:t>
      </w:r>
    </w:p>
    <w:p w:rsidR="00BE2B53" w:rsidRDefault="00BE2B53" w:rsidP="00BE2B53">
      <w:pPr>
        <w:pStyle w:val="Abbreviation"/>
      </w:pPr>
      <w:proofErr w:type="spellStart"/>
      <w:r>
        <w:t>AEMC</w:t>
      </w:r>
      <w:proofErr w:type="spellEnd"/>
      <w:r>
        <w:tab/>
        <w:t>Australian Energy Market Commission</w:t>
      </w:r>
    </w:p>
    <w:p w:rsidR="00BE2B53" w:rsidRDefault="00BE2B53" w:rsidP="00BE2B53">
      <w:pPr>
        <w:pStyle w:val="Abbreviation"/>
      </w:pPr>
      <w:proofErr w:type="spellStart"/>
      <w:r>
        <w:t>AEMO</w:t>
      </w:r>
      <w:proofErr w:type="spellEnd"/>
      <w:r>
        <w:tab/>
      </w:r>
      <w:r w:rsidRPr="006039F4">
        <w:t>Australian Energy Market</w:t>
      </w:r>
      <w:r>
        <w:t xml:space="preserve"> Operator</w:t>
      </w:r>
    </w:p>
    <w:p w:rsidR="00BE2B53" w:rsidRDefault="00BE2B53" w:rsidP="00BE2B53">
      <w:pPr>
        <w:pStyle w:val="Abbreviation"/>
      </w:pPr>
      <w:proofErr w:type="spellStart"/>
      <w:r>
        <w:t>AER</w:t>
      </w:r>
      <w:proofErr w:type="spellEnd"/>
      <w:r>
        <w:tab/>
        <w:t>Australian Energy Regulator</w:t>
      </w:r>
    </w:p>
    <w:p w:rsidR="00BE2B53" w:rsidRDefault="00BE2B53" w:rsidP="00BE2B53">
      <w:pPr>
        <w:pStyle w:val="Abbreviation"/>
      </w:pPr>
      <w:proofErr w:type="spellStart"/>
      <w:r>
        <w:t>AEMA</w:t>
      </w:r>
      <w:proofErr w:type="spellEnd"/>
      <w:r>
        <w:tab/>
        <w:t>Australian Energy Market Agreement</w:t>
      </w:r>
    </w:p>
    <w:p w:rsidR="00BE2B53" w:rsidRDefault="00BE2B53" w:rsidP="00BE2B53">
      <w:pPr>
        <w:pStyle w:val="Abbreviation"/>
      </w:pPr>
      <w:r>
        <w:t>ASU</w:t>
      </w:r>
      <w:r>
        <w:tab/>
        <w:t>Australian Services Union</w:t>
      </w:r>
    </w:p>
    <w:p w:rsidR="00BE2B53" w:rsidRDefault="00BE2B53" w:rsidP="00BE2B53">
      <w:pPr>
        <w:pStyle w:val="Abbreviation"/>
      </w:pPr>
      <w:r>
        <w:t>ATA</w:t>
      </w:r>
      <w:r>
        <w:tab/>
        <w:t>Australian Technology Association</w:t>
      </w:r>
    </w:p>
    <w:p w:rsidR="00BE2B53" w:rsidRDefault="00BE2B53" w:rsidP="00BE2B53">
      <w:pPr>
        <w:pStyle w:val="Abbreviation"/>
      </w:pPr>
      <w:proofErr w:type="spellStart"/>
      <w:r w:rsidRPr="00563858">
        <w:t>CAIDI</w:t>
      </w:r>
      <w:proofErr w:type="spellEnd"/>
      <w:r>
        <w:tab/>
        <w:t>C</w:t>
      </w:r>
      <w:r w:rsidRPr="00563858">
        <w:t>ustomer average interruption duration index</w:t>
      </w:r>
    </w:p>
    <w:p w:rsidR="00BE2B53" w:rsidRDefault="00BE2B53" w:rsidP="00BE2B53">
      <w:pPr>
        <w:pStyle w:val="Abbreviation"/>
      </w:pPr>
      <w:proofErr w:type="spellStart"/>
      <w:r>
        <w:t>CALC</w:t>
      </w:r>
      <w:proofErr w:type="spellEnd"/>
      <w:r>
        <w:tab/>
        <w:t>Consumer Action Law Centre</w:t>
      </w:r>
    </w:p>
    <w:p w:rsidR="00BE2B53" w:rsidRDefault="00BE2B53" w:rsidP="00BE2B53">
      <w:pPr>
        <w:pStyle w:val="Abbreviation"/>
      </w:pPr>
      <w:proofErr w:type="spellStart"/>
      <w:r>
        <w:t>CAPEX</w:t>
      </w:r>
      <w:proofErr w:type="spellEnd"/>
      <w:r>
        <w:t xml:space="preserve"> or </w:t>
      </w:r>
      <w:proofErr w:type="spellStart"/>
      <w:r>
        <w:t>capex</w:t>
      </w:r>
      <w:proofErr w:type="spellEnd"/>
      <w:r>
        <w:tab/>
        <w:t>Capital expenditure</w:t>
      </w:r>
    </w:p>
    <w:p w:rsidR="00BE2B53" w:rsidRDefault="00BE2B53" w:rsidP="00BE2B53">
      <w:pPr>
        <w:pStyle w:val="Abbreviation"/>
      </w:pPr>
      <w:proofErr w:type="spellStart"/>
      <w:r w:rsidRPr="00E12D1F">
        <w:t>CBA</w:t>
      </w:r>
      <w:proofErr w:type="spellEnd"/>
      <w:r>
        <w:tab/>
        <w:t>C</w:t>
      </w:r>
      <w:r w:rsidRPr="00E12D1F">
        <w:t xml:space="preserve">ost-benefit </w:t>
      </w:r>
      <w:r>
        <w:t>analysis</w:t>
      </w:r>
    </w:p>
    <w:p w:rsidR="00BE2B53" w:rsidRDefault="00BE2B53" w:rsidP="00BE2B53">
      <w:pPr>
        <w:pStyle w:val="Abbreviation"/>
      </w:pPr>
      <w:proofErr w:type="spellStart"/>
      <w:r w:rsidRPr="00094A1A">
        <w:t>CDF</w:t>
      </w:r>
      <w:proofErr w:type="spellEnd"/>
      <w:r>
        <w:tab/>
        <w:t>Customer Damage Functions</w:t>
      </w:r>
    </w:p>
    <w:p w:rsidR="00BE2B53" w:rsidRDefault="00BE2B53" w:rsidP="00BE2B53">
      <w:pPr>
        <w:pStyle w:val="Abbreviation"/>
      </w:pPr>
      <w:r>
        <w:t>COAG</w:t>
      </w:r>
      <w:r>
        <w:tab/>
        <w:t>Council of Australian Governments</w:t>
      </w:r>
    </w:p>
    <w:p w:rsidR="00BE2B53" w:rsidRDefault="00BE2B53" w:rsidP="00BE2B53">
      <w:pPr>
        <w:pStyle w:val="Abbreviation"/>
      </w:pPr>
      <w:r>
        <w:t>CPI-x</w:t>
      </w:r>
      <w:r>
        <w:tab/>
      </w:r>
      <w:r w:rsidRPr="002A53E2">
        <w:t>C</w:t>
      </w:r>
      <w:r>
        <w:t>onsumer Price Index minus a</w:t>
      </w:r>
      <w:r w:rsidRPr="002A53E2">
        <w:t xml:space="preserve"> benchmark productivity rate (x)</w:t>
      </w:r>
    </w:p>
    <w:p w:rsidR="00BE2B53" w:rsidRDefault="00BE2B53" w:rsidP="00BE2B53">
      <w:pPr>
        <w:pStyle w:val="Abbreviation"/>
      </w:pPr>
      <w:proofErr w:type="spellStart"/>
      <w:r w:rsidRPr="002D3C6E">
        <w:t>CPP</w:t>
      </w:r>
      <w:proofErr w:type="spellEnd"/>
      <w:r>
        <w:tab/>
        <w:t>Critical Peak Price</w:t>
      </w:r>
    </w:p>
    <w:p w:rsidR="00BE2B53" w:rsidRDefault="00BE2B53" w:rsidP="00BE2B53">
      <w:pPr>
        <w:pStyle w:val="Abbreviation"/>
      </w:pPr>
      <w:r>
        <w:t>CSIRO</w:t>
      </w:r>
      <w:r>
        <w:tab/>
        <w:t>Commonwealth Scientific and Industrial Research Organisation</w:t>
      </w:r>
    </w:p>
    <w:p w:rsidR="00BE2B53" w:rsidRDefault="00BE2B53" w:rsidP="00BE2B53">
      <w:pPr>
        <w:pStyle w:val="Abbreviation"/>
      </w:pPr>
      <w:r>
        <w:t>DANCE</w:t>
      </w:r>
      <w:r>
        <w:tab/>
      </w:r>
      <w:r w:rsidRPr="006039F4">
        <w:t>Dynamic Avoidable Network Cost Evaluation model</w:t>
      </w:r>
    </w:p>
    <w:p w:rsidR="00BE2B53" w:rsidRDefault="00BE2B53" w:rsidP="00BE2B53">
      <w:pPr>
        <w:pStyle w:val="Abbreviation"/>
      </w:pPr>
      <w:r>
        <w:t>DG</w:t>
      </w:r>
      <w:r>
        <w:tab/>
        <w:t>Distributed generation</w:t>
      </w:r>
    </w:p>
    <w:p w:rsidR="00BE2B53" w:rsidRDefault="00BE2B53" w:rsidP="00BE2B53">
      <w:pPr>
        <w:pStyle w:val="Abbreviation"/>
      </w:pPr>
      <w:proofErr w:type="spellStart"/>
      <w:r w:rsidRPr="00C076D9">
        <w:t>DLC</w:t>
      </w:r>
      <w:proofErr w:type="spellEnd"/>
      <w:r>
        <w:tab/>
        <w:t>Direct load control</w:t>
      </w:r>
    </w:p>
    <w:p w:rsidR="00BE2B53" w:rsidRDefault="00BE2B53" w:rsidP="00BE2B53">
      <w:pPr>
        <w:pStyle w:val="Abbreviation"/>
      </w:pPr>
      <w:proofErr w:type="spellStart"/>
      <w:r>
        <w:lastRenderedPageBreak/>
        <w:t>DM</w:t>
      </w:r>
      <w:proofErr w:type="spellEnd"/>
      <w:r>
        <w:tab/>
        <w:t>Demand management</w:t>
      </w:r>
    </w:p>
    <w:p w:rsidR="00BE2B53" w:rsidRDefault="00BE2B53" w:rsidP="00BE2B53">
      <w:pPr>
        <w:pStyle w:val="Abbreviation"/>
      </w:pPr>
      <w:proofErr w:type="spellStart"/>
      <w:r w:rsidRPr="003857AE">
        <w:t>DMEGCIS</w:t>
      </w:r>
      <w:proofErr w:type="spellEnd"/>
      <w:r>
        <w:tab/>
      </w:r>
      <w:r w:rsidRPr="003857AE">
        <w:t>Demand Management and Embedded Generati</w:t>
      </w:r>
      <w:r>
        <w:t>on Connection Incentive Scheme</w:t>
      </w:r>
    </w:p>
    <w:p w:rsidR="00BE2B53" w:rsidRDefault="00BE2B53" w:rsidP="00BE2B53">
      <w:pPr>
        <w:pStyle w:val="Abbreviation"/>
      </w:pPr>
      <w:proofErr w:type="spellStart"/>
      <w:r>
        <w:t>DNSP</w:t>
      </w:r>
      <w:proofErr w:type="spellEnd"/>
      <w:r>
        <w:tab/>
        <w:t>Distribution Network Service Provider</w:t>
      </w:r>
    </w:p>
    <w:p w:rsidR="00BE2B53" w:rsidRDefault="00BE2B53" w:rsidP="00BE2B53">
      <w:pPr>
        <w:pStyle w:val="Abbreviation"/>
      </w:pPr>
      <w:r>
        <w:t>DPI</w:t>
      </w:r>
      <w:r>
        <w:tab/>
        <w:t>Department of Primary Industries (Victoria)</w:t>
      </w:r>
    </w:p>
    <w:p w:rsidR="00BE2B53" w:rsidRDefault="00BE2B53" w:rsidP="00BE2B53">
      <w:pPr>
        <w:pStyle w:val="Abbreviation"/>
      </w:pPr>
      <w:proofErr w:type="spellStart"/>
      <w:r w:rsidRPr="00E12D1F">
        <w:t>DRED</w:t>
      </w:r>
      <w:proofErr w:type="spellEnd"/>
      <w:r>
        <w:tab/>
      </w:r>
      <w:r w:rsidRPr="00E12D1F">
        <w:t>D</w:t>
      </w:r>
      <w:r>
        <w:t>emand Response Enabling Device</w:t>
      </w:r>
    </w:p>
    <w:p w:rsidR="00BE2B53" w:rsidRDefault="00BE2B53" w:rsidP="00BE2B53">
      <w:pPr>
        <w:pStyle w:val="Abbreviation"/>
      </w:pPr>
      <w:proofErr w:type="spellStart"/>
      <w:r>
        <w:t>DSP</w:t>
      </w:r>
      <w:proofErr w:type="spellEnd"/>
      <w:r>
        <w:tab/>
        <w:t>Demand side participation</w:t>
      </w:r>
    </w:p>
    <w:p w:rsidR="00BE2B53" w:rsidRDefault="00BE2B53" w:rsidP="00BE2B53">
      <w:pPr>
        <w:pStyle w:val="Abbreviation"/>
      </w:pPr>
      <w:proofErr w:type="spellStart"/>
      <w:r>
        <w:t>EBSS</w:t>
      </w:r>
      <w:proofErr w:type="spellEnd"/>
      <w:r>
        <w:tab/>
        <w:t>Efficiency Benefit Sharing Scheme</w:t>
      </w:r>
    </w:p>
    <w:p w:rsidR="00BE2B53" w:rsidRDefault="00BE2B53" w:rsidP="00BE2B53">
      <w:pPr>
        <w:pStyle w:val="Abbreviation"/>
      </w:pPr>
      <w:proofErr w:type="spellStart"/>
      <w:r>
        <w:t>ENA</w:t>
      </w:r>
      <w:proofErr w:type="spellEnd"/>
      <w:r>
        <w:tab/>
        <w:t>Energy Networks Association</w:t>
      </w:r>
    </w:p>
    <w:p w:rsidR="00BE2B53" w:rsidRDefault="00BE2B53" w:rsidP="00BE2B53">
      <w:pPr>
        <w:pStyle w:val="Abbreviation"/>
      </w:pPr>
      <w:proofErr w:type="spellStart"/>
      <w:r>
        <w:t>ERAA</w:t>
      </w:r>
      <w:proofErr w:type="spellEnd"/>
      <w:r>
        <w:tab/>
        <w:t>Energy Retailers Association of Australia</w:t>
      </w:r>
    </w:p>
    <w:p w:rsidR="00BE2B53" w:rsidRDefault="00BE2B53" w:rsidP="00BE2B53">
      <w:pPr>
        <w:pStyle w:val="Abbreviation"/>
      </w:pPr>
      <w:proofErr w:type="spellStart"/>
      <w:r>
        <w:t>esaa</w:t>
      </w:r>
      <w:proofErr w:type="spellEnd"/>
      <w:r>
        <w:tab/>
        <w:t>Energy Supply Association of Australia</w:t>
      </w:r>
    </w:p>
    <w:p w:rsidR="00BE2B53" w:rsidRDefault="00BE2B53" w:rsidP="00BE2B53">
      <w:pPr>
        <w:pStyle w:val="Abbreviation"/>
      </w:pPr>
      <w:r>
        <w:t>ESC</w:t>
      </w:r>
      <w:r>
        <w:tab/>
        <w:t>Essential Services Commission (Victoria)</w:t>
      </w:r>
    </w:p>
    <w:p w:rsidR="00BE2B53" w:rsidRDefault="00BE2B53" w:rsidP="00BE2B53">
      <w:pPr>
        <w:pStyle w:val="Abbreviation"/>
      </w:pPr>
      <w:proofErr w:type="spellStart"/>
      <w:r>
        <w:t>ESCOSA</w:t>
      </w:r>
      <w:proofErr w:type="spellEnd"/>
      <w:r>
        <w:tab/>
        <w:t xml:space="preserve">Essential Services Commission of South Australia </w:t>
      </w:r>
    </w:p>
    <w:p w:rsidR="00BE2B53" w:rsidRDefault="00BE2B53" w:rsidP="00BE2B53">
      <w:pPr>
        <w:pStyle w:val="Abbreviation"/>
      </w:pPr>
      <w:proofErr w:type="spellStart"/>
      <w:r>
        <w:t>ETC</w:t>
      </w:r>
      <w:proofErr w:type="spellEnd"/>
      <w:r>
        <w:tab/>
        <w:t>Electricity Transmission Code</w:t>
      </w:r>
    </w:p>
    <w:p w:rsidR="00BE2B53" w:rsidRDefault="00BE2B53" w:rsidP="00BE2B53">
      <w:pPr>
        <w:pStyle w:val="Abbreviation"/>
      </w:pPr>
      <w:r>
        <w:t>EU</w:t>
      </w:r>
      <w:r>
        <w:tab/>
        <w:t>European Union</w:t>
      </w:r>
    </w:p>
    <w:p w:rsidR="00BE2B53" w:rsidRDefault="00BE2B53" w:rsidP="00BE2B53">
      <w:pPr>
        <w:pStyle w:val="Abbreviation"/>
      </w:pPr>
      <w:proofErr w:type="spellStart"/>
      <w:r>
        <w:t>EUAA</w:t>
      </w:r>
      <w:proofErr w:type="spellEnd"/>
      <w:r>
        <w:tab/>
        <w:t>Energy Users Association of Australia</w:t>
      </w:r>
    </w:p>
    <w:p w:rsidR="00BE2B53" w:rsidRDefault="00BE2B53" w:rsidP="00BE2B53">
      <w:pPr>
        <w:pStyle w:val="Abbreviation"/>
      </w:pPr>
      <w:proofErr w:type="spellStart"/>
      <w:r>
        <w:t>FCAS</w:t>
      </w:r>
      <w:proofErr w:type="spellEnd"/>
      <w:r>
        <w:tab/>
        <w:t>Frequency control ancillary services</w:t>
      </w:r>
    </w:p>
    <w:p w:rsidR="00BE2B53" w:rsidRDefault="00BE2B53" w:rsidP="00BE2B53">
      <w:pPr>
        <w:pStyle w:val="Abbreviation"/>
      </w:pPr>
      <w:r>
        <w:t>GDP</w:t>
      </w:r>
      <w:r>
        <w:tab/>
        <w:t>Gross Domestic Product</w:t>
      </w:r>
    </w:p>
    <w:p w:rsidR="00BE2B53" w:rsidRDefault="00BE2B53" w:rsidP="00BE2B53">
      <w:pPr>
        <w:pStyle w:val="Abbreviation"/>
      </w:pPr>
      <w:proofErr w:type="spellStart"/>
      <w:r>
        <w:t>HV</w:t>
      </w:r>
      <w:proofErr w:type="spellEnd"/>
      <w:r>
        <w:tab/>
        <w:t>High voltage</w:t>
      </w:r>
    </w:p>
    <w:p w:rsidR="00BE2B53" w:rsidRDefault="00BE2B53" w:rsidP="00BE2B53">
      <w:pPr>
        <w:pStyle w:val="Abbreviation"/>
      </w:pPr>
      <w:proofErr w:type="spellStart"/>
      <w:r>
        <w:t>IPART</w:t>
      </w:r>
      <w:proofErr w:type="spellEnd"/>
      <w:r>
        <w:tab/>
        <w:t>Independent Pricing and Regulatory Tribunal (NSW)</w:t>
      </w:r>
    </w:p>
    <w:p w:rsidR="00BE2B53" w:rsidRDefault="00BE2B53" w:rsidP="00BE2B53">
      <w:pPr>
        <w:pStyle w:val="Abbreviation"/>
      </w:pPr>
      <w:proofErr w:type="spellStart"/>
      <w:r w:rsidRPr="00A65032">
        <w:t>IRSR</w:t>
      </w:r>
      <w:proofErr w:type="spellEnd"/>
      <w:r>
        <w:tab/>
        <w:t>I</w:t>
      </w:r>
      <w:r w:rsidRPr="00A65032">
        <w:t>nt</w:t>
      </w:r>
      <w:r>
        <w:t>er-regional settlement residue</w:t>
      </w:r>
    </w:p>
    <w:p w:rsidR="00BE2B53" w:rsidRDefault="00BE2B53" w:rsidP="00BE2B53">
      <w:pPr>
        <w:pStyle w:val="Abbreviation"/>
      </w:pPr>
      <w:r>
        <w:t>kV</w:t>
      </w:r>
      <w:r>
        <w:tab/>
        <w:t>kilovolt</w:t>
      </w:r>
    </w:p>
    <w:p w:rsidR="00BE2B53" w:rsidRDefault="00BE2B53" w:rsidP="00BE2B53">
      <w:pPr>
        <w:pStyle w:val="Abbreviation"/>
      </w:pPr>
      <w:r>
        <w:t>kVA</w:t>
      </w:r>
      <w:r>
        <w:tab/>
        <w:t>kilovolt ampere</w:t>
      </w:r>
    </w:p>
    <w:p w:rsidR="00BE2B53" w:rsidRDefault="00BE2B53" w:rsidP="00BE2B53">
      <w:pPr>
        <w:pStyle w:val="Abbreviation"/>
      </w:pPr>
      <w:r>
        <w:t>kW</w:t>
      </w:r>
      <w:r>
        <w:tab/>
      </w:r>
      <w:r w:rsidRPr="00EB2480">
        <w:t xml:space="preserve">kilowatt </w:t>
      </w:r>
    </w:p>
    <w:p w:rsidR="00BE2B53" w:rsidRDefault="00BE2B53" w:rsidP="00BE2B53">
      <w:pPr>
        <w:pStyle w:val="Abbreviation"/>
      </w:pPr>
      <w:r>
        <w:t>kWh</w:t>
      </w:r>
      <w:r>
        <w:tab/>
        <w:t>kilowatt hour</w:t>
      </w:r>
    </w:p>
    <w:p w:rsidR="006B1AA9" w:rsidRDefault="006B1AA9" w:rsidP="006B1AA9">
      <w:pPr>
        <w:pStyle w:val="Abbreviation"/>
      </w:pPr>
      <w:proofErr w:type="spellStart"/>
      <w:r w:rsidRPr="00237FC9">
        <w:t>LRIC</w:t>
      </w:r>
      <w:proofErr w:type="spellEnd"/>
      <w:r>
        <w:tab/>
        <w:t>long-run incremental cost</w:t>
      </w:r>
    </w:p>
    <w:p w:rsidR="006B1AA9" w:rsidRDefault="006B1AA9" w:rsidP="006B1AA9">
      <w:pPr>
        <w:pStyle w:val="Abbreviation"/>
      </w:pPr>
      <w:proofErr w:type="spellStart"/>
      <w:r>
        <w:t>LRMC</w:t>
      </w:r>
      <w:proofErr w:type="spellEnd"/>
      <w:r>
        <w:tab/>
        <w:t>long-run marginal cost</w:t>
      </w:r>
    </w:p>
    <w:p w:rsidR="00BE2B53" w:rsidRDefault="00BE2B53" w:rsidP="00BE2B53">
      <w:pPr>
        <w:pStyle w:val="Abbreviation"/>
      </w:pPr>
      <w:r>
        <w:t>LV</w:t>
      </w:r>
      <w:r>
        <w:tab/>
        <w:t>Low voltage</w:t>
      </w:r>
    </w:p>
    <w:p w:rsidR="00BE2B53" w:rsidRDefault="00BE2B53" w:rsidP="00BE2B53">
      <w:pPr>
        <w:pStyle w:val="Abbreviation"/>
      </w:pPr>
      <w:proofErr w:type="spellStart"/>
      <w:r>
        <w:t>LYMMCo</w:t>
      </w:r>
      <w:proofErr w:type="spellEnd"/>
      <w:r>
        <w:tab/>
        <w:t>Loy Yang Marketing Management Company</w:t>
      </w:r>
    </w:p>
    <w:p w:rsidR="00BE2B53" w:rsidRDefault="00BE2B53" w:rsidP="00BE2B53">
      <w:pPr>
        <w:pStyle w:val="Abbreviation"/>
      </w:pPr>
      <w:proofErr w:type="spellStart"/>
      <w:r w:rsidRPr="00563858">
        <w:t>MAIFI</w:t>
      </w:r>
      <w:proofErr w:type="spellEnd"/>
      <w:r>
        <w:tab/>
        <w:t>M</w:t>
      </w:r>
      <w:r w:rsidRPr="00563858">
        <w:t>omentary average interruption frequency index</w:t>
      </w:r>
    </w:p>
    <w:p w:rsidR="00BE2B53" w:rsidRDefault="00BE2B53" w:rsidP="00BE2B53">
      <w:pPr>
        <w:pStyle w:val="Abbreviation"/>
      </w:pPr>
      <w:r>
        <w:t>MAR</w:t>
      </w:r>
      <w:r>
        <w:tab/>
        <w:t>Maximum annual revenue</w:t>
      </w:r>
    </w:p>
    <w:p w:rsidR="00BE2B53" w:rsidRDefault="00BE2B53" w:rsidP="00BE2B53">
      <w:pPr>
        <w:pStyle w:val="Abbreviation"/>
      </w:pPr>
      <w:r>
        <w:lastRenderedPageBreak/>
        <w:t>MCE</w:t>
      </w:r>
      <w:r>
        <w:tab/>
        <w:t>Ministerial Council on Energy</w:t>
      </w:r>
    </w:p>
    <w:p w:rsidR="00BE2B53" w:rsidRDefault="00BE2B53" w:rsidP="00BE2B53">
      <w:pPr>
        <w:pStyle w:val="Abbreviation"/>
      </w:pPr>
      <w:proofErr w:type="spellStart"/>
      <w:r w:rsidRPr="00E12D1F">
        <w:t>MDMS</w:t>
      </w:r>
      <w:proofErr w:type="spellEnd"/>
      <w:r>
        <w:tab/>
        <w:t>meter data management system</w:t>
      </w:r>
    </w:p>
    <w:p w:rsidR="00BE2B53" w:rsidRDefault="00BE2B53" w:rsidP="00BE2B53">
      <w:pPr>
        <w:pStyle w:val="Abbreviation"/>
      </w:pPr>
      <w:r w:rsidRPr="00EC1C20">
        <w:t>MED</w:t>
      </w:r>
      <w:r>
        <w:tab/>
        <w:t>Major event days</w:t>
      </w:r>
    </w:p>
    <w:p w:rsidR="00BE2B53" w:rsidRDefault="00BE2B53" w:rsidP="00BE2B53">
      <w:pPr>
        <w:pStyle w:val="Abbreviation"/>
      </w:pPr>
      <w:proofErr w:type="spellStart"/>
      <w:r>
        <w:t>MEU</w:t>
      </w:r>
      <w:proofErr w:type="spellEnd"/>
      <w:r>
        <w:tab/>
        <w:t>Major Energy Users</w:t>
      </w:r>
    </w:p>
    <w:p w:rsidR="00BE2B53" w:rsidRDefault="00BE2B53" w:rsidP="00BE2B53">
      <w:pPr>
        <w:pStyle w:val="Abbreviation"/>
      </w:pPr>
      <w:r>
        <w:t>MFP</w:t>
      </w:r>
      <w:r>
        <w:tab/>
        <w:t>Multifactor productivity</w:t>
      </w:r>
    </w:p>
    <w:p w:rsidR="00BE2B53" w:rsidRDefault="00BE2B53" w:rsidP="00BE2B53">
      <w:pPr>
        <w:pStyle w:val="Abbreviation"/>
      </w:pPr>
      <w:proofErr w:type="spellStart"/>
      <w:r>
        <w:t>MNSP</w:t>
      </w:r>
      <w:proofErr w:type="spellEnd"/>
      <w:r>
        <w:tab/>
        <w:t>Market network service provider</w:t>
      </w:r>
    </w:p>
    <w:p w:rsidR="00BE2B53" w:rsidRDefault="00BE2B53" w:rsidP="00BE2B53">
      <w:pPr>
        <w:pStyle w:val="Abbreviation"/>
      </w:pPr>
      <w:r w:rsidRPr="00EB2480">
        <w:t>MW</w:t>
      </w:r>
      <w:r>
        <w:tab/>
        <w:t>M</w:t>
      </w:r>
      <w:r w:rsidRPr="00EB2480">
        <w:t>egawatt</w:t>
      </w:r>
    </w:p>
    <w:p w:rsidR="00BE2B53" w:rsidRDefault="00BE2B53" w:rsidP="00BE2B53">
      <w:pPr>
        <w:pStyle w:val="Abbreviation"/>
      </w:pPr>
      <w:proofErr w:type="spellStart"/>
      <w:r>
        <w:t>MVA</w:t>
      </w:r>
      <w:proofErr w:type="spellEnd"/>
      <w:r>
        <w:tab/>
        <w:t>Megavolt amperes</w:t>
      </w:r>
    </w:p>
    <w:p w:rsidR="00BE2B53" w:rsidRDefault="00BE2B53" w:rsidP="00BE2B53">
      <w:pPr>
        <w:pStyle w:val="Abbreviation"/>
      </w:pPr>
      <w:proofErr w:type="spellStart"/>
      <w:r>
        <w:t>MWh</w:t>
      </w:r>
      <w:proofErr w:type="spellEnd"/>
      <w:r>
        <w:tab/>
        <w:t>Megawatt hour</w:t>
      </w:r>
    </w:p>
    <w:p w:rsidR="00BE2B53" w:rsidRDefault="00BE2B53" w:rsidP="00BE2B53">
      <w:pPr>
        <w:pStyle w:val="Abbreviation"/>
      </w:pPr>
      <w:proofErr w:type="spellStart"/>
      <w:r>
        <w:t>NECA</w:t>
      </w:r>
      <w:proofErr w:type="spellEnd"/>
      <w:r>
        <w:tab/>
        <w:t>National Electricity Code Administrator</w:t>
      </w:r>
    </w:p>
    <w:p w:rsidR="00BE2B53" w:rsidRDefault="00BE2B53" w:rsidP="00BE2B53">
      <w:pPr>
        <w:pStyle w:val="Abbreviation"/>
      </w:pPr>
      <w:proofErr w:type="spellStart"/>
      <w:r>
        <w:t>NECF</w:t>
      </w:r>
      <w:proofErr w:type="spellEnd"/>
      <w:r>
        <w:tab/>
        <w:t>National Energy Customer Framework</w:t>
      </w:r>
    </w:p>
    <w:p w:rsidR="00BE2B53" w:rsidRDefault="00BE2B53" w:rsidP="00BE2B53">
      <w:pPr>
        <w:pStyle w:val="Abbreviation"/>
      </w:pPr>
      <w:proofErr w:type="spellStart"/>
      <w:r>
        <w:t>NEM</w:t>
      </w:r>
      <w:proofErr w:type="spellEnd"/>
      <w:r>
        <w:tab/>
        <w:t>National Electricity Market</w:t>
      </w:r>
    </w:p>
    <w:p w:rsidR="00BE2B53" w:rsidRDefault="00BE2B53" w:rsidP="00BE2B53">
      <w:pPr>
        <w:pStyle w:val="Abbreviation"/>
      </w:pPr>
      <w:proofErr w:type="spellStart"/>
      <w:r w:rsidRPr="0041498E">
        <w:t>NEMMCO</w:t>
      </w:r>
      <w:proofErr w:type="spellEnd"/>
      <w:r>
        <w:tab/>
      </w:r>
      <w:r w:rsidRPr="0041498E">
        <w:t>National Electricity Marke</w:t>
      </w:r>
      <w:r>
        <w:t>t Management Company Limited</w:t>
      </w:r>
    </w:p>
    <w:p w:rsidR="00BE2B53" w:rsidRDefault="00BE2B53" w:rsidP="00BE2B53">
      <w:pPr>
        <w:pStyle w:val="Abbreviation"/>
      </w:pPr>
      <w:r>
        <w:t>NEO</w:t>
      </w:r>
      <w:r>
        <w:tab/>
        <w:t>National Electricity Objective</w:t>
      </w:r>
    </w:p>
    <w:p w:rsidR="00BE2B53" w:rsidRDefault="00BE2B53" w:rsidP="00BE2B53">
      <w:pPr>
        <w:pStyle w:val="Abbreviation"/>
      </w:pPr>
      <w:proofErr w:type="spellStart"/>
      <w:r>
        <w:t>NEL</w:t>
      </w:r>
      <w:proofErr w:type="spellEnd"/>
      <w:r>
        <w:tab/>
      </w:r>
      <w:r w:rsidRPr="00072E97">
        <w:t>National Electricity Law</w:t>
      </w:r>
    </w:p>
    <w:p w:rsidR="00BE2B53" w:rsidRDefault="00BE2B53" w:rsidP="00BE2B53">
      <w:pPr>
        <w:pStyle w:val="Abbreviation"/>
      </w:pPr>
      <w:proofErr w:type="spellStart"/>
      <w:r>
        <w:t>NER</w:t>
      </w:r>
      <w:proofErr w:type="spellEnd"/>
      <w:r>
        <w:tab/>
      </w:r>
      <w:r w:rsidRPr="00A65032">
        <w:t>National Electricity Rules</w:t>
      </w:r>
    </w:p>
    <w:p w:rsidR="00BE2B53" w:rsidRDefault="00BE2B53" w:rsidP="00BE2B53">
      <w:pPr>
        <w:pStyle w:val="Abbreviation"/>
      </w:pPr>
      <w:proofErr w:type="spellStart"/>
      <w:r>
        <w:t>NGF</w:t>
      </w:r>
      <w:proofErr w:type="spellEnd"/>
      <w:r>
        <w:tab/>
        <w:t>National Generators Forum</w:t>
      </w:r>
    </w:p>
    <w:p w:rsidR="00BE2B53" w:rsidRDefault="00BE2B53" w:rsidP="00BE2B53">
      <w:pPr>
        <w:pStyle w:val="Abbreviation"/>
      </w:pPr>
      <w:proofErr w:type="spellStart"/>
      <w:r>
        <w:t>NGL</w:t>
      </w:r>
      <w:proofErr w:type="spellEnd"/>
      <w:r>
        <w:tab/>
        <w:t>National Gas Law</w:t>
      </w:r>
    </w:p>
    <w:p w:rsidR="00BE2B53" w:rsidRDefault="00BE2B53" w:rsidP="00BE2B53">
      <w:pPr>
        <w:pStyle w:val="Abbreviation"/>
      </w:pPr>
      <w:r w:rsidRPr="00E12D1F">
        <w:t>NMS</w:t>
      </w:r>
      <w:r>
        <w:tab/>
        <w:t>Network management systems</w:t>
      </w:r>
    </w:p>
    <w:p w:rsidR="00BE2B53" w:rsidRDefault="00BE2B53" w:rsidP="00BE2B53">
      <w:pPr>
        <w:pStyle w:val="Abbreviation"/>
      </w:pPr>
      <w:proofErr w:type="spellStart"/>
      <w:r>
        <w:t>NPV</w:t>
      </w:r>
      <w:proofErr w:type="spellEnd"/>
      <w:r>
        <w:tab/>
        <w:t>Net present value</w:t>
      </w:r>
    </w:p>
    <w:p w:rsidR="00BE2B53" w:rsidRDefault="00BE2B53" w:rsidP="00BE2B53">
      <w:pPr>
        <w:pStyle w:val="Abbreviation"/>
      </w:pPr>
      <w:proofErr w:type="spellStart"/>
      <w:r>
        <w:t>NSP</w:t>
      </w:r>
      <w:proofErr w:type="spellEnd"/>
      <w:r>
        <w:tab/>
        <w:t>Network service provider</w:t>
      </w:r>
    </w:p>
    <w:p w:rsidR="00BE2B53" w:rsidRDefault="00BE2B53" w:rsidP="00BE2B53">
      <w:pPr>
        <w:pStyle w:val="Abbreviation"/>
      </w:pPr>
      <w:proofErr w:type="spellStart"/>
      <w:r w:rsidRPr="00A65032">
        <w:t>NTNDP</w:t>
      </w:r>
      <w:proofErr w:type="spellEnd"/>
      <w:r>
        <w:tab/>
      </w:r>
      <w:r w:rsidRPr="00A65032">
        <w:t>National Transmi</w:t>
      </w:r>
      <w:r>
        <w:t>ssion Network Development Plan</w:t>
      </w:r>
    </w:p>
    <w:p w:rsidR="00BE2B53" w:rsidRDefault="00BE2B53" w:rsidP="00BE2B53">
      <w:pPr>
        <w:pStyle w:val="Abbreviation"/>
      </w:pPr>
      <w:proofErr w:type="spellStart"/>
      <w:r w:rsidRPr="00F76874">
        <w:t>NTP</w:t>
      </w:r>
      <w:proofErr w:type="spellEnd"/>
      <w:r>
        <w:tab/>
        <w:t>National Transmission Planner</w:t>
      </w:r>
    </w:p>
    <w:p w:rsidR="00BE2B53" w:rsidRDefault="00BE2B53" w:rsidP="00BE2B53">
      <w:pPr>
        <w:pStyle w:val="Abbreviation"/>
      </w:pPr>
      <w:r>
        <w:t>N-x</w:t>
      </w:r>
      <w:r>
        <w:tab/>
        <w:t>Measure of redundancy in network (with higher x being higher levels of redundancy)</w:t>
      </w:r>
    </w:p>
    <w:p w:rsidR="00BE2B53" w:rsidRDefault="00BE2B53" w:rsidP="00BE2B53">
      <w:pPr>
        <w:pStyle w:val="Abbreviation"/>
      </w:pPr>
      <w:proofErr w:type="spellStart"/>
      <w:r>
        <w:t>OFA</w:t>
      </w:r>
      <w:proofErr w:type="spellEnd"/>
      <w:r>
        <w:tab/>
        <w:t>Optional firm access</w:t>
      </w:r>
    </w:p>
    <w:p w:rsidR="00BE2B53" w:rsidRDefault="00BE2B53" w:rsidP="00BE2B53">
      <w:pPr>
        <w:pStyle w:val="Abbreviation"/>
      </w:pPr>
      <w:proofErr w:type="spellStart"/>
      <w:r>
        <w:t>Ofgem</w:t>
      </w:r>
      <w:proofErr w:type="spellEnd"/>
      <w:r>
        <w:tab/>
        <w:t>Office of Gas and Electricity Markets (UK)</w:t>
      </w:r>
    </w:p>
    <w:p w:rsidR="00BE2B53" w:rsidRDefault="00BE2B53" w:rsidP="00BE2B53">
      <w:pPr>
        <w:pStyle w:val="Abbreviation"/>
      </w:pPr>
      <w:proofErr w:type="spellStart"/>
      <w:r>
        <w:t>Ofwat</w:t>
      </w:r>
      <w:proofErr w:type="spellEnd"/>
      <w:r>
        <w:tab/>
        <w:t xml:space="preserve">Office of Water Services (UK) (On 1 April 2006, the functions of </w:t>
      </w:r>
      <w:proofErr w:type="spellStart"/>
      <w:r>
        <w:t>Ofwat</w:t>
      </w:r>
      <w:proofErr w:type="spellEnd"/>
      <w:r>
        <w:t xml:space="preserve"> were replaced by the Water Services Regulation Authority)</w:t>
      </w:r>
    </w:p>
    <w:p w:rsidR="00BE2B53" w:rsidRDefault="00BE2B53" w:rsidP="00BE2B53">
      <w:pPr>
        <w:pStyle w:val="Abbreviation"/>
      </w:pPr>
      <w:proofErr w:type="spellStart"/>
      <w:r>
        <w:t>OPEX</w:t>
      </w:r>
      <w:proofErr w:type="spellEnd"/>
      <w:r>
        <w:t xml:space="preserve"> or </w:t>
      </w:r>
      <w:proofErr w:type="spellStart"/>
      <w:r>
        <w:t>opex</w:t>
      </w:r>
      <w:proofErr w:type="spellEnd"/>
      <w:r>
        <w:tab/>
        <w:t>Operating expenditure</w:t>
      </w:r>
    </w:p>
    <w:p w:rsidR="00BE2B53" w:rsidRDefault="00BE2B53" w:rsidP="00BE2B53">
      <w:pPr>
        <w:pStyle w:val="Abbreviation"/>
      </w:pPr>
      <w:r>
        <w:lastRenderedPageBreak/>
        <w:t>PC</w:t>
      </w:r>
      <w:r>
        <w:tab/>
        <w:t>Productivity Commission</w:t>
      </w:r>
    </w:p>
    <w:p w:rsidR="00BE2B53" w:rsidRDefault="00BE2B53" w:rsidP="00BE2B53">
      <w:pPr>
        <w:pStyle w:val="Abbreviation"/>
      </w:pPr>
      <w:proofErr w:type="spellStart"/>
      <w:r>
        <w:t>PIAC</w:t>
      </w:r>
      <w:proofErr w:type="spellEnd"/>
      <w:r>
        <w:tab/>
        <w:t>Public Interest Advocacy Centre</w:t>
      </w:r>
    </w:p>
    <w:p w:rsidR="00BE2B53" w:rsidRDefault="00BE2B53" w:rsidP="00BE2B53">
      <w:pPr>
        <w:pStyle w:val="Abbreviation"/>
      </w:pPr>
      <w:proofErr w:type="spellStart"/>
      <w:r w:rsidRPr="00142D37">
        <w:t>PSCR</w:t>
      </w:r>
      <w:proofErr w:type="spellEnd"/>
      <w:r>
        <w:tab/>
      </w:r>
      <w:r w:rsidRPr="00142D37">
        <w:t>Project Spe</w:t>
      </w:r>
      <w:r>
        <w:t>cification Consultation Report</w:t>
      </w:r>
    </w:p>
    <w:p w:rsidR="00BE2B53" w:rsidRDefault="00BE2B53" w:rsidP="00BE2B53">
      <w:pPr>
        <w:pStyle w:val="Abbreviation"/>
      </w:pPr>
      <w:r>
        <w:t>PV</w:t>
      </w:r>
      <w:r>
        <w:tab/>
        <w:t>Photovoltaic</w:t>
      </w:r>
    </w:p>
    <w:p w:rsidR="00BE2B53" w:rsidRDefault="00BE2B53" w:rsidP="00BE2B53">
      <w:pPr>
        <w:pStyle w:val="Abbreviation"/>
      </w:pPr>
      <w:proofErr w:type="spellStart"/>
      <w:r>
        <w:t>QTC</w:t>
      </w:r>
      <w:proofErr w:type="spellEnd"/>
      <w:r>
        <w:tab/>
        <w:t>Queensland Treasury Corporation</w:t>
      </w:r>
    </w:p>
    <w:p w:rsidR="00BE2B53" w:rsidRDefault="00BE2B53" w:rsidP="00BE2B53">
      <w:pPr>
        <w:pStyle w:val="Abbreviation"/>
      </w:pPr>
      <w:proofErr w:type="spellStart"/>
      <w:r>
        <w:t>QUT</w:t>
      </w:r>
      <w:proofErr w:type="spellEnd"/>
      <w:r>
        <w:tab/>
        <w:t>Queensland University of Technology</w:t>
      </w:r>
    </w:p>
    <w:p w:rsidR="00BE2B53" w:rsidRDefault="00BE2B53" w:rsidP="00BE2B53">
      <w:pPr>
        <w:pStyle w:val="Abbreviation"/>
      </w:pPr>
      <w:proofErr w:type="spellStart"/>
      <w:r>
        <w:t>RAB</w:t>
      </w:r>
      <w:proofErr w:type="spellEnd"/>
      <w:r>
        <w:tab/>
        <w:t>Regulatory asset base</w:t>
      </w:r>
    </w:p>
    <w:p w:rsidR="00BE2B53" w:rsidRDefault="00BE2B53" w:rsidP="00BE2B53">
      <w:pPr>
        <w:pStyle w:val="Abbreviation"/>
      </w:pPr>
      <w:r>
        <w:t>RET</w:t>
      </w:r>
      <w:r>
        <w:tab/>
        <w:t>Renewable Energy Target scheme</w:t>
      </w:r>
    </w:p>
    <w:p w:rsidR="00BE2B53" w:rsidRDefault="00BE2B53" w:rsidP="00BE2B53">
      <w:pPr>
        <w:pStyle w:val="Abbreviation"/>
      </w:pPr>
      <w:proofErr w:type="spellStart"/>
      <w:r>
        <w:t>RIT</w:t>
      </w:r>
      <w:proofErr w:type="spellEnd"/>
      <w:r>
        <w:t>-D</w:t>
      </w:r>
      <w:r>
        <w:tab/>
      </w:r>
      <w:r w:rsidRPr="00E30A77">
        <w:t>Regulatory Investment Test</w:t>
      </w:r>
      <w:r>
        <w:t xml:space="preserve"> for Distribution</w:t>
      </w:r>
    </w:p>
    <w:p w:rsidR="00BE2B53" w:rsidRDefault="00BE2B53" w:rsidP="00BE2B53">
      <w:pPr>
        <w:pStyle w:val="Abbreviation"/>
      </w:pPr>
      <w:proofErr w:type="spellStart"/>
      <w:r>
        <w:t>RIT</w:t>
      </w:r>
      <w:proofErr w:type="spellEnd"/>
      <w:r>
        <w:t>-T</w:t>
      </w:r>
      <w:r>
        <w:tab/>
      </w:r>
      <w:r w:rsidRPr="00E30A77">
        <w:t>Regulatory Investment Test</w:t>
      </w:r>
      <w:r>
        <w:t xml:space="preserve"> for Transmission</w:t>
      </w:r>
    </w:p>
    <w:p w:rsidR="00BE2B53" w:rsidRDefault="00BE2B53" w:rsidP="00BE2B53">
      <w:pPr>
        <w:pStyle w:val="Abbreviation"/>
      </w:pPr>
      <w:proofErr w:type="spellStart"/>
      <w:r w:rsidRPr="00563858">
        <w:t>SAIDI</w:t>
      </w:r>
      <w:proofErr w:type="spellEnd"/>
      <w:r>
        <w:tab/>
        <w:t>S</w:t>
      </w:r>
      <w:r w:rsidRPr="00563858">
        <w:t>ystem averag</w:t>
      </w:r>
      <w:r>
        <w:t>e interruption duration index</w:t>
      </w:r>
    </w:p>
    <w:p w:rsidR="00BE2B53" w:rsidRDefault="00BE2B53" w:rsidP="00BE2B53">
      <w:pPr>
        <w:pStyle w:val="Abbreviation"/>
      </w:pPr>
      <w:proofErr w:type="spellStart"/>
      <w:r>
        <w:t>SAIFI</w:t>
      </w:r>
      <w:proofErr w:type="spellEnd"/>
      <w:r>
        <w:tab/>
        <w:t>System average interruption frequency index</w:t>
      </w:r>
    </w:p>
    <w:p w:rsidR="00BE2B53" w:rsidRDefault="00BE2B53" w:rsidP="00BE2B53">
      <w:pPr>
        <w:pStyle w:val="Abbreviation"/>
      </w:pPr>
      <w:proofErr w:type="spellStart"/>
      <w:r>
        <w:t>SCER</w:t>
      </w:r>
      <w:proofErr w:type="spellEnd"/>
      <w:r>
        <w:tab/>
      </w:r>
      <w:r w:rsidRPr="00072E97">
        <w:t>Standing Council on Energy and Resources</w:t>
      </w:r>
    </w:p>
    <w:p w:rsidR="00BE2B53" w:rsidRDefault="00BE2B53" w:rsidP="00BE2B53">
      <w:pPr>
        <w:pStyle w:val="Abbreviation"/>
      </w:pPr>
      <w:proofErr w:type="spellStart"/>
      <w:r>
        <w:t>STPIS</w:t>
      </w:r>
      <w:proofErr w:type="spellEnd"/>
      <w:r>
        <w:tab/>
      </w:r>
      <w:r w:rsidRPr="00903D9D">
        <w:t>Service Target Performance Incentive Scheme</w:t>
      </w:r>
    </w:p>
    <w:p w:rsidR="00BE2B53" w:rsidRDefault="00BE2B53" w:rsidP="00BE2B53">
      <w:pPr>
        <w:pStyle w:val="Abbreviation"/>
      </w:pPr>
      <w:proofErr w:type="spellStart"/>
      <w:r>
        <w:t>SOC</w:t>
      </w:r>
      <w:proofErr w:type="spellEnd"/>
      <w:r>
        <w:tab/>
      </w:r>
      <w:r w:rsidRPr="00E30A77">
        <w:t>State-owned corporation</w:t>
      </w:r>
    </w:p>
    <w:p w:rsidR="00BE2B53" w:rsidRDefault="00BE2B53" w:rsidP="00BE2B53">
      <w:pPr>
        <w:pStyle w:val="Abbreviation"/>
      </w:pPr>
      <w:r>
        <w:t>TEC</w:t>
      </w:r>
      <w:r>
        <w:tab/>
        <w:t>Total Environment Centre</w:t>
      </w:r>
    </w:p>
    <w:p w:rsidR="00BE2B53" w:rsidRDefault="00BE2B53" w:rsidP="00BE2B53">
      <w:pPr>
        <w:pStyle w:val="Abbreviation"/>
      </w:pPr>
      <w:proofErr w:type="spellStart"/>
      <w:r>
        <w:t>TNSP</w:t>
      </w:r>
      <w:proofErr w:type="spellEnd"/>
      <w:r>
        <w:tab/>
        <w:t>Transmission network service provider</w:t>
      </w:r>
    </w:p>
    <w:p w:rsidR="00BE2B53" w:rsidRDefault="00BE2B53" w:rsidP="00BE2B53">
      <w:pPr>
        <w:pStyle w:val="Abbreviation"/>
      </w:pPr>
      <w:proofErr w:type="spellStart"/>
      <w:r>
        <w:t>TOU</w:t>
      </w:r>
      <w:proofErr w:type="spellEnd"/>
      <w:r>
        <w:tab/>
        <w:t>T</w:t>
      </w:r>
      <w:r w:rsidRPr="00E30A77">
        <w:t>ime of use</w:t>
      </w:r>
      <w:r>
        <w:t xml:space="preserve"> (electricity tariffs)</w:t>
      </w:r>
    </w:p>
    <w:p w:rsidR="00BE2B53" w:rsidRDefault="00BE2B53" w:rsidP="00BE2B53">
      <w:pPr>
        <w:pStyle w:val="Abbreviation"/>
      </w:pPr>
      <w:proofErr w:type="spellStart"/>
      <w:r>
        <w:t>VCEC</w:t>
      </w:r>
      <w:proofErr w:type="spellEnd"/>
      <w:r>
        <w:tab/>
        <w:t>Victorian Competition and Efficiency Commission</w:t>
      </w:r>
    </w:p>
    <w:p w:rsidR="00BE2B53" w:rsidRDefault="00BE2B53" w:rsidP="00BE2B53">
      <w:pPr>
        <w:pStyle w:val="Abbreviation"/>
      </w:pPr>
      <w:r w:rsidRPr="00E757FB">
        <w:t>VCR</w:t>
      </w:r>
      <w:r>
        <w:tab/>
        <w:t>Value of Customer Reliability</w:t>
      </w:r>
    </w:p>
    <w:p w:rsidR="00BE2B53" w:rsidRDefault="00BE2B53" w:rsidP="00BE2B53">
      <w:pPr>
        <w:pStyle w:val="Abbreviation"/>
      </w:pPr>
      <w:proofErr w:type="spellStart"/>
      <w:r>
        <w:t>WACC</w:t>
      </w:r>
      <w:proofErr w:type="spellEnd"/>
      <w:r>
        <w:tab/>
        <w:t>Weighted average cost of capital</w:t>
      </w:r>
    </w:p>
    <w:p w:rsidR="00BE2B53" w:rsidRDefault="00BE2B53" w:rsidP="00BE2B53">
      <w:pPr>
        <w:pStyle w:val="Abbreviation"/>
      </w:pPr>
      <w:proofErr w:type="spellStart"/>
      <w:r w:rsidRPr="003857AE">
        <w:t>WAPC</w:t>
      </w:r>
      <w:proofErr w:type="spellEnd"/>
      <w:r>
        <w:tab/>
        <w:t>Weighted average price cap</w:t>
      </w:r>
    </w:p>
    <w:p w:rsidR="00BE2B53" w:rsidRDefault="00BE2B53">
      <w:pPr>
        <w:rPr>
          <w:rFonts w:ascii="Arial" w:hAnsi="Arial"/>
          <w:b/>
          <w:kern w:val="28"/>
          <w:sz w:val="32"/>
        </w:rPr>
      </w:pPr>
      <w:r>
        <w:br w:type="page"/>
      </w:r>
    </w:p>
    <w:p w:rsidR="00735FEA" w:rsidRDefault="00735FEA" w:rsidP="00F7477E">
      <w:pPr>
        <w:pStyle w:val="Heading2NotTOC"/>
      </w:pPr>
      <w:r>
        <w:lastRenderedPageBreak/>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735FEA">
        <w:tc>
          <w:tcPr>
            <w:tcW w:w="2155" w:type="dxa"/>
          </w:tcPr>
          <w:p w:rsidR="00735FEA" w:rsidRDefault="00735FEA">
            <w:pPr>
              <w:pStyle w:val="BodyText"/>
              <w:spacing w:before="120"/>
              <w:ind w:right="6"/>
            </w:pPr>
            <w:r>
              <w:t>Billion</w:t>
            </w:r>
          </w:p>
        </w:tc>
        <w:tc>
          <w:tcPr>
            <w:tcW w:w="6634" w:type="dxa"/>
          </w:tcPr>
          <w:p w:rsidR="00735FEA" w:rsidRDefault="00735FEA">
            <w:pPr>
              <w:pStyle w:val="BodyText"/>
              <w:spacing w:before="120"/>
              <w:ind w:left="227" w:right="6"/>
            </w:pPr>
            <w:r>
              <w:t>The convention used for a billion is a thousand million (10</w:t>
            </w:r>
            <w:r>
              <w:rPr>
                <w:position w:val="6"/>
                <w:sz w:val="22"/>
              </w:rPr>
              <w:t>9</w:t>
            </w:r>
            <w:r>
              <w:t>).</w:t>
            </w:r>
          </w:p>
        </w:tc>
      </w:tr>
      <w:tr w:rsidR="00735FEA">
        <w:tc>
          <w:tcPr>
            <w:tcW w:w="2155" w:type="dxa"/>
          </w:tcPr>
          <w:p w:rsidR="00735FEA" w:rsidRDefault="00735FEA">
            <w:pPr>
              <w:pStyle w:val="BodyText"/>
              <w:spacing w:before="120"/>
              <w:ind w:right="6"/>
            </w:pPr>
            <w:r>
              <w:t>Findings</w:t>
            </w:r>
          </w:p>
        </w:tc>
        <w:tc>
          <w:tcPr>
            <w:tcW w:w="6634" w:type="dxa"/>
          </w:tcPr>
          <w:p w:rsidR="00735FEA" w:rsidRDefault="00735FEA">
            <w:pPr>
              <w:pStyle w:val="BodyText"/>
              <w:spacing w:before="120"/>
              <w:ind w:left="227" w:right="6"/>
              <w:rPr>
                <w:i/>
              </w:rPr>
            </w:pPr>
            <w:r>
              <w:rPr>
                <w:i/>
              </w:rPr>
              <w:t>Findings in the body of the report are paragraphs high</w:t>
            </w:r>
            <w:r>
              <w:rPr>
                <w:i/>
              </w:rPr>
              <w:softHyphen/>
              <w:t>lighted using italics, as this is.</w:t>
            </w:r>
          </w:p>
        </w:tc>
      </w:tr>
      <w:tr w:rsidR="00735FEA" w:rsidTr="00CE5D96">
        <w:tc>
          <w:tcPr>
            <w:tcW w:w="2155" w:type="dxa"/>
          </w:tcPr>
          <w:p w:rsidR="00735FEA" w:rsidRDefault="00735FEA">
            <w:pPr>
              <w:pStyle w:val="BodyText"/>
              <w:spacing w:before="120"/>
              <w:ind w:right="6"/>
            </w:pPr>
            <w:r>
              <w:t>Recommendations</w:t>
            </w:r>
          </w:p>
        </w:tc>
        <w:tc>
          <w:tcPr>
            <w:tcW w:w="6634" w:type="dxa"/>
          </w:tcPr>
          <w:p w:rsidR="00735FEA" w:rsidRDefault="00735FEA" w:rsidP="00CE5D96">
            <w:pPr>
              <w:pStyle w:val="BodyText"/>
              <w:spacing w:before="120"/>
              <w:ind w:left="227" w:right="255"/>
              <w:rPr>
                <w:b/>
                <w:i/>
              </w:rPr>
            </w:pPr>
            <w:r>
              <w:rPr>
                <w:b/>
                <w:i/>
              </w:rPr>
              <w:t>Recommendations in the body of the report are high</w:t>
            </w:r>
            <w:r>
              <w:rPr>
                <w:b/>
                <w:i/>
              </w:rPr>
              <w:softHyphen/>
              <w:t>lighted using bold italics, as this is.</w:t>
            </w:r>
          </w:p>
        </w:tc>
      </w:tr>
    </w:tbl>
    <w:p w:rsidR="009D6D9C" w:rsidRPr="005F45B7" w:rsidRDefault="009D6D9C" w:rsidP="005F45B7">
      <w:pPr>
        <w:pStyle w:val="BodyText"/>
        <w:rPr>
          <w:rStyle w:val="CommentReference"/>
          <w:b w:val="0"/>
          <w:vanish w:val="0"/>
          <w:color w:val="auto"/>
          <w:sz w:val="26"/>
        </w:rPr>
      </w:pPr>
    </w:p>
    <w:sectPr w:rsidR="009D6D9C" w:rsidRPr="005F45B7" w:rsidSect="00C55A45">
      <w:headerReference w:type="even" r:id="rId26"/>
      <w:headerReference w:type="default" r:id="rId27"/>
      <w:footerReference w:type="even" r:id="rId28"/>
      <w:footerReference w:type="default" r:id="rId29"/>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E8A" w:rsidRDefault="00807E8A">
      <w:r>
        <w:separator/>
      </w:r>
    </w:p>
    <w:p w:rsidR="00807E8A" w:rsidRDefault="00807E8A"/>
    <w:p w:rsidR="00807E8A" w:rsidRDefault="00807E8A"/>
  </w:endnote>
  <w:endnote w:type="continuationSeparator" w:id="0">
    <w:p w:rsidR="00807E8A" w:rsidRDefault="00807E8A">
      <w:r>
        <w:continuationSeparator/>
      </w:r>
    </w:p>
    <w:p w:rsidR="00807E8A" w:rsidRDefault="00807E8A"/>
    <w:p w:rsidR="00807E8A" w:rsidRDefault="00807E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07E8A">
      <w:trPr>
        <w:trHeight w:hRule="exact" w:val="740"/>
      </w:trPr>
      <w:tc>
        <w:tcPr>
          <w:tcW w:w="510" w:type="dxa"/>
          <w:tcBorders>
            <w:top w:val="single" w:sz="6" w:space="0" w:color="auto"/>
          </w:tcBorders>
        </w:tcPr>
        <w:p w:rsidR="00807E8A" w:rsidRPr="008206EE" w:rsidRDefault="00807E8A">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F7481F">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807E8A" w:rsidRPr="00603344" w:rsidRDefault="00F7481F" w:rsidP="00875DC0">
          <w:pPr>
            <w:pStyle w:val="Footer"/>
          </w:pPr>
          <w:r>
            <w:fldChar w:fldCharType="begin"/>
          </w:r>
          <w:r>
            <w:instrText xml:space="preserve"> STYLEREF "Heading 1" \* MERGEFORMAT </w:instrText>
          </w:r>
          <w:r>
            <w:fldChar w:fldCharType="separate"/>
          </w:r>
          <w:r w:rsidRPr="00F7481F">
            <w:rPr>
              <w:bCs/>
              <w:noProof/>
              <w:lang w:val="en-US"/>
            </w:rPr>
            <w:t>Terms of reference</w:t>
          </w:r>
          <w:r>
            <w:rPr>
              <w:bCs/>
              <w:noProof/>
              <w:lang w:val="en-US"/>
            </w:rPr>
            <w:fldChar w:fldCharType="end"/>
          </w:r>
        </w:p>
      </w:tc>
      <w:tc>
        <w:tcPr>
          <w:tcW w:w="6634" w:type="dxa"/>
        </w:tcPr>
        <w:p w:rsidR="00807E8A" w:rsidRPr="00603344" w:rsidRDefault="00807E8A">
          <w:pPr>
            <w:pStyle w:val="Footer"/>
            <w:rPr>
              <w:caps w:val="0"/>
            </w:rPr>
          </w:pPr>
        </w:p>
      </w:tc>
    </w:tr>
  </w:tbl>
  <w:p w:rsidR="00807E8A" w:rsidRDefault="00807E8A">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807E8A">
      <w:trPr>
        <w:trHeight w:hRule="exact" w:val="740"/>
      </w:trPr>
      <w:tc>
        <w:tcPr>
          <w:tcW w:w="6663" w:type="dxa"/>
        </w:tcPr>
        <w:p w:rsidR="00807E8A" w:rsidRDefault="00807E8A">
          <w:pPr>
            <w:pStyle w:val="Footer"/>
          </w:pPr>
        </w:p>
      </w:tc>
      <w:tc>
        <w:tcPr>
          <w:tcW w:w="1615" w:type="dxa"/>
          <w:tcBorders>
            <w:top w:val="single" w:sz="6" w:space="0" w:color="auto"/>
          </w:tcBorders>
        </w:tcPr>
        <w:p w:rsidR="00807E8A" w:rsidRDefault="00F7481F">
          <w:pPr>
            <w:pStyle w:val="Footer"/>
            <w:rPr>
              <w:rStyle w:val="PageNumber"/>
              <w:b w:val="0"/>
            </w:rPr>
          </w:pPr>
          <w:r>
            <w:fldChar w:fldCharType="begin"/>
          </w:r>
          <w:r>
            <w:instrText xml:space="preserve"> STYLEREF "Heading 1" \* MERGEFORMAT </w:instrText>
          </w:r>
          <w:r>
            <w:fldChar w:fldCharType="separate"/>
          </w:r>
          <w:r>
            <w:rPr>
              <w:noProof/>
            </w:rPr>
            <w:t>Abbreviations and explanations</w:t>
          </w:r>
          <w:r>
            <w:rPr>
              <w:noProof/>
            </w:rPr>
            <w:fldChar w:fldCharType="end"/>
          </w:r>
        </w:p>
      </w:tc>
      <w:tc>
        <w:tcPr>
          <w:tcW w:w="510" w:type="dxa"/>
          <w:tcBorders>
            <w:top w:val="single" w:sz="6" w:space="0" w:color="auto"/>
          </w:tcBorders>
        </w:tcPr>
        <w:p w:rsidR="00807E8A" w:rsidRPr="00E15FDC" w:rsidRDefault="00807E8A">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F7481F">
            <w:rPr>
              <w:rStyle w:val="PageNumber"/>
              <w:caps w:val="0"/>
              <w:noProof/>
            </w:rPr>
            <w:t>xxi</w:t>
          </w:r>
          <w:r w:rsidRPr="00E15FDC">
            <w:rPr>
              <w:rStyle w:val="PageNumber"/>
              <w:caps w:val="0"/>
              <w:noProof/>
            </w:rPr>
            <w:fldChar w:fldCharType="end"/>
          </w:r>
        </w:p>
      </w:tc>
    </w:tr>
  </w:tbl>
  <w:p w:rsidR="00807E8A" w:rsidRDefault="00807E8A"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07E8A" w:rsidTr="00875DC0">
      <w:trPr>
        <w:trHeight w:hRule="exact" w:val="740"/>
      </w:trPr>
      <w:tc>
        <w:tcPr>
          <w:tcW w:w="6634" w:type="dxa"/>
        </w:tcPr>
        <w:p w:rsidR="00807E8A" w:rsidRPr="00B3203C" w:rsidRDefault="00807E8A">
          <w:pPr>
            <w:pStyle w:val="Footer"/>
          </w:pPr>
        </w:p>
      </w:tc>
      <w:tc>
        <w:tcPr>
          <w:tcW w:w="1644" w:type="dxa"/>
          <w:tcBorders>
            <w:top w:val="single" w:sz="6" w:space="0" w:color="auto"/>
          </w:tcBorders>
        </w:tcPr>
        <w:p w:rsidR="00807E8A" w:rsidRPr="00B3203C" w:rsidRDefault="00807E8A" w:rsidP="00875DC0">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F7481F" w:rsidRPr="00F7481F">
            <w:rPr>
              <w:bCs/>
              <w:noProof/>
              <w:lang w:val="en-US"/>
            </w:rPr>
            <w:t>Terms of reference</w:t>
          </w:r>
          <w:r w:rsidRPr="00B3203C">
            <w:rPr>
              <w:noProof/>
            </w:rPr>
            <w:fldChar w:fldCharType="end"/>
          </w:r>
        </w:p>
      </w:tc>
      <w:tc>
        <w:tcPr>
          <w:tcW w:w="510" w:type="dxa"/>
          <w:tcBorders>
            <w:top w:val="single" w:sz="6" w:space="0" w:color="auto"/>
          </w:tcBorders>
        </w:tcPr>
        <w:p w:rsidR="00807E8A" w:rsidRPr="00C55A45" w:rsidRDefault="00807E8A">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F7481F">
            <w:rPr>
              <w:rStyle w:val="PageNumber"/>
              <w:caps w:val="0"/>
              <w:noProof/>
            </w:rPr>
            <w:t>v</w:t>
          </w:r>
          <w:r w:rsidRPr="00C55A45">
            <w:rPr>
              <w:rStyle w:val="PageNumber"/>
              <w:caps w:val="0"/>
              <w:noProof/>
            </w:rPr>
            <w:fldChar w:fldCharType="end"/>
          </w:r>
        </w:p>
      </w:tc>
    </w:tr>
  </w:tbl>
  <w:p w:rsidR="00807E8A" w:rsidRDefault="00807E8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07E8A">
      <w:trPr>
        <w:trHeight w:hRule="exact" w:val="740"/>
      </w:trPr>
      <w:tc>
        <w:tcPr>
          <w:tcW w:w="510" w:type="dxa"/>
          <w:tcBorders>
            <w:top w:val="single" w:sz="6" w:space="0" w:color="auto"/>
          </w:tcBorders>
        </w:tcPr>
        <w:p w:rsidR="00807E8A" w:rsidRDefault="00807E8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viii</w:t>
          </w:r>
          <w:r>
            <w:rPr>
              <w:rStyle w:val="PageNumber"/>
            </w:rPr>
            <w:fldChar w:fldCharType="end"/>
          </w:r>
        </w:p>
      </w:tc>
      <w:tc>
        <w:tcPr>
          <w:tcW w:w="1644" w:type="dxa"/>
          <w:tcBorders>
            <w:top w:val="single" w:sz="6" w:space="0" w:color="auto"/>
          </w:tcBorders>
        </w:tcPr>
        <w:p w:rsidR="00807E8A" w:rsidRPr="00467FD2" w:rsidRDefault="00F7481F">
          <w:pPr>
            <w:pStyle w:val="Footer"/>
          </w:pPr>
          <w:r>
            <w:fldChar w:fldCharType="begin"/>
          </w:r>
          <w:r>
            <w:instrText xml:space="preserve"> STYLEREF "Heading 2 Not TOC" \* MERGEFORMAT </w:instrText>
          </w:r>
          <w:r>
            <w:fldChar w:fldCharType="separate"/>
          </w:r>
          <w:r w:rsidR="00807E8A" w:rsidRPr="00807E8A">
            <w:rPr>
              <w:bCs/>
              <w:noProof/>
              <w:lang w:val="en-US"/>
            </w:rPr>
            <w:t>Abbreviations</w:t>
          </w:r>
          <w:r>
            <w:rPr>
              <w:bCs/>
              <w:noProof/>
              <w:lang w:val="en-US"/>
            </w:rPr>
            <w:fldChar w:fldCharType="end"/>
          </w:r>
        </w:p>
      </w:tc>
      <w:tc>
        <w:tcPr>
          <w:tcW w:w="6634" w:type="dxa"/>
        </w:tcPr>
        <w:p w:rsidR="00807E8A" w:rsidRDefault="00807E8A">
          <w:pPr>
            <w:pStyle w:val="Footer"/>
          </w:pPr>
        </w:p>
      </w:tc>
    </w:tr>
  </w:tbl>
  <w:p w:rsidR="00807E8A" w:rsidRDefault="00807E8A">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807E8A">
      <w:trPr>
        <w:trHeight w:hRule="exact" w:val="740"/>
      </w:trPr>
      <w:tc>
        <w:tcPr>
          <w:tcW w:w="6480" w:type="dxa"/>
        </w:tcPr>
        <w:p w:rsidR="00807E8A" w:rsidRDefault="00807E8A">
          <w:pPr>
            <w:pStyle w:val="Footer"/>
          </w:pPr>
        </w:p>
      </w:tc>
      <w:tc>
        <w:tcPr>
          <w:tcW w:w="1798" w:type="dxa"/>
          <w:tcBorders>
            <w:top w:val="single" w:sz="6" w:space="0" w:color="auto"/>
          </w:tcBorders>
        </w:tcPr>
        <w:p w:rsidR="00807E8A" w:rsidRDefault="00807E8A">
          <w:pPr>
            <w:pStyle w:val="Footer"/>
            <w:rPr>
              <w:rStyle w:val="PageNumber"/>
              <w:b w:val="0"/>
            </w:rPr>
          </w:pPr>
          <w:r>
            <w:t>Disclosure of interests</w:t>
          </w:r>
        </w:p>
      </w:tc>
      <w:tc>
        <w:tcPr>
          <w:tcW w:w="510" w:type="dxa"/>
          <w:tcBorders>
            <w:top w:val="single" w:sz="6" w:space="0" w:color="auto"/>
          </w:tcBorders>
        </w:tcPr>
        <w:p w:rsidR="00807E8A" w:rsidRPr="00C85ACC" w:rsidRDefault="00807E8A" w:rsidP="00875DC0">
          <w:pPr>
            <w:pStyle w:val="PartTitle"/>
            <w:spacing w:before="80" w:after="0" w:line="200" w:lineRule="exact"/>
            <w:ind w:right="6"/>
            <w:rPr>
              <w:rStyle w:val="PageNumber"/>
              <w:smallCaps w:val="0"/>
            </w:rPr>
          </w:pPr>
          <w:r w:rsidRPr="00C85ACC">
            <w:rPr>
              <w:rStyle w:val="PageNumber"/>
              <w:smallCaps w:val="0"/>
            </w:rPr>
            <w:fldChar w:fldCharType="begin"/>
          </w:r>
          <w:r w:rsidRPr="00C85ACC">
            <w:rPr>
              <w:rStyle w:val="PageNumber"/>
              <w:smallCaps w:val="0"/>
            </w:rPr>
            <w:instrText xml:space="preserve">PAGE  </w:instrText>
          </w:r>
          <w:r w:rsidRPr="00C85ACC">
            <w:rPr>
              <w:rStyle w:val="PageNumber"/>
              <w:smallCaps w:val="0"/>
            </w:rPr>
            <w:fldChar w:fldCharType="separate"/>
          </w:r>
          <w:r w:rsidR="00F7481F">
            <w:rPr>
              <w:rStyle w:val="PageNumber"/>
              <w:smallCaps w:val="0"/>
              <w:noProof/>
            </w:rPr>
            <w:t>vii</w:t>
          </w:r>
          <w:r w:rsidRPr="00C85ACC">
            <w:rPr>
              <w:rStyle w:val="PageNumber"/>
              <w:smallCaps w:val="0"/>
            </w:rPr>
            <w:fldChar w:fldCharType="end"/>
          </w:r>
        </w:p>
      </w:tc>
    </w:tr>
  </w:tbl>
  <w:p w:rsidR="00807E8A" w:rsidRDefault="00807E8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07E8A">
      <w:trPr>
        <w:trHeight w:hRule="exact" w:val="740"/>
      </w:trPr>
      <w:tc>
        <w:tcPr>
          <w:tcW w:w="510" w:type="dxa"/>
          <w:tcBorders>
            <w:top w:val="single" w:sz="6" w:space="0" w:color="auto"/>
          </w:tcBorders>
        </w:tcPr>
        <w:p w:rsidR="00807E8A" w:rsidRPr="008206EE" w:rsidRDefault="00807E8A">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F7481F">
            <w:rPr>
              <w:rStyle w:val="PageNumber"/>
              <w:caps w:val="0"/>
              <w:noProof/>
            </w:rPr>
            <w:t>xiv</w:t>
          </w:r>
          <w:r w:rsidRPr="008206EE">
            <w:rPr>
              <w:rStyle w:val="PageNumber"/>
              <w:caps w:val="0"/>
              <w:noProof/>
            </w:rPr>
            <w:fldChar w:fldCharType="end"/>
          </w:r>
        </w:p>
      </w:tc>
      <w:tc>
        <w:tcPr>
          <w:tcW w:w="1644" w:type="dxa"/>
          <w:tcBorders>
            <w:top w:val="single" w:sz="6" w:space="0" w:color="auto"/>
          </w:tcBorders>
        </w:tcPr>
        <w:p w:rsidR="00807E8A" w:rsidRDefault="00F7481F">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807E8A" w:rsidRDefault="00807E8A">
          <w:pPr>
            <w:pStyle w:val="Footer"/>
            <w:rPr>
              <w:caps w:val="0"/>
            </w:rPr>
          </w:pPr>
        </w:p>
      </w:tc>
    </w:tr>
  </w:tbl>
  <w:p w:rsidR="00807E8A" w:rsidRDefault="00807E8A">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07E8A" w:rsidTr="008F7DB7">
      <w:trPr>
        <w:trHeight w:hRule="exact" w:val="740"/>
      </w:trPr>
      <w:tc>
        <w:tcPr>
          <w:tcW w:w="6634" w:type="dxa"/>
        </w:tcPr>
        <w:p w:rsidR="00807E8A" w:rsidRDefault="00807E8A">
          <w:pPr>
            <w:pStyle w:val="Footer"/>
          </w:pPr>
        </w:p>
      </w:tc>
      <w:tc>
        <w:tcPr>
          <w:tcW w:w="1644" w:type="dxa"/>
          <w:tcBorders>
            <w:top w:val="single" w:sz="6" w:space="0" w:color="auto"/>
          </w:tcBorders>
        </w:tcPr>
        <w:p w:rsidR="00807E8A" w:rsidRPr="008F7DB7" w:rsidRDefault="00807E8A">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F7481F">
            <w:rPr>
              <w:noProof/>
            </w:rPr>
            <w:t>Contents</w:t>
          </w:r>
          <w:r w:rsidRPr="008F7DB7">
            <w:rPr>
              <w:noProof/>
            </w:rPr>
            <w:fldChar w:fldCharType="end"/>
          </w:r>
        </w:p>
      </w:tc>
      <w:tc>
        <w:tcPr>
          <w:tcW w:w="510" w:type="dxa"/>
          <w:tcBorders>
            <w:top w:val="single" w:sz="6" w:space="0" w:color="auto"/>
          </w:tcBorders>
        </w:tcPr>
        <w:p w:rsidR="00807E8A" w:rsidRPr="00C55A45" w:rsidRDefault="00807E8A">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F7481F">
            <w:rPr>
              <w:rStyle w:val="PageNumber"/>
              <w:caps w:val="0"/>
              <w:noProof/>
            </w:rPr>
            <w:t>xv</w:t>
          </w:r>
          <w:r w:rsidRPr="00C55A45">
            <w:rPr>
              <w:rStyle w:val="PageNumber"/>
              <w:caps w:val="0"/>
              <w:noProof/>
            </w:rPr>
            <w:fldChar w:fldCharType="end"/>
          </w:r>
        </w:p>
      </w:tc>
    </w:tr>
  </w:tbl>
  <w:p w:rsidR="00807E8A" w:rsidRDefault="00807E8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807E8A">
      <w:trPr>
        <w:trHeight w:hRule="exact" w:val="740"/>
      </w:trPr>
      <w:tc>
        <w:tcPr>
          <w:tcW w:w="510" w:type="dxa"/>
          <w:tcBorders>
            <w:top w:val="single" w:sz="4" w:space="0" w:color="auto"/>
          </w:tcBorders>
        </w:tcPr>
        <w:p w:rsidR="00807E8A" w:rsidRDefault="00807E8A">
          <w:pPr>
            <w:pStyle w:val="Footer"/>
            <w:tabs>
              <w:tab w:val="left" w:pos="0"/>
            </w:tabs>
            <w:ind w:right="0"/>
            <w:rPr>
              <w:rStyle w:val="PageNumber"/>
            </w:rPr>
          </w:pPr>
          <w:r>
            <w:rPr>
              <w:rStyle w:val="PageNumber"/>
              <w:caps w:val="0"/>
            </w:rPr>
            <w:t>xvi</w:t>
          </w:r>
        </w:p>
      </w:tc>
      <w:tc>
        <w:tcPr>
          <w:tcW w:w="1830" w:type="dxa"/>
          <w:tcBorders>
            <w:top w:val="single" w:sz="6" w:space="0" w:color="auto"/>
          </w:tcBorders>
        </w:tcPr>
        <w:p w:rsidR="00807E8A" w:rsidRDefault="00F7481F">
          <w:pPr>
            <w:pStyle w:val="Footer"/>
          </w:pPr>
          <w:r>
            <w:fldChar w:fldCharType="begin"/>
          </w:r>
          <w:r>
            <w:instrText xml:space="preserve"> STYLEREF "Heading 1" \* MERGEFORMAT </w:instrText>
          </w:r>
          <w:r>
            <w:fldChar w:fldCharType="separate"/>
          </w:r>
          <w:r>
            <w:rPr>
              <w:noProof/>
            </w:rPr>
            <w:t>Acknowledgments</w:t>
          </w:r>
          <w:r>
            <w:rPr>
              <w:noProof/>
            </w:rPr>
            <w:fldChar w:fldCharType="end"/>
          </w:r>
        </w:p>
      </w:tc>
      <w:tc>
        <w:tcPr>
          <w:tcW w:w="6448" w:type="dxa"/>
        </w:tcPr>
        <w:p w:rsidR="00807E8A" w:rsidRDefault="00807E8A">
          <w:pPr>
            <w:pStyle w:val="Footer"/>
          </w:pPr>
        </w:p>
      </w:tc>
    </w:tr>
  </w:tbl>
  <w:p w:rsidR="00807E8A" w:rsidRDefault="00807E8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807E8A">
      <w:trPr>
        <w:trHeight w:hRule="exact" w:val="740"/>
      </w:trPr>
      <w:tc>
        <w:tcPr>
          <w:tcW w:w="6480" w:type="dxa"/>
        </w:tcPr>
        <w:p w:rsidR="00807E8A" w:rsidRDefault="00807E8A">
          <w:pPr>
            <w:pStyle w:val="Footer"/>
          </w:pPr>
        </w:p>
      </w:tc>
      <w:tc>
        <w:tcPr>
          <w:tcW w:w="1798" w:type="dxa"/>
          <w:tcBorders>
            <w:top w:val="single" w:sz="6" w:space="0" w:color="auto"/>
          </w:tcBorders>
        </w:tcPr>
        <w:p w:rsidR="00807E8A" w:rsidRDefault="00F7481F">
          <w:pPr>
            <w:pStyle w:val="Footer"/>
            <w:rPr>
              <w:rStyle w:val="PageNumber"/>
              <w:b w:val="0"/>
            </w:rPr>
          </w:pPr>
          <w:r>
            <w:fldChar w:fldCharType="begin"/>
          </w:r>
          <w:r>
            <w:instrText xml:space="preserve"> STYLEREF "Heading 1" \* MERGEFORMAT </w:instrText>
          </w:r>
          <w:r>
            <w:fldChar w:fldCharType="separate"/>
          </w:r>
          <w:r w:rsidR="00807E8A">
            <w:rPr>
              <w:noProof/>
            </w:rPr>
            <w:t>Disclosure of interests</w:t>
          </w:r>
          <w:r>
            <w:rPr>
              <w:noProof/>
            </w:rPr>
            <w:fldChar w:fldCharType="end"/>
          </w:r>
        </w:p>
      </w:tc>
      <w:tc>
        <w:tcPr>
          <w:tcW w:w="510" w:type="dxa"/>
          <w:tcBorders>
            <w:top w:val="single" w:sz="6" w:space="0" w:color="auto"/>
          </w:tcBorders>
        </w:tcPr>
        <w:p w:rsidR="00807E8A" w:rsidRPr="00A10FFE" w:rsidRDefault="00807E8A" w:rsidP="00875DC0">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Pr>
              <w:rStyle w:val="PageNumber"/>
              <w:smallCaps w:val="0"/>
              <w:noProof/>
            </w:rPr>
            <w:t>xv</w:t>
          </w:r>
          <w:r w:rsidRPr="00A10FFE">
            <w:rPr>
              <w:rStyle w:val="PageNumber"/>
              <w:smallCaps w:val="0"/>
            </w:rPr>
            <w:fldChar w:fldCharType="end"/>
          </w:r>
        </w:p>
      </w:tc>
    </w:tr>
  </w:tbl>
  <w:p w:rsidR="00807E8A" w:rsidRDefault="00807E8A">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807E8A" w:rsidTr="008F7DB7">
      <w:trPr>
        <w:trHeight w:hRule="exact" w:val="740"/>
      </w:trPr>
      <w:tc>
        <w:tcPr>
          <w:tcW w:w="510" w:type="dxa"/>
          <w:tcBorders>
            <w:top w:val="single" w:sz="6" w:space="0" w:color="auto"/>
          </w:tcBorders>
        </w:tcPr>
        <w:p w:rsidR="00807E8A" w:rsidRPr="00C55A45" w:rsidRDefault="00807E8A">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F7481F">
            <w:rPr>
              <w:rStyle w:val="PageNumber"/>
              <w:caps w:val="0"/>
              <w:noProof/>
            </w:rPr>
            <w:t>xx</w:t>
          </w:r>
          <w:r w:rsidRPr="00C55A45">
            <w:rPr>
              <w:rStyle w:val="PageNumber"/>
              <w:caps w:val="0"/>
              <w:noProof/>
            </w:rPr>
            <w:fldChar w:fldCharType="end"/>
          </w:r>
        </w:p>
      </w:tc>
      <w:tc>
        <w:tcPr>
          <w:tcW w:w="1758" w:type="dxa"/>
          <w:tcBorders>
            <w:top w:val="single" w:sz="6" w:space="0" w:color="auto"/>
          </w:tcBorders>
        </w:tcPr>
        <w:p w:rsidR="00807E8A" w:rsidRDefault="00807E8A">
          <w:pPr>
            <w:pStyle w:val="Footer"/>
            <w:rPr>
              <w:noProof/>
            </w:rPr>
          </w:pPr>
          <w:r>
            <w:rPr>
              <w:noProof/>
            </w:rPr>
            <w:fldChar w:fldCharType="begin"/>
          </w:r>
          <w:r>
            <w:rPr>
              <w:noProof/>
            </w:rPr>
            <w:instrText xml:space="preserve"> STYLEREF "Heading 1" \* MERGEFORMAT </w:instrText>
          </w:r>
          <w:r>
            <w:rPr>
              <w:noProof/>
            </w:rPr>
            <w:fldChar w:fldCharType="separate"/>
          </w:r>
          <w:r w:rsidR="00F7481F">
            <w:rPr>
              <w:noProof/>
            </w:rPr>
            <w:t>Abbreviations and explanations</w:t>
          </w:r>
          <w:r>
            <w:rPr>
              <w:noProof/>
            </w:rPr>
            <w:fldChar w:fldCharType="end"/>
          </w:r>
        </w:p>
      </w:tc>
      <w:tc>
        <w:tcPr>
          <w:tcW w:w="6634" w:type="dxa"/>
        </w:tcPr>
        <w:p w:rsidR="00807E8A" w:rsidRDefault="00807E8A">
          <w:pPr>
            <w:pStyle w:val="Footer"/>
            <w:rPr>
              <w:caps w:val="0"/>
            </w:rPr>
          </w:pPr>
        </w:p>
      </w:tc>
    </w:tr>
  </w:tbl>
  <w:p w:rsidR="00807E8A" w:rsidRDefault="00807E8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E8A" w:rsidRDefault="00807E8A">
      <w:r>
        <w:separator/>
      </w:r>
    </w:p>
    <w:p w:rsidR="00807E8A" w:rsidRDefault="00807E8A"/>
    <w:p w:rsidR="00807E8A" w:rsidRDefault="00807E8A"/>
  </w:footnote>
  <w:footnote w:type="continuationSeparator" w:id="0">
    <w:p w:rsidR="00807E8A" w:rsidRDefault="00807E8A">
      <w:r>
        <w:continuationSeparator/>
      </w:r>
    </w:p>
    <w:p w:rsidR="00807E8A" w:rsidRDefault="00807E8A"/>
    <w:p w:rsidR="00807E8A" w:rsidRDefault="00807E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07E8A">
      <w:tc>
        <w:tcPr>
          <w:tcW w:w="2155" w:type="dxa"/>
          <w:tcBorders>
            <w:top w:val="single" w:sz="24" w:space="0" w:color="auto"/>
          </w:tcBorders>
        </w:tcPr>
        <w:p w:rsidR="00807E8A" w:rsidRDefault="00807E8A">
          <w:pPr>
            <w:pStyle w:val="Header"/>
          </w:pPr>
        </w:p>
      </w:tc>
      <w:tc>
        <w:tcPr>
          <w:tcW w:w="6634" w:type="dxa"/>
          <w:tcBorders>
            <w:top w:val="single" w:sz="6" w:space="0" w:color="auto"/>
          </w:tcBorders>
        </w:tcPr>
        <w:p w:rsidR="00807E8A" w:rsidRDefault="00807E8A">
          <w:pPr>
            <w:pStyle w:val="Header"/>
          </w:pPr>
        </w:p>
      </w:tc>
    </w:tr>
  </w:tbl>
  <w:p w:rsidR="00807E8A" w:rsidRDefault="00807E8A">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7E8A">
      <w:tc>
        <w:tcPr>
          <w:tcW w:w="6634" w:type="dxa"/>
          <w:tcBorders>
            <w:top w:val="single" w:sz="6" w:space="0" w:color="auto"/>
          </w:tcBorders>
        </w:tcPr>
        <w:p w:rsidR="00807E8A" w:rsidRDefault="00807E8A">
          <w:pPr>
            <w:pStyle w:val="HeaderOdd"/>
          </w:pPr>
        </w:p>
      </w:tc>
      <w:tc>
        <w:tcPr>
          <w:tcW w:w="2155" w:type="dxa"/>
          <w:tcBorders>
            <w:top w:val="single" w:sz="24" w:space="0" w:color="auto"/>
          </w:tcBorders>
        </w:tcPr>
        <w:p w:rsidR="00807E8A" w:rsidRDefault="00807E8A">
          <w:pPr>
            <w:pStyle w:val="HeaderOdd"/>
          </w:pPr>
        </w:p>
      </w:tc>
    </w:tr>
  </w:tbl>
  <w:p w:rsidR="00807E8A" w:rsidRDefault="00807E8A"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7E8A" w:rsidTr="00875DC0">
      <w:tc>
        <w:tcPr>
          <w:tcW w:w="6634" w:type="dxa"/>
          <w:tcBorders>
            <w:top w:val="single" w:sz="6" w:space="0" w:color="auto"/>
          </w:tcBorders>
        </w:tcPr>
        <w:p w:rsidR="00807E8A" w:rsidRDefault="00807E8A" w:rsidP="00875DC0">
          <w:pPr>
            <w:pStyle w:val="HeaderOdd"/>
          </w:pPr>
        </w:p>
      </w:tc>
      <w:tc>
        <w:tcPr>
          <w:tcW w:w="2155" w:type="dxa"/>
          <w:tcBorders>
            <w:top w:val="single" w:sz="24" w:space="0" w:color="auto"/>
          </w:tcBorders>
        </w:tcPr>
        <w:p w:rsidR="00807E8A" w:rsidRDefault="00807E8A" w:rsidP="00875DC0">
          <w:pPr>
            <w:pStyle w:val="HeaderOdd"/>
          </w:pPr>
        </w:p>
      </w:tc>
    </w:tr>
  </w:tbl>
  <w:p w:rsidR="00807E8A" w:rsidRPr="005C68FE" w:rsidRDefault="00807E8A" w:rsidP="00875DC0">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07E8A">
      <w:tc>
        <w:tcPr>
          <w:tcW w:w="2155" w:type="dxa"/>
          <w:tcBorders>
            <w:top w:val="single" w:sz="24" w:space="0" w:color="auto"/>
          </w:tcBorders>
        </w:tcPr>
        <w:p w:rsidR="00807E8A" w:rsidRDefault="00807E8A">
          <w:pPr>
            <w:pStyle w:val="HeaderEven"/>
          </w:pPr>
        </w:p>
      </w:tc>
      <w:tc>
        <w:tcPr>
          <w:tcW w:w="6634" w:type="dxa"/>
          <w:tcBorders>
            <w:top w:val="single" w:sz="6" w:space="0" w:color="auto"/>
          </w:tcBorders>
        </w:tcPr>
        <w:p w:rsidR="00807E8A" w:rsidRDefault="00807E8A">
          <w:pPr>
            <w:pStyle w:val="HeaderEven"/>
          </w:pPr>
        </w:p>
      </w:tc>
    </w:tr>
  </w:tbl>
  <w:p w:rsidR="00807E8A" w:rsidRDefault="00807E8A">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7E8A">
      <w:tc>
        <w:tcPr>
          <w:tcW w:w="6634" w:type="dxa"/>
          <w:tcBorders>
            <w:top w:val="single" w:sz="6" w:space="0" w:color="auto"/>
          </w:tcBorders>
        </w:tcPr>
        <w:p w:rsidR="00807E8A" w:rsidRDefault="00807E8A">
          <w:pPr>
            <w:pStyle w:val="HeaderOdd"/>
          </w:pPr>
        </w:p>
      </w:tc>
      <w:tc>
        <w:tcPr>
          <w:tcW w:w="2155" w:type="dxa"/>
          <w:tcBorders>
            <w:top w:val="single" w:sz="24" w:space="0" w:color="auto"/>
          </w:tcBorders>
        </w:tcPr>
        <w:p w:rsidR="00807E8A" w:rsidRDefault="00807E8A">
          <w:pPr>
            <w:pStyle w:val="HeaderOdd"/>
          </w:pPr>
        </w:p>
      </w:tc>
    </w:tr>
  </w:tbl>
  <w:p w:rsidR="00807E8A" w:rsidRPr="005C68FE" w:rsidRDefault="00807E8A">
    <w:pPr>
      <w:pStyle w:val="HeaderEnd"/>
    </w:pPr>
  </w:p>
  <w:p w:rsidR="00807E8A" w:rsidRDefault="00807E8A">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07E8A">
      <w:tc>
        <w:tcPr>
          <w:tcW w:w="2155" w:type="dxa"/>
          <w:tcBorders>
            <w:top w:val="single" w:sz="24" w:space="0" w:color="auto"/>
          </w:tcBorders>
        </w:tcPr>
        <w:p w:rsidR="00807E8A" w:rsidRDefault="00807E8A">
          <w:pPr>
            <w:pStyle w:val="Header"/>
          </w:pPr>
        </w:p>
      </w:tc>
      <w:tc>
        <w:tcPr>
          <w:tcW w:w="6634" w:type="dxa"/>
          <w:tcBorders>
            <w:top w:val="single" w:sz="6" w:space="0" w:color="auto"/>
          </w:tcBorders>
        </w:tcPr>
        <w:p w:rsidR="00807E8A" w:rsidRDefault="00807E8A">
          <w:pPr>
            <w:pStyle w:val="Header"/>
          </w:pPr>
        </w:p>
      </w:tc>
    </w:tr>
  </w:tbl>
  <w:p w:rsidR="00807E8A" w:rsidRDefault="00807E8A">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7E8A" w:rsidTr="005C68FE">
      <w:tc>
        <w:tcPr>
          <w:tcW w:w="6634" w:type="dxa"/>
          <w:tcBorders>
            <w:top w:val="single" w:sz="6" w:space="0" w:color="auto"/>
          </w:tcBorders>
        </w:tcPr>
        <w:p w:rsidR="00807E8A" w:rsidRDefault="00807E8A" w:rsidP="005C68FE">
          <w:pPr>
            <w:pStyle w:val="HeaderOdd"/>
          </w:pPr>
        </w:p>
      </w:tc>
      <w:tc>
        <w:tcPr>
          <w:tcW w:w="2155" w:type="dxa"/>
          <w:tcBorders>
            <w:top w:val="single" w:sz="24" w:space="0" w:color="auto"/>
          </w:tcBorders>
        </w:tcPr>
        <w:p w:rsidR="00807E8A" w:rsidRDefault="00807E8A" w:rsidP="005C68FE">
          <w:pPr>
            <w:pStyle w:val="HeaderOdd"/>
          </w:pPr>
        </w:p>
      </w:tc>
    </w:tr>
  </w:tbl>
  <w:p w:rsidR="00807E8A" w:rsidRPr="005C68FE" w:rsidRDefault="00807E8A"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07E8A">
      <w:tc>
        <w:tcPr>
          <w:tcW w:w="2155" w:type="dxa"/>
          <w:tcBorders>
            <w:top w:val="single" w:sz="24" w:space="0" w:color="auto"/>
          </w:tcBorders>
        </w:tcPr>
        <w:p w:rsidR="00807E8A" w:rsidRDefault="00807E8A">
          <w:pPr>
            <w:pStyle w:val="HeaderEven"/>
          </w:pPr>
        </w:p>
      </w:tc>
      <w:tc>
        <w:tcPr>
          <w:tcW w:w="6634" w:type="dxa"/>
          <w:tcBorders>
            <w:top w:val="single" w:sz="6" w:space="0" w:color="auto"/>
          </w:tcBorders>
        </w:tcPr>
        <w:p w:rsidR="00807E8A" w:rsidRDefault="00807E8A">
          <w:pPr>
            <w:pStyle w:val="HeaderEven"/>
          </w:pPr>
        </w:p>
      </w:tc>
    </w:tr>
  </w:tbl>
  <w:p w:rsidR="00807E8A" w:rsidRDefault="00807E8A">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7E8A">
      <w:tc>
        <w:tcPr>
          <w:tcW w:w="6634" w:type="dxa"/>
          <w:tcBorders>
            <w:top w:val="single" w:sz="6" w:space="0" w:color="auto"/>
          </w:tcBorders>
        </w:tcPr>
        <w:p w:rsidR="00807E8A" w:rsidRDefault="00807E8A">
          <w:pPr>
            <w:pStyle w:val="HeaderOdd"/>
          </w:pPr>
        </w:p>
      </w:tc>
      <w:tc>
        <w:tcPr>
          <w:tcW w:w="2155" w:type="dxa"/>
          <w:tcBorders>
            <w:top w:val="single" w:sz="24" w:space="0" w:color="auto"/>
            <w:bottom w:val="nil"/>
          </w:tcBorders>
        </w:tcPr>
        <w:p w:rsidR="00807E8A" w:rsidRDefault="00807E8A">
          <w:pPr>
            <w:pStyle w:val="HeaderOdd"/>
          </w:pPr>
        </w:p>
      </w:tc>
    </w:tr>
  </w:tbl>
  <w:p w:rsidR="00807E8A" w:rsidRDefault="00807E8A">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07E8A" w:rsidTr="005C68FE">
      <w:tc>
        <w:tcPr>
          <w:tcW w:w="2155" w:type="dxa"/>
          <w:tcBorders>
            <w:top w:val="single" w:sz="24" w:space="0" w:color="auto"/>
          </w:tcBorders>
        </w:tcPr>
        <w:p w:rsidR="00807E8A" w:rsidRDefault="00807E8A" w:rsidP="005C68FE">
          <w:pPr>
            <w:pStyle w:val="HeaderEven"/>
          </w:pPr>
        </w:p>
      </w:tc>
      <w:tc>
        <w:tcPr>
          <w:tcW w:w="6634" w:type="dxa"/>
          <w:tcBorders>
            <w:top w:val="single" w:sz="6" w:space="0" w:color="auto"/>
          </w:tcBorders>
        </w:tcPr>
        <w:p w:rsidR="00807E8A" w:rsidRDefault="00807E8A" w:rsidP="005C68FE">
          <w:pPr>
            <w:pStyle w:val="HeaderEven"/>
          </w:pPr>
        </w:p>
      </w:tc>
    </w:tr>
  </w:tbl>
  <w:p w:rsidR="00807E8A" w:rsidRDefault="00807E8A" w:rsidP="00D732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1F8"/>
    <w:rsid w:val="00017AFC"/>
    <w:rsid w:val="00025878"/>
    <w:rsid w:val="00026B38"/>
    <w:rsid w:val="00043DB3"/>
    <w:rsid w:val="000502D3"/>
    <w:rsid w:val="000623BF"/>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B41E0"/>
    <w:rsid w:val="003D624D"/>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B17AB"/>
    <w:rsid w:val="005C68FE"/>
    <w:rsid w:val="005F45B7"/>
    <w:rsid w:val="00602523"/>
    <w:rsid w:val="00604351"/>
    <w:rsid w:val="00607D8A"/>
    <w:rsid w:val="0061590F"/>
    <w:rsid w:val="00636497"/>
    <w:rsid w:val="00641AE2"/>
    <w:rsid w:val="0064456A"/>
    <w:rsid w:val="00650DDA"/>
    <w:rsid w:val="0065126A"/>
    <w:rsid w:val="006802D4"/>
    <w:rsid w:val="00683849"/>
    <w:rsid w:val="00691AB5"/>
    <w:rsid w:val="006B1AA9"/>
    <w:rsid w:val="006E1E6B"/>
    <w:rsid w:val="006F0EAC"/>
    <w:rsid w:val="006F6A85"/>
    <w:rsid w:val="0070328D"/>
    <w:rsid w:val="00731F96"/>
    <w:rsid w:val="00734127"/>
    <w:rsid w:val="00735FEA"/>
    <w:rsid w:val="00743460"/>
    <w:rsid w:val="00743A27"/>
    <w:rsid w:val="00753DC6"/>
    <w:rsid w:val="0075578C"/>
    <w:rsid w:val="00766DFB"/>
    <w:rsid w:val="007734B5"/>
    <w:rsid w:val="007809B8"/>
    <w:rsid w:val="007A0E22"/>
    <w:rsid w:val="007F1D0F"/>
    <w:rsid w:val="00806E54"/>
    <w:rsid w:val="00807E8A"/>
    <w:rsid w:val="008206EE"/>
    <w:rsid w:val="008214B1"/>
    <w:rsid w:val="00836ED7"/>
    <w:rsid w:val="008453AC"/>
    <w:rsid w:val="00860D09"/>
    <w:rsid w:val="00862044"/>
    <w:rsid w:val="00874CBA"/>
    <w:rsid w:val="00875DC0"/>
    <w:rsid w:val="008C305F"/>
    <w:rsid w:val="008C3AD2"/>
    <w:rsid w:val="008C7C3D"/>
    <w:rsid w:val="008D6F66"/>
    <w:rsid w:val="008E1BEA"/>
    <w:rsid w:val="008E43D2"/>
    <w:rsid w:val="008F04C9"/>
    <w:rsid w:val="008F7C50"/>
    <w:rsid w:val="008F7DB7"/>
    <w:rsid w:val="009064D3"/>
    <w:rsid w:val="00915300"/>
    <w:rsid w:val="00933B0C"/>
    <w:rsid w:val="00935676"/>
    <w:rsid w:val="009811F8"/>
    <w:rsid w:val="0098401D"/>
    <w:rsid w:val="009A789F"/>
    <w:rsid w:val="009B12EF"/>
    <w:rsid w:val="009B6185"/>
    <w:rsid w:val="009D6D9C"/>
    <w:rsid w:val="009E1E78"/>
    <w:rsid w:val="00A1597D"/>
    <w:rsid w:val="00A46989"/>
    <w:rsid w:val="00A61D03"/>
    <w:rsid w:val="00A71CE9"/>
    <w:rsid w:val="00A72A19"/>
    <w:rsid w:val="00A75A30"/>
    <w:rsid w:val="00A832B3"/>
    <w:rsid w:val="00A93C82"/>
    <w:rsid w:val="00AB2A48"/>
    <w:rsid w:val="00AC3236"/>
    <w:rsid w:val="00AD4874"/>
    <w:rsid w:val="00AE1F8A"/>
    <w:rsid w:val="00B036B2"/>
    <w:rsid w:val="00B04D19"/>
    <w:rsid w:val="00B153C3"/>
    <w:rsid w:val="00B22087"/>
    <w:rsid w:val="00B37AAD"/>
    <w:rsid w:val="00B722F2"/>
    <w:rsid w:val="00B95339"/>
    <w:rsid w:val="00BB334E"/>
    <w:rsid w:val="00BB5DCF"/>
    <w:rsid w:val="00BE2B53"/>
    <w:rsid w:val="00BF59EA"/>
    <w:rsid w:val="00BF79CD"/>
    <w:rsid w:val="00C0721B"/>
    <w:rsid w:val="00C31E6A"/>
    <w:rsid w:val="00C34C8C"/>
    <w:rsid w:val="00C50792"/>
    <w:rsid w:val="00C55A45"/>
    <w:rsid w:val="00C904D9"/>
    <w:rsid w:val="00C94C06"/>
    <w:rsid w:val="00CA284B"/>
    <w:rsid w:val="00CA48BF"/>
    <w:rsid w:val="00CB3ACC"/>
    <w:rsid w:val="00CB4745"/>
    <w:rsid w:val="00CD2163"/>
    <w:rsid w:val="00CD4FE7"/>
    <w:rsid w:val="00CD5E6B"/>
    <w:rsid w:val="00CE5D96"/>
    <w:rsid w:val="00CE7344"/>
    <w:rsid w:val="00CF26EE"/>
    <w:rsid w:val="00D26039"/>
    <w:rsid w:val="00D310F0"/>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B1E2D"/>
    <w:rsid w:val="00ED0F61"/>
    <w:rsid w:val="00EE73E1"/>
    <w:rsid w:val="00F12107"/>
    <w:rsid w:val="00F13165"/>
    <w:rsid w:val="00F4234E"/>
    <w:rsid w:val="00F52AFD"/>
    <w:rsid w:val="00F73E8F"/>
    <w:rsid w:val="00F7477E"/>
    <w:rsid w:val="00F7481F"/>
    <w:rsid w:val="00F85393"/>
    <w:rsid w:val="00FA4A24"/>
    <w:rsid w:val="00FC41B4"/>
    <w:rsid w:val="00FC5A6B"/>
    <w:rsid w:val="00FD4728"/>
    <w:rsid w:val="00FE0A22"/>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811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9811F8"/>
    <w:rPr>
      <w:caps/>
      <w:spacing w:val="-4"/>
      <w:sz w:val="16"/>
      <w:lang w:eastAsia="en-US"/>
    </w:rPr>
  </w:style>
  <w:style w:type="character" w:customStyle="1" w:styleId="Heading1Char">
    <w:name w:val="Heading 1 Char"/>
    <w:basedOn w:val="DefaultParagraphFont"/>
    <w:link w:val="Heading1"/>
    <w:rsid w:val="009811F8"/>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811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9811F8"/>
    <w:rPr>
      <w:caps/>
      <w:spacing w:val="-4"/>
      <w:sz w:val="16"/>
      <w:lang w:eastAsia="en-US"/>
    </w:rPr>
  </w:style>
  <w:style w:type="character" w:customStyle="1" w:styleId="Heading1Char">
    <w:name w:val="Heading 1 Char"/>
    <w:basedOn w:val="DefaultParagraphFont"/>
    <w:link w:val="Heading1"/>
    <w:rsid w:val="009811F8"/>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21</Pages>
  <Words>2901</Words>
  <Characters>17007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3</cp:revision>
  <cp:lastPrinted>2013-04-11T03:58:00Z</cp:lastPrinted>
  <dcterms:created xsi:type="dcterms:W3CDTF">2013-04-23T02:53:00Z</dcterms:created>
  <dcterms:modified xsi:type="dcterms:W3CDTF">2013-04-23T03:21:00Z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-940607431</vt:i4>
  </property>
  <property fmtid="{D5CDD505-2E9C-101B-9397-08002B2CF9AE}" pid="3" name="_NewReviewCycle">
    <vt:lpwstr/>
  </property>
  <property fmtid="{D5CDD505-2E9C-101B-9397-08002B2CF9AE}" pid="4" name="_EmailSubject">
    <vt:lpwstr>web files - Electricity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