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E21F20" w:rsidP="00E21F20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A</w:t>
      </w:r>
      <w:bookmarkEnd w:id="1"/>
      <w:r>
        <w:tab/>
      </w:r>
      <w:bookmarkStart w:id="3" w:name="ChapterTitle"/>
      <w:r>
        <w:t>Conduct of the inquiry</w:t>
      </w:r>
      <w:bookmarkEnd w:id="3"/>
    </w:p>
    <w:p w:rsidR="00E86D68" w:rsidRDefault="00A24953" w:rsidP="00A24953">
      <w:pPr>
        <w:pStyle w:val="BodyText"/>
      </w:pPr>
      <w:r>
        <w:t>The Commission received the terms of reference for this inquiry on 9</w:t>
      </w:r>
      <w:r w:rsidR="000047AF">
        <w:t> </w:t>
      </w:r>
      <w:r>
        <w:t>January</w:t>
      </w:r>
      <w:r w:rsidR="000047AF">
        <w:t> </w:t>
      </w:r>
      <w:r>
        <w:t xml:space="preserve">2012. </w:t>
      </w:r>
      <w:r w:rsidR="00091494">
        <w:t xml:space="preserve">It subsequently </w:t>
      </w:r>
      <w:r w:rsidR="00E86D68">
        <w:t>released an Issues Paper on 23</w:t>
      </w:r>
      <w:r w:rsidR="000047AF">
        <w:t> </w:t>
      </w:r>
      <w:r w:rsidR="00E86D68">
        <w:t>February</w:t>
      </w:r>
      <w:r w:rsidR="000047AF">
        <w:t> </w:t>
      </w:r>
      <w:r w:rsidR="00E86D68">
        <w:t>2012 inviting public submissio</w:t>
      </w:r>
      <w:r>
        <w:t>n</w:t>
      </w:r>
      <w:r w:rsidR="00E86D68">
        <w:t>s</w:t>
      </w:r>
      <w:r w:rsidR="00091494">
        <w:t xml:space="preserve"> and </w:t>
      </w:r>
      <w:r w:rsidR="00E86D68">
        <w:t>indicating some particular matters on which it sought information</w:t>
      </w:r>
      <w:r>
        <w:t>.</w:t>
      </w:r>
    </w:p>
    <w:p w:rsidR="00E86D68" w:rsidRDefault="00E86D68" w:rsidP="00A24953">
      <w:pPr>
        <w:pStyle w:val="BodyText"/>
      </w:pPr>
      <w:r>
        <w:t xml:space="preserve">In total, </w:t>
      </w:r>
      <w:r w:rsidR="007F78C7">
        <w:t>10</w:t>
      </w:r>
      <w:r w:rsidR="00751974">
        <w:t>9</w:t>
      </w:r>
      <w:r>
        <w:t xml:space="preserve"> public submissions were received and placed on the inquiry website. A list of </w:t>
      </w:r>
      <w:r w:rsidR="00243CEC">
        <w:t xml:space="preserve">all </w:t>
      </w:r>
      <w:r>
        <w:t>public submissions is contained in table</w:t>
      </w:r>
      <w:r w:rsidR="00243CEC">
        <w:t> </w:t>
      </w:r>
      <w:r>
        <w:t>A.1.</w:t>
      </w:r>
    </w:p>
    <w:p w:rsidR="00E86D68" w:rsidRDefault="00730CC3" w:rsidP="00A24953">
      <w:pPr>
        <w:pStyle w:val="BodyText"/>
      </w:pPr>
      <w:r>
        <w:t xml:space="preserve">During the course of the </w:t>
      </w:r>
      <w:r w:rsidR="00A84006">
        <w:t>inquiry,</w:t>
      </w:r>
      <w:r>
        <w:t xml:space="preserve"> t</w:t>
      </w:r>
      <w:r w:rsidR="00E86D68">
        <w:t xml:space="preserve">he Commission </w:t>
      </w:r>
      <w:r>
        <w:t xml:space="preserve">held informal consultations with governments, regulatory bodies, peak industry groups in the electricity sector, as well as a number of companies and individuals. </w:t>
      </w:r>
      <w:r w:rsidR="00A84006">
        <w:t xml:space="preserve">Table A.2 </w:t>
      </w:r>
      <w:r>
        <w:t>list</w:t>
      </w:r>
      <w:r w:rsidR="00243CEC">
        <w:t>s these</w:t>
      </w:r>
      <w:r>
        <w:t xml:space="preserve"> </w:t>
      </w:r>
      <w:r w:rsidR="00A84006">
        <w:t>participants</w:t>
      </w:r>
      <w:r>
        <w:t>.</w:t>
      </w:r>
    </w:p>
    <w:p w:rsidR="00A24953" w:rsidRDefault="00243CEC" w:rsidP="00A24953">
      <w:pPr>
        <w:pStyle w:val="BodyText"/>
      </w:pPr>
      <w:r>
        <w:t>The Commission released a</w:t>
      </w:r>
      <w:r w:rsidR="00E86D68">
        <w:t xml:space="preserve"> Draft Report for public comment on </w:t>
      </w:r>
      <w:r w:rsidR="00730CC3">
        <w:t>18</w:t>
      </w:r>
      <w:r w:rsidR="000047AF">
        <w:t> </w:t>
      </w:r>
      <w:r w:rsidR="00730CC3">
        <w:t>October</w:t>
      </w:r>
      <w:r w:rsidR="000047AF">
        <w:t> </w:t>
      </w:r>
      <w:r w:rsidR="00730CC3">
        <w:t xml:space="preserve">2012. </w:t>
      </w:r>
      <w:r w:rsidR="000047AF">
        <w:t>It subsequently hosted a</w:t>
      </w:r>
      <w:r w:rsidR="00730CC3">
        <w:t xml:space="preserve"> series of roundtables to discuss the report</w:t>
      </w:r>
      <w:r w:rsidR="00A84006">
        <w:t xml:space="preserve"> (table A.3).</w:t>
      </w:r>
      <w:r w:rsidR="00730CC3">
        <w:t xml:space="preserve"> </w:t>
      </w:r>
    </w:p>
    <w:p w:rsidR="00E86D68" w:rsidRDefault="00730CC3" w:rsidP="00135242">
      <w:pPr>
        <w:pStyle w:val="BodyText"/>
      </w:pPr>
      <w:r>
        <w:t xml:space="preserve">Public hearings to discuss the Draft Report were held in Melbourne, Sydney and Canberra in late November and early December. A list of </w:t>
      </w:r>
      <w:r w:rsidR="00243CEC">
        <w:t>participants at the public hearings</w:t>
      </w:r>
      <w:r>
        <w:t xml:space="preserve"> is contained in table</w:t>
      </w:r>
      <w:r w:rsidR="00243CEC">
        <w:t> </w:t>
      </w:r>
      <w:r>
        <w:t>A.</w:t>
      </w:r>
      <w:r w:rsidR="00A84006">
        <w:t>4</w:t>
      </w:r>
      <w:r>
        <w:t>.</w:t>
      </w:r>
    </w:p>
    <w:p w:rsidR="000E2493" w:rsidRDefault="00135242" w:rsidP="000E2493">
      <w:pPr>
        <w:pStyle w:val="BodyText"/>
      </w:pPr>
      <w:r>
        <w:t>The Commission would like to thank all th</w:t>
      </w:r>
      <w:r w:rsidR="008F43EB">
        <w:t>ose who contributed to the inquiry</w:t>
      </w:r>
      <w:r>
        <w:t>.</w:t>
      </w:r>
    </w:p>
    <w:p w:rsidR="008F43EB" w:rsidRDefault="008F43EB" w:rsidP="000E2493">
      <w:pPr>
        <w:pStyle w:val="BodyText"/>
      </w:pPr>
    </w:p>
    <w:p w:rsidR="008F43EB" w:rsidRDefault="008F43EB">
      <w:r>
        <w:br w:type="page"/>
      </w:r>
    </w:p>
    <w:p w:rsidR="008F43EB" w:rsidRDefault="008F43EB">
      <w:pPr>
        <w:pStyle w:val="TableTitle"/>
      </w:pPr>
      <w:r>
        <w:rPr>
          <w:b w:val="0"/>
        </w:rPr>
        <w:lastRenderedPageBreak/>
        <w:t>Table A.</w:t>
      </w:r>
      <w:r w:rsidR="00876F67">
        <w:rPr>
          <w:b w:val="0"/>
          <w:noProof/>
        </w:rPr>
        <w:t>1</w:t>
      </w:r>
      <w:r>
        <w:tab/>
      </w:r>
      <w:r w:rsidR="00222FDE">
        <w:t>Public s</w:t>
      </w:r>
      <w:r>
        <w:t>ubmissions received</w:t>
      </w:r>
      <w:r w:rsidR="00F66367" w:rsidRPr="00C836D9">
        <w:rPr>
          <w:rStyle w:val="NoteLabel"/>
        </w:rPr>
        <w:t>a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7"/>
        <w:gridCol w:w="2552"/>
      </w:tblGrid>
      <w:tr w:rsidR="008F43EB" w:rsidTr="00C836D9">
        <w:tc>
          <w:tcPr>
            <w:tcW w:w="354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F43EB" w:rsidRDefault="008F43EB" w:rsidP="008F43EB">
            <w:pPr>
              <w:pStyle w:val="TableColumnHeading"/>
              <w:jc w:val="left"/>
            </w:pPr>
            <w:r>
              <w:t>Participant</w:t>
            </w:r>
          </w:p>
        </w:tc>
        <w:tc>
          <w:tcPr>
            <w:tcW w:w="14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F43EB" w:rsidRDefault="008F43EB" w:rsidP="008F43EB">
            <w:pPr>
              <w:pStyle w:val="TableColumnHeading"/>
              <w:ind w:right="28"/>
            </w:pPr>
            <w:r>
              <w:t>Submission No</w:t>
            </w:r>
            <w:r w:rsidR="00673CF4">
              <w:t>.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UnitsRow"/>
              <w:jc w:val="left"/>
            </w:pPr>
            <w:r>
              <w:t>ActewAGL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UnitsRow"/>
              <w:ind w:right="28"/>
            </w:pPr>
            <w:r>
              <w:t>14, DR59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ACT Government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DR75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AGL Energy Limited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27, DR86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Alinta Energy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DR81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Alternative Technology Association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DR87</w:t>
            </w:r>
            <w:r w:rsidR="000843D9" w:rsidRPr="00B34F9C">
              <w:rPr>
                <w:vertAlign w:val="superscript"/>
              </w:rPr>
              <w:t>#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AMP Capital</w:t>
            </w:r>
            <w:r w:rsidR="0096787A">
              <w:t xml:space="preserve"> Investors Limited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DR55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APA Group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Ausgrid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19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Australian Academy of Technological Sciences and Engineering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9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Australian Energy Market Commission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16, DR89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Australian Energy Market Operator</w:t>
            </w:r>
          </w:p>
        </w:tc>
        <w:tc>
          <w:tcPr>
            <w:tcW w:w="1452" w:type="pct"/>
          </w:tcPr>
          <w:p w:rsidR="008F43EB" w:rsidRDefault="008F43EB" w:rsidP="00C836D9">
            <w:pPr>
              <w:pStyle w:val="TableBodyText"/>
              <w:ind w:right="0"/>
              <w:rPr>
                <w:i/>
              </w:rPr>
            </w:pPr>
            <w:r>
              <w:t>32</w:t>
            </w:r>
            <w:r w:rsidR="000843D9">
              <w:t>*</w:t>
            </w:r>
            <w:r>
              <w:t>, 42</w:t>
            </w:r>
            <w:r w:rsidR="000843D9" w:rsidRPr="00C836D9">
              <w:rPr>
                <w:vertAlign w:val="superscript"/>
              </w:rPr>
              <w:t>#</w:t>
            </w:r>
            <w:r w:rsidR="005420B8">
              <w:t>, DR100*</w:t>
            </w:r>
            <w:r w:rsidR="005420B8">
              <w:rPr>
                <w:vertAlign w:val="superscript"/>
              </w:rPr>
              <w:t xml:space="preserve"> 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Australian Energy Regulator</w:t>
            </w:r>
          </w:p>
        </w:tc>
        <w:tc>
          <w:tcPr>
            <w:tcW w:w="1452" w:type="pct"/>
          </w:tcPr>
          <w:p w:rsidR="008F43EB" w:rsidRDefault="008F43EB" w:rsidP="00C836D9">
            <w:pPr>
              <w:pStyle w:val="TableBodyText"/>
              <w:ind w:right="28"/>
              <w:rPr>
                <w:i/>
              </w:rPr>
            </w:pPr>
            <w:r>
              <w:t>13, DR92</w:t>
            </w:r>
            <w:r w:rsidR="00C836D9">
              <w:t>, DR104</w:t>
            </w:r>
            <w:r w:rsidR="005B4A82">
              <w:t>, DR109</w:t>
            </w:r>
            <w:r>
              <w:t xml:space="preserve"> 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Australian Services Union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DR57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222FDE">
            <w:pPr>
              <w:pStyle w:val="TableBodyText"/>
              <w:jc w:val="left"/>
            </w:pPr>
            <w:r>
              <w:t>Brand, Paul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DR53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Business SA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1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City of Sydney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39, DR58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Clean Energy Council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31, 38, DR97</w:t>
            </w:r>
            <w:r w:rsidR="005B4A82">
              <w:t>, DR106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Consumer Action Law Centre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5, DR79</w:t>
            </w:r>
            <w:r w:rsidR="000843D9" w:rsidRPr="00B34F9C">
              <w:rPr>
                <w:vertAlign w:val="superscript"/>
              </w:rPr>
              <w:t>#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Copper Development Centre Australia Ltd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3</w:t>
            </w:r>
          </w:p>
        </w:tc>
      </w:tr>
      <w:tr w:rsidR="008F43EB" w:rsidTr="00C836D9">
        <w:tc>
          <w:tcPr>
            <w:tcW w:w="3548" w:type="pct"/>
          </w:tcPr>
          <w:p w:rsidR="008F43EB" w:rsidRDefault="0096787A" w:rsidP="008F43EB">
            <w:pPr>
              <w:pStyle w:val="TableBodyText"/>
              <w:jc w:val="left"/>
            </w:pPr>
            <w:r>
              <w:t>Macquarie Corporate and Asset Finance Limited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DR54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Credit, Commercial and Consumer Law Program</w:t>
            </w:r>
            <w:r w:rsidR="005420B8">
              <w:t>, Queensland University of Technology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10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CS Energy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DR67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5F05AB">
            <w:pPr>
              <w:pStyle w:val="TableBodyText"/>
              <w:jc w:val="left"/>
            </w:pPr>
            <w:r>
              <w:t>Cunningham, Michael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28, DR84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Department of Primary Industries (Vic)</w:t>
            </w:r>
          </w:p>
        </w:tc>
        <w:tc>
          <w:tcPr>
            <w:tcW w:w="1452" w:type="pct"/>
          </w:tcPr>
          <w:p w:rsidR="008F43EB" w:rsidRDefault="0096787A" w:rsidP="008F43EB">
            <w:pPr>
              <w:pStyle w:val="TableBodyText"/>
              <w:ind w:right="28"/>
            </w:pPr>
            <w:r>
              <w:t xml:space="preserve">34, </w:t>
            </w:r>
            <w:r w:rsidR="008F43EB">
              <w:t>DR94</w:t>
            </w:r>
            <w:r w:rsidR="000843D9" w:rsidRPr="00B34F9C">
              <w:rPr>
                <w:vertAlign w:val="superscript"/>
              </w:rPr>
              <w:t>#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Energex Limited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20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EnergyAustralia</w:t>
            </w:r>
            <w:r w:rsidR="0096787A">
              <w:t xml:space="preserve"> (formerly TRUenergy)</w:t>
            </w:r>
          </w:p>
        </w:tc>
        <w:tc>
          <w:tcPr>
            <w:tcW w:w="1452" w:type="pct"/>
          </w:tcPr>
          <w:p w:rsidR="008F43EB" w:rsidRDefault="0096787A" w:rsidP="008F43EB">
            <w:pPr>
              <w:pStyle w:val="TableBodyText"/>
              <w:ind w:right="28"/>
            </w:pPr>
            <w:r>
              <w:t xml:space="preserve">4, </w:t>
            </w:r>
            <w:r w:rsidR="008F43EB">
              <w:t>DR82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Energy Networks Association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17, 40, 43, DR71</w:t>
            </w:r>
            <w:r w:rsidR="000843D9" w:rsidRPr="00C836D9">
              <w:rPr>
                <w:vertAlign w:val="superscript"/>
              </w:rPr>
              <w:t>#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Energy Retailers Association of Australia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DR76</w:t>
            </w:r>
            <w:r w:rsidR="000843D9" w:rsidRPr="00B34F9C">
              <w:rPr>
                <w:vertAlign w:val="superscript"/>
              </w:rPr>
              <w:t>#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Energy Supply Association of Australia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23, DR70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Energy Users Association of Australia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24, DR60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EnerNOC Pty Ltd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7, DR83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Ergon Energy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8, DR63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Essential Energy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30</w:t>
            </w:r>
          </w:p>
        </w:tc>
      </w:tr>
      <w:tr w:rsidR="00A66F82" w:rsidTr="00C836D9">
        <w:tc>
          <w:tcPr>
            <w:tcW w:w="3548" w:type="pct"/>
          </w:tcPr>
          <w:p w:rsidR="00A66F82" w:rsidRDefault="00A66F82" w:rsidP="00A66F82">
            <w:pPr>
              <w:pStyle w:val="TableBodyText"/>
              <w:jc w:val="left"/>
            </w:pPr>
            <w:r>
              <w:t>ETSA Utilities, CitiPower, and Powercor Australia</w:t>
            </w:r>
          </w:p>
        </w:tc>
        <w:tc>
          <w:tcPr>
            <w:tcW w:w="1452" w:type="pct"/>
          </w:tcPr>
          <w:p w:rsidR="00A66F82" w:rsidRDefault="00A66F82" w:rsidP="005B4A82">
            <w:pPr>
              <w:pStyle w:val="TableBodyText"/>
              <w:ind w:right="28"/>
            </w:pPr>
            <w:r>
              <w:t>6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B31464">
            <w:pPr>
              <w:pStyle w:val="TableBodyText"/>
              <w:jc w:val="left"/>
            </w:pPr>
            <w:r>
              <w:t>GDF S</w:t>
            </w:r>
            <w:r w:rsidR="00B31464">
              <w:t>UEZ</w:t>
            </w:r>
            <w:r>
              <w:t xml:space="preserve"> Energy Australia</w:t>
            </w:r>
            <w:r w:rsidR="007628A9">
              <w:t xml:space="preserve"> (formerly International Power – GDF Suez Australia</w:t>
            </w:r>
            <w:r w:rsidR="005420B8">
              <w:t>)</w:t>
            </w:r>
          </w:p>
        </w:tc>
        <w:tc>
          <w:tcPr>
            <w:tcW w:w="1452" w:type="pct"/>
          </w:tcPr>
          <w:p w:rsidR="008F43EB" w:rsidRDefault="007628A9" w:rsidP="005B4A82">
            <w:pPr>
              <w:pStyle w:val="TableBodyText"/>
              <w:ind w:right="28"/>
            </w:pPr>
            <w:r>
              <w:t>36</w:t>
            </w:r>
            <w:r w:rsidR="00751974">
              <w:t>*</w:t>
            </w:r>
            <w:r>
              <w:t xml:space="preserve">, </w:t>
            </w:r>
            <w:r w:rsidR="008F43EB">
              <w:t>DR</w:t>
            </w:r>
            <w:r w:rsidR="005B4A82">
              <w:t>68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222FDE">
            <w:pPr>
              <w:pStyle w:val="TableBodyText"/>
              <w:jc w:val="left"/>
            </w:pPr>
            <w:r>
              <w:t>Gill, Martin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DR51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Grid Australia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22, 37, 44</w:t>
            </w:r>
            <w:r w:rsidR="000843D9" w:rsidRPr="00C836D9">
              <w:rPr>
                <w:vertAlign w:val="superscript"/>
              </w:rPr>
              <w:t>#</w:t>
            </w:r>
            <w:r>
              <w:t>, DR91</w:t>
            </w:r>
            <w:r w:rsidR="005420B8">
              <w:t>, DR101</w:t>
            </w:r>
            <w:r w:rsidR="007F78C7">
              <w:t>, DR103</w:t>
            </w:r>
            <w:r w:rsidR="00FB4B4C">
              <w:t>, DR105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5F05AB">
            <w:pPr>
              <w:pStyle w:val="TableBodyText"/>
              <w:jc w:val="left"/>
            </w:pPr>
            <w:r>
              <w:t>Hughes, Alan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DR78</w:t>
            </w:r>
            <w:r w:rsidR="000843D9" w:rsidRPr="00B34F9C">
              <w:rPr>
                <w:vertAlign w:val="superscript"/>
              </w:rPr>
              <w:t>#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Hydro Tasmania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41, DR96</w:t>
            </w:r>
          </w:p>
        </w:tc>
      </w:tr>
      <w:tr w:rsidR="008F43EB" w:rsidTr="00C836D9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Jemena Limited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21, DR77</w:t>
            </w:r>
          </w:p>
        </w:tc>
      </w:tr>
      <w:tr w:rsidR="008F43EB" w:rsidTr="00CF0515">
        <w:tc>
          <w:tcPr>
            <w:tcW w:w="3548" w:type="pct"/>
          </w:tcPr>
          <w:p w:rsidR="008F43EB" w:rsidRDefault="008F43EB" w:rsidP="008F43EB">
            <w:pPr>
              <w:pStyle w:val="TableBodyText"/>
              <w:jc w:val="left"/>
            </w:pPr>
            <w:r>
              <w:t>Landis+Gyr</w:t>
            </w:r>
          </w:p>
        </w:tc>
        <w:tc>
          <w:tcPr>
            <w:tcW w:w="1452" w:type="pct"/>
          </w:tcPr>
          <w:p w:rsidR="008F43EB" w:rsidRDefault="008F43EB" w:rsidP="008F43EB">
            <w:pPr>
              <w:pStyle w:val="TableBodyText"/>
              <w:ind w:right="28"/>
            </w:pPr>
            <w:r>
              <w:t>DR95</w:t>
            </w:r>
          </w:p>
        </w:tc>
      </w:tr>
      <w:tr w:rsidR="00166D24" w:rsidTr="00CF0515">
        <w:tc>
          <w:tcPr>
            <w:tcW w:w="3548" w:type="pct"/>
            <w:tcBorders>
              <w:bottom w:val="single" w:sz="4" w:space="0" w:color="auto"/>
            </w:tcBorders>
          </w:tcPr>
          <w:p w:rsidR="00166D24" w:rsidRDefault="005B4A82" w:rsidP="00047F15">
            <w:pPr>
              <w:pStyle w:val="TableBodyText"/>
              <w:jc w:val="left"/>
            </w:pPr>
            <w:r>
              <w:t>Lively, Mark B</w:t>
            </w:r>
          </w:p>
        </w:tc>
        <w:tc>
          <w:tcPr>
            <w:tcW w:w="1452" w:type="pct"/>
            <w:tcBorders>
              <w:bottom w:val="single" w:sz="4" w:space="0" w:color="auto"/>
            </w:tcBorders>
          </w:tcPr>
          <w:p w:rsidR="00166D24" w:rsidRDefault="005B4A82" w:rsidP="00047F15">
            <w:pPr>
              <w:pStyle w:val="TableBodyText"/>
              <w:ind w:right="28"/>
            </w:pPr>
            <w:r>
              <w:t>DR108</w:t>
            </w:r>
          </w:p>
        </w:tc>
      </w:tr>
    </w:tbl>
    <w:p w:rsidR="00FE1726" w:rsidRPr="00FE1726" w:rsidRDefault="00166D24" w:rsidP="00166D24">
      <w:pPr>
        <w:pStyle w:val="TableBodyText"/>
      </w:pPr>
      <w:r>
        <w:t>(Continued next page)</w:t>
      </w:r>
    </w:p>
    <w:p w:rsidR="00C23D36" w:rsidRDefault="00C23D36">
      <w:pPr>
        <w:pStyle w:val="TableTitle"/>
      </w:pPr>
      <w:r>
        <w:rPr>
          <w:b w:val="0"/>
        </w:rPr>
        <w:lastRenderedPageBreak/>
        <w:t>Table A.</w:t>
      </w:r>
      <w:r w:rsidR="00FE1726">
        <w:rPr>
          <w:b w:val="0"/>
          <w:noProof/>
        </w:rPr>
        <w:t>1</w:t>
      </w:r>
      <w:r>
        <w:tab/>
      </w:r>
      <w:r w:rsidR="00FE1726" w:rsidRPr="00FE1726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4"/>
        <w:gridCol w:w="2125"/>
      </w:tblGrid>
      <w:tr w:rsidR="00C23D36" w:rsidTr="00CF0515">
        <w:tc>
          <w:tcPr>
            <w:tcW w:w="379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23D36" w:rsidRDefault="00C23D36" w:rsidP="00FE1726">
            <w:pPr>
              <w:pStyle w:val="TableColumnHeading"/>
              <w:jc w:val="left"/>
            </w:pPr>
            <w:r>
              <w:t>Participant</w:t>
            </w:r>
          </w:p>
        </w:tc>
        <w:tc>
          <w:tcPr>
            <w:tcW w:w="120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23D36" w:rsidRDefault="00C23D36" w:rsidP="00FE1726">
            <w:pPr>
              <w:pStyle w:val="TableColumnHeading"/>
              <w:ind w:right="28"/>
            </w:pPr>
            <w:r>
              <w:t>Submission No</w:t>
            </w:r>
            <w:r w:rsidR="00673CF4">
              <w:t>.</w:t>
            </w:r>
          </w:p>
        </w:tc>
      </w:tr>
      <w:tr w:rsidR="00CF0515" w:rsidTr="00CF0515">
        <w:tc>
          <w:tcPr>
            <w:tcW w:w="3791" w:type="pct"/>
            <w:tcBorders>
              <w:top w:val="single" w:sz="6" w:space="0" w:color="auto"/>
            </w:tcBorders>
          </w:tcPr>
          <w:p w:rsidR="00CF0515" w:rsidRDefault="00CF0515" w:rsidP="00416ACF">
            <w:pPr>
              <w:pStyle w:val="TableBodyText"/>
              <w:jc w:val="left"/>
            </w:pPr>
            <w:r>
              <w:t>Loy Yang Marketing Management Company</w:t>
            </w:r>
          </w:p>
        </w:tc>
        <w:tc>
          <w:tcPr>
            <w:tcW w:w="1209" w:type="pct"/>
            <w:tcBorders>
              <w:top w:val="single" w:sz="6" w:space="0" w:color="auto"/>
            </w:tcBorders>
          </w:tcPr>
          <w:p w:rsidR="00CF0515" w:rsidRDefault="00CF0515" w:rsidP="00416ACF">
            <w:pPr>
              <w:pStyle w:val="TableBodyText"/>
              <w:ind w:right="28"/>
            </w:pPr>
            <w:r>
              <w:t>25</w:t>
            </w:r>
          </w:p>
        </w:tc>
      </w:tr>
      <w:tr w:rsidR="00162BCB" w:rsidTr="00C23D36">
        <w:tc>
          <w:tcPr>
            <w:tcW w:w="3791" w:type="pct"/>
          </w:tcPr>
          <w:p w:rsidR="00162BCB" w:rsidRDefault="00162BCB" w:rsidP="00FE1726">
            <w:pPr>
              <w:pStyle w:val="TableBodyText"/>
              <w:spacing w:before="40"/>
              <w:jc w:val="left"/>
            </w:pPr>
            <w:r>
              <w:t>Major Energy Users</w:t>
            </w:r>
          </w:p>
        </w:tc>
        <w:tc>
          <w:tcPr>
            <w:tcW w:w="1209" w:type="pct"/>
          </w:tcPr>
          <w:p w:rsidR="00162BCB" w:rsidRDefault="00162BCB" w:rsidP="00FE1726">
            <w:pPr>
              <w:pStyle w:val="TableBodyText"/>
              <w:spacing w:before="40"/>
              <w:ind w:right="28"/>
            </w:pPr>
            <w:r>
              <w:t>11, DR66</w:t>
            </w:r>
          </w:p>
        </w:tc>
      </w:tr>
      <w:tr w:rsidR="005B4A82" w:rsidTr="00C23D36">
        <w:tc>
          <w:tcPr>
            <w:tcW w:w="3791" w:type="pct"/>
          </w:tcPr>
          <w:p w:rsidR="005B4A82" w:rsidRDefault="005B4A82" w:rsidP="00FE1726">
            <w:pPr>
              <w:pStyle w:val="TableBodyText"/>
              <w:spacing w:before="40"/>
              <w:jc w:val="left"/>
            </w:pPr>
            <w:r>
              <w:t>Master Electricians Australia</w:t>
            </w:r>
          </w:p>
        </w:tc>
        <w:tc>
          <w:tcPr>
            <w:tcW w:w="1209" w:type="pct"/>
          </w:tcPr>
          <w:p w:rsidR="005B4A82" w:rsidRDefault="005B4A82" w:rsidP="00FE1726">
            <w:pPr>
              <w:pStyle w:val="TableBodyText"/>
              <w:spacing w:before="40"/>
              <w:ind w:right="28"/>
            </w:pPr>
            <w:r>
              <w:t>DR74</w:t>
            </w:r>
          </w:p>
        </w:tc>
      </w:tr>
      <w:tr w:rsidR="005B4A82" w:rsidTr="00C23D36">
        <w:tc>
          <w:tcPr>
            <w:tcW w:w="3791" w:type="pct"/>
          </w:tcPr>
          <w:p w:rsidR="005B4A82" w:rsidRDefault="005B4A82" w:rsidP="00FE1726">
            <w:pPr>
              <w:pStyle w:val="TableBodyText"/>
              <w:jc w:val="left"/>
            </w:pPr>
            <w:r>
              <w:t>Melbourne Energy Institute</w:t>
            </w:r>
          </w:p>
        </w:tc>
        <w:tc>
          <w:tcPr>
            <w:tcW w:w="1209" w:type="pct"/>
          </w:tcPr>
          <w:p w:rsidR="005B4A82" w:rsidRDefault="005B4A82" w:rsidP="00FE1726">
            <w:pPr>
              <w:pStyle w:val="TableBodyText"/>
              <w:ind w:right="28"/>
            </w:pPr>
            <w:r>
              <w:t>DR73</w:t>
            </w:r>
          </w:p>
        </w:tc>
      </w:tr>
      <w:tr w:rsidR="005B4A82" w:rsidTr="00C23D36">
        <w:tc>
          <w:tcPr>
            <w:tcW w:w="3791" w:type="pct"/>
          </w:tcPr>
          <w:p w:rsidR="005B4A82" w:rsidRDefault="005B4A82" w:rsidP="00FE1726">
            <w:pPr>
              <w:pStyle w:val="TableBodyText"/>
              <w:jc w:val="left"/>
            </w:pPr>
            <w:r>
              <w:t>Mountain, Bruce</w:t>
            </w:r>
          </w:p>
        </w:tc>
        <w:tc>
          <w:tcPr>
            <w:tcW w:w="1209" w:type="pct"/>
          </w:tcPr>
          <w:p w:rsidR="005B4A82" w:rsidRDefault="005B4A82" w:rsidP="00FE1726">
            <w:pPr>
              <w:pStyle w:val="TableBodyText"/>
              <w:ind w:right="28"/>
            </w:pPr>
            <w:r>
              <w:t>DR49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bookmarkStart w:id="4" w:name="begin"/>
            <w:bookmarkEnd w:id="4"/>
            <w:r>
              <w:t>National Generators Forum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33, DR93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National Seniors Australia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DR62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NSW Business Chamber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DR52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NSW Distribution Network Service Providers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DR85</w:t>
            </w:r>
            <w:r w:rsidR="000843D9" w:rsidRPr="00B34F9C">
              <w:rPr>
                <w:vertAlign w:val="superscript"/>
              </w:rPr>
              <w:t>#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Northern Alliance for Greenhouse Action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DR88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Origin Energy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DR64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Pacific Economics Group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35, DR48</w:t>
            </w:r>
            <w:r w:rsidR="005B4A82">
              <w:t>, DR107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7514F">
            <w:pPr>
              <w:pStyle w:val="TableBodyText"/>
              <w:jc w:val="left"/>
            </w:pPr>
            <w:r>
              <w:t>Palmer, Graham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DR46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Public Interest Advocacy Centre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26, DR65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Queensland Treasury Corporation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12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5F05AB">
            <w:pPr>
              <w:pStyle w:val="TableBodyText"/>
              <w:jc w:val="left"/>
            </w:pPr>
            <w:r>
              <w:t>Richardson, John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DR45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A66F82">
            <w:pPr>
              <w:pStyle w:val="TableBodyText"/>
              <w:jc w:val="left"/>
            </w:pPr>
            <w:r>
              <w:t>CitiPower</w:t>
            </w:r>
            <w:r w:rsidR="00A66F82">
              <w:t xml:space="preserve">, </w:t>
            </w:r>
            <w:r>
              <w:t>Powercor Australia</w:t>
            </w:r>
            <w:r w:rsidR="00A66F82">
              <w:t xml:space="preserve"> and SA Power Networks (formerly ETSA Utilities)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DR90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Sinclair Knight Merz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DR61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C836D9">
            <w:pPr>
              <w:pStyle w:val="TableBodyText"/>
              <w:jc w:val="left"/>
              <w:rPr>
                <w:i/>
              </w:rPr>
            </w:pPr>
            <w:r>
              <w:t>SP AusNet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18, DR69</w:t>
            </w:r>
            <w:r w:rsidR="00325350">
              <w:t>, DR99</w:t>
            </w:r>
            <w:r w:rsidR="007F78C7">
              <w:t>, DR102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Sustainable Regional Australia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DR72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Total Environment Centre Inc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15, DR50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5F05AB">
            <w:pPr>
              <w:pStyle w:val="TableBodyText"/>
              <w:jc w:val="left"/>
            </w:pPr>
            <w:r>
              <w:t>Tunstall, Ian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DR56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United Energy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29</w:t>
            </w:r>
            <w:r w:rsidR="005B4A82">
              <w:t>, DR80</w:t>
            </w:r>
          </w:p>
        </w:tc>
      </w:tr>
      <w:tr w:rsidR="007628A9" w:rsidTr="00C23D36">
        <w:tc>
          <w:tcPr>
            <w:tcW w:w="3791" w:type="pct"/>
          </w:tcPr>
          <w:p w:rsidR="007628A9" w:rsidRDefault="007628A9" w:rsidP="00FE1726">
            <w:pPr>
              <w:pStyle w:val="TableBodyText"/>
              <w:jc w:val="left"/>
            </w:pPr>
            <w:r>
              <w:t>Visy</w:t>
            </w:r>
          </w:p>
        </w:tc>
        <w:tc>
          <w:tcPr>
            <w:tcW w:w="1209" w:type="pct"/>
          </w:tcPr>
          <w:p w:rsidR="007628A9" w:rsidRDefault="007628A9" w:rsidP="00FE1726">
            <w:pPr>
              <w:pStyle w:val="TableBodyText"/>
              <w:ind w:right="28"/>
            </w:pPr>
            <w:r>
              <w:t>DR98</w:t>
            </w:r>
          </w:p>
        </w:tc>
      </w:tr>
      <w:tr w:rsidR="007628A9" w:rsidTr="00C836D9">
        <w:tc>
          <w:tcPr>
            <w:tcW w:w="3791" w:type="pct"/>
            <w:tcBorders>
              <w:bottom w:val="single" w:sz="4" w:space="0" w:color="auto"/>
            </w:tcBorders>
          </w:tcPr>
          <w:p w:rsidR="007628A9" w:rsidRDefault="007628A9" w:rsidP="00FE1726">
            <w:pPr>
              <w:pStyle w:val="TableBodyText"/>
              <w:jc w:val="left"/>
            </w:pPr>
            <w:r>
              <w:t>Walker, Mark D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7628A9" w:rsidRDefault="007628A9" w:rsidP="00FE1726">
            <w:pPr>
              <w:pStyle w:val="TableBodyText"/>
              <w:ind w:right="28"/>
            </w:pPr>
            <w:r>
              <w:t>DR47</w:t>
            </w:r>
          </w:p>
        </w:tc>
      </w:tr>
    </w:tbl>
    <w:p w:rsidR="00C23D36" w:rsidRDefault="00C23D36" w:rsidP="00C23D36">
      <w:pPr>
        <w:pStyle w:val="Note"/>
      </w:pPr>
      <w:r w:rsidRPr="00C23D36">
        <w:rPr>
          <w:rStyle w:val="NoteLabel"/>
        </w:rPr>
        <w:t>a</w:t>
      </w:r>
      <w:r w:rsidR="00FE1726">
        <w:t xml:space="preserve"> A hash (#) indicates that the submission includes attachments. An asterisk (*) indicates that the submission contains confidential material NOT available to the public.</w:t>
      </w:r>
    </w:p>
    <w:p w:rsidR="008F43EB" w:rsidRDefault="008F43EB">
      <w:pPr>
        <w:rPr>
          <w:b/>
        </w:rPr>
      </w:pPr>
      <w:r>
        <w:rPr>
          <w:b/>
        </w:rPr>
        <w:br w:type="page"/>
      </w:r>
    </w:p>
    <w:p w:rsidR="008F43EB" w:rsidRDefault="008F43EB" w:rsidP="008F43EB">
      <w:pPr>
        <w:pStyle w:val="TableTitle"/>
      </w:pPr>
      <w:r>
        <w:rPr>
          <w:b w:val="0"/>
        </w:rPr>
        <w:lastRenderedPageBreak/>
        <w:t>Table A.</w:t>
      </w:r>
      <w:r w:rsidR="008E5E9B">
        <w:rPr>
          <w:b w:val="0"/>
          <w:noProof/>
        </w:rPr>
        <w:t>2</w:t>
      </w:r>
      <w:r>
        <w:tab/>
        <w:t>Meetings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8F43EB" w:rsidTr="008F43EB"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F43EB" w:rsidRDefault="008F43EB" w:rsidP="008F43EB">
            <w:pPr>
              <w:pStyle w:val="TableColumnHeading"/>
              <w:ind w:right="28"/>
              <w:jc w:val="left"/>
            </w:pPr>
            <w:r>
              <w:t>Participant</w:t>
            </w:r>
          </w:p>
        </w:tc>
      </w:tr>
      <w:tr w:rsidR="008F43EB" w:rsidTr="008F43EB">
        <w:tc>
          <w:tcPr>
            <w:tcW w:w="5000" w:type="pct"/>
            <w:tcBorders>
              <w:top w:val="single" w:sz="6" w:space="0" w:color="auto"/>
            </w:tcBorders>
          </w:tcPr>
          <w:p w:rsidR="008F43EB" w:rsidRPr="008F43EB" w:rsidRDefault="00AA1A1F" w:rsidP="00C836D9">
            <w:pPr>
              <w:pStyle w:val="TableUnitsRow"/>
              <w:spacing w:before="40" w:after="40" w:line="180" w:lineRule="atLeast"/>
              <w:ind w:right="28"/>
              <w:jc w:val="left"/>
              <w:rPr>
                <w:b/>
              </w:rPr>
            </w:pPr>
            <w:r>
              <w:rPr>
                <w:b/>
              </w:rPr>
              <w:t>Commonwealth and national</w:t>
            </w:r>
          </w:p>
        </w:tc>
      </w:tr>
      <w:tr w:rsidR="00AA1A1F" w:rsidTr="008F43EB">
        <w:tc>
          <w:tcPr>
            <w:tcW w:w="5000" w:type="pct"/>
          </w:tcPr>
          <w:p w:rsidR="00AA1A1F" w:rsidRDefault="00AA1A1F" w:rsidP="008F43EB">
            <w:pPr>
              <w:pStyle w:val="TableBodyText"/>
              <w:ind w:right="28"/>
              <w:jc w:val="left"/>
            </w:pPr>
            <w:r>
              <w:t>Australian Competition and Consumer Commission</w:t>
            </w:r>
          </w:p>
        </w:tc>
      </w:tr>
      <w:tr w:rsidR="00AA1A1F" w:rsidTr="008F43EB">
        <w:tc>
          <w:tcPr>
            <w:tcW w:w="5000" w:type="pct"/>
          </w:tcPr>
          <w:p w:rsidR="00AA1A1F" w:rsidRDefault="00AA1A1F" w:rsidP="008F43EB">
            <w:pPr>
              <w:pStyle w:val="TableBodyText"/>
              <w:ind w:right="28"/>
              <w:jc w:val="left"/>
            </w:pPr>
            <w:r>
              <w:t>Australian Energy Market Commission</w:t>
            </w:r>
          </w:p>
        </w:tc>
      </w:tr>
      <w:tr w:rsidR="00AA1A1F" w:rsidTr="008F43EB">
        <w:tc>
          <w:tcPr>
            <w:tcW w:w="5000" w:type="pct"/>
          </w:tcPr>
          <w:p w:rsidR="00AA1A1F" w:rsidRDefault="00AA1A1F" w:rsidP="008F43EB">
            <w:pPr>
              <w:pStyle w:val="TableBodyText"/>
              <w:ind w:right="28"/>
              <w:jc w:val="left"/>
            </w:pPr>
            <w:r>
              <w:t>Australian Energy Market Operator</w:t>
            </w:r>
          </w:p>
        </w:tc>
      </w:tr>
      <w:tr w:rsidR="00AA1A1F" w:rsidTr="008F43EB">
        <w:tc>
          <w:tcPr>
            <w:tcW w:w="5000" w:type="pct"/>
          </w:tcPr>
          <w:p w:rsidR="00AA1A1F" w:rsidRDefault="005853C0" w:rsidP="008F43EB">
            <w:pPr>
              <w:pStyle w:val="TableBodyText"/>
              <w:ind w:right="28"/>
              <w:jc w:val="left"/>
            </w:pPr>
            <w:r>
              <w:t>Australian Energy Regulator</w:t>
            </w:r>
          </w:p>
        </w:tc>
      </w:tr>
      <w:tr w:rsidR="004E75C7" w:rsidTr="008F43EB">
        <w:tc>
          <w:tcPr>
            <w:tcW w:w="5000" w:type="pct"/>
          </w:tcPr>
          <w:p w:rsidR="004E75C7" w:rsidRDefault="004E75C7" w:rsidP="008F43EB">
            <w:pPr>
              <w:pStyle w:val="TableBodyText"/>
              <w:ind w:right="28"/>
              <w:jc w:val="left"/>
            </w:pPr>
            <w:r>
              <w:t>Australian Power and Gas</w:t>
            </w:r>
          </w:p>
        </w:tc>
      </w:tr>
      <w:tr w:rsidR="004E75C7" w:rsidTr="008F43EB">
        <w:tc>
          <w:tcPr>
            <w:tcW w:w="5000" w:type="pct"/>
          </w:tcPr>
          <w:p w:rsidR="004E75C7" w:rsidRDefault="004E75C7" w:rsidP="008F43EB">
            <w:pPr>
              <w:pStyle w:val="TableBodyText"/>
              <w:ind w:right="28"/>
              <w:jc w:val="left"/>
            </w:pPr>
            <w:r>
              <w:t>Department of Finance and Deregulation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Department of Resources, Energy and Tourism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Energy Networks Association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Energy Retailers Association of Australia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Energy Supply Association of Australia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Energy Users Association of Australia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EnerNOC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Ergas, Henry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ERM Power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Fearon, Paul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Grattan Institute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Grid Australia</w:t>
            </w:r>
          </w:p>
        </w:tc>
      </w:tr>
      <w:tr w:rsidR="004E75C7" w:rsidTr="008F43EB">
        <w:tc>
          <w:tcPr>
            <w:tcW w:w="5000" w:type="pct"/>
          </w:tcPr>
          <w:p w:rsidR="004E75C7" w:rsidRDefault="004E75C7" w:rsidP="008F43EB">
            <w:pPr>
              <w:pStyle w:val="TableBodyText"/>
              <w:ind w:right="28"/>
              <w:jc w:val="left"/>
            </w:pPr>
            <w:r>
              <w:t>Infrastructure Australia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Infrastructure Partnerships Australia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Jemena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Landis+Gyr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Nuttall Consulting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Tamblyn, John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The Treasury</w:t>
            </w:r>
          </w:p>
        </w:tc>
      </w:tr>
      <w:tr w:rsidR="006A31AA" w:rsidRPr="006A31AA" w:rsidTr="00C836D9">
        <w:trPr>
          <w:trHeight w:val="113"/>
        </w:trPr>
        <w:tc>
          <w:tcPr>
            <w:tcW w:w="5000" w:type="pct"/>
          </w:tcPr>
          <w:p w:rsidR="006A31AA" w:rsidRPr="00C836D9" w:rsidRDefault="006A31AA" w:rsidP="00C836D9">
            <w:pPr>
              <w:pStyle w:val="TableBodyText"/>
              <w:spacing w:line="160" w:lineRule="atLeast"/>
              <w:ind w:right="28"/>
              <w:jc w:val="left"/>
              <w:rPr>
                <w:sz w:val="12"/>
              </w:rPr>
            </w:pP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 w:rsidRPr="008F43EB">
              <w:rPr>
                <w:b/>
              </w:rPr>
              <w:t>Australian Capital Territory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ActewAGL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Environment and Sustainable Development Directorate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Treasury Directorate</w:t>
            </w:r>
          </w:p>
        </w:tc>
      </w:tr>
      <w:tr w:rsidR="006A31AA" w:rsidRPr="006A31AA" w:rsidTr="008F43EB">
        <w:tc>
          <w:tcPr>
            <w:tcW w:w="5000" w:type="pct"/>
          </w:tcPr>
          <w:p w:rsidR="006A31AA" w:rsidRPr="00C836D9" w:rsidRDefault="006A31AA" w:rsidP="00C836D9">
            <w:pPr>
              <w:pStyle w:val="TableBodyText"/>
              <w:spacing w:line="160" w:lineRule="atLeast"/>
              <w:ind w:right="28"/>
              <w:jc w:val="left"/>
              <w:rPr>
                <w:sz w:val="16"/>
              </w:rPr>
            </w:pP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 w:rsidRPr="008F43EB">
              <w:rPr>
                <w:b/>
              </w:rPr>
              <w:t>New South Wales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Ausgrid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Department of Premier and Cabinet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Department of Trade and Investment, Regional Infrastructure and Services</w:t>
            </w:r>
          </w:p>
        </w:tc>
      </w:tr>
      <w:tr w:rsidR="004E75C7" w:rsidTr="008F43EB">
        <w:tc>
          <w:tcPr>
            <w:tcW w:w="5000" w:type="pct"/>
          </w:tcPr>
          <w:p w:rsidR="004E75C7" w:rsidRDefault="004E75C7" w:rsidP="008F43EB">
            <w:pPr>
              <w:pStyle w:val="TableBodyText"/>
              <w:ind w:right="28"/>
              <w:jc w:val="left"/>
            </w:pPr>
            <w:r>
              <w:t>Essential Energy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 w:rsidRPr="0015694E">
              <w:t>Institute of Sustainable Futures, University of Technology Sydney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Independent Pricing and Regulatory Tribunal</w:t>
            </w:r>
          </w:p>
        </w:tc>
      </w:tr>
      <w:tr w:rsidR="006A31AA" w:rsidTr="008F43EB">
        <w:tc>
          <w:tcPr>
            <w:tcW w:w="5000" w:type="pct"/>
          </w:tcPr>
          <w:p w:rsidR="006A31AA" w:rsidRDefault="006A31AA" w:rsidP="008F43EB">
            <w:pPr>
              <w:pStyle w:val="TableBodyText"/>
              <w:ind w:right="28"/>
              <w:jc w:val="left"/>
            </w:pPr>
            <w:r>
              <w:t>The Treasury</w:t>
            </w:r>
          </w:p>
        </w:tc>
      </w:tr>
      <w:tr w:rsidR="006A31AA" w:rsidTr="00C836D9">
        <w:tc>
          <w:tcPr>
            <w:tcW w:w="5000" w:type="pct"/>
            <w:tcBorders>
              <w:bottom w:val="single" w:sz="4" w:space="0" w:color="auto"/>
            </w:tcBorders>
          </w:tcPr>
          <w:p w:rsidR="006A31AA" w:rsidRDefault="004E75C7" w:rsidP="008F43EB">
            <w:pPr>
              <w:pStyle w:val="TableBodyText"/>
              <w:ind w:right="28"/>
              <w:jc w:val="left"/>
            </w:pPr>
            <w:r>
              <w:t>TransGrid</w:t>
            </w:r>
          </w:p>
        </w:tc>
      </w:tr>
    </w:tbl>
    <w:p w:rsidR="00166D24" w:rsidRPr="00FE1726" w:rsidRDefault="00166D24" w:rsidP="00166D24">
      <w:pPr>
        <w:pStyle w:val="TableBodyText"/>
      </w:pPr>
      <w:r>
        <w:t>(Continued next page)</w:t>
      </w:r>
    </w:p>
    <w:p w:rsidR="004E75C7" w:rsidRDefault="004E75C7">
      <w:pPr>
        <w:rPr>
          <w:rFonts w:ascii="Arial" w:hAnsi="Arial"/>
        </w:rPr>
      </w:pPr>
      <w:r>
        <w:rPr>
          <w:b/>
        </w:rPr>
        <w:br w:type="page"/>
      </w:r>
    </w:p>
    <w:p w:rsidR="00166D24" w:rsidRDefault="00166D24">
      <w:pPr>
        <w:pStyle w:val="TableTitle"/>
      </w:pPr>
      <w:r>
        <w:rPr>
          <w:b w:val="0"/>
        </w:rPr>
        <w:lastRenderedPageBreak/>
        <w:t>Table A.</w:t>
      </w:r>
      <w:r w:rsidR="00DC6B99">
        <w:rPr>
          <w:b w:val="0"/>
          <w:noProof/>
        </w:rPr>
        <w:t>2</w:t>
      </w:r>
      <w:r>
        <w:tab/>
      </w:r>
      <w:r w:rsidRPr="00166D24">
        <w:rPr>
          <w:sz w:val="20"/>
          <w:szCs w:val="20"/>
        </w:rPr>
        <w:t>(continued)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166D24" w:rsidTr="00166D24"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166D24" w:rsidRDefault="00166D24" w:rsidP="00166D24">
            <w:pPr>
              <w:pStyle w:val="TableColumnHeading"/>
              <w:ind w:right="28"/>
              <w:jc w:val="left"/>
            </w:pPr>
            <w:r>
              <w:t>Participant</w:t>
            </w:r>
          </w:p>
        </w:tc>
      </w:tr>
      <w:tr w:rsidR="00166D24" w:rsidTr="00166D24">
        <w:tc>
          <w:tcPr>
            <w:tcW w:w="5000" w:type="pct"/>
            <w:tcBorders>
              <w:top w:val="single" w:sz="6" w:space="0" w:color="auto"/>
            </w:tcBorders>
          </w:tcPr>
          <w:p w:rsidR="00166D24" w:rsidRPr="00166D24" w:rsidRDefault="004E75C7" w:rsidP="00166D24">
            <w:pPr>
              <w:pStyle w:val="TableUnitsRow"/>
              <w:ind w:right="28"/>
              <w:jc w:val="left"/>
              <w:rPr>
                <w:b/>
              </w:rPr>
            </w:pPr>
            <w:r>
              <w:rPr>
                <w:b/>
              </w:rPr>
              <w:t>Queensland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 xml:space="preserve">Department of Energy and Water Supply 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the Premier and Cabinet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Energex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Ergon Energy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Independent Review Panel on Network Costs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Powerlink Queensland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Queensland Treasury and Trade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QEnergy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</w:p>
        </w:tc>
      </w:tr>
      <w:tr w:rsidR="004E75C7" w:rsidTr="007346EA">
        <w:tc>
          <w:tcPr>
            <w:tcW w:w="5000" w:type="pct"/>
          </w:tcPr>
          <w:p w:rsidR="004E75C7" w:rsidRDefault="004E75C7" w:rsidP="007346EA">
            <w:pPr>
              <w:pStyle w:val="TableBodyText"/>
              <w:ind w:right="28"/>
              <w:jc w:val="left"/>
            </w:pPr>
            <w:r>
              <w:rPr>
                <w:b/>
              </w:rPr>
              <w:t>South Australia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Manufacturing, Innovation, Trade, Resources and Energy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Treasury and Finance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ElectraNet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Essential Services Commission of South Australia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 xml:space="preserve">SA </w:t>
            </w:r>
            <w:r w:rsidR="006D26EC">
              <w:t>Power Networks (formerly ET</w:t>
            </w:r>
            <w:r>
              <w:t>S</w:t>
            </w:r>
            <w:r w:rsidR="006D26EC">
              <w:t>A</w:t>
            </w:r>
            <w:r>
              <w:t xml:space="preserve"> Utilities)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</w:p>
        </w:tc>
      </w:tr>
      <w:tr w:rsidR="004E75C7" w:rsidTr="00166D24">
        <w:tc>
          <w:tcPr>
            <w:tcW w:w="5000" w:type="pct"/>
          </w:tcPr>
          <w:p w:rsidR="004E75C7" w:rsidRPr="008F43EB" w:rsidRDefault="004E75C7" w:rsidP="00047F15">
            <w:pPr>
              <w:pStyle w:val="TableBodyText"/>
              <w:ind w:right="28"/>
              <w:jc w:val="left"/>
              <w:rPr>
                <w:b/>
              </w:rPr>
            </w:pPr>
            <w:r w:rsidRPr="008F43EB">
              <w:rPr>
                <w:b/>
              </w:rPr>
              <w:t>Tasmania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Basslink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Infrastructure, Energy and Resources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Treasury and Finance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Hydro Tasmania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Office of the Tasmanian Economic Regulator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Transend Networks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</w:p>
        </w:tc>
      </w:tr>
      <w:tr w:rsidR="004E75C7" w:rsidTr="00166D24">
        <w:tc>
          <w:tcPr>
            <w:tcW w:w="5000" w:type="pct"/>
          </w:tcPr>
          <w:p w:rsidR="004E75C7" w:rsidRPr="008F43EB" w:rsidRDefault="004E75C7" w:rsidP="00047F15">
            <w:pPr>
              <w:pStyle w:val="TableBodyText"/>
              <w:ind w:right="28"/>
              <w:jc w:val="left"/>
              <w:rPr>
                <w:b/>
              </w:rPr>
            </w:pPr>
            <w:r w:rsidRPr="008F43EB">
              <w:rPr>
                <w:b/>
              </w:rPr>
              <w:t>Victoria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CitiPower and Powercor Australia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Premier and Cabinet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Primary Industries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Energy Safe Victoria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Essential Services Commission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SP AusNet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United Energy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Victorian Competition and Efficiency Commission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</w:p>
        </w:tc>
      </w:tr>
      <w:tr w:rsidR="004E75C7" w:rsidTr="00166D24">
        <w:tc>
          <w:tcPr>
            <w:tcW w:w="5000" w:type="pct"/>
          </w:tcPr>
          <w:p w:rsidR="004E75C7" w:rsidRPr="008F43EB" w:rsidRDefault="004E75C7" w:rsidP="00047F15">
            <w:pPr>
              <w:pStyle w:val="TableBodyText"/>
              <w:ind w:right="28"/>
              <w:jc w:val="left"/>
              <w:rPr>
                <w:b/>
              </w:rPr>
            </w:pPr>
            <w:r w:rsidRPr="008F43EB">
              <w:rPr>
                <w:b/>
              </w:rPr>
              <w:t>Western Australia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Finance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Department of Treasury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</w:p>
        </w:tc>
      </w:tr>
      <w:tr w:rsidR="004E75C7" w:rsidTr="00166D24">
        <w:tc>
          <w:tcPr>
            <w:tcW w:w="5000" w:type="pct"/>
          </w:tcPr>
          <w:p w:rsidR="004E75C7" w:rsidRPr="008F43EB" w:rsidRDefault="004E75C7" w:rsidP="00047F15">
            <w:pPr>
              <w:pStyle w:val="TableBodyText"/>
              <w:ind w:right="28"/>
              <w:jc w:val="left"/>
              <w:rPr>
                <w:b/>
              </w:rPr>
            </w:pPr>
            <w:r w:rsidRPr="008F43EB">
              <w:rPr>
                <w:b/>
              </w:rPr>
              <w:t>Overseas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Federal Energy Regulatory Commission (US)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Hogan, William</w:t>
            </w:r>
          </w:p>
        </w:tc>
      </w:tr>
      <w:tr w:rsidR="004E75C7" w:rsidTr="00166D24">
        <w:tc>
          <w:tcPr>
            <w:tcW w:w="5000" w:type="pct"/>
          </w:tcPr>
          <w:p w:rsidR="004E75C7" w:rsidRDefault="004E75C7" w:rsidP="00047F15">
            <w:pPr>
              <w:pStyle w:val="TableBodyText"/>
              <w:ind w:right="28"/>
              <w:jc w:val="left"/>
            </w:pPr>
            <w:r>
              <w:t>Littlechild, Stephen</w:t>
            </w:r>
          </w:p>
        </w:tc>
      </w:tr>
      <w:tr w:rsidR="004E75C7" w:rsidTr="00166D24">
        <w:tc>
          <w:tcPr>
            <w:tcW w:w="5000" w:type="pct"/>
            <w:tcBorders>
              <w:bottom w:val="single" w:sz="6" w:space="0" w:color="auto"/>
            </w:tcBorders>
            <w:shd w:val="clear" w:color="auto" w:fill="auto"/>
          </w:tcPr>
          <w:p w:rsidR="004E75C7" w:rsidRDefault="004E75C7" w:rsidP="00166D24">
            <w:pPr>
              <w:pStyle w:val="TableBodyText"/>
              <w:ind w:right="28"/>
              <w:jc w:val="left"/>
            </w:pPr>
            <w:r>
              <w:t>Ofgem (UK)</w:t>
            </w:r>
          </w:p>
        </w:tc>
      </w:tr>
    </w:tbl>
    <w:p w:rsidR="006505E7" w:rsidRDefault="006505E7">
      <w:pPr>
        <w:rPr>
          <w:b/>
        </w:rPr>
      </w:pPr>
      <w:r>
        <w:rPr>
          <w:b/>
        </w:rPr>
        <w:br w:type="page"/>
      </w:r>
    </w:p>
    <w:p w:rsidR="00955C9B" w:rsidRDefault="00955C9B" w:rsidP="00955C9B">
      <w:pPr>
        <w:pStyle w:val="TableTitle"/>
      </w:pPr>
      <w:r>
        <w:rPr>
          <w:b w:val="0"/>
        </w:rPr>
        <w:lastRenderedPageBreak/>
        <w:t>Table A.</w:t>
      </w:r>
      <w:r w:rsidR="00A84006">
        <w:rPr>
          <w:b w:val="0"/>
          <w:noProof/>
        </w:rPr>
        <w:t>3</w:t>
      </w:r>
      <w:r>
        <w:tab/>
        <w:t>Roundtables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955C9B" w:rsidTr="00955C9B">
        <w:tc>
          <w:tcPr>
            <w:tcW w:w="25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5C9B" w:rsidRDefault="00DC6B99" w:rsidP="00955C9B">
            <w:pPr>
              <w:pStyle w:val="TableColumnHeading"/>
              <w:jc w:val="left"/>
            </w:pPr>
            <w:r>
              <w:t>Organisation</w:t>
            </w:r>
          </w:p>
        </w:tc>
        <w:tc>
          <w:tcPr>
            <w:tcW w:w="25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55C9B" w:rsidRDefault="00DC6B99" w:rsidP="00DC6B99">
            <w:pPr>
              <w:pStyle w:val="TableColumnHeading"/>
              <w:ind w:right="28"/>
              <w:jc w:val="left"/>
            </w:pPr>
            <w:r>
              <w:t>Participant</w:t>
            </w:r>
          </w:p>
        </w:tc>
      </w:tr>
      <w:tr w:rsidR="00955C9B" w:rsidTr="00955C9B">
        <w:tc>
          <w:tcPr>
            <w:tcW w:w="2500" w:type="pct"/>
            <w:tcBorders>
              <w:top w:val="single" w:sz="6" w:space="0" w:color="auto"/>
            </w:tcBorders>
          </w:tcPr>
          <w:p w:rsidR="00955C9B" w:rsidRPr="00DC6B99" w:rsidRDefault="00DC6B99" w:rsidP="00955C9B">
            <w:pPr>
              <w:pStyle w:val="TableUnitsRow"/>
              <w:jc w:val="left"/>
              <w:rPr>
                <w:b/>
              </w:rPr>
            </w:pPr>
            <w:r w:rsidRPr="00DC6B99">
              <w:rPr>
                <w:b/>
              </w:rPr>
              <w:t>Canberra – 12 November 2012</w:t>
            </w:r>
          </w:p>
        </w:tc>
        <w:tc>
          <w:tcPr>
            <w:tcW w:w="2500" w:type="pct"/>
            <w:tcBorders>
              <w:top w:val="single" w:sz="6" w:space="0" w:color="auto"/>
            </w:tcBorders>
          </w:tcPr>
          <w:p w:rsidR="00955C9B" w:rsidRDefault="00955C9B" w:rsidP="00DC6B99">
            <w:pPr>
              <w:pStyle w:val="TableUnitsRow"/>
              <w:ind w:right="28"/>
              <w:jc w:val="left"/>
            </w:pP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Ausgrid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Neil Gordon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Australian Energy Market Commission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Rory Campbell</w:t>
            </w:r>
          </w:p>
        </w:tc>
      </w:tr>
      <w:tr w:rsidR="00955C9B" w:rsidTr="00955C9B">
        <w:tc>
          <w:tcPr>
            <w:tcW w:w="2500" w:type="pct"/>
          </w:tcPr>
          <w:p w:rsidR="00955C9B" w:rsidRDefault="00955C9B" w:rsidP="00955C9B">
            <w:pPr>
              <w:pStyle w:val="TableBodyText"/>
              <w:jc w:val="left"/>
            </w:pP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Electra Papas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Australian Energy Regulator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Chris Pattas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Choice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Katrina Lee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Energy Networks Association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Susan Streeter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Energy Retailers Association of Australia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Ramy Soussou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Energy Users Association of Australia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Bruce Mountain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EnerNOC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Paul Troughton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Landis+Gyr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Milan Vrkic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Oakley Greenwood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Lance Hoch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Department of Primary Industries</w:t>
            </w:r>
            <w:r w:rsidR="006D26EC">
              <w:t xml:space="preserve"> (Vic)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Graham Dawson</w:t>
            </w:r>
          </w:p>
        </w:tc>
      </w:tr>
      <w:tr w:rsidR="00955C9B" w:rsidTr="00955C9B">
        <w:tc>
          <w:tcPr>
            <w:tcW w:w="2500" w:type="pct"/>
          </w:tcPr>
          <w:p w:rsidR="00955C9B" w:rsidRDefault="00955C9B" w:rsidP="00955C9B">
            <w:pPr>
              <w:pStyle w:val="TableBodyText"/>
              <w:jc w:val="left"/>
            </w:pPr>
          </w:p>
        </w:tc>
        <w:tc>
          <w:tcPr>
            <w:tcW w:w="2500" w:type="pct"/>
          </w:tcPr>
          <w:p w:rsidR="00955C9B" w:rsidRDefault="00955C9B" w:rsidP="00DC6B99">
            <w:pPr>
              <w:pStyle w:val="TableBodyText"/>
              <w:ind w:right="28"/>
              <w:jc w:val="left"/>
            </w:pPr>
          </w:p>
        </w:tc>
      </w:tr>
      <w:tr w:rsidR="00955C9B" w:rsidTr="00955C9B">
        <w:tc>
          <w:tcPr>
            <w:tcW w:w="2500" w:type="pct"/>
          </w:tcPr>
          <w:p w:rsidR="00955C9B" w:rsidRPr="00DC6B99" w:rsidRDefault="00DC6B99" w:rsidP="00955C9B">
            <w:pPr>
              <w:pStyle w:val="TableBodyText"/>
              <w:jc w:val="left"/>
              <w:rPr>
                <w:b/>
              </w:rPr>
            </w:pPr>
            <w:r w:rsidRPr="00DC6B99">
              <w:rPr>
                <w:b/>
              </w:rPr>
              <w:t>Sydney – 19 November 2012</w:t>
            </w:r>
          </w:p>
        </w:tc>
        <w:tc>
          <w:tcPr>
            <w:tcW w:w="2500" w:type="pct"/>
          </w:tcPr>
          <w:p w:rsidR="00955C9B" w:rsidRDefault="00955C9B" w:rsidP="00DC6B99">
            <w:pPr>
              <w:pStyle w:val="TableBodyText"/>
              <w:ind w:right="28"/>
              <w:jc w:val="left"/>
            </w:pP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Australian Energy Market Commission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Chris Bangaro</w:t>
            </w:r>
          </w:p>
        </w:tc>
      </w:tr>
      <w:tr w:rsidR="00955C9B" w:rsidTr="00955C9B">
        <w:tc>
          <w:tcPr>
            <w:tcW w:w="2500" w:type="pct"/>
          </w:tcPr>
          <w:p w:rsidR="00955C9B" w:rsidRDefault="00955C9B" w:rsidP="00955C9B">
            <w:pPr>
              <w:pStyle w:val="TableBodyText"/>
              <w:jc w:val="left"/>
            </w:pP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Paul Smith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Australian Energy Market Operator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Louis Tirpcou</w:t>
            </w:r>
          </w:p>
        </w:tc>
      </w:tr>
      <w:tr w:rsidR="00955C9B" w:rsidTr="00955C9B">
        <w:tc>
          <w:tcPr>
            <w:tcW w:w="2500" w:type="pct"/>
          </w:tcPr>
          <w:p w:rsidR="00955C9B" w:rsidRDefault="00955C9B" w:rsidP="00955C9B">
            <w:pPr>
              <w:pStyle w:val="TableBodyText"/>
              <w:jc w:val="left"/>
            </w:pP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David Swift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Australian Energy Regulator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Mark Wilson</w:t>
            </w:r>
          </w:p>
        </w:tc>
      </w:tr>
      <w:tr w:rsidR="00955C9B" w:rsidTr="00955C9B">
        <w:tc>
          <w:tcPr>
            <w:tcW w:w="2500" w:type="pct"/>
          </w:tcPr>
          <w:p w:rsidR="00955C9B" w:rsidRDefault="00955C9B" w:rsidP="00955C9B">
            <w:pPr>
              <w:pStyle w:val="TableBodyText"/>
              <w:jc w:val="left"/>
            </w:pP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George Huang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ElectraNet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Rainer Korte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Energy Users Association of Australia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Bruce Mountain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Grid Australia</w:t>
            </w:r>
          </w:p>
        </w:tc>
        <w:tc>
          <w:tcPr>
            <w:tcW w:w="2500" w:type="pct"/>
          </w:tcPr>
          <w:p w:rsidR="00955C9B" w:rsidRDefault="00DC6B99" w:rsidP="00DC6B99">
            <w:pPr>
              <w:pStyle w:val="TableBodyText"/>
              <w:ind w:right="28"/>
              <w:jc w:val="left"/>
            </w:pPr>
            <w:r>
              <w:t>Peter McIntyre</w:t>
            </w:r>
          </w:p>
        </w:tc>
      </w:tr>
      <w:tr w:rsidR="00955C9B" w:rsidTr="00955C9B">
        <w:tc>
          <w:tcPr>
            <w:tcW w:w="2500" w:type="pct"/>
          </w:tcPr>
          <w:p w:rsidR="00955C9B" w:rsidRDefault="00DC6B99" w:rsidP="00955C9B">
            <w:pPr>
              <w:pStyle w:val="TableBodyText"/>
              <w:jc w:val="left"/>
            </w:pPr>
            <w:r>
              <w:t>South Australian Department of Planning, Transport and Infrastructure</w:t>
            </w:r>
          </w:p>
        </w:tc>
        <w:tc>
          <w:tcPr>
            <w:tcW w:w="2500" w:type="pct"/>
          </w:tcPr>
          <w:p w:rsidR="00955C9B" w:rsidRDefault="006225D0" w:rsidP="00DC6B99">
            <w:pPr>
              <w:pStyle w:val="TableBodyText"/>
              <w:ind w:right="28"/>
              <w:jc w:val="left"/>
            </w:pPr>
            <w:r>
              <w:t>Rebecca Knight</w:t>
            </w:r>
          </w:p>
        </w:tc>
      </w:tr>
      <w:tr w:rsidR="00955C9B" w:rsidTr="00955C9B">
        <w:tc>
          <w:tcPr>
            <w:tcW w:w="2500" w:type="pct"/>
          </w:tcPr>
          <w:p w:rsidR="00955C9B" w:rsidRDefault="006225D0" w:rsidP="00955C9B">
            <w:pPr>
              <w:pStyle w:val="TableBodyText"/>
              <w:jc w:val="left"/>
            </w:pPr>
            <w:r>
              <w:t>SP AusNet</w:t>
            </w:r>
          </w:p>
        </w:tc>
        <w:tc>
          <w:tcPr>
            <w:tcW w:w="2500" w:type="pct"/>
          </w:tcPr>
          <w:p w:rsidR="00955C9B" w:rsidRDefault="006225D0" w:rsidP="00DC6B99">
            <w:pPr>
              <w:pStyle w:val="TableBodyText"/>
              <w:ind w:right="28"/>
              <w:jc w:val="left"/>
            </w:pPr>
            <w:r>
              <w:t>Kelvin Gerbert</w:t>
            </w:r>
          </w:p>
        </w:tc>
      </w:tr>
      <w:tr w:rsidR="00955C9B" w:rsidTr="00955C9B">
        <w:tc>
          <w:tcPr>
            <w:tcW w:w="2500" w:type="pct"/>
          </w:tcPr>
          <w:p w:rsidR="00955C9B" w:rsidRDefault="006225D0" w:rsidP="00955C9B">
            <w:pPr>
              <w:pStyle w:val="TableBodyText"/>
              <w:jc w:val="left"/>
            </w:pPr>
            <w:r>
              <w:t>University of New South Wales</w:t>
            </w:r>
          </w:p>
        </w:tc>
        <w:tc>
          <w:tcPr>
            <w:tcW w:w="2500" w:type="pct"/>
          </w:tcPr>
          <w:p w:rsidR="00955C9B" w:rsidRDefault="006225D0" w:rsidP="00DC6B99">
            <w:pPr>
              <w:pStyle w:val="TableBodyText"/>
              <w:ind w:right="28"/>
              <w:jc w:val="left"/>
            </w:pPr>
            <w:r>
              <w:t>Hugh Outhred</w:t>
            </w:r>
          </w:p>
        </w:tc>
      </w:tr>
      <w:tr w:rsidR="00131747" w:rsidTr="00955C9B">
        <w:tc>
          <w:tcPr>
            <w:tcW w:w="2500" w:type="pct"/>
            <w:tcBorders>
              <w:bottom w:val="single" w:sz="6" w:space="0" w:color="auto"/>
            </w:tcBorders>
            <w:shd w:val="clear" w:color="auto" w:fill="auto"/>
          </w:tcPr>
          <w:p w:rsidR="00131747" w:rsidRDefault="00131747" w:rsidP="0063357A">
            <w:pPr>
              <w:pStyle w:val="TableBodyText"/>
              <w:jc w:val="left"/>
            </w:pPr>
            <w:r>
              <w:t>Department of Primary Industries</w:t>
            </w:r>
            <w:r w:rsidR="008C4BE1">
              <w:t xml:space="preserve"> (Vic)</w:t>
            </w:r>
          </w:p>
        </w:tc>
        <w:tc>
          <w:tcPr>
            <w:tcW w:w="2500" w:type="pct"/>
            <w:tcBorders>
              <w:bottom w:val="single" w:sz="6" w:space="0" w:color="auto"/>
            </w:tcBorders>
            <w:shd w:val="clear" w:color="auto" w:fill="auto"/>
          </w:tcPr>
          <w:p w:rsidR="00131747" w:rsidRDefault="00131747" w:rsidP="0063357A">
            <w:pPr>
              <w:pStyle w:val="TableBodyText"/>
              <w:ind w:right="28"/>
              <w:jc w:val="left"/>
            </w:pPr>
            <w:r>
              <w:t>Mark Feather</w:t>
            </w:r>
          </w:p>
        </w:tc>
      </w:tr>
    </w:tbl>
    <w:p w:rsidR="00955C9B" w:rsidRDefault="00955C9B">
      <w:pPr>
        <w:rPr>
          <w:szCs w:val="20"/>
        </w:rPr>
      </w:pPr>
    </w:p>
    <w:p w:rsidR="009B12C7" w:rsidRDefault="009B12C7">
      <w:pPr>
        <w:rPr>
          <w:szCs w:val="20"/>
        </w:rPr>
      </w:pPr>
    </w:p>
    <w:p w:rsidR="009B12C7" w:rsidRDefault="009B12C7">
      <w:pPr>
        <w:rPr>
          <w:szCs w:val="20"/>
        </w:rPr>
      </w:pPr>
      <w:r>
        <w:rPr>
          <w:szCs w:val="20"/>
        </w:rPr>
        <w:br w:type="page"/>
      </w:r>
    </w:p>
    <w:p w:rsidR="009B12C7" w:rsidRDefault="009B12C7">
      <w:pPr>
        <w:pStyle w:val="TableTitle"/>
      </w:pPr>
      <w:r>
        <w:rPr>
          <w:b w:val="0"/>
        </w:rPr>
        <w:lastRenderedPageBreak/>
        <w:t>Table A.</w:t>
      </w:r>
      <w:r w:rsidR="00A84006">
        <w:rPr>
          <w:b w:val="0"/>
          <w:noProof/>
        </w:rPr>
        <w:t>4</w:t>
      </w:r>
      <w:r>
        <w:tab/>
        <w:t>Public Hearings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693"/>
      </w:tblGrid>
      <w:tr w:rsidR="009B12C7" w:rsidTr="00801C0C">
        <w:tc>
          <w:tcPr>
            <w:tcW w:w="346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12C7" w:rsidRDefault="009B12C7" w:rsidP="009B12C7">
            <w:pPr>
              <w:pStyle w:val="TableColumnHeading"/>
              <w:jc w:val="left"/>
            </w:pPr>
            <w:r>
              <w:t>Individual or organisation</w:t>
            </w:r>
          </w:p>
        </w:tc>
        <w:tc>
          <w:tcPr>
            <w:tcW w:w="153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B12C7" w:rsidRDefault="009B12C7" w:rsidP="009B12C7">
            <w:pPr>
              <w:pStyle w:val="TableColumnHeading"/>
              <w:ind w:right="28"/>
            </w:pPr>
            <w:r>
              <w:t>Transcript page numbers</w:t>
            </w:r>
          </w:p>
        </w:tc>
      </w:tr>
      <w:tr w:rsidR="009B12C7" w:rsidTr="00801C0C">
        <w:tc>
          <w:tcPr>
            <w:tcW w:w="3468" w:type="pct"/>
            <w:tcBorders>
              <w:top w:val="single" w:sz="6" w:space="0" w:color="auto"/>
            </w:tcBorders>
          </w:tcPr>
          <w:p w:rsidR="009B12C7" w:rsidRPr="009B12C7" w:rsidRDefault="009B12C7" w:rsidP="009B12C7">
            <w:pPr>
              <w:pStyle w:val="TableUnitsRow"/>
              <w:jc w:val="left"/>
              <w:rPr>
                <w:b/>
              </w:rPr>
            </w:pPr>
            <w:r w:rsidRPr="009B12C7">
              <w:rPr>
                <w:b/>
              </w:rPr>
              <w:t>Melbourne – 27 November 2012</w:t>
            </w:r>
          </w:p>
        </w:tc>
        <w:tc>
          <w:tcPr>
            <w:tcW w:w="1532" w:type="pct"/>
            <w:tcBorders>
              <w:top w:val="single" w:sz="6" w:space="0" w:color="auto"/>
            </w:tcBorders>
          </w:tcPr>
          <w:p w:rsidR="009B12C7" w:rsidRDefault="009B12C7" w:rsidP="009B12C7">
            <w:pPr>
              <w:pStyle w:val="TableUnitsRow"/>
              <w:ind w:right="28"/>
            </w:pPr>
          </w:p>
        </w:tc>
      </w:tr>
      <w:tr w:rsidR="009B12C7" w:rsidTr="00801C0C">
        <w:tc>
          <w:tcPr>
            <w:tcW w:w="3468" w:type="pct"/>
          </w:tcPr>
          <w:p w:rsidR="009B12C7" w:rsidRDefault="0063357A" w:rsidP="009B12C7">
            <w:pPr>
              <w:pStyle w:val="TableBodyText"/>
              <w:jc w:val="left"/>
            </w:pPr>
            <w:r>
              <w:t>CitiPower and Powercor</w:t>
            </w:r>
            <w:r w:rsidR="006D26EC">
              <w:t xml:space="preserve"> Australia</w:t>
            </w:r>
          </w:p>
        </w:tc>
        <w:tc>
          <w:tcPr>
            <w:tcW w:w="1532" w:type="pct"/>
          </w:tcPr>
          <w:p w:rsidR="009B12C7" w:rsidRDefault="0063357A" w:rsidP="00673CF4">
            <w:pPr>
              <w:pStyle w:val="TableBodyText"/>
              <w:ind w:right="28"/>
            </w:pPr>
            <w:r>
              <w:t>4</w:t>
            </w:r>
            <w:r w:rsidR="00673CF4">
              <w:rPr>
                <w:rFonts w:cs="Arial"/>
              </w:rPr>
              <w:t>–</w:t>
            </w:r>
            <w:r>
              <w:t>19</w:t>
            </w:r>
          </w:p>
        </w:tc>
      </w:tr>
      <w:tr w:rsidR="009B12C7" w:rsidTr="00801C0C">
        <w:tc>
          <w:tcPr>
            <w:tcW w:w="3468" w:type="pct"/>
          </w:tcPr>
          <w:p w:rsidR="009B12C7" w:rsidRDefault="0063357A" w:rsidP="009B12C7">
            <w:pPr>
              <w:pStyle w:val="TableBodyText"/>
              <w:jc w:val="left"/>
            </w:pPr>
            <w:r>
              <w:t>SP AusNet</w:t>
            </w:r>
          </w:p>
        </w:tc>
        <w:tc>
          <w:tcPr>
            <w:tcW w:w="1532" w:type="pct"/>
          </w:tcPr>
          <w:p w:rsidR="009B12C7" w:rsidRDefault="0063357A" w:rsidP="00673CF4">
            <w:pPr>
              <w:pStyle w:val="TableBodyText"/>
              <w:ind w:right="28"/>
            </w:pPr>
            <w:r>
              <w:t>20</w:t>
            </w:r>
            <w:r w:rsidR="00673CF4">
              <w:rPr>
                <w:rFonts w:cs="Arial"/>
              </w:rPr>
              <w:t>–</w:t>
            </w:r>
            <w:r>
              <w:t>40</w:t>
            </w:r>
          </w:p>
        </w:tc>
      </w:tr>
      <w:tr w:rsidR="009B12C7" w:rsidTr="00801C0C">
        <w:tc>
          <w:tcPr>
            <w:tcW w:w="3468" w:type="pct"/>
          </w:tcPr>
          <w:p w:rsidR="009B12C7" w:rsidRDefault="0063357A" w:rsidP="009B12C7">
            <w:pPr>
              <w:pStyle w:val="TableBodyText"/>
              <w:jc w:val="left"/>
            </w:pPr>
            <w:r>
              <w:t>Hydro Tasmania</w:t>
            </w:r>
          </w:p>
        </w:tc>
        <w:tc>
          <w:tcPr>
            <w:tcW w:w="1532" w:type="pct"/>
          </w:tcPr>
          <w:p w:rsidR="009B12C7" w:rsidRDefault="0063357A" w:rsidP="00673CF4">
            <w:pPr>
              <w:pStyle w:val="TableBodyText"/>
              <w:ind w:right="28"/>
            </w:pPr>
            <w:r>
              <w:t>41</w:t>
            </w:r>
            <w:r w:rsidR="00673CF4">
              <w:rPr>
                <w:rFonts w:cs="Arial"/>
              </w:rPr>
              <w:t>–</w:t>
            </w:r>
            <w:r>
              <w:t>58</w:t>
            </w:r>
          </w:p>
        </w:tc>
      </w:tr>
      <w:tr w:rsidR="009B12C7" w:rsidTr="00801C0C">
        <w:tc>
          <w:tcPr>
            <w:tcW w:w="3468" w:type="pct"/>
          </w:tcPr>
          <w:p w:rsidR="009B12C7" w:rsidRDefault="0063357A" w:rsidP="009B12C7">
            <w:pPr>
              <w:pStyle w:val="TableBodyText"/>
              <w:jc w:val="left"/>
            </w:pPr>
            <w:r>
              <w:t>Sustainable Regional Australia</w:t>
            </w:r>
          </w:p>
        </w:tc>
        <w:tc>
          <w:tcPr>
            <w:tcW w:w="1532" w:type="pct"/>
          </w:tcPr>
          <w:p w:rsidR="009B12C7" w:rsidRDefault="0063357A" w:rsidP="00673CF4">
            <w:pPr>
              <w:pStyle w:val="TableBodyText"/>
              <w:ind w:right="28"/>
            </w:pPr>
            <w:r>
              <w:t>59</w:t>
            </w:r>
            <w:r w:rsidR="00673CF4">
              <w:rPr>
                <w:rFonts w:cs="Arial"/>
              </w:rPr>
              <w:t>–</w:t>
            </w:r>
            <w:r>
              <w:t>74</w:t>
            </w:r>
          </w:p>
        </w:tc>
      </w:tr>
      <w:tr w:rsidR="009B12C7" w:rsidTr="00801C0C">
        <w:tc>
          <w:tcPr>
            <w:tcW w:w="3468" w:type="pct"/>
          </w:tcPr>
          <w:p w:rsidR="009B12C7" w:rsidRDefault="0063357A" w:rsidP="009B12C7">
            <w:pPr>
              <w:pStyle w:val="TableBodyText"/>
              <w:jc w:val="left"/>
            </w:pPr>
            <w:r>
              <w:t>Consumer Action Law Centre</w:t>
            </w:r>
          </w:p>
        </w:tc>
        <w:tc>
          <w:tcPr>
            <w:tcW w:w="1532" w:type="pct"/>
          </w:tcPr>
          <w:p w:rsidR="009B12C7" w:rsidRDefault="0063357A" w:rsidP="00673CF4">
            <w:pPr>
              <w:pStyle w:val="TableBodyText"/>
              <w:ind w:right="28"/>
            </w:pPr>
            <w:r>
              <w:t>75</w:t>
            </w:r>
            <w:r w:rsidR="00673CF4">
              <w:rPr>
                <w:rFonts w:cs="Arial"/>
              </w:rPr>
              <w:t>–</w:t>
            </w:r>
            <w:r>
              <w:t>89</w:t>
            </w:r>
          </w:p>
        </w:tc>
      </w:tr>
      <w:tr w:rsidR="009B12C7" w:rsidTr="00801C0C">
        <w:tc>
          <w:tcPr>
            <w:tcW w:w="3468" w:type="pct"/>
          </w:tcPr>
          <w:p w:rsidR="009B12C7" w:rsidRDefault="0063357A" w:rsidP="009B12C7">
            <w:pPr>
              <w:pStyle w:val="TableBodyText"/>
              <w:jc w:val="left"/>
            </w:pPr>
            <w:r>
              <w:t>Energy Users Association of Australia</w:t>
            </w:r>
          </w:p>
        </w:tc>
        <w:tc>
          <w:tcPr>
            <w:tcW w:w="1532" w:type="pct"/>
          </w:tcPr>
          <w:p w:rsidR="009B12C7" w:rsidRDefault="0063357A" w:rsidP="00673CF4">
            <w:pPr>
              <w:pStyle w:val="TableBodyText"/>
              <w:ind w:right="28"/>
            </w:pPr>
            <w:r>
              <w:t>90</w:t>
            </w:r>
            <w:r w:rsidR="00673CF4">
              <w:rPr>
                <w:rFonts w:cs="Arial"/>
              </w:rPr>
              <w:t>–</w:t>
            </w:r>
            <w:r w:rsidR="003800C9">
              <w:t>110</w:t>
            </w:r>
          </w:p>
        </w:tc>
      </w:tr>
      <w:tr w:rsidR="009B12C7" w:rsidTr="00801C0C">
        <w:tc>
          <w:tcPr>
            <w:tcW w:w="3468" w:type="pct"/>
          </w:tcPr>
          <w:p w:rsidR="009B12C7" w:rsidRDefault="009B12C7" w:rsidP="009B12C7">
            <w:pPr>
              <w:pStyle w:val="TableBodyText"/>
              <w:jc w:val="left"/>
            </w:pPr>
          </w:p>
        </w:tc>
        <w:tc>
          <w:tcPr>
            <w:tcW w:w="1532" w:type="pct"/>
          </w:tcPr>
          <w:p w:rsidR="009B12C7" w:rsidRDefault="009B12C7" w:rsidP="009B12C7">
            <w:pPr>
              <w:pStyle w:val="TableBodyText"/>
              <w:ind w:right="28"/>
            </w:pPr>
          </w:p>
        </w:tc>
      </w:tr>
      <w:tr w:rsidR="009B12C7" w:rsidTr="00801C0C">
        <w:tc>
          <w:tcPr>
            <w:tcW w:w="3468" w:type="pct"/>
          </w:tcPr>
          <w:p w:rsidR="009B12C7" w:rsidRPr="00801C0C" w:rsidRDefault="00801C0C" w:rsidP="009B12C7">
            <w:pPr>
              <w:pStyle w:val="TableBodyText"/>
              <w:jc w:val="left"/>
              <w:rPr>
                <w:b/>
              </w:rPr>
            </w:pPr>
            <w:r w:rsidRPr="00801C0C">
              <w:rPr>
                <w:b/>
              </w:rPr>
              <w:t>Sydney – 3 December 2012</w:t>
            </w:r>
          </w:p>
        </w:tc>
        <w:tc>
          <w:tcPr>
            <w:tcW w:w="1532" w:type="pct"/>
          </w:tcPr>
          <w:p w:rsidR="009B12C7" w:rsidRDefault="009B12C7" w:rsidP="009B12C7">
            <w:pPr>
              <w:pStyle w:val="TableBodyText"/>
              <w:ind w:right="28"/>
            </w:pPr>
          </w:p>
        </w:tc>
      </w:tr>
      <w:tr w:rsidR="009B12C7" w:rsidTr="00801C0C">
        <w:tc>
          <w:tcPr>
            <w:tcW w:w="3468" w:type="pct"/>
          </w:tcPr>
          <w:p w:rsidR="009B12C7" w:rsidRDefault="000D24CB" w:rsidP="009B12C7">
            <w:pPr>
              <w:pStyle w:val="TableBodyText"/>
              <w:jc w:val="left"/>
            </w:pPr>
            <w:r>
              <w:t>Australian Energy Regulator</w:t>
            </w:r>
          </w:p>
        </w:tc>
        <w:tc>
          <w:tcPr>
            <w:tcW w:w="1532" w:type="pct"/>
          </w:tcPr>
          <w:p w:rsidR="009B12C7" w:rsidRDefault="000D24CB" w:rsidP="00673CF4">
            <w:pPr>
              <w:pStyle w:val="TableBodyText"/>
              <w:ind w:right="28"/>
            </w:pPr>
            <w:r>
              <w:t>113</w:t>
            </w:r>
            <w:r w:rsidR="00673CF4">
              <w:rPr>
                <w:rFonts w:cs="Arial"/>
              </w:rPr>
              <w:t>–</w:t>
            </w:r>
            <w:r>
              <w:t>135</w:t>
            </w:r>
          </w:p>
        </w:tc>
      </w:tr>
      <w:tr w:rsidR="009B12C7" w:rsidTr="00801C0C">
        <w:tc>
          <w:tcPr>
            <w:tcW w:w="3468" w:type="pct"/>
          </w:tcPr>
          <w:p w:rsidR="009B12C7" w:rsidRDefault="000D24CB" w:rsidP="009B12C7">
            <w:pPr>
              <w:pStyle w:val="TableBodyText"/>
              <w:jc w:val="left"/>
            </w:pPr>
            <w:r>
              <w:t>Landis+Gyr</w:t>
            </w:r>
          </w:p>
        </w:tc>
        <w:tc>
          <w:tcPr>
            <w:tcW w:w="1532" w:type="pct"/>
          </w:tcPr>
          <w:p w:rsidR="009B12C7" w:rsidRDefault="000D24CB" w:rsidP="00673CF4">
            <w:pPr>
              <w:pStyle w:val="TableBodyText"/>
              <w:ind w:right="28"/>
            </w:pPr>
            <w:r>
              <w:t>136</w:t>
            </w:r>
            <w:r w:rsidR="00673CF4">
              <w:rPr>
                <w:rFonts w:cs="Arial"/>
              </w:rPr>
              <w:t>–</w:t>
            </w:r>
            <w:r>
              <w:t>159</w:t>
            </w:r>
          </w:p>
        </w:tc>
      </w:tr>
      <w:tr w:rsidR="009B12C7" w:rsidTr="00801C0C">
        <w:tc>
          <w:tcPr>
            <w:tcW w:w="3468" w:type="pct"/>
          </w:tcPr>
          <w:p w:rsidR="009B12C7" w:rsidRDefault="00454826" w:rsidP="009B12C7">
            <w:pPr>
              <w:pStyle w:val="TableBodyText"/>
              <w:jc w:val="left"/>
            </w:pPr>
            <w:r>
              <w:t>Energy Supply Association of Australia</w:t>
            </w:r>
          </w:p>
        </w:tc>
        <w:tc>
          <w:tcPr>
            <w:tcW w:w="1532" w:type="pct"/>
          </w:tcPr>
          <w:p w:rsidR="009B12C7" w:rsidRDefault="00454826" w:rsidP="00673CF4">
            <w:pPr>
              <w:pStyle w:val="TableBodyText"/>
              <w:ind w:right="28"/>
            </w:pPr>
            <w:r>
              <w:t>160</w:t>
            </w:r>
            <w:r w:rsidR="00673CF4">
              <w:rPr>
                <w:rFonts w:cs="Arial"/>
              </w:rPr>
              <w:t>–</w:t>
            </w:r>
            <w:r>
              <w:t>177</w:t>
            </w:r>
          </w:p>
        </w:tc>
      </w:tr>
      <w:tr w:rsidR="009B12C7" w:rsidTr="00801C0C">
        <w:tc>
          <w:tcPr>
            <w:tcW w:w="3468" w:type="pct"/>
          </w:tcPr>
          <w:p w:rsidR="009B12C7" w:rsidRDefault="00454826" w:rsidP="009B12C7">
            <w:pPr>
              <w:pStyle w:val="TableBodyText"/>
              <w:jc w:val="left"/>
            </w:pPr>
            <w:r>
              <w:t>Major Energy Users</w:t>
            </w:r>
          </w:p>
        </w:tc>
        <w:tc>
          <w:tcPr>
            <w:tcW w:w="1532" w:type="pct"/>
          </w:tcPr>
          <w:p w:rsidR="009B12C7" w:rsidRDefault="00454826" w:rsidP="00673CF4">
            <w:pPr>
              <w:pStyle w:val="TableBodyText"/>
              <w:ind w:right="28"/>
            </w:pPr>
            <w:r>
              <w:t>178</w:t>
            </w:r>
            <w:r w:rsidR="00673CF4">
              <w:rPr>
                <w:rFonts w:cs="Arial"/>
              </w:rPr>
              <w:t>–</w:t>
            </w:r>
            <w:r>
              <w:t>201</w:t>
            </w:r>
          </w:p>
        </w:tc>
      </w:tr>
      <w:tr w:rsidR="009B12C7" w:rsidTr="00801C0C">
        <w:tc>
          <w:tcPr>
            <w:tcW w:w="3468" w:type="pct"/>
          </w:tcPr>
          <w:p w:rsidR="009B12C7" w:rsidRDefault="00454826" w:rsidP="009B12C7">
            <w:pPr>
              <w:pStyle w:val="TableBodyText"/>
              <w:jc w:val="left"/>
            </w:pPr>
            <w:r>
              <w:t>City of Sydney</w:t>
            </w:r>
          </w:p>
        </w:tc>
        <w:tc>
          <w:tcPr>
            <w:tcW w:w="1532" w:type="pct"/>
          </w:tcPr>
          <w:p w:rsidR="009B12C7" w:rsidRDefault="00454826" w:rsidP="00673CF4">
            <w:pPr>
              <w:pStyle w:val="TableBodyText"/>
              <w:ind w:right="28"/>
            </w:pPr>
            <w:r>
              <w:t>202</w:t>
            </w:r>
            <w:r w:rsidR="00673CF4">
              <w:rPr>
                <w:rFonts w:cs="Arial"/>
              </w:rPr>
              <w:t>–</w:t>
            </w:r>
            <w:r>
              <w:t>216</w:t>
            </w:r>
          </w:p>
        </w:tc>
      </w:tr>
      <w:tr w:rsidR="009B12C7" w:rsidTr="00801C0C">
        <w:tc>
          <w:tcPr>
            <w:tcW w:w="3468" w:type="pct"/>
          </w:tcPr>
          <w:p w:rsidR="009B12C7" w:rsidRDefault="00454826" w:rsidP="009B12C7">
            <w:pPr>
              <w:pStyle w:val="TableBodyText"/>
              <w:jc w:val="left"/>
            </w:pPr>
            <w:r>
              <w:t>AGL Energy</w:t>
            </w:r>
          </w:p>
        </w:tc>
        <w:tc>
          <w:tcPr>
            <w:tcW w:w="1532" w:type="pct"/>
          </w:tcPr>
          <w:p w:rsidR="009B12C7" w:rsidRDefault="00454826" w:rsidP="00673CF4">
            <w:pPr>
              <w:pStyle w:val="TableBodyText"/>
              <w:ind w:right="28"/>
            </w:pPr>
            <w:r>
              <w:t>217</w:t>
            </w:r>
            <w:r w:rsidR="00673CF4">
              <w:rPr>
                <w:rFonts w:cs="Arial"/>
              </w:rPr>
              <w:t>–</w:t>
            </w:r>
            <w:r>
              <w:t>234</w:t>
            </w:r>
          </w:p>
        </w:tc>
      </w:tr>
      <w:tr w:rsidR="009B12C7" w:rsidTr="00801C0C">
        <w:tc>
          <w:tcPr>
            <w:tcW w:w="3468" w:type="pct"/>
          </w:tcPr>
          <w:p w:rsidR="009B12C7" w:rsidRDefault="00454826" w:rsidP="009B12C7">
            <w:pPr>
              <w:pStyle w:val="TableBodyText"/>
              <w:jc w:val="left"/>
            </w:pPr>
            <w:r>
              <w:t>Public Interest Advocacy Centre</w:t>
            </w:r>
          </w:p>
        </w:tc>
        <w:tc>
          <w:tcPr>
            <w:tcW w:w="1532" w:type="pct"/>
          </w:tcPr>
          <w:p w:rsidR="009B12C7" w:rsidRDefault="00454826" w:rsidP="00673CF4">
            <w:pPr>
              <w:pStyle w:val="TableBodyText"/>
              <w:ind w:right="28"/>
            </w:pPr>
            <w:r>
              <w:t>235</w:t>
            </w:r>
            <w:r w:rsidR="00673CF4">
              <w:rPr>
                <w:rFonts w:cs="Arial"/>
              </w:rPr>
              <w:t>–</w:t>
            </w:r>
            <w:r>
              <w:t>248</w:t>
            </w:r>
          </w:p>
        </w:tc>
      </w:tr>
      <w:tr w:rsidR="009B12C7" w:rsidTr="00801C0C">
        <w:tc>
          <w:tcPr>
            <w:tcW w:w="3468" w:type="pct"/>
          </w:tcPr>
          <w:p w:rsidR="009B12C7" w:rsidRDefault="009B12C7" w:rsidP="009B12C7">
            <w:pPr>
              <w:pStyle w:val="TableBodyText"/>
              <w:jc w:val="left"/>
            </w:pPr>
          </w:p>
        </w:tc>
        <w:tc>
          <w:tcPr>
            <w:tcW w:w="1532" w:type="pct"/>
          </w:tcPr>
          <w:p w:rsidR="009B12C7" w:rsidRDefault="009B12C7" w:rsidP="009B12C7">
            <w:pPr>
              <w:pStyle w:val="TableBodyText"/>
              <w:ind w:right="28"/>
            </w:pPr>
          </w:p>
        </w:tc>
      </w:tr>
      <w:tr w:rsidR="009B12C7" w:rsidTr="00801C0C">
        <w:tc>
          <w:tcPr>
            <w:tcW w:w="3468" w:type="pct"/>
          </w:tcPr>
          <w:p w:rsidR="009B12C7" w:rsidRPr="00A37328" w:rsidRDefault="00A37328" w:rsidP="009B12C7">
            <w:pPr>
              <w:pStyle w:val="TableBodyText"/>
              <w:jc w:val="left"/>
              <w:rPr>
                <w:b/>
              </w:rPr>
            </w:pPr>
            <w:r w:rsidRPr="00A37328">
              <w:rPr>
                <w:b/>
              </w:rPr>
              <w:t>Canberra – 6 December 2012</w:t>
            </w:r>
          </w:p>
        </w:tc>
        <w:tc>
          <w:tcPr>
            <w:tcW w:w="1532" w:type="pct"/>
          </w:tcPr>
          <w:p w:rsidR="009B12C7" w:rsidRDefault="009B12C7" w:rsidP="009B12C7">
            <w:pPr>
              <w:pStyle w:val="TableBodyText"/>
              <w:ind w:right="28"/>
            </w:pPr>
          </w:p>
        </w:tc>
      </w:tr>
      <w:tr w:rsidR="009B12C7" w:rsidTr="00801C0C">
        <w:tc>
          <w:tcPr>
            <w:tcW w:w="3468" w:type="pct"/>
          </w:tcPr>
          <w:p w:rsidR="009B12C7" w:rsidRDefault="003F5C2B" w:rsidP="009B12C7">
            <w:pPr>
              <w:pStyle w:val="TableBodyText"/>
              <w:jc w:val="left"/>
            </w:pPr>
            <w:r>
              <w:t>Smart Grid Australia</w:t>
            </w:r>
          </w:p>
        </w:tc>
        <w:tc>
          <w:tcPr>
            <w:tcW w:w="1532" w:type="pct"/>
          </w:tcPr>
          <w:p w:rsidR="009B12C7" w:rsidRDefault="00C0512C" w:rsidP="00673CF4">
            <w:pPr>
              <w:pStyle w:val="TableBodyText"/>
              <w:ind w:right="28"/>
            </w:pPr>
            <w:r>
              <w:t>251</w:t>
            </w:r>
            <w:r w:rsidR="00673CF4">
              <w:rPr>
                <w:rFonts w:cs="Arial"/>
              </w:rPr>
              <w:t>–</w:t>
            </w:r>
            <w:r>
              <w:t>270</w:t>
            </w:r>
          </w:p>
        </w:tc>
      </w:tr>
      <w:tr w:rsidR="009B12C7" w:rsidTr="00801C0C">
        <w:tc>
          <w:tcPr>
            <w:tcW w:w="3468" w:type="pct"/>
          </w:tcPr>
          <w:p w:rsidR="009B12C7" w:rsidRDefault="003F5C2B" w:rsidP="009B12C7">
            <w:pPr>
              <w:pStyle w:val="TableBodyText"/>
              <w:jc w:val="left"/>
            </w:pPr>
            <w:r>
              <w:t>Department of Primary Industries (Vic)</w:t>
            </w:r>
          </w:p>
        </w:tc>
        <w:tc>
          <w:tcPr>
            <w:tcW w:w="1532" w:type="pct"/>
          </w:tcPr>
          <w:p w:rsidR="009B12C7" w:rsidRDefault="00B45FB1" w:rsidP="00673CF4">
            <w:pPr>
              <w:pStyle w:val="TableBodyText"/>
              <w:ind w:right="28"/>
            </w:pPr>
            <w:r>
              <w:t>27</w:t>
            </w:r>
            <w:r w:rsidR="00C0512C">
              <w:t>1</w:t>
            </w:r>
            <w:r w:rsidR="00673CF4">
              <w:rPr>
                <w:rFonts w:cs="Arial"/>
              </w:rPr>
              <w:t>–</w:t>
            </w:r>
            <w:r w:rsidR="00C0512C">
              <w:t>287</w:t>
            </w:r>
          </w:p>
        </w:tc>
      </w:tr>
      <w:tr w:rsidR="009B12C7" w:rsidTr="00801C0C">
        <w:tc>
          <w:tcPr>
            <w:tcW w:w="3468" w:type="pct"/>
          </w:tcPr>
          <w:p w:rsidR="009B12C7" w:rsidRDefault="003F5C2B" w:rsidP="009B12C7">
            <w:pPr>
              <w:pStyle w:val="TableBodyText"/>
              <w:jc w:val="left"/>
            </w:pPr>
            <w:r>
              <w:t>Grid Australia</w:t>
            </w:r>
          </w:p>
        </w:tc>
        <w:tc>
          <w:tcPr>
            <w:tcW w:w="1532" w:type="pct"/>
          </w:tcPr>
          <w:p w:rsidR="009B12C7" w:rsidRDefault="00C0512C" w:rsidP="00673CF4">
            <w:pPr>
              <w:pStyle w:val="TableBodyText"/>
              <w:ind w:right="28"/>
            </w:pPr>
            <w:r>
              <w:t>288</w:t>
            </w:r>
            <w:r w:rsidR="00673CF4">
              <w:rPr>
                <w:rFonts w:cs="Arial"/>
              </w:rPr>
              <w:t>–</w:t>
            </w:r>
            <w:r>
              <w:t>315</w:t>
            </w:r>
          </w:p>
        </w:tc>
      </w:tr>
      <w:tr w:rsidR="009B12C7" w:rsidTr="00801C0C">
        <w:tc>
          <w:tcPr>
            <w:tcW w:w="3468" w:type="pct"/>
          </w:tcPr>
          <w:p w:rsidR="009B12C7" w:rsidRDefault="009B12C7" w:rsidP="009B12C7">
            <w:pPr>
              <w:pStyle w:val="TableBodyText"/>
              <w:jc w:val="left"/>
            </w:pPr>
          </w:p>
        </w:tc>
        <w:tc>
          <w:tcPr>
            <w:tcW w:w="1532" w:type="pct"/>
          </w:tcPr>
          <w:p w:rsidR="009B12C7" w:rsidRDefault="009B12C7" w:rsidP="009B12C7">
            <w:pPr>
              <w:pStyle w:val="TableBodyText"/>
              <w:ind w:right="28"/>
            </w:pPr>
          </w:p>
        </w:tc>
      </w:tr>
      <w:tr w:rsidR="009B12C7" w:rsidTr="00801C0C">
        <w:tc>
          <w:tcPr>
            <w:tcW w:w="3468" w:type="pct"/>
          </w:tcPr>
          <w:p w:rsidR="009B12C7" w:rsidRPr="003F5C2B" w:rsidRDefault="003F5C2B" w:rsidP="009B12C7">
            <w:pPr>
              <w:pStyle w:val="TableBodyText"/>
              <w:jc w:val="left"/>
              <w:rPr>
                <w:b/>
              </w:rPr>
            </w:pPr>
            <w:r w:rsidRPr="003F5C2B">
              <w:rPr>
                <w:b/>
              </w:rPr>
              <w:t>Canberra – 10 December 2012</w:t>
            </w:r>
          </w:p>
        </w:tc>
        <w:tc>
          <w:tcPr>
            <w:tcW w:w="1532" w:type="pct"/>
          </w:tcPr>
          <w:p w:rsidR="009B12C7" w:rsidRDefault="009B12C7" w:rsidP="009B12C7">
            <w:pPr>
              <w:pStyle w:val="TableBodyText"/>
              <w:ind w:right="28"/>
            </w:pPr>
          </w:p>
        </w:tc>
      </w:tr>
      <w:tr w:rsidR="009B12C7" w:rsidTr="00801C0C">
        <w:tc>
          <w:tcPr>
            <w:tcW w:w="3468" w:type="pct"/>
          </w:tcPr>
          <w:p w:rsidR="009B12C7" w:rsidRDefault="003F5C2B" w:rsidP="009B12C7">
            <w:pPr>
              <w:pStyle w:val="TableBodyText"/>
              <w:jc w:val="left"/>
            </w:pPr>
            <w:r>
              <w:t>Australian Services Union</w:t>
            </w:r>
          </w:p>
        </w:tc>
        <w:tc>
          <w:tcPr>
            <w:tcW w:w="1532" w:type="pct"/>
          </w:tcPr>
          <w:p w:rsidR="009B12C7" w:rsidRDefault="00C0512C" w:rsidP="00673CF4">
            <w:pPr>
              <w:pStyle w:val="TableBodyText"/>
              <w:ind w:right="28"/>
            </w:pPr>
            <w:r>
              <w:t>318</w:t>
            </w:r>
            <w:r w:rsidR="00673CF4">
              <w:rPr>
                <w:rFonts w:cs="Arial"/>
              </w:rPr>
              <w:t>–</w:t>
            </w:r>
            <w:r>
              <w:t>328</w:t>
            </w:r>
          </w:p>
        </w:tc>
      </w:tr>
      <w:tr w:rsidR="009B12C7" w:rsidTr="00801C0C">
        <w:tc>
          <w:tcPr>
            <w:tcW w:w="3468" w:type="pct"/>
          </w:tcPr>
          <w:p w:rsidR="009B12C7" w:rsidRDefault="003F5C2B" w:rsidP="009B12C7">
            <w:pPr>
              <w:pStyle w:val="TableBodyText"/>
              <w:jc w:val="left"/>
            </w:pPr>
            <w:r>
              <w:t>Energy Networks Association</w:t>
            </w:r>
          </w:p>
        </w:tc>
        <w:tc>
          <w:tcPr>
            <w:tcW w:w="1532" w:type="pct"/>
          </w:tcPr>
          <w:p w:rsidR="009B12C7" w:rsidRDefault="00C0512C" w:rsidP="00673CF4">
            <w:pPr>
              <w:pStyle w:val="TableBodyText"/>
              <w:ind w:right="28"/>
            </w:pPr>
            <w:r>
              <w:t>329</w:t>
            </w:r>
            <w:r w:rsidR="00673CF4">
              <w:rPr>
                <w:rFonts w:cs="Arial"/>
              </w:rPr>
              <w:t>–</w:t>
            </w:r>
            <w:r>
              <w:t>350</w:t>
            </w:r>
          </w:p>
        </w:tc>
      </w:tr>
      <w:tr w:rsidR="009B12C7" w:rsidTr="00801C0C">
        <w:tc>
          <w:tcPr>
            <w:tcW w:w="3468" w:type="pct"/>
          </w:tcPr>
          <w:p w:rsidR="009B12C7" w:rsidRDefault="003F5C2B" w:rsidP="009B12C7">
            <w:pPr>
              <w:pStyle w:val="TableBodyText"/>
              <w:jc w:val="left"/>
            </w:pPr>
            <w:r>
              <w:t>National Generators Forum</w:t>
            </w:r>
            <w:r w:rsidR="008F0806">
              <w:t xml:space="preserve"> </w:t>
            </w:r>
          </w:p>
        </w:tc>
        <w:tc>
          <w:tcPr>
            <w:tcW w:w="1532" w:type="pct"/>
          </w:tcPr>
          <w:p w:rsidR="009B12C7" w:rsidRDefault="00C0512C" w:rsidP="00673CF4">
            <w:pPr>
              <w:pStyle w:val="TableBodyText"/>
              <w:ind w:right="28"/>
            </w:pPr>
            <w:r>
              <w:t>351</w:t>
            </w:r>
            <w:r w:rsidR="00673CF4">
              <w:rPr>
                <w:rFonts w:cs="Arial"/>
              </w:rPr>
              <w:t>–</w:t>
            </w:r>
            <w:r>
              <w:t>373</w:t>
            </w:r>
          </w:p>
        </w:tc>
      </w:tr>
      <w:tr w:rsidR="009B12C7" w:rsidTr="00801C0C">
        <w:tc>
          <w:tcPr>
            <w:tcW w:w="3468" w:type="pct"/>
          </w:tcPr>
          <w:p w:rsidR="009B12C7" w:rsidRDefault="003F5C2B" w:rsidP="009B12C7">
            <w:pPr>
              <w:pStyle w:val="TableBodyText"/>
              <w:jc w:val="left"/>
            </w:pPr>
            <w:r>
              <w:t>EnerNOC</w:t>
            </w:r>
          </w:p>
        </w:tc>
        <w:tc>
          <w:tcPr>
            <w:tcW w:w="1532" w:type="pct"/>
          </w:tcPr>
          <w:p w:rsidR="009B12C7" w:rsidRDefault="00C0512C" w:rsidP="00673CF4">
            <w:pPr>
              <w:pStyle w:val="TableBodyText"/>
              <w:ind w:right="28"/>
            </w:pPr>
            <w:r>
              <w:t>374</w:t>
            </w:r>
            <w:r w:rsidR="00673CF4">
              <w:rPr>
                <w:rFonts w:cs="Arial"/>
              </w:rPr>
              <w:t>–</w:t>
            </w:r>
            <w:r>
              <w:t>389</w:t>
            </w:r>
          </w:p>
        </w:tc>
      </w:tr>
      <w:tr w:rsidR="009B12C7" w:rsidTr="00801C0C">
        <w:tc>
          <w:tcPr>
            <w:tcW w:w="3468" w:type="pct"/>
            <w:tcBorders>
              <w:bottom w:val="single" w:sz="6" w:space="0" w:color="auto"/>
            </w:tcBorders>
            <w:shd w:val="clear" w:color="auto" w:fill="auto"/>
          </w:tcPr>
          <w:p w:rsidR="009B12C7" w:rsidRDefault="003F5C2B" w:rsidP="009B12C7">
            <w:pPr>
              <w:pStyle w:val="TableBodyText"/>
              <w:jc w:val="left"/>
            </w:pPr>
            <w:r>
              <w:t>Australian Energy Market Operator</w:t>
            </w:r>
          </w:p>
        </w:tc>
        <w:tc>
          <w:tcPr>
            <w:tcW w:w="1532" w:type="pct"/>
            <w:tcBorders>
              <w:bottom w:val="single" w:sz="6" w:space="0" w:color="auto"/>
            </w:tcBorders>
            <w:shd w:val="clear" w:color="auto" w:fill="auto"/>
          </w:tcPr>
          <w:p w:rsidR="009B12C7" w:rsidRDefault="00C0512C" w:rsidP="00673CF4">
            <w:pPr>
              <w:pStyle w:val="TableBodyText"/>
              <w:ind w:right="28"/>
            </w:pPr>
            <w:r>
              <w:t>390</w:t>
            </w:r>
            <w:r w:rsidR="00673CF4">
              <w:rPr>
                <w:rFonts w:cs="Arial"/>
              </w:rPr>
              <w:t>–</w:t>
            </w:r>
            <w:r>
              <w:t>422</w:t>
            </w:r>
          </w:p>
        </w:tc>
      </w:tr>
    </w:tbl>
    <w:p w:rsidR="009B12C7" w:rsidRDefault="009B12C7">
      <w:pPr>
        <w:rPr>
          <w:szCs w:val="20"/>
        </w:rPr>
      </w:pPr>
    </w:p>
    <w:p w:rsidR="008379FE" w:rsidRPr="00044B48" w:rsidRDefault="008379FE" w:rsidP="008379FE">
      <w:pPr>
        <w:pStyle w:val="BodyText"/>
        <w:tabs>
          <w:tab w:val="left" w:pos="5670"/>
        </w:tabs>
        <w:spacing w:before="0"/>
      </w:pPr>
    </w:p>
    <w:sectPr w:rsidR="008379FE" w:rsidRPr="00044B48" w:rsidSect="001B7F17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811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7AE" w:rsidRDefault="007C47AE">
      <w:r>
        <w:separator/>
      </w:r>
    </w:p>
  </w:endnote>
  <w:endnote w:type="continuationSeparator" w:id="0">
    <w:p w:rsidR="007C47AE" w:rsidRDefault="007C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7C47AE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7C47AE" w:rsidRDefault="007C47AE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E27BB0">
            <w:rPr>
              <w:rStyle w:val="PageNumber"/>
              <w:noProof/>
            </w:rPr>
            <w:t>816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7C47AE" w:rsidRDefault="007C47AE" w:rsidP="0019293B">
          <w:pPr>
            <w:pStyle w:val="Footer"/>
          </w:pPr>
          <w:r>
            <w:t>Electricity network regulation</w:t>
          </w:r>
        </w:p>
      </w:tc>
      <w:tc>
        <w:tcPr>
          <w:tcW w:w="6634" w:type="dxa"/>
        </w:tcPr>
        <w:p w:rsidR="007C47AE" w:rsidRDefault="007C47AE" w:rsidP="0019293B">
          <w:pPr>
            <w:pStyle w:val="Footer"/>
          </w:pPr>
        </w:p>
      </w:tc>
    </w:tr>
  </w:tbl>
  <w:p w:rsidR="007C47AE" w:rsidRDefault="007C47AE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7C47AE">
      <w:trPr>
        <w:trHeight w:hRule="exact" w:val="740"/>
      </w:trPr>
      <w:tc>
        <w:tcPr>
          <w:tcW w:w="6634" w:type="dxa"/>
        </w:tcPr>
        <w:p w:rsidR="007C47AE" w:rsidRDefault="007C47AE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7C47AE" w:rsidRDefault="007C47AE">
          <w:pPr>
            <w:pStyle w:val="Footer"/>
          </w:pPr>
          <w:r>
            <w:t>conduct of the inquiry</w:t>
          </w:r>
        </w:p>
      </w:tc>
      <w:tc>
        <w:tcPr>
          <w:tcW w:w="510" w:type="dxa"/>
          <w:tcBorders>
            <w:top w:val="single" w:sz="6" w:space="0" w:color="auto"/>
          </w:tcBorders>
        </w:tcPr>
        <w:p w:rsidR="007C47AE" w:rsidRDefault="007C47AE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E27BB0">
            <w:rPr>
              <w:rStyle w:val="PageNumber"/>
              <w:noProof/>
            </w:rPr>
            <w:t>811</w:t>
          </w:r>
          <w:r>
            <w:rPr>
              <w:rStyle w:val="PageNumber"/>
            </w:rPr>
            <w:fldChar w:fldCharType="end"/>
          </w:r>
        </w:p>
      </w:tc>
    </w:tr>
  </w:tbl>
  <w:p w:rsidR="007C47AE" w:rsidRDefault="007C47AE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7AE" w:rsidRDefault="007C47AE">
      <w:r>
        <w:separator/>
      </w:r>
    </w:p>
  </w:footnote>
  <w:footnote w:type="continuationSeparator" w:id="0">
    <w:p w:rsidR="007C47AE" w:rsidRDefault="007C4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C47AE">
      <w:tc>
        <w:tcPr>
          <w:tcW w:w="2155" w:type="dxa"/>
          <w:tcBorders>
            <w:top w:val="single" w:sz="24" w:space="0" w:color="auto"/>
          </w:tcBorders>
        </w:tcPr>
        <w:p w:rsidR="007C47AE" w:rsidRDefault="007C47AE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C47AE" w:rsidRDefault="007C47AE" w:rsidP="0019293B">
          <w:pPr>
            <w:pStyle w:val="HeaderEven"/>
          </w:pPr>
        </w:p>
      </w:tc>
    </w:tr>
  </w:tbl>
  <w:p w:rsidR="007C47AE" w:rsidRDefault="007C47AE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C47AE">
      <w:tc>
        <w:tcPr>
          <w:tcW w:w="6634" w:type="dxa"/>
          <w:tcBorders>
            <w:top w:val="single" w:sz="6" w:space="0" w:color="auto"/>
          </w:tcBorders>
        </w:tcPr>
        <w:p w:rsidR="007C47AE" w:rsidRDefault="007C47AE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C47AE" w:rsidRDefault="007C47AE" w:rsidP="00E669E2">
          <w:pPr>
            <w:pStyle w:val="HeaderOdd"/>
          </w:pPr>
        </w:p>
      </w:tc>
    </w:tr>
  </w:tbl>
  <w:p w:rsidR="007C47AE" w:rsidRDefault="007C47AE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0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1">
    <w:nsid w:val="3D72703C"/>
    <w:multiLevelType w:val="hybridMultilevel"/>
    <w:tmpl w:val="DD5E185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4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5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6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7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8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29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0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4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5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6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8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2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0"/>
  </w:num>
  <w:num w:numId="3">
    <w:abstractNumId w:val="40"/>
  </w:num>
  <w:num w:numId="4">
    <w:abstractNumId w:val="7"/>
  </w:num>
  <w:num w:numId="5">
    <w:abstractNumId w:val="5"/>
  </w:num>
  <w:num w:numId="6">
    <w:abstractNumId w:val="24"/>
  </w:num>
  <w:num w:numId="7">
    <w:abstractNumId w:val="3"/>
  </w:num>
  <w:num w:numId="8">
    <w:abstractNumId w:val="9"/>
  </w:num>
  <w:num w:numId="9">
    <w:abstractNumId w:val="2"/>
  </w:num>
  <w:num w:numId="10">
    <w:abstractNumId w:val="35"/>
  </w:num>
  <w:num w:numId="11">
    <w:abstractNumId w:val="4"/>
  </w:num>
  <w:num w:numId="12">
    <w:abstractNumId w:val="1"/>
  </w:num>
  <w:num w:numId="13">
    <w:abstractNumId w:val="0"/>
  </w:num>
  <w:num w:numId="14">
    <w:abstractNumId w:val="27"/>
  </w:num>
  <w:num w:numId="15">
    <w:abstractNumId w:val="41"/>
  </w:num>
  <w:num w:numId="16">
    <w:abstractNumId w:val="17"/>
  </w:num>
  <w:num w:numId="17">
    <w:abstractNumId w:val="16"/>
  </w:num>
  <w:num w:numId="18">
    <w:abstractNumId w:val="25"/>
  </w:num>
  <w:num w:numId="19">
    <w:abstractNumId w:val="12"/>
  </w:num>
  <w:num w:numId="20">
    <w:abstractNumId w:val="32"/>
  </w:num>
  <w:num w:numId="21">
    <w:abstractNumId w:val="34"/>
  </w:num>
  <w:num w:numId="22">
    <w:abstractNumId w:val="23"/>
  </w:num>
  <w:num w:numId="23">
    <w:abstractNumId w:val="26"/>
  </w:num>
  <w:num w:numId="24">
    <w:abstractNumId w:val="28"/>
  </w:num>
  <w:num w:numId="25">
    <w:abstractNumId w:val="39"/>
  </w:num>
  <w:num w:numId="26">
    <w:abstractNumId w:val="31"/>
  </w:num>
  <w:num w:numId="27">
    <w:abstractNumId w:val="36"/>
  </w:num>
  <w:num w:numId="28">
    <w:abstractNumId w:val="37"/>
  </w:num>
  <w:num w:numId="29">
    <w:abstractNumId w:val="29"/>
  </w:num>
  <w:num w:numId="30">
    <w:abstractNumId w:val="20"/>
  </w:num>
  <w:num w:numId="31">
    <w:abstractNumId w:val="42"/>
  </w:num>
  <w:num w:numId="32">
    <w:abstractNumId w:val="15"/>
  </w:num>
  <w:num w:numId="33">
    <w:abstractNumId w:val="8"/>
  </w:num>
  <w:num w:numId="34">
    <w:abstractNumId w:val="18"/>
  </w:num>
  <w:num w:numId="35">
    <w:abstractNumId w:val="38"/>
  </w:num>
  <w:num w:numId="36">
    <w:abstractNumId w:val="30"/>
  </w:num>
  <w:num w:numId="37">
    <w:abstractNumId w:val="13"/>
  </w:num>
  <w:num w:numId="38">
    <w:abstractNumId w:val="33"/>
  </w:num>
  <w:num w:numId="39">
    <w:abstractNumId w:val="14"/>
  </w:num>
  <w:num w:numId="40">
    <w:abstractNumId w:val="17"/>
  </w:num>
  <w:num w:numId="41">
    <w:abstractNumId w:val="9"/>
  </w:num>
  <w:num w:numId="42">
    <w:abstractNumId w:val="22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Conduct of the inquiry"/>
    <w:docVar w:name="ShortReportTitle" w:val="Electricity Network Regulation"/>
  </w:docVars>
  <w:rsids>
    <w:rsidRoot w:val="00250036"/>
    <w:rsid w:val="000047AF"/>
    <w:rsid w:val="000245AA"/>
    <w:rsid w:val="0003664B"/>
    <w:rsid w:val="0004111F"/>
    <w:rsid w:val="000440B3"/>
    <w:rsid w:val="00044B48"/>
    <w:rsid w:val="00047F15"/>
    <w:rsid w:val="00051811"/>
    <w:rsid w:val="00053145"/>
    <w:rsid w:val="000565B3"/>
    <w:rsid w:val="00065AC8"/>
    <w:rsid w:val="00067C6E"/>
    <w:rsid w:val="0007150B"/>
    <w:rsid w:val="000843D9"/>
    <w:rsid w:val="000859CA"/>
    <w:rsid w:val="00091494"/>
    <w:rsid w:val="000938F5"/>
    <w:rsid w:val="000B601B"/>
    <w:rsid w:val="000C0B7A"/>
    <w:rsid w:val="000C207E"/>
    <w:rsid w:val="000C4608"/>
    <w:rsid w:val="000D24CB"/>
    <w:rsid w:val="000E2493"/>
    <w:rsid w:val="000E7A11"/>
    <w:rsid w:val="00110116"/>
    <w:rsid w:val="001215E5"/>
    <w:rsid w:val="001244B2"/>
    <w:rsid w:val="00126EB8"/>
    <w:rsid w:val="00131747"/>
    <w:rsid w:val="00135242"/>
    <w:rsid w:val="001363AA"/>
    <w:rsid w:val="00162BCB"/>
    <w:rsid w:val="00166D24"/>
    <w:rsid w:val="00183E82"/>
    <w:rsid w:val="0019293B"/>
    <w:rsid w:val="001A3DA8"/>
    <w:rsid w:val="001A47BF"/>
    <w:rsid w:val="001A53B4"/>
    <w:rsid w:val="001B7F17"/>
    <w:rsid w:val="001C0404"/>
    <w:rsid w:val="001C0865"/>
    <w:rsid w:val="001C3ABA"/>
    <w:rsid w:val="001E7BE8"/>
    <w:rsid w:val="001F0248"/>
    <w:rsid w:val="001F0A1B"/>
    <w:rsid w:val="001F3EB3"/>
    <w:rsid w:val="00202C2C"/>
    <w:rsid w:val="00206E4B"/>
    <w:rsid w:val="00214E52"/>
    <w:rsid w:val="00222FDE"/>
    <w:rsid w:val="00242279"/>
    <w:rsid w:val="00243CEC"/>
    <w:rsid w:val="00245C82"/>
    <w:rsid w:val="00250036"/>
    <w:rsid w:val="0025359D"/>
    <w:rsid w:val="00291B40"/>
    <w:rsid w:val="002A12E8"/>
    <w:rsid w:val="002B4008"/>
    <w:rsid w:val="002D0E8E"/>
    <w:rsid w:val="002E2885"/>
    <w:rsid w:val="00301189"/>
    <w:rsid w:val="003017A9"/>
    <w:rsid w:val="00323E09"/>
    <w:rsid w:val="00325350"/>
    <w:rsid w:val="00333932"/>
    <w:rsid w:val="003518AA"/>
    <w:rsid w:val="00352165"/>
    <w:rsid w:val="00353182"/>
    <w:rsid w:val="003565D9"/>
    <w:rsid w:val="003602E1"/>
    <w:rsid w:val="00360D2B"/>
    <w:rsid w:val="0037026F"/>
    <w:rsid w:val="00371240"/>
    <w:rsid w:val="00374731"/>
    <w:rsid w:val="003800C9"/>
    <w:rsid w:val="003919F9"/>
    <w:rsid w:val="00391DFE"/>
    <w:rsid w:val="003A289B"/>
    <w:rsid w:val="003C38B5"/>
    <w:rsid w:val="003C5D99"/>
    <w:rsid w:val="003F0789"/>
    <w:rsid w:val="003F5C2B"/>
    <w:rsid w:val="00401882"/>
    <w:rsid w:val="00406030"/>
    <w:rsid w:val="004100C8"/>
    <w:rsid w:val="00412ACE"/>
    <w:rsid w:val="004169F1"/>
    <w:rsid w:val="004278B6"/>
    <w:rsid w:val="00431249"/>
    <w:rsid w:val="00434C19"/>
    <w:rsid w:val="00434F80"/>
    <w:rsid w:val="00441A84"/>
    <w:rsid w:val="00443FE8"/>
    <w:rsid w:val="00445BBC"/>
    <w:rsid w:val="00450810"/>
    <w:rsid w:val="00454826"/>
    <w:rsid w:val="004739E7"/>
    <w:rsid w:val="00477144"/>
    <w:rsid w:val="00481B41"/>
    <w:rsid w:val="0049459F"/>
    <w:rsid w:val="004A38DD"/>
    <w:rsid w:val="004A4EE3"/>
    <w:rsid w:val="004B40F3"/>
    <w:rsid w:val="004B43AE"/>
    <w:rsid w:val="004B755B"/>
    <w:rsid w:val="004C30ED"/>
    <w:rsid w:val="004C4E0A"/>
    <w:rsid w:val="004D5675"/>
    <w:rsid w:val="004E2CC2"/>
    <w:rsid w:val="004E75C7"/>
    <w:rsid w:val="00500656"/>
    <w:rsid w:val="00523639"/>
    <w:rsid w:val="00541561"/>
    <w:rsid w:val="005420B8"/>
    <w:rsid w:val="00583C39"/>
    <w:rsid w:val="005853C0"/>
    <w:rsid w:val="005909CF"/>
    <w:rsid w:val="00591E71"/>
    <w:rsid w:val="005A0D41"/>
    <w:rsid w:val="005B4A82"/>
    <w:rsid w:val="005C0E20"/>
    <w:rsid w:val="005F05AB"/>
    <w:rsid w:val="005F22D4"/>
    <w:rsid w:val="00600F5E"/>
    <w:rsid w:val="00603F50"/>
    <w:rsid w:val="00603FCC"/>
    <w:rsid w:val="00607BF1"/>
    <w:rsid w:val="006225D0"/>
    <w:rsid w:val="00630D4D"/>
    <w:rsid w:val="00632A74"/>
    <w:rsid w:val="0063357A"/>
    <w:rsid w:val="006505E7"/>
    <w:rsid w:val="00663649"/>
    <w:rsid w:val="00673CF4"/>
    <w:rsid w:val="00687274"/>
    <w:rsid w:val="006A1FA8"/>
    <w:rsid w:val="006A31AA"/>
    <w:rsid w:val="006A4655"/>
    <w:rsid w:val="006A78F7"/>
    <w:rsid w:val="006B2B3C"/>
    <w:rsid w:val="006C7038"/>
    <w:rsid w:val="006D26EC"/>
    <w:rsid w:val="006D7EF8"/>
    <w:rsid w:val="006E73EF"/>
    <w:rsid w:val="006F1F78"/>
    <w:rsid w:val="0070225C"/>
    <w:rsid w:val="00714D4D"/>
    <w:rsid w:val="00730CC3"/>
    <w:rsid w:val="00751974"/>
    <w:rsid w:val="00752883"/>
    <w:rsid w:val="007604BB"/>
    <w:rsid w:val="007628A9"/>
    <w:rsid w:val="00770282"/>
    <w:rsid w:val="00785232"/>
    <w:rsid w:val="007A21EB"/>
    <w:rsid w:val="007A69C5"/>
    <w:rsid w:val="007C2DFD"/>
    <w:rsid w:val="007C36C9"/>
    <w:rsid w:val="007C47AE"/>
    <w:rsid w:val="007D1A3D"/>
    <w:rsid w:val="007D26F7"/>
    <w:rsid w:val="007E01E4"/>
    <w:rsid w:val="007F327D"/>
    <w:rsid w:val="007F7107"/>
    <w:rsid w:val="007F78C7"/>
    <w:rsid w:val="00801C0C"/>
    <w:rsid w:val="0081030F"/>
    <w:rsid w:val="0082087D"/>
    <w:rsid w:val="008379FE"/>
    <w:rsid w:val="00842933"/>
    <w:rsid w:val="00856186"/>
    <w:rsid w:val="0086082C"/>
    <w:rsid w:val="00864ADC"/>
    <w:rsid w:val="00876CA7"/>
    <w:rsid w:val="00876F67"/>
    <w:rsid w:val="00880153"/>
    <w:rsid w:val="00880F97"/>
    <w:rsid w:val="0088133A"/>
    <w:rsid w:val="0089285E"/>
    <w:rsid w:val="0089436C"/>
    <w:rsid w:val="008A199A"/>
    <w:rsid w:val="008A3704"/>
    <w:rsid w:val="008C4BE1"/>
    <w:rsid w:val="008D365C"/>
    <w:rsid w:val="008E5E9B"/>
    <w:rsid w:val="008F0806"/>
    <w:rsid w:val="008F43EB"/>
    <w:rsid w:val="008F66C1"/>
    <w:rsid w:val="008F778A"/>
    <w:rsid w:val="008F7AFF"/>
    <w:rsid w:val="009030BF"/>
    <w:rsid w:val="009053AF"/>
    <w:rsid w:val="00914368"/>
    <w:rsid w:val="00920AC9"/>
    <w:rsid w:val="00930C73"/>
    <w:rsid w:val="00931076"/>
    <w:rsid w:val="009345D9"/>
    <w:rsid w:val="00934B15"/>
    <w:rsid w:val="00941239"/>
    <w:rsid w:val="00942B62"/>
    <w:rsid w:val="00955C9B"/>
    <w:rsid w:val="00956A0C"/>
    <w:rsid w:val="00956BD9"/>
    <w:rsid w:val="00957179"/>
    <w:rsid w:val="00962489"/>
    <w:rsid w:val="0096334F"/>
    <w:rsid w:val="0096723E"/>
    <w:rsid w:val="0096787A"/>
    <w:rsid w:val="00984103"/>
    <w:rsid w:val="00990C2C"/>
    <w:rsid w:val="009B12C7"/>
    <w:rsid w:val="009B35D7"/>
    <w:rsid w:val="009E518F"/>
    <w:rsid w:val="009F696D"/>
    <w:rsid w:val="009F6BC6"/>
    <w:rsid w:val="00A05006"/>
    <w:rsid w:val="00A11B7E"/>
    <w:rsid w:val="00A17328"/>
    <w:rsid w:val="00A23A20"/>
    <w:rsid w:val="00A24953"/>
    <w:rsid w:val="00A268B9"/>
    <w:rsid w:val="00A2703A"/>
    <w:rsid w:val="00A33DFF"/>
    <w:rsid w:val="00A35115"/>
    <w:rsid w:val="00A37328"/>
    <w:rsid w:val="00A554AB"/>
    <w:rsid w:val="00A66F82"/>
    <w:rsid w:val="00A7098B"/>
    <w:rsid w:val="00A7799A"/>
    <w:rsid w:val="00A84006"/>
    <w:rsid w:val="00A92B53"/>
    <w:rsid w:val="00A94FA6"/>
    <w:rsid w:val="00A95BD7"/>
    <w:rsid w:val="00AA1A1F"/>
    <w:rsid w:val="00AA49A0"/>
    <w:rsid w:val="00AA6710"/>
    <w:rsid w:val="00AB0681"/>
    <w:rsid w:val="00AB2C57"/>
    <w:rsid w:val="00AF249B"/>
    <w:rsid w:val="00AF40FF"/>
    <w:rsid w:val="00B0244B"/>
    <w:rsid w:val="00B06B68"/>
    <w:rsid w:val="00B31464"/>
    <w:rsid w:val="00B440AD"/>
    <w:rsid w:val="00B45FB1"/>
    <w:rsid w:val="00B5286D"/>
    <w:rsid w:val="00B53E7E"/>
    <w:rsid w:val="00B6342E"/>
    <w:rsid w:val="00B7113F"/>
    <w:rsid w:val="00B975E4"/>
    <w:rsid w:val="00BA73B6"/>
    <w:rsid w:val="00BB4FCD"/>
    <w:rsid w:val="00BD13EA"/>
    <w:rsid w:val="00BD5409"/>
    <w:rsid w:val="00BE0E2D"/>
    <w:rsid w:val="00BE3808"/>
    <w:rsid w:val="00C0242C"/>
    <w:rsid w:val="00C0512C"/>
    <w:rsid w:val="00C062E9"/>
    <w:rsid w:val="00C07B64"/>
    <w:rsid w:val="00C13721"/>
    <w:rsid w:val="00C200B1"/>
    <w:rsid w:val="00C23D36"/>
    <w:rsid w:val="00C3066D"/>
    <w:rsid w:val="00C338C5"/>
    <w:rsid w:val="00C452C9"/>
    <w:rsid w:val="00C543F4"/>
    <w:rsid w:val="00C6291C"/>
    <w:rsid w:val="00C633CB"/>
    <w:rsid w:val="00C8342C"/>
    <w:rsid w:val="00C836D9"/>
    <w:rsid w:val="00C8371D"/>
    <w:rsid w:val="00C8762C"/>
    <w:rsid w:val="00CA00F9"/>
    <w:rsid w:val="00CA2961"/>
    <w:rsid w:val="00CB50D7"/>
    <w:rsid w:val="00CB7177"/>
    <w:rsid w:val="00CC1998"/>
    <w:rsid w:val="00CC441E"/>
    <w:rsid w:val="00CC4946"/>
    <w:rsid w:val="00CC576B"/>
    <w:rsid w:val="00CD0E39"/>
    <w:rsid w:val="00CE15E8"/>
    <w:rsid w:val="00CF0515"/>
    <w:rsid w:val="00CF544E"/>
    <w:rsid w:val="00CF5DE4"/>
    <w:rsid w:val="00D04319"/>
    <w:rsid w:val="00D23AD8"/>
    <w:rsid w:val="00D270A4"/>
    <w:rsid w:val="00D341EA"/>
    <w:rsid w:val="00D34E1B"/>
    <w:rsid w:val="00D376BA"/>
    <w:rsid w:val="00D4037C"/>
    <w:rsid w:val="00D43D67"/>
    <w:rsid w:val="00D45821"/>
    <w:rsid w:val="00D506D0"/>
    <w:rsid w:val="00D5568A"/>
    <w:rsid w:val="00D61CB2"/>
    <w:rsid w:val="00D63D73"/>
    <w:rsid w:val="00D66E1E"/>
    <w:rsid w:val="00D75722"/>
    <w:rsid w:val="00D82615"/>
    <w:rsid w:val="00D93938"/>
    <w:rsid w:val="00DA5BBA"/>
    <w:rsid w:val="00DB67C9"/>
    <w:rsid w:val="00DC0C95"/>
    <w:rsid w:val="00DC6B99"/>
    <w:rsid w:val="00DD6580"/>
    <w:rsid w:val="00DF265B"/>
    <w:rsid w:val="00E17C72"/>
    <w:rsid w:val="00E21F20"/>
    <w:rsid w:val="00E21FC6"/>
    <w:rsid w:val="00E25AD1"/>
    <w:rsid w:val="00E25B5A"/>
    <w:rsid w:val="00E27BB0"/>
    <w:rsid w:val="00E30B37"/>
    <w:rsid w:val="00E36015"/>
    <w:rsid w:val="00E41A6E"/>
    <w:rsid w:val="00E662E8"/>
    <w:rsid w:val="00E669E2"/>
    <w:rsid w:val="00E76135"/>
    <w:rsid w:val="00E7772A"/>
    <w:rsid w:val="00E86D68"/>
    <w:rsid w:val="00EB18B1"/>
    <w:rsid w:val="00EC2844"/>
    <w:rsid w:val="00EE1A93"/>
    <w:rsid w:val="00EE63FD"/>
    <w:rsid w:val="00EF4E39"/>
    <w:rsid w:val="00EF6C6C"/>
    <w:rsid w:val="00F056FC"/>
    <w:rsid w:val="00F10476"/>
    <w:rsid w:val="00F135D8"/>
    <w:rsid w:val="00F31299"/>
    <w:rsid w:val="00F3534A"/>
    <w:rsid w:val="00F37B7E"/>
    <w:rsid w:val="00F46622"/>
    <w:rsid w:val="00F66367"/>
    <w:rsid w:val="00F66FE2"/>
    <w:rsid w:val="00F74D2C"/>
    <w:rsid w:val="00F7514F"/>
    <w:rsid w:val="00F85325"/>
    <w:rsid w:val="00FB4B4C"/>
    <w:rsid w:val="00FD22B1"/>
    <w:rsid w:val="00FE1726"/>
    <w:rsid w:val="00FE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i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A5BBA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A17328"/>
    <w:pPr>
      <w:spacing w:before="120" w:after="0"/>
      <w:ind w:left="1304" w:hanging="1304"/>
    </w:p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17328"/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17328"/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7C2DFD"/>
    <w:rPr>
      <w:rFonts w:ascii="Calibri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C2DFD"/>
    <w:rPr>
      <w:rFonts w:ascii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i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DA5BBA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DB67C9"/>
    <w:pPr>
      <w:keepNext/>
      <w:numPr>
        <w:numId w:val="1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DB67C9"/>
    <w:pPr>
      <w:keepNext/>
      <w:numPr>
        <w:numId w:val="2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864ADC"/>
    <w:pPr>
      <w:keepNext/>
      <w:numPr>
        <w:numId w:val="39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Normal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Normal"/>
    <w:rsid w:val="00A17328"/>
    <w:pPr>
      <w:spacing w:before="120" w:after="0"/>
      <w:ind w:left="1304" w:hanging="1304"/>
    </w:p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semiHidden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A17328"/>
  </w:style>
  <w:style w:type="paragraph" w:styleId="Subtitle">
    <w:name w:val="Subtitle"/>
    <w:basedOn w:val="Caption"/>
    <w:link w:val="SubtitleChar"/>
    <w:qFormat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A173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DC0C9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864ADC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A17328"/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3565D9"/>
    <w:pPr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7C2DFD"/>
    <w:rPr>
      <w:rFonts w:ascii="Calibri" w:hAnsi="Calibr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C2DFD"/>
    <w:rPr>
      <w:rFonts w:ascii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BF225-CF19-4F13-8FB7-2BA86124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7</Pages>
  <Words>1078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Conduct of the inquiry</vt:lpstr>
    </vt:vector>
  </TitlesOfParts>
  <Company>Productivity Commission</Company>
  <LinksUpToDate>false</LinksUpToDate>
  <CharactersWithSpaces>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Conduct of the inquiry</dc:title>
  <dc:subject>Electricity Network Regulation</dc:subject>
  <dc:creator>Productivity Commission</dc:creator>
  <dc:description>A.</dc:description>
  <cp:lastModifiedBy>Productivity Commission</cp:lastModifiedBy>
  <cp:revision>2</cp:revision>
  <cp:lastPrinted>2013-03-25T23:46:00Z</cp:lastPrinted>
  <dcterms:created xsi:type="dcterms:W3CDTF">2013-04-22T04:02:00Z</dcterms:created>
  <dcterms:modified xsi:type="dcterms:W3CDTF">2013-04-22T04:02:00Z</dcterms:modified>
</cp:coreProperties>
</file>