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FA1E1C" w:rsidP="00FA1E1C">
      <w:pPr>
        <w:pStyle w:val="Chapter"/>
        <w:ind w:left="907" w:hanging="907"/>
      </w:pPr>
      <w:bookmarkStart w:id="0" w:name="ChapterNumber"/>
      <w:bookmarkStart w:id="1" w:name="_GoBack"/>
      <w:bookmarkEnd w:id="1"/>
      <w:r>
        <w:t>F</w:t>
      </w:r>
      <w:bookmarkEnd w:id="0"/>
      <w:r>
        <w:tab/>
      </w:r>
      <w:bookmarkStart w:id="2" w:name="ChapterTitle"/>
      <w:r>
        <w:t>Current transmission reliability and planning frameworks</w:t>
      </w:r>
      <w:bookmarkEnd w:id="2"/>
    </w:p>
    <w:p w:rsidR="00232829" w:rsidRPr="00232829" w:rsidRDefault="00411DEE" w:rsidP="00232829">
      <w:pPr>
        <w:pStyle w:val="BodyText"/>
      </w:pPr>
      <w:r>
        <w:t xml:space="preserve">In this appendix, the current and proposed frameworks to develop reliability standards across the </w:t>
      </w:r>
      <w:r w:rsidR="00C200D9">
        <w:t>National Electricity Market (</w:t>
      </w:r>
      <w:r>
        <w:t>NEM</w:t>
      </w:r>
      <w:r w:rsidR="00C200D9">
        <w:t>)</w:t>
      </w:r>
      <w:r>
        <w:t xml:space="preserve"> are assessed on efficiency grounds (including those detailed in the Commission’s draft report). The conclusions from this analysis have been used to inform the Commission</w:t>
      </w:r>
      <w:r w:rsidR="006721C3">
        <w:t>’s</w:t>
      </w:r>
      <w:r>
        <w:t xml:space="preserve"> proposed framework for setting transmission reliability on a NEM</w:t>
      </w:r>
      <w:r w:rsidR="00327A8C">
        <w:noBreakHyphen/>
      </w:r>
      <w:r>
        <w:t xml:space="preserve">wide basis detailed in </w:t>
      </w:r>
      <w:r w:rsidR="00AC05F0">
        <w:t>chapter </w:t>
      </w:r>
      <w:r>
        <w:t xml:space="preserve">16. A brief description of the current broader national transmission planning framework is also provided. </w:t>
      </w:r>
    </w:p>
    <w:p w:rsidR="00E41D70" w:rsidRDefault="00FA1E1C" w:rsidP="00E41D70">
      <w:pPr>
        <w:pStyle w:val="Heading2"/>
      </w:pPr>
      <w:bookmarkStart w:id="3" w:name="begin"/>
      <w:bookmarkEnd w:id="3"/>
      <w:r>
        <w:t>F.</w:t>
      </w:r>
      <w:r w:rsidR="007A6CEE">
        <w:rPr>
          <w:noProof/>
        </w:rPr>
        <w:t>1</w:t>
      </w:r>
      <w:r w:rsidR="00E41D70">
        <w:tab/>
      </w:r>
      <w:r w:rsidR="00825B56">
        <w:t>Current f</w:t>
      </w:r>
      <w:r w:rsidR="00A8701B">
        <w:t>rameworks for transmission r</w:t>
      </w:r>
      <w:r w:rsidR="008E761A">
        <w:t>eliability</w:t>
      </w:r>
    </w:p>
    <w:p w:rsidR="00A207BE" w:rsidRDefault="004A75EA" w:rsidP="00A207BE">
      <w:pPr>
        <w:pStyle w:val="BodyText"/>
      </w:pPr>
      <w:r>
        <w:t>Within the NEM, e</w:t>
      </w:r>
      <w:r w:rsidR="005F650B">
        <w:t>ach jurisdiction has a separate planning framework for setting reliability standards for transmission businesses</w:t>
      </w:r>
      <w:r w:rsidR="00825B56">
        <w:t xml:space="preserve"> (</w:t>
      </w:r>
      <w:r w:rsidR="002E1C15">
        <w:t>table </w:t>
      </w:r>
      <w:r w:rsidR="00650956">
        <w:t>F</w:t>
      </w:r>
      <w:r w:rsidR="00A207BE">
        <w:t>.1)</w:t>
      </w:r>
      <w:r w:rsidR="005F650B">
        <w:t xml:space="preserve">. </w:t>
      </w:r>
      <w:r w:rsidR="00A207BE">
        <w:t>The frameworks vary in the:</w:t>
      </w:r>
    </w:p>
    <w:p w:rsidR="00A207BE" w:rsidRDefault="00A207BE" w:rsidP="00A207BE">
      <w:pPr>
        <w:pStyle w:val="ListBullet"/>
      </w:pPr>
      <w:r>
        <w:t>type of standards applied and the level of discretion bus</w:t>
      </w:r>
      <w:r w:rsidR="00C21B8F">
        <w:t>inesses have when meeting them</w:t>
      </w:r>
    </w:p>
    <w:p w:rsidR="00A207BE" w:rsidRDefault="00A207BE" w:rsidP="00A207BE">
      <w:pPr>
        <w:pStyle w:val="ListBullet"/>
      </w:pPr>
      <w:r>
        <w:t>level of standards, both within jurisdictions where standards in central business district (CBD) areas are usually higher than elsewhere, and bet</w:t>
      </w:r>
      <w:r w:rsidR="0081325C">
        <w:t xml:space="preserve">ween jurisdictions even for </w:t>
      </w:r>
      <w:r>
        <w:t>similar types of location and customer</w:t>
      </w:r>
    </w:p>
    <w:p w:rsidR="00A207BE" w:rsidRDefault="00A207BE" w:rsidP="00A207BE">
      <w:pPr>
        <w:pStyle w:val="ListBullet"/>
      </w:pPr>
      <w:r>
        <w:t xml:space="preserve">body responsible for setting standards and the instruments used to specify them, including codes, licence conditions, legislation and Network Management Plans. </w:t>
      </w:r>
    </w:p>
    <w:p w:rsidR="006A3A0F" w:rsidRPr="00267F11" w:rsidRDefault="006A3A0F" w:rsidP="006A3A0F">
      <w:pPr>
        <w:pStyle w:val="BodyText"/>
      </w:pPr>
      <w:r w:rsidRPr="00267F11">
        <w:t>Reliability settings for transmission networks apply within a broader framework of network planning, operation and performance (</w:t>
      </w:r>
      <w:r w:rsidR="002E1C15" w:rsidRPr="00267F11">
        <w:t>box</w:t>
      </w:r>
      <w:r w:rsidR="002E1C15">
        <w:t> </w:t>
      </w:r>
      <w:r w:rsidR="00267F11">
        <w:t>F.1</w:t>
      </w:r>
      <w:r w:rsidRPr="00267F11">
        <w:t xml:space="preserve">). These aspects determine the reliability of transmission networks in the short term (within an operational timeframe ranging from the instantaneous through to several months into the future) and in the longer term (within a planning timeframe ranging from a few months to several decades into the future). They also determine how transmission businesses respond once an interruption has occurred (through performance standards). </w:t>
      </w:r>
    </w:p>
    <w:p w:rsidR="00267F11" w:rsidRDefault="00267F11" w:rsidP="00267F11">
      <w:pPr>
        <w:pStyle w:val="ListBullet"/>
        <w:numPr>
          <w:ilvl w:val="0"/>
          <w:numId w:val="0"/>
        </w:numPr>
      </w:pPr>
      <w:r>
        <w:t xml:space="preserve">Each planning framework is a </w:t>
      </w:r>
      <w:r w:rsidR="00D536D9">
        <w:t xml:space="preserve">legacy of jurisdictional electricity </w:t>
      </w:r>
      <w:r>
        <w:t>development prior to the NEM. The final report of the C</w:t>
      </w:r>
      <w:r w:rsidR="00D07043">
        <w:t xml:space="preserve">ouncil </w:t>
      </w:r>
      <w:r w:rsidR="00C23194">
        <w:t>o</w:t>
      </w:r>
      <w:r w:rsidR="00D07043">
        <w:t xml:space="preserve">f </w:t>
      </w:r>
      <w:r>
        <w:t>A</w:t>
      </w:r>
      <w:r w:rsidR="00D07043">
        <w:t xml:space="preserve">ustralian </w:t>
      </w:r>
      <w:r>
        <w:t>G</w:t>
      </w:r>
      <w:r w:rsidR="00D07043">
        <w:t>overnments (COAG)</w:t>
      </w:r>
      <w:r>
        <w:t xml:space="preserve"> Independent Review of Energy Market Directions in 2002 noted that </w:t>
      </w:r>
      <w:r w:rsidR="00EF7086">
        <w:t>it</w:t>
      </w:r>
      <w:r>
        <w:t xml:space="preserve"> was ‘very </w:t>
      </w:r>
      <w:r>
        <w:lastRenderedPageBreak/>
        <w:t xml:space="preserve">much aware of community and hence government sensitivity to issues of supply reliability’ (MCE 2002, p. 8), which underpinned the reluctance of jurisdictions to relinquish control of reliability settings in their networks. </w:t>
      </w:r>
    </w:p>
    <w:p w:rsidR="000C7CFD" w:rsidRDefault="000C7CFD" w:rsidP="000C7CFD">
      <w:pPr>
        <w:pStyle w:val="TableTitle"/>
      </w:pPr>
      <w:r>
        <w:rPr>
          <w:b w:val="0"/>
        </w:rPr>
        <w:t>Table F.</w:t>
      </w:r>
      <w:r>
        <w:rPr>
          <w:b w:val="0"/>
          <w:noProof/>
        </w:rPr>
        <w:t>1</w:t>
      </w:r>
      <w:r>
        <w:tab/>
        <w:t>Transmission network reliability standards under existing planning frameworks</w:t>
      </w:r>
      <w:r w:rsidRPr="00F30492">
        <w:rPr>
          <w:rStyle w:val="NoteLabel"/>
          <w:b/>
        </w:rPr>
        <w:t>a</w:t>
      </w:r>
    </w:p>
    <w:tbl>
      <w:tblPr>
        <w:tblW w:w="5000" w:type="pct"/>
        <w:tblCellMar>
          <w:left w:w="0" w:type="dxa"/>
          <w:right w:w="0" w:type="dxa"/>
        </w:tblCellMar>
        <w:tblLook w:val="0000" w:firstRow="0" w:lastRow="0" w:firstColumn="0" w:lastColumn="0" w:noHBand="0" w:noVBand="0"/>
      </w:tblPr>
      <w:tblGrid>
        <w:gridCol w:w="853"/>
        <w:gridCol w:w="1842"/>
        <w:gridCol w:w="3684"/>
        <w:gridCol w:w="2410"/>
      </w:tblGrid>
      <w:tr w:rsidR="000C7CFD" w:rsidTr="003A0245">
        <w:tc>
          <w:tcPr>
            <w:tcW w:w="485" w:type="pct"/>
            <w:tcBorders>
              <w:top w:val="single" w:sz="6" w:space="0" w:color="auto"/>
              <w:bottom w:val="single" w:sz="6" w:space="0" w:color="auto"/>
            </w:tcBorders>
            <w:shd w:val="clear" w:color="auto" w:fill="auto"/>
          </w:tcPr>
          <w:p w:rsidR="000C7CFD" w:rsidRDefault="000C7CFD" w:rsidP="003A0245">
            <w:pPr>
              <w:pStyle w:val="TableColumnHeading"/>
              <w:jc w:val="left"/>
            </w:pPr>
            <w:r>
              <w:t>State</w:t>
            </w:r>
          </w:p>
        </w:tc>
        <w:tc>
          <w:tcPr>
            <w:tcW w:w="1048" w:type="pct"/>
            <w:tcBorders>
              <w:top w:val="single" w:sz="6" w:space="0" w:color="auto"/>
              <w:bottom w:val="single" w:sz="6" w:space="0" w:color="auto"/>
            </w:tcBorders>
            <w:shd w:val="clear" w:color="auto" w:fill="auto"/>
          </w:tcPr>
          <w:p w:rsidR="000C7CFD" w:rsidRDefault="000C7CFD" w:rsidP="003A0245">
            <w:pPr>
              <w:pStyle w:val="TableColumnHeading"/>
              <w:jc w:val="left"/>
            </w:pPr>
            <w:r>
              <w:t>Type of standard</w:t>
            </w:r>
          </w:p>
        </w:tc>
        <w:tc>
          <w:tcPr>
            <w:tcW w:w="2096" w:type="pct"/>
            <w:tcBorders>
              <w:top w:val="single" w:sz="6" w:space="0" w:color="auto"/>
              <w:bottom w:val="single" w:sz="6" w:space="0" w:color="auto"/>
            </w:tcBorders>
            <w:shd w:val="clear" w:color="auto" w:fill="auto"/>
          </w:tcPr>
          <w:p w:rsidR="000C7CFD" w:rsidRDefault="000C7CFD" w:rsidP="003A0245">
            <w:pPr>
              <w:pStyle w:val="TableColumnHeading"/>
              <w:jc w:val="left"/>
            </w:pPr>
            <w:r>
              <w:t>Standard</w:t>
            </w:r>
          </w:p>
        </w:tc>
        <w:tc>
          <w:tcPr>
            <w:tcW w:w="1371" w:type="pct"/>
            <w:tcBorders>
              <w:top w:val="single" w:sz="6" w:space="0" w:color="auto"/>
              <w:bottom w:val="single" w:sz="6" w:space="0" w:color="auto"/>
            </w:tcBorders>
            <w:shd w:val="clear" w:color="auto" w:fill="auto"/>
          </w:tcPr>
          <w:p w:rsidR="000C7CFD" w:rsidRDefault="000C7CFD" w:rsidP="003A0245">
            <w:pPr>
              <w:pStyle w:val="TableColumnHeading"/>
              <w:jc w:val="left"/>
            </w:pPr>
            <w:r>
              <w:t>Source of standard</w:t>
            </w:r>
          </w:p>
        </w:tc>
      </w:tr>
      <w:tr w:rsidR="000C7CFD" w:rsidTr="003A0245">
        <w:tc>
          <w:tcPr>
            <w:tcW w:w="485" w:type="pct"/>
            <w:tcBorders>
              <w:top w:val="single" w:sz="6" w:space="0" w:color="auto"/>
            </w:tcBorders>
          </w:tcPr>
          <w:p w:rsidR="000C7CFD" w:rsidRDefault="000C7CFD" w:rsidP="003A0245">
            <w:pPr>
              <w:pStyle w:val="TableBodyText"/>
              <w:spacing w:before="40"/>
              <w:jc w:val="left"/>
            </w:pPr>
            <w:r>
              <w:t>NSW</w:t>
            </w:r>
          </w:p>
        </w:tc>
        <w:tc>
          <w:tcPr>
            <w:tcW w:w="1048" w:type="pct"/>
            <w:tcBorders>
              <w:top w:val="single" w:sz="6" w:space="0" w:color="auto"/>
            </w:tcBorders>
          </w:tcPr>
          <w:p w:rsidR="000C7CFD" w:rsidRPr="005E701A" w:rsidRDefault="000C7CFD" w:rsidP="003A0245">
            <w:pPr>
              <w:pStyle w:val="TableBodyText"/>
              <w:framePr w:w="2155" w:hSpace="227" w:vSpace="181" w:wrap="around" w:vAnchor="text" w:hAnchor="page" w:xAlign="outside" w:y="1"/>
              <w:spacing w:before="40"/>
              <w:jc w:val="left"/>
            </w:pPr>
            <w:r w:rsidRPr="006854EF">
              <w:t>Deterministic</w:t>
            </w:r>
          </w:p>
        </w:tc>
        <w:tc>
          <w:tcPr>
            <w:tcW w:w="2096" w:type="pct"/>
            <w:tcBorders>
              <w:top w:val="single" w:sz="6" w:space="0" w:color="auto"/>
            </w:tcBorders>
          </w:tcPr>
          <w:p w:rsidR="000C7CFD" w:rsidRPr="005E701A" w:rsidRDefault="000C7CFD" w:rsidP="003A0245">
            <w:pPr>
              <w:pStyle w:val="TableBodyText"/>
              <w:framePr w:w="2155" w:hSpace="227" w:vSpace="181" w:wrap="around" w:vAnchor="text" w:hAnchor="page" w:xAlign="outside" w:y="1"/>
              <w:spacing w:before="40"/>
              <w:jc w:val="left"/>
            </w:pPr>
            <w:r w:rsidRPr="006854EF">
              <w:t>N-1 everywhere, except CBD of Sydney where it is N-2</w:t>
            </w:r>
          </w:p>
        </w:tc>
        <w:tc>
          <w:tcPr>
            <w:tcW w:w="1371" w:type="pct"/>
            <w:tcBorders>
              <w:top w:val="single" w:sz="6" w:space="0" w:color="auto"/>
            </w:tcBorders>
          </w:tcPr>
          <w:p w:rsidR="000C7CFD" w:rsidRPr="005F65BE" w:rsidRDefault="000C7CFD" w:rsidP="003A0245">
            <w:pPr>
              <w:pStyle w:val="TableBodyText"/>
              <w:framePr w:w="2155" w:hSpace="227" w:vSpace="181" w:wrap="around" w:vAnchor="text" w:hAnchor="page" w:xAlign="outside" w:y="1"/>
              <w:spacing w:before="40"/>
              <w:jc w:val="left"/>
            </w:pPr>
            <w:r w:rsidRPr="006854EF">
              <w:t>Contained in Transmission Network Design and Reliability Standard for NSW from the Department of Industry and Investment</w:t>
            </w:r>
          </w:p>
        </w:tc>
      </w:tr>
      <w:tr w:rsidR="000C7CFD" w:rsidTr="003A0245">
        <w:tc>
          <w:tcPr>
            <w:tcW w:w="485" w:type="pct"/>
            <w:shd w:val="clear" w:color="auto" w:fill="F2F2F2" w:themeFill="background1" w:themeFillShade="F2"/>
          </w:tcPr>
          <w:p w:rsidR="000C7CFD" w:rsidRDefault="000C7CFD" w:rsidP="003A0245">
            <w:pPr>
              <w:pStyle w:val="TableBodyText"/>
              <w:spacing w:before="40"/>
              <w:jc w:val="left"/>
              <w:rPr>
                <w:i/>
              </w:rPr>
            </w:pPr>
            <w:r>
              <w:t>Vic</w:t>
            </w:r>
          </w:p>
        </w:tc>
        <w:tc>
          <w:tcPr>
            <w:tcW w:w="1048" w:type="pct"/>
            <w:shd w:val="clear" w:color="auto" w:fill="F2F2F2" w:themeFill="background1" w:themeFillShade="F2"/>
          </w:tcPr>
          <w:p w:rsidR="000C7CFD" w:rsidRPr="00EC60A0" w:rsidRDefault="000C7CFD" w:rsidP="003A0245">
            <w:pPr>
              <w:pStyle w:val="TableBodyText"/>
              <w:framePr w:w="2155" w:hSpace="227" w:vSpace="181" w:wrap="around" w:vAnchor="text" w:hAnchor="page" w:xAlign="outside" w:y="1"/>
              <w:spacing w:before="40"/>
              <w:jc w:val="left"/>
            </w:pPr>
            <w:r w:rsidRPr="00EC60A0">
              <w:t xml:space="preserve">Probabilistic </w:t>
            </w:r>
          </w:p>
        </w:tc>
        <w:tc>
          <w:tcPr>
            <w:tcW w:w="2096" w:type="pct"/>
            <w:shd w:val="clear" w:color="auto" w:fill="F2F2F2" w:themeFill="background1" w:themeFillShade="F2"/>
          </w:tcPr>
          <w:p w:rsidR="000C7CFD" w:rsidRPr="00EC60A0" w:rsidRDefault="000C7CFD" w:rsidP="003A0245">
            <w:pPr>
              <w:pStyle w:val="TableBodyText"/>
              <w:framePr w:w="2155" w:hSpace="227" w:vSpace="181" w:wrap="around" w:vAnchor="text" w:hAnchor="page" w:xAlign="outside" w:y="1"/>
              <w:spacing w:before="40"/>
              <w:jc w:val="left"/>
            </w:pPr>
            <w:r w:rsidRPr="00EC60A0">
              <w:t>Standard depends on the value of customer reliability (VCR) used at each connection point. The higher the VCR, the higher the standard (Melbourne CBD has the highest VCR)</w:t>
            </w:r>
          </w:p>
        </w:tc>
        <w:tc>
          <w:tcPr>
            <w:tcW w:w="1371" w:type="pct"/>
            <w:shd w:val="clear" w:color="auto" w:fill="F2F2F2" w:themeFill="background1" w:themeFillShade="F2"/>
          </w:tcPr>
          <w:p w:rsidR="000C7CFD" w:rsidRPr="009F1908" w:rsidRDefault="000C7CFD" w:rsidP="003A0245">
            <w:pPr>
              <w:pStyle w:val="TableBodyText"/>
              <w:spacing w:before="40"/>
              <w:jc w:val="left"/>
            </w:pPr>
            <w:r w:rsidRPr="009F1908">
              <w:t>Sections 50C and 50F of the National Electricity Law</w:t>
            </w:r>
          </w:p>
        </w:tc>
      </w:tr>
      <w:tr w:rsidR="000C7CFD" w:rsidTr="003A0245">
        <w:tc>
          <w:tcPr>
            <w:tcW w:w="485" w:type="pct"/>
          </w:tcPr>
          <w:p w:rsidR="000C7CFD" w:rsidRDefault="000C7CFD" w:rsidP="003A0245">
            <w:pPr>
              <w:pStyle w:val="TableBodyText"/>
              <w:spacing w:before="40"/>
              <w:jc w:val="left"/>
              <w:rPr>
                <w:i/>
              </w:rPr>
            </w:pPr>
            <w:r>
              <w:t>Qld</w:t>
            </w:r>
          </w:p>
        </w:tc>
        <w:tc>
          <w:tcPr>
            <w:tcW w:w="1048" w:type="pct"/>
          </w:tcPr>
          <w:p w:rsidR="000C7CFD" w:rsidRPr="005E701A" w:rsidRDefault="000C7CFD" w:rsidP="003A0245">
            <w:pPr>
              <w:pStyle w:val="TableBodyText"/>
              <w:framePr w:w="2155" w:hSpace="227" w:vSpace="181" w:wrap="around" w:vAnchor="text" w:hAnchor="page" w:xAlign="outside" w:y="1"/>
              <w:spacing w:before="40"/>
              <w:jc w:val="left"/>
            </w:pPr>
            <w:r w:rsidRPr="006854EF">
              <w:t>Deterministic</w:t>
            </w:r>
          </w:p>
        </w:tc>
        <w:tc>
          <w:tcPr>
            <w:tcW w:w="2096" w:type="pct"/>
          </w:tcPr>
          <w:p w:rsidR="000C7CFD" w:rsidRPr="005E701A" w:rsidRDefault="000C7CFD" w:rsidP="003A0245">
            <w:pPr>
              <w:pStyle w:val="TableBodyText"/>
              <w:framePr w:w="2155" w:hSpace="227" w:vSpace="181" w:wrap="around" w:vAnchor="text" w:hAnchor="page" w:xAlign="outside" w:y="1"/>
              <w:spacing w:before="40"/>
              <w:jc w:val="left"/>
            </w:pPr>
            <w:r w:rsidRPr="006854EF">
              <w:t xml:space="preserve">N-1 everywhere </w:t>
            </w:r>
            <w:r>
              <w:t>but also</w:t>
            </w:r>
            <w:r w:rsidRPr="006854EF">
              <w:t xml:space="preserve"> includes generation assets (sometimes expressed as N-1-G)</w:t>
            </w:r>
          </w:p>
          <w:p w:rsidR="000C7CFD" w:rsidRPr="006854EF" w:rsidRDefault="000C7CFD" w:rsidP="003A0245">
            <w:pPr>
              <w:pStyle w:val="TableBodyText"/>
              <w:spacing w:before="40"/>
              <w:jc w:val="left"/>
            </w:pPr>
          </w:p>
        </w:tc>
        <w:tc>
          <w:tcPr>
            <w:tcW w:w="1371" w:type="pct"/>
          </w:tcPr>
          <w:p w:rsidR="000C7CFD" w:rsidRPr="006854EF" w:rsidRDefault="000C7CFD" w:rsidP="003A0245">
            <w:pPr>
              <w:pStyle w:val="TableBodyText"/>
              <w:spacing w:before="40"/>
              <w:jc w:val="left"/>
            </w:pPr>
            <w:r w:rsidRPr="00256014">
              <w:t>Transmission Au</w:t>
            </w:r>
            <w:r>
              <w:t xml:space="preserve">thority (licence) issued under section </w:t>
            </w:r>
            <w:r w:rsidRPr="00256014">
              <w:t xml:space="preserve">34 of the </w:t>
            </w:r>
            <w:r w:rsidRPr="006721C3">
              <w:rPr>
                <w:i/>
              </w:rPr>
              <w:t>Queensland Electricity Act 1994</w:t>
            </w:r>
          </w:p>
        </w:tc>
      </w:tr>
      <w:tr w:rsidR="000C7CFD" w:rsidTr="003A0245">
        <w:tc>
          <w:tcPr>
            <w:tcW w:w="485" w:type="pct"/>
            <w:shd w:val="clear" w:color="auto" w:fill="F2F2F2" w:themeFill="background1" w:themeFillShade="F2"/>
          </w:tcPr>
          <w:p w:rsidR="000C7CFD" w:rsidRDefault="000C7CFD" w:rsidP="003A0245">
            <w:pPr>
              <w:pStyle w:val="TableBodyText"/>
              <w:spacing w:before="40"/>
              <w:jc w:val="left"/>
              <w:rPr>
                <w:i/>
              </w:rPr>
            </w:pPr>
            <w:r>
              <w:t>SA</w:t>
            </w:r>
          </w:p>
        </w:tc>
        <w:tc>
          <w:tcPr>
            <w:tcW w:w="1048" w:type="pct"/>
            <w:shd w:val="clear" w:color="auto" w:fill="F2F2F2" w:themeFill="background1" w:themeFillShade="F2"/>
          </w:tcPr>
          <w:p w:rsidR="000C7CFD" w:rsidRPr="005E701A" w:rsidRDefault="000C7CFD" w:rsidP="003A0245">
            <w:pPr>
              <w:pStyle w:val="TableBodyText"/>
              <w:framePr w:w="2155" w:hSpace="227" w:vSpace="181" w:wrap="around" w:vAnchor="text" w:hAnchor="page" w:xAlign="outside" w:y="1"/>
              <w:spacing w:before="40"/>
              <w:jc w:val="left"/>
            </w:pPr>
            <w:r w:rsidRPr="006854EF">
              <w:t>Expressed as deterministic, but changes are made based on probabilistic analysis</w:t>
            </w:r>
          </w:p>
        </w:tc>
        <w:tc>
          <w:tcPr>
            <w:tcW w:w="2096" w:type="pct"/>
            <w:shd w:val="clear" w:color="auto" w:fill="F2F2F2" w:themeFill="background1" w:themeFillShade="F2"/>
          </w:tcPr>
          <w:p w:rsidR="000C7CFD" w:rsidRPr="005E701A" w:rsidRDefault="000C7CFD" w:rsidP="003A0245">
            <w:pPr>
              <w:pStyle w:val="TableBodyText"/>
              <w:framePr w:w="2155" w:hSpace="227" w:vSpace="181" w:wrap="around" w:vAnchor="text" w:hAnchor="page" w:xAlign="outside" w:y="1"/>
              <w:spacing w:before="40"/>
              <w:jc w:val="left"/>
            </w:pPr>
            <w:r>
              <w:t>Six</w:t>
            </w:r>
            <w:r w:rsidRPr="006854EF">
              <w:t xml:space="preserve"> (</w:t>
            </w:r>
            <w:r>
              <w:t>revised to five from July 2013</w:t>
            </w:r>
            <w:r w:rsidRPr="006854EF">
              <w:t>) categories of standard specified at connection points ranging from N to equivalent N</w:t>
            </w:r>
            <w:r w:rsidRPr="006854EF">
              <w:noBreakHyphen/>
              <w:t>2 for line and transformer capacity. Categorisation depends on VCR at that point</w:t>
            </w:r>
          </w:p>
        </w:tc>
        <w:tc>
          <w:tcPr>
            <w:tcW w:w="1371" w:type="pct"/>
            <w:shd w:val="clear" w:color="auto" w:fill="F2F2F2" w:themeFill="background1" w:themeFillShade="F2"/>
          </w:tcPr>
          <w:p w:rsidR="000C7CFD" w:rsidRPr="005E701A" w:rsidRDefault="000C7CFD" w:rsidP="003A0245">
            <w:pPr>
              <w:pStyle w:val="TableBodyText"/>
              <w:framePr w:w="2155" w:hSpace="227" w:vSpace="181" w:wrap="around" w:vAnchor="text" w:hAnchor="page" w:xAlign="outside" w:y="1"/>
              <w:spacing w:before="40"/>
              <w:jc w:val="left"/>
            </w:pPr>
            <w:r w:rsidRPr="006854EF">
              <w:t xml:space="preserve">Electricity Transmission Code administered by </w:t>
            </w:r>
            <w:r>
              <w:t>Essential Services Commission of South Australia</w:t>
            </w:r>
            <w:r w:rsidRPr="006854EF">
              <w:t xml:space="preserve"> with advice from </w:t>
            </w:r>
            <w:r>
              <w:t xml:space="preserve">the </w:t>
            </w:r>
            <w:r w:rsidRPr="006854EF">
              <w:t>A</w:t>
            </w:r>
            <w:r>
              <w:t xml:space="preserve">ustralian </w:t>
            </w:r>
            <w:r w:rsidRPr="006854EF">
              <w:t>E</w:t>
            </w:r>
            <w:r>
              <w:t xml:space="preserve">nergy </w:t>
            </w:r>
            <w:r w:rsidRPr="006854EF">
              <w:t>M</w:t>
            </w:r>
            <w:r>
              <w:t xml:space="preserve">arket </w:t>
            </w:r>
            <w:r w:rsidRPr="006854EF">
              <w:t>O</w:t>
            </w:r>
            <w:r>
              <w:t>perator</w:t>
            </w:r>
          </w:p>
        </w:tc>
      </w:tr>
      <w:tr w:rsidR="000C7CFD" w:rsidTr="003A0245">
        <w:tc>
          <w:tcPr>
            <w:tcW w:w="485" w:type="pct"/>
            <w:tcBorders>
              <w:bottom w:val="single" w:sz="6" w:space="0" w:color="auto"/>
            </w:tcBorders>
            <w:shd w:val="clear" w:color="auto" w:fill="auto"/>
          </w:tcPr>
          <w:p w:rsidR="000C7CFD" w:rsidRDefault="000C7CFD" w:rsidP="003A0245">
            <w:pPr>
              <w:pStyle w:val="TableBodyText"/>
              <w:spacing w:before="40"/>
              <w:jc w:val="left"/>
              <w:rPr>
                <w:i/>
              </w:rPr>
            </w:pPr>
            <w:r>
              <w:t>Tas</w:t>
            </w:r>
          </w:p>
        </w:tc>
        <w:tc>
          <w:tcPr>
            <w:tcW w:w="1048" w:type="pct"/>
            <w:tcBorders>
              <w:bottom w:val="single" w:sz="6" w:space="0" w:color="auto"/>
            </w:tcBorders>
            <w:shd w:val="clear" w:color="auto" w:fill="auto"/>
          </w:tcPr>
          <w:p w:rsidR="000C7CFD" w:rsidRPr="005E701A" w:rsidRDefault="000C7CFD" w:rsidP="003A0245">
            <w:pPr>
              <w:pStyle w:val="TableBodyText"/>
              <w:framePr w:w="2155" w:hSpace="227" w:vSpace="181" w:wrap="around" w:vAnchor="text" w:hAnchor="page" w:xAlign="outside" w:y="1"/>
              <w:spacing w:before="40"/>
              <w:jc w:val="left"/>
            </w:pPr>
            <w:r w:rsidRPr="006854EF">
              <w:t>Deterministic and performance based, according to limits on size of load interrupted or duration of interruption</w:t>
            </w:r>
          </w:p>
        </w:tc>
        <w:tc>
          <w:tcPr>
            <w:tcW w:w="2096" w:type="pct"/>
            <w:tcBorders>
              <w:bottom w:val="single" w:sz="6" w:space="0" w:color="auto"/>
            </w:tcBorders>
            <w:shd w:val="clear" w:color="auto" w:fill="auto"/>
          </w:tcPr>
          <w:p w:rsidR="000C7CFD" w:rsidRPr="005E701A" w:rsidRDefault="000C7CFD" w:rsidP="003A0245">
            <w:pPr>
              <w:pStyle w:val="TableBodyText"/>
              <w:framePr w:w="2155" w:hSpace="227" w:vSpace="181" w:wrap="around" w:vAnchor="text" w:hAnchor="page" w:xAlign="outside" w:y="1"/>
              <w:spacing w:before="40"/>
              <w:jc w:val="left"/>
            </w:pPr>
            <w:r w:rsidRPr="006854EF">
              <w:t>For intact system:</w:t>
            </w:r>
          </w:p>
          <w:p w:rsidR="000C7CFD" w:rsidRPr="005F65BE" w:rsidRDefault="000C7CFD" w:rsidP="003A0245">
            <w:pPr>
              <w:pStyle w:val="TableBodyText"/>
              <w:spacing w:before="40"/>
              <w:jc w:val="left"/>
            </w:pPr>
            <w:r w:rsidRPr="006854EF">
              <w:t>N-1 for connections &gt;25</w:t>
            </w:r>
            <w:r>
              <w:t> </w:t>
            </w:r>
            <w:r w:rsidRPr="006854EF">
              <w:t>MW.</w:t>
            </w:r>
          </w:p>
          <w:p w:rsidR="000C7CFD" w:rsidRPr="005F65BE" w:rsidRDefault="000C7CFD" w:rsidP="003A0245">
            <w:pPr>
              <w:pStyle w:val="TableBodyText"/>
              <w:spacing w:before="40"/>
              <w:jc w:val="left"/>
            </w:pPr>
            <w:r w:rsidRPr="006854EF">
              <w:t>No asset failure will interrupt &gt;850</w:t>
            </w:r>
            <w:r>
              <w:t> </w:t>
            </w:r>
            <w:r w:rsidRPr="006854EF">
              <w:t>MW</w:t>
            </w:r>
          </w:p>
          <w:p w:rsidR="000C7CFD" w:rsidRPr="005F65BE" w:rsidRDefault="000C7CFD" w:rsidP="003A0245">
            <w:pPr>
              <w:pStyle w:val="TableBodyText"/>
              <w:spacing w:before="40"/>
              <w:jc w:val="left"/>
            </w:pPr>
            <w:r w:rsidRPr="006854EF">
              <w:t>No credible contingency will cause unserved energy &gt;3000</w:t>
            </w:r>
            <w:r>
              <w:t> </w:t>
            </w:r>
            <w:r w:rsidRPr="006854EF">
              <w:t>MWh</w:t>
            </w:r>
          </w:p>
          <w:p w:rsidR="000C7CFD" w:rsidRPr="005F65BE" w:rsidRDefault="000C7CFD" w:rsidP="003A0245">
            <w:pPr>
              <w:pStyle w:val="TableBodyText"/>
              <w:spacing w:before="40"/>
              <w:jc w:val="left"/>
            </w:pPr>
            <w:r w:rsidRPr="006854EF">
              <w:t>For network element out of service, no credible contingency to cause unserved energy of &gt;18</w:t>
            </w:r>
            <w:r>
              <w:t> </w:t>
            </w:r>
            <w:r w:rsidRPr="006854EF">
              <w:t>000</w:t>
            </w:r>
            <w:r>
              <w:t> </w:t>
            </w:r>
            <w:r w:rsidRPr="006854EF">
              <w:t>MWh</w:t>
            </w:r>
          </w:p>
        </w:tc>
        <w:tc>
          <w:tcPr>
            <w:tcW w:w="1371" w:type="pct"/>
            <w:tcBorders>
              <w:bottom w:val="single" w:sz="6" w:space="0" w:color="auto"/>
            </w:tcBorders>
            <w:shd w:val="clear" w:color="auto" w:fill="auto"/>
          </w:tcPr>
          <w:p w:rsidR="000C7CFD" w:rsidRPr="005E701A" w:rsidRDefault="000C7CFD" w:rsidP="003A0245">
            <w:pPr>
              <w:pStyle w:val="TableBodyText"/>
              <w:spacing w:before="40"/>
              <w:jc w:val="left"/>
            </w:pPr>
            <w:r w:rsidRPr="006854EF">
              <w:t>Regulations recommended by Tasmanian Reliability and Network Planning Panel of the Tasmanian Energy Regulator and issued by Tasmanian Government</w:t>
            </w:r>
          </w:p>
        </w:tc>
      </w:tr>
    </w:tbl>
    <w:p w:rsidR="000C7CFD" w:rsidRDefault="000C7CFD" w:rsidP="000C7CFD">
      <w:pPr>
        <w:pStyle w:val="Note"/>
      </w:pPr>
      <w:r w:rsidRPr="008E77FE">
        <w:rPr>
          <w:rStyle w:val="NoteLabel"/>
        </w:rPr>
        <w:t>a</w:t>
      </w:r>
      <w:r>
        <w:t xml:space="preserve"> Deterministic standards and probabilistic planning are described in boxes F.2 and F.4 respectively and VCRs are discussed in chapter 14. </w:t>
      </w:r>
    </w:p>
    <w:p w:rsidR="000C7CFD" w:rsidRPr="00BD39A6" w:rsidRDefault="000C7CFD" w:rsidP="000C7CFD">
      <w:pPr>
        <w:pStyle w:val="Source"/>
      </w:pPr>
      <w:r>
        <w:rPr>
          <w:i/>
        </w:rPr>
        <w:t>Source</w:t>
      </w:r>
      <w:r>
        <w:t>: AEMC (2008a).</w:t>
      </w:r>
    </w:p>
    <w:p w:rsidR="000C7CFD" w:rsidRDefault="000C7CFD" w:rsidP="000C7CFD">
      <w:pPr>
        <w:pStyle w:val="ListBullet"/>
        <w:numPr>
          <w:ilvl w:val="0"/>
          <w:numId w:val="0"/>
        </w:numPr>
      </w:pPr>
      <w:r>
        <w:t>While significant variations between jurisdictions exist, it is possible to assign each jurisdiction’s framework into one of three broad planning frameworks for setting transmission network reliability standards:</w:t>
      </w:r>
    </w:p>
    <w:p w:rsidR="000C7CFD" w:rsidRPr="000C7CFD" w:rsidRDefault="000C7CFD" w:rsidP="000C7CFD">
      <w:pPr>
        <w:pStyle w:val="ListBullet"/>
        <w:rPr>
          <w:spacing w:val="-5"/>
        </w:rPr>
      </w:pPr>
      <w:r w:rsidRPr="000C7CFD">
        <w:rPr>
          <w:spacing w:val="-5"/>
        </w:rPr>
        <w:t>the use of deterministic standards in New South Wales, Queensland and Tasmania</w:t>
      </w:r>
    </w:p>
    <w:p w:rsidR="000C7CFD" w:rsidRDefault="000C7CFD" w:rsidP="000C7CFD">
      <w:pPr>
        <w:pStyle w:val="ListBullet"/>
      </w:pPr>
      <w:r>
        <w:t>probabilistic planning in Victoria</w:t>
      </w:r>
    </w:p>
    <w:p w:rsidR="000C7CFD" w:rsidRDefault="000C7CFD" w:rsidP="000C7CFD">
      <w:pPr>
        <w:pStyle w:val="ListBullet"/>
      </w:pPr>
      <w:r>
        <w:t xml:space="preserve">the use of hybrid standards in South Australia. </w:t>
      </w:r>
    </w:p>
    <w:p w:rsidR="00411DEE" w:rsidRDefault="00411DE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11DEE">
        <w:tc>
          <w:tcPr>
            <w:tcW w:w="8771" w:type="dxa"/>
            <w:tcBorders>
              <w:top w:val="single" w:sz="6" w:space="0" w:color="auto"/>
              <w:bottom w:val="nil"/>
            </w:tcBorders>
          </w:tcPr>
          <w:p w:rsidR="00411DEE" w:rsidRDefault="00411DEE">
            <w:pPr>
              <w:pStyle w:val="BoxTitle"/>
            </w:pPr>
            <w:r>
              <w:rPr>
                <w:b w:val="0"/>
              </w:rPr>
              <w:t xml:space="preserve">Box </w:t>
            </w:r>
            <w:r w:rsidR="00FA1E1C">
              <w:rPr>
                <w:b w:val="0"/>
              </w:rPr>
              <w:t>F.</w:t>
            </w:r>
            <w:r w:rsidR="007A6CEE">
              <w:rPr>
                <w:b w:val="0"/>
                <w:noProof/>
              </w:rPr>
              <w:t>1</w:t>
            </w:r>
            <w:r>
              <w:tab/>
            </w:r>
            <w:r w:rsidRPr="00267F11">
              <w:t>Reliability settings in transmission networks</w:t>
            </w:r>
          </w:p>
        </w:tc>
      </w:tr>
      <w:tr w:rsidR="00411DEE" w:rsidRPr="00156309">
        <w:trPr>
          <w:cantSplit/>
        </w:trPr>
        <w:tc>
          <w:tcPr>
            <w:tcW w:w="8771" w:type="dxa"/>
            <w:tcBorders>
              <w:top w:val="nil"/>
              <w:left w:val="single" w:sz="6" w:space="0" w:color="auto"/>
              <w:bottom w:val="nil"/>
              <w:right w:val="single" w:sz="6" w:space="0" w:color="auto"/>
            </w:tcBorders>
          </w:tcPr>
          <w:p w:rsidR="00411DEE" w:rsidRPr="00156309" w:rsidRDefault="00411DEE" w:rsidP="00411DEE">
            <w:pPr>
              <w:pStyle w:val="Box"/>
            </w:pPr>
            <w:r w:rsidRPr="00156309">
              <w:t xml:space="preserve">Each jurisdiction’s reliability settings are a critical factor in transmission planning, operation and performance. Planning, operational and performance standards are designed to influence the likelihood, size and the duration of an outage. </w:t>
            </w:r>
          </w:p>
          <w:p w:rsidR="00411DEE" w:rsidRPr="00156309" w:rsidRDefault="00411DEE" w:rsidP="00411DEE">
            <w:pPr>
              <w:pStyle w:val="Box"/>
            </w:pPr>
            <w:r w:rsidRPr="00156309">
              <w:t xml:space="preserve">Reliability of the network in the operational timeframe is largely controlled by </w:t>
            </w:r>
            <w:r w:rsidR="00156309">
              <w:t>transmission businesses</w:t>
            </w:r>
            <w:r w:rsidRPr="00156309">
              <w:t>. The National Electricity Rules (schedules 5.1a and 5.1) specify that the network must remain in a secure operating state.</w:t>
            </w:r>
            <w:r w:rsidR="00037276">
              <w:rPr>
                <w:rStyle w:val="FootnoteReference"/>
              </w:rPr>
              <w:footnoteReference w:id="1"/>
            </w:r>
          </w:p>
          <w:p w:rsidR="00411DEE" w:rsidRPr="00156309" w:rsidRDefault="00411DEE" w:rsidP="00411DEE">
            <w:pPr>
              <w:pStyle w:val="Box"/>
            </w:pPr>
            <w:r w:rsidRPr="00156309">
              <w:t>Requirements for reliability beyond those specified in the Rules are mostly set at the jurisdictional level, except the NEM-wide standard that unserved energy per year for each region must not exceed 0.002 per cent of the total energy consumed for that year.</w:t>
            </w:r>
          </w:p>
          <w:p w:rsidR="00411DEE" w:rsidRPr="00156309" w:rsidRDefault="00411DEE" w:rsidP="00411DEE">
            <w:pPr>
              <w:pStyle w:val="Box"/>
            </w:pPr>
            <w:r w:rsidRPr="00156309">
              <w:t>Transmission businesses also set standards for the proportion of line and transformer capacity that can be used at any given time. This can affect congestion on transmission lines and the order of dispatch of generation (chapter 1</w:t>
            </w:r>
            <w:r w:rsidR="005243D5">
              <w:t>9</w:t>
            </w:r>
            <w:r w:rsidRPr="00156309">
              <w:t xml:space="preserve">). </w:t>
            </w:r>
          </w:p>
          <w:p w:rsidR="00411DEE" w:rsidRPr="00156309" w:rsidRDefault="00411DEE" w:rsidP="00411DEE">
            <w:pPr>
              <w:pStyle w:val="Box"/>
            </w:pPr>
            <w:r w:rsidRPr="00156309">
              <w:t xml:space="preserve">Post-interruption performance standards exist to prompt transmission businesses to respond quickly when an outage occurs. Some elements of performance are captured in standards set by jurisdictions, and performance is also part of the </w:t>
            </w:r>
            <w:r w:rsidR="00C200D9" w:rsidRPr="00156309">
              <w:t xml:space="preserve">Australian Energy Regulator’s </w:t>
            </w:r>
            <w:r w:rsidRPr="00156309">
              <w:t>Service Target Performance Incentive Scheme for transmission.</w:t>
            </w:r>
          </w:p>
          <w:p w:rsidR="00411DEE" w:rsidRPr="00156309" w:rsidRDefault="00411DEE" w:rsidP="00037276">
            <w:pPr>
              <w:pStyle w:val="Box"/>
            </w:pPr>
            <w:r w:rsidRPr="00156309">
              <w:t>In the planning timeframe, jurisdictional planning standards aim to ensure that as demand changes, networks can continue to operate in a secure state given the contingency events that might arise.</w:t>
            </w:r>
            <w:r w:rsidR="00037276">
              <w:rPr>
                <w:rStyle w:val="FootnoteReference"/>
              </w:rPr>
              <w:footnoteReference w:id="2"/>
            </w:r>
          </w:p>
        </w:tc>
      </w:tr>
      <w:tr w:rsidR="00411DEE">
        <w:trPr>
          <w:cantSplit/>
        </w:trPr>
        <w:tc>
          <w:tcPr>
            <w:tcW w:w="8771" w:type="dxa"/>
            <w:tcBorders>
              <w:top w:val="nil"/>
              <w:left w:val="single" w:sz="6" w:space="0" w:color="auto"/>
              <w:bottom w:val="single" w:sz="6" w:space="0" w:color="auto"/>
              <w:right w:val="single" w:sz="6" w:space="0" w:color="auto"/>
            </w:tcBorders>
          </w:tcPr>
          <w:p w:rsidR="00411DEE" w:rsidRDefault="00411DEE">
            <w:pPr>
              <w:pStyle w:val="Box"/>
              <w:spacing w:before="0" w:line="120" w:lineRule="exact"/>
            </w:pPr>
          </w:p>
        </w:tc>
      </w:tr>
      <w:tr w:rsidR="00411DEE" w:rsidRPr="000863A5">
        <w:tc>
          <w:tcPr>
            <w:tcW w:w="8771" w:type="dxa"/>
            <w:tcBorders>
              <w:top w:val="nil"/>
              <w:left w:val="nil"/>
              <w:bottom w:val="nil"/>
              <w:right w:val="nil"/>
            </w:tcBorders>
          </w:tcPr>
          <w:p w:rsidR="00411DEE" w:rsidRPr="00626D32" w:rsidRDefault="00411DEE" w:rsidP="00411DEE">
            <w:pPr>
              <w:pStyle w:val="BoxSpaceBelow"/>
            </w:pPr>
          </w:p>
        </w:tc>
      </w:tr>
    </w:tbl>
    <w:p w:rsidR="007556D1" w:rsidRDefault="00501CE7" w:rsidP="00FC016B">
      <w:pPr>
        <w:pStyle w:val="ListBullet"/>
        <w:numPr>
          <w:ilvl w:val="0"/>
          <w:numId w:val="0"/>
        </w:numPr>
      </w:pPr>
      <w:r>
        <w:t>T</w:t>
      </w:r>
      <w:r w:rsidR="0081325C">
        <w:t xml:space="preserve">here has </w:t>
      </w:r>
      <w:r>
        <w:t xml:space="preserve">also </w:t>
      </w:r>
      <w:r w:rsidR="0081325C">
        <w:t>been considerable debate around a possible national framework for transmission reliability</w:t>
      </w:r>
      <w:r w:rsidR="007B0F9D">
        <w:t xml:space="preserve"> — dating back </w:t>
      </w:r>
      <w:r w:rsidR="00156309">
        <w:t>to</w:t>
      </w:r>
      <w:r w:rsidR="007B0F9D">
        <w:t xml:space="preserve"> 2002 (chapter 21)</w:t>
      </w:r>
      <w:r w:rsidR="0081325C">
        <w:t xml:space="preserve">. </w:t>
      </w:r>
      <w:r w:rsidR="007B0F9D">
        <w:t>Of the more recent reviews, t</w:t>
      </w:r>
      <w:r w:rsidR="0081325C">
        <w:t xml:space="preserve">he </w:t>
      </w:r>
      <w:r w:rsidR="00156309">
        <w:t>f</w:t>
      </w:r>
      <w:r w:rsidR="0081325C">
        <w:t xml:space="preserve">inal </w:t>
      </w:r>
      <w:r w:rsidR="00156309">
        <w:t>r</w:t>
      </w:r>
      <w:r w:rsidR="0081325C">
        <w:t>eport of the</w:t>
      </w:r>
      <w:r w:rsidR="0050321F">
        <w:t xml:space="preserve"> </w:t>
      </w:r>
      <w:r w:rsidR="00C200D9">
        <w:t>Australian Energy Market Commission’s (</w:t>
      </w:r>
      <w:r w:rsidR="0050321F">
        <w:t>AEMC’s</w:t>
      </w:r>
      <w:r w:rsidR="00C200D9">
        <w:t>)</w:t>
      </w:r>
      <w:r w:rsidR="0081325C">
        <w:t xml:space="preserve"> </w:t>
      </w:r>
      <w:r w:rsidR="00907A05">
        <w:t xml:space="preserve">2008 </w:t>
      </w:r>
      <w:r w:rsidR="0081325C">
        <w:rPr>
          <w:i/>
        </w:rPr>
        <w:t>Transmission Reliability Standards Review</w:t>
      </w:r>
      <w:r w:rsidR="0081325C">
        <w:t xml:space="preserve"> found that most parties agreed with a national framework, but differed in how they envisioned that framework, and most particularly, its scope to allow jurisdictions to set their own standards (AEMC</w:t>
      </w:r>
      <w:r w:rsidR="003A0245">
        <w:t> </w:t>
      </w:r>
      <w:r w:rsidR="0081325C">
        <w:t>2008</w:t>
      </w:r>
      <w:r w:rsidR="009A676D">
        <w:t>a</w:t>
      </w:r>
      <w:r w:rsidR="0081325C">
        <w:t xml:space="preserve">, p. 13). </w:t>
      </w:r>
      <w:r>
        <w:t>The debate currently revolves around two models for a national framework for transmission reliability and planning:</w:t>
      </w:r>
    </w:p>
    <w:p w:rsidR="00EC60A0" w:rsidRDefault="00EC60A0" w:rsidP="00EC60A0">
      <w:pPr>
        <w:pStyle w:val="ListBullet"/>
      </w:pPr>
      <w:r>
        <w:lastRenderedPageBreak/>
        <w:t xml:space="preserve">an extension of Victoria’s probabilistic planning process </w:t>
      </w:r>
      <w:r w:rsidR="00446232">
        <w:t xml:space="preserve">undertaken by the Australian Energy Market Operator (AEMO) </w:t>
      </w:r>
      <w:r>
        <w:t>to the rest of the NEM (referred to as the ‘AEMO planner model’)</w:t>
      </w:r>
    </w:p>
    <w:p w:rsidR="00501CE7" w:rsidRDefault="00501CE7" w:rsidP="00501CE7">
      <w:pPr>
        <w:pStyle w:val="ListBullet"/>
      </w:pPr>
      <w:r>
        <w:t xml:space="preserve">the </w:t>
      </w:r>
      <w:r w:rsidR="007556D1">
        <w:t>AEMC</w:t>
      </w:r>
      <w:r>
        <w:t>’s</w:t>
      </w:r>
      <w:r w:rsidR="007556D1">
        <w:t xml:space="preserve"> </w:t>
      </w:r>
      <w:r w:rsidR="00F67FE7">
        <w:t xml:space="preserve">preferred </w:t>
      </w:r>
      <w:r w:rsidR="007556D1">
        <w:t>model</w:t>
      </w:r>
      <w:r w:rsidR="00F67FE7">
        <w:t>.</w:t>
      </w:r>
      <w:r w:rsidR="00EC60A0">
        <w:t xml:space="preserve"> </w:t>
      </w:r>
    </w:p>
    <w:p w:rsidR="007F6BE0" w:rsidRDefault="007F6BE0" w:rsidP="00FC016B">
      <w:pPr>
        <w:pStyle w:val="ListBullet"/>
        <w:numPr>
          <w:ilvl w:val="0"/>
          <w:numId w:val="0"/>
        </w:numPr>
      </w:pPr>
      <w:r>
        <w:t xml:space="preserve">Since the Commission’s </w:t>
      </w:r>
      <w:r w:rsidR="00C200D9">
        <w:t>d</w:t>
      </w:r>
      <w:r>
        <w:t xml:space="preserve">raft </w:t>
      </w:r>
      <w:r w:rsidR="00C200D9">
        <w:t>r</w:t>
      </w:r>
      <w:r>
        <w:t>eport, Grid Australia has also described another model (referred to as the ‘Grid Australia preferred model’) (sub. DR91).</w:t>
      </w:r>
    </w:p>
    <w:p w:rsidR="007F6BE0" w:rsidRDefault="007F6BE0" w:rsidP="007F6BE0">
      <w:pPr>
        <w:pStyle w:val="ListBullet"/>
        <w:numPr>
          <w:ilvl w:val="0"/>
          <w:numId w:val="0"/>
        </w:numPr>
      </w:pPr>
      <w:r>
        <w:t>As such, five</w:t>
      </w:r>
      <w:r w:rsidR="00501CE7">
        <w:t xml:space="preserve"> broad frameworks either exist or are being considered in the NEM. </w:t>
      </w:r>
      <w:r w:rsidR="00FC016B">
        <w:t xml:space="preserve">The remainder of this section describes </w:t>
      </w:r>
      <w:r w:rsidR="0081325C">
        <w:t>the</w:t>
      </w:r>
      <w:r w:rsidR="00501CE7">
        <w:t>se</w:t>
      </w:r>
      <w:r w:rsidR="0081325C">
        <w:t xml:space="preserve"> frameworks and</w:t>
      </w:r>
      <w:r w:rsidR="00F32BAC">
        <w:t xml:space="preserve"> </w:t>
      </w:r>
      <w:r w:rsidR="00FC016B">
        <w:t xml:space="preserve">assesses </w:t>
      </w:r>
      <w:r w:rsidR="00F32BAC">
        <w:t>the eff</w:t>
      </w:r>
      <w:r w:rsidR="0081325C">
        <w:t>iciency of levels of reliability</w:t>
      </w:r>
      <w:r w:rsidR="00F32BAC">
        <w:t xml:space="preserve"> </w:t>
      </w:r>
      <w:r w:rsidR="0081325C">
        <w:t>that are determined</w:t>
      </w:r>
      <w:r w:rsidR="00F32BAC">
        <w:t xml:space="preserve"> within them</w:t>
      </w:r>
      <w:r w:rsidR="00FC016B">
        <w:t xml:space="preserve">. </w:t>
      </w:r>
    </w:p>
    <w:p w:rsidR="006D6E98" w:rsidRDefault="00411DEE" w:rsidP="00FC016B">
      <w:pPr>
        <w:pStyle w:val="BodyText"/>
      </w:pPr>
      <w:r>
        <w:t>In this appendix, t</w:t>
      </w:r>
      <w:r w:rsidR="00E12977">
        <w:t>he</w:t>
      </w:r>
      <w:r w:rsidR="006D6E98">
        <w:t xml:space="preserve"> broad planning frameworks in the NEM are assessed in terms of the following </w:t>
      </w:r>
      <w:r>
        <w:t>six</w:t>
      </w:r>
      <w:r w:rsidR="006D6E98">
        <w:t xml:space="preserve"> broad criteria</w:t>
      </w:r>
      <w:r w:rsidR="007F6BE0">
        <w:t>, as established in chapter 16</w:t>
      </w:r>
      <w:r w:rsidR="006D6E98">
        <w:t>:</w:t>
      </w:r>
    </w:p>
    <w:p w:rsidR="00FC016B" w:rsidRDefault="006D52D6" w:rsidP="00FC016B">
      <w:pPr>
        <w:pStyle w:val="ListBullet"/>
      </w:pPr>
      <w:r>
        <w:rPr>
          <w:i/>
        </w:rPr>
        <w:t>e</w:t>
      </w:r>
      <w:r w:rsidR="00FC016B">
        <w:rPr>
          <w:i/>
        </w:rPr>
        <w:t>fficiency in</w:t>
      </w:r>
      <w:r w:rsidR="006D6E98">
        <w:rPr>
          <w:i/>
        </w:rPr>
        <w:t xml:space="preserve"> investments</w:t>
      </w:r>
      <w:r w:rsidR="00FC016B">
        <w:rPr>
          <w:i/>
        </w:rPr>
        <w:t xml:space="preserve"> </w:t>
      </w:r>
    </w:p>
    <w:p w:rsidR="00FC016B" w:rsidRPr="004D07D5" w:rsidRDefault="006D52D6" w:rsidP="00FC016B">
      <w:pPr>
        <w:pStyle w:val="ListBullet"/>
      </w:pPr>
      <w:r>
        <w:rPr>
          <w:i/>
        </w:rPr>
        <w:t>e</w:t>
      </w:r>
      <w:r w:rsidR="006D6E98">
        <w:rPr>
          <w:i/>
        </w:rPr>
        <w:t xml:space="preserve">fficiency of </w:t>
      </w:r>
      <w:r>
        <w:rPr>
          <w:i/>
        </w:rPr>
        <w:t>standards</w:t>
      </w:r>
      <w:r w:rsidR="00FC016B">
        <w:rPr>
          <w:i/>
        </w:rPr>
        <w:t xml:space="preserve"> </w:t>
      </w:r>
    </w:p>
    <w:p w:rsidR="004D07D5" w:rsidRDefault="004D07D5" w:rsidP="00FC016B">
      <w:pPr>
        <w:pStyle w:val="ListBullet"/>
      </w:pPr>
      <w:r>
        <w:rPr>
          <w:i/>
        </w:rPr>
        <w:t>minimising windfall gains</w:t>
      </w:r>
    </w:p>
    <w:p w:rsidR="00FC016B" w:rsidRDefault="006D52D6" w:rsidP="00FC016B">
      <w:pPr>
        <w:pStyle w:val="ListBullet"/>
      </w:pPr>
      <w:r>
        <w:rPr>
          <w:i/>
        </w:rPr>
        <w:t>m</w:t>
      </w:r>
      <w:r w:rsidR="0050321F">
        <w:rPr>
          <w:i/>
        </w:rPr>
        <w:t>inimising</w:t>
      </w:r>
      <w:r w:rsidR="006D6E98">
        <w:rPr>
          <w:i/>
        </w:rPr>
        <w:t xml:space="preserve"> a</w:t>
      </w:r>
      <w:r w:rsidR="00FC016B">
        <w:rPr>
          <w:i/>
        </w:rPr>
        <w:t>dmin</w:t>
      </w:r>
      <w:r>
        <w:rPr>
          <w:i/>
        </w:rPr>
        <w:t>istrative and compliance burden</w:t>
      </w:r>
      <w:r w:rsidR="0050321F">
        <w:rPr>
          <w:i/>
        </w:rPr>
        <w:t>s</w:t>
      </w:r>
      <w:r w:rsidR="00FC016B">
        <w:t xml:space="preserve"> </w:t>
      </w:r>
    </w:p>
    <w:p w:rsidR="00FC016B" w:rsidRPr="00FC016B" w:rsidRDefault="006D52D6" w:rsidP="00FC016B">
      <w:pPr>
        <w:pStyle w:val="ListBullet"/>
      </w:pPr>
      <w:r>
        <w:rPr>
          <w:i/>
        </w:rPr>
        <w:t>NEM</w:t>
      </w:r>
      <w:r w:rsidR="006721C3">
        <w:rPr>
          <w:i/>
        </w:rPr>
        <w:t>-</w:t>
      </w:r>
      <w:r>
        <w:rPr>
          <w:i/>
        </w:rPr>
        <w:t>wide effects</w:t>
      </w:r>
      <w:r w:rsidR="00FC016B">
        <w:rPr>
          <w:i/>
        </w:rPr>
        <w:t xml:space="preserve"> </w:t>
      </w:r>
    </w:p>
    <w:p w:rsidR="00FC016B" w:rsidRDefault="006D52D6" w:rsidP="00FC016B">
      <w:pPr>
        <w:pStyle w:val="ListBullet"/>
      </w:pPr>
      <w:r>
        <w:rPr>
          <w:i/>
        </w:rPr>
        <w:t>a</w:t>
      </w:r>
      <w:r w:rsidR="00243393">
        <w:rPr>
          <w:i/>
        </w:rPr>
        <w:t>uditing</w:t>
      </w:r>
      <w:r w:rsidR="00E12977">
        <w:rPr>
          <w:i/>
        </w:rPr>
        <w:t xml:space="preserve"> compliance </w:t>
      </w:r>
      <w:r w:rsidR="00FA357D">
        <w:rPr>
          <w:i/>
        </w:rPr>
        <w:t>to ensure reliability and</w:t>
      </w:r>
      <w:r w:rsidR="003A0CF7">
        <w:rPr>
          <w:i/>
        </w:rPr>
        <w:t xml:space="preserve"> </w:t>
      </w:r>
      <w:r w:rsidR="00243393">
        <w:rPr>
          <w:i/>
        </w:rPr>
        <w:t xml:space="preserve">efficiency </w:t>
      </w:r>
      <w:r w:rsidR="00E12977">
        <w:rPr>
          <w:i/>
        </w:rPr>
        <w:t>in the long run.</w:t>
      </w:r>
    </w:p>
    <w:p w:rsidR="00A46776" w:rsidRDefault="00FA1E1C" w:rsidP="00D96DEB">
      <w:pPr>
        <w:pStyle w:val="Heading2"/>
      </w:pPr>
      <w:r>
        <w:t>F.</w:t>
      </w:r>
      <w:r w:rsidR="007A6CEE">
        <w:rPr>
          <w:noProof/>
        </w:rPr>
        <w:t>2</w:t>
      </w:r>
      <w:r w:rsidR="00F67FE7">
        <w:tab/>
      </w:r>
      <w:r w:rsidR="00A06C91">
        <w:t>New South Wales, Queensland and Tasmania</w:t>
      </w:r>
    </w:p>
    <w:p w:rsidR="00A33639" w:rsidRDefault="00A33639" w:rsidP="00D96DEB">
      <w:pPr>
        <w:pStyle w:val="Heading3"/>
      </w:pPr>
      <w:r>
        <w:t>Governance</w:t>
      </w:r>
    </w:p>
    <w:p w:rsidR="00A46776" w:rsidRDefault="00DF7819" w:rsidP="00A46776">
      <w:pPr>
        <w:pStyle w:val="BodyText"/>
      </w:pPr>
      <w:r>
        <w:t>The three state-owned transmission businesses</w:t>
      </w:r>
      <w:r w:rsidR="0077433E">
        <w:t xml:space="preserve"> in New South Wales, Queensland and Tasmania</w:t>
      </w:r>
      <w:r w:rsidR="00083448">
        <w:t xml:space="preserve"> — TransG</w:t>
      </w:r>
      <w:r>
        <w:t xml:space="preserve">rid, Powerlink and Transend — </w:t>
      </w:r>
      <w:r w:rsidR="00CB35A9">
        <w:t>must comply with planning</w:t>
      </w:r>
      <w:r w:rsidR="00A46776">
        <w:t xml:space="preserve"> standards </w:t>
      </w:r>
      <w:r w:rsidR="00A22EBC">
        <w:t xml:space="preserve">specified </w:t>
      </w:r>
      <w:r w:rsidR="00F5113C">
        <w:t>in jurisdictional licen</w:t>
      </w:r>
      <w:r w:rsidR="009842EC">
        <w:t>c</w:t>
      </w:r>
      <w:r w:rsidR="00F5113C">
        <w:t xml:space="preserve">e conditions </w:t>
      </w:r>
      <w:r w:rsidR="00E41D70">
        <w:t xml:space="preserve">or </w:t>
      </w:r>
      <w:r>
        <w:t>under statute</w:t>
      </w:r>
      <w:r w:rsidR="00E41D70">
        <w:t>.</w:t>
      </w:r>
      <w:r w:rsidR="00A46776">
        <w:t xml:space="preserve"> </w:t>
      </w:r>
      <w:r>
        <w:t>In New South Wales, t</w:t>
      </w:r>
      <w:r w:rsidR="00F5113C">
        <w:t xml:space="preserve">he Commission understands that </w:t>
      </w:r>
      <w:r w:rsidR="007559E0">
        <w:t xml:space="preserve">the relevant </w:t>
      </w:r>
      <w:r>
        <w:t>minister set</w:t>
      </w:r>
      <w:r w:rsidR="00EA50AC">
        <w:t xml:space="preserve"> the</w:t>
      </w:r>
      <w:r w:rsidR="007559E0">
        <w:t xml:space="preserve"> standards </w:t>
      </w:r>
      <w:r w:rsidR="00F5113C">
        <w:t>i</w:t>
      </w:r>
      <w:r w:rsidR="00E41D70">
        <w:t xml:space="preserve">n </w:t>
      </w:r>
      <w:r>
        <w:t>2005</w:t>
      </w:r>
      <w:r w:rsidR="007559E0">
        <w:t xml:space="preserve">, with advice from </w:t>
      </w:r>
      <w:r w:rsidR="00083448">
        <w:t>TransG</w:t>
      </w:r>
      <w:r w:rsidR="00A46776">
        <w:t xml:space="preserve">rid. </w:t>
      </w:r>
      <w:r>
        <w:t>In Queensland, s</w:t>
      </w:r>
      <w:r w:rsidR="00B57F54">
        <w:t xml:space="preserve">tandards are contained in Powerlink’s Transmission Authority, issued </w:t>
      </w:r>
      <w:r>
        <w:t xml:space="preserve">by the relevant minister in 2004 </w:t>
      </w:r>
      <w:r w:rsidR="00B57F54">
        <w:t xml:space="preserve">under the </w:t>
      </w:r>
      <w:r>
        <w:rPr>
          <w:i/>
        </w:rPr>
        <w:t xml:space="preserve">Electricity Act (1994). </w:t>
      </w:r>
      <w:r>
        <w:t xml:space="preserve">These standards were </w:t>
      </w:r>
      <w:r w:rsidR="00A46776">
        <w:t xml:space="preserve">affirmed </w:t>
      </w:r>
      <w:r>
        <w:t>by</w:t>
      </w:r>
      <w:r w:rsidR="00A46776">
        <w:t xml:space="preserve"> the Somerville report into distribution reliability standards in 2004 (AEMC 2008</w:t>
      </w:r>
      <w:r w:rsidR="009A676D">
        <w:t>a</w:t>
      </w:r>
      <w:r w:rsidR="00A46776">
        <w:t>, p.</w:t>
      </w:r>
      <w:r w:rsidR="00B169A2">
        <w:t> </w:t>
      </w:r>
      <w:r w:rsidR="00A46776">
        <w:t>177).</w:t>
      </w:r>
      <w:r w:rsidR="00A06C91">
        <w:t xml:space="preserve"> In Tasmania, planning standards</w:t>
      </w:r>
      <w:r w:rsidR="00CF7C1E">
        <w:t xml:space="preserve"> were set</w:t>
      </w:r>
      <w:r w:rsidR="00A46776">
        <w:t xml:space="preserve"> </w:t>
      </w:r>
      <w:r>
        <w:t>in 2006</w:t>
      </w:r>
      <w:r w:rsidR="00CF7C1E">
        <w:t>,</w:t>
      </w:r>
      <w:r>
        <w:t xml:space="preserve"> </w:t>
      </w:r>
      <w:r w:rsidR="00A06C91">
        <w:t>based on</w:t>
      </w:r>
      <w:r w:rsidR="00A46776">
        <w:t xml:space="preserve"> advice from the Tasmanian Reliability and Network</w:t>
      </w:r>
      <w:r w:rsidR="00CB35A9">
        <w:t xml:space="preserve"> Planning Panel</w:t>
      </w:r>
      <w:r w:rsidR="0034732C">
        <w:t xml:space="preserve"> to the Tasmanian regulator</w:t>
      </w:r>
      <w:r w:rsidR="00CB35A9">
        <w:t>. The planning</w:t>
      </w:r>
      <w:r w:rsidR="00A46776">
        <w:t xml:space="preserve"> standards </w:t>
      </w:r>
      <w:r>
        <w:t>in the three State</w:t>
      </w:r>
      <w:r w:rsidR="0077433E">
        <w:t>s</w:t>
      </w:r>
      <w:r>
        <w:t xml:space="preserve"> have not been reviewed </w:t>
      </w:r>
      <w:r w:rsidR="0077433E">
        <w:t xml:space="preserve">formally </w:t>
      </w:r>
      <w:r>
        <w:t xml:space="preserve">since they were first established. </w:t>
      </w:r>
    </w:p>
    <w:p w:rsidR="00EC2666" w:rsidRDefault="00C200D9" w:rsidP="00A46776">
      <w:pPr>
        <w:pStyle w:val="BodyText"/>
      </w:pPr>
      <w:r>
        <w:lastRenderedPageBreak/>
        <w:t>In all three jurisdictions, f</w:t>
      </w:r>
      <w:r w:rsidR="00EC2666" w:rsidRPr="002A458B">
        <w:t>ailing to meet reliability standards can result in penalties for the transmission business</w:t>
      </w:r>
      <w:r w:rsidR="004772DD" w:rsidRPr="002A458B">
        <w:t>es</w:t>
      </w:r>
      <w:r w:rsidR="00EC2666" w:rsidRPr="002A458B">
        <w:t xml:space="preserve">. </w:t>
      </w:r>
      <w:r w:rsidR="004772DD" w:rsidRPr="002A458B">
        <w:t>At a maximum, a transmission business can have its licence revoked for breaching the conditions that it is obliged to meet. To date this has never occurred in the NEM.</w:t>
      </w:r>
    </w:p>
    <w:p w:rsidR="00A46776" w:rsidRDefault="00A46776" w:rsidP="00D96DEB">
      <w:pPr>
        <w:pStyle w:val="Heading3"/>
      </w:pPr>
      <w:r>
        <w:t xml:space="preserve">Deterministic planning </w:t>
      </w:r>
    </w:p>
    <w:p w:rsidR="00A46776" w:rsidRDefault="00083448" w:rsidP="00A46776">
      <w:pPr>
        <w:pStyle w:val="BodyText"/>
      </w:pPr>
      <w:r>
        <w:t>TransG</w:t>
      </w:r>
      <w:r w:rsidR="00DF7819">
        <w:t xml:space="preserve">rid, Powerlink and Transend </w:t>
      </w:r>
      <w:r w:rsidR="00A46776">
        <w:t>use deterministic standards as a basis for planning and augmenting the</w:t>
      </w:r>
      <w:r w:rsidR="00411DEE">
        <w:t>ir</w:t>
      </w:r>
      <w:r w:rsidR="00A46776">
        <w:t xml:space="preserve"> network</w:t>
      </w:r>
      <w:r w:rsidR="0077433E">
        <w:t>s</w:t>
      </w:r>
      <w:r w:rsidR="00E41B3C">
        <w:t xml:space="preserve"> </w:t>
      </w:r>
      <w:r w:rsidR="00DF7819">
        <w:t>to ensure reliability</w:t>
      </w:r>
      <w:r w:rsidR="00A46776">
        <w:t xml:space="preserve">. Deterministic standards build redundancy into the network so that when a contingency occurs, </w:t>
      </w:r>
      <w:r w:rsidR="00F5113C">
        <w:t>an</w:t>
      </w:r>
      <w:r w:rsidR="00A46776">
        <w:t xml:space="preserve"> interruption to power supply can either be reduced or </w:t>
      </w:r>
      <w:r w:rsidR="000D2487">
        <w:t xml:space="preserve">totally </w:t>
      </w:r>
      <w:r w:rsidR="009A13FB">
        <w:t>avoided (b</w:t>
      </w:r>
      <w:r w:rsidR="008E7BB0">
        <w:t>ox</w:t>
      </w:r>
      <w:r w:rsidR="0057770D">
        <w:t> </w:t>
      </w:r>
      <w:r w:rsidR="00650956">
        <w:t>F</w:t>
      </w:r>
      <w:r w:rsidR="0057770D">
        <w:t>.</w:t>
      </w:r>
      <w:r w:rsidR="00267F11">
        <w:t>2</w:t>
      </w:r>
      <w:r w:rsidR="00A46776">
        <w:t>).</w:t>
      </w:r>
    </w:p>
    <w:p w:rsidR="009842EC" w:rsidRDefault="009842EC">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842EC">
        <w:tc>
          <w:tcPr>
            <w:tcW w:w="8771" w:type="dxa"/>
            <w:tcBorders>
              <w:top w:val="single" w:sz="6" w:space="0" w:color="auto"/>
              <w:bottom w:val="nil"/>
            </w:tcBorders>
          </w:tcPr>
          <w:p w:rsidR="009842EC" w:rsidRDefault="009842EC" w:rsidP="009842EC">
            <w:pPr>
              <w:pStyle w:val="BoxTitle"/>
            </w:pPr>
            <w:r>
              <w:rPr>
                <w:b w:val="0"/>
              </w:rPr>
              <w:t>Box F.</w:t>
            </w:r>
            <w:r>
              <w:rPr>
                <w:b w:val="0"/>
                <w:noProof/>
              </w:rPr>
              <w:t>2</w:t>
            </w:r>
            <w:r>
              <w:tab/>
              <w:t>Deterministic standards</w:t>
            </w:r>
          </w:p>
        </w:tc>
      </w:tr>
      <w:tr w:rsidR="009842EC">
        <w:trPr>
          <w:cantSplit/>
        </w:trPr>
        <w:tc>
          <w:tcPr>
            <w:tcW w:w="8771" w:type="dxa"/>
            <w:tcBorders>
              <w:top w:val="nil"/>
              <w:left w:val="single" w:sz="6" w:space="0" w:color="auto"/>
              <w:bottom w:val="nil"/>
              <w:right w:val="single" w:sz="6" w:space="0" w:color="auto"/>
            </w:tcBorders>
          </w:tcPr>
          <w:p w:rsidR="009842EC" w:rsidRDefault="009842EC" w:rsidP="009842EC">
            <w:pPr>
              <w:pStyle w:val="Box"/>
            </w:pPr>
            <w:r>
              <w:t xml:space="preserve">Deterministic standards specify how much redundancy needs to be built into a network. Standards are expressed using ‘N-x’ notation, where N refers to the number of elements in a part of the network and x is the number of elements that can fail at the same time without causing an interruption to power supply. For example, a network built to a strict N-1 standard will be able to supply peak load with one element not operating, even if it is the largest element in the network. </w:t>
            </w:r>
          </w:p>
          <w:p w:rsidR="009842EC" w:rsidRDefault="009842EC" w:rsidP="009842EC">
            <w:pPr>
              <w:pStyle w:val="Box"/>
            </w:pPr>
            <w:r>
              <w:t xml:space="preserve">For example, in year one, a line in a network has a maximum demand of 800 MW. For this part of the network to be rated at N-1 in year one, two 800 MW lines are required so that if a fault occurs on one, the other line can carry the uninterrupted load. However, demand forecasts predict that by year five, maximum demand will increase to 850 MW. Screening studies by the network business reveal that the growth in maximum demand to 850 MW will mean that the network will no longer meet an N-1 criterion in year five. To meet the criterion, a third line would need to be built on the network, or demand would need to be supplied from another line or reduced (through demand management). </w:t>
            </w:r>
          </w:p>
          <w:p w:rsidR="009842EC" w:rsidRDefault="009842EC" w:rsidP="009842EC">
            <w:pPr>
              <w:pStyle w:val="Box"/>
            </w:pPr>
            <w:r>
              <w:t>Deterministic standards are referred to as redundancy standards because for most of the time, the extra capacity is not used. If a third line were built in the example above, it would only be used at critical peak demand (which occurs around 40 hours per year (chapter 9)) and only if a contingency occurred on one of the existing lines.</w:t>
            </w:r>
          </w:p>
        </w:tc>
      </w:tr>
      <w:tr w:rsidR="009842EC">
        <w:trPr>
          <w:cantSplit/>
        </w:trPr>
        <w:tc>
          <w:tcPr>
            <w:tcW w:w="8771" w:type="dxa"/>
            <w:tcBorders>
              <w:top w:val="nil"/>
              <w:left w:val="single" w:sz="6" w:space="0" w:color="auto"/>
              <w:bottom w:val="single" w:sz="6" w:space="0" w:color="auto"/>
              <w:right w:val="single" w:sz="6" w:space="0" w:color="auto"/>
            </w:tcBorders>
          </w:tcPr>
          <w:p w:rsidR="009842EC" w:rsidRDefault="009842EC">
            <w:pPr>
              <w:pStyle w:val="Box"/>
              <w:spacing w:before="0" w:line="120" w:lineRule="exact"/>
            </w:pPr>
          </w:p>
        </w:tc>
      </w:tr>
      <w:tr w:rsidR="009842EC" w:rsidRPr="000863A5">
        <w:tc>
          <w:tcPr>
            <w:tcW w:w="8771" w:type="dxa"/>
            <w:tcBorders>
              <w:top w:val="nil"/>
              <w:left w:val="nil"/>
              <w:bottom w:val="nil"/>
              <w:right w:val="nil"/>
            </w:tcBorders>
          </w:tcPr>
          <w:p w:rsidR="009842EC" w:rsidRPr="00626D32" w:rsidRDefault="009842EC" w:rsidP="009842EC">
            <w:pPr>
              <w:pStyle w:val="BoxSpaceBelow"/>
            </w:pPr>
          </w:p>
        </w:tc>
      </w:tr>
    </w:tbl>
    <w:p w:rsidR="009A13FB" w:rsidRDefault="00EF79AE" w:rsidP="009A13FB">
      <w:pPr>
        <w:pStyle w:val="BodyText"/>
      </w:pPr>
      <w:r>
        <w:t>Electricity network businesses</w:t>
      </w:r>
      <w:r w:rsidR="009A13FB" w:rsidRPr="00023569">
        <w:t xml:space="preserve"> generally have different </w:t>
      </w:r>
      <w:r>
        <w:t xml:space="preserve">deterministic </w:t>
      </w:r>
      <w:r w:rsidR="009A13FB" w:rsidRPr="00023569">
        <w:t>standards for different parts of the</w:t>
      </w:r>
      <w:r>
        <w:t>ir</w:t>
      </w:r>
      <w:r w:rsidR="009A13FB" w:rsidRPr="00023569">
        <w:t xml:space="preserve"> network</w:t>
      </w:r>
      <w:r>
        <w:t>s</w:t>
      </w:r>
      <w:r w:rsidR="009A13FB" w:rsidRPr="00023569">
        <w:t>. For example, in New South Wales, sub</w:t>
      </w:r>
      <w:r w:rsidR="00327A8C">
        <w:noBreakHyphen/>
      </w:r>
      <w:r w:rsidR="009A13FB" w:rsidRPr="00023569">
        <w:t>transmission lines and the CBD of Sydney must be built to an N-2 standard. Urb</w:t>
      </w:r>
      <w:r w:rsidR="009A13FB">
        <w:t>an and non-urban loads above 10 </w:t>
      </w:r>
      <w:r w:rsidR="00E12977">
        <w:t>MVA</w:t>
      </w:r>
      <w:r w:rsidR="009A13FB" w:rsidRPr="00023569">
        <w:t xml:space="preserve"> must be reliable to N-1, and smaller loads to N-0.</w:t>
      </w:r>
      <w:r w:rsidR="00812AB6">
        <w:rPr>
          <w:rStyle w:val="FootnoteReference"/>
        </w:rPr>
        <w:footnoteReference w:id="3"/>
      </w:r>
    </w:p>
    <w:p w:rsidR="00A46776" w:rsidRDefault="00A46776" w:rsidP="00A46776">
      <w:pPr>
        <w:pStyle w:val="BodyText"/>
      </w:pPr>
      <w:r>
        <w:lastRenderedPageBreak/>
        <w:t>The application of deterministic standards</w:t>
      </w:r>
      <w:r w:rsidR="00E41B3C">
        <w:t xml:space="preserve"> by Transend</w:t>
      </w:r>
      <w:r>
        <w:t xml:space="preserve"> in Tasmania </w:t>
      </w:r>
      <w:r w:rsidR="009C28B1">
        <w:t xml:space="preserve">is an example of a more </w:t>
      </w:r>
      <w:r w:rsidR="00A22EBC">
        <w:t xml:space="preserve">flexible </w:t>
      </w:r>
      <w:r>
        <w:t>approach to redundancy planning</w:t>
      </w:r>
      <w:r w:rsidR="00221A18">
        <w:t>, in which standards are allowed to be breached for short periods. This recognise</w:t>
      </w:r>
      <w:r w:rsidR="00A22EBC">
        <w:t>s</w:t>
      </w:r>
      <w:r w:rsidR="00221A18">
        <w:t xml:space="preserve"> that the likelihood </w:t>
      </w:r>
      <w:r w:rsidR="004A72CA">
        <w:t xml:space="preserve">that </w:t>
      </w:r>
      <w:r w:rsidR="00221A18">
        <w:t>peak demand</w:t>
      </w:r>
      <w:r w:rsidR="00B57F54">
        <w:t xml:space="preserve"> </w:t>
      </w:r>
      <w:r w:rsidR="004A72CA">
        <w:t xml:space="preserve">coincides with a contingency is </w:t>
      </w:r>
      <w:r w:rsidR="00221A18">
        <w:t>small</w:t>
      </w:r>
      <w:r w:rsidR="00200A4A">
        <w:t xml:space="preserve">. In the example </w:t>
      </w:r>
      <w:r w:rsidR="00EA50AC">
        <w:t>in box </w:t>
      </w:r>
      <w:r w:rsidR="009842EC">
        <w:t>F</w:t>
      </w:r>
      <w:r w:rsidR="00EA50AC">
        <w:t>.2</w:t>
      </w:r>
      <w:r w:rsidR="00200A4A">
        <w:t xml:space="preserve">, this might mean that if peak demand rises to </w:t>
      </w:r>
      <w:r w:rsidR="00EA50AC">
        <w:t>8</w:t>
      </w:r>
      <w:r w:rsidR="00200A4A">
        <w:t>5</w:t>
      </w:r>
      <w:r w:rsidR="0077433E">
        <w:t>0</w:t>
      </w:r>
      <w:r w:rsidR="00AA45A4">
        <w:t> </w:t>
      </w:r>
      <w:r w:rsidR="00200A4A">
        <w:t>M</w:t>
      </w:r>
      <w:r w:rsidR="001F0F5C">
        <w:t>W, the system will breach the N</w:t>
      </w:r>
      <w:r w:rsidR="001F0F5C">
        <w:noBreakHyphen/>
      </w:r>
      <w:r w:rsidR="00200A4A">
        <w:t xml:space="preserve">1 </w:t>
      </w:r>
      <w:r w:rsidR="0077433E">
        <w:t>criteria, but only for around 40</w:t>
      </w:r>
      <w:r w:rsidR="00200A4A">
        <w:t xml:space="preserve"> hours a year</w:t>
      </w:r>
      <w:r w:rsidR="00102E10">
        <w:t xml:space="preserve"> (chapter 9</w:t>
      </w:r>
      <w:r w:rsidR="0077433E">
        <w:t>)</w:t>
      </w:r>
      <w:r w:rsidR="00200A4A">
        <w:t>. If a contingency occurs at these times, the remaining equipment can usually carry extra loa</w:t>
      </w:r>
      <w:r w:rsidR="00E41D70">
        <w:t>d, at least for a short period</w:t>
      </w:r>
      <w:r w:rsidR="00200A4A">
        <w:t xml:space="preserve"> until the problem is fixed or load shedding can be minimised. </w:t>
      </w:r>
    </w:p>
    <w:p w:rsidR="00200A4A" w:rsidRDefault="00A46776" w:rsidP="00A46776">
      <w:pPr>
        <w:pStyle w:val="BodyText"/>
      </w:pPr>
      <w:r>
        <w:t xml:space="preserve">Transmission </w:t>
      </w:r>
      <w:r w:rsidR="00200A4A">
        <w:t xml:space="preserve">networks </w:t>
      </w:r>
      <w:r w:rsidR="004A72CA">
        <w:t xml:space="preserve">link </w:t>
      </w:r>
      <w:r w:rsidR="00200A4A">
        <w:t>to distribution networks at connection points</w:t>
      </w:r>
      <w:r w:rsidR="00042165">
        <w:t>.</w:t>
      </w:r>
      <w:r w:rsidR="00C745FA">
        <w:rPr>
          <w:rStyle w:val="FootnoteReference"/>
        </w:rPr>
        <w:footnoteReference w:id="4"/>
      </w:r>
      <w:r w:rsidR="00200A4A">
        <w:t xml:space="preserve"> </w:t>
      </w:r>
      <w:r w:rsidR="00EA50AC">
        <w:t>D</w:t>
      </w:r>
      <w:r w:rsidR="00200A4A">
        <w:t xml:space="preserve">istribution businesses provide the transmission business with a demand forecast for the customers connected to each </w:t>
      </w:r>
      <w:r w:rsidR="00EA50AC">
        <w:t xml:space="preserve">connection </w:t>
      </w:r>
      <w:r w:rsidR="00200A4A">
        <w:t>point</w:t>
      </w:r>
      <w:r w:rsidR="0057770D">
        <w:t xml:space="preserve"> (box </w:t>
      </w:r>
      <w:r w:rsidR="00267F11">
        <w:t>F.3</w:t>
      </w:r>
      <w:r w:rsidR="00387984">
        <w:t>)</w:t>
      </w:r>
      <w:r w:rsidR="00200A4A">
        <w:t xml:space="preserve">. </w:t>
      </w:r>
      <w:r w:rsidR="00EF79AE">
        <w:t>The t</w:t>
      </w:r>
      <w:r w:rsidR="00200A4A">
        <w:t xml:space="preserve">ransmission businesses then run these demand forecasts through screening </w:t>
      </w:r>
      <w:r w:rsidR="00EF79AE">
        <w:t xml:space="preserve">studies </w:t>
      </w:r>
      <w:r w:rsidR="00200A4A">
        <w:t xml:space="preserve">to </w:t>
      </w:r>
      <w:r>
        <w:t>identify parts of the network</w:t>
      </w:r>
      <w:r w:rsidR="00E41D70">
        <w:t xml:space="preserve"> (‘identified limitations</w:t>
      </w:r>
      <w:r w:rsidR="009C28B1">
        <w:t xml:space="preserve">’) </w:t>
      </w:r>
      <w:r>
        <w:t xml:space="preserve">that might not meet standards as maximum demand increases. </w:t>
      </w:r>
    </w:p>
    <w:p w:rsidR="00C10BAD" w:rsidRDefault="00C10BAD" w:rsidP="009842EC">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10BAD">
        <w:tc>
          <w:tcPr>
            <w:tcW w:w="8771" w:type="dxa"/>
            <w:tcBorders>
              <w:top w:val="single" w:sz="6" w:space="0" w:color="auto"/>
              <w:bottom w:val="nil"/>
            </w:tcBorders>
          </w:tcPr>
          <w:p w:rsidR="00C10BAD" w:rsidRDefault="00C10BAD">
            <w:pPr>
              <w:pStyle w:val="BoxTitle"/>
            </w:pPr>
            <w:r>
              <w:rPr>
                <w:b w:val="0"/>
              </w:rPr>
              <w:t xml:space="preserve">Box </w:t>
            </w:r>
            <w:r w:rsidR="00FA1E1C" w:rsidRPr="00FA1E1C">
              <w:rPr>
                <w:b w:val="0"/>
              </w:rPr>
              <w:t>F</w:t>
            </w:r>
            <w:r w:rsidR="00FA1E1C">
              <w:t>.</w:t>
            </w:r>
            <w:r w:rsidR="007A6CEE">
              <w:rPr>
                <w:b w:val="0"/>
                <w:noProof/>
              </w:rPr>
              <w:t>3</w:t>
            </w:r>
            <w:r>
              <w:tab/>
              <w:t>Demand forecasts for transmission planning</w:t>
            </w:r>
          </w:p>
        </w:tc>
      </w:tr>
      <w:tr w:rsidR="00C10BAD">
        <w:trPr>
          <w:cantSplit/>
        </w:trPr>
        <w:tc>
          <w:tcPr>
            <w:tcW w:w="8771" w:type="dxa"/>
            <w:tcBorders>
              <w:top w:val="nil"/>
              <w:left w:val="single" w:sz="6" w:space="0" w:color="auto"/>
              <w:bottom w:val="nil"/>
              <w:right w:val="single" w:sz="6" w:space="0" w:color="auto"/>
            </w:tcBorders>
          </w:tcPr>
          <w:p w:rsidR="00F927F5" w:rsidRDefault="00301C26" w:rsidP="00C10BAD">
            <w:pPr>
              <w:pStyle w:val="Box"/>
            </w:pPr>
            <w:r>
              <w:t>T</w:t>
            </w:r>
            <w:r w:rsidR="00C10BAD">
              <w:t>ransmission businesses use demand forecasts for each connection point (based on information from distribution businesses)</w:t>
            </w:r>
            <w:r>
              <w:t xml:space="preserve"> when making their planning </w:t>
            </w:r>
            <w:r w:rsidR="007E721F">
              <w:t>decisions</w:t>
            </w:r>
            <w:r w:rsidR="00C10BAD">
              <w:t xml:space="preserve">. Transmission businesses also </w:t>
            </w:r>
            <w:r>
              <w:t xml:space="preserve">aggregate these connection point forecasts to </w:t>
            </w:r>
            <w:r w:rsidR="00C10BAD">
              <w:t>publish a region-wide forecast in their Annual Planning Report. Transmission businesses produce these region-wide forecasts</w:t>
            </w:r>
            <w:r w:rsidR="0077433E">
              <w:t xml:space="preserve"> for </w:t>
            </w:r>
            <w:r w:rsidR="00EF79AE">
              <w:t>New South Wales</w:t>
            </w:r>
            <w:r w:rsidR="0077433E">
              <w:t>, Queensland</w:t>
            </w:r>
            <w:r w:rsidR="00EF79AE">
              <w:t xml:space="preserve"> and Tasmania. </w:t>
            </w:r>
            <w:r w:rsidR="00C10BAD">
              <w:t xml:space="preserve">AEMO </w:t>
            </w:r>
            <w:r w:rsidR="0077433E">
              <w:t>produce</w:t>
            </w:r>
            <w:r w:rsidR="00BB2F78">
              <w:t>s</w:t>
            </w:r>
            <w:r w:rsidR="00EF79AE">
              <w:t xml:space="preserve"> the forecasts </w:t>
            </w:r>
            <w:r w:rsidR="00C10BAD">
              <w:t xml:space="preserve">for Victoria and South Australia. </w:t>
            </w:r>
          </w:p>
          <w:p w:rsidR="00301C26" w:rsidRDefault="00EF79AE" w:rsidP="00C10BAD">
            <w:pPr>
              <w:pStyle w:val="Box"/>
            </w:pPr>
            <w:r>
              <w:t xml:space="preserve">Concerns have been raised about the incentive that transmission businesses might have to </w:t>
            </w:r>
            <w:r w:rsidR="00301C26">
              <w:t>‘overstate demand and therefore over-invest’ (AEMC 2011</w:t>
            </w:r>
            <w:r w:rsidR="009A676D">
              <w:t>f</w:t>
            </w:r>
            <w:r w:rsidR="00301C26">
              <w:t>, p. 144)</w:t>
            </w:r>
            <w:r>
              <w:t>.</w:t>
            </w:r>
          </w:p>
          <w:p w:rsidR="00F927F5" w:rsidRDefault="00301C26" w:rsidP="00C10BAD">
            <w:pPr>
              <w:pStyle w:val="Box"/>
            </w:pPr>
            <w:r>
              <w:t xml:space="preserve">While </w:t>
            </w:r>
            <w:r w:rsidR="00F927F5">
              <w:t xml:space="preserve">demand </w:t>
            </w:r>
            <w:r>
              <w:t xml:space="preserve">has often </w:t>
            </w:r>
            <w:r w:rsidR="00F927F5">
              <w:t>not reach</w:t>
            </w:r>
            <w:r>
              <w:t>ed</w:t>
            </w:r>
            <w:r w:rsidR="00F927F5">
              <w:t xml:space="preserve"> the level</w:t>
            </w:r>
            <w:r>
              <w:t>s</w:t>
            </w:r>
            <w:r w:rsidR="00F927F5">
              <w:t xml:space="preserve"> predicted in the forecasts</w:t>
            </w:r>
            <w:r>
              <w:t xml:space="preserve"> — f</w:t>
            </w:r>
            <w:r w:rsidR="00F927F5">
              <w:t xml:space="preserve">or example, AEMO found that the actual demands were significantly lower than those forecast by the transmission business for Queensland </w:t>
            </w:r>
            <w:r w:rsidR="00822C77">
              <w:t>(and less so for other jurisdictions) for a number of years</w:t>
            </w:r>
            <w:r w:rsidR="00F927F5">
              <w:t xml:space="preserve"> (AEMO 2011</w:t>
            </w:r>
            <w:r w:rsidR="00822C77">
              <w:t>f,</w:t>
            </w:r>
            <w:r w:rsidR="00F927F5">
              <w:t xml:space="preserve"> p. </w:t>
            </w:r>
            <w:r w:rsidR="00822C77">
              <w:t>31</w:t>
            </w:r>
            <w:r w:rsidR="00F927F5">
              <w:t>)</w:t>
            </w:r>
            <w:r>
              <w:t xml:space="preserve"> — this is not necessarily evidence of </w:t>
            </w:r>
            <w:r w:rsidR="00551498">
              <w:t xml:space="preserve">deliberate </w:t>
            </w:r>
            <w:r>
              <w:t>over</w:t>
            </w:r>
            <w:r w:rsidR="00551498">
              <w:noBreakHyphen/>
              <w:t xml:space="preserve">forecasting of </w:t>
            </w:r>
            <w:r>
              <w:t>demand</w:t>
            </w:r>
            <w:r w:rsidR="00F927F5">
              <w:t xml:space="preserve">. </w:t>
            </w:r>
          </w:p>
          <w:p w:rsidR="00C10BAD" w:rsidRDefault="00301C26" w:rsidP="003A0245">
            <w:pPr>
              <w:pStyle w:val="Box"/>
            </w:pPr>
            <w:r>
              <w:t>However, in 2012, and in response to such discrepancies,</w:t>
            </w:r>
            <w:r w:rsidR="00F927F5">
              <w:t xml:space="preserve"> </w:t>
            </w:r>
            <w:r w:rsidR="00C10BAD" w:rsidRPr="00387984">
              <w:t xml:space="preserve">AEMO </w:t>
            </w:r>
            <w:r>
              <w:t>began to r</w:t>
            </w:r>
            <w:r w:rsidR="00C10BAD">
              <w:t>elease independent region-wide</w:t>
            </w:r>
            <w:r w:rsidR="00C10BAD" w:rsidRPr="00387984">
              <w:t xml:space="preserve"> demand forecasts</w:t>
            </w:r>
            <w:r w:rsidR="0077433E">
              <w:t xml:space="preserve"> for </w:t>
            </w:r>
            <w:r w:rsidR="00C10BAD">
              <w:t>New South Wales</w:t>
            </w:r>
            <w:r w:rsidR="0077433E">
              <w:t>, Queensland</w:t>
            </w:r>
            <w:r w:rsidR="00C10BAD">
              <w:t xml:space="preserve"> and Tasmania (as well as a NEM-wide forecast)</w:t>
            </w:r>
            <w:r w:rsidR="00C10BAD" w:rsidRPr="00387984">
              <w:t xml:space="preserve">. </w:t>
            </w:r>
            <w:r>
              <w:t>T</w:t>
            </w:r>
            <w:r w:rsidR="00C10BAD">
              <w:t>he AEMC</w:t>
            </w:r>
            <w:r>
              <w:t xml:space="preserve"> has recently proposed that AEMO should be responsible for informing t</w:t>
            </w:r>
            <w:r w:rsidR="00C10BAD">
              <w:t>he demand forecasts us</w:t>
            </w:r>
            <w:r w:rsidR="0077433E">
              <w:t>ed by transmission businesses for</w:t>
            </w:r>
            <w:r w:rsidR="00C10BAD">
              <w:t xml:space="preserve"> planning in the future (AEMC 2012</w:t>
            </w:r>
            <w:r w:rsidR="003A0245">
              <w:t>j</w:t>
            </w:r>
            <w:r w:rsidR="00C10BAD">
              <w:t>, p. v)</w:t>
            </w:r>
            <w:r>
              <w:t>.</w:t>
            </w:r>
          </w:p>
        </w:tc>
      </w:tr>
      <w:tr w:rsidR="00C10BAD">
        <w:trPr>
          <w:cantSplit/>
        </w:trPr>
        <w:tc>
          <w:tcPr>
            <w:tcW w:w="8771" w:type="dxa"/>
            <w:tcBorders>
              <w:top w:val="nil"/>
              <w:left w:val="single" w:sz="6" w:space="0" w:color="auto"/>
              <w:bottom w:val="single" w:sz="6" w:space="0" w:color="auto"/>
              <w:right w:val="single" w:sz="6" w:space="0" w:color="auto"/>
            </w:tcBorders>
          </w:tcPr>
          <w:p w:rsidR="00C10BAD" w:rsidRDefault="00C10BAD">
            <w:pPr>
              <w:pStyle w:val="Box"/>
              <w:spacing w:before="0" w:line="120" w:lineRule="exact"/>
            </w:pPr>
          </w:p>
        </w:tc>
      </w:tr>
      <w:tr w:rsidR="009842EC" w:rsidRPr="000863A5" w:rsidTr="009842EC">
        <w:tc>
          <w:tcPr>
            <w:tcW w:w="8771" w:type="dxa"/>
            <w:tcBorders>
              <w:top w:val="nil"/>
              <w:left w:val="nil"/>
              <w:bottom w:val="nil"/>
              <w:right w:val="nil"/>
            </w:tcBorders>
          </w:tcPr>
          <w:p w:rsidR="009842EC" w:rsidRPr="00626D32" w:rsidRDefault="009842EC" w:rsidP="009842EC">
            <w:pPr>
              <w:pStyle w:val="BoxSpaceBelow"/>
            </w:pPr>
          </w:p>
        </w:tc>
      </w:tr>
    </w:tbl>
    <w:p w:rsidR="00E41B3C" w:rsidRDefault="00E41D70" w:rsidP="00A46776">
      <w:pPr>
        <w:pStyle w:val="BodyText"/>
      </w:pPr>
      <w:r>
        <w:t xml:space="preserve">When </w:t>
      </w:r>
      <w:r w:rsidR="004E501B">
        <w:t xml:space="preserve">the business identifies </w:t>
      </w:r>
      <w:r>
        <w:t>network limitations</w:t>
      </w:r>
      <w:r w:rsidR="004E501B">
        <w:t>,</w:t>
      </w:r>
      <w:r>
        <w:t xml:space="preserve"> </w:t>
      </w:r>
      <w:r w:rsidR="00E41B3C">
        <w:t xml:space="preserve">all </w:t>
      </w:r>
      <w:r w:rsidR="004A72CA">
        <w:t>options</w:t>
      </w:r>
      <w:r w:rsidR="004E501B">
        <w:t xml:space="preserve"> are examined</w:t>
      </w:r>
      <w:r w:rsidR="004A72CA">
        <w:t xml:space="preserve"> for </w:t>
      </w:r>
      <w:r w:rsidR="00CB6F24">
        <w:t>meeting</w:t>
      </w:r>
      <w:r w:rsidR="004E501B">
        <w:t xml:space="preserve"> </w:t>
      </w:r>
      <w:r w:rsidR="00E41B3C">
        <w:t xml:space="preserve">reliability standards </w:t>
      </w:r>
      <w:r w:rsidR="00CB6F24">
        <w:t>into the future</w:t>
      </w:r>
      <w:r w:rsidR="00E41B3C">
        <w:t xml:space="preserve">. These options might include </w:t>
      </w:r>
      <w:r w:rsidR="00E41B3C">
        <w:lastRenderedPageBreak/>
        <w:t>augmentation of the network, demand management projects</w:t>
      </w:r>
      <w:r w:rsidR="009C28B1">
        <w:t>,</w:t>
      </w:r>
      <w:r w:rsidR="00E41B3C">
        <w:t xml:space="preserve"> or re-routing the </w:t>
      </w:r>
      <w:r w:rsidR="00CB6F24">
        <w:t xml:space="preserve">flows through the </w:t>
      </w:r>
      <w:r w:rsidR="000A2F35">
        <w:t>network to</w:t>
      </w:r>
      <w:r w:rsidR="00E41B3C">
        <w:t xml:space="preserve"> remove some of the pressure on the constrained </w:t>
      </w:r>
      <w:r w:rsidR="009C28B1">
        <w:t>elements</w:t>
      </w:r>
      <w:r w:rsidR="00E41B3C">
        <w:t xml:space="preserve">. </w:t>
      </w:r>
    </w:p>
    <w:p w:rsidR="00E41B3C" w:rsidRDefault="009C28B1" w:rsidP="00A46776">
      <w:pPr>
        <w:pStyle w:val="BodyText"/>
      </w:pPr>
      <w:r>
        <w:t xml:space="preserve">Once they have identified their preferred options, </w:t>
      </w:r>
      <w:r w:rsidR="00EF79AE">
        <w:t>Tr</w:t>
      </w:r>
      <w:r w:rsidR="00083448">
        <w:t>ansG</w:t>
      </w:r>
      <w:r w:rsidR="008C3461">
        <w:t>rid, Powerlink and Transend</w:t>
      </w:r>
      <w:r w:rsidR="00E41B3C">
        <w:t xml:space="preserve"> include the </w:t>
      </w:r>
      <w:r w:rsidR="00551498">
        <w:t xml:space="preserve">forecast </w:t>
      </w:r>
      <w:r w:rsidR="00E41B3C">
        <w:t xml:space="preserve">costs </w:t>
      </w:r>
      <w:r w:rsidR="00551498">
        <w:t xml:space="preserve">and a brief outline </w:t>
      </w:r>
      <w:r w:rsidR="00E41B3C">
        <w:t>of the</w:t>
      </w:r>
      <w:r w:rsidR="00551498">
        <w:t>se</w:t>
      </w:r>
      <w:r w:rsidR="00E41B3C">
        <w:t xml:space="preserve"> option</w:t>
      </w:r>
      <w:r w:rsidR="00551498">
        <w:t>s</w:t>
      </w:r>
      <w:r w:rsidR="00E41B3C">
        <w:t xml:space="preserve"> in their revenue proposals</w:t>
      </w:r>
      <w:r w:rsidR="00551498">
        <w:t xml:space="preserve"> to the AER</w:t>
      </w:r>
      <w:r w:rsidR="00E41B3C">
        <w:t xml:space="preserve"> </w:t>
      </w:r>
      <w:r w:rsidR="00EA50AC">
        <w:t xml:space="preserve">which generally occur </w:t>
      </w:r>
      <w:r w:rsidR="00E41B3C">
        <w:t>every five years.</w:t>
      </w:r>
      <w:r w:rsidR="00157194">
        <w:rPr>
          <w:rStyle w:val="FootnoteReference"/>
        </w:rPr>
        <w:footnoteReference w:id="5"/>
      </w:r>
      <w:r w:rsidR="00E41B3C">
        <w:t xml:space="preserve"> </w:t>
      </w:r>
      <w:r w:rsidR="003A195B">
        <w:t>Because a</w:t>
      </w:r>
      <w:r w:rsidR="00E41B3C">
        <w:t xml:space="preserve">ugmentations can take several years to build, </w:t>
      </w:r>
      <w:r w:rsidR="00EF79AE">
        <w:t xml:space="preserve">the </w:t>
      </w:r>
      <w:r w:rsidR="00E41B3C">
        <w:t>transmission</w:t>
      </w:r>
      <w:r w:rsidR="003A195B">
        <w:t xml:space="preserve"> businesses will </w:t>
      </w:r>
      <w:r w:rsidR="00312EF3">
        <w:t xml:space="preserve">typically </w:t>
      </w:r>
      <w:r w:rsidR="003A195B">
        <w:t>include</w:t>
      </w:r>
      <w:r w:rsidR="00E41B3C">
        <w:t xml:space="preserve"> </w:t>
      </w:r>
      <w:r>
        <w:t xml:space="preserve">proposed </w:t>
      </w:r>
      <w:r w:rsidR="00E41B3C">
        <w:t>expenditure in their revenu</w:t>
      </w:r>
      <w:r w:rsidR="003A195B">
        <w:t xml:space="preserve">e proposals for projects to address </w:t>
      </w:r>
      <w:r w:rsidR="00E41D70">
        <w:t xml:space="preserve">risks to </w:t>
      </w:r>
      <w:r w:rsidR="003A195B">
        <w:t>reliability</w:t>
      </w:r>
      <w:r w:rsidR="00E41B3C">
        <w:t xml:space="preserve"> that a</w:t>
      </w:r>
      <w:r w:rsidR="00551498">
        <w:t xml:space="preserve">re not predicted to emerge </w:t>
      </w:r>
      <w:r w:rsidR="00C97B81">
        <w:t xml:space="preserve">for </w:t>
      </w:r>
      <w:r w:rsidR="00551498">
        <w:t xml:space="preserve">up </w:t>
      </w:r>
      <w:r w:rsidR="00C97B81">
        <w:t>to</w:t>
      </w:r>
      <w:r w:rsidR="00E41B3C">
        <w:t xml:space="preserve"> six or seven years into the future. </w:t>
      </w:r>
    </w:p>
    <w:p w:rsidR="00E41B3C" w:rsidRDefault="00EF79AE" w:rsidP="00A46776">
      <w:pPr>
        <w:pStyle w:val="BodyText"/>
      </w:pPr>
      <w:r>
        <w:t>The</w:t>
      </w:r>
      <w:r w:rsidR="003A195B">
        <w:t xml:space="preserve"> AER </w:t>
      </w:r>
      <w:r>
        <w:t>is responsible for determining</w:t>
      </w:r>
      <w:r w:rsidR="003A195B">
        <w:t xml:space="preserve"> whether the expenditure required and the </w:t>
      </w:r>
      <w:r w:rsidR="00E41D70">
        <w:t>option</w:t>
      </w:r>
      <w:r w:rsidR="00B62D5C">
        <w:t>s</w:t>
      </w:r>
      <w:r w:rsidR="00E41D70">
        <w:t xml:space="preserve"> identified </w:t>
      </w:r>
      <w:r>
        <w:t xml:space="preserve">by the businesses </w:t>
      </w:r>
      <w:r w:rsidR="00E41D70">
        <w:t>are</w:t>
      </w:r>
      <w:r w:rsidR="009C28B1">
        <w:t xml:space="preserve"> efficient. This exercise</w:t>
      </w:r>
      <w:r w:rsidR="003A195B">
        <w:t xml:space="preserve"> requires industry expertise and a detailed knowledge of the likely costs of different options, while </w:t>
      </w:r>
      <w:r w:rsidR="009C28B1">
        <w:t xml:space="preserve">also </w:t>
      </w:r>
      <w:r w:rsidR="003A195B">
        <w:t>keeping</w:t>
      </w:r>
      <w:r w:rsidR="009C28B1">
        <w:t xml:space="preserve"> in mind the incentives</w:t>
      </w:r>
      <w:r w:rsidR="003A195B">
        <w:t xml:space="preserve"> tra</w:t>
      </w:r>
      <w:r w:rsidR="009C28B1">
        <w:t>nsmission businesses might have</w:t>
      </w:r>
      <w:r w:rsidR="003A195B">
        <w:t xml:space="preserve"> to </w:t>
      </w:r>
      <w:r w:rsidR="00551498">
        <w:t xml:space="preserve">over or under </w:t>
      </w:r>
      <w:r w:rsidR="003A195B">
        <w:t xml:space="preserve">invest </w:t>
      </w:r>
      <w:r w:rsidR="002A458B">
        <w:t xml:space="preserve">or prefer a particular type of option </w:t>
      </w:r>
      <w:r w:rsidR="003A195B">
        <w:t>(chapter</w:t>
      </w:r>
      <w:r w:rsidR="004D1E2F">
        <w:t> </w:t>
      </w:r>
      <w:r w:rsidR="00042165">
        <w:t>5</w:t>
      </w:r>
      <w:r w:rsidR="003A195B">
        <w:t xml:space="preserve">). </w:t>
      </w:r>
    </w:p>
    <w:p w:rsidR="003016E7" w:rsidRDefault="00551498" w:rsidP="003016E7">
      <w:pPr>
        <w:pStyle w:val="BodyText"/>
      </w:pPr>
      <w:r>
        <w:t>Shortly b</w:t>
      </w:r>
      <w:r w:rsidR="005E675B">
        <w:t xml:space="preserve">efore commencing a project (with a value greater than $5 million), the transmission business </w:t>
      </w:r>
      <w:r>
        <w:t>ha</w:t>
      </w:r>
      <w:r w:rsidR="0034732C">
        <w:t>s</w:t>
      </w:r>
      <w:r>
        <w:t xml:space="preserve"> to </w:t>
      </w:r>
      <w:r w:rsidR="005E675B">
        <w:t>undertake</w:t>
      </w:r>
      <w:r w:rsidR="00D40FD5">
        <w:t xml:space="preserve"> a </w:t>
      </w:r>
      <w:r w:rsidR="00EF79AE">
        <w:t>Regulatory Investment Test for Transmission (</w:t>
      </w:r>
      <w:r w:rsidR="00D40FD5">
        <w:t>RIT-T</w:t>
      </w:r>
      <w:r w:rsidR="00EF79AE">
        <w:t>)</w:t>
      </w:r>
      <w:r w:rsidR="00417D69">
        <w:t xml:space="preserve"> (chapter 17</w:t>
      </w:r>
      <w:r w:rsidR="00D40FD5">
        <w:t>). T</w:t>
      </w:r>
      <w:r w:rsidR="005E675B">
        <w:t>his process introduces some transparency</w:t>
      </w:r>
      <w:r w:rsidR="00D40FD5">
        <w:t xml:space="preserve"> and requires that the business canvass several different options for addressing a network constraint. However, a</w:t>
      </w:r>
      <w:r w:rsidR="003016E7">
        <w:t xml:space="preserve">ccording to the </w:t>
      </w:r>
      <w:r w:rsidR="00EF79AE">
        <w:t>AER</w:t>
      </w:r>
      <w:r w:rsidR="003016E7">
        <w:t>:</w:t>
      </w:r>
    </w:p>
    <w:p w:rsidR="005E675B" w:rsidRDefault="003016E7" w:rsidP="003016E7">
      <w:pPr>
        <w:pStyle w:val="Quote"/>
      </w:pPr>
      <w:r>
        <w:t>… the framework, and particularly the RIT-T, may not result in beneficial i</w:t>
      </w:r>
      <w:r w:rsidR="00D40FD5">
        <w:t>nvestment occurring … [and</w:t>
      </w:r>
      <w:r>
        <w:t>] current arrangements for network development would not deliver sufficient new augmentations between regions. There are concerns that the existing arrangements may promote reliability-driven region-centric transmission investment and create incentives on transmission businesses to build rather than explore alternatives. (sub. 13, pp. 26,</w:t>
      </w:r>
      <w:r w:rsidR="004D1E2F">
        <w:t> </w:t>
      </w:r>
      <w:r>
        <w:t>28)</w:t>
      </w:r>
    </w:p>
    <w:p w:rsidR="003016E7" w:rsidRDefault="00D40FD5" w:rsidP="003016E7">
      <w:pPr>
        <w:pStyle w:val="BodyText"/>
      </w:pPr>
      <w:r>
        <w:t>It is not apparent</w:t>
      </w:r>
      <w:r w:rsidR="003016E7">
        <w:t xml:space="preserve"> that the RIT-T </w:t>
      </w:r>
      <w:r w:rsidR="0057770D">
        <w:t xml:space="preserve">currently </w:t>
      </w:r>
      <w:r w:rsidR="003016E7">
        <w:t>imposes significant constraint on</w:t>
      </w:r>
      <w:r>
        <w:t xml:space="preserve"> the choices businesses make regarding opti</w:t>
      </w:r>
      <w:r w:rsidR="008E7BB0">
        <w:t xml:space="preserve">ons or their costs. </w:t>
      </w:r>
      <w:r w:rsidR="00551498">
        <w:t xml:space="preserve">While the RIT-T has to be submitted to the AER, </w:t>
      </w:r>
      <w:r w:rsidR="00B51EEF">
        <w:t>which</w:t>
      </w:r>
      <w:r w:rsidR="00551498">
        <w:t xml:space="preserve"> confirm</w:t>
      </w:r>
      <w:r w:rsidR="00B51EEF">
        <w:t>s</w:t>
      </w:r>
      <w:r w:rsidR="00551498">
        <w:t xml:space="preserve"> that it has been carried out according to the specified process, by this stage the AER </w:t>
      </w:r>
      <w:r w:rsidR="00C200D9">
        <w:t>has</w:t>
      </w:r>
      <w:r w:rsidR="00551498">
        <w:t xml:space="preserve"> already approved the capital forecast of the transmission business. Despite the word ‘Regulatory’ being included in the name of the RIT-T, this part of the process does not seem to have much, </w:t>
      </w:r>
      <w:r w:rsidR="008C3461">
        <w:t xml:space="preserve">if any, regulatory ‘force’. </w:t>
      </w:r>
      <w:r w:rsidR="007B0F9D">
        <w:t xml:space="preserve">Nor does it appear to be possible for a </w:t>
      </w:r>
      <w:r w:rsidR="00FD6A40">
        <w:t xml:space="preserve">transmission network </w:t>
      </w:r>
      <w:r w:rsidR="00FD6A40">
        <w:lastRenderedPageBreak/>
        <w:t>service provider (</w:t>
      </w:r>
      <w:r w:rsidR="007B0F9D">
        <w:t>TNSP</w:t>
      </w:r>
      <w:r w:rsidR="00FD6A40">
        <w:t>)</w:t>
      </w:r>
      <w:r w:rsidR="007B0F9D">
        <w:t xml:space="preserve"> to put forward an investment </w:t>
      </w:r>
      <w:r w:rsidR="00EF4BC7">
        <w:t>that</w:t>
      </w:r>
      <w:r w:rsidR="007B0F9D">
        <w:t xml:space="preserve"> would fail the ‘test’. </w:t>
      </w:r>
      <w:r w:rsidR="008C3461">
        <w:t>C</w:t>
      </w:r>
      <w:r w:rsidR="0057770D">
        <w:t>hapter 1</w:t>
      </w:r>
      <w:r w:rsidR="00A3231D">
        <w:t>7</w:t>
      </w:r>
      <w:r>
        <w:t xml:space="preserve"> discusses this issue in more detail</w:t>
      </w:r>
      <w:r w:rsidR="00EF79AE">
        <w:t xml:space="preserve">. </w:t>
      </w:r>
    </w:p>
    <w:p w:rsidR="00A46776" w:rsidRPr="0055167D" w:rsidRDefault="00A46776" w:rsidP="00135B4D">
      <w:pPr>
        <w:pStyle w:val="Heading3"/>
      </w:pPr>
      <w:r>
        <w:t xml:space="preserve">Assessment of efficiency </w:t>
      </w:r>
    </w:p>
    <w:p w:rsidR="00413A6C" w:rsidRDefault="002C7719" w:rsidP="00135B4D">
      <w:pPr>
        <w:pStyle w:val="BodyText"/>
      </w:pPr>
      <w:r>
        <w:t>T</w:t>
      </w:r>
      <w:r w:rsidR="00422534" w:rsidRPr="00D84CAB">
        <w:t xml:space="preserve">he framework for </w:t>
      </w:r>
      <w:r>
        <w:t>transmission reliability applying</w:t>
      </w:r>
      <w:r w:rsidR="00422534" w:rsidRPr="00D84CAB">
        <w:t xml:space="preserve"> in New South Wales</w:t>
      </w:r>
      <w:r w:rsidR="004E0EA5">
        <w:t>, Queensland</w:t>
      </w:r>
      <w:r w:rsidR="00422534" w:rsidRPr="00D84CAB">
        <w:t xml:space="preserve"> and Tasmania</w:t>
      </w:r>
      <w:r w:rsidR="0026146E" w:rsidRPr="00D84CAB">
        <w:t xml:space="preserve"> can be assessed </w:t>
      </w:r>
      <w:r>
        <w:t xml:space="preserve">against the six criteria set out above </w:t>
      </w:r>
      <w:r w:rsidR="0026146E" w:rsidRPr="00D84CAB">
        <w:t xml:space="preserve">for possible areas of inefficiency. </w:t>
      </w:r>
    </w:p>
    <w:p w:rsidR="00876AF6" w:rsidRDefault="00876AF6" w:rsidP="00D96DEB">
      <w:pPr>
        <w:pStyle w:val="Heading4"/>
      </w:pPr>
      <w:r>
        <w:t>Efficiency of inve</w:t>
      </w:r>
      <w:r w:rsidRPr="00D96DEB">
        <w:t>s</w:t>
      </w:r>
      <w:r>
        <w:t>tments</w:t>
      </w:r>
    </w:p>
    <w:p w:rsidR="0026146E" w:rsidRDefault="00876AF6" w:rsidP="00387984">
      <w:pPr>
        <w:pStyle w:val="BodyText"/>
      </w:pPr>
      <w:r>
        <w:t>I</w:t>
      </w:r>
      <w:r w:rsidR="0026146E">
        <w:t xml:space="preserve">t appears that the incentive to identify </w:t>
      </w:r>
      <w:r w:rsidR="005C1B71">
        <w:t xml:space="preserve">and install </w:t>
      </w:r>
      <w:r w:rsidR="0026146E">
        <w:t xml:space="preserve">the cheapest solution to address </w:t>
      </w:r>
      <w:r w:rsidR="005E675B">
        <w:t>an identified network constraint is low</w:t>
      </w:r>
      <w:r w:rsidR="006D52D6">
        <w:t>:</w:t>
      </w:r>
    </w:p>
    <w:p w:rsidR="002A458B" w:rsidRDefault="002A458B" w:rsidP="002A458B">
      <w:pPr>
        <w:pStyle w:val="ListBullet"/>
      </w:pPr>
      <w:r>
        <w:t xml:space="preserve">deterministic standards create a bias towards network investment solutions. Businesses with strict deterministic standards have a strong incentive to build redundancy into the network to meet standards, rather than identify more innovative solutions, including non-network solutions </w:t>
      </w:r>
    </w:p>
    <w:p w:rsidR="005E675B" w:rsidRDefault="00846AD3" w:rsidP="005E675B">
      <w:pPr>
        <w:pStyle w:val="ListBullet"/>
      </w:pPr>
      <w:r>
        <w:t>the level</w:t>
      </w:r>
      <w:r w:rsidR="00876AF6">
        <w:t xml:space="preserve"> and nature </w:t>
      </w:r>
      <w:r>
        <w:t xml:space="preserve">of scrutiny applied to the options presented in the RIT-T is probably </w:t>
      </w:r>
      <w:r w:rsidR="00763080">
        <w:t>in</w:t>
      </w:r>
      <w:r w:rsidR="00876AF6">
        <w:t xml:space="preserve">sufficient </w:t>
      </w:r>
      <w:r>
        <w:t xml:space="preserve">to </w:t>
      </w:r>
      <w:r w:rsidR="00907A05">
        <w:t>ensure confidence that</w:t>
      </w:r>
      <w:r w:rsidR="002C7719">
        <w:t xml:space="preserve"> the business</w:t>
      </w:r>
      <w:r>
        <w:t xml:space="preserve"> </w:t>
      </w:r>
      <w:r w:rsidR="00907A05">
        <w:t>ha</w:t>
      </w:r>
      <w:r w:rsidR="002C7719">
        <w:t>s</w:t>
      </w:r>
      <w:r w:rsidR="00907A05">
        <w:t xml:space="preserve"> always </w:t>
      </w:r>
      <w:r>
        <w:t>identif</w:t>
      </w:r>
      <w:r w:rsidR="00907A05">
        <w:t>ied</w:t>
      </w:r>
      <w:r>
        <w:t xml:space="preserve"> the</w:t>
      </w:r>
      <w:r w:rsidR="00876AF6">
        <w:t xml:space="preserve"> most efficient</w:t>
      </w:r>
      <w:r>
        <w:t xml:space="preserve"> option</w:t>
      </w:r>
    </w:p>
    <w:p w:rsidR="00846AD3" w:rsidRDefault="00846AD3" w:rsidP="005E675B">
      <w:pPr>
        <w:pStyle w:val="ListBullet"/>
      </w:pPr>
      <w:r>
        <w:t>the profit motivation for state</w:t>
      </w:r>
      <w:r w:rsidR="001F0F5C">
        <w:noBreakHyphen/>
      </w:r>
      <w:r>
        <w:t>owned enterprises</w:t>
      </w:r>
      <w:r w:rsidR="00876AF6">
        <w:t xml:space="preserve"> as a driver of behaviour appears to be</w:t>
      </w:r>
      <w:r>
        <w:t xml:space="preserve"> low (chapter 5)</w:t>
      </w:r>
      <w:r w:rsidR="0077433E">
        <w:t>. State owned enterprises might also have objectives other than to maximise profits (chapter </w:t>
      </w:r>
      <w:r w:rsidR="00AD75D0">
        <w:t>7</w:t>
      </w:r>
      <w:r w:rsidR="0077433E">
        <w:t>)</w:t>
      </w:r>
      <w:r w:rsidR="002A458B">
        <w:t>.</w:t>
      </w:r>
    </w:p>
    <w:p w:rsidR="001C0C49" w:rsidRDefault="001C0C49" w:rsidP="001C0C49">
      <w:pPr>
        <w:pStyle w:val="BodyText"/>
      </w:pPr>
      <w:r>
        <w:t xml:space="preserve">The bias towards network solutions to meet deterministic standards is possibly exacerbated by the </w:t>
      </w:r>
      <w:r w:rsidR="00550550">
        <w:t xml:space="preserve">potential </w:t>
      </w:r>
      <w:r>
        <w:t>adverse co</w:t>
      </w:r>
      <w:r w:rsidR="00083448">
        <w:t>nsequences for Powerlink, TransG</w:t>
      </w:r>
      <w:r>
        <w:t>rid and Transend of not meeting their standards. Consequences can range from a business losing their licence at one extreme, to being required to report to the Minister about the reasons for missing the standard, and outlining a strategy to rectify the situation, at the other. Regardless, any significant outage can have substantial political and reputational effects for network businesses and government, even if no formal penalty is applied. The AEMC noted that:</w:t>
      </w:r>
    </w:p>
    <w:p w:rsidR="001C0C49" w:rsidRDefault="004D1E2F" w:rsidP="008E7BB0">
      <w:pPr>
        <w:pStyle w:val="Quote"/>
      </w:pPr>
      <w:r>
        <w:t xml:space="preserve">... </w:t>
      </w:r>
      <w:r w:rsidR="008E7BB0">
        <w:t>jurisdictional reliability standards reflect the political reality that if the lights go out in a jurisdiction, it is the government of the jurisdiction that faces the economic and political consequences and manages the public safety issues arising from a blackout. (2008</w:t>
      </w:r>
      <w:r w:rsidR="009A676D">
        <w:t>a</w:t>
      </w:r>
      <w:r w:rsidR="008E7BB0">
        <w:t>, p. 168)</w:t>
      </w:r>
    </w:p>
    <w:p w:rsidR="001C0C49" w:rsidRDefault="001C0C49" w:rsidP="001C0C49">
      <w:pPr>
        <w:pStyle w:val="BodyText"/>
      </w:pPr>
      <w:r>
        <w:t>The greater the penalty — political, reputational or pecuniary — the greater is the likelihood that network businesses will augment their networks to increase reliability</w:t>
      </w:r>
      <w:r w:rsidR="00664C84">
        <w:t xml:space="preserve"> and seek to meet their standards within their own networks (that is, there </w:t>
      </w:r>
      <w:r w:rsidR="00664C84">
        <w:lastRenderedPageBreak/>
        <w:t>will be a bias towards intra-regional investments)</w:t>
      </w:r>
      <w:r>
        <w:t>. State-ownership of network businesses in New South Wales, Queensland and Tasmania is likely to increa</w:t>
      </w:r>
      <w:r w:rsidR="00E9281C">
        <w:t xml:space="preserve">se </w:t>
      </w:r>
      <w:r>
        <w:t xml:space="preserve">political intervention arising from network failures, </w:t>
      </w:r>
      <w:r w:rsidR="00550550">
        <w:t>also contributing to the tendency for</w:t>
      </w:r>
      <w:r>
        <w:t xml:space="preserve"> excessive</w:t>
      </w:r>
      <w:r w:rsidR="00550550">
        <w:t xml:space="preserve"> and inefficient</w:t>
      </w:r>
      <w:r>
        <w:t xml:space="preserve"> network expenditure</w:t>
      </w:r>
      <w:r w:rsidR="0077433E">
        <w:t xml:space="preserve"> (</w:t>
      </w:r>
      <w:r>
        <w:t xml:space="preserve">one reason the Commission has recommended privatisation). </w:t>
      </w:r>
    </w:p>
    <w:p w:rsidR="00876AF6" w:rsidRDefault="00876AF6" w:rsidP="00D96DEB">
      <w:pPr>
        <w:pStyle w:val="Heading4"/>
      </w:pPr>
      <w:r>
        <w:t>Efficiency of standards</w:t>
      </w:r>
    </w:p>
    <w:p w:rsidR="005A617F" w:rsidRDefault="00876AF6" w:rsidP="00387984">
      <w:pPr>
        <w:pStyle w:val="BodyText"/>
      </w:pPr>
      <w:r>
        <w:t>I</w:t>
      </w:r>
      <w:r w:rsidR="00A46776">
        <w:t xml:space="preserve">t is likely that </w:t>
      </w:r>
      <w:r w:rsidR="0088231B">
        <w:t>reliability</w:t>
      </w:r>
      <w:r w:rsidR="00A46776">
        <w:t xml:space="preserve"> standards in New South Wales, Queensland and Tasmania </w:t>
      </w:r>
      <w:r w:rsidR="00907A05">
        <w:t xml:space="preserve">are </w:t>
      </w:r>
      <w:r w:rsidR="00C97B81">
        <w:t>set at an inefficiently high level</w:t>
      </w:r>
      <w:r w:rsidR="00A46776">
        <w:t xml:space="preserve">. This assessment is based less on the levels at which they are set, and more on the failure of the frameworks in which the standards are set to </w:t>
      </w:r>
      <w:r w:rsidR="002A458B">
        <w:t xml:space="preserve">properly incorporate the value of customer reliability </w:t>
      </w:r>
      <w:r w:rsidR="003C6714">
        <w:t xml:space="preserve">(VCR) </w:t>
      </w:r>
      <w:r w:rsidR="002A458B">
        <w:t>(</w:t>
      </w:r>
      <w:r w:rsidR="00A46776">
        <w:t>chapter</w:t>
      </w:r>
      <w:r w:rsidR="005A617F">
        <w:t> 14</w:t>
      </w:r>
      <w:r w:rsidR="002A458B">
        <w:t>)</w:t>
      </w:r>
      <w:r w:rsidR="00A46776">
        <w:t xml:space="preserve">. </w:t>
      </w:r>
    </w:p>
    <w:p w:rsidR="00C5487B" w:rsidRDefault="00B81300" w:rsidP="00842127">
      <w:pPr>
        <w:pStyle w:val="ListBullet"/>
      </w:pPr>
      <w:r>
        <w:t xml:space="preserve">The standards are not subject to </w:t>
      </w:r>
      <w:r w:rsidR="008A214D">
        <w:t>cost–benefit</w:t>
      </w:r>
      <w:r>
        <w:t xml:space="preserve"> analysis and</w:t>
      </w:r>
      <w:r w:rsidR="00ED704E">
        <w:t xml:space="preserve"> do not consider </w:t>
      </w:r>
      <w:r>
        <w:t>customer</w:t>
      </w:r>
      <w:r w:rsidR="00ED704E">
        <w:t>s’</w:t>
      </w:r>
      <w:r>
        <w:t xml:space="preserve"> willingness to pay fo</w:t>
      </w:r>
      <w:r w:rsidR="009C28B1">
        <w:t>r the levels of reliability the standards</w:t>
      </w:r>
      <w:r>
        <w:t xml:space="preserve"> support. In New South Wales, there have been calls for the </w:t>
      </w:r>
      <w:r w:rsidR="002C7719">
        <w:t xml:space="preserve">State Government </w:t>
      </w:r>
      <w:r>
        <w:t>to</w:t>
      </w:r>
      <w:r w:rsidR="00C5487B">
        <w:t>:</w:t>
      </w:r>
    </w:p>
    <w:p w:rsidR="00A46776" w:rsidRDefault="00B62D5C" w:rsidP="00C5487B">
      <w:pPr>
        <w:pStyle w:val="Quote"/>
      </w:pPr>
      <w:r>
        <w:t>…</w:t>
      </w:r>
      <w:r w:rsidR="004D1E2F">
        <w:t xml:space="preserve"> </w:t>
      </w:r>
      <w:r w:rsidR="00B81300">
        <w:t>satisfy itself that</w:t>
      </w:r>
      <w:r w:rsidR="004D1E2F">
        <w:t xml:space="preserve"> </w:t>
      </w:r>
      <w:r w:rsidR="00B81300">
        <w:t>…</w:t>
      </w:r>
      <w:r w:rsidR="004D1E2F">
        <w:t xml:space="preserve"> </w:t>
      </w:r>
      <w:r w:rsidR="00B81300">
        <w:t>current standards for network reliability and security align with cus</w:t>
      </w:r>
      <w:r w:rsidR="00227B4C">
        <w:t>tomers’ willingness to pay and</w:t>
      </w:r>
      <w:r w:rsidR="00B81300">
        <w:t xml:space="preserve"> take steps </w:t>
      </w:r>
      <w:r w:rsidR="00227B4C">
        <w:t>to ensure that future changes to</w:t>
      </w:r>
      <w:r w:rsidR="00B81300">
        <w:t xml:space="preserve"> standards are subject to rigorous </w:t>
      </w:r>
      <w:r w:rsidR="008A214D">
        <w:t>cost–benefit</w:t>
      </w:r>
      <w:r w:rsidR="00B81300">
        <w:t xml:space="preserve"> analysis</w:t>
      </w:r>
      <w:r w:rsidR="00F65510">
        <w:t>.</w:t>
      </w:r>
      <w:r w:rsidR="00B81300">
        <w:t xml:space="preserve"> (IPART 2011, p.</w:t>
      </w:r>
      <w:r>
        <w:t> </w:t>
      </w:r>
      <w:r w:rsidR="00AA3749">
        <w:t>14</w:t>
      </w:r>
      <w:r w:rsidR="00B81300">
        <w:t>)</w:t>
      </w:r>
    </w:p>
    <w:p w:rsidR="00A46776" w:rsidRDefault="00A46776" w:rsidP="00842127">
      <w:pPr>
        <w:pStyle w:val="ListBullet"/>
      </w:pPr>
      <w:r>
        <w:t xml:space="preserve">The standards have not changed for at least six years. </w:t>
      </w:r>
      <w:r w:rsidR="007E64C7">
        <w:t xml:space="preserve">Given </w:t>
      </w:r>
      <w:r>
        <w:t>that the efficient level of reliability is a dynamic concept</w:t>
      </w:r>
      <w:r w:rsidR="007E64C7">
        <w:t>, depend</w:t>
      </w:r>
      <w:r w:rsidR="005C6B6E">
        <w:t>ing</w:t>
      </w:r>
      <w:r w:rsidR="007E64C7">
        <w:t xml:space="preserve"> on </w:t>
      </w:r>
      <w:r>
        <w:t xml:space="preserve">shifting demand </w:t>
      </w:r>
      <w:r w:rsidR="007E64C7">
        <w:t>patterns</w:t>
      </w:r>
      <w:r w:rsidR="0088231B">
        <w:t>, customer preferences</w:t>
      </w:r>
      <w:r w:rsidR="007E64C7">
        <w:t xml:space="preserve"> and </w:t>
      </w:r>
      <w:r>
        <w:t>business cost</w:t>
      </w:r>
      <w:r w:rsidR="007E64C7">
        <w:t>s</w:t>
      </w:r>
      <w:r>
        <w:t xml:space="preserve">, it is unlikely that </w:t>
      </w:r>
      <w:r w:rsidR="005877F0">
        <w:t xml:space="preserve">a </w:t>
      </w:r>
      <w:r w:rsidR="00387C60">
        <w:t>static</w:t>
      </w:r>
      <w:r w:rsidR="005C6B6E">
        <w:t xml:space="preserve"> </w:t>
      </w:r>
      <w:r w:rsidR="005877F0">
        <w:t xml:space="preserve">set of </w:t>
      </w:r>
      <w:r w:rsidR="005C6B6E">
        <w:t>standards would remain efficient over time</w:t>
      </w:r>
      <w:r>
        <w:t>.</w:t>
      </w:r>
    </w:p>
    <w:p w:rsidR="00A46776" w:rsidRDefault="00411DA0" w:rsidP="00842127">
      <w:pPr>
        <w:pStyle w:val="ListBullet"/>
      </w:pPr>
      <w:r>
        <w:t>It is not clear</w:t>
      </w:r>
      <w:r w:rsidR="005C21D4">
        <w:t xml:space="preserve"> that </w:t>
      </w:r>
      <w:r w:rsidR="00387C60">
        <w:t>the Queensland, N</w:t>
      </w:r>
      <w:r w:rsidR="00F308A3">
        <w:t xml:space="preserve">ew </w:t>
      </w:r>
      <w:r w:rsidR="00387C60">
        <w:t>S</w:t>
      </w:r>
      <w:r w:rsidR="00F308A3">
        <w:t xml:space="preserve">outh </w:t>
      </w:r>
      <w:r w:rsidR="00387C60">
        <w:t>W</w:t>
      </w:r>
      <w:r w:rsidR="00F308A3">
        <w:t>ales</w:t>
      </w:r>
      <w:r w:rsidR="00387C60">
        <w:t xml:space="preserve"> or Tasmanian </w:t>
      </w:r>
      <w:r w:rsidR="00CC2425">
        <w:t>G</w:t>
      </w:r>
      <w:r w:rsidR="005C6B6E">
        <w:t xml:space="preserve">overnments </w:t>
      </w:r>
      <w:r w:rsidR="005C21D4">
        <w:t xml:space="preserve">have </w:t>
      </w:r>
      <w:r w:rsidR="0077433E">
        <w:t>invested in the resources or</w:t>
      </w:r>
      <w:r w:rsidR="005C21D4">
        <w:t xml:space="preserve"> expertise</w:t>
      </w:r>
      <w:r w:rsidR="005C6B6E" w:rsidRPr="005C6B6E">
        <w:t xml:space="preserve"> </w:t>
      </w:r>
      <w:r w:rsidR="005C6B6E">
        <w:t>necessary</w:t>
      </w:r>
      <w:r w:rsidR="005C21D4">
        <w:t xml:space="preserve"> to set efficient reliability standards</w:t>
      </w:r>
      <w:r w:rsidR="00387C60">
        <w:t xml:space="preserve"> for </w:t>
      </w:r>
      <w:r w:rsidR="00CC2425">
        <w:t>a</w:t>
      </w:r>
      <w:r w:rsidR="00387C60">
        <w:t xml:space="preserve"> network business</w:t>
      </w:r>
      <w:r w:rsidR="005C21D4">
        <w:t>.</w:t>
      </w:r>
      <w:r w:rsidR="00387C60">
        <w:t xml:space="preserve"> This is a highly technical and specialist area and there is a likely bias by </w:t>
      </w:r>
      <w:r w:rsidR="00CC2425">
        <w:t>these S</w:t>
      </w:r>
      <w:r w:rsidR="00387C60">
        <w:t xml:space="preserve">tate </w:t>
      </w:r>
      <w:r w:rsidR="00CC2425">
        <w:t>G</w:t>
      </w:r>
      <w:r w:rsidR="00387C60">
        <w:t xml:space="preserve">overnments to err on the side of </w:t>
      </w:r>
      <w:r w:rsidR="00C07B33">
        <w:t xml:space="preserve">wanting to </w:t>
      </w:r>
      <w:r w:rsidR="00387C60">
        <w:t>avoi</w:t>
      </w:r>
      <w:r w:rsidR="00C07B33">
        <w:t xml:space="preserve">d the political </w:t>
      </w:r>
      <w:r w:rsidR="007B0F9D">
        <w:t xml:space="preserve">consequences </w:t>
      </w:r>
      <w:r w:rsidR="00C07B33">
        <w:t>from</w:t>
      </w:r>
      <w:r w:rsidR="00387C60">
        <w:t xml:space="preserve"> power outages </w:t>
      </w:r>
      <w:r w:rsidR="00C97B81">
        <w:t>as they are un</w:t>
      </w:r>
      <w:r w:rsidR="00387C60">
        <w:t>able to assess the cost implications of their decisions or review the degree to which these accord with the willingness of customers to pay for these reliability standards.</w:t>
      </w:r>
      <w:r w:rsidR="005C21D4">
        <w:t xml:space="preserve"> </w:t>
      </w:r>
      <w:r w:rsidR="005C6B6E">
        <w:t xml:space="preserve">There may also be a </w:t>
      </w:r>
      <w:r w:rsidR="005C21D4">
        <w:t>conflict of interest</w:t>
      </w:r>
      <w:r w:rsidR="00550550">
        <w:t xml:space="preserve"> (real or perceived)</w:t>
      </w:r>
      <w:r w:rsidR="005C21D4">
        <w:t xml:space="preserve"> when </w:t>
      </w:r>
      <w:r w:rsidR="00CC2425">
        <w:t>these State G</w:t>
      </w:r>
      <w:r w:rsidR="005C21D4">
        <w:t xml:space="preserve">overnments set </w:t>
      </w:r>
      <w:r w:rsidR="005C6B6E">
        <w:t xml:space="preserve">standards </w:t>
      </w:r>
      <w:r w:rsidR="005C21D4">
        <w:t xml:space="preserve">for </w:t>
      </w:r>
      <w:r w:rsidR="00CC2425">
        <w:t xml:space="preserve">their </w:t>
      </w:r>
      <w:r w:rsidR="005C21D4">
        <w:t xml:space="preserve">state owned businesses that </w:t>
      </w:r>
      <w:r w:rsidR="005C6B6E">
        <w:t>influence investments</w:t>
      </w:r>
      <w:r w:rsidR="00CB35A9">
        <w:t>,</w:t>
      </w:r>
      <w:r w:rsidR="005C6B6E">
        <w:t xml:space="preserve"> and </w:t>
      </w:r>
      <w:r w:rsidR="00CB35A9">
        <w:t>the</w:t>
      </w:r>
      <w:r w:rsidR="005C6B6E">
        <w:t xml:space="preserve"> subsequent </w:t>
      </w:r>
      <w:r w:rsidR="005C21D4">
        <w:t>dividend</w:t>
      </w:r>
      <w:r w:rsidR="00550550">
        <w:t>s</w:t>
      </w:r>
      <w:r w:rsidR="005C21D4">
        <w:t xml:space="preserve"> flow </w:t>
      </w:r>
      <w:r w:rsidR="005C6B6E">
        <w:t xml:space="preserve">back to the </w:t>
      </w:r>
      <w:r w:rsidR="00CC2425">
        <w:t>G</w:t>
      </w:r>
      <w:r w:rsidR="005C6B6E">
        <w:t xml:space="preserve">overnments </w:t>
      </w:r>
      <w:r w:rsidR="0077433E">
        <w:t>(chapter 5</w:t>
      </w:r>
      <w:r w:rsidR="005C21D4">
        <w:t xml:space="preserve">). </w:t>
      </w:r>
    </w:p>
    <w:p w:rsidR="00E43898" w:rsidRDefault="00E43898" w:rsidP="00E43898">
      <w:pPr>
        <w:pStyle w:val="Heading4"/>
      </w:pPr>
      <w:r>
        <w:t>Minimising windfall gains</w:t>
      </w:r>
    </w:p>
    <w:p w:rsidR="00E43898" w:rsidRDefault="00E43898" w:rsidP="00E43898">
      <w:pPr>
        <w:pStyle w:val="BodyText"/>
      </w:pPr>
      <w:r>
        <w:t>The deterministic standards approach applied in New South Wales, Queensland and Tasmania</w:t>
      </w:r>
      <w:r w:rsidR="00C97B81">
        <w:t>, coupled with the existing</w:t>
      </w:r>
      <w:r w:rsidR="008C2744">
        <w:t xml:space="preserve"> building blocks regulatory approach,</w:t>
      </w:r>
      <w:r>
        <w:t xml:space="preserve"> is likely to allow </w:t>
      </w:r>
      <w:r w:rsidR="00C200D9">
        <w:t>TNSPs</w:t>
      </w:r>
      <w:r>
        <w:t xml:space="preserve"> to capture windfall gains. Concerns over the interaction of these </w:t>
      </w:r>
      <w:r>
        <w:lastRenderedPageBreak/>
        <w:t>reliability settings and incentive regulation have been raised by the AER, which stated that:</w:t>
      </w:r>
    </w:p>
    <w:p w:rsidR="00E43898" w:rsidRDefault="00E43898" w:rsidP="00E43898">
      <w:pPr>
        <w:pStyle w:val="Quote"/>
      </w:pPr>
      <w:r>
        <w:t xml:space="preserve">... </w:t>
      </w:r>
      <w:r w:rsidR="00C200D9">
        <w:t>s</w:t>
      </w:r>
      <w:r>
        <w:t>ignificant linkages exist between the standards and the regulatory processes used to set regulated revenues and to assess network performance. Poorly defined reliability requirements make it difficult for the AER to assess whether the capital expenditure proposals of [transmission network service providers] are genuinely required to meet reliability requirements. (AER in AEMC 2008a, p</w:t>
      </w:r>
      <w:r w:rsidR="00C200D9">
        <w:t>. </w:t>
      </w:r>
      <w:r>
        <w:t>16)</w:t>
      </w:r>
    </w:p>
    <w:p w:rsidR="00E43898" w:rsidRPr="00994160" w:rsidRDefault="00E43898" w:rsidP="00E43898">
      <w:pPr>
        <w:pStyle w:val="BodyText"/>
      </w:pPr>
      <w:r>
        <w:t xml:space="preserve">TNSPs have the incentive </w:t>
      </w:r>
      <w:r w:rsidR="00907A05">
        <w:t xml:space="preserve">under the current regulatory arrangements </w:t>
      </w:r>
      <w:r>
        <w:t xml:space="preserve">to attempt to justify </w:t>
      </w:r>
      <w:r w:rsidR="00907A05">
        <w:t xml:space="preserve">to the regulator </w:t>
      </w:r>
      <w:r>
        <w:t>costly expenditures in order to meet reliability standards</w:t>
      </w:r>
      <w:r w:rsidR="00793B7A">
        <w:t>,</w:t>
      </w:r>
      <w:r w:rsidR="00907A05">
        <w:t xml:space="preserve"> even if they do not believe they will be ultimately required</w:t>
      </w:r>
      <w:r>
        <w:t xml:space="preserve">. </w:t>
      </w:r>
      <w:r w:rsidR="008C2744">
        <w:t xml:space="preserve">And while the AER is aware of this incentive and carefully scrutinises revenue proposals (chapter 5), the information asymmetries and requirement to accept a ‘reasonable proposal’ is likely to </w:t>
      </w:r>
      <w:r>
        <w:t xml:space="preserve">create unnecessary costs that are passed onto customers in terms of higher electricity bills. Conversely, should demand rapidly increase beyond forecast levels, TNSPs do not have a mechanism to receive additional funding to bring forward investments from future periods </w:t>
      </w:r>
      <w:r w:rsidR="00CA3116">
        <w:t xml:space="preserve">in order to meet reliability standards. </w:t>
      </w:r>
    </w:p>
    <w:p w:rsidR="00876AF6" w:rsidRDefault="00876AF6" w:rsidP="00D96DEB">
      <w:pPr>
        <w:pStyle w:val="Heading4"/>
      </w:pPr>
      <w:r>
        <w:t xml:space="preserve">Minimising </w:t>
      </w:r>
      <w:r w:rsidR="00FA357D">
        <w:t xml:space="preserve">administrative and </w:t>
      </w:r>
      <w:r>
        <w:t>compliance burden</w:t>
      </w:r>
      <w:r w:rsidR="00FA357D">
        <w:t>s</w:t>
      </w:r>
    </w:p>
    <w:p w:rsidR="00413A6C" w:rsidRDefault="00842127" w:rsidP="003A195B">
      <w:pPr>
        <w:pStyle w:val="BodyText"/>
      </w:pPr>
      <w:r w:rsidRPr="00842127">
        <w:t xml:space="preserve">Third, and in contrast to the previous concerns, the administrative and compliance burdens </w:t>
      </w:r>
      <w:r>
        <w:t xml:space="preserve">of the frameworks for transmission reliability in New South Wales, Queensland and Tasmania </w:t>
      </w:r>
      <w:r w:rsidRPr="00842127">
        <w:t>are likely to be low.</w:t>
      </w:r>
      <w:r>
        <w:t xml:space="preserve"> </w:t>
      </w:r>
      <w:r w:rsidR="00B24C0A">
        <w:t xml:space="preserve">This reflects </w:t>
      </w:r>
      <w:r w:rsidR="00C200D9">
        <w:t>the absence of a requirement</w:t>
      </w:r>
      <w:r w:rsidR="00B24C0A">
        <w:t xml:space="preserve"> for</w:t>
      </w:r>
      <w:r>
        <w:t xml:space="preserve"> comprehensive research into customer preferences as an input into standard setting processes, and the </w:t>
      </w:r>
      <w:r w:rsidR="00B24C0A">
        <w:t xml:space="preserve">long </w:t>
      </w:r>
      <w:r>
        <w:t xml:space="preserve">length of time that standards have remained </w:t>
      </w:r>
      <w:r w:rsidR="00D84CAB">
        <w:t xml:space="preserve">unchanged. </w:t>
      </w:r>
      <w:r w:rsidR="008C2744">
        <w:t xml:space="preserve">Compliance burdens are also low for transmission </w:t>
      </w:r>
      <w:r w:rsidR="00D84CAB">
        <w:t>businesses</w:t>
      </w:r>
      <w:r w:rsidR="008C2744">
        <w:t xml:space="preserve"> as they</w:t>
      </w:r>
      <w:r w:rsidR="00D84CAB">
        <w:t xml:space="preserve"> deal directly with the organisation setting the standards and monitoring compliance.</w:t>
      </w:r>
    </w:p>
    <w:p w:rsidR="0077433E" w:rsidRPr="003A195B" w:rsidRDefault="0077433E" w:rsidP="003A195B">
      <w:pPr>
        <w:pStyle w:val="BodyText"/>
      </w:pPr>
      <w:r>
        <w:t xml:space="preserve">Neither the </w:t>
      </w:r>
      <w:r w:rsidR="00411DEE">
        <w:t>fifth</w:t>
      </w:r>
      <w:r>
        <w:t xml:space="preserve"> </w:t>
      </w:r>
      <w:r w:rsidR="00CC2425">
        <w:t>criterion (</w:t>
      </w:r>
      <w:r w:rsidR="00CC2425" w:rsidRPr="00876AF6">
        <w:rPr>
          <w:i/>
        </w:rPr>
        <w:t>NEM-wide effects</w:t>
      </w:r>
      <w:r w:rsidR="00CC2425">
        <w:t xml:space="preserve">) </w:t>
      </w:r>
      <w:r>
        <w:t xml:space="preserve">nor </w:t>
      </w:r>
      <w:r w:rsidR="00CC2425">
        <w:t xml:space="preserve">the </w:t>
      </w:r>
      <w:r w:rsidR="00411DEE">
        <w:t>sixth</w:t>
      </w:r>
      <w:r>
        <w:t xml:space="preserve"> criteri</w:t>
      </w:r>
      <w:r w:rsidR="00CC2425">
        <w:t>on</w:t>
      </w:r>
      <w:r w:rsidR="00876AF6">
        <w:t xml:space="preserve"> (</w:t>
      </w:r>
      <w:r w:rsidR="00CC2425">
        <w:rPr>
          <w:i/>
        </w:rPr>
        <w:t>a</w:t>
      </w:r>
      <w:r w:rsidR="00FA357D">
        <w:rPr>
          <w:i/>
        </w:rPr>
        <w:t>uditing compliance to ensure reliability and efficiency in the long run</w:t>
      </w:r>
      <w:r w:rsidR="00876AF6">
        <w:t>)</w:t>
      </w:r>
      <w:r>
        <w:t xml:space="preserve"> </w:t>
      </w:r>
      <w:r w:rsidR="00CC2425">
        <w:t xml:space="preserve">is </w:t>
      </w:r>
      <w:r>
        <w:t>addressed by this type of planning framework</w:t>
      </w:r>
      <w:r w:rsidR="00664C84">
        <w:t xml:space="preserve">. </w:t>
      </w:r>
    </w:p>
    <w:p w:rsidR="00C65CEC" w:rsidRDefault="00FA1E1C" w:rsidP="00D96DEB">
      <w:pPr>
        <w:pStyle w:val="Heading2"/>
      </w:pPr>
      <w:r>
        <w:t>F.</w:t>
      </w:r>
      <w:r w:rsidR="007A6CEE">
        <w:rPr>
          <w:noProof/>
        </w:rPr>
        <w:t>3</w:t>
      </w:r>
      <w:r w:rsidR="00111929">
        <w:tab/>
      </w:r>
      <w:r w:rsidR="0047352C">
        <w:t>Victoria</w:t>
      </w:r>
      <w:r w:rsidR="00111929">
        <w:t xml:space="preserve"> and </w:t>
      </w:r>
      <w:r w:rsidR="00306936">
        <w:t xml:space="preserve">the Australian Energy Market Operator’s </w:t>
      </w:r>
      <w:r w:rsidR="00111929">
        <w:t>preferred national model</w:t>
      </w:r>
    </w:p>
    <w:p w:rsidR="0055167D" w:rsidRDefault="00553B6B" w:rsidP="00D96DEB">
      <w:pPr>
        <w:pStyle w:val="Heading3"/>
      </w:pPr>
      <w:r>
        <w:t xml:space="preserve">The </w:t>
      </w:r>
      <w:r w:rsidR="0055167D">
        <w:t>A</w:t>
      </w:r>
      <w:r>
        <w:t xml:space="preserve">ustralian </w:t>
      </w:r>
      <w:r w:rsidR="0055167D">
        <w:t>E</w:t>
      </w:r>
      <w:r>
        <w:t xml:space="preserve">nergy </w:t>
      </w:r>
      <w:r w:rsidR="0055167D">
        <w:t>M</w:t>
      </w:r>
      <w:r>
        <w:t xml:space="preserve">arket </w:t>
      </w:r>
      <w:r w:rsidR="0055167D">
        <w:t>O</w:t>
      </w:r>
      <w:r>
        <w:t>perator</w:t>
      </w:r>
      <w:r w:rsidR="0055167D">
        <w:t>’s role as planner and procurer</w:t>
      </w:r>
    </w:p>
    <w:p w:rsidR="007C7A98" w:rsidRDefault="00EF79AE" w:rsidP="0055167D">
      <w:pPr>
        <w:pStyle w:val="BodyText"/>
      </w:pPr>
      <w:r>
        <w:t xml:space="preserve">Victoria’s </w:t>
      </w:r>
      <w:r w:rsidR="003A5E23">
        <w:t xml:space="preserve">planning </w:t>
      </w:r>
      <w:r>
        <w:t>framework</w:t>
      </w:r>
      <w:r w:rsidR="007C7A98">
        <w:t xml:space="preserve"> differ</w:t>
      </w:r>
      <w:r>
        <w:t>s</w:t>
      </w:r>
      <w:r w:rsidR="007C7A98">
        <w:t xml:space="preserve"> considerably from all other </w:t>
      </w:r>
      <w:r w:rsidR="00CC2425">
        <w:t xml:space="preserve">jurisdictions </w:t>
      </w:r>
      <w:r w:rsidR="007C7A98">
        <w:t>in the NEM. AEMO is responsible for pla</w:t>
      </w:r>
      <w:r w:rsidR="00375A73">
        <w:t xml:space="preserve">nning and directing augmentations to the </w:t>
      </w:r>
      <w:r>
        <w:t xml:space="preserve">Victorian </w:t>
      </w:r>
      <w:r w:rsidR="00375A73">
        <w:t>network</w:t>
      </w:r>
      <w:r w:rsidR="00C200D9">
        <w:t xml:space="preserve"> for which it</w:t>
      </w:r>
      <w:r w:rsidR="00375A73">
        <w:t xml:space="preserve"> plans and procures services (AEMO</w:t>
      </w:r>
      <w:r w:rsidR="00ED4A9D">
        <w:t> </w:t>
      </w:r>
      <w:r w:rsidR="00375A73">
        <w:t>2012</w:t>
      </w:r>
      <w:r w:rsidR="009A676D">
        <w:t>e</w:t>
      </w:r>
      <w:r w:rsidR="00375A73">
        <w:t>)</w:t>
      </w:r>
      <w:r w:rsidR="007C7A98">
        <w:t xml:space="preserve">. </w:t>
      </w:r>
      <w:r w:rsidR="009B5FEB">
        <w:t xml:space="preserve">As </w:t>
      </w:r>
      <w:r w:rsidR="009B5FEB">
        <w:lastRenderedPageBreak/>
        <w:t>such, the Victorian transmission business, SP AusNet, does not receive revenue for capital expenditure for augmentations through the AER revenue determination process (AER 2008</w:t>
      </w:r>
      <w:r w:rsidR="00A22931">
        <w:t>c</w:t>
      </w:r>
      <w:r w:rsidR="009B5FEB">
        <w:t>, p. 44).</w:t>
      </w:r>
      <w:r w:rsidR="00550550">
        <w:t xml:space="preserve"> </w:t>
      </w:r>
      <w:r w:rsidR="000A2F35">
        <w:t>SP</w:t>
      </w:r>
      <w:r w:rsidR="007D23AE">
        <w:t> </w:t>
      </w:r>
      <w:r w:rsidR="000A2F35">
        <w:t>AusNet</w:t>
      </w:r>
      <w:r w:rsidR="007C7A98">
        <w:t xml:space="preserve">, in consultation with AEMO, </w:t>
      </w:r>
      <w:r w:rsidR="008C2744">
        <w:t>is responsible</w:t>
      </w:r>
      <w:r w:rsidR="007C7A98">
        <w:t xml:space="preserve"> for replacement of assets, maintaining assets and responding when a failure occurs</w:t>
      </w:r>
      <w:r w:rsidR="006D4B60">
        <w:t xml:space="preserve">. </w:t>
      </w:r>
    </w:p>
    <w:p w:rsidR="00460D28" w:rsidRDefault="00460D28" w:rsidP="0055167D">
      <w:pPr>
        <w:pStyle w:val="BodyText"/>
      </w:pPr>
      <w:r w:rsidRPr="00643A6D">
        <w:t>SP AusNet is responsible for ensuring that reliability in the transmission network in Victoria is maintained</w:t>
      </w:r>
      <w:r w:rsidR="00BB2F78" w:rsidRPr="00643A6D">
        <w:t>,</w:t>
      </w:r>
      <w:r w:rsidRPr="00643A6D">
        <w:t xml:space="preserve"> subject to the planning decisions made by </w:t>
      </w:r>
      <w:r w:rsidR="002A458B" w:rsidRPr="00643A6D">
        <w:t>AEMO. If a planning decision were</w:t>
      </w:r>
      <w:r w:rsidRPr="00643A6D">
        <w:t xml:space="preserve"> found to be the cause of significant damage to a third party, </w:t>
      </w:r>
      <w:r w:rsidR="00907A05">
        <w:t xml:space="preserve">it is likely that </w:t>
      </w:r>
      <w:r w:rsidRPr="00643A6D">
        <w:t xml:space="preserve">AEMO could be liable </w:t>
      </w:r>
      <w:r w:rsidR="007438CB" w:rsidRPr="00643A6D">
        <w:t xml:space="preserve">if </w:t>
      </w:r>
      <w:r w:rsidR="00643A6D" w:rsidRPr="00643A6D">
        <w:t xml:space="preserve">it had been </w:t>
      </w:r>
      <w:r w:rsidR="007438CB" w:rsidRPr="00643A6D">
        <w:t>negligent</w:t>
      </w:r>
      <w:r w:rsidR="00643A6D" w:rsidRPr="00643A6D">
        <w:t xml:space="preserve"> in carrying out its</w:t>
      </w:r>
      <w:r w:rsidRPr="00643A6D">
        <w:t xml:space="preserve"> statutory planning functions.</w:t>
      </w:r>
      <w:r>
        <w:t xml:space="preserve"> </w:t>
      </w:r>
    </w:p>
    <w:p w:rsidR="004772DD" w:rsidRDefault="0055167D" w:rsidP="003111A2">
      <w:pPr>
        <w:pStyle w:val="BodyText"/>
      </w:pPr>
      <w:r>
        <w:t>A</w:t>
      </w:r>
      <w:r w:rsidR="007E721F">
        <w:t>EMO’s objective</w:t>
      </w:r>
      <w:r>
        <w:t xml:space="preserve"> as a planner</w:t>
      </w:r>
      <w:r w:rsidR="007E721F">
        <w:t xml:space="preserve"> in Victoria</w:t>
      </w:r>
      <w:r>
        <w:t xml:space="preserve"> is to ensure that t</w:t>
      </w:r>
      <w:r w:rsidR="003F40E9">
        <w:t xml:space="preserve">he transmission network allows it </w:t>
      </w:r>
      <w:r>
        <w:t>to operate the system within security and system performance obligations</w:t>
      </w:r>
      <w:r w:rsidR="004E1E3B">
        <w:t xml:space="preserve">, </w:t>
      </w:r>
      <w:r w:rsidR="00ED4A9D">
        <w:t xml:space="preserve">set out </w:t>
      </w:r>
      <w:r w:rsidR="004E1E3B">
        <w:t xml:space="preserve">in </w:t>
      </w:r>
      <w:r w:rsidR="00EF79AE">
        <w:t>s</w:t>
      </w:r>
      <w:r>
        <w:t>c</w:t>
      </w:r>
      <w:r w:rsidR="00B62D5C">
        <w:t xml:space="preserve">hedules 5.1a and 5.1 of the </w:t>
      </w:r>
      <w:r w:rsidR="00EF79AE">
        <w:t>National Electricity Rules</w:t>
      </w:r>
      <w:r>
        <w:t xml:space="preserve">. </w:t>
      </w:r>
      <w:r w:rsidR="004E1E3B">
        <w:t>In doing this</w:t>
      </w:r>
      <w:r w:rsidR="002E7619">
        <w:t>,</w:t>
      </w:r>
      <w:r w:rsidR="004E1E3B">
        <w:t xml:space="preserve"> AEMO’s objective is to</w:t>
      </w:r>
      <w:r w:rsidR="00375A73">
        <w:t xml:space="preserve"> ensure the network minimises the total delivered cost of electricity to consumers over the long term by basing investment decisions on </w:t>
      </w:r>
      <w:r w:rsidR="008A214D">
        <w:t>cost–benefit</w:t>
      </w:r>
      <w:r w:rsidR="00375A73">
        <w:t xml:space="preserve"> analysis.</w:t>
      </w:r>
      <w:r w:rsidR="00813F04">
        <w:rPr>
          <w:rStyle w:val="FootnoteReference"/>
        </w:rPr>
        <w:footnoteReference w:id="6"/>
      </w:r>
      <w:r w:rsidR="00375A73">
        <w:t xml:space="preserve"> </w:t>
      </w:r>
      <w:r w:rsidR="003111A2">
        <w:t>AEMO</w:t>
      </w:r>
      <w:r w:rsidR="00FD6EDE">
        <w:t>’s</w:t>
      </w:r>
      <w:r w:rsidR="003111A2">
        <w:t xml:space="preserve"> planning documents </w:t>
      </w:r>
      <w:r w:rsidR="00EF79AE">
        <w:t>indicate</w:t>
      </w:r>
      <w:r w:rsidR="003111A2">
        <w:t xml:space="preserve"> that </w:t>
      </w:r>
      <w:r w:rsidR="00ED4A9D">
        <w:t xml:space="preserve">its objective is to augment the </w:t>
      </w:r>
      <w:r w:rsidR="003111A2" w:rsidRPr="003111A2">
        <w:t xml:space="preserve">transmission network </w:t>
      </w:r>
      <w:r w:rsidR="00ED4A9D">
        <w:t xml:space="preserve">only </w:t>
      </w:r>
      <w:r w:rsidR="003111A2" w:rsidRPr="003111A2">
        <w:t xml:space="preserve">when the economic benefits </w:t>
      </w:r>
      <w:r w:rsidR="003111A2">
        <w:t xml:space="preserve">from </w:t>
      </w:r>
      <w:r w:rsidR="003111A2" w:rsidRPr="003111A2">
        <w:t>avoid</w:t>
      </w:r>
      <w:r w:rsidR="00ED4A9D">
        <w:t>ing</w:t>
      </w:r>
      <w:r w:rsidR="003111A2" w:rsidRPr="003111A2">
        <w:t xml:space="preserve"> </w:t>
      </w:r>
      <w:r w:rsidR="003111A2">
        <w:t xml:space="preserve">interruptions to power supply </w:t>
      </w:r>
      <w:r w:rsidR="003111A2" w:rsidRPr="003111A2">
        <w:t>or congestio</w:t>
      </w:r>
      <w:r w:rsidR="003111A2">
        <w:t>n, equal or exceed the costs of i</w:t>
      </w:r>
      <w:r w:rsidR="003111A2" w:rsidRPr="003111A2">
        <w:t>mplementing the augmentation</w:t>
      </w:r>
      <w:r w:rsidR="00AE79A5">
        <w:t xml:space="preserve"> (AEMO 2011</w:t>
      </w:r>
      <w:r w:rsidR="009A676D">
        <w:t>c</w:t>
      </w:r>
      <w:r w:rsidR="007D23AE">
        <w:t>,</w:t>
      </w:r>
      <w:r w:rsidR="00FD6EDE">
        <w:t xml:space="preserve"> p.</w:t>
      </w:r>
      <w:r w:rsidR="007D23AE">
        <w:t> </w:t>
      </w:r>
      <w:r w:rsidR="00AE79A5">
        <w:t>4</w:t>
      </w:r>
      <w:r w:rsidR="00FD6EDE">
        <w:t>)</w:t>
      </w:r>
      <w:r w:rsidR="003111A2">
        <w:t>.</w:t>
      </w:r>
    </w:p>
    <w:p w:rsidR="000B12E0" w:rsidRDefault="0077757F" w:rsidP="0077757F">
      <w:pPr>
        <w:pStyle w:val="BodyText"/>
      </w:pPr>
      <w:r>
        <w:t xml:space="preserve">AEMO publishes </w:t>
      </w:r>
      <w:r w:rsidRPr="009B5FEB">
        <w:t>the Victorian Annual Planning Report</w:t>
      </w:r>
      <w:r w:rsidR="00ED4A9D" w:rsidRPr="009B5FEB">
        <w:t>,</w:t>
      </w:r>
      <w:r w:rsidRPr="009B5FEB">
        <w:t xml:space="preserve"> </w:t>
      </w:r>
      <w:r w:rsidR="00ED4A9D" w:rsidRPr="009B5FEB">
        <w:t>which</w:t>
      </w:r>
      <w:r w:rsidR="00ED4A9D">
        <w:t xml:space="preserve"> </w:t>
      </w:r>
      <w:r>
        <w:t xml:space="preserve">assesses the ability of the network </w:t>
      </w:r>
      <w:r w:rsidR="00FD6EDE">
        <w:t xml:space="preserve">to </w:t>
      </w:r>
      <w:r w:rsidR="00446232">
        <w:t>meet</w:t>
      </w:r>
      <w:r w:rsidR="00FD6EDE">
        <w:t xml:space="preserve"> forecast demand</w:t>
      </w:r>
      <w:r w:rsidR="000B12E0">
        <w:t xml:space="preserve"> under a range of supply and demand scenarios:</w:t>
      </w:r>
    </w:p>
    <w:p w:rsidR="000B12E0" w:rsidRDefault="00FD6EDE" w:rsidP="005A617F">
      <w:pPr>
        <w:pStyle w:val="ListBullet"/>
      </w:pPr>
      <w:r>
        <w:t>in the next five years at each connection po</w:t>
      </w:r>
      <w:r w:rsidR="00B81BB4">
        <w:t>int</w:t>
      </w:r>
    </w:p>
    <w:p w:rsidR="000B12E0" w:rsidRDefault="00B81BB4" w:rsidP="005A617F">
      <w:pPr>
        <w:pStyle w:val="ListBullet"/>
      </w:pPr>
      <w:r>
        <w:t>across the network in the</w:t>
      </w:r>
      <w:r w:rsidR="00FD6EDE">
        <w:t xml:space="preserve"> longer term. </w:t>
      </w:r>
    </w:p>
    <w:p w:rsidR="00B81BB4" w:rsidRDefault="00FD6EDE" w:rsidP="0077757F">
      <w:pPr>
        <w:pStyle w:val="BodyText"/>
      </w:pPr>
      <w:r>
        <w:t xml:space="preserve">The Victorian distribution businesses jointly publish </w:t>
      </w:r>
      <w:r w:rsidRPr="009B5FEB">
        <w:t>the Transmission Connection Planning Report that focusses on emerging constraints</w:t>
      </w:r>
      <w:r>
        <w:t xml:space="preserve"> </w:t>
      </w:r>
      <w:r w:rsidR="00C07B33">
        <w:t>at</w:t>
      </w:r>
      <w:r>
        <w:t xml:space="preserve"> each connecti</w:t>
      </w:r>
      <w:r w:rsidR="007C2343">
        <w:t>on point for the next 10 years, using connection point specific demand forecasts. AEMO scales these connection point fore</w:t>
      </w:r>
      <w:r w:rsidR="009B4966">
        <w:t>casts to be consistent with the</w:t>
      </w:r>
      <w:r w:rsidR="007C2343">
        <w:t xml:space="preserve"> state-wide medium energy growth scenario (AEMO 2012</w:t>
      </w:r>
      <w:r w:rsidR="009A676D">
        <w:t>e</w:t>
      </w:r>
      <w:r w:rsidR="007C2343">
        <w:t>, p.</w:t>
      </w:r>
      <w:r w:rsidR="00553B6B">
        <w:t> </w:t>
      </w:r>
      <w:r w:rsidR="007C2343">
        <w:t xml:space="preserve">7). </w:t>
      </w:r>
    </w:p>
    <w:p w:rsidR="0055167D" w:rsidRDefault="00A33639" w:rsidP="00D96DEB">
      <w:pPr>
        <w:pStyle w:val="Heading3"/>
      </w:pPr>
      <w:r>
        <w:t xml:space="preserve">Probabilistic </w:t>
      </w:r>
      <w:r w:rsidR="008A214D">
        <w:t>cost–benefit</w:t>
      </w:r>
      <w:r w:rsidR="00B81BB4">
        <w:t xml:space="preserve"> </w:t>
      </w:r>
      <w:r>
        <w:t>analysis</w:t>
      </w:r>
    </w:p>
    <w:p w:rsidR="00FB6416" w:rsidRDefault="00FB6416" w:rsidP="00B81BB4">
      <w:pPr>
        <w:pStyle w:val="BodyText"/>
      </w:pPr>
      <w:r>
        <w:t>AEMO identifies emerging network limitations by running screening studies that test whether the network can be operated in a satisfactory state (or returned to a satisfactory state within 30</w:t>
      </w:r>
      <w:r w:rsidR="004D1E2F">
        <w:t> </w:t>
      </w:r>
      <w:r>
        <w:t xml:space="preserve">minutes after a contingency) under future possible demand and generation scenarios. To do this, AEMO uses deterministic descriptors </w:t>
      </w:r>
      <w:r>
        <w:lastRenderedPageBreak/>
        <w:t xml:space="preserve">to assess which parts of the network </w:t>
      </w:r>
      <w:r w:rsidR="002E7619">
        <w:t xml:space="preserve">would </w:t>
      </w:r>
      <w:r w:rsidR="002142FF">
        <w:t>not be in a satisfactory state under system normal conditions (N), after one contingency (N</w:t>
      </w:r>
      <w:r w:rsidR="004D1E2F">
        <w:noBreakHyphen/>
      </w:r>
      <w:r w:rsidR="002142FF">
        <w:t>1) and after a contingency when one element of the network is already not operating (N</w:t>
      </w:r>
      <w:r w:rsidR="004D1E2F">
        <w:noBreakHyphen/>
      </w:r>
      <w:r w:rsidR="002142FF">
        <w:t>1</w:t>
      </w:r>
      <w:r w:rsidR="004D1E2F">
        <w:noBreakHyphen/>
      </w:r>
      <w:r w:rsidR="002142FF">
        <w:t xml:space="preserve">1). </w:t>
      </w:r>
      <w:r w:rsidR="002C72A5">
        <w:t>These are similar to the screening studies that Powerlink, Transend and Trans</w:t>
      </w:r>
      <w:r w:rsidR="00083448">
        <w:t>G</w:t>
      </w:r>
      <w:r w:rsidR="002C72A5">
        <w:t>rid undertak</w:t>
      </w:r>
      <w:r w:rsidR="000B12E0">
        <w:t>e</w:t>
      </w:r>
      <w:r w:rsidR="002C72A5">
        <w:t>.</w:t>
      </w:r>
    </w:p>
    <w:p w:rsidR="00AB1BFA" w:rsidRDefault="000A2F35" w:rsidP="00B81BB4">
      <w:pPr>
        <w:pStyle w:val="BodyText"/>
      </w:pPr>
      <w:r>
        <w:t xml:space="preserve">Once </w:t>
      </w:r>
      <w:r w:rsidR="000B12E0">
        <w:t xml:space="preserve">AEMO identifies </w:t>
      </w:r>
      <w:r>
        <w:t>an emerging constraint in the network (</w:t>
      </w:r>
      <w:r w:rsidR="000B12E0">
        <w:t xml:space="preserve">the </w:t>
      </w:r>
      <w:r>
        <w:t>exploratory phase</w:t>
      </w:r>
      <w:r w:rsidR="000B12E0">
        <w:t xml:space="preserve"> in</w:t>
      </w:r>
      <w:r>
        <w:t xml:space="preserve"> figure</w:t>
      </w:r>
      <w:bookmarkStart w:id="4" w:name="OLE_LINK3"/>
      <w:r w:rsidR="000B12E0">
        <w:t> </w:t>
      </w:r>
      <w:bookmarkEnd w:id="4"/>
      <w:r w:rsidR="00650956">
        <w:t>F.</w:t>
      </w:r>
      <w:r w:rsidR="009B4966">
        <w:t>1</w:t>
      </w:r>
      <w:r>
        <w:t xml:space="preserve">), </w:t>
      </w:r>
      <w:r w:rsidR="000B12E0">
        <w:t xml:space="preserve">it </w:t>
      </w:r>
      <w:r>
        <w:t xml:space="preserve">develops possible </w:t>
      </w:r>
      <w:r w:rsidR="000B12E0">
        <w:t xml:space="preserve">(investment and non-investment) </w:t>
      </w:r>
      <w:r>
        <w:t xml:space="preserve">options </w:t>
      </w:r>
      <w:r w:rsidR="000B12E0">
        <w:t xml:space="preserve">to remove those constraints, </w:t>
      </w:r>
      <w:r>
        <w:t>taking into account the long-term plans of distribution businesses and SP</w:t>
      </w:r>
      <w:r w:rsidR="006B6CCB">
        <w:t> </w:t>
      </w:r>
      <w:r>
        <w:t xml:space="preserve">AusNet’s replacement and refurbishment plans. </w:t>
      </w:r>
      <w:r w:rsidR="00550550">
        <w:t>Preliminary</w:t>
      </w:r>
      <w:r w:rsidR="000C4C8B">
        <w:t xml:space="preserve"> cost estimates and likely lead times are estimated for each option. </w:t>
      </w:r>
      <w:r w:rsidR="000B12E0">
        <w:t xml:space="preserve">AEMO assesses the costs and benefits of any substantial expenditure proposal before it is implemented. It considers the </w:t>
      </w:r>
      <w:r w:rsidR="00557BE5">
        <w:t>probabilities of contingencies and their resultant impacts</w:t>
      </w:r>
      <w:r w:rsidR="000B12E0">
        <w:t xml:space="preserve"> </w:t>
      </w:r>
      <w:r w:rsidR="00557BE5">
        <w:t>on</w:t>
      </w:r>
      <w:r w:rsidR="000B12E0">
        <w:t xml:space="preserve"> consumers</w:t>
      </w:r>
      <w:r w:rsidR="00557BE5">
        <w:t>,</w:t>
      </w:r>
      <w:r w:rsidR="000B12E0">
        <w:t xml:space="preserve"> and </w:t>
      </w:r>
      <w:r w:rsidR="00557BE5">
        <w:t>set</w:t>
      </w:r>
      <w:r w:rsidR="001A1B16">
        <w:t>s</w:t>
      </w:r>
      <w:r w:rsidR="009B4966">
        <w:t xml:space="preserve"> them</w:t>
      </w:r>
      <w:r w:rsidR="000B12E0">
        <w:t xml:space="preserve"> against the </w:t>
      </w:r>
      <w:r w:rsidR="00557BE5">
        <w:t xml:space="preserve">business costs of </w:t>
      </w:r>
      <w:r w:rsidR="000B12E0">
        <w:t xml:space="preserve">various options to address these </w:t>
      </w:r>
      <w:r w:rsidR="00557BE5">
        <w:t xml:space="preserve">impacts </w:t>
      </w:r>
      <w:r w:rsidR="000B12E0">
        <w:t>(box </w:t>
      </w:r>
      <w:r w:rsidR="00267F11">
        <w:t>F.4</w:t>
      </w:r>
      <w:r w:rsidR="000B12E0">
        <w:t>)</w:t>
      </w:r>
      <w:r w:rsidR="00557BE5">
        <w:t>. The option with the greatest expected net benefit is the preferred option.</w:t>
      </w:r>
    </w:p>
    <w:p w:rsidR="003C6714" w:rsidRDefault="003C6714" w:rsidP="00B81BB4">
      <w:pPr>
        <w:pStyle w:val="BodyText"/>
      </w:pPr>
      <w:r>
        <w:t>As costs and benefits change over time as demand changes, AEMO conducts pre</w:t>
      </w:r>
      <w:r>
        <w:noBreakHyphen/>
        <w:t>feasibility studies to assess whether augmentations might have future net benefits (figure F.1).</w:t>
      </w:r>
      <w:r>
        <w:rPr>
          <w:rStyle w:val="FootnoteReference"/>
        </w:rPr>
        <w:footnoteReference w:id="7"/>
      </w:r>
      <w:r>
        <w:t xml:space="preserve"> Optimal solutions and their timings are identified and costed in more detail during feasibility studies conducted as part of the RIT-T process. This is a form of a ‘real options’ approach to planning.</w:t>
      </w:r>
      <w:r>
        <w:rPr>
          <w:rStyle w:val="FootnoteReference"/>
        </w:rPr>
        <w:footnoteReference w:id="8"/>
      </w:r>
    </w:p>
    <w:p w:rsidR="003C6714" w:rsidRDefault="003C6714" w:rsidP="003C6714">
      <w:pPr>
        <w:pStyle w:val="BodyText"/>
      </w:pPr>
      <w:r>
        <w:t>When options to address emerging reliability concerns are separable</w:t>
      </w:r>
      <w:r>
        <w:rPr>
          <w:rStyle w:val="FootnoteReference"/>
        </w:rPr>
        <w:footnoteReference w:id="9"/>
      </w:r>
      <w:r>
        <w:t xml:space="preserve"> from the rest of the network and are likely to cost at least $10 million, AEMO calls for tenders for the construction, ownership and maintenance of the augmentation or non</w:t>
      </w:r>
      <w:r>
        <w:noBreakHyphen/>
        <w:t xml:space="preserve">network solution. AEMO specifies the limitation in the network, but not the preferred option it has previously identified. This is to ensure that there is </w:t>
      </w:r>
      <w:r>
        <w:lastRenderedPageBreak/>
        <w:t>opportunity for parties to submit other, possibly more innovative, options. It allows parts of the network to be contestable, with the advantages that competition brings to incentives for cost minimisation and innovation.</w:t>
      </w:r>
      <w:r w:rsidRPr="009A2461">
        <w:t xml:space="preserve"> </w:t>
      </w:r>
    </w:p>
    <w:p w:rsidR="00FB031E" w:rsidRDefault="00FB031E" w:rsidP="00FB031E">
      <w:pPr>
        <w:pStyle w:val="FigureTitle"/>
      </w:pPr>
      <w:r>
        <w:rPr>
          <w:b w:val="0"/>
        </w:rPr>
        <w:t xml:space="preserve">Figure </w:t>
      </w:r>
      <w:bookmarkStart w:id="5" w:name="OLE_LINK2"/>
      <w:r w:rsidR="00FA1E1C">
        <w:rPr>
          <w:b w:val="0"/>
        </w:rPr>
        <w:t>F.</w:t>
      </w:r>
      <w:r w:rsidR="007A6CEE">
        <w:rPr>
          <w:b w:val="0"/>
          <w:noProof/>
        </w:rPr>
        <w:t>1</w:t>
      </w:r>
      <w:bookmarkEnd w:id="5"/>
      <w:r>
        <w:tab/>
        <w:t>Australian Energy Market Operator’s annual planning cycle in Victoria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FB031E" w:rsidTr="008F6906">
        <w:tc>
          <w:tcPr>
            <w:tcW w:w="8777" w:type="dxa"/>
          </w:tcPr>
          <w:p w:rsidR="00FB031E" w:rsidRDefault="00FB031E" w:rsidP="008F6906">
            <w:pPr>
              <w:pStyle w:val="Figure"/>
            </w:pPr>
            <w:r>
              <w:rPr>
                <w:noProof/>
              </w:rPr>
              <w:drawing>
                <wp:inline distT="0" distB="0" distL="0" distR="0" wp14:anchorId="13220D7A" wp14:editId="1C6BC80E">
                  <wp:extent cx="5434985" cy="4771505"/>
                  <wp:effectExtent l="0" t="0" r="0" b="0"/>
                  <wp:docPr id="1" name="Picture 1" descr="Figure F.1 Australian Energy Market Operator’s annual planning cycle in Victoria. This figure shows the interaction of the four elements of the planning cycle, namely the exploratory phase, followed by the scoping phase, the pre-feasibility phase and finally the feasibility ph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34067" cy="4770699"/>
                          </a:xfrm>
                          <a:prstGeom prst="rect">
                            <a:avLst/>
                          </a:prstGeom>
                          <a:noFill/>
                        </pic:spPr>
                      </pic:pic>
                    </a:graphicData>
                  </a:graphic>
                </wp:inline>
              </w:drawing>
            </w:r>
          </w:p>
        </w:tc>
      </w:tr>
    </w:tbl>
    <w:p w:rsidR="00FB031E" w:rsidRDefault="00446232" w:rsidP="00FB031E">
      <w:pPr>
        <w:pStyle w:val="Source"/>
      </w:pPr>
      <w:r>
        <w:rPr>
          <w:i/>
        </w:rPr>
        <w:t>S</w:t>
      </w:r>
      <w:r w:rsidR="00FB031E">
        <w:rPr>
          <w:i/>
        </w:rPr>
        <w:t>ource</w:t>
      </w:r>
      <w:r w:rsidR="00FB031E" w:rsidRPr="00167F06">
        <w:t xml:space="preserve">: </w:t>
      </w:r>
      <w:r w:rsidR="00FB031E">
        <w:t>AEMO (2012</w:t>
      </w:r>
      <w:r w:rsidR="009A676D">
        <w:t>e</w:t>
      </w:r>
      <w:r w:rsidR="00FB031E">
        <w:t>, p. 5).</w:t>
      </w:r>
    </w:p>
    <w:p w:rsidR="000C7CFD" w:rsidRDefault="000C7CFD" w:rsidP="000C7CFD">
      <w:pPr>
        <w:pStyle w:val="BodyText"/>
      </w:pPr>
      <w:r>
        <w:t>To date, 15 separable projects have gone to tender in Victoria (of which the incumbent transmission business, SP AusNet, has been awarded 13). The outcomes of these tenders are commercial-in-confidence and are not communicated to the AER, and the expenditure is therefore not incorporated in the regulated asset base at the start of the next regulatory period.</w:t>
      </w:r>
    </w:p>
    <w:p w:rsidR="000C7CFD" w:rsidRPr="000C7CFD" w:rsidRDefault="000C7CFD" w:rsidP="000C7CFD">
      <w:pPr>
        <w:pStyle w:val="BodyText"/>
      </w:pPr>
    </w:p>
    <w:p w:rsidR="00F40957" w:rsidRDefault="00F40957">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40957">
        <w:tc>
          <w:tcPr>
            <w:tcW w:w="8771" w:type="dxa"/>
            <w:tcBorders>
              <w:top w:val="single" w:sz="6" w:space="0" w:color="auto"/>
              <w:bottom w:val="nil"/>
            </w:tcBorders>
          </w:tcPr>
          <w:p w:rsidR="00F40957" w:rsidRDefault="00F40957">
            <w:pPr>
              <w:pStyle w:val="BoxTitle"/>
            </w:pPr>
            <w:r>
              <w:rPr>
                <w:b w:val="0"/>
              </w:rPr>
              <w:t xml:space="preserve">Box </w:t>
            </w:r>
            <w:r w:rsidR="00FA1E1C">
              <w:rPr>
                <w:b w:val="0"/>
              </w:rPr>
              <w:t>F.</w:t>
            </w:r>
            <w:r w:rsidR="007A6CEE">
              <w:rPr>
                <w:b w:val="0"/>
                <w:noProof/>
              </w:rPr>
              <w:t>4</w:t>
            </w:r>
            <w:r>
              <w:tab/>
              <w:t xml:space="preserve">Australian Energy Market Operator’s probabilistic </w:t>
            </w:r>
            <w:r>
              <w:br/>
            </w:r>
            <w:r w:rsidR="008A214D">
              <w:t>cost–benefit</w:t>
            </w:r>
            <w:r>
              <w:t xml:space="preserve"> analysis</w:t>
            </w:r>
          </w:p>
        </w:tc>
      </w:tr>
      <w:tr w:rsidR="00F40957">
        <w:trPr>
          <w:cantSplit/>
        </w:trPr>
        <w:tc>
          <w:tcPr>
            <w:tcW w:w="8771" w:type="dxa"/>
            <w:tcBorders>
              <w:top w:val="nil"/>
              <w:left w:val="single" w:sz="6" w:space="0" w:color="auto"/>
              <w:bottom w:val="nil"/>
              <w:right w:val="single" w:sz="6" w:space="0" w:color="auto"/>
            </w:tcBorders>
          </w:tcPr>
          <w:p w:rsidR="00F40957" w:rsidRPr="006A759D" w:rsidRDefault="00F40957" w:rsidP="00F40957">
            <w:pPr>
              <w:pStyle w:val="Box"/>
            </w:pPr>
            <w:r w:rsidRPr="006A759D">
              <w:t xml:space="preserve">Once a limitation in the network has been identified during the screening studies (which use deterministic indicators), AEMO applies a probabilistic planning approach to reliability that consists of the following four steps. </w:t>
            </w:r>
          </w:p>
          <w:p w:rsidR="00F40957" w:rsidRDefault="00F40957" w:rsidP="00F40957">
            <w:pPr>
              <w:pStyle w:val="BoxListNumber"/>
              <w:rPr>
                <w:szCs w:val="24"/>
              </w:rPr>
            </w:pPr>
            <w:r w:rsidRPr="002C1DB2">
              <w:rPr>
                <w:i/>
              </w:rPr>
              <w:t>Market analysis</w:t>
            </w:r>
            <w:r>
              <w:t xml:space="preserve"> involves designing many possible future scenarios using demand and generation forecasts. AEMO uses hour-by-hour spatial demand forecasts for different possible future peak demands, and hour-by-hour generation dispatch data to create demand and generation scenarios, while also taking into account the different likelihoods of exceeding the forecasts. (10 per cent and 50 per cent likelihoods are usually used.) </w:t>
            </w:r>
          </w:p>
          <w:p w:rsidR="00F40957" w:rsidRDefault="00F40957" w:rsidP="00F40957">
            <w:pPr>
              <w:pStyle w:val="BoxListNumber"/>
              <w:rPr>
                <w:szCs w:val="24"/>
              </w:rPr>
            </w:pPr>
            <w:r w:rsidRPr="002C1DB2">
              <w:rPr>
                <w:i/>
              </w:rPr>
              <w:t>Network analysis</w:t>
            </w:r>
            <w:r>
              <w:t xml:space="preserve"> establishes whether the scenarios threaten the stability of the system in terms of voltages, power flows and equipment ratings. </w:t>
            </w:r>
          </w:p>
          <w:p w:rsidR="00F40957" w:rsidRPr="002C1DB2" w:rsidRDefault="00F40957" w:rsidP="00F40957">
            <w:pPr>
              <w:pStyle w:val="BoxListNumber"/>
              <w:rPr>
                <w:szCs w:val="24"/>
              </w:rPr>
            </w:pPr>
            <w:r w:rsidRPr="002C1DB2">
              <w:rPr>
                <w:i/>
              </w:rPr>
              <w:t>System operation analysis</w:t>
            </w:r>
            <w:r>
              <w:t xml:space="preserve"> assesses the operational actions required under different scenarios in different conditions. Operational actions only occur if the system is not in a satisfactory operating state.</w:t>
            </w:r>
            <w:r>
              <w:rPr>
                <w:rStyle w:val="FootnoteReference"/>
              </w:rPr>
              <w:footnoteReference w:id="10"/>
            </w:r>
            <w:r>
              <w:t xml:space="preserve"> Operational actions can include network switching, generation re-dispatch and load shedding. These actions have costs, including interrupting customers’ power when load shedding occurs or dispatching higher cost generators, making power more expensive. The analysis then examines what, if any, operational actions are required if a contingency occurs. Sometimes, analysis is required for four consecutive contingencies to ensure the network returns to a secure operating state. Contingency data, and their likelihood of occurring, are compiled using historical outage data from the Victorian network.</w:t>
            </w:r>
          </w:p>
          <w:p w:rsidR="00F40957" w:rsidRPr="002C1DB2" w:rsidRDefault="00F40957" w:rsidP="00F40957">
            <w:pPr>
              <w:pStyle w:val="BoxListNumber"/>
              <w:rPr>
                <w:szCs w:val="24"/>
              </w:rPr>
            </w:pPr>
            <w:r>
              <w:t xml:space="preserve">The </w:t>
            </w:r>
            <w:r>
              <w:rPr>
                <w:i/>
              </w:rPr>
              <w:t xml:space="preserve">most likely action value </w:t>
            </w:r>
            <w:r w:rsidRPr="002E7619">
              <w:t>is calculated</w:t>
            </w:r>
            <w:r>
              <w:t xml:space="preserve"> by multiplying the probabilities of the scenarios and the contingencies by the costs of the operational actions that would be required in each situation and summing them together. </w:t>
            </w:r>
          </w:p>
          <w:p w:rsidR="00F40957" w:rsidRPr="006A759D" w:rsidRDefault="00F40957" w:rsidP="00F40957">
            <w:pPr>
              <w:pStyle w:val="Box"/>
            </w:pPr>
            <w:r w:rsidRPr="006A759D">
              <w:t xml:space="preserve">These four steps estimate the cost of a ‘do nothing’ scenario. </w:t>
            </w:r>
          </w:p>
          <w:p w:rsidR="00F40957" w:rsidRPr="00E02F0A" w:rsidRDefault="00F40957" w:rsidP="004D1E2F">
            <w:pPr>
              <w:pStyle w:val="Box"/>
            </w:pPr>
            <w:r w:rsidRPr="006A759D">
              <w:t xml:space="preserve">Steps </w:t>
            </w:r>
            <w:r w:rsidR="004D1E2F" w:rsidRPr="006A759D">
              <w:t>two</w:t>
            </w:r>
            <w:r w:rsidRPr="006A759D">
              <w:t xml:space="preserve"> to </w:t>
            </w:r>
            <w:r w:rsidR="004D1E2F" w:rsidRPr="006A759D">
              <w:t>four</w:t>
            </w:r>
            <w:r w:rsidRPr="006A759D">
              <w:t xml:space="preserve"> are repeated for each of the possible solutions to network constraints (such as augmentations or demand management) and compared with the ‘do nothing’ scenario. An option passes a </w:t>
            </w:r>
            <w:r w:rsidR="008A214D">
              <w:t>cost–benefit</w:t>
            </w:r>
            <w:r w:rsidRPr="006A759D">
              <w:t xml:space="preserve"> test if it produces benefits above the do</w:t>
            </w:r>
            <w:r w:rsidRPr="006A759D">
              <w:noBreakHyphen/>
              <w:t>nothing strategy sufficient to exceed the costs.</w:t>
            </w:r>
          </w:p>
        </w:tc>
      </w:tr>
      <w:tr w:rsidR="00F40957">
        <w:trPr>
          <w:cantSplit/>
        </w:trPr>
        <w:tc>
          <w:tcPr>
            <w:tcW w:w="8771" w:type="dxa"/>
            <w:tcBorders>
              <w:top w:val="nil"/>
              <w:left w:val="single" w:sz="6" w:space="0" w:color="auto"/>
              <w:bottom w:val="nil"/>
              <w:right w:val="single" w:sz="6" w:space="0" w:color="auto"/>
            </w:tcBorders>
          </w:tcPr>
          <w:p w:rsidR="00F40957" w:rsidRDefault="00F40957" w:rsidP="00F40957">
            <w:pPr>
              <w:pStyle w:val="BoxSource"/>
            </w:pPr>
            <w:r>
              <w:rPr>
                <w:i/>
              </w:rPr>
              <w:t>Sources</w:t>
            </w:r>
            <w:r w:rsidRPr="00167F06">
              <w:t xml:space="preserve">: </w:t>
            </w:r>
            <w:r w:rsidR="003A0245">
              <w:t>AEMO (2012e</w:t>
            </w:r>
            <w:r>
              <w:t>, pers. comm.</w:t>
            </w:r>
            <w:r w:rsidR="00F5643C">
              <w:t>,</w:t>
            </w:r>
            <w:r>
              <w:t xml:space="preserve"> 10 August 2012); VENCorp (2007).</w:t>
            </w:r>
          </w:p>
        </w:tc>
      </w:tr>
      <w:tr w:rsidR="00F40957">
        <w:trPr>
          <w:cantSplit/>
        </w:trPr>
        <w:tc>
          <w:tcPr>
            <w:tcW w:w="8771" w:type="dxa"/>
            <w:tcBorders>
              <w:top w:val="nil"/>
              <w:left w:val="single" w:sz="6" w:space="0" w:color="auto"/>
              <w:bottom w:val="single" w:sz="6" w:space="0" w:color="auto"/>
              <w:right w:val="single" w:sz="6" w:space="0" w:color="auto"/>
            </w:tcBorders>
          </w:tcPr>
          <w:p w:rsidR="00F40957" w:rsidRDefault="00F40957">
            <w:pPr>
              <w:pStyle w:val="Box"/>
              <w:spacing w:before="0" w:line="120" w:lineRule="exact"/>
            </w:pPr>
          </w:p>
        </w:tc>
      </w:tr>
      <w:tr w:rsidR="00F40957" w:rsidRPr="000863A5">
        <w:tc>
          <w:tcPr>
            <w:tcW w:w="8771" w:type="dxa"/>
            <w:tcBorders>
              <w:top w:val="nil"/>
              <w:left w:val="nil"/>
              <w:bottom w:val="nil"/>
              <w:right w:val="nil"/>
            </w:tcBorders>
          </w:tcPr>
          <w:p w:rsidR="00F40957" w:rsidRPr="00626D32" w:rsidRDefault="00F40957" w:rsidP="00E105E4">
            <w:pPr>
              <w:pStyle w:val="BoxSpaceBelow"/>
            </w:pPr>
          </w:p>
        </w:tc>
      </w:tr>
    </w:tbl>
    <w:p w:rsidR="003C6714" w:rsidRDefault="003C6714" w:rsidP="003C6714">
      <w:pPr>
        <w:pStyle w:val="BodyText"/>
      </w:pPr>
      <w:r w:rsidRPr="00E5055A">
        <w:t>When options are not separable, AEMO</w:t>
      </w:r>
      <w:r>
        <w:t xml:space="preserve"> negotiates with SP AusNet to carry out the development or project. SP AusNet receives revenue for the capital expenditure</w:t>
      </w:r>
      <w:r>
        <w:rPr>
          <w:rStyle w:val="FootnoteReference"/>
        </w:rPr>
        <w:footnoteReference w:id="11"/>
      </w:r>
      <w:r>
        <w:t xml:space="preserve"> and operating costs for projects that are embedded in their network or for projects </w:t>
      </w:r>
      <w:r>
        <w:lastRenderedPageBreak/>
        <w:t xml:space="preserve">that they have won through the tender process. For non-separable projects, the capital that SP AusNet has spent on these projects is rolled into the regulatory asset base at the end of the five year regulatory period, and is therefore available for any benchmarking exercises undertaken by the AER. </w:t>
      </w:r>
    </w:p>
    <w:p w:rsidR="00C65CEC" w:rsidRDefault="0047352C" w:rsidP="00D96DEB">
      <w:pPr>
        <w:pStyle w:val="Heading3"/>
      </w:pPr>
      <w:r>
        <w:t>Assessment of efficiency</w:t>
      </w:r>
    </w:p>
    <w:p w:rsidR="0026476F" w:rsidRDefault="0026476F" w:rsidP="00F27429">
      <w:pPr>
        <w:pStyle w:val="Heading4"/>
      </w:pPr>
      <w:r>
        <w:t>Efficiency of investments</w:t>
      </w:r>
    </w:p>
    <w:p w:rsidR="008A0CE9" w:rsidRDefault="005C75C2" w:rsidP="008A0CE9">
      <w:pPr>
        <w:pStyle w:val="BodyText"/>
      </w:pPr>
      <w:r w:rsidRPr="005C75C2">
        <w:t xml:space="preserve">The Victorian transmission </w:t>
      </w:r>
      <w:r w:rsidR="003A5E23">
        <w:t>planning</w:t>
      </w:r>
      <w:r w:rsidRPr="005C75C2">
        <w:t xml:space="preserve"> framework </w:t>
      </w:r>
      <w:r w:rsidR="00E53B9D">
        <w:t xml:space="preserve">appears to </w:t>
      </w:r>
      <w:r w:rsidR="008E1053">
        <w:t>support</w:t>
      </w:r>
      <w:r w:rsidR="00E53B9D">
        <w:t xml:space="preserve"> </w:t>
      </w:r>
      <w:r>
        <w:t xml:space="preserve">efficient options for meeting </w:t>
      </w:r>
      <w:r w:rsidR="007433DE">
        <w:t>reliability constraint</w:t>
      </w:r>
      <w:r w:rsidR="00E53B9D">
        <w:t>s</w:t>
      </w:r>
      <w:r>
        <w:t xml:space="preserve">. </w:t>
      </w:r>
      <w:r w:rsidR="008A0CE9">
        <w:t>T</w:t>
      </w:r>
      <w:r>
        <w:t>he decision</w:t>
      </w:r>
      <w:r w:rsidR="00E53B9D">
        <w:t>s</w:t>
      </w:r>
      <w:r>
        <w:t xml:space="preserve"> </w:t>
      </w:r>
      <w:r w:rsidR="008E1053">
        <w:t xml:space="preserve">about </w:t>
      </w:r>
      <w:r>
        <w:t>what</w:t>
      </w:r>
      <w:r w:rsidR="00071D34">
        <w:t>, where and when</w:t>
      </w:r>
      <w:r>
        <w:t xml:space="preserve"> to build </w:t>
      </w:r>
      <w:r w:rsidR="00E53B9D">
        <w:t xml:space="preserve">are </w:t>
      </w:r>
      <w:r>
        <w:t>made by AEMO</w:t>
      </w:r>
      <w:r w:rsidR="00957EE8">
        <w:t>,</w:t>
      </w:r>
      <w:r>
        <w:t xml:space="preserve"> or </w:t>
      </w:r>
      <w:r w:rsidR="00E53B9D">
        <w:t>are</w:t>
      </w:r>
      <w:r>
        <w:t xml:space="preserve"> subject to competitive forces through tender</w:t>
      </w:r>
      <w:r w:rsidR="00957EE8">
        <w:t>ing</w:t>
      </w:r>
      <w:r>
        <w:t>. AEMO, an expert, independent, not-for-profit planner, has little incentive to make inefficient investment decisions</w:t>
      </w:r>
      <w:r w:rsidR="007433DE">
        <w:rPr>
          <w:rStyle w:val="FootnoteReference"/>
        </w:rPr>
        <w:footnoteReference w:id="12"/>
      </w:r>
      <w:r w:rsidR="007433DE">
        <w:t xml:space="preserve"> and all investments must pass a </w:t>
      </w:r>
      <w:r w:rsidR="008A214D">
        <w:t>cost–benefit</w:t>
      </w:r>
      <w:r w:rsidR="007433DE">
        <w:t xml:space="preserve"> test</w:t>
      </w:r>
      <w:r w:rsidR="00D61098">
        <w:t>, the last iteration of which is delivered through the RIT-T process.</w:t>
      </w:r>
      <w:r w:rsidR="00D61098">
        <w:rPr>
          <w:rStyle w:val="FootnoteReference"/>
        </w:rPr>
        <w:footnoteReference w:id="13"/>
      </w:r>
      <w:r w:rsidR="00D61098">
        <w:t xml:space="preserve"> </w:t>
      </w:r>
      <w:r w:rsidR="008C2744">
        <w:t>Nevertheless, AEMO does not face the same commercial incentives to cost minimise as faced by private</w:t>
      </w:r>
      <w:r w:rsidR="00F27429">
        <w:t>ly owned</w:t>
      </w:r>
      <w:r w:rsidR="008C2744">
        <w:t xml:space="preserve"> </w:t>
      </w:r>
      <w:r w:rsidR="006729E8">
        <w:t>transmission businesses</w:t>
      </w:r>
      <w:r w:rsidR="008C2744">
        <w:t xml:space="preserve">. </w:t>
      </w:r>
    </w:p>
    <w:p w:rsidR="008A0CE9" w:rsidRDefault="00D61098" w:rsidP="008A0CE9">
      <w:pPr>
        <w:pStyle w:val="BodyText"/>
      </w:pPr>
      <w:r>
        <w:t xml:space="preserve">AEMO </w:t>
      </w:r>
      <w:r w:rsidR="008A0CE9">
        <w:t xml:space="preserve">also </w:t>
      </w:r>
      <w:r>
        <w:t>has no reason to prefer network or non-network solutions since it is not influenced by the need to meet deterministic standards</w:t>
      </w:r>
      <w:r w:rsidR="00E32948">
        <w:t>. Further</w:t>
      </w:r>
      <w:r w:rsidR="00FF4E61">
        <w:t>, there is no financial consequence to AEMO from either choice, unlike for a TNSP</w:t>
      </w:r>
      <w:r w:rsidR="00E32948">
        <w:t xml:space="preserve"> where future returns may vary depending on whether or not the investment forms part of the </w:t>
      </w:r>
      <w:r w:rsidR="00FD6A40">
        <w:t>regulatory asset base</w:t>
      </w:r>
      <w:r w:rsidR="00E32948">
        <w:t xml:space="preserve"> and is influenced by potential errors in the </w:t>
      </w:r>
      <w:r w:rsidR="00FD6A40">
        <w:t>weighted average cost of capital</w:t>
      </w:r>
      <w:r>
        <w:t>. As a result</w:t>
      </w:r>
      <w:r w:rsidR="00957EE8">
        <w:t>,</w:t>
      </w:r>
      <w:r>
        <w:t xml:space="preserve"> it can identify the most efficient option</w:t>
      </w:r>
      <w:r w:rsidR="00957EE8">
        <w:t>,</w:t>
      </w:r>
      <w:r>
        <w:t xml:space="preserve"> which may be a network or non-network option</w:t>
      </w:r>
      <w:r w:rsidR="00AA3FA3">
        <w:t>,</w:t>
      </w:r>
      <w:r>
        <w:t xml:space="preserve"> or a combination of both.</w:t>
      </w:r>
    </w:p>
    <w:p w:rsidR="008A0CE9" w:rsidRDefault="008A0CE9" w:rsidP="008A0CE9">
      <w:pPr>
        <w:pStyle w:val="BodyText"/>
      </w:pPr>
      <w:r>
        <w:t xml:space="preserve">A further benefit arises from </w:t>
      </w:r>
      <w:r w:rsidR="00D61098">
        <w:t>the probabilistic process</w:t>
      </w:r>
      <w:r>
        <w:t xml:space="preserve"> </w:t>
      </w:r>
      <w:r w:rsidR="00292219">
        <w:t>identifying</w:t>
      </w:r>
      <w:r w:rsidR="00501CE7">
        <w:t xml:space="preserve"> the most efficient timing of investments</w:t>
      </w:r>
      <w:r>
        <w:t>. I</w:t>
      </w:r>
      <w:r w:rsidR="00501CE7">
        <w:t>ndeed</w:t>
      </w:r>
      <w:r w:rsidR="00957EE8">
        <w:t>,</w:t>
      </w:r>
      <w:r w:rsidR="00501CE7">
        <w:t xml:space="preserve"> in some cases, the di</w:t>
      </w:r>
      <w:r w:rsidR="00D96DEB">
        <w:t>fference in outcomes between probabilistic planning and deterministic standards might</w:t>
      </w:r>
      <w:r w:rsidR="00501CE7">
        <w:t xml:space="preserve"> be one of timing rather than </w:t>
      </w:r>
      <w:r w:rsidR="001756DC">
        <w:t xml:space="preserve">the </w:t>
      </w:r>
      <w:r w:rsidR="00501CE7">
        <w:t>type or scope of projec</w:t>
      </w:r>
      <w:r w:rsidR="009B5FEB">
        <w:t>t (Grid Australia, sub. 44</w:t>
      </w:r>
      <w:r w:rsidR="00FF4E61">
        <w:t xml:space="preserve"> and AEMO 2012j</w:t>
      </w:r>
      <w:r w:rsidR="00501CE7">
        <w:t xml:space="preserve">). </w:t>
      </w:r>
    </w:p>
    <w:p w:rsidR="008A0CE9" w:rsidRDefault="00501CE7" w:rsidP="008A0CE9">
      <w:pPr>
        <w:pStyle w:val="BodyText"/>
      </w:pPr>
      <w:r>
        <w:lastRenderedPageBreak/>
        <w:t>AEMO</w:t>
      </w:r>
      <w:r w:rsidR="00FD404D">
        <w:t>’s</w:t>
      </w:r>
      <w:r>
        <w:t xml:space="preserve"> real options approach</w:t>
      </w:r>
      <w:r w:rsidR="00BA6622">
        <w:t>, however,</w:t>
      </w:r>
      <w:r>
        <w:t xml:space="preserve"> has benefits. It outlines a stream of augmentations, each planned to commence at different points in the future according to demand forecasts, and assesses the economic case for each investment as its time for construction approaches, allowing changes in customer values and in relevant costs to be incorporated. The New Zealand Electricity Commission found that adopting a real options approach could result in savings of up to 30 per cent compared with orthodox investment planning methods (Electricity Commission</w:t>
      </w:r>
      <w:r w:rsidR="00FD404D">
        <w:t> </w:t>
      </w:r>
      <w:r>
        <w:t xml:space="preserve">2006). </w:t>
      </w:r>
    </w:p>
    <w:p w:rsidR="00501CE7" w:rsidRDefault="00501CE7" w:rsidP="008A0CE9">
      <w:pPr>
        <w:pStyle w:val="BodyText"/>
      </w:pPr>
      <w:r>
        <w:t>The Victorian Department of Primary Industries (DPI) has also argued for a ‘dynamic probabilistic approach’ in their submission to the Transmission Frameworks Review:</w:t>
      </w:r>
    </w:p>
    <w:p w:rsidR="00501CE7" w:rsidRPr="000B3E61" w:rsidRDefault="00501CE7" w:rsidP="00501CE7">
      <w:pPr>
        <w:pStyle w:val="Quote"/>
        <w:rPr>
          <w:rStyle w:val="PageNumber"/>
          <w:rFonts w:ascii="Times New Roman" w:hAnsi="Times New Roman"/>
          <w:b w:val="0"/>
          <w:sz w:val="24"/>
        </w:rPr>
      </w:pPr>
      <w:r w:rsidRPr="008463DD">
        <w:t>DPI considers that a dynamic probabilistic planning approach applied to transmission</w:t>
      </w:r>
      <w:r>
        <w:t xml:space="preserve"> </w:t>
      </w:r>
      <w:r w:rsidRPr="008463DD">
        <w:t>augmentations is likely to result in more accurate and efficient investment outcomes</w:t>
      </w:r>
      <w:r>
        <w:t xml:space="preserve"> </w:t>
      </w:r>
      <w:r w:rsidRPr="008463DD">
        <w:t>when compared to the setting of deterministic standards that are applied for a fixed</w:t>
      </w:r>
      <w:r>
        <w:t xml:space="preserve"> </w:t>
      </w:r>
      <w:r w:rsidRPr="008463DD">
        <w:t xml:space="preserve">period and which are </w:t>
      </w:r>
      <w:r w:rsidRPr="000B3E61">
        <w:t>based on analysis which is likely to become out of date over time as market events evolve. (DPI 2012</w:t>
      </w:r>
      <w:r w:rsidR="00366DF0" w:rsidRPr="000B3E61">
        <w:t>b</w:t>
      </w:r>
      <w:r w:rsidRPr="000B3E61">
        <w:t>, p. 6)</w:t>
      </w:r>
    </w:p>
    <w:p w:rsidR="008A0CE9" w:rsidRDefault="00501CE7" w:rsidP="001756DC">
      <w:pPr>
        <w:pStyle w:val="BodyText"/>
      </w:pPr>
      <w:r w:rsidRPr="000B3E61">
        <w:t>The probabilistic planning undertaken by AEMO, through the use of repeated feasibility studies, incorporates a real options approach and ensures that investments for reliability purposes are not undertaken when the costs (as negotiated between AEMO and the business, or revealed through competitive tender) outweigh the benefits.</w:t>
      </w:r>
      <w:r w:rsidR="00C3216E" w:rsidRPr="000B3E61">
        <w:t xml:space="preserve"> </w:t>
      </w:r>
      <w:r w:rsidR="008A0CE9" w:rsidRPr="000B3E61">
        <w:t xml:space="preserve">AEMO </w:t>
      </w:r>
      <w:r w:rsidR="001756DC" w:rsidRPr="000B3E61">
        <w:t>only procures or negotiates</w:t>
      </w:r>
      <w:r w:rsidR="008A0CE9" w:rsidRPr="000B3E61">
        <w:t xml:space="preserve"> the investments at the time the projects are due to commence. In contrast to the situation in New South Wales, Queensland and Tasmania, the </w:t>
      </w:r>
      <w:r w:rsidR="008A214D">
        <w:t>cost–benefit</w:t>
      </w:r>
      <w:r w:rsidR="001360C0" w:rsidRPr="000B3E61">
        <w:t xml:space="preserve"> analysis </w:t>
      </w:r>
      <w:r w:rsidR="008A0CE9" w:rsidRPr="000B3E61">
        <w:t>in Victoria is conducted and all options expl</w:t>
      </w:r>
      <w:r w:rsidR="001756DC" w:rsidRPr="000B3E61">
        <w:t>ored</w:t>
      </w:r>
      <w:r w:rsidR="008A0CE9" w:rsidRPr="000B3E61">
        <w:t xml:space="preserve"> before approval</w:t>
      </w:r>
      <w:r w:rsidR="008A0CE9">
        <w:t xml:space="preserve"> for the revenue attributable to this capital </w:t>
      </w:r>
      <w:r w:rsidR="00F27429">
        <w:t xml:space="preserve">expenditure </w:t>
      </w:r>
      <w:r w:rsidR="008A0CE9">
        <w:t>occurs.</w:t>
      </w:r>
    </w:p>
    <w:p w:rsidR="00C77488" w:rsidRDefault="00C77488" w:rsidP="00C77488">
      <w:pPr>
        <w:pStyle w:val="BodyText"/>
      </w:pPr>
      <w:r>
        <w:t xml:space="preserve">The most commonly cited criticism of this model is that investments for projects </w:t>
      </w:r>
      <w:r w:rsidR="00FF4E61">
        <w:t xml:space="preserve">(in terms of their type and scope) </w:t>
      </w:r>
      <w:r>
        <w:t>are not de</w:t>
      </w:r>
      <w:r w:rsidR="00FF4E61">
        <w:t xml:space="preserve">termined </w:t>
      </w:r>
      <w:r>
        <w:t xml:space="preserve">by a business motivated by a profit incentive. However, this may have benefits in circumstances where the profit incentives of </w:t>
      </w:r>
      <w:r w:rsidR="00FF4E61">
        <w:t xml:space="preserve">the relevant transmission </w:t>
      </w:r>
      <w:r>
        <w:t>businesses are weak, or investment decisions are based on objectives other than profit (chapter 5 and</w:t>
      </w:r>
      <w:r w:rsidR="004D1E2F">
        <w:t> </w:t>
      </w:r>
      <w:r>
        <w:t xml:space="preserve">7) or when the experience of planning across the NEM gives AEMO increased exposure to new and innovative ways to address network constraints. </w:t>
      </w:r>
    </w:p>
    <w:p w:rsidR="004B1C14" w:rsidRDefault="004B1C14" w:rsidP="004B1C14">
      <w:pPr>
        <w:pStyle w:val="BodyText"/>
      </w:pPr>
      <w:r>
        <w:t xml:space="preserve">Costs of non-separable projects are negotiated between the business and AEMO, which then approves the required revenue for the business. This process should reveal reasonably efficient costs, provided AEMO is an informed party at the negotiations, and the transmission business does not attempt to inflate its cost estimates as an ‘ambit’ for negotiation. However, it is not necessarily transparent. In </w:t>
      </w:r>
      <w:r>
        <w:lastRenderedPageBreak/>
        <w:t xml:space="preserve">Victoria, either party can seek arbitration from the AER if negotiations fail to deliver an agreed cost for a project (although to date this has never occurred). </w:t>
      </w:r>
    </w:p>
    <w:p w:rsidR="004B1C14" w:rsidRDefault="004B1C14" w:rsidP="00F27429">
      <w:pPr>
        <w:pStyle w:val="Heading4"/>
      </w:pPr>
      <w:r>
        <w:t>Efficiency of standards</w:t>
      </w:r>
    </w:p>
    <w:p w:rsidR="004B1C14" w:rsidRDefault="004B1C14" w:rsidP="004B1C14">
      <w:pPr>
        <w:pStyle w:val="BodyText"/>
      </w:pPr>
      <w:r>
        <w:t xml:space="preserve">The </w:t>
      </w:r>
      <w:r w:rsidRPr="008A0CE9">
        <w:t>efficiency of standards</w:t>
      </w:r>
      <w:r>
        <w:t xml:space="preserve"> in this model is more difficult to assess because probabilistic planning does not use ‘standards’. However, this criterion is concerned with whether the delivered levels of reliability (either through the use of and compliance with standards or through probabilistic planning) are aligned to the preferences of customers. </w:t>
      </w:r>
    </w:p>
    <w:p w:rsidR="004B1C14" w:rsidRDefault="004B1C14" w:rsidP="004B1C14">
      <w:pPr>
        <w:pStyle w:val="BodyText"/>
      </w:pPr>
      <w:r>
        <w:t xml:space="preserve">So long as the data and variables used in the analysis are accurate, probabilistic planning, as a form of </w:t>
      </w:r>
      <w:r w:rsidR="008A214D">
        <w:t>cost–benefit</w:t>
      </w:r>
      <w:r>
        <w:t xml:space="preserve"> analysis </w:t>
      </w:r>
      <w:r w:rsidRPr="00125C9B">
        <w:t>should align levels</w:t>
      </w:r>
      <w:r>
        <w:t xml:space="preserve"> of reliability with customer preferences, taking account of temporary ‘mismatches’ due to the lumpiness</w:t>
      </w:r>
      <w:r w:rsidR="00624D3B">
        <w:t xml:space="preserve"> of transmission assets. (Box </w:t>
      </w:r>
      <w:r w:rsidR="00650956">
        <w:t>F.</w:t>
      </w:r>
      <w:r w:rsidR="00267F11">
        <w:t>5</w:t>
      </w:r>
      <w:r>
        <w:t xml:space="preserve"> explains the difference between probabilistic and deterministic approaches to planning.)</w:t>
      </w:r>
    </w:p>
    <w:p w:rsidR="00105426" w:rsidRDefault="00105426" w:rsidP="00105426">
      <w:pPr>
        <w:pStyle w:val="BodyText"/>
      </w:pPr>
      <w:r>
        <w:t xml:space="preserve">However, there are several concerns about the extent to which AEMO’s probabilistic process currently delivers efficient levels of reliability. </w:t>
      </w:r>
    </w:p>
    <w:p w:rsidR="00105426" w:rsidRDefault="00105426" w:rsidP="00105426">
      <w:pPr>
        <w:pStyle w:val="BodyText"/>
      </w:pPr>
      <w:r>
        <w:t xml:space="preserve">First, there are some concerns about the quality of the modelling, parameters and data. </w:t>
      </w:r>
    </w:p>
    <w:p w:rsidR="00105426" w:rsidRDefault="00105426" w:rsidP="00105426">
      <w:pPr>
        <w:pStyle w:val="ListBullet"/>
      </w:pPr>
      <w:r>
        <w:t>Some low probability catastrophic events are difficult to model because there is insufficient historical data to determine the probabilities. This complexity increases where a set of interdependent effects may lead to catastrophic failure. For example, a hot day may lead to the coincidence of peak demand, a failure of a transmission line due to arcing, inadequate water to feed hydro generators (if the hot day coincides with a prolonged drought), fires that take out interconnectors, and shortages of maintenance crew at parts of the network that need repair. Given their possible lack of independence, the probability of such events cannot be calculated as the multiple of the probabilities of the events occurring separately (which has apparently been AEMO’s approach). Ignoring dependence would underestimate the true likelihood of catastrophic failure. However, AEMO has begun to incorporate hypothetical high impact, low probability events in its planning, rather than only accounting for events captured in the historical data.</w:t>
      </w:r>
    </w:p>
    <w:p w:rsidR="00105426" w:rsidRDefault="00105426" w:rsidP="00105426">
      <w:pPr>
        <w:pStyle w:val="ListBullet"/>
      </w:pPr>
      <w:r>
        <w:t xml:space="preserve">There are uncertainties about the quality of the data (and the methods) used to estimate the </w:t>
      </w:r>
      <w:r w:rsidR="003C6714">
        <w:t>VCR</w:t>
      </w:r>
      <w:r>
        <w:t xml:space="preserve"> (chapter 14). It is crucial to take account of all the costs imposed on customers from operational actions (such as load shedding or dispatching more costly generators) when making efficient investment decisions, </w:t>
      </w:r>
      <w:r>
        <w:lastRenderedPageBreak/>
        <w:t xml:space="preserve">even if the costs are difficult to measure. If nothing else, a </w:t>
      </w:r>
      <w:r w:rsidRPr="00D91BF3">
        <w:t xml:space="preserve">range of VCRs should be used in modelling. </w:t>
      </w:r>
    </w:p>
    <w:p w:rsidR="00F40957" w:rsidRDefault="00F40957">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40957">
        <w:tc>
          <w:tcPr>
            <w:tcW w:w="8771" w:type="dxa"/>
            <w:tcBorders>
              <w:top w:val="single" w:sz="6" w:space="0" w:color="auto"/>
              <w:bottom w:val="nil"/>
            </w:tcBorders>
          </w:tcPr>
          <w:p w:rsidR="00F40957" w:rsidRDefault="00F40957">
            <w:pPr>
              <w:pStyle w:val="BoxTitle"/>
            </w:pPr>
            <w:r>
              <w:rPr>
                <w:b w:val="0"/>
              </w:rPr>
              <w:t xml:space="preserve">Box </w:t>
            </w:r>
            <w:r w:rsidR="00FA1E1C">
              <w:rPr>
                <w:b w:val="0"/>
              </w:rPr>
              <w:t>F.</w:t>
            </w:r>
            <w:r w:rsidR="007A6CEE">
              <w:rPr>
                <w:b w:val="0"/>
                <w:noProof/>
              </w:rPr>
              <w:t>5</w:t>
            </w:r>
            <w:r>
              <w:tab/>
            </w:r>
            <w:r w:rsidR="00E105E4">
              <w:t>Probabilistic and deterministic planning</w:t>
            </w:r>
          </w:p>
        </w:tc>
      </w:tr>
      <w:tr w:rsidR="00F40957">
        <w:trPr>
          <w:cantSplit/>
        </w:trPr>
        <w:tc>
          <w:tcPr>
            <w:tcW w:w="8771" w:type="dxa"/>
            <w:tcBorders>
              <w:top w:val="nil"/>
              <w:left w:val="single" w:sz="6" w:space="0" w:color="auto"/>
              <w:bottom w:val="nil"/>
              <w:right w:val="single" w:sz="6" w:space="0" w:color="auto"/>
            </w:tcBorders>
          </w:tcPr>
          <w:p w:rsidR="00F40957" w:rsidRDefault="00F40957" w:rsidP="00F40957">
            <w:pPr>
              <w:pStyle w:val="Box"/>
            </w:pPr>
            <w:r>
              <w:t xml:space="preserve">A framework that delivers efficient levels of reliability can </w:t>
            </w:r>
            <w:r w:rsidRPr="005E701A">
              <w:rPr>
                <w:i/>
              </w:rPr>
              <w:t>describe</w:t>
            </w:r>
            <w:r>
              <w:t xml:space="preserve"> the network and the reliability outcomes in a number of ways: deterministically; using probabilities of interruptions; using maximum interruption durations or occurrence; or using values of lost load. </w:t>
            </w:r>
          </w:p>
          <w:p w:rsidR="00F40957" w:rsidRDefault="00F40957" w:rsidP="00F40957">
            <w:pPr>
              <w:pStyle w:val="Box"/>
            </w:pPr>
            <w:r>
              <w:t xml:space="preserve">Across the jurisdictions in the NEM, there are fewer differences in the way levels of reliability are described than there are </w:t>
            </w:r>
            <w:r w:rsidR="00E105E4">
              <w:t xml:space="preserve">in </w:t>
            </w:r>
            <w:r>
              <w:t xml:space="preserve">how they are set, and </w:t>
            </w:r>
            <w:r w:rsidR="00E105E4">
              <w:t xml:space="preserve">by which </w:t>
            </w:r>
            <w:r>
              <w:t>party sets them. For example, Victoria’s probabilistic framework uses deterministic N-1 indicators for its initial screening of the network. South Australia’s hybrid standards are an example of moving from a probabilistic analysis to deterministic criteria. Augmentations of the Victorian network under a probabilistic framework can be converted into a description of the level of redundancy using deterministic terminology. AEMO also converts the NEM-wide 0.002 per cent unserved energy reliability standard into deterministic standards to identify the level of reserve in each NEM region (AEMC 2007a, p. 30).</w:t>
            </w:r>
          </w:p>
          <w:p w:rsidR="00F40957" w:rsidRDefault="00F40957" w:rsidP="00F40957">
            <w:pPr>
              <w:pStyle w:val="Box"/>
            </w:pPr>
            <w:r w:rsidRPr="00780B76">
              <w:t>However</w:t>
            </w:r>
            <w:r>
              <w:rPr>
                <w:i/>
              </w:rPr>
              <w:t>, i</w:t>
            </w:r>
            <w:r w:rsidRPr="005E701A">
              <w:rPr>
                <w:i/>
              </w:rPr>
              <w:t>dentifying</w:t>
            </w:r>
            <w:r w:rsidRPr="001857C4">
              <w:t xml:space="preserve"> </w:t>
            </w:r>
            <w:r>
              <w:t>an</w:t>
            </w:r>
            <w:r w:rsidRPr="001857C4">
              <w:t xml:space="preserve"> efficient level of reliability</w:t>
            </w:r>
            <w:r>
              <w:t xml:space="preserve"> </w:t>
            </w:r>
            <w:r w:rsidRPr="001857C4">
              <w:t xml:space="preserve">must incorporate probabilistic analysis. </w:t>
            </w:r>
            <w:r>
              <w:t>T</w:t>
            </w:r>
            <w:r w:rsidRPr="001857C4">
              <w:t xml:space="preserve">he behaviour of electricity networks is stochastic in nature and therefore system planning should use probabilistic techniques. </w:t>
            </w:r>
            <w:r>
              <w:t>I</w:t>
            </w:r>
            <w:r w:rsidRPr="001857C4">
              <w:t xml:space="preserve">n contrast, </w:t>
            </w:r>
            <w:r>
              <w:t>‘</w:t>
            </w:r>
            <w:r w:rsidRPr="00364D8A">
              <w:t>deterministic approache</w:t>
            </w:r>
            <w:r>
              <w:t xml:space="preserve">s </w:t>
            </w:r>
            <w:r w:rsidRPr="00364D8A">
              <w:t>…</w:t>
            </w:r>
            <w:r>
              <w:t xml:space="preserve"> </w:t>
            </w:r>
            <w:r w:rsidRPr="00364D8A">
              <w:t>do not and cannot recognise the probabilistic or stochastic nature of system behaviour, of customer demands, or of component failures</w:t>
            </w:r>
            <w:r>
              <w:t>’</w:t>
            </w:r>
            <w:r w:rsidRPr="00364D8A">
              <w:t xml:space="preserve"> </w:t>
            </w:r>
            <w:r>
              <w:t xml:space="preserve">(Zhang et al. 2009, </w:t>
            </w:r>
            <w:r w:rsidRPr="00364D8A">
              <w:t>p.</w:t>
            </w:r>
            <w:r>
              <w:t> </w:t>
            </w:r>
            <w:r w:rsidRPr="00364D8A">
              <w:t xml:space="preserve">121). </w:t>
            </w:r>
            <w:r>
              <w:t xml:space="preserve">This is also recognised by Billinton and Allan (1996), who said that: </w:t>
            </w:r>
          </w:p>
          <w:p w:rsidR="00F40957" w:rsidRPr="00364D8A" w:rsidRDefault="00F40957" w:rsidP="00F40957">
            <w:pPr>
              <w:pStyle w:val="BoxQuote"/>
            </w:pPr>
            <w:r>
              <w:t>… there is no need to constrain artificially the inherent probabilistic or stochastic nature of a power system into a deterministic domain despite the fact that such a domain may feel more comfortable and secure. (p. 4)</w:t>
            </w:r>
          </w:p>
          <w:p w:rsidR="00F40957" w:rsidRDefault="00F40957" w:rsidP="00F40957">
            <w:pPr>
              <w:pStyle w:val="Box"/>
            </w:pPr>
            <w:r>
              <w:t>AEMO’s probabilistic planning might not always be best practice, and neither do all deterministic standards necessarily result in inefficient reliability levels. Joskow and Tirole (2007) asserted that</w:t>
            </w:r>
            <w:r w:rsidR="008C2744">
              <w:t>:</w:t>
            </w:r>
            <w:r>
              <w:t xml:space="preserve"> </w:t>
            </w:r>
          </w:p>
          <w:p w:rsidR="00F40957" w:rsidRPr="001857C4" w:rsidRDefault="00F40957" w:rsidP="00F40957">
            <w:pPr>
              <w:pStyle w:val="BoxQuote"/>
            </w:pPr>
            <w:r>
              <w:t>… t</w:t>
            </w:r>
            <w:r w:rsidRPr="001857C4">
              <w:t>here continues to be a lack of adequate communication and understanding between economists focused on the design and evaluation of alternative market mechanisms and network engineers focused on the physical complexities of electric power networks and the constraints that these physical requirements</w:t>
            </w:r>
            <w:r>
              <w:t xml:space="preserve"> may place on market mechanisms. (p. 61)</w:t>
            </w:r>
          </w:p>
          <w:p w:rsidR="00F40957" w:rsidRDefault="00F40957" w:rsidP="00F40957">
            <w:pPr>
              <w:pStyle w:val="Box"/>
            </w:pPr>
            <w:r>
              <w:t>Some form of probabilistic planning can reconcile these two agendas. Whether the required communication between economists and network engineers requires translating probabilistic outcomes at the time of investment into deterministic descriptors should be a secondary consideration.</w:t>
            </w:r>
          </w:p>
        </w:tc>
      </w:tr>
      <w:tr w:rsidR="00F40957">
        <w:trPr>
          <w:cantSplit/>
        </w:trPr>
        <w:tc>
          <w:tcPr>
            <w:tcW w:w="8771" w:type="dxa"/>
            <w:tcBorders>
              <w:top w:val="nil"/>
              <w:left w:val="single" w:sz="6" w:space="0" w:color="auto"/>
              <w:bottom w:val="nil"/>
              <w:right w:val="single" w:sz="6" w:space="0" w:color="auto"/>
            </w:tcBorders>
          </w:tcPr>
          <w:p w:rsidR="00F40957" w:rsidRDefault="00F40957" w:rsidP="00F40957">
            <w:pPr>
              <w:pStyle w:val="BoxSource"/>
            </w:pPr>
            <w:r>
              <w:rPr>
                <w:i/>
              </w:rPr>
              <w:t>Sources</w:t>
            </w:r>
            <w:r w:rsidRPr="00167F06">
              <w:t xml:space="preserve">: </w:t>
            </w:r>
            <w:r w:rsidRPr="002C6AC6">
              <w:t xml:space="preserve">AEMC </w:t>
            </w:r>
            <w:r>
              <w:t>(</w:t>
            </w:r>
            <w:r w:rsidRPr="002C6AC6">
              <w:t>2007</w:t>
            </w:r>
            <w:r>
              <w:t xml:space="preserve">a); </w:t>
            </w:r>
            <w:r w:rsidRPr="00380643">
              <w:t>Billinton and Allan (1996)</w:t>
            </w:r>
            <w:r>
              <w:t xml:space="preserve">; </w:t>
            </w:r>
            <w:r w:rsidRPr="002C6AC6">
              <w:t>Joskow and Tirole (2007)</w:t>
            </w:r>
            <w:r>
              <w:t xml:space="preserve">; </w:t>
            </w:r>
            <w:r w:rsidRPr="00380643">
              <w:t xml:space="preserve">Zhang et al. </w:t>
            </w:r>
            <w:r>
              <w:t>(</w:t>
            </w:r>
            <w:r w:rsidRPr="00380643">
              <w:t>2009</w:t>
            </w:r>
            <w:r>
              <w:t>).</w:t>
            </w:r>
          </w:p>
        </w:tc>
      </w:tr>
      <w:tr w:rsidR="00F40957">
        <w:trPr>
          <w:cantSplit/>
        </w:trPr>
        <w:tc>
          <w:tcPr>
            <w:tcW w:w="8771" w:type="dxa"/>
            <w:tcBorders>
              <w:top w:val="nil"/>
              <w:left w:val="single" w:sz="6" w:space="0" w:color="auto"/>
              <w:bottom w:val="single" w:sz="6" w:space="0" w:color="auto"/>
              <w:right w:val="single" w:sz="6" w:space="0" w:color="auto"/>
            </w:tcBorders>
          </w:tcPr>
          <w:p w:rsidR="00F40957" w:rsidRDefault="00F40957">
            <w:pPr>
              <w:pStyle w:val="Box"/>
              <w:spacing w:before="0" w:line="120" w:lineRule="exact"/>
            </w:pPr>
          </w:p>
        </w:tc>
      </w:tr>
      <w:tr w:rsidR="00F40957" w:rsidRPr="000863A5">
        <w:tc>
          <w:tcPr>
            <w:tcW w:w="8771" w:type="dxa"/>
            <w:tcBorders>
              <w:top w:val="nil"/>
              <w:left w:val="nil"/>
              <w:bottom w:val="nil"/>
              <w:right w:val="nil"/>
            </w:tcBorders>
          </w:tcPr>
          <w:p w:rsidR="00F40957" w:rsidRPr="00626D32" w:rsidRDefault="00F40957" w:rsidP="00E105E4">
            <w:pPr>
              <w:pStyle w:val="BoxSpaceBelow"/>
            </w:pPr>
          </w:p>
        </w:tc>
      </w:tr>
    </w:tbl>
    <w:p w:rsidR="00E74006" w:rsidRDefault="00E74006" w:rsidP="00E74006">
      <w:pPr>
        <w:pStyle w:val="BodyText"/>
      </w:pPr>
      <w:r w:rsidRPr="00D91BF3">
        <w:t xml:space="preserve">Second, some participants have described the planning approach used by AEMO as a ‘black box’ because the process is not transparent or easy to replicate. Some </w:t>
      </w:r>
      <w:r w:rsidRPr="00D91BF3">
        <w:lastRenderedPageBreak/>
        <w:t>stakeholders have also raised concerns about the lack of scrutiny of AEMO’s planning decisions and the difficulty external parties might have in testing them.</w:t>
      </w:r>
      <w:r w:rsidRPr="00D91BF3">
        <w:rPr>
          <w:rStyle w:val="FootnoteReference"/>
        </w:rPr>
        <w:footnoteReference w:id="14"/>
      </w:r>
      <w:r w:rsidRPr="00D91BF3">
        <w:t xml:space="preserve"> </w:t>
      </w:r>
    </w:p>
    <w:p w:rsidR="007214E1" w:rsidRDefault="007214E1" w:rsidP="00870F92">
      <w:pPr>
        <w:pStyle w:val="BodyText"/>
      </w:pPr>
      <w:r w:rsidRPr="00D91BF3">
        <w:t xml:space="preserve">These are legitimate concerns. Introducing mandatory reporting to the AER and making all processes transparent, would make testing the efficiency of AEMO’s planning decisions easier and would ensure that decisions are made as a result of robust </w:t>
      </w:r>
      <w:r w:rsidR="008A214D">
        <w:t>cost–benefit</w:t>
      </w:r>
      <w:r w:rsidRPr="00D91BF3">
        <w:t xml:space="preserve"> analysis. It appears that AEMO has partly recognised the issue, and has recently publicly release</w:t>
      </w:r>
      <w:r w:rsidR="00D91BF3">
        <w:t>d more documentation about its</w:t>
      </w:r>
      <w:r w:rsidRPr="00D91BF3">
        <w:t xml:space="preserve"> p</w:t>
      </w:r>
      <w:r w:rsidR="00D91BF3">
        <w:t>lanning process, including its</w:t>
      </w:r>
      <w:r w:rsidRPr="00D91BF3">
        <w:t xml:space="preserve"> database of scenarios and contingencies. </w:t>
      </w:r>
    </w:p>
    <w:p w:rsidR="0059330F" w:rsidRDefault="006A5F23" w:rsidP="0059330F">
      <w:pPr>
        <w:pStyle w:val="BodyText"/>
      </w:pPr>
      <w:r>
        <w:t>Nonetheless</w:t>
      </w:r>
      <w:r w:rsidR="0041406E">
        <w:t>, even with the current</w:t>
      </w:r>
      <w:r w:rsidR="0059330F">
        <w:t xml:space="preserve"> limitations of the Victorian standards, the potential efficiency gains over deterministic standards are considerable. While it is difficult to estimate precisely the net economic benefits of moving away from deterministic standards — this would require detailed modelling that is currently not possible because of existing data deficiencies — the following examples suggest that the net economic benefits would be significant. </w:t>
      </w:r>
    </w:p>
    <w:p w:rsidR="0059330F" w:rsidRDefault="0059330F" w:rsidP="0059330F">
      <w:pPr>
        <w:pStyle w:val="ListBullet"/>
      </w:pPr>
      <w:r>
        <w:t xml:space="preserve">Deterministic standards have implicit VCRs and it is possible to assess whether augmentations to meet deterministic standards are close to efficient by assessing whether the implicit VCR seems reasonable. For example, AEMO cites a proposed investment in New South Wales to meet an N-1 standard that implied a VCR of $9 million per MWh (around 150 times the estimate AEMO uses in Victoria). This does not seem reasonable and indicates room for significant savings. </w:t>
      </w:r>
    </w:p>
    <w:p w:rsidR="0059330F" w:rsidRDefault="0059330F" w:rsidP="004E0F29">
      <w:pPr>
        <w:pStyle w:val="ListBullet"/>
      </w:pPr>
      <w:r>
        <w:t xml:space="preserve">Comparing augmentation plans to meet N-1 deterministic standards with plans that would pass a probabilistic </w:t>
      </w:r>
      <w:r w:rsidR="008A214D">
        <w:t>cost–benefit</w:t>
      </w:r>
      <w:r>
        <w:t xml:space="preserve"> test can reveal differences in costs. In these analyses, the identified savings usually result from deferring investments rather than not augmenting at all. AEMO estimated in 2011 that probabilistic planning in Victoria </w:t>
      </w:r>
      <w:r w:rsidR="003B0925">
        <w:t xml:space="preserve">generated present value savings of around </w:t>
      </w:r>
      <w:r>
        <w:t xml:space="preserve">$550 million </w:t>
      </w:r>
      <w:r w:rsidR="003B0925">
        <w:t xml:space="preserve">in </w:t>
      </w:r>
      <w:r>
        <w:t xml:space="preserve">investment </w:t>
      </w:r>
      <w:r w:rsidR="003B0925">
        <w:t xml:space="preserve">(of which approximately 30 per cent related to savings from investment deferral, with the remainder related to investment choice) </w:t>
      </w:r>
      <w:r>
        <w:t xml:space="preserve">compared </w:t>
      </w:r>
      <w:r w:rsidR="00696826">
        <w:t xml:space="preserve">with </w:t>
      </w:r>
      <w:r>
        <w:t xml:space="preserve">what would have been required under an N-1 deterministic </w:t>
      </w:r>
      <w:r w:rsidRPr="004E0F29">
        <w:t>standard</w:t>
      </w:r>
      <w:r w:rsidR="0041406E" w:rsidRPr="004E0F29">
        <w:t xml:space="preserve"> (sub. 32,</w:t>
      </w:r>
      <w:r w:rsidR="0036216E">
        <w:t> </w:t>
      </w:r>
      <w:r w:rsidR="0041406E" w:rsidRPr="004E0F29">
        <w:t>p. 32)</w:t>
      </w:r>
      <w:r w:rsidRPr="004E0F29">
        <w:t>.</w:t>
      </w:r>
      <w:r>
        <w:t xml:space="preserve"> </w:t>
      </w:r>
      <w:r w:rsidR="00651B08">
        <w:t>For the</w:t>
      </w:r>
      <w:r w:rsidR="00E27A01">
        <w:t xml:space="preserve"> rest of the</w:t>
      </w:r>
      <w:r w:rsidR="00651B08">
        <w:t xml:space="preserve"> NEM, assuming savings are proportion</w:t>
      </w:r>
      <w:r w:rsidR="00AC05F0">
        <w:t>al to</w:t>
      </w:r>
      <w:r w:rsidR="00651B08">
        <w:t xml:space="preserve"> longer</w:t>
      </w:r>
      <w:r w:rsidR="00327A8C">
        <w:noBreakHyphen/>
      </w:r>
      <w:r w:rsidR="00651B08">
        <w:t>term investment amounts, the net present value of deferral savings alone could be in the order of $430 million.</w:t>
      </w:r>
      <w:r w:rsidR="00651B08">
        <w:rPr>
          <w:rStyle w:val="FootnoteReference"/>
        </w:rPr>
        <w:footnoteReference w:id="15"/>
      </w:r>
      <w:r w:rsidR="00651B08">
        <w:t xml:space="preserve"> Other </w:t>
      </w:r>
      <w:r w:rsidR="00651B08">
        <w:lastRenderedPageBreak/>
        <w:t xml:space="preserve">evidence on savings comes from a </w:t>
      </w:r>
      <w:r w:rsidR="003B0925">
        <w:t>high-level review of sele</w:t>
      </w:r>
      <w:r w:rsidR="004D1E2F">
        <w:t>cted existing projects for 2012</w:t>
      </w:r>
      <w:r w:rsidR="004D1E2F">
        <w:noBreakHyphen/>
      </w:r>
      <w:r w:rsidR="003B0925">
        <w:t>13 (seven in total)</w:t>
      </w:r>
      <w:r w:rsidR="00651B08">
        <w:t>.</w:t>
      </w:r>
      <w:r w:rsidR="003B0925">
        <w:t xml:space="preserve"> </w:t>
      </w:r>
      <w:r w:rsidR="00651B08">
        <w:t>F</w:t>
      </w:r>
      <w:r w:rsidR="003B0925">
        <w:t xml:space="preserve">ocusing on differences in investment timing between deterministic standards and those based on an economic </w:t>
      </w:r>
      <w:r w:rsidR="008A214D">
        <w:t>cost–benefit</w:t>
      </w:r>
      <w:r w:rsidR="003B0925">
        <w:t xml:space="preserve"> framework, AEMO found that savings in the order</w:t>
      </w:r>
      <w:r w:rsidR="00AC05F0">
        <w:t xml:space="preserve"> of $250</w:t>
      </w:r>
      <w:r w:rsidR="004D1E2F">
        <w:t> </w:t>
      </w:r>
      <w:r w:rsidR="00AC05F0">
        <w:t>million could be made —</w:t>
      </w:r>
      <w:r w:rsidR="003B0925">
        <w:t xml:space="preserve"> equating to a saving in annual electricity bills for hou</w:t>
      </w:r>
      <w:r w:rsidR="004D1E2F">
        <w:t>seholds in 2012</w:t>
      </w:r>
      <w:r w:rsidR="004D1E2F">
        <w:noBreakHyphen/>
      </w:r>
      <w:r w:rsidR="003B0925">
        <w:t xml:space="preserve">13 of at least $40 </w:t>
      </w:r>
      <w:r w:rsidR="00F51700">
        <w:t xml:space="preserve">per household </w:t>
      </w:r>
      <w:r w:rsidR="003B0925">
        <w:t xml:space="preserve">(sub. DR100, p. 5). </w:t>
      </w:r>
      <w:r>
        <w:t xml:space="preserve">Assuming that </w:t>
      </w:r>
      <w:r w:rsidR="003B0925">
        <w:t xml:space="preserve">these identified </w:t>
      </w:r>
      <w:r>
        <w:t xml:space="preserve">savings </w:t>
      </w:r>
      <w:r w:rsidR="00BC49FF">
        <w:t xml:space="preserve">estimates </w:t>
      </w:r>
      <w:r w:rsidR="003B0925">
        <w:t xml:space="preserve">represent the upper and lower bounds of the benefits from shifting to a probabilistic planning framework, over a 30 year period, Commission modelling suggests gains across the NEM </w:t>
      </w:r>
      <w:r>
        <w:t xml:space="preserve">could be </w:t>
      </w:r>
      <w:r w:rsidR="003B0925">
        <w:t>in the order of</w:t>
      </w:r>
      <w:r>
        <w:t xml:space="preserve"> $2</w:t>
      </w:r>
      <w:r w:rsidR="003B0925">
        <w:t>.2 billion to $</w:t>
      </w:r>
      <w:r w:rsidR="00AC05F0">
        <w:t>3.8</w:t>
      </w:r>
      <w:r>
        <w:t> billion</w:t>
      </w:r>
      <w:r w:rsidR="003B0925">
        <w:t xml:space="preserve"> (in present value terms)</w:t>
      </w:r>
      <w:r>
        <w:t xml:space="preserve">. </w:t>
      </w:r>
    </w:p>
    <w:p w:rsidR="0059330F" w:rsidRDefault="0059330F" w:rsidP="0059330F">
      <w:pPr>
        <w:pStyle w:val="ListBullet"/>
      </w:pPr>
      <w:r>
        <w:t xml:space="preserve">In New Zealand, augmentations required to meet deterministic criteria were found to be required eight years earlier than they would under a probabilistic </w:t>
      </w:r>
      <w:r w:rsidR="008A214D">
        <w:t>cost–benefit</w:t>
      </w:r>
      <w:r>
        <w:t xml:space="preserve"> analysis. Two types of avoided costs might emerge from deferring investments:</w:t>
      </w:r>
    </w:p>
    <w:p w:rsidR="0059330F" w:rsidRPr="006B0E84" w:rsidRDefault="0059330F" w:rsidP="0059330F">
      <w:pPr>
        <w:pStyle w:val="ListBullet2"/>
      </w:pPr>
      <w:r w:rsidRPr="006B0E84">
        <w:t>analysis in New Zealand suggested customers save $75 000 per $1 million of investment deferred (or around 7.5 per cent) over eight years</w:t>
      </w:r>
    </w:p>
    <w:p w:rsidR="0059330F" w:rsidRPr="00D91BF3" w:rsidRDefault="0059330F" w:rsidP="00870F92">
      <w:pPr>
        <w:pStyle w:val="ListBullet2"/>
      </w:pPr>
      <w:r>
        <w:t xml:space="preserve">considering the possible changes in technology, customer preferences, and prices that can occur in eight years, new and cheaper alternatives might be available in the future. </w:t>
      </w:r>
    </w:p>
    <w:p w:rsidR="00994160" w:rsidRDefault="00994160" w:rsidP="00994160">
      <w:pPr>
        <w:pStyle w:val="Heading4"/>
      </w:pPr>
      <w:r>
        <w:t>Minimising windfall gains</w:t>
      </w:r>
    </w:p>
    <w:p w:rsidR="00994160" w:rsidRPr="00994160" w:rsidRDefault="00994160" w:rsidP="00994160">
      <w:pPr>
        <w:pStyle w:val="BodyText"/>
      </w:pPr>
      <w:r>
        <w:t>Unlike other approaches, as reliability augmentations in Victoria are determined by AEMO who then subsequently negotiates with SP AusNet (or a third party if separable and they win the tender) to determine the cost of the project</w:t>
      </w:r>
      <w:r w:rsidR="00CA3116">
        <w:t>, the scope for TNSPs to accrue any windfall gains is removed</w:t>
      </w:r>
      <w:r>
        <w:t xml:space="preserve">. In essence, </w:t>
      </w:r>
      <w:r w:rsidR="008C0B29">
        <w:t>the</w:t>
      </w:r>
      <w:r w:rsidR="00CA3116">
        <w:t xml:space="preserve"> </w:t>
      </w:r>
      <w:r>
        <w:t xml:space="preserve">augmentation of the network is then purchased </w:t>
      </w:r>
      <w:r w:rsidR="008C0B29">
        <w:t>for an agreed price</w:t>
      </w:r>
      <w:r>
        <w:t xml:space="preserve"> (which </w:t>
      </w:r>
      <w:r w:rsidR="00FF4E61">
        <w:t xml:space="preserve">provides </w:t>
      </w:r>
      <w:r>
        <w:t>SP</w:t>
      </w:r>
      <w:r w:rsidR="008C0B29">
        <w:t> </w:t>
      </w:r>
      <w:r>
        <w:t xml:space="preserve">AusNet or </w:t>
      </w:r>
      <w:r w:rsidR="0041406E">
        <w:t xml:space="preserve">the </w:t>
      </w:r>
      <w:r>
        <w:t xml:space="preserve">third party </w:t>
      </w:r>
      <w:r w:rsidR="00FF4E61">
        <w:t xml:space="preserve">with </w:t>
      </w:r>
      <w:r>
        <w:t xml:space="preserve">strong incentives to manage </w:t>
      </w:r>
      <w:r w:rsidR="0036216E">
        <w:t xml:space="preserve">the project </w:t>
      </w:r>
      <w:r>
        <w:t xml:space="preserve">efficiently). </w:t>
      </w:r>
    </w:p>
    <w:p w:rsidR="00F65A03" w:rsidRPr="00F65A03" w:rsidRDefault="00F65A03" w:rsidP="003F3C4E">
      <w:pPr>
        <w:pStyle w:val="Heading4"/>
      </w:pPr>
      <w:r w:rsidRPr="00F65A03">
        <w:t>Minimising administrative and compliance burden</w:t>
      </w:r>
      <w:r w:rsidR="00FA357D">
        <w:t>s</w:t>
      </w:r>
    </w:p>
    <w:p w:rsidR="00566505" w:rsidRDefault="00566505" w:rsidP="00566505">
      <w:pPr>
        <w:pStyle w:val="BodyText"/>
      </w:pPr>
      <w:r>
        <w:t xml:space="preserve">The complexity of </w:t>
      </w:r>
      <w:r w:rsidR="00E5055A">
        <w:t xml:space="preserve">AEMO’s </w:t>
      </w:r>
      <w:r>
        <w:t>planning process</w:t>
      </w:r>
      <w:r w:rsidR="00E5055A">
        <w:t xml:space="preserve"> and analysis</w:t>
      </w:r>
      <w:r>
        <w:t xml:space="preserve"> </w:t>
      </w:r>
      <w:r w:rsidR="00E5055A">
        <w:t xml:space="preserve">suggests that it </w:t>
      </w:r>
      <w:r w:rsidR="00ED2D5E">
        <w:t xml:space="preserve">is </w:t>
      </w:r>
      <w:r w:rsidR="00BA1402">
        <w:t>likely</w:t>
      </w:r>
      <w:r w:rsidR="0026476F">
        <w:t xml:space="preserve"> to be </w:t>
      </w:r>
      <w:r>
        <w:t>more costly than the equivalent in New South Wales, Queensland and Tasmania. While the software required is similar</w:t>
      </w:r>
      <w:r w:rsidR="0026476F">
        <w:t xml:space="preserve"> to that used in </w:t>
      </w:r>
      <w:r w:rsidR="00E02F0A">
        <w:t xml:space="preserve">these </w:t>
      </w:r>
      <w:r w:rsidR="0026476F">
        <w:t xml:space="preserve">other </w:t>
      </w:r>
      <w:r w:rsidR="00E02F0A">
        <w:t>S</w:t>
      </w:r>
      <w:r w:rsidR="0026476F">
        <w:t>tates</w:t>
      </w:r>
      <w:r>
        <w:t xml:space="preserve">, the additional costs arise from the labour costs to run the simulations; the compilation and upkeep of the required datasets including identifying the probabilities of different contingencies; and the design of the scenarios. The separation of functions between AEMO and SP </w:t>
      </w:r>
      <w:r w:rsidR="001B5388">
        <w:t>AusNet</w:t>
      </w:r>
      <w:r>
        <w:t xml:space="preserve"> also makes constant communication between the organisations a necessity. </w:t>
      </w:r>
    </w:p>
    <w:p w:rsidR="003B128F" w:rsidRDefault="00566505" w:rsidP="009701B1">
      <w:pPr>
        <w:pStyle w:val="BodyText"/>
      </w:pPr>
      <w:r>
        <w:lastRenderedPageBreak/>
        <w:t xml:space="preserve">For SP </w:t>
      </w:r>
      <w:r w:rsidR="001B5388">
        <w:t>AusNet</w:t>
      </w:r>
      <w:r>
        <w:t>, and other competing businesses, tendering for a separable project can also be costly.</w:t>
      </w:r>
      <w:r w:rsidR="009701B1">
        <w:t xml:space="preserve"> </w:t>
      </w:r>
    </w:p>
    <w:p w:rsidR="00F65A03" w:rsidRDefault="00F65A03" w:rsidP="003F3C4E">
      <w:pPr>
        <w:pStyle w:val="Heading4"/>
      </w:pPr>
      <w:r>
        <w:t>NEM-wide effects</w:t>
      </w:r>
    </w:p>
    <w:p w:rsidR="00A845AE" w:rsidRDefault="00BF54E3" w:rsidP="00A845AE">
      <w:pPr>
        <w:pStyle w:val="BodyText"/>
      </w:pPr>
      <w:r>
        <w:t>While the jurisdiction</w:t>
      </w:r>
      <w:r w:rsidR="003B128F">
        <w:t xml:space="preserve">-based focus of planning </w:t>
      </w:r>
      <w:r w:rsidR="009C00B4">
        <w:t xml:space="preserve">under </w:t>
      </w:r>
      <w:r w:rsidR="003B128F">
        <w:t xml:space="preserve">this framework rules out </w:t>
      </w:r>
      <w:r w:rsidR="009C00B4">
        <w:t xml:space="preserve">investments </w:t>
      </w:r>
      <w:r w:rsidR="00E02F0A">
        <w:t>that</w:t>
      </w:r>
      <w:r w:rsidR="009C00B4">
        <w:t xml:space="preserve"> capture</w:t>
      </w:r>
      <w:r w:rsidR="003B128F">
        <w:t xml:space="preserve"> NEM-wide efficiencies, </w:t>
      </w:r>
      <w:r w:rsidR="009C00B4">
        <w:t>AEMO’s joint role as Victorian planner and op</w:t>
      </w:r>
      <w:r w:rsidR="00327A8C">
        <w:t>erator of the NEM mean that NEM</w:t>
      </w:r>
      <w:r w:rsidR="00327A8C">
        <w:noBreakHyphen/>
      </w:r>
      <w:r w:rsidR="009C00B4">
        <w:t xml:space="preserve">wide effects are </w:t>
      </w:r>
      <w:r w:rsidR="009C00B4" w:rsidRPr="00C32B5B">
        <w:t>incorporated into investment decision making</w:t>
      </w:r>
      <w:r w:rsidR="009C00B4">
        <w:t xml:space="preserve"> to the </w:t>
      </w:r>
      <w:r w:rsidR="009C00B4" w:rsidRPr="00C32B5B">
        <w:t>extent</w:t>
      </w:r>
      <w:r w:rsidR="009C00B4">
        <w:t xml:space="preserve"> possible</w:t>
      </w:r>
      <w:r w:rsidR="003B128F">
        <w:t xml:space="preserve">. The probabilistic nature of the planning can </w:t>
      </w:r>
      <w:r w:rsidR="00B8406B">
        <w:t xml:space="preserve">also </w:t>
      </w:r>
      <w:r w:rsidR="003B128F">
        <w:t xml:space="preserve">more easily integrate </w:t>
      </w:r>
      <w:r w:rsidR="00E02F0A">
        <w:t>NEM-wide</w:t>
      </w:r>
      <w:r w:rsidR="003B128F">
        <w:t xml:space="preserve"> solutions. </w:t>
      </w:r>
    </w:p>
    <w:p w:rsidR="00F65A03" w:rsidRPr="00FD5EF6" w:rsidRDefault="00A845AE" w:rsidP="009701B1">
      <w:pPr>
        <w:pStyle w:val="BodyText"/>
      </w:pPr>
      <w:r w:rsidRPr="00FD5EF6">
        <w:t xml:space="preserve">In considering the extension of this model to the rest of the NEM, </w:t>
      </w:r>
      <w:r w:rsidR="0068578D" w:rsidRPr="00FD5EF6">
        <w:t>incorporating</w:t>
      </w:r>
      <w:r w:rsidRPr="00FD5EF6">
        <w:t xml:space="preserve"> detailed representation of the entire NEM</w:t>
      </w:r>
      <w:r w:rsidR="0068578D" w:rsidRPr="00FD5EF6">
        <w:t xml:space="preserve"> in the models that AEMO uses in its probabilistic planning</w:t>
      </w:r>
      <w:r w:rsidRPr="00FD5EF6">
        <w:t xml:space="preserve"> would effectively </w:t>
      </w:r>
      <w:r w:rsidRPr="00FD5EF6">
        <w:rPr>
          <w:i/>
        </w:rPr>
        <w:t>take account of NEM-wide effects</w:t>
      </w:r>
      <w:r w:rsidRPr="00FD5EF6">
        <w:t>. AEMO would concurrently</w:t>
      </w:r>
      <w:r w:rsidR="00E02F0A">
        <w:t>,</w:t>
      </w:r>
      <w:r w:rsidRPr="00FD5EF6">
        <w:t xml:space="preserve"> therefore</w:t>
      </w:r>
      <w:r w:rsidR="00E02F0A">
        <w:t>,</w:t>
      </w:r>
      <w:r w:rsidRPr="00FD5EF6">
        <w:t xml:space="preserve"> become responsible for the national grid. </w:t>
      </w:r>
    </w:p>
    <w:p w:rsidR="00FA357D" w:rsidRDefault="00FA357D" w:rsidP="00FA357D">
      <w:pPr>
        <w:pStyle w:val="Heading4"/>
      </w:pPr>
      <w:r>
        <w:t xml:space="preserve">Auditing compliance to ensure reliability and efficiency in the long run </w:t>
      </w:r>
    </w:p>
    <w:p w:rsidR="00F1456E" w:rsidRDefault="003B128F" w:rsidP="009701B1">
      <w:pPr>
        <w:pStyle w:val="BodyText"/>
      </w:pPr>
      <w:r>
        <w:t xml:space="preserve">As far as the Commission is aware, AEMO does not carry out independent auditing of </w:t>
      </w:r>
      <w:r w:rsidR="00E33632">
        <w:t xml:space="preserve">facilities or processes </w:t>
      </w:r>
      <w:r>
        <w:t>in SP AusNet’s network.</w:t>
      </w:r>
    </w:p>
    <w:p w:rsidR="00F1456E" w:rsidRPr="004D562E" w:rsidRDefault="009874D0" w:rsidP="00F1456E">
      <w:pPr>
        <w:pStyle w:val="Heading3"/>
      </w:pPr>
      <w:r>
        <w:t>Extending the AEMO planner model to the rest of the NEM?</w:t>
      </w:r>
    </w:p>
    <w:p w:rsidR="00F1456E" w:rsidRPr="00FD5EF6" w:rsidRDefault="00E07A8D" w:rsidP="00F1456E">
      <w:pPr>
        <w:pStyle w:val="BodyText"/>
      </w:pPr>
      <w:r>
        <w:t xml:space="preserve">Both </w:t>
      </w:r>
      <w:r w:rsidR="00FD54E1">
        <w:t xml:space="preserve">AEMO and the </w:t>
      </w:r>
      <w:r>
        <w:t xml:space="preserve">Productivity </w:t>
      </w:r>
      <w:r w:rsidR="00FD54E1">
        <w:t>Commission</w:t>
      </w:r>
      <w:r>
        <w:t xml:space="preserve"> in its draft report</w:t>
      </w:r>
      <w:r w:rsidR="00FD54E1">
        <w:t xml:space="preserve"> recommend</w:t>
      </w:r>
      <w:r>
        <w:t>ed</w:t>
      </w:r>
      <w:r w:rsidR="00FD54E1">
        <w:t xml:space="preserve"> extending the AEMO planner model to the rest of the NEM. </w:t>
      </w:r>
      <w:r w:rsidR="00F1456E" w:rsidRPr="00FD5EF6">
        <w:t xml:space="preserve">While the model offers the potential for significant gains for customers, </w:t>
      </w:r>
      <w:r w:rsidR="009874D0">
        <w:t xml:space="preserve">some </w:t>
      </w:r>
      <w:r w:rsidR="00F1456E" w:rsidRPr="00FD5EF6">
        <w:t xml:space="preserve">concerns remain. As noted above, extending the Victorian model to the rest of the NEM would probably increase the </w:t>
      </w:r>
      <w:r w:rsidR="00F1456E" w:rsidRPr="00FD5EF6">
        <w:rPr>
          <w:i/>
        </w:rPr>
        <w:t xml:space="preserve">administrative and compliance burden </w:t>
      </w:r>
      <w:r w:rsidR="00F1456E" w:rsidRPr="00FD5EF6">
        <w:t xml:space="preserve">compared with alternative models. In regards to AEMO’s role as a ‘procurer’, some participants have expressed concerns about the costs involved for businesses submitting tenders, for the incumbent transmission business, and for AEMO when carrying out the tender process in Victoria. It is not clear whether these costs are mostly due to the specific features of the tendering process in Victoria or to tendering processes in general. Nevertheless, </w:t>
      </w:r>
      <w:r w:rsidR="003027CB">
        <w:t>despite the</w:t>
      </w:r>
      <w:r w:rsidR="00F1456E" w:rsidRPr="00FD5EF6">
        <w:t xml:space="preserve"> risk that any such costs could </w:t>
      </w:r>
      <w:r>
        <w:t>increase</w:t>
      </w:r>
      <w:r w:rsidRPr="00FD5EF6">
        <w:t xml:space="preserve"> </w:t>
      </w:r>
      <w:r w:rsidR="00F1456E" w:rsidRPr="00FD5EF6">
        <w:t xml:space="preserve">were the AEMO </w:t>
      </w:r>
      <w:r>
        <w:t xml:space="preserve">planner </w:t>
      </w:r>
      <w:r w:rsidR="00F1456E" w:rsidRPr="00FD5EF6">
        <w:t>model adopted on a NEM-wide basis</w:t>
      </w:r>
      <w:r>
        <w:t>,</w:t>
      </w:r>
      <w:r w:rsidR="003027CB">
        <w:t xml:space="preserve"> it is likely that introducing contestability </w:t>
      </w:r>
      <w:r w:rsidR="002B44AD">
        <w:t>for certain</w:t>
      </w:r>
      <w:r w:rsidR="003027CB">
        <w:t xml:space="preserve"> separable projects such as new connections would yield net benefits </w:t>
      </w:r>
      <w:r>
        <w:t>(</w:t>
      </w:r>
      <w:r w:rsidR="00AC05F0">
        <w:t>chapter </w:t>
      </w:r>
      <w:r w:rsidR="003027CB">
        <w:t>16</w:t>
      </w:r>
      <w:r>
        <w:t>)</w:t>
      </w:r>
      <w:r w:rsidR="00F1456E" w:rsidRPr="00FD5EF6">
        <w:t xml:space="preserve">. </w:t>
      </w:r>
    </w:p>
    <w:p w:rsidR="00F1456E" w:rsidRDefault="00F1456E" w:rsidP="00F1456E">
      <w:pPr>
        <w:pStyle w:val="BodyText"/>
      </w:pPr>
      <w:r>
        <w:t xml:space="preserve">The Commission considers that several other improvements </w:t>
      </w:r>
      <w:r w:rsidR="009874D0">
        <w:t xml:space="preserve">would need to </w:t>
      </w:r>
      <w:r>
        <w:t>be made to address remaining concerns about the implementation of the AEMO planner model</w:t>
      </w:r>
      <w:r w:rsidR="009874D0">
        <w:t>, if it were to be extended</w:t>
      </w:r>
      <w:r>
        <w:t xml:space="preserve"> throughout the NEM. </w:t>
      </w:r>
    </w:p>
    <w:p w:rsidR="00F1456E" w:rsidRDefault="00F1456E" w:rsidP="00F1456E">
      <w:pPr>
        <w:pStyle w:val="ListBullet"/>
      </w:pPr>
      <w:r>
        <w:lastRenderedPageBreak/>
        <w:t xml:space="preserve">The planner should be subject to greater scrutiny, especially considering the complexity of probabilistic planning processes. Within the NEM governance framework, the AER would be the most appropriate body to enforce transparency and regular reporting of modelling parameters, assumptions and results, and data inputs. Periodic review would also be appropriate to ensure that the planning framework was delivering optimal outcomes in accordance with the National Electricity Objective (NEO). </w:t>
      </w:r>
    </w:p>
    <w:p w:rsidR="00F1456E" w:rsidRPr="00B53E1F" w:rsidRDefault="00F1456E" w:rsidP="00F1456E">
      <w:pPr>
        <w:pStyle w:val="ListBullet"/>
      </w:pPr>
      <w:r>
        <w:t>R</w:t>
      </w:r>
      <w:r w:rsidRPr="00B53E1F">
        <w:t>emoving network planning from incumbent transmission businesses risks losing the in</w:t>
      </w:r>
      <w:r>
        <w:t>-</w:t>
      </w:r>
      <w:r w:rsidRPr="00B53E1F">
        <w:t>depth and localised knowledge that planners in those businesses have accumulated. AEMO should therefore include incumbent businesses in all steps of their planning process and utilise this specific expert knowledge as much as possible, especially in the option identification stage. This interaction and cooperation would also allow AEMO to identify and choose options that exploit operational capacity in parts of a network and</w:t>
      </w:r>
      <w:r w:rsidR="00E07A8D">
        <w:t>,</w:t>
      </w:r>
      <w:r w:rsidRPr="00B53E1F">
        <w:t xml:space="preserve"> thereby</w:t>
      </w:r>
      <w:r w:rsidR="00E07A8D">
        <w:t>,</w:t>
      </w:r>
      <w:r w:rsidRPr="00B53E1F">
        <w:t xml:space="preserve"> make tradeoffs between operational and investment decisions. </w:t>
      </w:r>
    </w:p>
    <w:p w:rsidR="00F1456E" w:rsidRDefault="00F1456E" w:rsidP="00F1456E">
      <w:pPr>
        <w:pStyle w:val="ListBullet"/>
      </w:pPr>
      <w:r>
        <w:t xml:space="preserve">The probabilistic process used should be international best practice, and would be strengthened by periodic peer review. One of the first steps, however, is to identify the deficiencies in the data collected by transmission businesses and AEMO, and establish the required collection and reporting processes. </w:t>
      </w:r>
    </w:p>
    <w:p w:rsidR="00F1456E" w:rsidRDefault="00F1456E" w:rsidP="00F1456E">
      <w:pPr>
        <w:pStyle w:val="ListBullet"/>
      </w:pPr>
      <w:r>
        <w:t xml:space="preserve">The VCR is one of the most critical parameters of probabilistic planning. For reliability outcomes to be efficient, VCRs must be identified in </w:t>
      </w:r>
      <w:r w:rsidR="0041406E">
        <w:t>the most</w:t>
      </w:r>
      <w:r>
        <w:t xml:space="preserve"> disaggregated way as possible, including by:</w:t>
      </w:r>
    </w:p>
    <w:p w:rsidR="00F1456E" w:rsidRDefault="00F1456E" w:rsidP="00F1456E">
      <w:pPr>
        <w:pStyle w:val="ListBullet2"/>
      </w:pPr>
      <w:r>
        <w:t>geographical location</w:t>
      </w:r>
    </w:p>
    <w:p w:rsidR="00F1456E" w:rsidRDefault="00F1456E" w:rsidP="00F1456E">
      <w:pPr>
        <w:pStyle w:val="ListBullet2"/>
      </w:pPr>
      <w:r>
        <w:t>customer type</w:t>
      </w:r>
    </w:p>
    <w:p w:rsidR="00F1456E" w:rsidRDefault="00F1456E" w:rsidP="00F1456E">
      <w:pPr>
        <w:pStyle w:val="ListBullet2"/>
      </w:pPr>
      <w:r>
        <w:t>interruption duration.</w:t>
      </w:r>
    </w:p>
    <w:p w:rsidR="00F1456E" w:rsidRDefault="00F1456E" w:rsidP="00F1456E">
      <w:pPr>
        <w:pStyle w:val="ListBullet"/>
      </w:pPr>
      <w:r>
        <w:t>The consequences of underestimating the VCR might include under</w:t>
      </w:r>
      <w:r w:rsidR="00E07A8D">
        <w:t xml:space="preserve">investment and, over the longer </w:t>
      </w:r>
      <w:r>
        <w:t xml:space="preserve">run, a greater frequency of outages. At the margin, the consequences of overestimating the VCR are likely to be less severe. Given the difficulties with estimating an accurate VCR and that </w:t>
      </w:r>
      <w:r w:rsidR="00132DCC">
        <w:t xml:space="preserve">the </w:t>
      </w:r>
      <w:r>
        <w:t xml:space="preserve">VCR is an aggregate of the differing preferences of many customers, adopting a VCR that is at the higher end of the reasonable range of possible values would be sensible. The </w:t>
      </w:r>
      <w:r w:rsidR="00132DCC">
        <w:t>Australian Bureau of Statistics (</w:t>
      </w:r>
      <w:r>
        <w:t>ABS</w:t>
      </w:r>
      <w:r w:rsidR="00132DCC">
        <w:t>)</w:t>
      </w:r>
      <w:r>
        <w:t xml:space="preserve"> would be the most appropriate body to undertake the research required to reveal accurate VCRs (</w:t>
      </w:r>
      <w:r w:rsidR="00495324">
        <w:t>r</w:t>
      </w:r>
      <w:r w:rsidR="00812AB6">
        <w:t>ecommendation 14.2</w:t>
      </w:r>
      <w:r>
        <w:t>).</w:t>
      </w:r>
    </w:p>
    <w:p w:rsidR="00F1456E" w:rsidRPr="00FD54E1" w:rsidRDefault="00F1456E" w:rsidP="00F1456E">
      <w:pPr>
        <w:pStyle w:val="ListBullet"/>
      </w:pPr>
      <w:r>
        <w:t>The revenue required for projects (separable and non-separable) should be agreed between AEMO and the incumbent business for projects below an appropriate threshold (or through arbitration with the AER when agreement cannot be reached) and communicated to the AER before the commencement of th</w:t>
      </w:r>
      <w:r w:rsidRPr="00FD54E1">
        <w:t xml:space="preserve">e project. For projects with costs above the threshold, the business should </w:t>
      </w:r>
      <w:r w:rsidRPr="00FD54E1">
        <w:lastRenderedPageBreak/>
        <w:t xml:space="preserve">submit detailed costings, based on their own tenders and firm quotes to the AER. AEMO would also submit its own cost estimates to the AER. The final allowed expenditure should then be determined by the AER. </w:t>
      </w:r>
    </w:p>
    <w:p w:rsidR="00F1456E" w:rsidRPr="00FD54E1" w:rsidRDefault="00F1456E" w:rsidP="00F1456E">
      <w:pPr>
        <w:pStyle w:val="ListBullet"/>
      </w:pPr>
      <w:r w:rsidRPr="00FD54E1">
        <w:t xml:space="preserve">The AER should include relevant expenditure for both separable and non-separable projects in the regulated asset base at the commencement of the next regulatory period. This would increase transparency and provide the AER with more information to improve benchmarking practices. </w:t>
      </w:r>
    </w:p>
    <w:p w:rsidR="00F1456E" w:rsidRPr="00FD54E1" w:rsidRDefault="00F1456E" w:rsidP="00F1456E">
      <w:pPr>
        <w:pStyle w:val="ListBullet"/>
      </w:pPr>
      <w:r w:rsidRPr="00FD54E1">
        <w:t xml:space="preserve">Revenue approved for inter-regional investments should be collected from jurisdictions according to their shares of the benefits derived from the investment. </w:t>
      </w:r>
    </w:p>
    <w:p w:rsidR="00F1456E" w:rsidRPr="00FD54E1" w:rsidRDefault="00F1456E" w:rsidP="00F1456E">
      <w:pPr>
        <w:pStyle w:val="ListBullet"/>
      </w:pPr>
      <w:r w:rsidRPr="00FD54E1">
        <w:t>AEMO would also carry out auditing of transmission networks, including auditing the performance and operation of critical equipment</w:t>
      </w:r>
      <w:r w:rsidR="001C17D4">
        <w:t>,</w:t>
      </w:r>
      <w:r w:rsidRPr="00FD54E1">
        <w:t xml:space="preserve"> to ensure transmission businesses were appropriately augmenting and maintaining their networks for the purposes of reliability. It would report the outcomes of these audits to the AER. </w:t>
      </w:r>
    </w:p>
    <w:p w:rsidR="00F1456E" w:rsidRPr="00FD54E1" w:rsidRDefault="00F1456E" w:rsidP="00F1456E">
      <w:pPr>
        <w:pStyle w:val="BodyText"/>
      </w:pPr>
      <w:r w:rsidRPr="00FD54E1">
        <w:t>A</w:t>
      </w:r>
      <w:r w:rsidR="001E40F8">
        <w:t>EMO’s</w:t>
      </w:r>
      <w:r w:rsidRPr="00FD54E1">
        <w:t xml:space="preserve"> </w:t>
      </w:r>
      <w:r w:rsidR="008A214D">
        <w:t>cost–benefit</w:t>
      </w:r>
      <w:r w:rsidRPr="00FD54E1">
        <w:t xml:space="preserve"> analysis of possible augmentations to transmission networks</w:t>
      </w:r>
      <w:r w:rsidR="001E40F8">
        <w:t xml:space="preserve"> would </w:t>
      </w:r>
      <w:r w:rsidRPr="00FD54E1">
        <w:t>be assessed on a NEM-wide basis to take account of possible network effects. AEMO would use the VCRs estimated by the ABS as recommended in chapter 14.</w:t>
      </w:r>
    </w:p>
    <w:p w:rsidR="00F1456E" w:rsidRPr="00FD54E1" w:rsidRDefault="00F1456E" w:rsidP="00F1456E">
      <w:pPr>
        <w:pStyle w:val="BodyText"/>
      </w:pPr>
      <w:r w:rsidRPr="00FD54E1">
        <w:t xml:space="preserve">The AER would be responsible for ensuring AEMO’s planning and auditing processes were transparent and consistent with the NEO. </w:t>
      </w:r>
    </w:p>
    <w:p w:rsidR="00F1456E" w:rsidRPr="00FD54E1" w:rsidRDefault="00F1456E" w:rsidP="00F1456E">
      <w:pPr>
        <w:pStyle w:val="BodyText"/>
      </w:pPr>
      <w:r w:rsidRPr="00FD54E1">
        <w:t>AEMO would carry out these planning functions for the foreseeable future. However, periodic reviews of transmission reliability settings should be undertaken, with the option of removing AEMO from this role if the evolution of transmission pricing and access arrangements ultimately provide an alternative market-based solution. In particular, the AEMC and the Commission have recommended optional firm access to transmission lines by generators (chapter 1</w:t>
      </w:r>
      <w:r w:rsidR="00411DEE">
        <w:t>9</w:t>
      </w:r>
      <w:r w:rsidRPr="00FD54E1">
        <w:t xml:space="preserve"> and AEMC 2012j). This would create </w:t>
      </w:r>
      <w:r w:rsidR="0036216E">
        <w:t xml:space="preserve">some </w:t>
      </w:r>
      <w:r w:rsidRPr="00FD54E1">
        <w:t>market signals for reliability and the relief of some network constraints. However, for</w:t>
      </w:r>
      <w:r w:rsidR="00411DEE">
        <w:t xml:space="preserve"> the reasons given in chapter 19</w:t>
      </w:r>
      <w:r w:rsidRPr="00FD54E1">
        <w:t>, it would be premature to discontinue planning for reliability purposes in the NEM until alternatives (such as including the option for market driven transmission investment for both genera</w:t>
      </w:r>
      <w:r w:rsidR="00446232">
        <w:t>tion and load) were demonstrably</w:t>
      </w:r>
      <w:r w:rsidRPr="00FD54E1">
        <w:t xml:space="preserve"> effective.</w:t>
      </w:r>
    </w:p>
    <w:p w:rsidR="00F1456E" w:rsidRPr="00FD54E1" w:rsidRDefault="00F1456E" w:rsidP="00F1456E">
      <w:pPr>
        <w:pStyle w:val="BodyText"/>
      </w:pPr>
      <w:r w:rsidRPr="009F1908">
        <w:t xml:space="preserve">Of course, just how well AEMO would carry out these functions as a planner throughout the NEM, and whether it would always make efficient decisions in line with the NEO, would depend upon adequate resourcing and effective governance. </w:t>
      </w:r>
      <w:r w:rsidRPr="00FD54E1">
        <w:t xml:space="preserve">These issues extend to all institutions in the NEM, including AEMO in its current role as market operator. (Chapter </w:t>
      </w:r>
      <w:r w:rsidR="00AC05F0" w:rsidRPr="00FD54E1">
        <w:t>21</w:t>
      </w:r>
      <w:r w:rsidR="00AC05F0">
        <w:t> </w:t>
      </w:r>
      <w:r w:rsidRPr="00FD54E1">
        <w:t xml:space="preserve">sets out principles of good governance in </w:t>
      </w:r>
      <w:r w:rsidRPr="00FD54E1">
        <w:lastRenderedPageBreak/>
        <w:t>institutions with</w:t>
      </w:r>
      <w:r w:rsidR="00417D69">
        <w:t xml:space="preserve"> regulatory functions — </w:t>
      </w:r>
      <w:r w:rsidR="00AC05F0">
        <w:t>box </w:t>
      </w:r>
      <w:r w:rsidR="00417D69">
        <w:t>21.1.</w:t>
      </w:r>
      <w:r w:rsidRPr="00FD54E1">
        <w:t xml:space="preserve">) In considering the details of how this model might be implemented, </w:t>
      </w:r>
      <w:r w:rsidR="0089510F">
        <w:t>these issues</w:t>
      </w:r>
      <w:r w:rsidRPr="00FD54E1">
        <w:t xml:space="preserve"> would need to be given careful thought. </w:t>
      </w:r>
    </w:p>
    <w:p w:rsidR="00F1456E" w:rsidRPr="00FD54E1" w:rsidRDefault="00F1456E" w:rsidP="00F1456E">
      <w:pPr>
        <w:pStyle w:val="BodyText"/>
      </w:pPr>
      <w:r w:rsidRPr="00FD54E1">
        <w:t>Some stakeholders raised concerns about legal liability and accountability in a model in which AEMO acts as the NEM-wide transmission planner. However, liability costs are likely to be ultimately met by consumers, regardless of the planning model. The most important question is the degree to which alternative models cost-effectively avoid major transmission failures. There are risks associated with the various models considered by the Commission in terms of:</w:t>
      </w:r>
    </w:p>
    <w:p w:rsidR="00F1456E" w:rsidRPr="00FD54E1" w:rsidRDefault="00F1456E" w:rsidP="00F1456E">
      <w:pPr>
        <w:pStyle w:val="ListBullet"/>
      </w:pPr>
      <w:r w:rsidRPr="00FD54E1">
        <w:t>their cost-effectiveness in the case of models relying on deterministic standards</w:t>
      </w:r>
    </w:p>
    <w:p w:rsidR="00F1456E" w:rsidRPr="00FD54E1" w:rsidRDefault="00F1456E" w:rsidP="00F1456E">
      <w:pPr>
        <w:pStyle w:val="ListBullet"/>
      </w:pPr>
      <w:r w:rsidRPr="00FD54E1">
        <w:t>the potential for adverse network effects in mod</w:t>
      </w:r>
      <w:r w:rsidR="007E631A">
        <w:t>els that have a less nationally</w:t>
      </w:r>
      <w:r w:rsidR="007E631A">
        <w:noBreakHyphen/>
      </w:r>
      <w:r w:rsidRPr="00FD54E1">
        <w:t>oriented focus</w:t>
      </w:r>
    </w:p>
    <w:p w:rsidR="00F1456E" w:rsidRPr="00FD54E1" w:rsidRDefault="00F1456E" w:rsidP="00F1456E">
      <w:pPr>
        <w:pStyle w:val="ListBullet"/>
      </w:pPr>
      <w:r w:rsidRPr="00FD54E1">
        <w:t>any ambiguities about responsibilities for reliability in the case of the Commission’s preferred model.</w:t>
      </w:r>
    </w:p>
    <w:p w:rsidR="00F1456E" w:rsidRPr="00FD54E1" w:rsidRDefault="00F1456E" w:rsidP="00F1456E">
      <w:pPr>
        <w:pStyle w:val="BodyText"/>
      </w:pPr>
      <w:r w:rsidRPr="00FD54E1">
        <w:t xml:space="preserve">On the latter point, the Commission understands that </w:t>
      </w:r>
      <w:r w:rsidR="003027CB">
        <w:t xml:space="preserve">to date, </w:t>
      </w:r>
      <w:r w:rsidRPr="00FD54E1">
        <w:t>there have not been any reliability problems or ambiguity about responsibilities associated with joint roles of AEMO and SP</w:t>
      </w:r>
      <w:r w:rsidR="004D1E2F">
        <w:t> </w:t>
      </w:r>
      <w:r w:rsidRPr="00FD54E1">
        <w:t>AusNet in Victoria.</w:t>
      </w:r>
    </w:p>
    <w:p w:rsidR="00C65CEC" w:rsidRDefault="00FA1E1C" w:rsidP="003F3C4E">
      <w:pPr>
        <w:pStyle w:val="Heading2"/>
      </w:pPr>
      <w:r>
        <w:t>F.</w:t>
      </w:r>
      <w:r w:rsidR="007A6CEE">
        <w:rPr>
          <w:noProof/>
        </w:rPr>
        <w:t>4</w:t>
      </w:r>
      <w:r w:rsidR="00B8406B">
        <w:tab/>
      </w:r>
      <w:r w:rsidR="00CD7985">
        <w:t>South Australia</w:t>
      </w:r>
    </w:p>
    <w:p w:rsidR="00C745FA" w:rsidRDefault="00C745FA" w:rsidP="003F3C4E">
      <w:pPr>
        <w:pStyle w:val="Heading3"/>
      </w:pPr>
      <w:r>
        <w:t xml:space="preserve">Governance </w:t>
      </w:r>
    </w:p>
    <w:p w:rsidR="00C65CEC" w:rsidRDefault="00C65CEC" w:rsidP="00C65CEC">
      <w:pPr>
        <w:pStyle w:val="BodyText"/>
      </w:pPr>
      <w:r>
        <w:t xml:space="preserve">Transmission </w:t>
      </w:r>
      <w:r w:rsidR="00E5485F">
        <w:t xml:space="preserve">planning and </w:t>
      </w:r>
      <w:r>
        <w:t xml:space="preserve">operation in South Australia is </w:t>
      </w:r>
      <w:r w:rsidR="00C745FA">
        <w:t>set out in the</w:t>
      </w:r>
      <w:r w:rsidR="005731BB">
        <w:t xml:space="preserve"> Electricity Transmission Code</w:t>
      </w:r>
      <w:r w:rsidR="009570A4">
        <w:t>,</w:t>
      </w:r>
      <w:r>
        <w:t xml:space="preserve"> which is administered by the Essential </w:t>
      </w:r>
      <w:r w:rsidR="00810AA7">
        <w:t xml:space="preserve">Services Commission </w:t>
      </w:r>
      <w:r>
        <w:t>of South Australia.</w:t>
      </w:r>
    </w:p>
    <w:p w:rsidR="00A8452C" w:rsidRDefault="00C65CEC" w:rsidP="007C5E97">
      <w:pPr>
        <w:pStyle w:val="BodyText"/>
      </w:pPr>
      <w:r>
        <w:t xml:space="preserve">AEMO plays an important </w:t>
      </w:r>
      <w:r w:rsidR="009570A4">
        <w:t xml:space="preserve">advisory </w:t>
      </w:r>
      <w:r>
        <w:t xml:space="preserve">role </w:t>
      </w:r>
      <w:r w:rsidR="009570A4">
        <w:t xml:space="preserve">for </w:t>
      </w:r>
      <w:r>
        <w:t xml:space="preserve">planning standards </w:t>
      </w:r>
      <w:r w:rsidR="003A2C8A">
        <w:t>in</w:t>
      </w:r>
      <w:r w:rsidR="009570A4">
        <w:t xml:space="preserve"> South Australia</w:t>
      </w:r>
      <w:r>
        <w:t>.</w:t>
      </w:r>
      <w:r w:rsidR="007C5E97">
        <w:rPr>
          <w:rStyle w:val="FootnoteReference"/>
        </w:rPr>
        <w:footnoteReference w:id="16"/>
      </w:r>
      <w:r w:rsidR="007C5E97">
        <w:t xml:space="preserve"> It</w:t>
      </w:r>
      <w:r>
        <w:t xml:space="preserve"> </w:t>
      </w:r>
      <w:r w:rsidR="003A2C8A">
        <w:t>regularly (and publicly) reports on the state of the network and provides</w:t>
      </w:r>
      <w:r>
        <w:t xml:space="preserve"> </w:t>
      </w:r>
      <w:r w:rsidR="003A2C8A">
        <w:t xml:space="preserve">advice </w:t>
      </w:r>
      <w:r w:rsidR="00596F0D">
        <w:t xml:space="preserve">on the planning and </w:t>
      </w:r>
      <w:r w:rsidR="008C5C1D">
        <w:t>maintenance of transmission equipment in South Australia</w:t>
      </w:r>
      <w:r>
        <w:t xml:space="preserve">. </w:t>
      </w:r>
      <w:r w:rsidR="008C5C1D">
        <w:t xml:space="preserve">AEMO’s advice is </w:t>
      </w:r>
      <w:r w:rsidR="004F7168">
        <w:t xml:space="preserve">wide ranging and </w:t>
      </w:r>
      <w:r w:rsidR="008A221C">
        <w:t>includes advice on</w:t>
      </w:r>
      <w:r w:rsidR="008C5C1D">
        <w:t xml:space="preserve"> the setting of reliability standards in South Australia</w:t>
      </w:r>
      <w:r w:rsidR="009570A4">
        <w:t xml:space="preserve"> and </w:t>
      </w:r>
      <w:r w:rsidR="008C5C1D">
        <w:t xml:space="preserve">the appropriate </w:t>
      </w:r>
      <w:r w:rsidR="002E7619">
        <w:t>capital expenditure</w:t>
      </w:r>
      <w:r w:rsidR="00596F0D">
        <w:t xml:space="preserve"> required to meet them for each revenue determination period</w:t>
      </w:r>
      <w:r w:rsidR="002E7619">
        <w:t xml:space="preserve">. (AEMO does not </w:t>
      </w:r>
      <w:r w:rsidR="008A221C">
        <w:t>advise</w:t>
      </w:r>
      <w:r w:rsidR="002E7619">
        <w:t xml:space="preserve"> on replacement or operating expenditure</w:t>
      </w:r>
      <w:r w:rsidR="003A2C8A">
        <w:t>.</w:t>
      </w:r>
      <w:r w:rsidR="002E7619">
        <w:t>)</w:t>
      </w:r>
      <w:r w:rsidR="00596F0D">
        <w:t xml:space="preserve"> The advice AEMO issues</w:t>
      </w:r>
      <w:r w:rsidR="00A70DEC">
        <w:t xml:space="preserve"> </w:t>
      </w:r>
      <w:r w:rsidR="000E5056">
        <w:t xml:space="preserve">to </w:t>
      </w:r>
      <w:r w:rsidR="0089510F">
        <w:t xml:space="preserve">the </w:t>
      </w:r>
      <w:r w:rsidR="00AD1241">
        <w:t xml:space="preserve">Essential Services Commission of South Australia </w:t>
      </w:r>
      <w:r w:rsidR="000E5056">
        <w:t>and ElectraN</w:t>
      </w:r>
      <w:r w:rsidR="00596F0D">
        <w:t xml:space="preserve">et </w:t>
      </w:r>
      <w:r w:rsidR="00843BD2">
        <w:t xml:space="preserve">(the privately </w:t>
      </w:r>
      <w:r w:rsidR="00843BD2">
        <w:lastRenderedPageBreak/>
        <w:t xml:space="preserve">owned transmission business) </w:t>
      </w:r>
      <w:r w:rsidR="00596F0D">
        <w:t>is not binding</w:t>
      </w:r>
      <w:r w:rsidR="003A2C8A">
        <w:t>. However</w:t>
      </w:r>
      <w:r w:rsidR="00596F0D">
        <w:t xml:space="preserve">, the Commission understands that the AER </w:t>
      </w:r>
      <w:r w:rsidR="003A2C8A">
        <w:t>takes account of</w:t>
      </w:r>
      <w:r w:rsidR="00596F0D">
        <w:t xml:space="preserve"> </w:t>
      </w:r>
      <w:r w:rsidR="00E90F5B">
        <w:t>AEMO's</w:t>
      </w:r>
      <w:r w:rsidR="003A2C8A">
        <w:t xml:space="preserve"> </w:t>
      </w:r>
      <w:r w:rsidR="00596F0D">
        <w:t>capital expendi</w:t>
      </w:r>
      <w:r w:rsidR="000E5056">
        <w:t>ture recommendations to ElectraN</w:t>
      </w:r>
      <w:r w:rsidR="00596F0D">
        <w:t>et</w:t>
      </w:r>
      <w:r w:rsidR="002E7619">
        <w:t>.</w:t>
      </w:r>
      <w:r w:rsidR="00596F0D">
        <w:t xml:space="preserve"> </w:t>
      </w:r>
    </w:p>
    <w:p w:rsidR="00A8452C" w:rsidRDefault="0055167D" w:rsidP="003F3C4E">
      <w:pPr>
        <w:pStyle w:val="Heading3"/>
      </w:pPr>
      <w:r>
        <w:t>Hybrid r</w:t>
      </w:r>
      <w:r w:rsidR="00A8452C">
        <w:t xml:space="preserve">eliability standards </w:t>
      </w:r>
    </w:p>
    <w:p w:rsidR="00C65CEC" w:rsidRDefault="005731BB" w:rsidP="00C65CEC">
      <w:pPr>
        <w:pStyle w:val="BodyText"/>
      </w:pPr>
      <w:r>
        <w:t>The Electricity Transmission Code</w:t>
      </w:r>
      <w:r w:rsidR="00C65CEC">
        <w:t xml:space="preserve"> sets out the requirements for transmission networks and services</w:t>
      </w:r>
      <w:r w:rsidR="002E7619">
        <w:t xml:space="preserve"> in South Australia</w:t>
      </w:r>
      <w:r w:rsidR="00C65CEC">
        <w:t>, including planning standards for the network and connection points. The planning standards are specified deterministically according to six categories of redundancy (</w:t>
      </w:r>
      <w:r w:rsidR="00C745FA">
        <w:t>which will reduce to five categories from</w:t>
      </w:r>
      <w:r w:rsidR="00C65CEC">
        <w:t xml:space="preserve"> </w:t>
      </w:r>
      <w:r w:rsidR="00411DEE">
        <w:t xml:space="preserve">July </w:t>
      </w:r>
      <w:r w:rsidR="00C65CEC">
        <w:t xml:space="preserve">2013). Each </w:t>
      </w:r>
      <w:r w:rsidR="000123D5">
        <w:t xml:space="preserve">connection point </w:t>
      </w:r>
      <w:r w:rsidR="00C65CEC">
        <w:t>is categorised into one of the six levels of redundancy (</w:t>
      </w:r>
      <w:r w:rsidR="00BF54E3">
        <w:t>ESCOSA 201</w:t>
      </w:r>
      <w:r w:rsidR="00A22931">
        <w:t>2</w:t>
      </w:r>
      <w:r w:rsidR="009701B1">
        <w:t>)</w:t>
      </w:r>
      <w:r w:rsidR="00C65CEC">
        <w:t>.</w:t>
      </w:r>
      <w:r w:rsidR="007F3E48">
        <w:t xml:space="preserve"> </w:t>
      </w:r>
      <w:r w:rsidR="002E7619">
        <w:t>O</w:t>
      </w:r>
      <w:r w:rsidR="00C65CEC">
        <w:t>riginal</w:t>
      </w:r>
      <w:r w:rsidR="0009271E">
        <w:t>ly, the</w:t>
      </w:r>
      <w:r w:rsidR="00C65CEC">
        <w:t xml:space="preserve"> categories were determined by assessing the redundancy</w:t>
      </w:r>
      <w:r w:rsidR="008A221C">
        <w:t xml:space="preserve"> </w:t>
      </w:r>
      <w:r w:rsidR="007C5E97">
        <w:t xml:space="preserve">that </w:t>
      </w:r>
      <w:r w:rsidR="008A221C">
        <w:t>existed</w:t>
      </w:r>
      <w:r w:rsidR="00C65CEC">
        <w:t xml:space="preserve"> in the network in the </w:t>
      </w:r>
      <w:r w:rsidR="008E7FB4">
        <w:t>12 </w:t>
      </w:r>
      <w:r w:rsidR="00C65CEC">
        <w:t xml:space="preserve">months prior to the establishment of the </w:t>
      </w:r>
      <w:r>
        <w:t>Electricity Transmission Code</w:t>
      </w:r>
      <w:r w:rsidR="00C65CEC">
        <w:t xml:space="preserve"> in 1999</w:t>
      </w:r>
      <w:r w:rsidR="0009271E">
        <w:t>. T</w:t>
      </w:r>
      <w:r w:rsidR="00C65CEC">
        <w:t xml:space="preserve">he intention </w:t>
      </w:r>
      <w:r w:rsidR="0009271E">
        <w:t xml:space="preserve">was </w:t>
      </w:r>
      <w:r w:rsidR="00C65CEC">
        <w:t>that customers would not experience a reduction in reliability</w:t>
      </w:r>
      <w:r w:rsidR="008E7FB4">
        <w:t xml:space="preserve"> after network </w:t>
      </w:r>
      <w:r w:rsidR="002E7619">
        <w:t>privati</w:t>
      </w:r>
      <w:r w:rsidR="008E7FB4">
        <w:t>sation</w:t>
      </w:r>
      <w:r w:rsidR="00C65CEC">
        <w:t>.</w:t>
      </w:r>
    </w:p>
    <w:p w:rsidR="00243014" w:rsidRDefault="00C65CEC" w:rsidP="00C65CEC">
      <w:pPr>
        <w:pStyle w:val="BodyText"/>
      </w:pPr>
      <w:r>
        <w:t>Every five years, the categorisation of each connection point is</w:t>
      </w:r>
      <w:r w:rsidR="008A221C">
        <w:t xml:space="preserve"> </w:t>
      </w:r>
      <w:r>
        <w:t xml:space="preserve">reviewed by AEMO at the request of the South Australian Government. The review process uses a probabilistic framework to assess whether </w:t>
      </w:r>
      <w:r w:rsidR="00373BAA">
        <w:t xml:space="preserve">changes in the forecast </w:t>
      </w:r>
      <w:r>
        <w:t xml:space="preserve">maximum demand </w:t>
      </w:r>
      <w:r w:rsidR="008A221C">
        <w:t>at</w:t>
      </w:r>
      <w:r>
        <w:t xml:space="preserve"> </w:t>
      </w:r>
      <w:r w:rsidR="00AA7D99">
        <w:t>a connection</w:t>
      </w:r>
      <w:r>
        <w:t xml:space="preserve"> point warrant </w:t>
      </w:r>
      <w:r w:rsidR="00373BAA">
        <w:t xml:space="preserve">its reclassification to </w:t>
      </w:r>
      <w:r>
        <w:t>a higher</w:t>
      </w:r>
      <w:r w:rsidR="00F65A03">
        <w:t>, but not lower,</w:t>
      </w:r>
      <w:r>
        <w:t xml:space="preserve"> category of redundancy.</w:t>
      </w:r>
      <w:r w:rsidR="00AA7D99">
        <w:t xml:space="preserve"> </w:t>
      </w:r>
    </w:p>
    <w:p w:rsidR="00C65CEC" w:rsidRDefault="00AA7D99" w:rsidP="00C65CEC">
      <w:pPr>
        <w:pStyle w:val="BodyText"/>
      </w:pPr>
      <w:r>
        <w:t>This assessment is made by carrying out a probabilistic analysis of the network</w:t>
      </w:r>
      <w:r w:rsidR="00243014">
        <w:t>,</w:t>
      </w:r>
      <w:r>
        <w:t xml:space="preserve"> and specifically the connection point</w:t>
      </w:r>
      <w:r w:rsidR="00243014">
        <w:t>,</w:t>
      </w:r>
      <w:r>
        <w:t xml:space="preserve"> to determine </w:t>
      </w:r>
      <w:r w:rsidR="00243014">
        <w:t>whether the expected costs of</w:t>
      </w:r>
      <w:r>
        <w:t xml:space="preserve"> interruption</w:t>
      </w:r>
      <w:r w:rsidR="00243014">
        <w:t>s</w:t>
      </w:r>
      <w:r>
        <w:t xml:space="preserve"> (calculated by mu</w:t>
      </w:r>
      <w:r w:rsidR="00243014">
        <w:t xml:space="preserve">ltiplying the probability of </w:t>
      </w:r>
      <w:r>
        <w:t>interruption</w:t>
      </w:r>
      <w:r w:rsidR="00243014">
        <w:t>s occurring</w:t>
      </w:r>
      <w:r>
        <w:t xml:space="preserve"> by the</w:t>
      </w:r>
      <w:r w:rsidR="00243014">
        <w:t xml:space="preserve"> costs incurred by customers from interruptions</w:t>
      </w:r>
      <w:r>
        <w:t xml:space="preserve">) </w:t>
      </w:r>
      <w:r w:rsidR="00243014">
        <w:t>are larger than the cost of reducing the probability of interruptions occurring by investing in the network. If the expected costs to customers are very large (which w</w:t>
      </w:r>
      <w:r w:rsidR="009B17B2">
        <w:t>ould most likely be due to</w:t>
      </w:r>
      <w:r w:rsidR="00243014">
        <w:t xml:space="preserve"> increases in demand and therefore larger effects of an interruption at the connection point) several investment options might be justified. If this is the case, the ensuing redundancy in the network as a result of the new investments would correspond to a higher reliability category for that connection point. </w:t>
      </w:r>
      <w:r>
        <w:t>Connection</w:t>
      </w:r>
      <w:r w:rsidR="002E7619">
        <w:t xml:space="preserve"> points cannot </w:t>
      </w:r>
      <w:r>
        <w:t xml:space="preserve">currently </w:t>
      </w:r>
      <w:r w:rsidR="002E7619">
        <w:t>be reclassified to a lower category.</w:t>
      </w:r>
      <w:r w:rsidR="00D4339D">
        <w:t xml:space="preserve"> </w:t>
      </w:r>
    </w:p>
    <w:p w:rsidR="00C65CEC" w:rsidRDefault="00C65CEC" w:rsidP="00C65CEC">
      <w:pPr>
        <w:pStyle w:val="BodyText"/>
      </w:pPr>
      <w:r>
        <w:t>The probabilities of contingencies</w:t>
      </w:r>
      <w:r w:rsidR="00243014">
        <w:t xml:space="preserve"> used in this analysis</w:t>
      </w:r>
      <w:r w:rsidR="0009271E">
        <w:t xml:space="preserve"> </w:t>
      </w:r>
      <w:r>
        <w:t>are derived from historical observations in South Australia and are supplied by ElectraNet</w:t>
      </w:r>
      <w:r w:rsidR="0009271E">
        <w:t>.</w:t>
      </w:r>
      <w:r>
        <w:t xml:space="preserve"> </w:t>
      </w:r>
      <w:r w:rsidR="007C12BD">
        <w:t xml:space="preserve">If AEMO identifies potentially costly constraints, it </w:t>
      </w:r>
      <w:r w:rsidR="00843BD2">
        <w:t xml:space="preserve">then </w:t>
      </w:r>
      <w:r w:rsidR="007C12BD">
        <w:t xml:space="preserve">assesses the benefits of addressing these against their costs. However, unlike in Victoria, AEMO does not undertake </w:t>
      </w:r>
      <w:r w:rsidR="00F65A03">
        <w:t xml:space="preserve">an </w:t>
      </w:r>
      <w:r w:rsidR="007C12BD">
        <w:t xml:space="preserve">independent </w:t>
      </w:r>
      <w:r w:rsidR="00F65A03">
        <w:t>assessment</w:t>
      </w:r>
      <w:r w:rsidR="007C12BD">
        <w:t xml:space="preserve"> of possible upgrade options and their costs, including </w:t>
      </w:r>
      <w:r w:rsidR="007C12BD">
        <w:lastRenderedPageBreak/>
        <w:t>demand management options, but</w:t>
      </w:r>
      <w:r w:rsidR="007A7BF3">
        <w:t xml:space="preserve"> must use the cost</w:t>
      </w:r>
      <w:r w:rsidR="00FB134A">
        <w:t xml:space="preserve"> estimates</w:t>
      </w:r>
      <w:r w:rsidR="007A7BF3">
        <w:t xml:space="preserve"> of </w:t>
      </w:r>
      <w:r w:rsidR="00F65A03">
        <w:t xml:space="preserve">the </w:t>
      </w:r>
      <w:r w:rsidR="007A7BF3">
        <w:t>augmentations</w:t>
      </w:r>
      <w:r w:rsidR="00F65A03">
        <w:t xml:space="preserve"> specified and determined</w:t>
      </w:r>
      <w:r w:rsidR="007A7BF3">
        <w:t xml:space="preserve"> </w:t>
      </w:r>
      <w:r w:rsidR="00FB134A">
        <w:t xml:space="preserve">by </w:t>
      </w:r>
      <w:r w:rsidR="007A7BF3">
        <w:t>Electra</w:t>
      </w:r>
      <w:r w:rsidR="005A617F">
        <w:t>N</w:t>
      </w:r>
      <w:r w:rsidR="007A7BF3">
        <w:t>et.</w:t>
      </w:r>
      <w:r w:rsidR="007C12BD">
        <w:t xml:space="preserve"> </w:t>
      </w:r>
    </w:p>
    <w:p w:rsidR="00C65CEC" w:rsidRDefault="00AD581A" w:rsidP="003F3C4E">
      <w:pPr>
        <w:pStyle w:val="Heading3"/>
      </w:pPr>
      <w:r>
        <w:t xml:space="preserve">Assessment of efficiency </w:t>
      </w:r>
    </w:p>
    <w:p w:rsidR="006C717B" w:rsidRDefault="006C717B" w:rsidP="003F3C4E">
      <w:pPr>
        <w:pStyle w:val="Heading4"/>
      </w:pPr>
      <w:r>
        <w:t>Efficiency of investments</w:t>
      </w:r>
    </w:p>
    <w:p w:rsidR="00AD1686" w:rsidRDefault="007C5E97" w:rsidP="00C65CEC">
      <w:pPr>
        <w:pStyle w:val="BodyText"/>
      </w:pPr>
      <w:r>
        <w:t xml:space="preserve">The hybrid model is likely to be more efficient </w:t>
      </w:r>
      <w:r w:rsidR="00E64A51">
        <w:t>than current arrangements in N</w:t>
      </w:r>
      <w:r w:rsidR="003F3C4E">
        <w:t xml:space="preserve">ew </w:t>
      </w:r>
      <w:r w:rsidR="00E64A51">
        <w:t>S</w:t>
      </w:r>
      <w:r w:rsidR="003F3C4E">
        <w:t xml:space="preserve">outh </w:t>
      </w:r>
      <w:r w:rsidR="00E64A51">
        <w:t>W</w:t>
      </w:r>
      <w:r w:rsidR="003F3C4E">
        <w:t>ales</w:t>
      </w:r>
      <w:r w:rsidR="00E64A51">
        <w:t xml:space="preserve">, Queensland and Tasmania </w:t>
      </w:r>
      <w:r w:rsidR="00E97AEF">
        <w:t>because</w:t>
      </w:r>
      <w:r w:rsidR="00E64A51">
        <w:t xml:space="preserve"> the </w:t>
      </w:r>
      <w:r w:rsidR="00E97AEF">
        <w:t>deterministic</w:t>
      </w:r>
      <w:r w:rsidR="00E64A51">
        <w:t xml:space="preserve"> standards at least </w:t>
      </w:r>
      <w:r w:rsidR="00E97AEF">
        <w:t xml:space="preserve">initially reflect probabilistic modelling, and because </w:t>
      </w:r>
      <w:r w:rsidR="00E64A51">
        <w:t>the views of AEMO are factored into the AER’s revenue determinations.</w:t>
      </w:r>
      <w:r w:rsidR="00AD1686">
        <w:rPr>
          <w:rStyle w:val="FootnoteReference"/>
        </w:rPr>
        <w:footnoteReference w:id="17"/>
      </w:r>
      <w:r w:rsidR="00E64A51">
        <w:t xml:space="preserve"> </w:t>
      </w:r>
      <w:r w:rsidR="00D67A28">
        <w:t>The private ownership of ElectraNet also increase</w:t>
      </w:r>
      <w:r w:rsidR="00AD1686">
        <w:t>s</w:t>
      </w:r>
      <w:r w:rsidR="00D67A28">
        <w:t xml:space="preserve"> the likelihood that </w:t>
      </w:r>
      <w:r w:rsidR="00AD1686">
        <w:t>incentive</w:t>
      </w:r>
      <w:r w:rsidR="00D67A28">
        <w:t xml:space="preserve"> regulation will function better (chapters 5 and 7). </w:t>
      </w:r>
    </w:p>
    <w:p w:rsidR="00BA7F76" w:rsidRDefault="00AD1686" w:rsidP="00AD1686">
      <w:pPr>
        <w:pStyle w:val="BodyText"/>
      </w:pPr>
      <w:r>
        <w:t>ElectraNet also undertakes a RIT-T shortly before an augmentation project is due to begin, but this suffers from the same deficiencies as in New South Wales, Queensland and Tasmania.</w:t>
      </w:r>
      <w:r w:rsidR="00BA7F76">
        <w:t xml:space="preserve"> </w:t>
      </w:r>
    </w:p>
    <w:p w:rsidR="006C717B" w:rsidRDefault="006C717B" w:rsidP="003F3C4E">
      <w:pPr>
        <w:pStyle w:val="Heading4"/>
      </w:pPr>
      <w:r>
        <w:t>Efficiency of standards</w:t>
      </w:r>
    </w:p>
    <w:p w:rsidR="008D4B0C" w:rsidRDefault="008D4B0C" w:rsidP="00C65CEC">
      <w:pPr>
        <w:pStyle w:val="BodyText"/>
      </w:pPr>
      <w:r>
        <w:t xml:space="preserve">There are several deficiencies in South Australian reliability standards. </w:t>
      </w:r>
    </w:p>
    <w:p w:rsidR="00C65CEC" w:rsidRDefault="00EB05BA" w:rsidP="00BA7F76">
      <w:pPr>
        <w:pStyle w:val="ListBullet"/>
      </w:pPr>
      <w:r>
        <w:t>R</w:t>
      </w:r>
      <w:r w:rsidR="00DD42C0">
        <w:t xml:space="preserve">eliability standards </w:t>
      </w:r>
      <w:r>
        <w:t xml:space="preserve">may be </w:t>
      </w:r>
      <w:r w:rsidR="00DD42C0">
        <w:t>too high. S</w:t>
      </w:r>
      <w:r w:rsidR="00C65CEC">
        <w:t>tandards</w:t>
      </w:r>
      <w:r w:rsidR="00F65A03">
        <w:t xml:space="preserve"> for connection</w:t>
      </w:r>
      <w:r w:rsidR="00DD42C0">
        <w:t xml:space="preserve"> points</w:t>
      </w:r>
      <w:r w:rsidR="00C65CEC">
        <w:t xml:space="preserve"> were set to the level of reliability that existed wh</w:t>
      </w:r>
      <w:r w:rsidR="004D74FF">
        <w:t xml:space="preserve">en the </w:t>
      </w:r>
      <w:r w:rsidR="0089510F">
        <w:t>State G</w:t>
      </w:r>
      <w:r>
        <w:t xml:space="preserve">overnment owned and operated the </w:t>
      </w:r>
      <w:r w:rsidR="004D74FF">
        <w:t>network</w:t>
      </w:r>
      <w:r>
        <w:t>.</w:t>
      </w:r>
      <w:r w:rsidR="00A70DEC">
        <w:t xml:space="preserve"> </w:t>
      </w:r>
      <w:r w:rsidR="00B77ED3">
        <w:t>The original reliability standards were not based on customers’ value of re</w:t>
      </w:r>
      <w:r w:rsidR="003B128F">
        <w:t>liability. The fact that a connection</w:t>
      </w:r>
      <w:r w:rsidR="00B77ED3">
        <w:t xml:space="preserve"> point cannot be re</w:t>
      </w:r>
      <w:r w:rsidR="007E631A">
        <w:noBreakHyphen/>
      </w:r>
      <w:r w:rsidR="00B77ED3">
        <w:t>classified to a lower level of reliability can entrench inefficient historical standards or fail to respond to new demand patterns.</w:t>
      </w:r>
      <w:r w:rsidR="00B77ED3">
        <w:rPr>
          <w:rStyle w:val="FootnoteReference"/>
        </w:rPr>
        <w:footnoteReference w:id="18"/>
      </w:r>
      <w:r w:rsidR="00B77ED3">
        <w:t xml:space="preserve"> </w:t>
      </w:r>
    </w:p>
    <w:p w:rsidR="00C65CEC" w:rsidRDefault="00067EC6" w:rsidP="00BA7F76">
      <w:pPr>
        <w:pStyle w:val="ListBullet"/>
      </w:pPr>
      <w:r>
        <w:t>T</w:t>
      </w:r>
      <w:r w:rsidR="00D6257A">
        <w:t>he lumpy nature of the reliability categories</w:t>
      </w:r>
      <w:r>
        <w:t xml:space="preserve"> creates inefficiencies</w:t>
      </w:r>
      <w:r w:rsidR="00D6257A">
        <w:t xml:space="preserve">. </w:t>
      </w:r>
      <w:r w:rsidR="00E11CAD">
        <w:t>There are only six (soon to be five</w:t>
      </w:r>
      <w:r w:rsidR="00411DEE">
        <w:t xml:space="preserve"> </w:t>
      </w:r>
      <w:r w:rsidR="008E7650">
        <w:t>after</w:t>
      </w:r>
      <w:r w:rsidR="00411DEE">
        <w:t xml:space="preserve"> July 2013</w:t>
      </w:r>
      <w:r w:rsidR="00C65CEC">
        <w:t>) catego</w:t>
      </w:r>
      <w:r w:rsidR="00D063BD">
        <w:t>ries into which connection</w:t>
      </w:r>
      <w:r w:rsidR="00DD42C0">
        <w:t xml:space="preserve"> points can</w:t>
      </w:r>
      <w:r w:rsidR="00C65CEC">
        <w:t xml:space="preserve"> be classified. With a limited number of defined categories, it is not possible to take </w:t>
      </w:r>
      <w:r w:rsidR="00E11CAD">
        <w:t xml:space="preserve">a </w:t>
      </w:r>
      <w:r w:rsidR="00C65CEC">
        <w:t>more granular approach to reliability standards. Moreover</w:t>
      </w:r>
      <w:r w:rsidR="00E11CAD">
        <w:t>, classifications are rounded up</w:t>
      </w:r>
      <w:r w:rsidR="006A785A">
        <w:t xml:space="preserve"> so that there is always a bias to a higher reliability</w:t>
      </w:r>
      <w:r w:rsidR="008E7650">
        <w:t xml:space="preserve"> standard</w:t>
      </w:r>
      <w:r w:rsidR="006A785A">
        <w:t>.</w:t>
      </w:r>
    </w:p>
    <w:p w:rsidR="00C65CEC" w:rsidRDefault="006A785A" w:rsidP="00BA7F76">
      <w:pPr>
        <w:pStyle w:val="ListBullet"/>
      </w:pPr>
      <w:r>
        <w:lastRenderedPageBreak/>
        <w:t xml:space="preserve">The lack of </w:t>
      </w:r>
      <w:r w:rsidR="00E11CAD">
        <w:t>independent analysis of possible options</w:t>
      </w:r>
      <w:r w:rsidR="00C02824">
        <w:t xml:space="preserve"> (including non-network options)</w:t>
      </w:r>
      <w:r w:rsidR="00E11CAD">
        <w:t xml:space="preserve"> for </w:t>
      </w:r>
      <w:r w:rsidR="00D063BD">
        <w:t>achieving</w:t>
      </w:r>
      <w:r w:rsidR="00E11CAD">
        <w:t xml:space="preserve"> the reliability </w:t>
      </w:r>
      <w:r w:rsidR="00D063BD">
        <w:t xml:space="preserve">standard </w:t>
      </w:r>
      <w:r w:rsidR="00E11CAD">
        <w:t>of a connection point</w:t>
      </w:r>
      <w:r w:rsidR="00A70DEC">
        <w:t xml:space="preserve"> </w:t>
      </w:r>
      <w:r>
        <w:t xml:space="preserve">calls into question whether the upgrade costs and </w:t>
      </w:r>
      <w:r w:rsidR="00AA7D99">
        <w:t xml:space="preserve">options are efficient. While </w:t>
      </w:r>
      <w:r w:rsidR="00E11CAD">
        <w:t xml:space="preserve">AEMO </w:t>
      </w:r>
      <w:r w:rsidR="00AA7D99">
        <w:t>might</w:t>
      </w:r>
      <w:r>
        <w:t xml:space="preserve"> </w:t>
      </w:r>
      <w:r w:rsidR="00D063BD">
        <w:t>be able to tell when the</w:t>
      </w:r>
      <w:r w:rsidR="00E11CAD">
        <w:t xml:space="preserve"> option</w:t>
      </w:r>
      <w:r w:rsidR="000E5056">
        <w:t>s and costs provided by ElectraN</w:t>
      </w:r>
      <w:r w:rsidR="00E11CAD">
        <w:t>et are significantly overestimated</w:t>
      </w:r>
      <w:r w:rsidR="00AA7D99">
        <w:t>, it has no recourse for identifying and recommending alternatives.</w:t>
      </w:r>
      <w:r w:rsidR="00A70DEC">
        <w:t xml:space="preserve"> </w:t>
      </w:r>
      <w:r w:rsidR="00E11CAD">
        <w:t xml:space="preserve">AEMO recognises this in its review of capital expenditure by emphasising the need for detailed planning </w:t>
      </w:r>
      <w:r w:rsidR="00D063BD">
        <w:t xml:space="preserve">and capital </w:t>
      </w:r>
      <w:r w:rsidR="00E11CAD">
        <w:t>assessments through the RIT-T (AEMO 2012</w:t>
      </w:r>
      <w:r w:rsidR="00A22931">
        <w:t>d</w:t>
      </w:r>
      <w:r w:rsidR="00FD6A40">
        <w:t>,</w:t>
      </w:r>
      <w:r w:rsidR="00E11CAD">
        <w:t xml:space="preserve"> p.</w:t>
      </w:r>
      <w:r w:rsidR="00A70DEC">
        <w:t> </w:t>
      </w:r>
      <w:r w:rsidR="00E11CAD">
        <w:t>iii)</w:t>
      </w:r>
      <w:r w:rsidR="009E0664">
        <w:t>.</w:t>
      </w:r>
      <w:r w:rsidR="003027CB">
        <w:t xml:space="preserve"> Indeed, AEMO found some issues with investment timing in South Australia. In its review of selected transmission investments, it found </w:t>
      </w:r>
      <w:r w:rsidR="00E32948">
        <w:t>for</w:t>
      </w:r>
      <w:r w:rsidR="003027CB">
        <w:t xml:space="preserve"> two South Australian projects analysed, both could have been optimally deferred (using the same demand assumption </w:t>
      </w:r>
      <w:r w:rsidR="00E32948">
        <w:t xml:space="preserve">as </w:t>
      </w:r>
      <w:r w:rsidR="003027CB">
        <w:t xml:space="preserve">used by the TNSP) — one by approximately </w:t>
      </w:r>
      <w:r w:rsidR="008E7650">
        <w:t xml:space="preserve">six </w:t>
      </w:r>
      <w:r w:rsidR="003027CB">
        <w:t xml:space="preserve">years, the other by </w:t>
      </w:r>
      <w:r w:rsidR="008E7650">
        <w:t xml:space="preserve">one </w:t>
      </w:r>
      <w:r w:rsidR="003027CB">
        <w:t xml:space="preserve">year (AEMO 2012j, p. iii). </w:t>
      </w:r>
    </w:p>
    <w:p w:rsidR="00C65CEC" w:rsidRDefault="00F21150" w:rsidP="00BA7F76">
      <w:pPr>
        <w:pStyle w:val="ListBullet"/>
      </w:pPr>
      <w:r>
        <w:t xml:space="preserve">The </w:t>
      </w:r>
      <w:r w:rsidR="006A785A">
        <w:t xml:space="preserve">VCR used in the </w:t>
      </w:r>
      <w:r w:rsidR="008A214D">
        <w:t>cost–benefit</w:t>
      </w:r>
      <w:r w:rsidR="006A785A">
        <w:t xml:space="preserve"> analysis </w:t>
      </w:r>
      <w:r w:rsidR="00C65CEC">
        <w:t>does not reflect possible differences in industry composition or customer preference</w:t>
      </w:r>
      <w:r>
        <w:t>s</w:t>
      </w:r>
      <w:r w:rsidR="008B1BE5">
        <w:t xml:space="preserve"> specific to South Australia</w:t>
      </w:r>
      <w:r>
        <w:t>.</w:t>
      </w:r>
      <w:r w:rsidR="006A785A">
        <w:rPr>
          <w:rStyle w:val="FootnoteReference"/>
        </w:rPr>
        <w:footnoteReference w:id="19"/>
      </w:r>
      <w:r>
        <w:t xml:space="preserve"> </w:t>
      </w:r>
    </w:p>
    <w:p w:rsidR="00C65CEC" w:rsidRPr="00CE4080" w:rsidRDefault="00023413" w:rsidP="00BA7F76">
      <w:pPr>
        <w:pStyle w:val="ListBullet"/>
        <w:rPr>
          <w:u w:val="single"/>
        </w:rPr>
      </w:pPr>
      <w:r>
        <w:t>Ultimately</w:t>
      </w:r>
      <w:r w:rsidR="00F21150">
        <w:t xml:space="preserve">, AEMO’s recommendations </w:t>
      </w:r>
      <w:r w:rsidR="003B128F">
        <w:t xml:space="preserve">about the </w:t>
      </w:r>
      <w:r w:rsidR="006C717B">
        <w:t xml:space="preserve">reliability categorisation </w:t>
      </w:r>
      <w:r w:rsidR="003B128F">
        <w:t>of connection</w:t>
      </w:r>
      <w:r w:rsidR="00F21150">
        <w:t xml:space="preserve"> points are only recommendations — </w:t>
      </w:r>
      <w:r w:rsidR="008E7650">
        <w:t xml:space="preserve">the </w:t>
      </w:r>
      <w:r w:rsidR="00AD1241">
        <w:t xml:space="preserve">Essential Services Commission of South Australia </w:t>
      </w:r>
      <w:r w:rsidR="00F21150">
        <w:t xml:space="preserve">is under no obligation to accept them. </w:t>
      </w:r>
    </w:p>
    <w:p w:rsidR="00CE4080" w:rsidRPr="00F05167" w:rsidRDefault="00CE4080" w:rsidP="00BA7F76">
      <w:pPr>
        <w:pStyle w:val="ListBullet"/>
        <w:rPr>
          <w:u w:val="single"/>
        </w:rPr>
      </w:pPr>
      <w:r>
        <w:t xml:space="preserve">There can be </w:t>
      </w:r>
      <w:r w:rsidR="00A70DEC">
        <w:t xml:space="preserve">a gap of </w:t>
      </w:r>
      <w:r>
        <w:t xml:space="preserve">up to seven </w:t>
      </w:r>
      <w:r w:rsidR="00905E13">
        <w:t>year</w:t>
      </w:r>
      <w:r w:rsidR="00A70DEC">
        <w:t>s</w:t>
      </w:r>
      <w:r w:rsidR="00905E13">
        <w:t xml:space="preserve"> </w:t>
      </w:r>
      <w:r>
        <w:t xml:space="preserve">between </w:t>
      </w:r>
      <w:r w:rsidR="00905E13">
        <w:t xml:space="preserve">the timing of </w:t>
      </w:r>
      <w:r>
        <w:t xml:space="preserve">the reliability assessments for a connection point and the RIT-T for the </w:t>
      </w:r>
      <w:r w:rsidR="00905E13">
        <w:t xml:space="preserve">relevant </w:t>
      </w:r>
      <w:r>
        <w:t>investments</w:t>
      </w:r>
      <w:r w:rsidR="0017332D">
        <w:t xml:space="preserve"> (AEMO</w:t>
      </w:r>
      <w:r w:rsidR="00051275">
        <w:t>,</w:t>
      </w:r>
      <w:r w:rsidR="0017332D">
        <w:t xml:space="preserve"> sub.</w:t>
      </w:r>
      <w:r w:rsidR="00CC6680">
        <w:t> </w:t>
      </w:r>
      <w:r w:rsidR="0017332D">
        <w:t>32, p.</w:t>
      </w:r>
      <w:r w:rsidR="00CC6680">
        <w:t> </w:t>
      </w:r>
      <w:r w:rsidR="0017332D">
        <w:t>11)</w:t>
      </w:r>
      <w:r>
        <w:t xml:space="preserve">. </w:t>
      </w:r>
      <w:r w:rsidR="006C717B">
        <w:t>Even if the reliability category</w:t>
      </w:r>
      <w:r w:rsidR="003B128F">
        <w:t xml:space="preserve"> </w:t>
      </w:r>
      <w:r>
        <w:t>applied to a connection point</w:t>
      </w:r>
      <w:r w:rsidR="003B128F">
        <w:t xml:space="preserve"> (and the </w:t>
      </w:r>
      <w:r w:rsidR="006C717B">
        <w:t xml:space="preserve">preliminary </w:t>
      </w:r>
      <w:r w:rsidR="003B128F">
        <w:t>costing</w:t>
      </w:r>
      <w:r w:rsidR="006C717B">
        <w:t>s of options used to set it) were</w:t>
      </w:r>
      <w:r>
        <w:t xml:space="preserve"> efficient</w:t>
      </w:r>
      <w:r w:rsidR="003B128F">
        <w:t xml:space="preserve"> and </w:t>
      </w:r>
      <w:r w:rsidR="006C717B">
        <w:t xml:space="preserve">reasonably </w:t>
      </w:r>
      <w:r w:rsidR="003B128F">
        <w:t>accurate</w:t>
      </w:r>
      <w:r>
        <w:t xml:space="preserve"> in the lead up to the reven</w:t>
      </w:r>
      <w:r w:rsidR="00DD42C0">
        <w:t>ue determination,</w:t>
      </w:r>
      <w:r w:rsidR="006C717B">
        <w:t xml:space="preserve"> this</w:t>
      </w:r>
      <w:r w:rsidR="00DD42C0">
        <w:t xml:space="preserve"> might not remain so</w:t>
      </w:r>
      <w:r>
        <w:t xml:space="preserve"> by the time the investment </w:t>
      </w:r>
      <w:r w:rsidR="0013550E">
        <w:t xml:space="preserve">was </w:t>
      </w:r>
      <w:r w:rsidR="006C717B">
        <w:t>close to commencement</w:t>
      </w:r>
      <w:r>
        <w:t>.</w:t>
      </w:r>
      <w:r w:rsidR="006C717B">
        <w:t xml:space="preserve"> </w:t>
      </w:r>
      <w:r w:rsidR="003519FA">
        <w:t>F</w:t>
      </w:r>
      <w:r w:rsidR="006C717B">
        <w:t xml:space="preserve">or New South Wales, Queensland and Tasmania, at the time that the RIT-T is carried out the required revenue has </w:t>
      </w:r>
      <w:r w:rsidR="003519FA">
        <w:t>already been approved.</w:t>
      </w:r>
      <w:r w:rsidR="006C717B">
        <w:t xml:space="preserve"> </w:t>
      </w:r>
      <w:r w:rsidR="003519FA">
        <w:t>T</w:t>
      </w:r>
      <w:r w:rsidR="006C717B">
        <w:t xml:space="preserve">he RIT-T process </w:t>
      </w:r>
      <w:r w:rsidR="003519FA">
        <w:t xml:space="preserve">therefore </w:t>
      </w:r>
      <w:r w:rsidR="00C02824">
        <w:t xml:space="preserve">appears to be </w:t>
      </w:r>
      <w:r w:rsidR="006C717B">
        <w:t>more of a formality rather than being a comprehensive review of the options</w:t>
      </w:r>
      <w:r w:rsidR="003519FA">
        <w:t xml:space="preserve"> and their </w:t>
      </w:r>
      <w:r w:rsidR="006C717B">
        <w:t>specification</w:t>
      </w:r>
      <w:r w:rsidR="003519FA">
        <w:t xml:space="preserve">, Further, it does not require </w:t>
      </w:r>
      <w:r w:rsidR="006C717B">
        <w:t xml:space="preserve">an update </w:t>
      </w:r>
      <w:r w:rsidR="003519FA">
        <w:t xml:space="preserve">of the </w:t>
      </w:r>
      <w:r w:rsidR="006C717B">
        <w:t>estimate</w:t>
      </w:r>
      <w:r w:rsidR="003519FA">
        <w:t>d</w:t>
      </w:r>
      <w:r w:rsidR="006C717B">
        <w:t xml:space="preserve"> of the capital required </w:t>
      </w:r>
      <w:r w:rsidR="003519FA">
        <w:t xml:space="preserve">so as </w:t>
      </w:r>
      <w:r w:rsidR="006C717B">
        <w:t xml:space="preserve">to confirm the efficiency </w:t>
      </w:r>
      <w:r w:rsidR="003519FA">
        <w:t xml:space="preserve">or otherwise of </w:t>
      </w:r>
      <w:r w:rsidR="006C717B">
        <w:t>of the augmentation.</w:t>
      </w:r>
    </w:p>
    <w:p w:rsidR="00372E23" w:rsidRDefault="00372E23" w:rsidP="00372E23">
      <w:pPr>
        <w:pStyle w:val="Heading4"/>
      </w:pPr>
      <w:r>
        <w:t>Minimising windfall gains</w:t>
      </w:r>
    </w:p>
    <w:p w:rsidR="00372E23" w:rsidRDefault="00372E23" w:rsidP="00372E23">
      <w:pPr>
        <w:pStyle w:val="BodyText"/>
      </w:pPr>
      <w:r>
        <w:t xml:space="preserve">As in New South Wales, Queensland and Tasmania, funding to achieve reliability standards is provided through the AER revenue determination process. As such, it is likely that the ability of TNSPs to receive windfall gains </w:t>
      </w:r>
      <w:r w:rsidR="00411DEE">
        <w:t>(</w:t>
      </w:r>
      <w:r>
        <w:t xml:space="preserve">or </w:t>
      </w:r>
      <w:r w:rsidR="00411DEE">
        <w:t xml:space="preserve">potentially incur </w:t>
      </w:r>
      <w:r>
        <w:t>losses</w:t>
      </w:r>
      <w:r w:rsidR="00411DEE">
        <w:t>)</w:t>
      </w:r>
      <w:r>
        <w:t xml:space="preserve"> in South Australia is the same as under the deterministic standards system. </w:t>
      </w:r>
    </w:p>
    <w:p w:rsidR="006C717B" w:rsidRDefault="006C717B" w:rsidP="003F3C4E">
      <w:pPr>
        <w:pStyle w:val="Heading4"/>
      </w:pPr>
      <w:r>
        <w:lastRenderedPageBreak/>
        <w:t>Minimising administrative and compliance burden</w:t>
      </w:r>
    </w:p>
    <w:p w:rsidR="00BA7F76" w:rsidRDefault="00BA7F76" w:rsidP="000D6151">
      <w:pPr>
        <w:pStyle w:val="BodyText"/>
      </w:pPr>
      <w:r w:rsidRPr="00FA17F8">
        <w:t xml:space="preserve">The administrative and compliance burden of the transmission </w:t>
      </w:r>
      <w:r w:rsidR="003A5E23">
        <w:t>planning</w:t>
      </w:r>
      <w:r w:rsidRPr="00FA17F8">
        <w:t xml:space="preserve"> framework in South Australia appears to be </w:t>
      </w:r>
      <w:r w:rsidR="00FA17F8" w:rsidRPr="00FA17F8">
        <w:t>moderate. The input of AEMO and</w:t>
      </w:r>
      <w:r w:rsidR="00EF5EB5">
        <w:t xml:space="preserve"> </w:t>
      </w:r>
      <w:r w:rsidR="008E7650">
        <w:t xml:space="preserve">the </w:t>
      </w:r>
      <w:r w:rsidR="00AD1241">
        <w:t>Essential Services Commission of South Australia</w:t>
      </w:r>
      <w:r w:rsidR="00AD1241" w:rsidRPr="00FA17F8">
        <w:t xml:space="preserve"> </w:t>
      </w:r>
      <w:r w:rsidRPr="00FA17F8">
        <w:t>and their</w:t>
      </w:r>
      <w:r w:rsidR="00FA17F8" w:rsidRPr="00FA17F8">
        <w:t xml:space="preserve"> interactions with the </w:t>
      </w:r>
      <w:r w:rsidR="008E7650">
        <w:t xml:space="preserve">transmission </w:t>
      </w:r>
      <w:r w:rsidR="00FA17F8" w:rsidRPr="00FA17F8">
        <w:t xml:space="preserve">business, and the resetting of standards every five years impose </w:t>
      </w:r>
      <w:r w:rsidR="006C717B">
        <w:t xml:space="preserve">some </w:t>
      </w:r>
      <w:r w:rsidR="00FA17F8" w:rsidRPr="00FA17F8">
        <w:t>costs. However, in between revenue determinations</w:t>
      </w:r>
      <w:r w:rsidR="00BF54E3">
        <w:t>,</w:t>
      </w:r>
      <w:r w:rsidR="00FA17F8" w:rsidRPr="00FA17F8">
        <w:t xml:space="preserve"> only AEMO’s advisory role seems to differentiate the South Australian framework from those in New South Wales, Queensland and Tasmania.</w:t>
      </w:r>
    </w:p>
    <w:p w:rsidR="006C717B" w:rsidRDefault="006C717B" w:rsidP="003F3C4E">
      <w:pPr>
        <w:pStyle w:val="Heading4"/>
      </w:pPr>
      <w:r>
        <w:t>NEM-wide effects</w:t>
      </w:r>
    </w:p>
    <w:p w:rsidR="006C717B" w:rsidRDefault="003B128F" w:rsidP="000D6151">
      <w:pPr>
        <w:pStyle w:val="BodyText"/>
      </w:pPr>
      <w:r>
        <w:t xml:space="preserve">AEMO’s involvement in South Australia through its advice to ElectraNet suggests a consideration of network effects and inter-regional solutions, at least with Victoria. </w:t>
      </w:r>
    </w:p>
    <w:p w:rsidR="006C717B" w:rsidRPr="00FA357D" w:rsidRDefault="00FA357D" w:rsidP="00FA357D">
      <w:pPr>
        <w:pStyle w:val="Heading4"/>
      </w:pPr>
      <w:r>
        <w:t>A</w:t>
      </w:r>
      <w:r w:rsidRPr="00FA357D">
        <w:t>uditing compliance to ensure reliability and efficiency in the long run</w:t>
      </w:r>
    </w:p>
    <w:p w:rsidR="003B128F" w:rsidRDefault="003B128F" w:rsidP="000D6151">
      <w:pPr>
        <w:pStyle w:val="BodyText"/>
      </w:pPr>
      <w:r>
        <w:t xml:space="preserve">The Commission is not aware of any independent auditing of </w:t>
      </w:r>
      <w:r w:rsidR="006C717B">
        <w:t xml:space="preserve">the </w:t>
      </w:r>
      <w:r w:rsidR="00C02824">
        <w:t xml:space="preserve">facilities and operation </w:t>
      </w:r>
      <w:r w:rsidR="006C717B">
        <w:t>of</w:t>
      </w:r>
      <w:r>
        <w:t xml:space="preserve"> ElectraNet’s network. </w:t>
      </w:r>
    </w:p>
    <w:p w:rsidR="007D28B8" w:rsidRDefault="00FA1E1C" w:rsidP="003F3C4E">
      <w:pPr>
        <w:pStyle w:val="Heading2"/>
      </w:pPr>
      <w:r>
        <w:t>F.</w:t>
      </w:r>
      <w:r w:rsidR="007A6CEE">
        <w:rPr>
          <w:noProof/>
        </w:rPr>
        <w:t>5</w:t>
      </w:r>
      <w:r w:rsidR="00E02E91">
        <w:tab/>
        <w:t xml:space="preserve">The </w:t>
      </w:r>
      <w:r w:rsidR="007D28B8">
        <w:t>AEMC hybrid model</w:t>
      </w:r>
    </w:p>
    <w:p w:rsidR="007D28B8" w:rsidRPr="00EA1327" w:rsidRDefault="00DB3A81" w:rsidP="007D28B8">
      <w:pPr>
        <w:pStyle w:val="BodyText"/>
      </w:pPr>
      <w:r w:rsidRPr="00D91BF3">
        <w:t xml:space="preserve">In considering a possible national </w:t>
      </w:r>
      <w:r w:rsidRPr="00BF54E3">
        <w:t xml:space="preserve">framework for transmission reliability, the AEMC has developed a preferred model. This </w:t>
      </w:r>
      <w:r w:rsidR="007D28B8" w:rsidRPr="00BF54E3">
        <w:t>is</w:t>
      </w:r>
      <w:r w:rsidR="00484181" w:rsidRPr="00BF54E3">
        <w:t xml:space="preserve"> mostly set out in the second interim report of the </w:t>
      </w:r>
      <w:r w:rsidR="007D28B8" w:rsidRPr="00BF54E3">
        <w:t>Transmission Frameworks Review (2012</w:t>
      </w:r>
      <w:r w:rsidR="003A0245">
        <w:t>j</w:t>
      </w:r>
      <w:r w:rsidR="007D28B8" w:rsidRPr="00BF54E3">
        <w:t>) and the Transmission Reliability Standards Review (2010</w:t>
      </w:r>
      <w:r w:rsidR="009A676D">
        <w:t>a</w:t>
      </w:r>
      <w:r w:rsidR="007D28B8" w:rsidRPr="00BF54E3">
        <w:t xml:space="preserve">), the latter of which was largely endorsed by the </w:t>
      </w:r>
      <w:r w:rsidR="00843BD2">
        <w:t>Ministerial Council on Electricity</w:t>
      </w:r>
      <w:r w:rsidR="007D28B8" w:rsidRPr="00BF54E3">
        <w:t xml:space="preserve"> (</w:t>
      </w:r>
      <w:r w:rsidR="00843BD2">
        <w:t>MCE </w:t>
      </w:r>
      <w:r w:rsidR="007D28B8" w:rsidRPr="00BF54E3">
        <w:t>2011). Through these reports and others</w:t>
      </w:r>
      <w:r w:rsidR="00C70217">
        <w:t xml:space="preserve"> (</w:t>
      </w:r>
      <w:r w:rsidR="007D28B8" w:rsidRPr="00BF54E3">
        <w:t>including the National</w:t>
      </w:r>
      <w:r w:rsidR="00B95E7E">
        <w:t>ly Consistent Framework for</w:t>
      </w:r>
      <w:r w:rsidR="007D28B8" w:rsidRPr="00BF54E3">
        <w:t xml:space="preserve"> Transmission </w:t>
      </w:r>
      <w:r w:rsidR="00B95E7E">
        <w:t>Reliability Standards Review</w:t>
      </w:r>
      <w:r w:rsidR="007D28B8" w:rsidRPr="00BF54E3">
        <w:t xml:space="preserve"> (</w:t>
      </w:r>
      <w:r w:rsidR="00B95E7E">
        <w:t xml:space="preserve">AEMC </w:t>
      </w:r>
      <w:r w:rsidR="007D28B8" w:rsidRPr="00BF54E3">
        <w:t>2008</w:t>
      </w:r>
      <w:r w:rsidR="009A676D">
        <w:t>a</w:t>
      </w:r>
      <w:r w:rsidR="007D28B8" w:rsidRPr="00BF54E3">
        <w:t>), the AEMC has mapped out a set of reforms to reliability and planning in transmission networks</w:t>
      </w:r>
      <w:r w:rsidR="007D28B8" w:rsidRPr="00D91BF3">
        <w:t>, that seeks to address many of the concerns that have been discussed above.</w:t>
      </w:r>
      <w:r w:rsidR="007D28B8">
        <w:t xml:space="preserve"> </w:t>
      </w:r>
    </w:p>
    <w:p w:rsidR="007D28B8" w:rsidRDefault="007D28B8" w:rsidP="007D28B8">
      <w:pPr>
        <w:pStyle w:val="BodyText"/>
      </w:pPr>
      <w:r>
        <w:t xml:space="preserve">For setting reliability standards in the NEM, the AEMC’s preferred model is </w:t>
      </w:r>
      <w:r w:rsidR="00221C8E">
        <w:t xml:space="preserve">largely </w:t>
      </w:r>
      <w:r>
        <w:t xml:space="preserve">based on the planning framework operating in South Australia, with several amendments to address some concerns (as discussed above). </w:t>
      </w:r>
    </w:p>
    <w:p w:rsidR="007D28B8" w:rsidRDefault="007D28B8" w:rsidP="007D28B8">
      <w:pPr>
        <w:pStyle w:val="BodyText"/>
      </w:pPr>
      <w:r>
        <w:t xml:space="preserve">Briefly, the main features of </w:t>
      </w:r>
      <w:r w:rsidR="00BD1430">
        <w:t>the</w:t>
      </w:r>
      <w:r>
        <w:t xml:space="preserve"> model </w:t>
      </w:r>
      <w:r w:rsidR="004D1E2F">
        <w:t>are set out below.</w:t>
      </w:r>
      <w:r>
        <w:t xml:space="preserve"> </w:t>
      </w:r>
    </w:p>
    <w:p w:rsidR="007D28B8" w:rsidRDefault="007D28B8" w:rsidP="007D28B8">
      <w:pPr>
        <w:pStyle w:val="ListBullet"/>
      </w:pPr>
      <w:r>
        <w:t xml:space="preserve">AEMO would develop a national template of deterministic standards to be applied to connection points (or ‘some other readily understandable basis’) in all </w:t>
      </w:r>
      <w:r>
        <w:lastRenderedPageBreak/>
        <w:t>transmission networks. This template is likely to be similar to the categories currently applied in South Australia.</w:t>
      </w:r>
    </w:p>
    <w:p w:rsidR="007D28B8" w:rsidRDefault="007D28B8" w:rsidP="007D28B8">
      <w:pPr>
        <w:pStyle w:val="ListBullet"/>
      </w:pPr>
      <w:r>
        <w:t>Each jurisdiction would appoint a body to set reliability standards for each connection point in the regional transmission network. The standards could correspond to the national template or could differ if the jurisdiction considered this to be more appropriate.</w:t>
      </w:r>
    </w:p>
    <w:p w:rsidR="007D28B8" w:rsidRDefault="007D28B8" w:rsidP="007D28B8">
      <w:pPr>
        <w:pStyle w:val="ListBullet"/>
      </w:pPr>
      <w:r>
        <w:t>The standards would be ‘economically-based’ and would take the ‘hybrid form’. While not specified in detail, the Commission understands that the process of applying a specific standard to each connection point would involve probabilistic analysis as currently done by AEMO in South Australia.</w:t>
      </w:r>
    </w:p>
    <w:p w:rsidR="007D28B8" w:rsidRDefault="00BF54E3" w:rsidP="007D28B8">
      <w:pPr>
        <w:pStyle w:val="ListBullet"/>
      </w:pPr>
      <w:r>
        <w:t>The MCE has stated</w:t>
      </w:r>
      <w:r w:rsidR="007D28B8">
        <w:t xml:space="preserve"> that ‘the body responsible for setting reliability standards would be independent of the body required to meet the agreed standards’ (2011).</w:t>
      </w:r>
    </w:p>
    <w:p w:rsidR="007D28B8" w:rsidRDefault="007D28B8" w:rsidP="007D28B8">
      <w:pPr>
        <w:pStyle w:val="ListBullet"/>
      </w:pPr>
      <w:r>
        <w:t xml:space="preserve">Every five years, the application of the standards in each network would be reassessed and connection points could have their standard changed to a higher or lower </w:t>
      </w:r>
      <w:r w:rsidRPr="00D91BF3">
        <w:t xml:space="preserve">level of reliability depending on the preferences of customers in that area. There would also be an option for a ‘flexible approach’ under which a </w:t>
      </w:r>
      <w:r w:rsidR="0066700D">
        <w:t xml:space="preserve">transmission </w:t>
      </w:r>
      <w:r w:rsidRPr="00D91BF3">
        <w:t xml:space="preserve">business could apply to bring forward or defer an investment if it could show there were economic benefits to doing so. </w:t>
      </w:r>
    </w:p>
    <w:p w:rsidR="007D28B8" w:rsidRPr="0066700D" w:rsidRDefault="007D28B8" w:rsidP="007D28B8">
      <w:pPr>
        <w:pStyle w:val="BodyText"/>
      </w:pPr>
      <w:r>
        <w:t xml:space="preserve">For transmission planning in the NEM more generally, the AEMC has also recommended several additional planning requirements intended to better integrate local and </w:t>
      </w:r>
      <w:r w:rsidRPr="0066700D">
        <w:t xml:space="preserve">national planning and to address concerns about an intra-regional bias of investment that might emerge from jurisdiction-specific deterministic criteria. According to these recommendations, AEMO’s role as the National Transmission Planner would be expanded to include: </w:t>
      </w:r>
    </w:p>
    <w:p w:rsidR="007D28B8" w:rsidRPr="0066700D" w:rsidRDefault="007D28B8" w:rsidP="007D28B8">
      <w:pPr>
        <w:pStyle w:val="ListBullet"/>
      </w:pPr>
      <w:r w:rsidRPr="0066700D">
        <w:t>identifying possible future inter-regional investments during the process of developing the National Transmission Network Development Plan</w:t>
      </w:r>
      <w:r w:rsidR="008F1781">
        <w:t xml:space="preserve"> (NTNDP)</w:t>
      </w:r>
    </w:p>
    <w:p w:rsidR="007D28B8" w:rsidRPr="0066700D" w:rsidRDefault="007D28B8" w:rsidP="007D28B8">
      <w:pPr>
        <w:pStyle w:val="ListBullet"/>
      </w:pPr>
      <w:r w:rsidRPr="0066700D">
        <w:t>reviewing draft annual planning reports and draft RIT-Ts of the transmission businesses, and highlighting where transmission businesses may be able to coordinate their inve</w:t>
      </w:r>
      <w:r w:rsidR="0066700D" w:rsidRPr="0066700D">
        <w:t>stment programs or identify and</w:t>
      </w:r>
      <w:r w:rsidRPr="0066700D">
        <w:t xml:space="preserve"> agree </w:t>
      </w:r>
      <w:r w:rsidR="0066700D" w:rsidRPr="0066700D">
        <w:t xml:space="preserve">on </w:t>
      </w:r>
      <w:r w:rsidRPr="0066700D">
        <w:t>options in other regions that may help to address a constraint or reliability risk</w:t>
      </w:r>
    </w:p>
    <w:p w:rsidR="007D28B8" w:rsidRPr="0066700D" w:rsidRDefault="007D28B8" w:rsidP="007D28B8">
      <w:pPr>
        <w:pStyle w:val="ListBullet"/>
      </w:pPr>
      <w:r w:rsidRPr="0066700D">
        <w:t>providing demand forecasts for each region for use as a starting point for the forecasts used in transmission planning. Transmission businesses would be required to explain an</w:t>
      </w:r>
      <w:r w:rsidR="0066700D" w:rsidRPr="0066700D">
        <w:t>y departure from these forecasts</w:t>
      </w:r>
      <w:r w:rsidR="00542AE4">
        <w:t xml:space="preserve"> to the AER</w:t>
      </w:r>
    </w:p>
    <w:p w:rsidR="007D28B8" w:rsidRPr="0066700D" w:rsidRDefault="007D28B8" w:rsidP="007D28B8">
      <w:pPr>
        <w:pStyle w:val="ListBullet"/>
      </w:pPr>
      <w:r w:rsidRPr="0066700D">
        <w:t>acting in an expert advisory role, including to the bodies responsible for setting hybrid reliability standards in each jurisdiction</w:t>
      </w:r>
    </w:p>
    <w:p w:rsidR="007D28B8" w:rsidRPr="0066700D" w:rsidRDefault="007D28B8" w:rsidP="007D28B8">
      <w:pPr>
        <w:pStyle w:val="ListBullet"/>
      </w:pPr>
      <w:r w:rsidRPr="0066700D">
        <w:t>administering (with AER oversight) a NEM-wide system of inter</w:t>
      </w:r>
      <w:r w:rsidRPr="0066700D">
        <w:noBreakHyphen/>
        <w:t xml:space="preserve">regional transmission pricing to achieve recovery on a beneficiary pays basis </w:t>
      </w:r>
      <w:r w:rsidR="00E32948">
        <w:t xml:space="preserve">(both users </w:t>
      </w:r>
      <w:r w:rsidR="00E32948">
        <w:lastRenderedPageBreak/>
        <w:t>within and outside the region in which the investment was located)</w:t>
      </w:r>
      <w:r w:rsidR="00E32948" w:rsidRPr="0066700D">
        <w:t xml:space="preserve"> </w:t>
      </w:r>
      <w:r w:rsidRPr="0066700D">
        <w:t>of the cost of inter-regional investments</w:t>
      </w:r>
    </w:p>
    <w:p w:rsidR="007D28B8" w:rsidRPr="00F05B8F" w:rsidRDefault="007D28B8" w:rsidP="007D28B8">
      <w:pPr>
        <w:pStyle w:val="ListBullet"/>
      </w:pPr>
      <w:r>
        <w:t>assuming the Last Resort Planning Power currently held by the AEMC.</w:t>
      </w:r>
      <w:r w:rsidR="00812AB6">
        <w:rPr>
          <w:rStyle w:val="FootnoteReference"/>
        </w:rPr>
        <w:footnoteReference w:id="20"/>
      </w:r>
      <w:r>
        <w:t xml:space="preserve"> </w:t>
      </w:r>
    </w:p>
    <w:p w:rsidR="007D28B8" w:rsidRPr="0066700D" w:rsidRDefault="007D28B8" w:rsidP="007D28B8">
      <w:pPr>
        <w:pStyle w:val="BodyText"/>
      </w:pPr>
      <w:r>
        <w:t>To support AEMO in this role and to further pursue inter-regional connections in the NEM</w:t>
      </w:r>
      <w:r w:rsidRPr="0066700D">
        <w:t>, transmission businesses under the AEMC’s recommended model would:</w:t>
      </w:r>
    </w:p>
    <w:p w:rsidR="007D28B8" w:rsidRPr="0066700D" w:rsidRDefault="007D28B8" w:rsidP="007D28B8">
      <w:pPr>
        <w:pStyle w:val="ListBullet"/>
      </w:pPr>
      <w:r w:rsidRPr="0066700D">
        <w:t>be required to consult with each other as they prepare their annual planning reports and RIT-Ts</w:t>
      </w:r>
      <w:r w:rsidR="00BD1430" w:rsidRPr="0066700D">
        <w:t xml:space="preserve">. They would need to </w:t>
      </w:r>
      <w:r w:rsidRPr="0066700D">
        <w:t>promote identification and implementation of network investment options that cross regional boundaries, and explain why they had chosen not to proceed with an inter-regional investment that had been identified by AEMO in its national planning processes</w:t>
      </w:r>
    </w:p>
    <w:p w:rsidR="007D28B8" w:rsidRDefault="007D28B8" w:rsidP="007D28B8">
      <w:pPr>
        <w:pStyle w:val="ListBullet"/>
      </w:pPr>
      <w:r>
        <w:t>have their regulatory control periods aligned</w:t>
      </w:r>
      <w:r w:rsidR="00BD1430">
        <w:t xml:space="preserve">. Among other benefits, this would </w:t>
      </w:r>
      <w:r>
        <w:t>allow the AER to allocate the required revenue for inter-regional investment options to the transmission businesses concerned</w:t>
      </w:r>
    </w:p>
    <w:p w:rsidR="007D28B8" w:rsidRDefault="007D28B8" w:rsidP="007D28B8">
      <w:pPr>
        <w:pStyle w:val="ListBullet"/>
      </w:pPr>
      <w:r>
        <w:t xml:space="preserve">formalise the process in which transmission businesses provide input to the </w:t>
      </w:r>
      <w:r w:rsidR="00542AE4">
        <w:t>national transmission planning process</w:t>
      </w:r>
      <w:r w:rsidR="009D1CEE">
        <w:t xml:space="preserve">. This would </w:t>
      </w:r>
      <w:r>
        <w:t>includ</w:t>
      </w:r>
      <w:r w:rsidR="009D1CEE">
        <w:t>e</w:t>
      </w:r>
      <w:r>
        <w:t xml:space="preserve"> a formal working group compris</w:t>
      </w:r>
      <w:r w:rsidR="009D1CEE">
        <w:t xml:space="preserve">ing </w:t>
      </w:r>
      <w:r>
        <w:t xml:space="preserve">representatives of the businesses and the </w:t>
      </w:r>
      <w:r w:rsidR="00542AE4">
        <w:t>national transmission planner</w:t>
      </w:r>
      <w:r>
        <w:t xml:space="preserve"> to coordinate local and national issues addressed in the </w:t>
      </w:r>
      <w:r w:rsidR="008F1781">
        <w:t>NTNDP</w:t>
      </w:r>
      <w:r>
        <w:t xml:space="preserve">. </w:t>
      </w:r>
    </w:p>
    <w:p w:rsidR="003F3C4E" w:rsidRDefault="003F3C4E" w:rsidP="003F3C4E">
      <w:pPr>
        <w:pStyle w:val="Heading3"/>
      </w:pPr>
      <w:r>
        <w:t xml:space="preserve">Assessment of efficiency </w:t>
      </w:r>
    </w:p>
    <w:p w:rsidR="007D28B8" w:rsidRPr="0066700D" w:rsidRDefault="007D28B8" w:rsidP="007D28B8">
      <w:pPr>
        <w:pStyle w:val="BodyText"/>
      </w:pPr>
      <w:r w:rsidRPr="0066700D">
        <w:t xml:space="preserve">The AEMC’s preferred model </w:t>
      </w:r>
      <w:r w:rsidR="003027CB">
        <w:t>builds on</w:t>
      </w:r>
      <w:r w:rsidRPr="0066700D">
        <w:t xml:space="preserve"> the South Australian model, and is significantly better than arrangements in place in Queensland, </w:t>
      </w:r>
      <w:r w:rsidR="00F0747F" w:rsidRPr="0066700D">
        <w:t>New South Wales</w:t>
      </w:r>
      <w:r w:rsidRPr="0066700D">
        <w:t xml:space="preserve"> and Tasmania.</w:t>
      </w:r>
    </w:p>
    <w:p w:rsidR="007D28B8" w:rsidRDefault="007D28B8" w:rsidP="003F3C4E">
      <w:pPr>
        <w:pStyle w:val="Heading4"/>
      </w:pPr>
      <w:r w:rsidRPr="0066700D">
        <w:t>Efficiency of investments</w:t>
      </w:r>
    </w:p>
    <w:p w:rsidR="007D28B8" w:rsidRPr="0066700D" w:rsidRDefault="008F1781" w:rsidP="007D28B8">
      <w:pPr>
        <w:pStyle w:val="BodyText"/>
      </w:pPr>
      <w:r>
        <w:t>There are a number of</w:t>
      </w:r>
      <w:r w:rsidR="007D28B8" w:rsidRPr="0066700D">
        <w:t xml:space="preserve"> positive</w:t>
      </w:r>
      <w:r>
        <w:t xml:space="preserve"> features of this framework. </w:t>
      </w:r>
    </w:p>
    <w:p w:rsidR="007D28B8" w:rsidRPr="0066700D" w:rsidRDefault="008F1781" w:rsidP="007D28B8">
      <w:pPr>
        <w:pStyle w:val="ListBullet"/>
      </w:pPr>
      <w:r>
        <w:t>T</w:t>
      </w:r>
      <w:r w:rsidR="007D28B8" w:rsidRPr="0066700D">
        <w:t xml:space="preserve">he model would provide increased oversight of the planning and investment decisions of the transmission businesses in New South Wales, Queensland and Tasmania </w:t>
      </w:r>
      <w:r w:rsidR="00BF54E3">
        <w:t xml:space="preserve">by formalising </w:t>
      </w:r>
      <w:r w:rsidR="007D28B8" w:rsidRPr="0066700D">
        <w:t>AEMO’s role of reviewing the annual planning reports and RIT</w:t>
      </w:r>
      <w:r w:rsidR="007D28B8" w:rsidRPr="0066700D">
        <w:noBreakHyphen/>
        <w:t>Ts of the businesses. However, c</w:t>
      </w:r>
      <w:r w:rsidR="0066700D" w:rsidRPr="0066700D">
        <w:t>oncerns remain about how influential</w:t>
      </w:r>
      <w:r w:rsidR="007D28B8" w:rsidRPr="0066700D">
        <w:t xml:space="preserve"> these ‘reviews’ would be and whether formalising oversight by AEMO would </w:t>
      </w:r>
      <w:r w:rsidR="007D28B8" w:rsidRPr="0066700D">
        <w:lastRenderedPageBreak/>
        <w:t xml:space="preserve">lead businesses to make more efficient decisions than they do </w:t>
      </w:r>
      <w:r w:rsidR="00821B4C">
        <w:t xml:space="preserve">at present </w:t>
      </w:r>
      <w:r w:rsidR="009D1CEE" w:rsidRPr="0066700D">
        <w:t>under</w:t>
      </w:r>
      <w:r w:rsidR="007D28B8" w:rsidRPr="0066700D">
        <w:t xml:space="preserve"> AEMO</w:t>
      </w:r>
      <w:r w:rsidR="009D1CEE" w:rsidRPr="0066700D">
        <w:t>’s</w:t>
      </w:r>
      <w:r w:rsidR="007D28B8" w:rsidRPr="0066700D">
        <w:t xml:space="preserve"> </w:t>
      </w:r>
      <w:r w:rsidR="009D1CEE" w:rsidRPr="0066700D">
        <w:t>current</w:t>
      </w:r>
      <w:r w:rsidR="00BF54E3">
        <w:t>,</w:t>
      </w:r>
      <w:r w:rsidR="007D28B8" w:rsidRPr="0066700D">
        <w:t xml:space="preserve"> less formal</w:t>
      </w:r>
      <w:r w:rsidR="00BF54E3">
        <w:t>,</w:t>
      </w:r>
      <w:r w:rsidR="007D28B8" w:rsidRPr="0066700D">
        <w:t xml:space="preserve"> oversight</w:t>
      </w:r>
      <w:r w:rsidR="009D1CEE" w:rsidRPr="0066700D">
        <w:t xml:space="preserve"> arrangements</w:t>
      </w:r>
      <w:r>
        <w:t>.</w:t>
      </w:r>
      <w:r w:rsidR="007D28B8" w:rsidRPr="0066700D">
        <w:rPr>
          <w:rStyle w:val="FootnoteReference"/>
        </w:rPr>
        <w:footnoteReference w:id="21"/>
      </w:r>
      <w:r w:rsidR="007D28B8" w:rsidRPr="0066700D">
        <w:t xml:space="preserve"> </w:t>
      </w:r>
    </w:p>
    <w:p w:rsidR="007D28B8" w:rsidRPr="0066700D" w:rsidRDefault="008F1781" w:rsidP="007D28B8">
      <w:pPr>
        <w:pStyle w:val="ListBullet"/>
      </w:pPr>
      <w:r>
        <w:t>U</w:t>
      </w:r>
      <w:r w:rsidR="007D28B8" w:rsidRPr="0066700D">
        <w:t xml:space="preserve">nder incentive regulation, the model motivates </w:t>
      </w:r>
      <w:r w:rsidR="0066700D" w:rsidRPr="0066700D">
        <w:t xml:space="preserve">a profit maximising </w:t>
      </w:r>
      <w:r w:rsidR="007D28B8" w:rsidRPr="0066700D">
        <w:t>business to identify and implement efficient options (within the constraints of the hybrid deterministic standards). The efficient timing of projects</w:t>
      </w:r>
      <w:r w:rsidR="003027CB">
        <w:t xml:space="preserve"> is unlikely given both the VCR a</w:t>
      </w:r>
      <w:r w:rsidR="00E32948">
        <w:t>n</w:t>
      </w:r>
      <w:r w:rsidR="003027CB">
        <w:t>d demand forecasts used in determining the standard</w:t>
      </w:r>
      <w:r w:rsidR="00E32948">
        <w:t>,</w:t>
      </w:r>
      <w:r w:rsidR="003027CB">
        <w:t xml:space="preserve"> and therefore the investment</w:t>
      </w:r>
      <w:r w:rsidR="00E32948">
        <w:t>,</w:t>
      </w:r>
      <w:r w:rsidR="003027CB">
        <w:t xml:space="preserve"> are not reviewed at the time the investment takes place to ensure it is still required</w:t>
      </w:r>
      <w:r>
        <w:t>.</w:t>
      </w:r>
    </w:p>
    <w:p w:rsidR="007D28B8" w:rsidRPr="0066700D" w:rsidRDefault="007D28B8" w:rsidP="007D28B8">
      <w:pPr>
        <w:pStyle w:val="ListBullet"/>
      </w:pPr>
      <w:r w:rsidRPr="0066700D">
        <w:t>AEMO’s input into the demand forecasts the businesses use for their planning might also reduce the likelihood that the AER approves excessive</w:t>
      </w:r>
      <w:r w:rsidR="0066700D" w:rsidRPr="0066700D">
        <w:t xml:space="preserve"> investments and hence</w:t>
      </w:r>
      <w:r w:rsidRPr="0066700D">
        <w:t xml:space="preserve"> revenue allowances</w:t>
      </w:r>
      <w:r w:rsidR="0066700D" w:rsidRPr="0066700D">
        <w:t>, based on inflated forecasts</w:t>
      </w:r>
      <w:r w:rsidRPr="0066700D">
        <w:t>. However, to be effective, this would probably require that the businesses release all the information they use to determine their connection point demand forecasts. In the absence of this, the AER might find it difficult to question the businesses’ evide</w:t>
      </w:r>
      <w:r w:rsidR="00BF54E3">
        <w:t>nce for departing from the AEMO-</w:t>
      </w:r>
      <w:r w:rsidRPr="0066700D">
        <w:t>issued regional level demand forecast</w:t>
      </w:r>
      <w:r w:rsidR="008F1781">
        <w:t>.</w:t>
      </w:r>
      <w:r w:rsidRPr="0066700D">
        <w:t xml:space="preserve"> </w:t>
      </w:r>
    </w:p>
    <w:p w:rsidR="007D28B8" w:rsidRPr="0066700D" w:rsidRDefault="008F1781" w:rsidP="007D28B8">
      <w:pPr>
        <w:pStyle w:val="ListBullet"/>
      </w:pPr>
      <w:r>
        <w:t>A</w:t>
      </w:r>
      <w:r w:rsidR="007D28B8" w:rsidRPr="0066700D">
        <w:t xml:space="preserve">ligning revenue determination </w:t>
      </w:r>
      <w:r w:rsidR="0066700D" w:rsidRPr="0066700D">
        <w:t>periods should help</w:t>
      </w:r>
      <w:r w:rsidR="007D28B8" w:rsidRPr="0066700D">
        <w:t xml:space="preserve"> increase the information the AER can use to assess the efficient level of </w:t>
      </w:r>
      <w:r w:rsidR="00F27429">
        <w:t xml:space="preserve">capital expenditure </w:t>
      </w:r>
      <w:r w:rsidR="007D28B8" w:rsidRPr="0066700D">
        <w:t xml:space="preserve">required to meet a given set of reliability standards. </w:t>
      </w:r>
    </w:p>
    <w:p w:rsidR="0066700D" w:rsidRPr="0066700D" w:rsidRDefault="003027CB" w:rsidP="0066700D">
      <w:pPr>
        <w:pStyle w:val="BodyText"/>
      </w:pPr>
      <w:r>
        <w:t>S</w:t>
      </w:r>
      <w:r w:rsidR="0066700D" w:rsidRPr="0066700D">
        <w:t xml:space="preserve">ome </w:t>
      </w:r>
      <w:r>
        <w:t xml:space="preserve">fundamental </w:t>
      </w:r>
      <w:r w:rsidR="0066700D" w:rsidRPr="0066700D">
        <w:t xml:space="preserve">deficiencies remain, including that hybrid standards (which would be expressed deterministically) create a bias towards network solutions and hence are likely to influence a more constrained consideration of alternative options. This could be exacerbated by the current bias in the incentive regulation away from opex and towards </w:t>
      </w:r>
      <w:r w:rsidR="00F27429">
        <w:t xml:space="preserve">capital expenditure </w:t>
      </w:r>
      <w:r w:rsidR="0066700D" w:rsidRPr="0066700D">
        <w:t>(chapter 5).</w:t>
      </w:r>
      <w:r w:rsidR="0066700D" w:rsidRPr="0066700D">
        <w:rPr>
          <w:rStyle w:val="FootnoteReference"/>
        </w:rPr>
        <w:footnoteReference w:id="22"/>
      </w:r>
    </w:p>
    <w:p w:rsidR="003F3C4E" w:rsidRDefault="003F3C4E" w:rsidP="003F3C4E">
      <w:pPr>
        <w:pStyle w:val="BodyText"/>
      </w:pPr>
      <w:r w:rsidRPr="0066700D">
        <w:t>Furthermore, the RIT-T process is not equivalent to a real options approach</w:t>
      </w:r>
      <w:r w:rsidR="005E7706">
        <w:t xml:space="preserve"> (such as that incorporated in AEMO’s probabilistic planning process)</w:t>
      </w:r>
      <w:r w:rsidRPr="0066700D">
        <w:t xml:space="preserve">. </w:t>
      </w:r>
      <w:r w:rsidR="00C469D7" w:rsidRPr="0066700D">
        <w:t>H</w:t>
      </w:r>
      <w:r w:rsidRPr="0066700D">
        <w:t>ybrid standards can, in theory, incorporate the</w:t>
      </w:r>
      <w:r w:rsidR="00484181">
        <w:t xml:space="preserve"> changing</w:t>
      </w:r>
      <w:r w:rsidRPr="0066700D">
        <w:t xml:space="preserve"> detail reflected in probabilistic planning</w:t>
      </w:r>
      <w:r w:rsidR="005E7706">
        <w:t xml:space="preserve"> </w:t>
      </w:r>
      <w:r w:rsidRPr="0066700D">
        <w:t>(Grid Austral</w:t>
      </w:r>
      <w:r w:rsidR="008313F6">
        <w:t>ia, sub. 44, p. 6</w:t>
      </w:r>
      <w:r w:rsidRPr="0066700D">
        <w:t>)</w:t>
      </w:r>
      <w:r w:rsidR="00C469D7" w:rsidRPr="0066700D">
        <w:t xml:space="preserve">. However, the AEMC’s </w:t>
      </w:r>
      <w:r w:rsidR="0066700D" w:rsidRPr="0066700D">
        <w:t xml:space="preserve">proposed </w:t>
      </w:r>
      <w:r w:rsidRPr="0066700D">
        <w:t xml:space="preserve">hybrid approach </w:t>
      </w:r>
      <w:r w:rsidR="00C469D7" w:rsidRPr="0066700D">
        <w:t xml:space="preserve">cannot achieve this </w:t>
      </w:r>
      <w:r w:rsidRPr="0066700D">
        <w:t>because connection points would only be classified into one of a limited number of pre-determined categories in five yearly intervals.</w:t>
      </w:r>
      <w:r w:rsidRPr="0066700D">
        <w:rPr>
          <w:rStyle w:val="FootnoteReference"/>
        </w:rPr>
        <w:footnoteReference w:id="23"/>
      </w:r>
      <w:r>
        <w:t xml:space="preserve"> </w:t>
      </w:r>
    </w:p>
    <w:p w:rsidR="003F3C4E" w:rsidRPr="00267F11" w:rsidRDefault="003F3C4E" w:rsidP="00267F11">
      <w:pPr>
        <w:pStyle w:val="Heading4"/>
      </w:pPr>
      <w:r w:rsidRPr="00267F11">
        <w:lastRenderedPageBreak/>
        <w:t>Efficiency of standards</w:t>
      </w:r>
    </w:p>
    <w:p w:rsidR="007D28B8" w:rsidRPr="00267F11" w:rsidRDefault="007D28B8" w:rsidP="00267F11">
      <w:pPr>
        <w:pStyle w:val="BodyText"/>
      </w:pPr>
      <w:r w:rsidRPr="00267F11">
        <w:t xml:space="preserve">The efficiency of the standards in this model and the process of their identification are an improvement on the current approach in New South Wales, Queensland and Tasmania. This is because the standards are based on a </w:t>
      </w:r>
      <w:r w:rsidR="008A214D">
        <w:t>cost–benefit</w:t>
      </w:r>
      <w:r w:rsidRPr="00267F11">
        <w:t xml:space="preserve"> analysis, determined by an independent party, and informed by ‘an expert’. </w:t>
      </w:r>
    </w:p>
    <w:p w:rsidR="007D28B8" w:rsidRPr="00267F11" w:rsidRDefault="007D28B8" w:rsidP="00267F11">
      <w:pPr>
        <w:pStyle w:val="BodyText"/>
      </w:pPr>
      <w:r w:rsidRPr="00267F11">
        <w:t xml:space="preserve">For South Australia, the </w:t>
      </w:r>
      <w:r w:rsidR="00C469D7" w:rsidRPr="00267F11">
        <w:t>capacity</w:t>
      </w:r>
      <w:r w:rsidRPr="00267F11">
        <w:t xml:space="preserve"> </w:t>
      </w:r>
      <w:r w:rsidR="00C469D7" w:rsidRPr="00267F11">
        <w:t>to move</w:t>
      </w:r>
      <w:r w:rsidRPr="00267F11">
        <w:t xml:space="preserve"> </w:t>
      </w:r>
      <w:r w:rsidR="00C469D7" w:rsidRPr="00267F11">
        <w:t>standards applying to a connection point up or down would be</w:t>
      </w:r>
      <w:r w:rsidRPr="00267F11">
        <w:t xml:space="preserve"> an improvement. For Victoria, a move away from a contemporary probabilistic assessment of each significant investment to pre-set deterministic standards </w:t>
      </w:r>
      <w:r w:rsidR="00C469D7" w:rsidRPr="00267F11">
        <w:t>would be</w:t>
      </w:r>
      <w:r w:rsidRPr="00267F11">
        <w:t xml:space="preserve"> a </w:t>
      </w:r>
      <w:r w:rsidR="003027CB">
        <w:t xml:space="preserve">retrograde </w:t>
      </w:r>
      <w:r w:rsidRPr="00267F11">
        <w:t xml:space="preserve">step and </w:t>
      </w:r>
      <w:r w:rsidR="00C469D7" w:rsidRPr="00267F11">
        <w:t>would</w:t>
      </w:r>
      <w:r w:rsidRPr="00267F11">
        <w:t xml:space="preserve"> likely increa</w:t>
      </w:r>
      <w:r w:rsidR="00F97A19">
        <w:t>se costs for customers in that S</w:t>
      </w:r>
      <w:r w:rsidRPr="00267F11">
        <w:t xml:space="preserve">tate. </w:t>
      </w:r>
    </w:p>
    <w:p w:rsidR="007D28B8" w:rsidRPr="00267F11" w:rsidRDefault="007D28B8" w:rsidP="00267F11">
      <w:pPr>
        <w:pStyle w:val="BodyText"/>
      </w:pPr>
      <w:r w:rsidRPr="00267F11">
        <w:t>None of the other concerns discussed with respect to the standards in South Aust</w:t>
      </w:r>
      <w:r w:rsidR="0066700D" w:rsidRPr="00267F11">
        <w:t>ralia</w:t>
      </w:r>
      <w:r w:rsidR="00821B4C">
        <w:t>’s existing</w:t>
      </w:r>
      <w:r w:rsidR="0066700D" w:rsidRPr="00267F11">
        <w:t xml:space="preserve"> </w:t>
      </w:r>
      <w:r w:rsidR="00821B4C">
        <w:t xml:space="preserve">framework </w:t>
      </w:r>
      <w:r w:rsidR="003027CB">
        <w:t>is</w:t>
      </w:r>
      <w:r w:rsidR="003027CB" w:rsidRPr="00267F11">
        <w:t xml:space="preserve"> </w:t>
      </w:r>
      <w:r w:rsidR="0066700D" w:rsidRPr="00267F11">
        <w:t>addressed by</w:t>
      </w:r>
      <w:r w:rsidRPr="00267F11">
        <w:t xml:space="preserve"> this model</w:t>
      </w:r>
      <w:r w:rsidR="0066700D" w:rsidRPr="00267F11">
        <w:t xml:space="preserve"> </w:t>
      </w:r>
      <w:r w:rsidRPr="00267F11">
        <w:t>(including the lumpy nature of reliability categories</w:t>
      </w:r>
      <w:r w:rsidR="00F97A19">
        <w:t>, the</w:t>
      </w:r>
      <w:r w:rsidRPr="00267F11">
        <w:t xml:space="preserve"> lack of independent analysis of options an</w:t>
      </w:r>
      <w:r w:rsidR="00F97A19">
        <w:t xml:space="preserve">d costs while setting standards, </w:t>
      </w:r>
      <w:r w:rsidR="00C469D7" w:rsidRPr="00267F11">
        <w:t xml:space="preserve">the </w:t>
      </w:r>
      <w:r w:rsidRPr="00267F11">
        <w:t>inappropriate VCR used</w:t>
      </w:r>
      <w:r w:rsidR="00F97A19">
        <w:t xml:space="preserve">, the absence of a </w:t>
      </w:r>
      <w:r w:rsidRPr="00267F11">
        <w:t>requirement to accept AEMO’s recommendation for connection point reliability categorisation</w:t>
      </w:r>
      <w:r w:rsidR="00F97A19">
        <w:t>,</w:t>
      </w:r>
      <w:r w:rsidRPr="00267F11">
        <w:t xml:space="preserve"> and the potentially long gap between when standards are set and when the investments to meet them are made). Further, the implementation of a national template of categories of standards could possibly exacerbate the costs that result from ‘lumpy’ categories. Allowing jurisdictions to depart from this national template undermines the benefits from consistency across the NEM. </w:t>
      </w:r>
    </w:p>
    <w:p w:rsidR="007D28B8" w:rsidRPr="00267F11" w:rsidRDefault="00FA357D" w:rsidP="00267F11">
      <w:pPr>
        <w:pStyle w:val="Heading4"/>
      </w:pPr>
      <w:r w:rsidRPr="00267F11">
        <w:t>Minimising a</w:t>
      </w:r>
      <w:r w:rsidR="003F3C4E" w:rsidRPr="00267F11">
        <w:t>dministrative and compliance burden</w:t>
      </w:r>
      <w:r w:rsidRPr="00267F11">
        <w:t>s</w:t>
      </w:r>
    </w:p>
    <w:p w:rsidR="007D28B8" w:rsidRPr="00267F11" w:rsidRDefault="007D28B8" w:rsidP="00267F11">
      <w:pPr>
        <w:pStyle w:val="BodyText"/>
      </w:pPr>
      <w:r w:rsidRPr="00267F11">
        <w:t>It is difficult to assess the administrative and compliance burden</w:t>
      </w:r>
      <w:r w:rsidR="00C469D7" w:rsidRPr="00267F11">
        <w:t>s</w:t>
      </w:r>
      <w:r w:rsidRPr="00267F11">
        <w:t xml:space="preserve"> of this model without knowing exactly how the model would be rolled out across the NEM. Allowing jurisdictions to depart from the national template and set their own standards implies that separate bodies might exist in each jurisdiction to carry out probabilistically based </w:t>
      </w:r>
      <w:r w:rsidR="008A214D">
        <w:t>cost–benefit</w:t>
      </w:r>
      <w:r w:rsidRPr="00267F11">
        <w:t xml:space="preserve"> analysis to identify efficient levels of reliability. </w:t>
      </w:r>
      <w:r w:rsidR="003519FA">
        <w:t>The resulting analysis may not be transparent and also risks setting inefficient reliability standards as jurisdiction are allowed to depart from the national template</w:t>
      </w:r>
      <w:r w:rsidR="00EE604E" w:rsidRPr="00267F11">
        <w:t>.</w:t>
      </w:r>
      <w:r w:rsidR="0066700D" w:rsidRPr="00267F11">
        <w:t xml:space="preserve"> </w:t>
      </w:r>
    </w:p>
    <w:p w:rsidR="007D28B8" w:rsidRPr="00267F11" w:rsidRDefault="007D28B8" w:rsidP="00267F11">
      <w:pPr>
        <w:pStyle w:val="BodyText"/>
      </w:pPr>
      <w:r w:rsidRPr="00267F11">
        <w:t xml:space="preserve">The compliance costs under this model for businesses in New South Wales, Queensland and Tasmania are likely to increase due to the changes required of the businesses and the ensuing transaction costs. </w:t>
      </w:r>
    </w:p>
    <w:p w:rsidR="00267F11" w:rsidRPr="00267F11" w:rsidRDefault="00267F11" w:rsidP="00267F11">
      <w:pPr>
        <w:pStyle w:val="Heading4"/>
      </w:pPr>
      <w:r w:rsidRPr="00267F11">
        <w:t>Minimising windfall gains</w:t>
      </w:r>
    </w:p>
    <w:p w:rsidR="00267F11" w:rsidRPr="00267F11" w:rsidRDefault="00267F11" w:rsidP="00267F11">
      <w:pPr>
        <w:pStyle w:val="BodyText"/>
      </w:pPr>
      <w:r w:rsidRPr="00267F11">
        <w:t xml:space="preserve">The proposed model does not address concerns with potential windfalls gains (or losses) to TNSPs. </w:t>
      </w:r>
    </w:p>
    <w:p w:rsidR="007D28B8" w:rsidRPr="00267F11" w:rsidRDefault="00FB0664" w:rsidP="00267F11">
      <w:pPr>
        <w:pStyle w:val="Heading4"/>
      </w:pPr>
      <w:r w:rsidRPr="00267F11">
        <w:lastRenderedPageBreak/>
        <w:t>NEM-wide effects</w:t>
      </w:r>
    </w:p>
    <w:p w:rsidR="007D28B8" w:rsidRPr="00267F11" w:rsidRDefault="007D28B8" w:rsidP="00267F11">
      <w:pPr>
        <w:pStyle w:val="BodyText"/>
      </w:pPr>
      <w:r w:rsidRPr="00267F11">
        <w:t>The recent recommendatio</w:t>
      </w:r>
      <w:r w:rsidR="008313F6" w:rsidRPr="00267F11">
        <w:t>ns made by the AEMC (2012</w:t>
      </w:r>
      <w:r w:rsidR="009A676D" w:rsidRPr="00267F11">
        <w:t>j</w:t>
      </w:r>
      <w:r w:rsidRPr="00267F11">
        <w:t>) are intended to develop a framework for transmission planning that takes account of NEM-wide effects. The introduction of a beneficiary pays system wo</w:t>
      </w:r>
      <w:r w:rsidR="007E631A">
        <w:t>uld remove an obstacle to inter</w:t>
      </w:r>
      <w:r w:rsidR="007E631A">
        <w:noBreakHyphen/>
      </w:r>
      <w:r w:rsidRPr="00267F11">
        <w:t>regional investments that currently exists and would be a positive step towards a more NEM-wide focus for transmission planning. However:</w:t>
      </w:r>
    </w:p>
    <w:p w:rsidR="007D28B8" w:rsidRPr="00267F11" w:rsidRDefault="007D28B8" w:rsidP="00267F11">
      <w:pPr>
        <w:pStyle w:val="ListBullet"/>
      </w:pPr>
      <w:r w:rsidRPr="00267F11">
        <w:t xml:space="preserve">it appears that the majority of the recommendations in this model for consultation, cooperation and independent scrutiny mostly formalise processes that already </w:t>
      </w:r>
      <w:r w:rsidR="0066700D" w:rsidRPr="00267F11">
        <w:t>exist and no process has been identified to evaluate the effe</w:t>
      </w:r>
      <w:r w:rsidR="00821B4C">
        <w:t>ctiveness of this formalisation</w:t>
      </w:r>
    </w:p>
    <w:p w:rsidR="007D28B8" w:rsidRPr="00267F11" w:rsidRDefault="007D28B8" w:rsidP="00267F11">
      <w:pPr>
        <w:pStyle w:val="ListBullet"/>
      </w:pPr>
      <w:r w:rsidRPr="00267F11">
        <w:t>the jurisdi</w:t>
      </w:r>
      <w:r w:rsidR="00BF54E3" w:rsidRPr="00267F11">
        <w:t>ction-</w:t>
      </w:r>
      <w:r w:rsidRPr="00267F11">
        <w:t>based deterministically</w:t>
      </w:r>
      <w:r w:rsidR="00F97A19">
        <w:t>-</w:t>
      </w:r>
      <w:r w:rsidRPr="00267F11">
        <w:t xml:space="preserve">expressed reliability standards are likely to maintain the current intra-regional bias for investments. It is not clear that the increased cooperation between AEMO and the transmission businesses (as proposed by the AEMC) would </w:t>
      </w:r>
      <w:r w:rsidR="0066700D" w:rsidRPr="00267F11">
        <w:t xml:space="preserve">completely </w:t>
      </w:r>
      <w:r w:rsidR="00821B4C">
        <w:t>solve this</w:t>
      </w:r>
      <w:r w:rsidRPr="00267F11">
        <w:t xml:space="preserve"> </w:t>
      </w:r>
    </w:p>
    <w:p w:rsidR="00E306C2" w:rsidRPr="00267F11" w:rsidRDefault="007D28B8" w:rsidP="00267F11">
      <w:pPr>
        <w:pStyle w:val="ListBullet"/>
      </w:pPr>
      <w:r w:rsidRPr="00267F11">
        <w:t xml:space="preserve">the model makes little progress on appointing a body to </w:t>
      </w:r>
      <w:r w:rsidR="0066700D" w:rsidRPr="00267F11">
        <w:t xml:space="preserve">comprehensively manage reliability in </w:t>
      </w:r>
      <w:r w:rsidRPr="00267F11">
        <w:t>the national grid. Maintaining jurisdiction</w:t>
      </w:r>
      <w:r w:rsidR="00BF54E3" w:rsidRPr="00267F11">
        <w:t>-</w:t>
      </w:r>
      <w:r w:rsidRPr="00267F11">
        <w:t xml:space="preserve">based reliability standards and decisions on augmentations undermines this goal. </w:t>
      </w:r>
    </w:p>
    <w:p w:rsidR="00961771" w:rsidRDefault="00F97A19" w:rsidP="00961771">
      <w:pPr>
        <w:pStyle w:val="BodyText"/>
      </w:pPr>
      <w:r>
        <w:t>The Commission’s draft r</w:t>
      </w:r>
      <w:r w:rsidR="00FD54E1">
        <w:t>eport describe</w:t>
      </w:r>
      <w:r w:rsidR="00C6686E">
        <w:t>d</w:t>
      </w:r>
      <w:r w:rsidR="00FD54E1">
        <w:t xml:space="preserve"> several adaptations to the AEMC’s preferred model to address some of the concerns described above, in case the model was adopted throughout the NEM.</w:t>
      </w:r>
    </w:p>
    <w:p w:rsidR="00961771" w:rsidRDefault="00961771" w:rsidP="00961771">
      <w:pPr>
        <w:pStyle w:val="ListBullet"/>
      </w:pPr>
      <w:r>
        <w:t xml:space="preserve">AEMO would develop the national reliability template based on hybrid standards in consultation with all jurisdictions and the transmission businesses, and revisit it periodically. All jurisdictions would have to use the national template. AEMO should set the standards applied to connection points in all jurisdictions and in doing so, use the VCRs estimated by the ABS as recommended in chapter 14. </w:t>
      </w:r>
    </w:p>
    <w:p w:rsidR="00961771" w:rsidRDefault="00961771" w:rsidP="00961771">
      <w:pPr>
        <w:pStyle w:val="ListBullet"/>
      </w:pPr>
      <w:r>
        <w:t>AEMO would expand its advisory role to all transmission businesses, including for draft revenue proposals, as is currently done in South Australia</w:t>
      </w:r>
      <w:r w:rsidR="00821B4C">
        <w:t>.</w:t>
      </w:r>
    </w:p>
    <w:p w:rsidR="00961771" w:rsidRDefault="00961771" w:rsidP="00961771">
      <w:pPr>
        <w:pStyle w:val="ListBullet"/>
      </w:pPr>
      <w:r>
        <w:t>Transmission businesses would be able to ignore AEMO</w:t>
      </w:r>
      <w:r w:rsidR="00821B4C">
        <w:t>’</w:t>
      </w:r>
      <w:r>
        <w:t>s advice and make their investment decisions autonomously. However, they would still need to undertake a RIT-T. Most critically, in making revenue determinations, the AER would accept AEMO’s advised transmission investments as the default, requiring the transmission business to show why its alternatives were more efficient. This would reverse the onus of proof for reliability-driven investment categories under the Rules.</w:t>
      </w:r>
    </w:p>
    <w:p w:rsidR="00961771" w:rsidRDefault="00961771" w:rsidP="00961771">
      <w:pPr>
        <w:pStyle w:val="ListBullet"/>
      </w:pPr>
      <w:r>
        <w:t xml:space="preserve">The functions of the last resort planning power would be changed to include a power to instruct transmission businesses to invest if AEMO feared </w:t>
      </w:r>
      <w:r>
        <w:lastRenderedPageBreak/>
        <w:t>underinvestment could expose the network to serious reliability problems. The AER would arbitrate on any final disputes. AEMO would also carry out auditing of transmission networks, including auditing critical equipment, to ensure transmission businesses were augmenting and maintaining their networks appropriately for the purposes of reliability.</w:t>
      </w:r>
    </w:p>
    <w:p w:rsidR="00961771" w:rsidRDefault="00961771" w:rsidP="00961771">
      <w:pPr>
        <w:pStyle w:val="ListBullet"/>
      </w:pPr>
      <w:r>
        <w:t xml:space="preserve">The (superior) existing planning framework in Victoria would be preserved (if that were the preference of the Victorian Government), with the adapted hybrid model only applying to other jurisdictions. Other jurisdictions would be free to adopt the AEMO planner model. </w:t>
      </w:r>
    </w:p>
    <w:p w:rsidR="00961771" w:rsidRDefault="00961771" w:rsidP="00961771">
      <w:pPr>
        <w:pStyle w:val="BodyText"/>
      </w:pPr>
      <w:r>
        <w:t xml:space="preserve">In </w:t>
      </w:r>
      <w:r w:rsidRPr="004B3BBF">
        <w:t>both</w:t>
      </w:r>
      <w:r w:rsidR="00FD54E1">
        <w:t xml:space="preserve"> models r</w:t>
      </w:r>
      <w:r w:rsidR="003D3B9B">
        <w:t>ecommended in the Commission’s draft r</w:t>
      </w:r>
      <w:r w:rsidR="00FD54E1">
        <w:t>eport</w:t>
      </w:r>
      <w:r w:rsidRPr="004B3BBF">
        <w:t xml:space="preserve">, AEMO </w:t>
      </w:r>
      <w:r>
        <w:t xml:space="preserve">would set </w:t>
      </w:r>
      <w:r w:rsidRPr="004B3BBF">
        <w:t>transmission reliability standards</w:t>
      </w:r>
      <w:r>
        <w:t xml:space="preserve">. Both models also currently exclude contestability in the procurement of investments and therefore might limit innovation and reduce opportunities for lower costs. </w:t>
      </w:r>
    </w:p>
    <w:p w:rsidR="00961771" w:rsidRDefault="00961771" w:rsidP="00FD54E1">
      <w:pPr>
        <w:pStyle w:val="BodyText"/>
      </w:pPr>
      <w:r w:rsidRPr="004A6DD9">
        <w:t xml:space="preserve">The main drawbacks of the Commission’s modified AEMC </w:t>
      </w:r>
      <w:r>
        <w:t xml:space="preserve">hybrid model </w:t>
      </w:r>
      <w:r w:rsidRPr="004A6DD9">
        <w:t xml:space="preserve">would be that the levels of reliability delivered are less likely to be efficient and the </w:t>
      </w:r>
      <w:r>
        <w:t>risks of</w:t>
      </w:r>
      <w:r w:rsidRPr="004A6DD9">
        <w:t xml:space="preserve"> NEM-wide effects would not be fully accounted for. </w:t>
      </w:r>
      <w:r>
        <w:t>Jurisdiction-</w:t>
      </w:r>
      <w:r w:rsidRPr="004A6DD9">
        <w:t>based planning would perpetuate concerns about the intra-regional bias of investments. Moreover, under this alternative, the type, timing</w:t>
      </w:r>
      <w:r>
        <w:t xml:space="preserve"> and cost of investments are</w:t>
      </w:r>
      <w:r w:rsidRPr="004A6DD9">
        <w:t xml:space="preserve"> less likely to be efficient. These drawbacks would tend to increase network costs </w:t>
      </w:r>
      <w:r>
        <w:t xml:space="preserve">relative to </w:t>
      </w:r>
      <w:r w:rsidRPr="004A6DD9">
        <w:t>the Commission’s preferred model</w:t>
      </w:r>
      <w:r>
        <w:t>.</w:t>
      </w:r>
    </w:p>
    <w:p w:rsidR="00E306C2" w:rsidRDefault="00FA1E1C" w:rsidP="003A5C3B">
      <w:pPr>
        <w:pStyle w:val="Heading2"/>
      </w:pPr>
      <w:r>
        <w:t>F.</w:t>
      </w:r>
      <w:r w:rsidR="007A6CEE">
        <w:rPr>
          <w:noProof/>
        </w:rPr>
        <w:t>6</w:t>
      </w:r>
      <w:r w:rsidR="003A5C3B">
        <w:tab/>
      </w:r>
      <w:r w:rsidR="00E306C2" w:rsidRPr="003A5C3B">
        <w:t>Grid Australia’s preferred model</w:t>
      </w:r>
    </w:p>
    <w:p w:rsidR="00C444ED" w:rsidRDefault="00C444ED" w:rsidP="00C444ED">
      <w:pPr>
        <w:pStyle w:val="BodyText"/>
      </w:pPr>
      <w:r>
        <w:t xml:space="preserve">Grid Australia </w:t>
      </w:r>
      <w:r w:rsidR="003D3B9B">
        <w:t>has</w:t>
      </w:r>
      <w:r>
        <w:t xml:space="preserve"> proposed an ‘enhanced AEMC model’ (sub. DR</w:t>
      </w:r>
      <w:r w:rsidR="00C6686E">
        <w:t>91</w:t>
      </w:r>
      <w:r>
        <w:t xml:space="preserve">). In this model, Grid Australia </w:t>
      </w:r>
      <w:r w:rsidR="003D3B9B">
        <w:t>has</w:t>
      </w:r>
      <w:r>
        <w:t xml:space="preserve"> sought to address some of the concerns with the AEMC’s preferred model, as raised in the Commission’s </w:t>
      </w:r>
      <w:r w:rsidR="006979FE">
        <w:t>d</w:t>
      </w:r>
      <w:r>
        <w:t xml:space="preserve">raft </w:t>
      </w:r>
      <w:r w:rsidR="006979FE">
        <w:t>r</w:t>
      </w:r>
      <w:r>
        <w:t xml:space="preserve">eport. </w:t>
      </w:r>
    </w:p>
    <w:p w:rsidR="00C444ED" w:rsidRDefault="00C444ED" w:rsidP="00C444ED">
      <w:pPr>
        <w:pStyle w:val="BodyText"/>
      </w:pPr>
      <w:r>
        <w:t xml:space="preserve">The model includes two major additions to the AEMC’s </w:t>
      </w:r>
      <w:r w:rsidR="00FD54E1">
        <w:t xml:space="preserve">preferred </w:t>
      </w:r>
      <w:r>
        <w:t>model:</w:t>
      </w:r>
    </w:p>
    <w:p w:rsidR="00C444ED" w:rsidRDefault="00C444ED" w:rsidP="00C444ED">
      <w:pPr>
        <w:pStyle w:val="ListBullet"/>
      </w:pPr>
      <w:r>
        <w:t>if certain trigger criteria are met, a full probabilistic cost benefit te</w:t>
      </w:r>
      <w:r w:rsidR="00FD54E1">
        <w:t>st of proposed investments would be</w:t>
      </w:r>
      <w:r>
        <w:t xml:space="preserve"> conducted as part of the RIT-T process</w:t>
      </w:r>
    </w:p>
    <w:p w:rsidR="00C444ED" w:rsidRDefault="00C444ED" w:rsidP="00C444ED">
      <w:pPr>
        <w:pStyle w:val="ListBullet"/>
      </w:pPr>
      <w:r>
        <w:t xml:space="preserve">windfall gains and losses from significant differences between forecast </w:t>
      </w:r>
      <w:r w:rsidR="00FD54E1">
        <w:t>demand and realised demand would</w:t>
      </w:r>
      <w:r>
        <w:t xml:space="preserve"> be recovered from the transmission business at the end of each regulatory period.</w:t>
      </w:r>
    </w:p>
    <w:p w:rsidR="00C444ED" w:rsidRDefault="002F2FF1" w:rsidP="002F2FF1">
      <w:pPr>
        <w:pStyle w:val="Heading3"/>
      </w:pPr>
      <w:r>
        <w:lastRenderedPageBreak/>
        <w:t>Assessment of efficiency</w:t>
      </w:r>
    </w:p>
    <w:p w:rsidR="002F2FF1" w:rsidRDefault="002F2FF1" w:rsidP="002F2FF1">
      <w:pPr>
        <w:pStyle w:val="BodyText"/>
      </w:pPr>
      <w:r>
        <w:t xml:space="preserve">Grid Australia’s preferred model </w:t>
      </w:r>
      <w:r w:rsidR="008D110D">
        <w:t xml:space="preserve">directly incorporates many aspects of </w:t>
      </w:r>
      <w:r>
        <w:t xml:space="preserve">the </w:t>
      </w:r>
      <w:r w:rsidR="007E0D5B">
        <w:t xml:space="preserve">AEMC’s model. The assessment below targets only the likely impacts of the enhancements described above. </w:t>
      </w:r>
    </w:p>
    <w:p w:rsidR="002F2FF1" w:rsidRDefault="002F2FF1" w:rsidP="002F2FF1">
      <w:pPr>
        <w:pStyle w:val="Heading4"/>
      </w:pPr>
      <w:r w:rsidRPr="0066700D">
        <w:t>Efficiency of investments</w:t>
      </w:r>
    </w:p>
    <w:p w:rsidR="007E0D5B" w:rsidRDefault="007E0D5B" w:rsidP="002F2FF1">
      <w:pPr>
        <w:pStyle w:val="BodyText"/>
      </w:pPr>
      <w:r>
        <w:t>The enhance</w:t>
      </w:r>
      <w:r w:rsidR="002B371B">
        <w:t xml:space="preserve">ment of a full probabilistic </w:t>
      </w:r>
      <w:r w:rsidR="008A214D">
        <w:t>cost–benefit</w:t>
      </w:r>
      <w:r>
        <w:t xml:space="preserve"> analysis </w:t>
      </w:r>
      <w:r w:rsidR="002B371B">
        <w:t xml:space="preserve">of investments that meet the trigger criteria, effectively formalises the ‘flexible approach’ in the AEMC’s preferred model. </w:t>
      </w:r>
      <w:r w:rsidR="004D703A">
        <w:t xml:space="preserve">This means that for some investments, the specifications of the project and its timing can be tested and modified to ensure that the investment only proceeds if there are net benefits. </w:t>
      </w:r>
    </w:p>
    <w:p w:rsidR="004D703A" w:rsidRDefault="004D703A" w:rsidP="002F2FF1">
      <w:pPr>
        <w:pStyle w:val="BodyText"/>
      </w:pPr>
      <w:r>
        <w:t>This approach removes some of the potential for inefficiencies to arise from deterministic standards that are set up to seven years in advance of the beginning of a RIT-T. Effectively, a real options approach</w:t>
      </w:r>
      <w:r w:rsidR="009369BC">
        <w:t>,</w:t>
      </w:r>
      <w:r>
        <w:t xml:space="preserve"> like that taken in the AEMO planner model, is applied for investments that meet the trigger criteria. </w:t>
      </w:r>
    </w:p>
    <w:p w:rsidR="004D703A" w:rsidRDefault="004D703A" w:rsidP="002F2FF1">
      <w:pPr>
        <w:pStyle w:val="BodyText"/>
      </w:pPr>
      <w:r>
        <w:t>The benefit of this enhancement</w:t>
      </w:r>
      <w:r w:rsidR="005A7C63">
        <w:t>, however,</w:t>
      </w:r>
      <w:r>
        <w:t xml:space="preserve"> depends on </w:t>
      </w:r>
      <w:r w:rsidR="00C875A7">
        <w:t xml:space="preserve">two </w:t>
      </w:r>
      <w:r w:rsidR="005A7C63">
        <w:t>factors:</w:t>
      </w:r>
    </w:p>
    <w:p w:rsidR="005A7C63" w:rsidRDefault="00C875A7" w:rsidP="005A7C63">
      <w:pPr>
        <w:pStyle w:val="ListBullet"/>
      </w:pPr>
      <w:r>
        <w:t>T</w:t>
      </w:r>
      <w:r w:rsidR="002B44AD">
        <w:t xml:space="preserve">he number of </w:t>
      </w:r>
      <w:r w:rsidR="005A7C63">
        <w:t>investments</w:t>
      </w:r>
      <w:r w:rsidR="00FB5ED1">
        <w:t>,</w:t>
      </w:r>
      <w:r w:rsidR="005A7C63">
        <w:t xml:space="preserve"> and </w:t>
      </w:r>
      <w:r w:rsidR="002B44AD">
        <w:t xml:space="preserve">the </w:t>
      </w:r>
      <w:r w:rsidR="005A7C63">
        <w:t xml:space="preserve">proportion of total </w:t>
      </w:r>
      <w:r w:rsidR="00F27429">
        <w:t>capital expenditure</w:t>
      </w:r>
      <w:r w:rsidR="00FB5ED1">
        <w:t>,</w:t>
      </w:r>
      <w:r w:rsidR="005A7C63">
        <w:t xml:space="preserve"> </w:t>
      </w:r>
      <w:r w:rsidR="00BC49FF">
        <w:t xml:space="preserve">that </w:t>
      </w:r>
      <w:r w:rsidR="005A7C63">
        <w:t xml:space="preserve">are subject to the </w:t>
      </w:r>
      <w:r w:rsidR="00FB5ED1">
        <w:t>full probabilistic assessment. This would be a function of the trigger criteria. If only a small number or value of investments are subject to the extra analysis (and therefore the real options approach), the benefit of this enhancement is likely to be small</w:t>
      </w:r>
      <w:r>
        <w:t>.</w:t>
      </w:r>
    </w:p>
    <w:p w:rsidR="00FB5ED1" w:rsidRDefault="00C875A7" w:rsidP="00C875A7">
      <w:pPr>
        <w:pStyle w:val="ListBullet"/>
      </w:pPr>
      <w:r>
        <w:t>T</w:t>
      </w:r>
      <w:r w:rsidR="00FB5ED1">
        <w:t>he quality, transparency and consistency of the probabilistic assessment. Probabilistic assessments can be complex and are dependent on the quality of data, inputs and assumptions that are u</w:t>
      </w:r>
      <w:r w:rsidR="007231CC">
        <w:t xml:space="preserve">sed in the process. </w:t>
      </w:r>
      <w:r w:rsidR="008F1DF2">
        <w:t xml:space="preserve">The enhancement would be most effective if the same models used in the standard setting process were used for the RIT-T assessments, and the updated data and inputs were supplied by the same organisations. </w:t>
      </w:r>
    </w:p>
    <w:p w:rsidR="007231CC" w:rsidRPr="003A5C3B" w:rsidRDefault="007231CC" w:rsidP="003A5C3B">
      <w:pPr>
        <w:pStyle w:val="Heading4"/>
      </w:pPr>
      <w:r w:rsidRPr="003A5C3B">
        <w:t>Efficiency of standards</w:t>
      </w:r>
    </w:p>
    <w:p w:rsidR="007231CC" w:rsidRPr="003A5C3B" w:rsidRDefault="007231CC" w:rsidP="003A5C3B">
      <w:pPr>
        <w:pStyle w:val="BodyText"/>
      </w:pPr>
      <w:r w:rsidRPr="003A5C3B">
        <w:t xml:space="preserve">Grid Australia’s proposed enhancements to the AEMC’s preferred model do not </w:t>
      </w:r>
      <w:r w:rsidR="00C53E19" w:rsidRPr="003A5C3B">
        <w:t>explicitly</w:t>
      </w:r>
      <w:r w:rsidRPr="003A5C3B">
        <w:t xml:space="preserve"> target the concerns raised </w:t>
      </w:r>
      <w:r w:rsidR="00C53E19" w:rsidRPr="003A5C3B">
        <w:t>about</w:t>
      </w:r>
      <w:r w:rsidRPr="003A5C3B">
        <w:t xml:space="preserve"> hybrid standards (and the process used to set them) in South Australia</w:t>
      </w:r>
      <w:r w:rsidR="008D110D">
        <w:t>. In particular</w:t>
      </w:r>
      <w:r w:rsidR="00821B4C">
        <w:t>, these concerns relate to:</w:t>
      </w:r>
      <w:r w:rsidRPr="003A5C3B">
        <w:t xml:space="preserve"> the lumpy nature of reliability categories; lack of independent analysis of options and costs while setting standards; the inappropriate VCR used; </w:t>
      </w:r>
      <w:r w:rsidR="00C875A7">
        <w:t>the absence of a</w:t>
      </w:r>
      <w:r w:rsidR="00C875A7" w:rsidRPr="003A5C3B">
        <w:t xml:space="preserve"> </w:t>
      </w:r>
      <w:r w:rsidRPr="003A5C3B">
        <w:t xml:space="preserve">requirement to accept AEMO’s recommendation for connection point reliability categorisation; and </w:t>
      </w:r>
      <w:r w:rsidRPr="003A5C3B">
        <w:lastRenderedPageBreak/>
        <w:t>the potentially long gap between when standards are set and when the in</w:t>
      </w:r>
      <w:r w:rsidR="008D110D">
        <w:t>vestments to meet them are made</w:t>
      </w:r>
      <w:r w:rsidRPr="003A5C3B">
        <w:t>.</w:t>
      </w:r>
    </w:p>
    <w:p w:rsidR="007231CC" w:rsidRPr="003A5C3B" w:rsidRDefault="007231CC" w:rsidP="003A5C3B">
      <w:pPr>
        <w:pStyle w:val="BodyText"/>
      </w:pPr>
      <w:r w:rsidRPr="003A5C3B">
        <w:t xml:space="preserve">However, the enhancement of a full probabilistic analysis of some investments within the context of a RIT-T could help mitigate the potential costs of the lack of independent analysis of options and costs while setting standards (since RIT-Ts include public consultation), and the gap between setting standards and undertaking RIT-Ts of investments to meet them. </w:t>
      </w:r>
    </w:p>
    <w:p w:rsidR="007231CC" w:rsidRPr="003A5C3B" w:rsidRDefault="007231CC" w:rsidP="003A5C3B">
      <w:pPr>
        <w:pStyle w:val="Heading4"/>
      </w:pPr>
      <w:r w:rsidRPr="003A5C3B">
        <w:t>Minimising administrative and compliance burdens</w:t>
      </w:r>
    </w:p>
    <w:p w:rsidR="008F1DF2" w:rsidRPr="003A5C3B" w:rsidRDefault="00986F60" w:rsidP="003A5C3B">
      <w:pPr>
        <w:pStyle w:val="BodyText"/>
      </w:pPr>
      <w:r w:rsidRPr="003A5C3B">
        <w:t xml:space="preserve">Grid Australia’s preferred model would have greater </w:t>
      </w:r>
      <w:r w:rsidR="008F1DF2" w:rsidRPr="003A5C3B">
        <w:t>administrative and compliance burdens than the AEMC</w:t>
      </w:r>
      <w:r w:rsidR="00C53E19" w:rsidRPr="003A5C3B">
        <w:t>’s</w:t>
      </w:r>
      <w:r w:rsidR="008F1DF2" w:rsidRPr="003A5C3B">
        <w:t xml:space="preserve"> preferred model:</w:t>
      </w:r>
    </w:p>
    <w:p w:rsidR="008F1DF2" w:rsidRPr="003A5C3B" w:rsidRDefault="008F1DF2" w:rsidP="003A5C3B">
      <w:pPr>
        <w:pStyle w:val="ListBullet"/>
      </w:pPr>
      <w:r w:rsidRPr="003A5C3B">
        <w:t>performance against the trigger criteria would need to be frequently monitored to check whether upcoming RIT-Ts needed to be expanded into full probabilistic assessments</w:t>
      </w:r>
    </w:p>
    <w:p w:rsidR="008F1DF2" w:rsidRPr="003A5C3B" w:rsidRDefault="00C53E19" w:rsidP="003A5C3B">
      <w:pPr>
        <w:pStyle w:val="ListBullet"/>
      </w:pPr>
      <w:r w:rsidRPr="003A5C3B">
        <w:t>when the trigger criteria were</w:t>
      </w:r>
      <w:r w:rsidR="008F1DF2" w:rsidRPr="003A5C3B">
        <w:t xml:space="preserve"> met, transmission businesses would be required to undertake more extensive, and therefore more expensive, RIT-Ts</w:t>
      </w:r>
    </w:p>
    <w:p w:rsidR="008F1DF2" w:rsidRPr="003A5C3B" w:rsidRDefault="008F1DF2" w:rsidP="003A5C3B">
      <w:pPr>
        <w:pStyle w:val="ListBullet"/>
      </w:pPr>
      <w:r w:rsidRPr="003A5C3B">
        <w:t>independent parties would be required to commit more resources to checking and monitoring the probabilistic assessments undertaken by the businesses</w:t>
      </w:r>
    </w:p>
    <w:p w:rsidR="008F1DF2" w:rsidRPr="003A5C3B" w:rsidRDefault="008F1DF2" w:rsidP="003A5C3B">
      <w:pPr>
        <w:pStyle w:val="ListBullet"/>
      </w:pPr>
      <w:r w:rsidRPr="003A5C3B">
        <w:t xml:space="preserve">the AER would be engaged in more extensive </w:t>
      </w:r>
      <w:r w:rsidR="00821B4C">
        <w:t>ex-</w:t>
      </w:r>
      <w:r w:rsidRPr="003A5C3B">
        <w:t>post analysis</w:t>
      </w:r>
      <w:r w:rsidR="00C53E19" w:rsidRPr="003A5C3B">
        <w:t xml:space="preserve"> of revenue determinations</w:t>
      </w:r>
      <w:r w:rsidRPr="003A5C3B">
        <w:t xml:space="preserve"> to claw back excess revenue. </w:t>
      </w:r>
    </w:p>
    <w:p w:rsidR="003A5C3B" w:rsidRPr="003A5C3B" w:rsidRDefault="003A5C3B" w:rsidP="003A5C3B">
      <w:pPr>
        <w:pStyle w:val="Heading4"/>
      </w:pPr>
      <w:r w:rsidRPr="003A5C3B">
        <w:t>Minimising windfall gains</w:t>
      </w:r>
    </w:p>
    <w:p w:rsidR="008D110D" w:rsidRPr="003A5C3B" w:rsidRDefault="008D110D" w:rsidP="008D110D">
      <w:pPr>
        <w:pStyle w:val="BodyText"/>
      </w:pPr>
      <w:r w:rsidRPr="003A5C3B">
        <w:t>Grid Australia consider</w:t>
      </w:r>
      <w:r w:rsidR="00C875A7">
        <w:t>ed</w:t>
      </w:r>
      <w:r w:rsidRPr="003A5C3B">
        <w:t xml:space="preserve"> that having profit motivated businesses making investment decisions is likely to improve the efficiency of a hybrid model as compared </w:t>
      </w:r>
      <w:r w:rsidR="00696826">
        <w:t xml:space="preserve">with </w:t>
      </w:r>
      <w:r w:rsidRPr="003A5C3B">
        <w:t>the AEMO planner model (sub. DR</w:t>
      </w:r>
      <w:r>
        <w:t>91</w:t>
      </w:r>
      <w:r w:rsidRPr="003A5C3B">
        <w:t>). The incentives created by ex-ante revenue determination would encourage transmission businesses to identify the least cost option to meet network constraints (and meet the deterministic standards). However, as</w:t>
      </w:r>
      <w:r w:rsidR="00C875A7">
        <w:t xml:space="preserve"> discussed in the Commission’s draft r</w:t>
      </w:r>
      <w:r w:rsidRPr="003A5C3B">
        <w:t xml:space="preserve">eport, there is a danger of transmission businesses collecting excessive rents in this framework when revenue is approved for expenditure required to meet forecast demand increases that do not eventuate. </w:t>
      </w:r>
    </w:p>
    <w:p w:rsidR="003A5C3B" w:rsidRPr="003A5C3B" w:rsidRDefault="003A5C3B" w:rsidP="003A5C3B">
      <w:pPr>
        <w:pStyle w:val="BodyText"/>
      </w:pPr>
      <w:r w:rsidRPr="003A5C3B">
        <w:t xml:space="preserve">The second proposed enhancement </w:t>
      </w:r>
      <w:r w:rsidR="008D110D">
        <w:t>by</w:t>
      </w:r>
      <w:r w:rsidRPr="003A5C3B">
        <w:t xml:space="preserve"> Grid Australia</w:t>
      </w:r>
      <w:r w:rsidR="008D110D">
        <w:t xml:space="preserve"> would help to address this concern. Under the proposal</w:t>
      </w:r>
      <w:r w:rsidRPr="003A5C3B">
        <w:t xml:space="preserve"> the AER </w:t>
      </w:r>
      <w:r w:rsidR="008D110D">
        <w:t xml:space="preserve">would be able </w:t>
      </w:r>
      <w:r w:rsidRPr="003A5C3B">
        <w:t xml:space="preserve">to claw back revenue allocated for investments that were deferred (due to lower realised demand than that forecast). Grid Australia describes how transmission businesses would retain the efficiency gains they had realised, but give back the revenue not spent because of lower than </w:t>
      </w:r>
      <w:r w:rsidRPr="003A5C3B">
        <w:lastRenderedPageBreak/>
        <w:t>predicted demand growth (sub</w:t>
      </w:r>
      <w:r w:rsidR="0036216E">
        <w:t>.</w:t>
      </w:r>
      <w:r>
        <w:t> </w:t>
      </w:r>
      <w:r w:rsidRPr="003A5C3B">
        <w:t>DR</w:t>
      </w:r>
      <w:r>
        <w:t>91</w:t>
      </w:r>
      <w:r w:rsidR="0036216E">
        <w:t>; sub. DR101; chapter 16</w:t>
      </w:r>
      <w:r w:rsidRPr="003A5C3B">
        <w:t xml:space="preserve">). It is likely that this enhancement would reduce excessive rents from inaccurate demand forecasts, and therefore act as a transfer from transmission businesses back to customers. </w:t>
      </w:r>
    </w:p>
    <w:p w:rsidR="007231CC" w:rsidRPr="003A5C3B" w:rsidRDefault="007231CC" w:rsidP="003A5C3B">
      <w:pPr>
        <w:pStyle w:val="Heading4"/>
      </w:pPr>
      <w:r w:rsidRPr="003A5C3B">
        <w:t>NEM-wide effects</w:t>
      </w:r>
    </w:p>
    <w:p w:rsidR="00E306C2" w:rsidRPr="003A5C3B" w:rsidRDefault="008F1DF2" w:rsidP="003A5C3B">
      <w:pPr>
        <w:pStyle w:val="BodyText"/>
      </w:pPr>
      <w:r w:rsidRPr="003A5C3B">
        <w:t>Grid Australia considers that th</w:t>
      </w:r>
      <w:r w:rsidR="008D110D">
        <w:t>e AEMC’s preferred model would ‘… </w:t>
      </w:r>
      <w:r w:rsidRPr="003A5C3B">
        <w:t>facilitate the proper consideration of releva</w:t>
      </w:r>
      <w:r w:rsidR="008D110D">
        <w:t>nt NEM-wide matters in planning’ (sub. DR91, p. 30)</w:t>
      </w:r>
      <w:r w:rsidRPr="003A5C3B">
        <w:t xml:space="preserve"> and therefore does not offer any further enhancements to the model under this criteri</w:t>
      </w:r>
      <w:r w:rsidR="00F81A0B">
        <w:t>on</w:t>
      </w:r>
      <w:r w:rsidRPr="003A5C3B">
        <w:t xml:space="preserve">. </w:t>
      </w:r>
    </w:p>
    <w:p w:rsidR="005175F5" w:rsidRDefault="00FA1E1C" w:rsidP="005175F5">
      <w:pPr>
        <w:pStyle w:val="Heading2"/>
      </w:pPr>
      <w:r>
        <w:t>F.</w:t>
      </w:r>
      <w:r w:rsidR="007A6CEE">
        <w:rPr>
          <w:noProof/>
        </w:rPr>
        <w:t>7</w:t>
      </w:r>
      <w:r w:rsidR="005175F5">
        <w:tab/>
        <w:t>Current national planning frameworks</w:t>
      </w:r>
    </w:p>
    <w:p w:rsidR="000A17B8" w:rsidRDefault="005175F5" w:rsidP="000A17B8">
      <w:pPr>
        <w:pStyle w:val="BodyText"/>
        <w:tabs>
          <w:tab w:val="left" w:pos="3390"/>
        </w:tabs>
      </w:pPr>
      <w:r>
        <w:t>Transmission planning is a forward-looking process that identifies the investments required to: address (emerging) constraints; meet reliability standards; and provide net market benefits. As discussed in chapter</w:t>
      </w:r>
      <w:r w:rsidR="001F0F5C">
        <w:t> </w:t>
      </w:r>
      <w:r>
        <w:t>18, constraints within a region in the NEM can have a significant inter-regional effect.</w:t>
      </w:r>
      <w:r w:rsidR="000A17B8">
        <w:t xml:space="preserve"> </w:t>
      </w:r>
      <w:r>
        <w:t>It follows that planning of intra</w:t>
      </w:r>
      <w:r w:rsidR="007E631A">
        <w:noBreakHyphen/>
      </w:r>
      <w:r>
        <w:t xml:space="preserve">regional transmission can be just as important to the overall level of interconnection as the planning of interconnectors themselves. </w:t>
      </w:r>
      <w:r w:rsidR="000A17B8">
        <w:t>Indeed, as put by AEMO:</w:t>
      </w:r>
    </w:p>
    <w:p w:rsidR="000A17B8" w:rsidRDefault="000A17B8" w:rsidP="006837FE">
      <w:pPr>
        <w:pStyle w:val="Quote"/>
      </w:pPr>
      <w:r>
        <w:t>… </w:t>
      </w:r>
      <w:r w:rsidRPr="003027CB">
        <w:t xml:space="preserve">an </w:t>
      </w:r>
      <w:r w:rsidR="00987941">
        <w:t>‘</w:t>
      </w:r>
      <w:r w:rsidRPr="003027CB">
        <w:t>interconnector</w:t>
      </w:r>
      <w:r w:rsidR="00987941">
        <w:t>’</w:t>
      </w:r>
      <w:r w:rsidRPr="003027CB">
        <w:t xml:space="preserve"> is not a physical wire crossing a state border. In fact, it is simply a mathematical representation, within the dispatch engine, of the capacity of the entire network to transfer energy from one Regional Reference Node (RRN) to a</w:t>
      </w:r>
      <w:r>
        <w:t xml:space="preserve">nother, </w:t>
      </w:r>
      <w:r w:rsidRPr="000A17B8">
        <w:t>subject to the constraints of that network and the generator dispatch pattern at the time.</w:t>
      </w:r>
      <w:r>
        <w:t xml:space="preserve"> …</w:t>
      </w:r>
    </w:p>
    <w:p w:rsidR="000A17B8" w:rsidRDefault="000A17B8" w:rsidP="006837FE">
      <w:pPr>
        <w:pStyle w:val="Quote"/>
      </w:pPr>
      <w:r w:rsidRPr="000A17B8">
        <w:t xml:space="preserve">NEM commentary suffers a widespread misconception that interconnectors in fact are discrete assets joining two transmission network service companies, distinct from the meshed networks within each transmission company. This misconception can lead to a belief that national planning need be directed to these </w:t>
      </w:r>
      <w:r w:rsidR="00987941">
        <w:t>‘</w:t>
      </w:r>
      <w:r w:rsidRPr="000A17B8">
        <w:t>interconnector assets</w:t>
      </w:r>
      <w:r w:rsidR="00987941">
        <w:t>’</w:t>
      </w:r>
      <w:r w:rsidRPr="000A17B8">
        <w:t xml:space="preserve"> alone, allowing local experts to work within their own territories with only marginal interaction with a national plan. However, as the Productivity Commission has shown, the limits to flow between regions have little to do with assets located near the border, nor even in the main pathways between load centres.</w:t>
      </w:r>
      <w:r>
        <w:t xml:space="preserve"> (sub. DR100, p. 10)</w:t>
      </w:r>
    </w:p>
    <w:p w:rsidR="005175F5" w:rsidRDefault="005175F5" w:rsidP="005175F5">
      <w:pPr>
        <w:pStyle w:val="BodyText"/>
        <w:tabs>
          <w:tab w:val="left" w:pos="3390"/>
        </w:tabs>
      </w:pPr>
      <w:r>
        <w:t>Further, given the presence of ‘network effects’ (chapter</w:t>
      </w:r>
      <w:r w:rsidR="001F0F5C">
        <w:t> </w:t>
      </w:r>
      <w:r>
        <w:t xml:space="preserve">16) between regions, at least some level of coordination is required to ensure that the NEM is planned efficiently. </w:t>
      </w:r>
    </w:p>
    <w:p w:rsidR="005175F5" w:rsidRDefault="006837FE" w:rsidP="005175F5">
      <w:pPr>
        <w:pStyle w:val="BodyText"/>
        <w:tabs>
          <w:tab w:val="left" w:pos="3390"/>
        </w:tabs>
      </w:pPr>
      <w:r>
        <w:t>The operation of e</w:t>
      </w:r>
      <w:r w:rsidR="005175F5">
        <w:t xml:space="preserve">lectricity markets </w:t>
      </w:r>
      <w:r>
        <w:t>were</w:t>
      </w:r>
      <w:r w:rsidR="005175F5">
        <w:t xml:space="preserve"> a state responsibility and</w:t>
      </w:r>
      <w:r>
        <w:t>,</w:t>
      </w:r>
      <w:r w:rsidR="005175F5">
        <w:t xml:space="preserve"> hence</w:t>
      </w:r>
      <w:r>
        <w:t>,</w:t>
      </w:r>
      <w:r w:rsidR="005175F5">
        <w:t xml:space="preserve"> transmission planning and reliability standards have developed on a jurisdictional </w:t>
      </w:r>
      <w:r w:rsidR="005175F5">
        <w:lastRenderedPageBreak/>
        <w:t xml:space="preserve">basis as evidenced by the different reliability frameworks described above. A degree of coordination has been progressively introduced. </w:t>
      </w:r>
    </w:p>
    <w:p w:rsidR="005175F5" w:rsidRDefault="005175F5" w:rsidP="005175F5">
      <w:pPr>
        <w:pStyle w:val="Heading3"/>
      </w:pPr>
      <w:r>
        <w:t>Current transmission planning</w:t>
      </w:r>
    </w:p>
    <w:p w:rsidR="005175F5" w:rsidRDefault="005175F5" w:rsidP="005175F5">
      <w:pPr>
        <w:pStyle w:val="Heading4"/>
      </w:pPr>
      <w:r>
        <w:t>Jurisdictional transmission planning</w:t>
      </w:r>
    </w:p>
    <w:p w:rsidR="005175F5" w:rsidRPr="00BB4686" w:rsidRDefault="005175F5" w:rsidP="005175F5">
      <w:pPr>
        <w:pStyle w:val="BodyText"/>
      </w:pPr>
      <w:r>
        <w:t xml:space="preserve">The planning on transmission networks in each region of the NEM is undertaken by the local transmission network business, with the exception of Victoria, where AEMO performs this role instead of the TNSP. </w:t>
      </w:r>
    </w:p>
    <w:p w:rsidR="005175F5" w:rsidRDefault="005175F5" w:rsidP="005175F5">
      <w:pPr>
        <w:pStyle w:val="BodyText"/>
      </w:pPr>
      <w:r>
        <w:t>The planners are required to publish Annual Planning Reports (APRs)</w:t>
      </w:r>
      <w:r w:rsidR="00EF4BC7">
        <w:t>. APRs</w:t>
      </w:r>
      <w:r>
        <w:t xml:space="preserve"> contain detailed analysis of the planned transmission network over a five year horizon. </w:t>
      </w:r>
    </w:p>
    <w:p w:rsidR="005175F5" w:rsidRDefault="005175F5" w:rsidP="005175F5">
      <w:pPr>
        <w:pStyle w:val="BodyText"/>
      </w:pPr>
      <w:r>
        <w:t>The APRs are not developed in isolation and are required to take into account the NTNDP, prepared annually by AEMO. Specifically, the National Electricity Rules</w:t>
      </w:r>
      <w:r>
        <w:rPr>
          <w:rStyle w:val="FootnoteReference"/>
        </w:rPr>
        <w:footnoteReference w:id="24"/>
      </w:r>
      <w:r>
        <w:t xml:space="preserve"> stipulate that APRs must ‘set out’:</w:t>
      </w:r>
    </w:p>
    <w:p w:rsidR="005175F5" w:rsidRDefault="005175F5" w:rsidP="005175F5">
      <w:pPr>
        <w:pStyle w:val="Quote"/>
      </w:pPr>
      <w:r>
        <w:t xml:space="preserve">... the manner in which the proposed </w:t>
      </w:r>
      <w:r w:rsidRPr="00913CC5">
        <w:rPr>
          <w:iCs/>
        </w:rPr>
        <w:t xml:space="preserve">augmentations </w:t>
      </w:r>
      <w:r w:rsidRPr="00913CC5">
        <w:t xml:space="preserve">relate to the most recent </w:t>
      </w:r>
      <w:r w:rsidRPr="00913CC5">
        <w:rPr>
          <w:iCs/>
        </w:rPr>
        <w:t xml:space="preserve">NTNDP </w:t>
      </w:r>
      <w:r w:rsidRPr="00913CC5">
        <w:t xml:space="preserve">and the development strategies for current or potential </w:t>
      </w:r>
      <w:r w:rsidRPr="00913CC5">
        <w:rPr>
          <w:iCs/>
        </w:rPr>
        <w:t xml:space="preserve">national transmission flow paths </w:t>
      </w:r>
      <w:r w:rsidRPr="00913CC5">
        <w:t xml:space="preserve">that are specified in that </w:t>
      </w:r>
      <w:r w:rsidRPr="00913CC5">
        <w:rPr>
          <w:iCs/>
        </w:rPr>
        <w:t>NTNDP</w:t>
      </w:r>
      <w:r w:rsidRPr="00913CC5">
        <w:t>.</w:t>
      </w:r>
    </w:p>
    <w:p w:rsidR="005175F5" w:rsidRDefault="005175F5" w:rsidP="005175F5">
      <w:pPr>
        <w:pStyle w:val="BodyText"/>
      </w:pPr>
      <w:r>
        <w:t xml:space="preserve">Strictly, this only requires that the TNSPs publicly describe the extent of any deviation from the NTNDP, bringing (a degree of) transparency to the interaction between jurisdictional and NEM-wide planning. </w:t>
      </w:r>
    </w:p>
    <w:p w:rsidR="005175F5" w:rsidRDefault="005175F5" w:rsidP="005175F5">
      <w:pPr>
        <w:pStyle w:val="BodyText"/>
      </w:pPr>
      <w:r>
        <w:t>In preparing the plans, each TNSP is required to conduct an annual planning review with distribution companies connected to their network. This review must ‘take into account’ the NTNDP (failure to do so incurs a financial penalty).</w:t>
      </w:r>
      <w:r>
        <w:rPr>
          <w:rStyle w:val="FootnoteReference"/>
        </w:rPr>
        <w:footnoteReference w:id="25"/>
      </w:r>
      <w:r>
        <w:t xml:space="preserve"> Importantly, while TNSPs are obliged to consider the NTNDP, the final decision for planning matters rests with each </w:t>
      </w:r>
      <w:r w:rsidR="006837FE">
        <w:t>TNSP</w:t>
      </w:r>
      <w:r>
        <w:t>.</w:t>
      </w:r>
      <w:r>
        <w:rPr>
          <w:rStyle w:val="FootnoteReference"/>
        </w:rPr>
        <w:footnoteReference w:id="26"/>
      </w:r>
      <w:r>
        <w:t xml:space="preserve"> </w:t>
      </w:r>
    </w:p>
    <w:p w:rsidR="005175F5" w:rsidRDefault="005175F5" w:rsidP="005175F5">
      <w:pPr>
        <w:pStyle w:val="Heading4"/>
      </w:pPr>
      <w:r>
        <w:lastRenderedPageBreak/>
        <w:t>National transmission planning</w:t>
      </w:r>
    </w:p>
    <w:p w:rsidR="005175F5" w:rsidRDefault="005175F5" w:rsidP="005175F5">
      <w:pPr>
        <w:pStyle w:val="BodyText"/>
      </w:pPr>
      <w:r>
        <w:t>As noted, in its role as the National Transmission Planner, AEMO annually publishes the NTNDP (AEMO 2011d). In contrast to the detailed, local planning, of the APRs, the NTNDP is intended to provide a ‘strategic’ and national outlook, over a 20</w:t>
      </w:r>
      <w:r w:rsidR="009E2455">
        <w:t> </w:t>
      </w:r>
      <w:r>
        <w:t xml:space="preserve">year horizon. </w:t>
      </w:r>
    </w:p>
    <w:p w:rsidR="005175F5" w:rsidRDefault="005175F5" w:rsidP="005175F5">
      <w:pPr>
        <w:pStyle w:val="BodyText"/>
      </w:pPr>
      <w:r>
        <w:t>Mirroring the requirements on TNSPs, in preparing the NTNDP, AEMO must ‘have regard to’, among others things, the most recent APRs, as well as the revenue determinations for the TNSPs.</w:t>
      </w:r>
      <w:r>
        <w:rPr>
          <w:rStyle w:val="FootnoteReference"/>
        </w:rPr>
        <w:footnoteReference w:id="27"/>
      </w:r>
      <w:r>
        <w:t xml:space="preserve"> This repeated cross-referencing of the APRs and the NTNDP is intended to provide a transparent ‘feedback loop’ which should, in theory, iterate towards alignment between the levels of planning. </w:t>
      </w:r>
    </w:p>
    <w:p w:rsidR="005175F5" w:rsidRDefault="005175F5" w:rsidP="005175F5">
      <w:pPr>
        <w:pStyle w:val="BodyText"/>
      </w:pPr>
      <w:r>
        <w:t>However, the NTNDP is not determinative. AEMO cannot direct a TNSP (except in Victoria) to undertake a given investment detailed in the plan. Instead, its role i</w:t>
      </w:r>
      <w:r w:rsidR="007E631A">
        <w:t xml:space="preserve">s to bring an alternative (long </w:t>
      </w:r>
      <w:r>
        <w:t xml:space="preserve">term) focus and inform the market about potential development options, at best influencing investment outcomes (outside Victoria). </w:t>
      </w:r>
    </w:p>
    <w:p w:rsidR="005175F5" w:rsidRDefault="005175F5" w:rsidP="005175F5">
      <w:pPr>
        <w:pStyle w:val="BodyText"/>
      </w:pPr>
      <w:r>
        <w:t>These arrangements are new. The first interim national statement (a precursor to the NTNDP) was published by AEMO at the end of 2009, and the first comprehensive NTNDP was published at the end of 2010. Consequently, the APRs published in mid</w:t>
      </w:r>
      <w:r>
        <w:noBreakHyphen/>
        <w:t xml:space="preserve">2011 were the first to set out the degree of difference or alignment with the NTNDP. </w:t>
      </w:r>
    </w:p>
    <w:p w:rsidR="005175F5" w:rsidRDefault="009E2455" w:rsidP="005175F5">
      <w:pPr>
        <w:pStyle w:val="BodyText"/>
      </w:pPr>
      <w:r>
        <w:t>As the AEMC noted in its first interim r</w:t>
      </w:r>
      <w:r w:rsidR="005175F5">
        <w:t>eport for its T</w:t>
      </w:r>
      <w:r w:rsidR="000518FB">
        <w:t>ransmission Frameworks Review</w:t>
      </w:r>
      <w:r w:rsidR="005175F5">
        <w:t xml:space="preserve">, differences in the formatting of reporting outcomes in the APRs between </w:t>
      </w:r>
      <w:r w:rsidR="00FD6A40">
        <w:t>TNSP</w:t>
      </w:r>
      <w:r w:rsidR="005175F5">
        <w:t>s have made it difficult to assess whether all issues in the NTNDP have been adequately considered</w:t>
      </w:r>
      <w:r>
        <w:t xml:space="preserve"> by TNSPs (AEMC 2011f). In its second interim r</w:t>
      </w:r>
      <w:r w:rsidR="005175F5">
        <w:t xml:space="preserve">eport, the AEMC (2012j) noted that review participants had supported improved coordination of the APRs, and that it therefore expected this issue to progress without the need for formal requirements. </w:t>
      </w:r>
    </w:p>
    <w:p w:rsidR="005175F5" w:rsidRDefault="005175F5" w:rsidP="005175F5">
      <w:pPr>
        <w:pStyle w:val="Heading3"/>
      </w:pPr>
      <w:r>
        <w:t>Is planning coordination effective?</w:t>
      </w:r>
    </w:p>
    <w:p w:rsidR="005175F5" w:rsidRPr="00BB4686" w:rsidRDefault="005175F5" w:rsidP="005175F5">
      <w:pPr>
        <w:pStyle w:val="BodyText"/>
      </w:pPr>
      <w:r>
        <w:t xml:space="preserve">The current planning arrangements described above have evolved over time, and represent an improvement in the degree of coordination between jurisdictions in the NEM. But have they gone far enough? </w:t>
      </w:r>
    </w:p>
    <w:p w:rsidR="005175F5" w:rsidRDefault="005175F5" w:rsidP="005175F5">
      <w:pPr>
        <w:pStyle w:val="BodyText"/>
      </w:pPr>
      <w:r>
        <w:t>Previously, the Energy Reform Implementation Group identified that, due to reliability-driven planning at a jurisdictional level:</w:t>
      </w:r>
    </w:p>
    <w:p w:rsidR="005175F5" w:rsidRDefault="005175F5" w:rsidP="005175F5">
      <w:pPr>
        <w:pStyle w:val="Quote"/>
      </w:pPr>
      <w:r>
        <w:lastRenderedPageBreak/>
        <w:t>… investment decision making is biased toward investment within each state rather than, where it is efficient to do so, having a true national character. (</w:t>
      </w:r>
      <w:r w:rsidR="00B20BF7">
        <w:t xml:space="preserve">ERIG </w:t>
      </w:r>
      <w:r>
        <w:t>2007, p. 12)</w:t>
      </w:r>
    </w:p>
    <w:p w:rsidR="005175F5" w:rsidRDefault="005175F5" w:rsidP="005175F5">
      <w:pPr>
        <w:pStyle w:val="BodyText"/>
      </w:pPr>
      <w:r>
        <w:t>Not every sphere of regulation needs to be managed at a national level. Indeed, the principle of subsidiarity requires decisions to be taken by the lowest level of government capable of considering, and acting on, all the costs and benefits relevant to making the decision (PC 2012c). For example, planning and zoning requirements only affec</w:t>
      </w:r>
      <w:r w:rsidR="00B20BF7">
        <w:t>t parties within a limited area</w:t>
      </w:r>
      <w:r>
        <w:t xml:space="preserve"> and</w:t>
      </w:r>
      <w:r w:rsidR="00B20BF7">
        <w:t>,</w:t>
      </w:r>
      <w:r>
        <w:t xml:space="preserve"> as such</w:t>
      </w:r>
      <w:r w:rsidR="00B20BF7">
        <w:t>,</w:t>
      </w:r>
      <w:r>
        <w:t xml:space="preserve"> should be handled at local levels. However, where actions have an impact that extends beyond one jurisdiction, the efficient level of decision making tends towards increased coordination, or harmonisation, at a higher leve</w:t>
      </w:r>
      <w:r w:rsidR="00987941">
        <w:t>l (national or, where relevant, international)</w:t>
      </w:r>
      <w:r>
        <w:t>. This allows the decision maker to properly consider all of the effects of a decision, rather than just those occurring in one affected jurisdiction.</w:t>
      </w:r>
    </w:p>
    <w:p w:rsidR="005175F5" w:rsidRDefault="005175F5" w:rsidP="005175F5">
      <w:pPr>
        <w:pStyle w:val="BodyText"/>
      </w:pPr>
      <w:r>
        <w:t>In the context of electricity, the ‘network effects’ (chapter</w:t>
      </w:r>
      <w:r w:rsidR="001F0F5C">
        <w:t> </w:t>
      </w:r>
      <w:r w:rsidR="008D110D">
        <w:t>16</w:t>
      </w:r>
      <w:r>
        <w:t>) present in the NEM suggest that, at the very least, strong coordination is necessary to properly account for inter-regional effects, and plan adequate levels of interconnection. Further, as interconnection increases over time, so too will th</w:t>
      </w:r>
      <w:r w:rsidR="00B20BF7">
        <w:t>e extent of the network effects</w:t>
      </w:r>
      <w:r>
        <w:t xml:space="preserve"> and</w:t>
      </w:r>
      <w:r w:rsidR="00B20BF7">
        <w:t>,</w:t>
      </w:r>
      <w:r>
        <w:t xml:space="preserve"> thus</w:t>
      </w:r>
      <w:r w:rsidR="00B20BF7">
        <w:t>,</w:t>
      </w:r>
      <w:r>
        <w:t xml:space="preserve"> the necessity for planning that adequately takes account of NEM</w:t>
      </w:r>
      <w:r>
        <w:noBreakHyphen/>
        <w:t>wide effects:</w:t>
      </w:r>
    </w:p>
    <w:p w:rsidR="005175F5" w:rsidRDefault="005175F5" w:rsidP="005175F5">
      <w:pPr>
        <w:pStyle w:val="Quote"/>
      </w:pPr>
      <w:r>
        <w:t>In an interconnected alternating current AC electricity grid, additions and subtractions of generation or network capacity at any point within the system affect conditions in other parts of the network. As a result, it is not possible to plan and develop subsections of the system in isolation. Efficient system wide development requires planning to be co-ordinated across generation, transmission and load. The increased level of interconnection in the NEM has elevated the need for NEM wide coordination for the efficient development of the entire transmission system and energy market. (ERIG 2007, p. 168)</w:t>
      </w:r>
    </w:p>
    <w:p w:rsidR="005175F5" w:rsidRDefault="005175F5" w:rsidP="005175F5">
      <w:pPr>
        <w:pStyle w:val="BodyText"/>
      </w:pPr>
      <w:r>
        <w:t xml:space="preserve">The arrangements described above were implemented after the </w:t>
      </w:r>
      <w:r w:rsidR="00AD1241">
        <w:t xml:space="preserve">Energy Reform Implementation Group </w:t>
      </w:r>
      <w:r w:rsidR="00B20BF7">
        <w:t>report. Grid Australia contended</w:t>
      </w:r>
      <w:r>
        <w:t xml:space="preserve"> that</w:t>
      </w:r>
      <w:r w:rsidR="00B20BF7">
        <w:t>:</w:t>
      </w:r>
      <w:r>
        <w:t xml:space="preserve"> the reforms have addressed the concerns raised by </w:t>
      </w:r>
      <w:r w:rsidR="00AD1241">
        <w:t>Energy Reform Implementation Group</w:t>
      </w:r>
      <w:r w:rsidR="00B20BF7">
        <w:t>;</w:t>
      </w:r>
      <w:r>
        <w:t xml:space="preserve"> achieved an optimal level of coordination</w:t>
      </w:r>
      <w:r w:rsidR="00B20BF7">
        <w:t>;</w:t>
      </w:r>
      <w:r>
        <w:t xml:space="preserve"> and the current approach ‘captures the strategic national perspective of AEMO with the detailed on-the-ground knowledge of the regional TNSPs’ (sub. 22, p. 17). But AEMO disagreed, and submitted that:</w:t>
      </w:r>
    </w:p>
    <w:p w:rsidR="005175F5" w:rsidRPr="008A47CF" w:rsidRDefault="005175F5" w:rsidP="005175F5">
      <w:pPr>
        <w:pStyle w:val="Quote"/>
      </w:pPr>
      <w:r>
        <w:t>There are many examples of the state-by-state approach to transmission planning which inhibits the development of a national grid. … Redundancy [reliability] driven investments … are traditionally treated by the local network planner as a problem that must be solved solely from within the state. (sub. 32, p. 31)</w:t>
      </w:r>
    </w:p>
    <w:p w:rsidR="005175F5" w:rsidRDefault="005175F5" w:rsidP="005175F5">
      <w:pPr>
        <w:pStyle w:val="BodyText"/>
      </w:pPr>
      <w:r>
        <w:lastRenderedPageBreak/>
        <w:t>Based on the relative consequences of inaction under the existing arrangements,</w:t>
      </w:r>
      <w:r>
        <w:rPr>
          <w:rStyle w:val="FootnoteReference"/>
        </w:rPr>
        <w:footnoteReference w:id="28"/>
      </w:r>
      <w:r>
        <w:t xml:space="preserve"> TNSPs have more of an incentive to invest for reliability in their own jurisdiction than to address inter-regional issues. More practically, historical considerations and organisational culture could mean that </w:t>
      </w:r>
      <w:r w:rsidR="00F61470">
        <w:t xml:space="preserve">the focus of </w:t>
      </w:r>
      <w:r>
        <w:t>TNSPs tends towards solutions in their own jurisdictions, where they are familiar with requirements (such as planning and zoning and environmental approvals), have greater experience with the range of other parties (such as construction firms) involved, and where the decisions of other TNSPs have less effect on outcomes (and their timing).</w:t>
      </w:r>
      <w:r>
        <w:rPr>
          <w:rStyle w:val="FootnoteReference"/>
        </w:rPr>
        <w:footnoteReference w:id="29"/>
      </w:r>
    </w:p>
    <w:p w:rsidR="005175F5" w:rsidRDefault="005175F5" w:rsidP="005175F5">
      <w:pPr>
        <w:pStyle w:val="BodyText"/>
      </w:pPr>
      <w:r>
        <w:t xml:space="preserve">In examining the issue of planning as part of the </w:t>
      </w:r>
      <w:r w:rsidR="00F61470">
        <w:t>Transmission Frameworks Review</w:t>
      </w:r>
      <w:r>
        <w:t>, the AEMC acknowledged this issue although it noted that the extent of the problem is unclear and that there is ‘no indication of a lack of inter-regional capacity’. Nevertheless</w:t>
      </w:r>
      <w:r w:rsidR="00F61470">
        <w:t>,</w:t>
      </w:r>
      <w:r>
        <w:t xml:space="preserve"> it concluded that there is:</w:t>
      </w:r>
    </w:p>
    <w:p w:rsidR="005175F5" w:rsidRDefault="005175F5" w:rsidP="005175F5">
      <w:pPr>
        <w:pStyle w:val="Quote"/>
      </w:pPr>
      <w:r>
        <w:t>… scope to increase the national coordination of planning. While it is not clear that the current framework is delivering manifestly inefficient outcomes, there are some gaps. For example, a TNSP may not give full consideration to investment in other regions that could more efficiently meet reliability standards in its own region</w:t>
      </w:r>
      <w:r w:rsidR="000518FB">
        <w:t xml:space="preserve"> </w:t>
      </w:r>
      <w:r w:rsidR="00987941">
        <w:t>(‘</w:t>
      </w:r>
      <w:r>
        <w:t>cross-regional</w:t>
      </w:r>
      <w:r w:rsidR="00987941">
        <w:t>’</w:t>
      </w:r>
      <w:r>
        <w:t xml:space="preserve"> investment). (AEMC 2012j, p. 59)</w:t>
      </w:r>
    </w:p>
    <w:p w:rsidR="005175F5" w:rsidRDefault="005175F5" w:rsidP="005175F5">
      <w:pPr>
        <w:pStyle w:val="BodyText"/>
      </w:pPr>
      <w:r>
        <w:t>The AEMC went on to recommend increased coordination in planning, largely based on the</w:t>
      </w:r>
      <w:r w:rsidR="00417D69">
        <w:t xml:space="preserve"> current South Australian model</w:t>
      </w:r>
      <w:r>
        <w:t xml:space="preserve">. </w:t>
      </w:r>
    </w:p>
    <w:p w:rsidR="00EF1329" w:rsidRPr="001C1C8C" w:rsidRDefault="005175F5" w:rsidP="00C6686E">
      <w:pPr>
        <w:pStyle w:val="BodyText"/>
      </w:pPr>
      <w:r>
        <w:t>There are several other policies that could potentially help to address the coordination issue. For example,</w:t>
      </w:r>
      <w:r w:rsidR="00327A8C">
        <w:t xml:space="preserve"> introducing some form of inter</w:t>
      </w:r>
      <w:r w:rsidR="00327A8C">
        <w:noBreakHyphen/>
      </w:r>
      <w:r>
        <w:t>regional transmission charging</w:t>
      </w:r>
      <w:r w:rsidR="003519FA">
        <w:t xml:space="preserve"> could be a solution. This</w:t>
      </w:r>
      <w:r>
        <w:t xml:space="preserve"> matter </w:t>
      </w:r>
      <w:r w:rsidR="003519FA">
        <w:t xml:space="preserve">is </w:t>
      </w:r>
      <w:r>
        <w:t>currently bei</w:t>
      </w:r>
      <w:r w:rsidR="00D26600">
        <w:t>ng considered by the AEMC (2011f</w:t>
      </w:r>
      <w:r>
        <w:t>). The AEMC’s ‘optional firm access’ package (chapter</w:t>
      </w:r>
      <w:r w:rsidR="001F0F5C">
        <w:t> </w:t>
      </w:r>
      <w:r>
        <w:t>1</w:t>
      </w:r>
      <w:r w:rsidR="008D110D">
        <w:t>9</w:t>
      </w:r>
      <w:r>
        <w:t>) could also assist, as where generators (or in the case of interconnectors, retailers) requested and paid for firm access paths that had inter</w:t>
      </w:r>
      <w:r>
        <w:noBreakHyphen/>
        <w:t xml:space="preserve">regional aspects, TNSPs would be obliged to invest accordingly. </w:t>
      </w:r>
    </w:p>
    <w:sectPr w:rsidR="00EF1329" w:rsidRPr="001C1C8C" w:rsidSect="00825B56">
      <w:headerReference w:type="even" r:id="rId10"/>
      <w:headerReference w:type="default" r:id="rId11"/>
      <w:footerReference w:type="even" r:id="rId12"/>
      <w:footerReference w:type="default" r:id="rId13"/>
      <w:pgSz w:w="11907" w:h="16840" w:code="9"/>
      <w:pgMar w:top="1985" w:right="1304" w:bottom="1418" w:left="1814" w:header="1701" w:footer="567" w:gutter="0"/>
      <w:pgNumType w:start="1"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5E7E" w:rsidRDefault="00B95E7E">
      <w:r>
        <w:separator/>
      </w:r>
    </w:p>
  </w:endnote>
  <w:endnote w:type="continuationSeparator" w:id="0">
    <w:p w:rsidR="00B95E7E" w:rsidRDefault="00B95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DejaVu Sans">
    <w:altName w:val="Times New Roman"/>
    <w:charset w:val="00"/>
    <w:family w:val="swiss"/>
    <w:pitch w:val="variable"/>
    <w:sig w:usb0="E7000EFF" w:usb1="5200FDFF" w:usb2="0A042021" w:usb3="00000000" w:csb0="000001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B95E7E">
      <w:trPr>
        <w:trHeight w:hRule="exact" w:val="740"/>
      </w:trPr>
      <w:tc>
        <w:tcPr>
          <w:tcW w:w="510" w:type="dxa"/>
          <w:tcBorders>
            <w:top w:val="single" w:sz="6" w:space="0" w:color="auto"/>
          </w:tcBorders>
        </w:tcPr>
        <w:p w:rsidR="00B95E7E" w:rsidRDefault="00B95E7E"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F2022E">
            <w:rPr>
              <w:rStyle w:val="PageNumber"/>
              <w:noProof/>
            </w:rPr>
            <w:t>4</w:t>
          </w:r>
          <w:r>
            <w:rPr>
              <w:rStyle w:val="PageNumber"/>
            </w:rPr>
            <w:fldChar w:fldCharType="end"/>
          </w:r>
        </w:p>
      </w:tc>
      <w:tc>
        <w:tcPr>
          <w:tcW w:w="1644" w:type="dxa"/>
          <w:tcBorders>
            <w:top w:val="single" w:sz="6" w:space="0" w:color="auto"/>
          </w:tcBorders>
        </w:tcPr>
        <w:p w:rsidR="00B95E7E" w:rsidRDefault="00B95E7E" w:rsidP="0019293B">
          <w:pPr>
            <w:pStyle w:val="Footer"/>
          </w:pPr>
          <w:r>
            <w:t>electricity network regulation</w:t>
          </w:r>
        </w:p>
      </w:tc>
      <w:tc>
        <w:tcPr>
          <w:tcW w:w="6634" w:type="dxa"/>
        </w:tcPr>
        <w:p w:rsidR="00B95E7E" w:rsidRDefault="00B95E7E" w:rsidP="0019293B">
          <w:pPr>
            <w:pStyle w:val="Footer"/>
          </w:pPr>
        </w:p>
      </w:tc>
    </w:tr>
  </w:tbl>
  <w:p w:rsidR="00B95E7E" w:rsidRDefault="00B95E7E"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B95E7E">
      <w:trPr>
        <w:trHeight w:hRule="exact" w:val="740"/>
      </w:trPr>
      <w:tc>
        <w:tcPr>
          <w:tcW w:w="6634" w:type="dxa"/>
        </w:tcPr>
        <w:p w:rsidR="00B95E7E" w:rsidRDefault="00B95E7E">
          <w:pPr>
            <w:pStyle w:val="Footer"/>
            <w:ind w:right="360" w:firstLine="360"/>
          </w:pPr>
        </w:p>
      </w:tc>
      <w:tc>
        <w:tcPr>
          <w:tcW w:w="1644" w:type="dxa"/>
          <w:tcBorders>
            <w:top w:val="single" w:sz="6" w:space="0" w:color="auto"/>
          </w:tcBorders>
        </w:tcPr>
        <w:p w:rsidR="00B95E7E" w:rsidRDefault="009F1908" w:rsidP="00374F7F">
          <w:pPr>
            <w:pStyle w:val="Footer"/>
          </w:pPr>
          <w:fldSimple w:instr=" TITLE  \* MERGEFORMAT ">
            <w:r w:rsidR="00B95E7E">
              <w:t>Transmission reliability</w:t>
            </w:r>
          </w:fldSimple>
          <w:r w:rsidR="00B95E7E">
            <w:t xml:space="preserve"> </w:t>
          </w:r>
        </w:p>
      </w:tc>
      <w:tc>
        <w:tcPr>
          <w:tcW w:w="510" w:type="dxa"/>
          <w:tcBorders>
            <w:top w:val="single" w:sz="6" w:space="0" w:color="auto"/>
          </w:tcBorders>
        </w:tcPr>
        <w:p w:rsidR="00B95E7E" w:rsidRDefault="00B95E7E">
          <w:pPr>
            <w:pStyle w:val="Footer"/>
            <w:jc w:val="right"/>
          </w:pPr>
          <w:r>
            <w:rPr>
              <w:rStyle w:val="PageNumber"/>
            </w:rPr>
            <w:fldChar w:fldCharType="begin"/>
          </w:r>
          <w:r>
            <w:rPr>
              <w:rStyle w:val="PageNumber"/>
            </w:rPr>
            <w:instrText xml:space="preserve">PAGE  </w:instrText>
          </w:r>
          <w:r>
            <w:rPr>
              <w:rStyle w:val="PageNumber"/>
            </w:rPr>
            <w:fldChar w:fldCharType="separate"/>
          </w:r>
          <w:r w:rsidR="00F2022E">
            <w:rPr>
              <w:rStyle w:val="PageNumber"/>
              <w:noProof/>
            </w:rPr>
            <w:t>3</w:t>
          </w:r>
          <w:r>
            <w:rPr>
              <w:rStyle w:val="PageNumber"/>
            </w:rPr>
            <w:fldChar w:fldCharType="end"/>
          </w:r>
        </w:p>
      </w:tc>
    </w:tr>
  </w:tbl>
  <w:p w:rsidR="00B95E7E" w:rsidRDefault="00B95E7E">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5E7E" w:rsidRDefault="00B95E7E">
      <w:r>
        <w:separator/>
      </w:r>
    </w:p>
  </w:footnote>
  <w:footnote w:type="continuationSeparator" w:id="0">
    <w:p w:rsidR="00B95E7E" w:rsidRDefault="00B95E7E">
      <w:r>
        <w:continuationSeparator/>
      </w:r>
    </w:p>
  </w:footnote>
  <w:footnote w:id="1">
    <w:p w:rsidR="00B95E7E" w:rsidRDefault="00B95E7E">
      <w:pPr>
        <w:pStyle w:val="FootnoteText"/>
      </w:pPr>
      <w:r>
        <w:rPr>
          <w:rStyle w:val="FootnoteReference"/>
        </w:rPr>
        <w:footnoteRef/>
      </w:r>
      <w:r>
        <w:t xml:space="preserve"> </w:t>
      </w:r>
      <w:r>
        <w:tab/>
      </w:r>
      <w:r w:rsidRPr="00C80493">
        <w:t>A secure operating state requires the power system to be in a satisfactory operating state and to be able to return to a satisfactory operating state following the occurrence of any credible contingency. A satisfactory operating state requires all network elements to be loaded within their ratings.</w:t>
      </w:r>
      <w:r w:rsidRPr="009B5FEB">
        <w:t xml:space="preserve"> </w:t>
      </w:r>
      <w:r>
        <w:t>The Australian Energy Market Operator (AEMO) considers contingencies to be credible if it is reasonably possible that they might occur (AEMO 2012e, p. 8).</w:t>
      </w:r>
    </w:p>
  </w:footnote>
  <w:footnote w:id="2">
    <w:p w:rsidR="00B95E7E" w:rsidRDefault="00B95E7E">
      <w:pPr>
        <w:pStyle w:val="FootnoteText"/>
      </w:pPr>
      <w:r>
        <w:rPr>
          <w:rStyle w:val="FootnoteReference"/>
        </w:rPr>
        <w:footnoteRef/>
      </w:r>
      <w:r>
        <w:t xml:space="preserve"> </w:t>
      </w:r>
      <w:r>
        <w:tab/>
        <w:t>A contingency event is</w:t>
      </w:r>
      <w:r w:rsidRPr="00362E9A">
        <w:t xml:space="preserve"> an event affecting the power system </w:t>
      </w:r>
      <w:r>
        <w:t>that</w:t>
      </w:r>
      <w:r w:rsidRPr="00362E9A">
        <w:t xml:space="preserve"> </w:t>
      </w:r>
      <w:r>
        <w:t xml:space="preserve">the AEMO </w:t>
      </w:r>
      <w:r w:rsidRPr="00362E9A">
        <w:t>expects would be likely to involve the failure or removal from operational service of one or more generating units and/or transmission elements</w:t>
      </w:r>
      <w:r>
        <w:t xml:space="preserve"> (National Electricity Rules, clause 4.2.3(a)).</w:t>
      </w:r>
    </w:p>
  </w:footnote>
  <w:footnote w:id="3">
    <w:p w:rsidR="00B95E7E" w:rsidRDefault="00B95E7E" w:rsidP="00812AB6">
      <w:pPr>
        <w:pStyle w:val="FootnoteText"/>
      </w:pPr>
      <w:r>
        <w:rPr>
          <w:rStyle w:val="FootnoteReference"/>
        </w:rPr>
        <w:footnoteRef/>
      </w:r>
      <w:r>
        <w:t xml:space="preserve"> </w:t>
      </w:r>
      <w:r>
        <w:tab/>
        <w:t xml:space="preserve">On average a line with a capacity of 10 MVA would service less than around 4000 customers. This means that all transmission lines, except very small ones, have N-1 redundancy. </w:t>
      </w:r>
    </w:p>
  </w:footnote>
  <w:footnote w:id="4">
    <w:p w:rsidR="00B95E7E" w:rsidRDefault="00B95E7E" w:rsidP="00C745FA">
      <w:pPr>
        <w:pStyle w:val="FootnoteText"/>
      </w:pPr>
      <w:r>
        <w:rPr>
          <w:rStyle w:val="FootnoteReference"/>
        </w:rPr>
        <w:footnoteRef/>
      </w:r>
      <w:r>
        <w:t xml:space="preserve"> </w:t>
      </w:r>
      <w:r>
        <w:tab/>
        <w:t xml:space="preserve">A connection point is where the transmission network transfers electricity to either a distribution network or a directly-connected large customer. </w:t>
      </w:r>
    </w:p>
  </w:footnote>
  <w:footnote w:id="5">
    <w:p w:rsidR="00B95E7E" w:rsidRDefault="00B95E7E" w:rsidP="002C7719">
      <w:pPr>
        <w:pStyle w:val="FootnoteText"/>
        <w:tabs>
          <w:tab w:val="left" w:pos="5103"/>
        </w:tabs>
      </w:pPr>
      <w:r>
        <w:rPr>
          <w:rStyle w:val="FootnoteReference"/>
        </w:rPr>
        <w:footnoteRef/>
      </w:r>
      <w:r>
        <w:t xml:space="preserve"> </w:t>
      </w:r>
      <w:r>
        <w:tab/>
        <w:t>The AEMC is currently consulting on a potential rule change related to the assessment of capital expenditure and operating expenditures to meet reliability standards put forward by network businesses in their regulatory proposals. The proposed rule change would seek to eliminate the possibility of network businesses having capital expenditure and operating expenditure allowances approved that allow them to maintain reliability levels in circumstances where the required jurisdictional standard is lowered, or the business is performing above the jurisdictional standard (AEMC 2013b).</w:t>
      </w:r>
    </w:p>
  </w:footnote>
  <w:footnote w:id="6">
    <w:p w:rsidR="00B95E7E" w:rsidRDefault="00B95E7E">
      <w:pPr>
        <w:pStyle w:val="FootnoteText"/>
      </w:pPr>
      <w:r>
        <w:rPr>
          <w:rStyle w:val="FootnoteReference"/>
        </w:rPr>
        <w:footnoteRef/>
      </w:r>
      <w:r>
        <w:t xml:space="preserve"> </w:t>
      </w:r>
      <w:r>
        <w:tab/>
        <w:t xml:space="preserve">As set out in section 50F of the National Electricity Law. </w:t>
      </w:r>
    </w:p>
  </w:footnote>
  <w:footnote w:id="7">
    <w:p w:rsidR="00B95E7E" w:rsidRDefault="00B95E7E" w:rsidP="003C6714">
      <w:pPr>
        <w:pStyle w:val="FootnoteText"/>
        <w:tabs>
          <w:tab w:val="clear" w:pos="284"/>
          <w:tab w:val="left" w:pos="426"/>
        </w:tabs>
        <w:ind w:left="426" w:hanging="426"/>
      </w:pPr>
      <w:r>
        <w:rPr>
          <w:rStyle w:val="FootnoteReference"/>
        </w:rPr>
        <w:footnoteRef/>
      </w:r>
      <w:r>
        <w:t xml:space="preserve"> </w:t>
      </w:r>
      <w:r>
        <w:tab/>
        <w:t xml:space="preserve">The Commission understands that the process outlined in box F.4 is undertaken in some form in each stage of AEMO’s planning process outlined in figure F.1. </w:t>
      </w:r>
    </w:p>
  </w:footnote>
  <w:footnote w:id="8">
    <w:p w:rsidR="00B95E7E" w:rsidRDefault="00B95E7E" w:rsidP="003C6714">
      <w:pPr>
        <w:pStyle w:val="FootnoteText"/>
        <w:keepLines/>
        <w:tabs>
          <w:tab w:val="clear" w:pos="284"/>
          <w:tab w:val="left" w:pos="426"/>
        </w:tabs>
        <w:ind w:left="426" w:hanging="426"/>
      </w:pPr>
      <w:r>
        <w:rPr>
          <w:rStyle w:val="FootnoteReference"/>
        </w:rPr>
        <w:footnoteRef/>
      </w:r>
      <w:r>
        <w:tab/>
        <w:t xml:space="preserve">A real options approach in the context of transmission planning allows investment decisions for reliability, once a potential constraint has been identified, to be delayed past the start of the regulatory period until the time that they are needed. The benefits of this approach are twofold. First, if predictions about the level of reliability that customers value turn out to be incorrect, the required investment path can be altered. For example, if the VCR changes because an industrial estate closes down, the level of reliability that the remaining customers desire would fall. The second benefit arises from being able to take advantage of technology improvements or changing financial conditions or other network augmentations built in neighbouring regions. Delaying the decision about exactly what to build and how much it will cost until closer to the time of the project starting, allows the most recent developments to be taken into account. </w:t>
      </w:r>
    </w:p>
  </w:footnote>
  <w:footnote w:id="9">
    <w:p w:rsidR="00B95E7E" w:rsidRDefault="00B95E7E" w:rsidP="003C6714">
      <w:pPr>
        <w:pStyle w:val="FootnoteText"/>
        <w:keepNext/>
        <w:keepLines/>
        <w:tabs>
          <w:tab w:val="clear" w:pos="284"/>
          <w:tab w:val="left" w:pos="426"/>
        </w:tabs>
        <w:ind w:left="426" w:hanging="426"/>
      </w:pPr>
      <w:r>
        <w:rPr>
          <w:rStyle w:val="FootnoteReference"/>
        </w:rPr>
        <w:footnoteRef/>
      </w:r>
      <w:r>
        <w:tab/>
      </w:r>
      <w:r w:rsidRPr="000342EF">
        <w:t xml:space="preserve">A separable project is one that can readily </w:t>
      </w:r>
      <w:r>
        <w:t xml:space="preserve">be </w:t>
      </w:r>
      <w:r w:rsidRPr="000342EF">
        <w:t>identified as distinct from the rest of the network. Further, while it will require connection to the broader network, to be categorised as ‘separable’, a project must not materiall</w:t>
      </w:r>
      <w:r>
        <w:t>y interfere with the incumbent transmission business’</w:t>
      </w:r>
      <w:r w:rsidR="0013322E">
        <w:t>s</w:t>
      </w:r>
      <w:r w:rsidRPr="000342EF">
        <w:t xml:space="preserve"> ability to </w:t>
      </w:r>
      <w:r>
        <w:t>operate the existing network</w:t>
      </w:r>
      <w:r w:rsidRPr="000342EF">
        <w:t xml:space="preserve">. </w:t>
      </w:r>
    </w:p>
  </w:footnote>
  <w:footnote w:id="10">
    <w:p w:rsidR="00B95E7E" w:rsidRDefault="00B95E7E" w:rsidP="00F40957">
      <w:pPr>
        <w:pStyle w:val="FootnoteText"/>
        <w:tabs>
          <w:tab w:val="clear" w:pos="284"/>
          <w:tab w:val="left" w:pos="426"/>
        </w:tabs>
        <w:ind w:left="426" w:hanging="426"/>
      </w:pPr>
      <w:r>
        <w:rPr>
          <w:rStyle w:val="FootnoteReference"/>
        </w:rPr>
        <w:footnoteRef/>
      </w:r>
      <w:r>
        <w:tab/>
        <w:t>A satisfactory operating state requires all network elements to be loaded within their ratings (as defined in chapter 4 of the Rules) (AEMO 2012e).</w:t>
      </w:r>
    </w:p>
  </w:footnote>
  <w:footnote w:id="11">
    <w:p w:rsidR="00B95E7E" w:rsidRDefault="00B95E7E" w:rsidP="003C6714">
      <w:pPr>
        <w:pStyle w:val="FootnoteText"/>
        <w:tabs>
          <w:tab w:val="clear" w:pos="284"/>
          <w:tab w:val="left" w:pos="426"/>
        </w:tabs>
        <w:ind w:left="426" w:hanging="426"/>
      </w:pPr>
      <w:r>
        <w:rPr>
          <w:rStyle w:val="FootnoteReference"/>
        </w:rPr>
        <w:footnoteRef/>
      </w:r>
      <w:r>
        <w:tab/>
        <w:t xml:space="preserve">The revenue is approved by AEMO by changing SP AusNet’s Transmission Use of System charges. In effect, this allows the business to collect more revenue from customers. </w:t>
      </w:r>
    </w:p>
  </w:footnote>
  <w:footnote w:id="12">
    <w:p w:rsidR="00B95E7E" w:rsidRPr="00643A6D" w:rsidRDefault="00B95E7E" w:rsidP="00A12CD4">
      <w:pPr>
        <w:pStyle w:val="FootnoteText"/>
        <w:tabs>
          <w:tab w:val="clear" w:pos="284"/>
          <w:tab w:val="left" w:pos="426"/>
        </w:tabs>
        <w:ind w:left="426" w:hanging="426"/>
      </w:pPr>
      <w:r>
        <w:rPr>
          <w:rStyle w:val="FootnoteReference"/>
        </w:rPr>
        <w:footnoteRef/>
      </w:r>
      <w:r>
        <w:tab/>
        <w:t xml:space="preserve">It is </w:t>
      </w:r>
      <w:r w:rsidRPr="00643A6D">
        <w:t>possible that AEMO has an incentive to ‘make life easier’ as the operator by making inefficient investment decisions, however, there does not appear to be evidence to support this conjecture. It is also possible that synergies exist between planning and operating the network, which AEMO can exploit when it carries out both roles.</w:t>
      </w:r>
    </w:p>
  </w:footnote>
  <w:footnote w:id="13">
    <w:p w:rsidR="00B95E7E" w:rsidRDefault="00B95E7E" w:rsidP="00A12CD4">
      <w:pPr>
        <w:pStyle w:val="FootnoteText"/>
        <w:tabs>
          <w:tab w:val="clear" w:pos="284"/>
          <w:tab w:val="left" w:pos="426"/>
        </w:tabs>
        <w:ind w:left="426" w:hanging="426"/>
      </w:pPr>
      <w:r w:rsidRPr="00643A6D">
        <w:rPr>
          <w:rStyle w:val="FootnoteReference"/>
        </w:rPr>
        <w:footnoteRef/>
      </w:r>
      <w:r>
        <w:tab/>
        <w:t>One in-princip</w:t>
      </w:r>
      <w:r w:rsidRPr="00643A6D">
        <w:t>l</w:t>
      </w:r>
      <w:r>
        <w:t>e</w:t>
      </w:r>
      <w:r w:rsidRPr="00643A6D">
        <w:t xml:space="preserve"> concern is whether the separation of planning functions from ownership, operation and maintenance could forgo the benefits of trade-offs between </w:t>
      </w:r>
      <w:r>
        <w:t xml:space="preserve">capital expenditure </w:t>
      </w:r>
      <w:r w:rsidRPr="00643A6D">
        <w:t xml:space="preserve">and </w:t>
      </w:r>
      <w:r>
        <w:t xml:space="preserve">operating expenditure </w:t>
      </w:r>
      <w:r w:rsidRPr="00643A6D">
        <w:t xml:space="preserve">in delivering reliability in the network. However, this problem is </w:t>
      </w:r>
      <w:r>
        <w:t>minimised by</w:t>
      </w:r>
      <w:r w:rsidRPr="00643A6D">
        <w:t xml:space="preserve"> AEMO consid</w:t>
      </w:r>
      <w:r>
        <w:t>ering</w:t>
      </w:r>
      <w:r w:rsidRPr="00643A6D">
        <w:t xml:space="preserve"> a range of solutions as part of its probabilistic </w:t>
      </w:r>
      <w:r>
        <w:t>cost–benefit</w:t>
      </w:r>
      <w:r w:rsidRPr="00643A6D">
        <w:t xml:space="preserve"> test and ongoing consultations with the transmission business (which could raise such alternative solutions). </w:t>
      </w:r>
    </w:p>
  </w:footnote>
  <w:footnote w:id="14">
    <w:p w:rsidR="00B95E7E" w:rsidRDefault="00B95E7E" w:rsidP="00E74006">
      <w:pPr>
        <w:pStyle w:val="FootnoteText"/>
        <w:tabs>
          <w:tab w:val="clear" w:pos="284"/>
          <w:tab w:val="left" w:pos="426"/>
        </w:tabs>
        <w:ind w:left="426" w:hanging="426"/>
      </w:pPr>
      <w:r>
        <w:rPr>
          <w:rStyle w:val="FootnoteReference"/>
        </w:rPr>
        <w:footnoteRef/>
      </w:r>
      <w:r>
        <w:tab/>
      </w:r>
      <w:r w:rsidRPr="00D91BF3">
        <w:t xml:space="preserve">One indirect test is whether the </w:t>
      </w:r>
      <w:r>
        <w:t>VCRs</w:t>
      </w:r>
      <w:r w:rsidRPr="00D91BF3">
        <w:t xml:space="preserve"> </w:t>
      </w:r>
      <w:r w:rsidRPr="00D91BF3">
        <w:rPr>
          <w:i/>
        </w:rPr>
        <w:t>revealed</w:t>
      </w:r>
      <w:r w:rsidRPr="00D91BF3">
        <w:t xml:space="preserve"> from augmentations made in Victoria are reasonably consistent with the measured survey values.</w:t>
      </w:r>
    </w:p>
  </w:footnote>
  <w:footnote w:id="15">
    <w:p w:rsidR="00B95E7E" w:rsidRDefault="00B95E7E" w:rsidP="00651B08">
      <w:pPr>
        <w:pStyle w:val="FootnoteText"/>
      </w:pPr>
      <w:r>
        <w:rPr>
          <w:rStyle w:val="FootnoteReference"/>
        </w:rPr>
        <w:footnoteRef/>
      </w:r>
      <w:r>
        <w:t xml:space="preserve"> This is not an unreasonable assumption considering that in some regions deterministic standards can include standards that require more redundancy than N-1. Further, of all the regions in the NEM, the comparatively higher customer density of the network in Victoria makes it more likely to be able to justify investments to meet N-1 standards under a cost–benefit analysis, suggesting larger differences might exist in other parts of the NEM.</w:t>
      </w:r>
    </w:p>
  </w:footnote>
  <w:footnote w:id="16">
    <w:p w:rsidR="00B95E7E" w:rsidRDefault="00B95E7E" w:rsidP="00A12CD4">
      <w:pPr>
        <w:pStyle w:val="FootnoteText"/>
        <w:tabs>
          <w:tab w:val="clear" w:pos="284"/>
          <w:tab w:val="left" w:pos="426"/>
        </w:tabs>
        <w:ind w:left="426" w:hanging="426"/>
      </w:pPr>
      <w:r>
        <w:rPr>
          <w:rStyle w:val="FootnoteReference"/>
        </w:rPr>
        <w:footnoteRef/>
      </w:r>
      <w:r>
        <w:tab/>
        <w:t>Underpinned by provisions in the National Electricity Law (Division 2, Subdivision 2, section 50B).</w:t>
      </w:r>
    </w:p>
  </w:footnote>
  <w:footnote w:id="17">
    <w:p w:rsidR="00B95E7E" w:rsidRDefault="00B95E7E" w:rsidP="00A12CD4">
      <w:pPr>
        <w:pStyle w:val="FootnoteText"/>
        <w:tabs>
          <w:tab w:val="clear" w:pos="284"/>
          <w:tab w:val="left" w:pos="426"/>
        </w:tabs>
        <w:ind w:left="426" w:hanging="426"/>
      </w:pPr>
      <w:r>
        <w:rPr>
          <w:rStyle w:val="FootnoteReference"/>
        </w:rPr>
        <w:footnoteRef/>
      </w:r>
      <w:r>
        <w:tab/>
        <w:t>ElectraNet’s planning and augmentation proposals are subject to public scrutiny by AEMO in the lead up to ElectraNet submitting its revenue proposal to the AER. While ElectraNet is not obliged to follow AEMO’s advice in its proposal, AEMO’s advice provides the AER with more information with which to assess the proposal.</w:t>
      </w:r>
    </w:p>
  </w:footnote>
  <w:footnote w:id="18">
    <w:p w:rsidR="00B95E7E" w:rsidRDefault="00B95E7E" w:rsidP="00A12CD4">
      <w:pPr>
        <w:pStyle w:val="FootnoteText"/>
        <w:tabs>
          <w:tab w:val="clear" w:pos="284"/>
          <w:tab w:val="left" w:pos="426"/>
        </w:tabs>
        <w:ind w:left="426" w:hanging="426"/>
      </w:pPr>
      <w:r>
        <w:rPr>
          <w:rStyle w:val="FootnoteReference"/>
        </w:rPr>
        <w:footnoteRef/>
      </w:r>
      <w:r>
        <w:tab/>
        <w:t>For example, a large industrial user might move out of an area, causing maximum demand forecasts to fall significantly.</w:t>
      </w:r>
    </w:p>
  </w:footnote>
  <w:footnote w:id="19">
    <w:p w:rsidR="00B95E7E" w:rsidRDefault="00B95E7E" w:rsidP="00A12CD4">
      <w:pPr>
        <w:pStyle w:val="FootnoteText"/>
        <w:tabs>
          <w:tab w:val="clear" w:pos="284"/>
          <w:tab w:val="left" w:pos="426"/>
        </w:tabs>
        <w:ind w:left="426" w:hanging="426"/>
      </w:pPr>
      <w:r>
        <w:rPr>
          <w:rStyle w:val="FootnoteReference"/>
        </w:rPr>
        <w:footnoteRef/>
      </w:r>
      <w:r>
        <w:tab/>
        <w:t>The VCR used in the calculations is extrapolated from the Victorian VCR (based on the Victorian survey in 2007) using data on sectoral demands for electricity (AEMO 2010e, p. 15).</w:t>
      </w:r>
    </w:p>
  </w:footnote>
  <w:footnote w:id="20">
    <w:p w:rsidR="00B95E7E" w:rsidRDefault="00B95E7E" w:rsidP="00812AB6">
      <w:pPr>
        <w:pStyle w:val="FootnoteText"/>
        <w:tabs>
          <w:tab w:val="clear" w:pos="284"/>
          <w:tab w:val="left" w:pos="426"/>
        </w:tabs>
        <w:ind w:left="426" w:hanging="426"/>
      </w:pPr>
      <w:r>
        <w:rPr>
          <w:rStyle w:val="FootnoteReference"/>
        </w:rPr>
        <w:footnoteRef/>
      </w:r>
      <w:r>
        <w:tab/>
        <w:t xml:space="preserve">The Last Resort Planning Power would give AEMO the authority to direct a transmission business to undertake a RIT-T (but not to direct that investment must occur) for potential transmission projects if they are likely to relieve forecast constraints in parts of the network that connect regions in the NEM. To date, the current Last Resort Planner (the AEMC) has not used this power (AEMC 2012j). </w:t>
      </w:r>
    </w:p>
  </w:footnote>
  <w:footnote w:id="21">
    <w:p w:rsidR="00B95E7E" w:rsidRDefault="00B95E7E" w:rsidP="00A12CD4">
      <w:pPr>
        <w:pStyle w:val="FootnoteText"/>
        <w:tabs>
          <w:tab w:val="clear" w:pos="284"/>
          <w:tab w:val="left" w:pos="426"/>
        </w:tabs>
        <w:ind w:left="426" w:hanging="426"/>
      </w:pPr>
      <w:r>
        <w:rPr>
          <w:rStyle w:val="FootnoteReference"/>
        </w:rPr>
        <w:footnoteRef/>
      </w:r>
      <w:r>
        <w:tab/>
      </w:r>
      <w:r w:rsidRPr="0066700D">
        <w:t xml:space="preserve">The AEMC does not comment about whether AEMO would provide advice on draft revenue proposals (as they currently do in South Australia). However, that would be a </w:t>
      </w:r>
      <w:r>
        <w:t>desirable</w:t>
      </w:r>
      <w:r w:rsidRPr="0066700D">
        <w:t xml:space="preserve"> feature of any implemented model following the AEMC’s approach</w:t>
      </w:r>
      <w:r>
        <w:t>.</w:t>
      </w:r>
    </w:p>
  </w:footnote>
  <w:footnote w:id="22">
    <w:p w:rsidR="00B95E7E" w:rsidRPr="0066700D" w:rsidRDefault="00B95E7E" w:rsidP="00A12CD4">
      <w:pPr>
        <w:pStyle w:val="FootnoteText"/>
        <w:tabs>
          <w:tab w:val="clear" w:pos="284"/>
          <w:tab w:val="left" w:pos="426"/>
        </w:tabs>
        <w:ind w:left="426" w:hanging="426"/>
      </w:pPr>
      <w:r w:rsidRPr="0066700D">
        <w:rPr>
          <w:rStyle w:val="FootnoteReference"/>
        </w:rPr>
        <w:footnoteRef/>
      </w:r>
      <w:r>
        <w:tab/>
      </w:r>
      <w:r w:rsidRPr="0066700D">
        <w:t>An additional, but lesser, concern is that the requirement that Victoria relinquish its current approach could mean that any profits associated with exploitation of information asymmetries (with the regulator) and cost efficiencies encouraged by incentive regulation would be kept by SP AusNet. Given their foreign ownership, these transfers would actually also represent welfare losses to Australians.</w:t>
      </w:r>
    </w:p>
  </w:footnote>
  <w:footnote w:id="23">
    <w:p w:rsidR="00B95E7E" w:rsidRDefault="00B95E7E" w:rsidP="00A12CD4">
      <w:pPr>
        <w:pStyle w:val="FootnoteText"/>
        <w:tabs>
          <w:tab w:val="clear" w:pos="284"/>
          <w:tab w:val="left" w:pos="426"/>
        </w:tabs>
        <w:ind w:left="426" w:hanging="426"/>
      </w:pPr>
      <w:r w:rsidRPr="0066700D">
        <w:rPr>
          <w:rStyle w:val="FootnoteReference"/>
        </w:rPr>
        <w:footnoteRef/>
      </w:r>
      <w:r>
        <w:tab/>
      </w:r>
      <w:r w:rsidRPr="0066700D">
        <w:t>The flexible approach might reduce some of this rigidity but would probably not address all the limitations of this model.</w:t>
      </w:r>
      <w:r>
        <w:t xml:space="preserve"> </w:t>
      </w:r>
    </w:p>
  </w:footnote>
  <w:footnote w:id="24">
    <w:p w:rsidR="00B95E7E" w:rsidRDefault="00B95E7E" w:rsidP="005175F5">
      <w:pPr>
        <w:pStyle w:val="FootnoteText"/>
      </w:pPr>
      <w:r>
        <w:rPr>
          <w:rStyle w:val="FootnoteReference"/>
        </w:rPr>
        <w:footnoteRef/>
      </w:r>
      <w:r>
        <w:t xml:space="preserve"> </w:t>
      </w:r>
      <w:r>
        <w:tab/>
        <w:t>Clause 5.6.2A(b)(5). Where a party has not complied with this clause,</w:t>
      </w:r>
      <w:r w:rsidDel="0006594A">
        <w:t xml:space="preserve"> </w:t>
      </w:r>
      <w:r>
        <w:t xml:space="preserve">the AER may apply for a court order under section 61(1) of the National Electricity Law declaring a breach and require that the relevant party cease the act constituting breach, and/or take action to remedy it (among other things). </w:t>
      </w:r>
    </w:p>
  </w:footnote>
  <w:footnote w:id="25">
    <w:p w:rsidR="00B95E7E" w:rsidRDefault="00B95E7E" w:rsidP="005175F5">
      <w:pPr>
        <w:pStyle w:val="FootnoteText"/>
      </w:pPr>
      <w:r>
        <w:rPr>
          <w:rStyle w:val="FootnoteReference"/>
        </w:rPr>
        <w:footnoteRef/>
      </w:r>
      <w:r>
        <w:t xml:space="preserve"> </w:t>
      </w:r>
      <w:r>
        <w:tab/>
        <w:t>National Electricity Rules, clause 5.6.2.</w:t>
      </w:r>
    </w:p>
  </w:footnote>
  <w:footnote w:id="26">
    <w:p w:rsidR="00B95E7E" w:rsidRDefault="00B95E7E" w:rsidP="005175F5">
      <w:pPr>
        <w:pStyle w:val="FootnoteText"/>
      </w:pPr>
      <w:r>
        <w:rPr>
          <w:rStyle w:val="FootnoteReference"/>
        </w:rPr>
        <w:footnoteRef/>
      </w:r>
      <w:r>
        <w:tab/>
        <w:t xml:space="preserve">While the AEMC has a Last Resort Planning Power, which it can exercise in the event that identified constraints do not appear to be addressed, this merely directs a TNSP to commence a RIT-T process, not to conduct any particular investment. </w:t>
      </w:r>
    </w:p>
  </w:footnote>
  <w:footnote w:id="27">
    <w:p w:rsidR="00B95E7E" w:rsidRDefault="00B95E7E" w:rsidP="005175F5">
      <w:pPr>
        <w:pStyle w:val="FootnoteText"/>
      </w:pPr>
      <w:r>
        <w:rPr>
          <w:rStyle w:val="FootnoteReference"/>
        </w:rPr>
        <w:footnoteRef/>
      </w:r>
      <w:r>
        <w:tab/>
        <w:t>National Electricity Rules, clause 5.6A.2(b)(3).</w:t>
      </w:r>
    </w:p>
  </w:footnote>
  <w:footnote w:id="28">
    <w:p w:rsidR="00B95E7E" w:rsidRDefault="00B95E7E" w:rsidP="005175F5">
      <w:pPr>
        <w:pStyle w:val="FootnoteText"/>
      </w:pPr>
      <w:r>
        <w:rPr>
          <w:rStyle w:val="FootnoteReference"/>
        </w:rPr>
        <w:footnoteRef/>
      </w:r>
      <w:r>
        <w:t xml:space="preserve"> </w:t>
      </w:r>
      <w:r>
        <w:tab/>
        <w:t>As noted above, failure to comply with requirements to ‘take into account’, or set out the differences from the NTNDP can lead to an injunction, or a financial penalty. Conversely, failure to comply with reliability standards includes a range of penalties, up to loss of the business’</w:t>
      </w:r>
      <w:r w:rsidR="0013322E">
        <w:t>s</w:t>
      </w:r>
      <w:r>
        <w:t xml:space="preserve"> licence. Further, the physical consequences of not meeting reliability standards (in the ‘home’ jurisdiction) are also substantial. </w:t>
      </w:r>
    </w:p>
  </w:footnote>
  <w:footnote w:id="29">
    <w:p w:rsidR="00B95E7E" w:rsidRDefault="00B95E7E" w:rsidP="005175F5">
      <w:pPr>
        <w:pStyle w:val="FootnoteText"/>
      </w:pPr>
      <w:r>
        <w:rPr>
          <w:rStyle w:val="FootnoteReference"/>
        </w:rPr>
        <w:footnoteRef/>
      </w:r>
      <w:r>
        <w:t xml:space="preserve"> </w:t>
      </w:r>
      <w:r>
        <w:tab/>
        <w:t xml:space="preserve">For example, if a TNSP in jurisdiction A is responsible for an upgrade to improve reliability in jurisdiction B, the effectiveness (or otherwise) of this upgrade could affect incentive payments for the TNSP in jurisdiction B.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95E7E">
      <w:tc>
        <w:tcPr>
          <w:tcW w:w="2155" w:type="dxa"/>
          <w:tcBorders>
            <w:top w:val="single" w:sz="24" w:space="0" w:color="auto"/>
          </w:tcBorders>
        </w:tcPr>
        <w:p w:rsidR="00B95E7E" w:rsidRDefault="00B95E7E" w:rsidP="0019293B">
          <w:pPr>
            <w:pStyle w:val="HeaderEven"/>
          </w:pPr>
        </w:p>
      </w:tc>
      <w:tc>
        <w:tcPr>
          <w:tcW w:w="6634" w:type="dxa"/>
          <w:tcBorders>
            <w:top w:val="single" w:sz="6" w:space="0" w:color="auto"/>
          </w:tcBorders>
        </w:tcPr>
        <w:p w:rsidR="00B95E7E" w:rsidRDefault="00B95E7E" w:rsidP="0019293B">
          <w:pPr>
            <w:pStyle w:val="HeaderEven"/>
          </w:pPr>
        </w:p>
      </w:tc>
    </w:tr>
  </w:tbl>
  <w:p w:rsidR="00B95E7E" w:rsidRDefault="00B95E7E"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95E7E">
      <w:tc>
        <w:tcPr>
          <w:tcW w:w="6634" w:type="dxa"/>
          <w:tcBorders>
            <w:top w:val="single" w:sz="6" w:space="0" w:color="auto"/>
          </w:tcBorders>
        </w:tcPr>
        <w:p w:rsidR="00B95E7E" w:rsidRDefault="00B95E7E" w:rsidP="00E669E2">
          <w:pPr>
            <w:pStyle w:val="HeaderOdd"/>
          </w:pPr>
        </w:p>
      </w:tc>
      <w:tc>
        <w:tcPr>
          <w:tcW w:w="2155" w:type="dxa"/>
          <w:tcBorders>
            <w:top w:val="single" w:sz="24" w:space="0" w:color="auto"/>
          </w:tcBorders>
        </w:tcPr>
        <w:p w:rsidR="00B95E7E" w:rsidRDefault="00B95E7E" w:rsidP="00E669E2">
          <w:pPr>
            <w:pStyle w:val="HeaderOdd"/>
          </w:pPr>
        </w:p>
      </w:tc>
    </w:tr>
  </w:tbl>
  <w:p w:rsidR="00B95E7E" w:rsidRDefault="00B95E7E"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3104AE2"/>
    <w:lvl w:ilvl="0">
      <w:start w:val="1"/>
      <w:numFmt w:val="decimal"/>
      <w:lvlText w:val="%1."/>
      <w:lvlJc w:val="left"/>
      <w:pPr>
        <w:tabs>
          <w:tab w:val="num" w:pos="360"/>
        </w:tabs>
        <w:ind w:left="360" w:hanging="360"/>
      </w:pPr>
    </w:lvl>
  </w:abstractNum>
  <w:abstractNum w:abstractNumId="1">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3F86AF2"/>
    <w:multiLevelType w:val="hybridMultilevel"/>
    <w:tmpl w:val="A75628BC"/>
    <w:lvl w:ilvl="0" w:tplc="2EC6F11E">
      <w:start w:val="1"/>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6">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7">
    <w:nsid w:val="07A60C44"/>
    <w:multiLevelType w:val="hybridMultilevel"/>
    <w:tmpl w:val="9398CF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ED95F65"/>
    <w:multiLevelType w:val="multilevel"/>
    <w:tmpl w:val="5AC25C44"/>
    <w:lvl w:ilvl="0">
      <w:start w:val="1"/>
      <w:numFmt w:val="lowerLetter"/>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1">
    <w:nsid w:val="1D283E2E"/>
    <w:multiLevelType w:val="multilevel"/>
    <w:tmpl w:val="42B239F4"/>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2">
    <w:nsid w:val="1EB81FB9"/>
    <w:multiLevelType w:val="hybridMultilevel"/>
    <w:tmpl w:val="53065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4">
    <w:nsid w:val="2ACA3499"/>
    <w:multiLevelType w:val="hybridMultilevel"/>
    <w:tmpl w:val="4B80F5D2"/>
    <w:lvl w:ilvl="0" w:tplc="0C090001">
      <w:start w:val="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B6C0F47"/>
    <w:multiLevelType w:val="hybridMultilevel"/>
    <w:tmpl w:val="FCCA8278"/>
    <w:lvl w:ilvl="0" w:tplc="792C04AE">
      <w:start w:val="1"/>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CC66D8E"/>
    <w:multiLevelType w:val="hybridMultilevel"/>
    <w:tmpl w:val="7DE667B0"/>
    <w:lvl w:ilvl="0" w:tplc="91F8659C">
      <w:start w:val="8"/>
      <w:numFmt w:val="decimal"/>
      <w:lvlText w:val="%1"/>
      <w:lvlJc w:val="left"/>
      <w:pPr>
        <w:ind w:left="700" w:hanging="360"/>
      </w:pPr>
      <w:rPr>
        <w:rFonts w:hint="default"/>
      </w:rPr>
    </w:lvl>
    <w:lvl w:ilvl="1" w:tplc="0C090019" w:tentative="1">
      <w:start w:val="1"/>
      <w:numFmt w:val="lowerLetter"/>
      <w:lvlText w:val="%2."/>
      <w:lvlJc w:val="left"/>
      <w:pPr>
        <w:ind w:left="1420" w:hanging="360"/>
      </w:pPr>
    </w:lvl>
    <w:lvl w:ilvl="2" w:tplc="0C09001B" w:tentative="1">
      <w:start w:val="1"/>
      <w:numFmt w:val="lowerRoman"/>
      <w:lvlText w:val="%3."/>
      <w:lvlJc w:val="right"/>
      <w:pPr>
        <w:ind w:left="2140" w:hanging="180"/>
      </w:pPr>
    </w:lvl>
    <w:lvl w:ilvl="3" w:tplc="0C09000F" w:tentative="1">
      <w:start w:val="1"/>
      <w:numFmt w:val="decimal"/>
      <w:lvlText w:val="%4."/>
      <w:lvlJc w:val="left"/>
      <w:pPr>
        <w:ind w:left="2860" w:hanging="360"/>
      </w:pPr>
    </w:lvl>
    <w:lvl w:ilvl="4" w:tplc="0C090019" w:tentative="1">
      <w:start w:val="1"/>
      <w:numFmt w:val="lowerLetter"/>
      <w:lvlText w:val="%5."/>
      <w:lvlJc w:val="left"/>
      <w:pPr>
        <w:ind w:left="3580" w:hanging="360"/>
      </w:pPr>
    </w:lvl>
    <w:lvl w:ilvl="5" w:tplc="0C09001B" w:tentative="1">
      <w:start w:val="1"/>
      <w:numFmt w:val="lowerRoman"/>
      <w:lvlText w:val="%6."/>
      <w:lvlJc w:val="right"/>
      <w:pPr>
        <w:ind w:left="4300" w:hanging="180"/>
      </w:pPr>
    </w:lvl>
    <w:lvl w:ilvl="6" w:tplc="0C09000F" w:tentative="1">
      <w:start w:val="1"/>
      <w:numFmt w:val="decimal"/>
      <w:lvlText w:val="%7."/>
      <w:lvlJc w:val="left"/>
      <w:pPr>
        <w:ind w:left="5020" w:hanging="360"/>
      </w:pPr>
    </w:lvl>
    <w:lvl w:ilvl="7" w:tplc="0C090019" w:tentative="1">
      <w:start w:val="1"/>
      <w:numFmt w:val="lowerLetter"/>
      <w:lvlText w:val="%8."/>
      <w:lvlJc w:val="left"/>
      <w:pPr>
        <w:ind w:left="5740" w:hanging="360"/>
      </w:pPr>
    </w:lvl>
    <w:lvl w:ilvl="8" w:tplc="0C09001B" w:tentative="1">
      <w:start w:val="1"/>
      <w:numFmt w:val="lowerRoman"/>
      <w:lvlText w:val="%9."/>
      <w:lvlJc w:val="right"/>
      <w:pPr>
        <w:ind w:left="6460" w:hanging="180"/>
      </w:pPr>
    </w:lvl>
  </w:abstractNum>
  <w:abstractNum w:abstractNumId="17">
    <w:nsid w:val="2F9D44AE"/>
    <w:multiLevelType w:val="hybridMultilevel"/>
    <w:tmpl w:val="FF70FDA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9">
    <w:nsid w:val="31AD6BAC"/>
    <w:multiLevelType w:val="hybridMultilevel"/>
    <w:tmpl w:val="0A62B73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402A49E3"/>
    <w:multiLevelType w:val="hybridMultilevel"/>
    <w:tmpl w:val="A566D410"/>
    <w:lvl w:ilvl="0" w:tplc="C8108848">
      <w:start w:val="1"/>
      <w:numFmt w:val="bullet"/>
      <w:lvlText w:val=""/>
      <w:lvlJc w:val="left"/>
      <w:pPr>
        <w:ind w:left="366" w:hanging="360"/>
      </w:pPr>
      <w:rPr>
        <w:rFonts w:ascii="Symbol" w:eastAsia="Times New Roman" w:hAnsi="Symbol" w:cs="Times New Roman" w:hint="default"/>
      </w:rPr>
    </w:lvl>
    <w:lvl w:ilvl="1" w:tplc="0C090003" w:tentative="1">
      <w:start w:val="1"/>
      <w:numFmt w:val="bullet"/>
      <w:lvlText w:val="o"/>
      <w:lvlJc w:val="left"/>
      <w:pPr>
        <w:ind w:left="1086" w:hanging="360"/>
      </w:pPr>
      <w:rPr>
        <w:rFonts w:ascii="Courier New" w:hAnsi="Courier New" w:cs="Courier New" w:hint="default"/>
      </w:rPr>
    </w:lvl>
    <w:lvl w:ilvl="2" w:tplc="0C090005" w:tentative="1">
      <w:start w:val="1"/>
      <w:numFmt w:val="bullet"/>
      <w:lvlText w:val=""/>
      <w:lvlJc w:val="left"/>
      <w:pPr>
        <w:ind w:left="1806" w:hanging="360"/>
      </w:pPr>
      <w:rPr>
        <w:rFonts w:ascii="Wingdings" w:hAnsi="Wingdings" w:hint="default"/>
      </w:rPr>
    </w:lvl>
    <w:lvl w:ilvl="3" w:tplc="0C090001" w:tentative="1">
      <w:start w:val="1"/>
      <w:numFmt w:val="bullet"/>
      <w:lvlText w:val=""/>
      <w:lvlJc w:val="left"/>
      <w:pPr>
        <w:ind w:left="2526" w:hanging="360"/>
      </w:pPr>
      <w:rPr>
        <w:rFonts w:ascii="Symbol" w:hAnsi="Symbol" w:hint="default"/>
      </w:rPr>
    </w:lvl>
    <w:lvl w:ilvl="4" w:tplc="0C090003" w:tentative="1">
      <w:start w:val="1"/>
      <w:numFmt w:val="bullet"/>
      <w:lvlText w:val="o"/>
      <w:lvlJc w:val="left"/>
      <w:pPr>
        <w:ind w:left="3246" w:hanging="360"/>
      </w:pPr>
      <w:rPr>
        <w:rFonts w:ascii="Courier New" w:hAnsi="Courier New" w:cs="Courier New" w:hint="default"/>
      </w:rPr>
    </w:lvl>
    <w:lvl w:ilvl="5" w:tplc="0C090005" w:tentative="1">
      <w:start w:val="1"/>
      <w:numFmt w:val="bullet"/>
      <w:lvlText w:val=""/>
      <w:lvlJc w:val="left"/>
      <w:pPr>
        <w:ind w:left="3966" w:hanging="360"/>
      </w:pPr>
      <w:rPr>
        <w:rFonts w:ascii="Wingdings" w:hAnsi="Wingdings" w:hint="default"/>
      </w:rPr>
    </w:lvl>
    <w:lvl w:ilvl="6" w:tplc="0C090001" w:tentative="1">
      <w:start w:val="1"/>
      <w:numFmt w:val="bullet"/>
      <w:lvlText w:val=""/>
      <w:lvlJc w:val="left"/>
      <w:pPr>
        <w:ind w:left="4686" w:hanging="360"/>
      </w:pPr>
      <w:rPr>
        <w:rFonts w:ascii="Symbol" w:hAnsi="Symbol" w:hint="default"/>
      </w:rPr>
    </w:lvl>
    <w:lvl w:ilvl="7" w:tplc="0C090003" w:tentative="1">
      <w:start w:val="1"/>
      <w:numFmt w:val="bullet"/>
      <w:lvlText w:val="o"/>
      <w:lvlJc w:val="left"/>
      <w:pPr>
        <w:ind w:left="5406" w:hanging="360"/>
      </w:pPr>
      <w:rPr>
        <w:rFonts w:ascii="Courier New" w:hAnsi="Courier New" w:cs="Courier New" w:hint="default"/>
      </w:rPr>
    </w:lvl>
    <w:lvl w:ilvl="8" w:tplc="0C090005" w:tentative="1">
      <w:start w:val="1"/>
      <w:numFmt w:val="bullet"/>
      <w:lvlText w:val=""/>
      <w:lvlJc w:val="left"/>
      <w:pPr>
        <w:ind w:left="6126" w:hanging="360"/>
      </w:pPr>
      <w:rPr>
        <w:rFonts w:ascii="Wingdings" w:hAnsi="Wingdings" w:hint="default"/>
      </w:rPr>
    </w:lvl>
  </w:abstractNum>
  <w:abstractNum w:abstractNumId="21">
    <w:nsid w:val="4F373694"/>
    <w:multiLevelType w:val="hybridMultilevel"/>
    <w:tmpl w:val="05B8DB3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3">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4">
    <w:nsid w:val="54EC1668"/>
    <w:multiLevelType w:val="hybridMultilevel"/>
    <w:tmpl w:val="0C486A8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6">
    <w:nsid w:val="621918F9"/>
    <w:multiLevelType w:val="hybridMultilevel"/>
    <w:tmpl w:val="541662D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8">
    <w:nsid w:val="6CC92220"/>
    <w:multiLevelType w:val="hybridMultilevel"/>
    <w:tmpl w:val="6784AF82"/>
    <w:lvl w:ilvl="0" w:tplc="0C090001">
      <w:start w:val="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72A16484"/>
    <w:multiLevelType w:val="hybridMultilevel"/>
    <w:tmpl w:val="FC8AFA10"/>
    <w:lvl w:ilvl="0" w:tplc="D4F44742">
      <w:start w:val="1"/>
      <w:numFmt w:val="decimal"/>
      <w:lvlText w:val="%1"/>
      <w:lvlJc w:val="left"/>
      <w:pPr>
        <w:ind w:left="1263" w:hanging="903"/>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74B93883"/>
    <w:multiLevelType w:val="hybridMultilevel"/>
    <w:tmpl w:val="1D1ACAF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75C55FE0"/>
    <w:multiLevelType w:val="hybridMultilevel"/>
    <w:tmpl w:val="ECCE581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79BB5726"/>
    <w:multiLevelType w:val="hybridMultilevel"/>
    <w:tmpl w:val="390AAAA2"/>
    <w:lvl w:ilvl="0" w:tplc="1060A292">
      <w:start w:val="1"/>
      <w:numFmt w:val="bullet"/>
      <w:lvlText w:val="-"/>
      <w:lvlJc w:val="left"/>
      <w:pPr>
        <w:ind w:left="1080" w:hanging="360"/>
      </w:pPr>
      <w:rPr>
        <w:rFonts w:ascii="Arial" w:eastAsia="Times New Roman"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8"/>
  </w:num>
  <w:num w:numId="2">
    <w:abstractNumId w:val="6"/>
  </w:num>
  <w:num w:numId="3">
    <w:abstractNumId w:val="33"/>
  </w:num>
  <w:num w:numId="4">
    <w:abstractNumId w:val="3"/>
  </w:num>
  <w:num w:numId="5">
    <w:abstractNumId w:val="22"/>
  </w:num>
  <w:num w:numId="6">
    <w:abstractNumId w:val="5"/>
  </w:num>
  <w:num w:numId="7">
    <w:abstractNumId w:val="27"/>
  </w:num>
  <w:num w:numId="8">
    <w:abstractNumId w:val="25"/>
  </w:num>
  <w:num w:numId="9">
    <w:abstractNumId w:val="34"/>
  </w:num>
  <w:num w:numId="10">
    <w:abstractNumId w:val="10"/>
  </w:num>
  <w:num w:numId="11">
    <w:abstractNumId w:val="23"/>
  </w:num>
  <w:num w:numId="12">
    <w:abstractNumId w:val="9"/>
  </w:num>
  <w:num w:numId="13">
    <w:abstractNumId w:val="8"/>
  </w:num>
  <w:num w:numId="14">
    <w:abstractNumId w:val="13"/>
  </w:num>
  <w:num w:numId="15">
    <w:abstractNumId w:val="26"/>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4"/>
  </w:num>
  <w:num w:numId="19">
    <w:abstractNumId w:val="31"/>
  </w:num>
  <w:num w:numId="20">
    <w:abstractNumId w:val="24"/>
  </w:num>
  <w:num w:numId="21">
    <w:abstractNumId w:val="19"/>
  </w:num>
  <w:num w:numId="22">
    <w:abstractNumId w:val="30"/>
  </w:num>
  <w:num w:numId="23">
    <w:abstractNumId w:val="0"/>
  </w:num>
  <w:num w:numId="24">
    <w:abstractNumId w:val="2"/>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5">
    <w:abstractNumId w:val="15"/>
  </w:num>
  <w:num w:numId="26">
    <w:abstractNumId w:val="17"/>
  </w:num>
  <w:num w:numId="27">
    <w:abstractNumId w:val="21"/>
  </w:num>
  <w:num w:numId="28">
    <w:abstractNumId w:val="29"/>
  </w:num>
  <w:num w:numId="29">
    <w:abstractNumId w:val="28"/>
  </w:num>
  <w:num w:numId="30">
    <w:abstractNumId w:val="32"/>
  </w:num>
  <w:num w:numId="31">
    <w:abstractNumId w:val="7"/>
  </w:num>
  <w:num w:numId="32">
    <w:abstractNumId w:val="22"/>
  </w:num>
  <w:num w:numId="33">
    <w:abstractNumId w:val="22"/>
  </w:num>
  <w:num w:numId="34">
    <w:abstractNumId w:val="22"/>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20"/>
  </w:num>
  <w:num w:numId="39">
    <w:abstractNumId w:val="12"/>
  </w:num>
  <w:num w:numId="40">
    <w:abstractNumId w:val="18"/>
  </w:num>
  <w:num w:numId="41">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37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F"/>
    <w:docVar w:name="FindingOptions" w:val="1"/>
    <w:docVar w:name="RecOptions" w:val="111"/>
    <w:docVar w:name="ShortChapterTitle" w:val="Transmission reliability"/>
    <w:docVar w:name="ShortReportTitle" w:val="Electricity Network Regulation"/>
  </w:docVars>
  <w:rsids>
    <w:rsidRoot w:val="00B92739"/>
    <w:rsid w:val="000123D5"/>
    <w:rsid w:val="00012DD2"/>
    <w:rsid w:val="00023413"/>
    <w:rsid w:val="00023569"/>
    <w:rsid w:val="00023717"/>
    <w:rsid w:val="000245AA"/>
    <w:rsid w:val="000249CB"/>
    <w:rsid w:val="00024F34"/>
    <w:rsid w:val="00025279"/>
    <w:rsid w:val="000252EB"/>
    <w:rsid w:val="0002785C"/>
    <w:rsid w:val="00030334"/>
    <w:rsid w:val="00031430"/>
    <w:rsid w:val="000314E4"/>
    <w:rsid w:val="00032CED"/>
    <w:rsid w:val="000342EF"/>
    <w:rsid w:val="0003664B"/>
    <w:rsid w:val="00036837"/>
    <w:rsid w:val="00037276"/>
    <w:rsid w:val="0003798B"/>
    <w:rsid w:val="0004111F"/>
    <w:rsid w:val="000411AD"/>
    <w:rsid w:val="00042165"/>
    <w:rsid w:val="00042438"/>
    <w:rsid w:val="00042900"/>
    <w:rsid w:val="0004296B"/>
    <w:rsid w:val="000508E3"/>
    <w:rsid w:val="00050D65"/>
    <w:rsid w:val="00051275"/>
    <w:rsid w:val="000518FB"/>
    <w:rsid w:val="00052D70"/>
    <w:rsid w:val="0005657D"/>
    <w:rsid w:val="000565B3"/>
    <w:rsid w:val="0005721C"/>
    <w:rsid w:val="000606C7"/>
    <w:rsid w:val="0006281F"/>
    <w:rsid w:val="000637C3"/>
    <w:rsid w:val="00065178"/>
    <w:rsid w:val="00067EC6"/>
    <w:rsid w:val="0007150B"/>
    <w:rsid w:val="00071D34"/>
    <w:rsid w:val="000725E1"/>
    <w:rsid w:val="00073A0F"/>
    <w:rsid w:val="00074A92"/>
    <w:rsid w:val="00076ABB"/>
    <w:rsid w:val="000811EF"/>
    <w:rsid w:val="00081241"/>
    <w:rsid w:val="00082DA5"/>
    <w:rsid w:val="00083448"/>
    <w:rsid w:val="00083487"/>
    <w:rsid w:val="00083C47"/>
    <w:rsid w:val="00083CC5"/>
    <w:rsid w:val="000845F0"/>
    <w:rsid w:val="0009271E"/>
    <w:rsid w:val="00093383"/>
    <w:rsid w:val="000938F5"/>
    <w:rsid w:val="00095875"/>
    <w:rsid w:val="00096534"/>
    <w:rsid w:val="000A1528"/>
    <w:rsid w:val="000A17B8"/>
    <w:rsid w:val="000A1895"/>
    <w:rsid w:val="000A2F35"/>
    <w:rsid w:val="000A3D26"/>
    <w:rsid w:val="000A56DB"/>
    <w:rsid w:val="000A69CB"/>
    <w:rsid w:val="000A7224"/>
    <w:rsid w:val="000A7B76"/>
    <w:rsid w:val="000B0E91"/>
    <w:rsid w:val="000B12E0"/>
    <w:rsid w:val="000B317F"/>
    <w:rsid w:val="000B389A"/>
    <w:rsid w:val="000B3E61"/>
    <w:rsid w:val="000B3E6C"/>
    <w:rsid w:val="000B4DD7"/>
    <w:rsid w:val="000B5DB3"/>
    <w:rsid w:val="000B601B"/>
    <w:rsid w:val="000C05EE"/>
    <w:rsid w:val="000C1544"/>
    <w:rsid w:val="000C17E0"/>
    <w:rsid w:val="000C207E"/>
    <w:rsid w:val="000C4C8B"/>
    <w:rsid w:val="000C5346"/>
    <w:rsid w:val="000C53A1"/>
    <w:rsid w:val="000C7CFD"/>
    <w:rsid w:val="000C7F25"/>
    <w:rsid w:val="000D203E"/>
    <w:rsid w:val="000D2487"/>
    <w:rsid w:val="000D5FAC"/>
    <w:rsid w:val="000D6151"/>
    <w:rsid w:val="000D62D4"/>
    <w:rsid w:val="000E3B48"/>
    <w:rsid w:val="000E3B5E"/>
    <w:rsid w:val="000E3EE2"/>
    <w:rsid w:val="000E4A6D"/>
    <w:rsid w:val="000E5056"/>
    <w:rsid w:val="000E5CA1"/>
    <w:rsid w:val="000F5E60"/>
    <w:rsid w:val="00100ED6"/>
    <w:rsid w:val="00101DF7"/>
    <w:rsid w:val="00102E10"/>
    <w:rsid w:val="00105426"/>
    <w:rsid w:val="00107739"/>
    <w:rsid w:val="00110116"/>
    <w:rsid w:val="00111929"/>
    <w:rsid w:val="00111FF6"/>
    <w:rsid w:val="001126B7"/>
    <w:rsid w:val="001142D1"/>
    <w:rsid w:val="00115730"/>
    <w:rsid w:val="00124E28"/>
    <w:rsid w:val="00125C9B"/>
    <w:rsid w:val="00125CA9"/>
    <w:rsid w:val="00126EB8"/>
    <w:rsid w:val="001274D4"/>
    <w:rsid w:val="0013199D"/>
    <w:rsid w:val="00132DCC"/>
    <w:rsid w:val="0013322E"/>
    <w:rsid w:val="00133B48"/>
    <w:rsid w:val="0013550E"/>
    <w:rsid w:val="00135B4D"/>
    <w:rsid w:val="001360C0"/>
    <w:rsid w:val="001363AA"/>
    <w:rsid w:val="001369C6"/>
    <w:rsid w:val="001402AA"/>
    <w:rsid w:val="00140F96"/>
    <w:rsid w:val="00142BE6"/>
    <w:rsid w:val="00156309"/>
    <w:rsid w:val="00157194"/>
    <w:rsid w:val="00157C66"/>
    <w:rsid w:val="00160150"/>
    <w:rsid w:val="00163E24"/>
    <w:rsid w:val="001709D6"/>
    <w:rsid w:val="0017329B"/>
    <w:rsid w:val="0017332D"/>
    <w:rsid w:val="00174C97"/>
    <w:rsid w:val="001756DC"/>
    <w:rsid w:val="00177405"/>
    <w:rsid w:val="001809F5"/>
    <w:rsid w:val="00181AC1"/>
    <w:rsid w:val="00182A2D"/>
    <w:rsid w:val="00183E82"/>
    <w:rsid w:val="00185BD4"/>
    <w:rsid w:val="00185C54"/>
    <w:rsid w:val="00191AE0"/>
    <w:rsid w:val="0019293B"/>
    <w:rsid w:val="00192CEC"/>
    <w:rsid w:val="00193950"/>
    <w:rsid w:val="001961CD"/>
    <w:rsid w:val="001A089D"/>
    <w:rsid w:val="001A1B16"/>
    <w:rsid w:val="001A2CAA"/>
    <w:rsid w:val="001A2DFC"/>
    <w:rsid w:val="001A32CE"/>
    <w:rsid w:val="001A3886"/>
    <w:rsid w:val="001A6409"/>
    <w:rsid w:val="001A6F67"/>
    <w:rsid w:val="001A733C"/>
    <w:rsid w:val="001B1599"/>
    <w:rsid w:val="001B23D9"/>
    <w:rsid w:val="001B3C4A"/>
    <w:rsid w:val="001B4480"/>
    <w:rsid w:val="001B4ABE"/>
    <w:rsid w:val="001B5388"/>
    <w:rsid w:val="001B6B90"/>
    <w:rsid w:val="001C0865"/>
    <w:rsid w:val="001C0C49"/>
    <w:rsid w:val="001C17D4"/>
    <w:rsid w:val="001C1C8C"/>
    <w:rsid w:val="001C3ABA"/>
    <w:rsid w:val="001D000F"/>
    <w:rsid w:val="001D0DB5"/>
    <w:rsid w:val="001D3415"/>
    <w:rsid w:val="001D5FF3"/>
    <w:rsid w:val="001E3AF1"/>
    <w:rsid w:val="001E40F8"/>
    <w:rsid w:val="001E51DA"/>
    <w:rsid w:val="001E554E"/>
    <w:rsid w:val="001E7BE8"/>
    <w:rsid w:val="001F0248"/>
    <w:rsid w:val="001F05FF"/>
    <w:rsid w:val="001F0F5C"/>
    <w:rsid w:val="001F121A"/>
    <w:rsid w:val="001F2F7B"/>
    <w:rsid w:val="001F3EB3"/>
    <w:rsid w:val="00200A4A"/>
    <w:rsid w:val="00202C2C"/>
    <w:rsid w:val="00204AD1"/>
    <w:rsid w:val="002055D0"/>
    <w:rsid w:val="002062C1"/>
    <w:rsid w:val="0020664F"/>
    <w:rsid w:val="00206A83"/>
    <w:rsid w:val="00207062"/>
    <w:rsid w:val="00211AF6"/>
    <w:rsid w:val="002142FF"/>
    <w:rsid w:val="00220C5B"/>
    <w:rsid w:val="00221A18"/>
    <w:rsid w:val="00221C8E"/>
    <w:rsid w:val="00224577"/>
    <w:rsid w:val="00224667"/>
    <w:rsid w:val="002262E7"/>
    <w:rsid w:val="00227B4C"/>
    <w:rsid w:val="00230A7B"/>
    <w:rsid w:val="00231B6E"/>
    <w:rsid w:val="0023200A"/>
    <w:rsid w:val="00232829"/>
    <w:rsid w:val="002329E5"/>
    <w:rsid w:val="002334D6"/>
    <w:rsid w:val="00234184"/>
    <w:rsid w:val="00235EC4"/>
    <w:rsid w:val="00236940"/>
    <w:rsid w:val="0024061A"/>
    <w:rsid w:val="00242279"/>
    <w:rsid w:val="00243014"/>
    <w:rsid w:val="00243393"/>
    <w:rsid w:val="00245C82"/>
    <w:rsid w:val="002468BB"/>
    <w:rsid w:val="00250A6A"/>
    <w:rsid w:val="00254878"/>
    <w:rsid w:val="00255BE6"/>
    <w:rsid w:val="00256014"/>
    <w:rsid w:val="002567A8"/>
    <w:rsid w:val="002605B3"/>
    <w:rsid w:val="0026146E"/>
    <w:rsid w:val="00261711"/>
    <w:rsid w:val="00262EEF"/>
    <w:rsid w:val="0026336A"/>
    <w:rsid w:val="0026476F"/>
    <w:rsid w:val="00264B3A"/>
    <w:rsid w:val="002668C4"/>
    <w:rsid w:val="00267F11"/>
    <w:rsid w:val="002700DD"/>
    <w:rsid w:val="002722A5"/>
    <w:rsid w:val="00273B4C"/>
    <w:rsid w:val="00273C64"/>
    <w:rsid w:val="00274C0E"/>
    <w:rsid w:val="0028587E"/>
    <w:rsid w:val="002869EF"/>
    <w:rsid w:val="00291B40"/>
    <w:rsid w:val="00291F19"/>
    <w:rsid w:val="00292219"/>
    <w:rsid w:val="002A1BF6"/>
    <w:rsid w:val="002A3D5F"/>
    <w:rsid w:val="002A458B"/>
    <w:rsid w:val="002A509D"/>
    <w:rsid w:val="002A6901"/>
    <w:rsid w:val="002B00DD"/>
    <w:rsid w:val="002B2046"/>
    <w:rsid w:val="002B20B9"/>
    <w:rsid w:val="002B3345"/>
    <w:rsid w:val="002B371B"/>
    <w:rsid w:val="002B4008"/>
    <w:rsid w:val="002B44AD"/>
    <w:rsid w:val="002B4A74"/>
    <w:rsid w:val="002B5D52"/>
    <w:rsid w:val="002B6C72"/>
    <w:rsid w:val="002B7A05"/>
    <w:rsid w:val="002C0B56"/>
    <w:rsid w:val="002C1CC5"/>
    <w:rsid w:val="002C1DB2"/>
    <w:rsid w:val="002C21DE"/>
    <w:rsid w:val="002C40C3"/>
    <w:rsid w:val="002C47A6"/>
    <w:rsid w:val="002C65D0"/>
    <w:rsid w:val="002C6AC6"/>
    <w:rsid w:val="002C726E"/>
    <w:rsid w:val="002C72A5"/>
    <w:rsid w:val="002C7719"/>
    <w:rsid w:val="002D0E8E"/>
    <w:rsid w:val="002D67F0"/>
    <w:rsid w:val="002E0C24"/>
    <w:rsid w:val="002E1C15"/>
    <w:rsid w:val="002E1DE6"/>
    <w:rsid w:val="002E3E8B"/>
    <w:rsid w:val="002E4294"/>
    <w:rsid w:val="002E4ACD"/>
    <w:rsid w:val="002E54C8"/>
    <w:rsid w:val="002E5579"/>
    <w:rsid w:val="002E7619"/>
    <w:rsid w:val="002F1AB0"/>
    <w:rsid w:val="002F2FF1"/>
    <w:rsid w:val="002F3FC6"/>
    <w:rsid w:val="0030015D"/>
    <w:rsid w:val="00301189"/>
    <w:rsid w:val="003016E7"/>
    <w:rsid w:val="00301C26"/>
    <w:rsid w:val="00302753"/>
    <w:rsid w:val="003027CB"/>
    <w:rsid w:val="00306936"/>
    <w:rsid w:val="003111A2"/>
    <w:rsid w:val="00312EF3"/>
    <w:rsid w:val="00315D87"/>
    <w:rsid w:val="00316198"/>
    <w:rsid w:val="0031786F"/>
    <w:rsid w:val="00320870"/>
    <w:rsid w:val="00320C36"/>
    <w:rsid w:val="00321E21"/>
    <w:rsid w:val="00323E09"/>
    <w:rsid w:val="00324BD0"/>
    <w:rsid w:val="00326A2E"/>
    <w:rsid w:val="00327A8C"/>
    <w:rsid w:val="00327BE6"/>
    <w:rsid w:val="0033158D"/>
    <w:rsid w:val="00332E73"/>
    <w:rsid w:val="00333932"/>
    <w:rsid w:val="00334B36"/>
    <w:rsid w:val="00336247"/>
    <w:rsid w:val="003362F9"/>
    <w:rsid w:val="0034328D"/>
    <w:rsid w:val="0034450A"/>
    <w:rsid w:val="003448C1"/>
    <w:rsid w:val="0034732C"/>
    <w:rsid w:val="003518AA"/>
    <w:rsid w:val="003519FA"/>
    <w:rsid w:val="00352165"/>
    <w:rsid w:val="00352758"/>
    <w:rsid w:val="00353182"/>
    <w:rsid w:val="003565D9"/>
    <w:rsid w:val="00357A5E"/>
    <w:rsid w:val="003602E1"/>
    <w:rsid w:val="0036216E"/>
    <w:rsid w:val="00362E9A"/>
    <w:rsid w:val="0036429C"/>
    <w:rsid w:val="00364D8A"/>
    <w:rsid w:val="00366DF0"/>
    <w:rsid w:val="00367799"/>
    <w:rsid w:val="0037026F"/>
    <w:rsid w:val="00370826"/>
    <w:rsid w:val="00371240"/>
    <w:rsid w:val="00371D1A"/>
    <w:rsid w:val="00372211"/>
    <w:rsid w:val="00372E23"/>
    <w:rsid w:val="00373BAA"/>
    <w:rsid w:val="00374731"/>
    <w:rsid w:val="00374F7F"/>
    <w:rsid w:val="00375A73"/>
    <w:rsid w:val="00380643"/>
    <w:rsid w:val="00381D85"/>
    <w:rsid w:val="00384468"/>
    <w:rsid w:val="003849D6"/>
    <w:rsid w:val="00384CED"/>
    <w:rsid w:val="00386419"/>
    <w:rsid w:val="0038695D"/>
    <w:rsid w:val="00387984"/>
    <w:rsid w:val="00387C60"/>
    <w:rsid w:val="003919F9"/>
    <w:rsid w:val="00391C45"/>
    <w:rsid w:val="0039738C"/>
    <w:rsid w:val="003A0245"/>
    <w:rsid w:val="003A05F8"/>
    <w:rsid w:val="003A0CF7"/>
    <w:rsid w:val="003A195B"/>
    <w:rsid w:val="003A2C8A"/>
    <w:rsid w:val="003A32D8"/>
    <w:rsid w:val="003A36E3"/>
    <w:rsid w:val="003A5C3B"/>
    <w:rsid w:val="003A5E23"/>
    <w:rsid w:val="003A5FF4"/>
    <w:rsid w:val="003A7224"/>
    <w:rsid w:val="003B0925"/>
    <w:rsid w:val="003B128F"/>
    <w:rsid w:val="003B3B39"/>
    <w:rsid w:val="003B5606"/>
    <w:rsid w:val="003B7B11"/>
    <w:rsid w:val="003B7E4E"/>
    <w:rsid w:val="003C0841"/>
    <w:rsid w:val="003C38B5"/>
    <w:rsid w:val="003C4E98"/>
    <w:rsid w:val="003C5D99"/>
    <w:rsid w:val="003C6714"/>
    <w:rsid w:val="003D1DCA"/>
    <w:rsid w:val="003D23B5"/>
    <w:rsid w:val="003D3534"/>
    <w:rsid w:val="003D3B9B"/>
    <w:rsid w:val="003D76DC"/>
    <w:rsid w:val="003E0C93"/>
    <w:rsid w:val="003E2F59"/>
    <w:rsid w:val="003E556E"/>
    <w:rsid w:val="003E5666"/>
    <w:rsid w:val="003F0789"/>
    <w:rsid w:val="003F290B"/>
    <w:rsid w:val="003F3C4E"/>
    <w:rsid w:val="003F40E9"/>
    <w:rsid w:val="003F7530"/>
    <w:rsid w:val="003F7A6F"/>
    <w:rsid w:val="00401882"/>
    <w:rsid w:val="00401E7C"/>
    <w:rsid w:val="00402623"/>
    <w:rsid w:val="00407A21"/>
    <w:rsid w:val="004100C8"/>
    <w:rsid w:val="00411DA0"/>
    <w:rsid w:val="00411DBD"/>
    <w:rsid w:val="00411DEE"/>
    <w:rsid w:val="004124C0"/>
    <w:rsid w:val="00412ACE"/>
    <w:rsid w:val="0041330E"/>
    <w:rsid w:val="0041368A"/>
    <w:rsid w:val="0041368B"/>
    <w:rsid w:val="00413A6C"/>
    <w:rsid w:val="00413D71"/>
    <w:rsid w:val="0041406E"/>
    <w:rsid w:val="004145AC"/>
    <w:rsid w:val="004170BB"/>
    <w:rsid w:val="00417D69"/>
    <w:rsid w:val="00422534"/>
    <w:rsid w:val="004228A3"/>
    <w:rsid w:val="00425300"/>
    <w:rsid w:val="00431249"/>
    <w:rsid w:val="004322BC"/>
    <w:rsid w:val="00433DFC"/>
    <w:rsid w:val="00434C19"/>
    <w:rsid w:val="00435A7E"/>
    <w:rsid w:val="004416AB"/>
    <w:rsid w:val="00442029"/>
    <w:rsid w:val="004425AF"/>
    <w:rsid w:val="00442BA8"/>
    <w:rsid w:val="00446232"/>
    <w:rsid w:val="00450810"/>
    <w:rsid w:val="00450D58"/>
    <w:rsid w:val="00451CAE"/>
    <w:rsid w:val="00452E14"/>
    <w:rsid w:val="0045307B"/>
    <w:rsid w:val="00460D28"/>
    <w:rsid w:val="00461F3D"/>
    <w:rsid w:val="00464C44"/>
    <w:rsid w:val="00466354"/>
    <w:rsid w:val="004678B5"/>
    <w:rsid w:val="0047352C"/>
    <w:rsid w:val="004744E8"/>
    <w:rsid w:val="0047600B"/>
    <w:rsid w:val="00477144"/>
    <w:rsid w:val="004772DD"/>
    <w:rsid w:val="00477466"/>
    <w:rsid w:val="0048081B"/>
    <w:rsid w:val="004830AB"/>
    <w:rsid w:val="004832B8"/>
    <w:rsid w:val="00484181"/>
    <w:rsid w:val="0048678E"/>
    <w:rsid w:val="0049205B"/>
    <w:rsid w:val="00493AED"/>
    <w:rsid w:val="0049459F"/>
    <w:rsid w:val="00495324"/>
    <w:rsid w:val="004A0BA1"/>
    <w:rsid w:val="004A0FC2"/>
    <w:rsid w:val="004A38DD"/>
    <w:rsid w:val="004A6068"/>
    <w:rsid w:val="004A6DD9"/>
    <w:rsid w:val="004A72CA"/>
    <w:rsid w:val="004A75EA"/>
    <w:rsid w:val="004B1C14"/>
    <w:rsid w:val="004B3BBF"/>
    <w:rsid w:val="004B43AE"/>
    <w:rsid w:val="004B6DF0"/>
    <w:rsid w:val="004B7CB7"/>
    <w:rsid w:val="004C20BA"/>
    <w:rsid w:val="004C30ED"/>
    <w:rsid w:val="004C7235"/>
    <w:rsid w:val="004D0359"/>
    <w:rsid w:val="004D07D5"/>
    <w:rsid w:val="004D1492"/>
    <w:rsid w:val="004D1E2F"/>
    <w:rsid w:val="004D2F2D"/>
    <w:rsid w:val="004D3067"/>
    <w:rsid w:val="004D5461"/>
    <w:rsid w:val="004D5549"/>
    <w:rsid w:val="004D562E"/>
    <w:rsid w:val="004D5675"/>
    <w:rsid w:val="004D6B83"/>
    <w:rsid w:val="004D703A"/>
    <w:rsid w:val="004D74FF"/>
    <w:rsid w:val="004E0EA5"/>
    <w:rsid w:val="004E0F29"/>
    <w:rsid w:val="004E1D8B"/>
    <w:rsid w:val="004E1E3B"/>
    <w:rsid w:val="004E2A77"/>
    <w:rsid w:val="004E30BE"/>
    <w:rsid w:val="004E501B"/>
    <w:rsid w:val="004E5D0B"/>
    <w:rsid w:val="004E797F"/>
    <w:rsid w:val="004F095E"/>
    <w:rsid w:val="004F0F44"/>
    <w:rsid w:val="004F3A4F"/>
    <w:rsid w:val="004F5BC7"/>
    <w:rsid w:val="004F6069"/>
    <w:rsid w:val="004F7168"/>
    <w:rsid w:val="00501CE7"/>
    <w:rsid w:val="0050321F"/>
    <w:rsid w:val="00503565"/>
    <w:rsid w:val="005052B9"/>
    <w:rsid w:val="00506BE0"/>
    <w:rsid w:val="00507E4E"/>
    <w:rsid w:val="00512038"/>
    <w:rsid w:val="0051389B"/>
    <w:rsid w:val="00514113"/>
    <w:rsid w:val="005142AA"/>
    <w:rsid w:val="00514925"/>
    <w:rsid w:val="005166C0"/>
    <w:rsid w:val="0051714C"/>
    <w:rsid w:val="005175F5"/>
    <w:rsid w:val="00517890"/>
    <w:rsid w:val="00523639"/>
    <w:rsid w:val="005238FC"/>
    <w:rsid w:val="00524169"/>
    <w:rsid w:val="005243D5"/>
    <w:rsid w:val="005247DE"/>
    <w:rsid w:val="00527975"/>
    <w:rsid w:val="00527A1C"/>
    <w:rsid w:val="005321D0"/>
    <w:rsid w:val="0053254C"/>
    <w:rsid w:val="005403C2"/>
    <w:rsid w:val="0054209E"/>
    <w:rsid w:val="00542AE4"/>
    <w:rsid w:val="0054526A"/>
    <w:rsid w:val="00550550"/>
    <w:rsid w:val="00551498"/>
    <w:rsid w:val="0055167D"/>
    <w:rsid w:val="00553849"/>
    <w:rsid w:val="00553B6B"/>
    <w:rsid w:val="00553F5E"/>
    <w:rsid w:val="00557401"/>
    <w:rsid w:val="00557BE5"/>
    <w:rsid w:val="005641E3"/>
    <w:rsid w:val="00566505"/>
    <w:rsid w:val="00567003"/>
    <w:rsid w:val="005715F2"/>
    <w:rsid w:val="00571B10"/>
    <w:rsid w:val="00571CA9"/>
    <w:rsid w:val="005731BB"/>
    <w:rsid w:val="0057770D"/>
    <w:rsid w:val="00577FB1"/>
    <w:rsid w:val="00581889"/>
    <w:rsid w:val="00583C39"/>
    <w:rsid w:val="005842D6"/>
    <w:rsid w:val="00585A0B"/>
    <w:rsid w:val="005871DE"/>
    <w:rsid w:val="005877F0"/>
    <w:rsid w:val="005909CF"/>
    <w:rsid w:val="00591E71"/>
    <w:rsid w:val="005921C9"/>
    <w:rsid w:val="0059330F"/>
    <w:rsid w:val="00595C1E"/>
    <w:rsid w:val="00596A11"/>
    <w:rsid w:val="00596F0D"/>
    <w:rsid w:val="005A02FE"/>
    <w:rsid w:val="005A0D41"/>
    <w:rsid w:val="005A182E"/>
    <w:rsid w:val="005A2A29"/>
    <w:rsid w:val="005A2CF0"/>
    <w:rsid w:val="005A564A"/>
    <w:rsid w:val="005A5994"/>
    <w:rsid w:val="005A5FB2"/>
    <w:rsid w:val="005A617F"/>
    <w:rsid w:val="005A7C63"/>
    <w:rsid w:val="005B16B3"/>
    <w:rsid w:val="005B17DE"/>
    <w:rsid w:val="005B33A8"/>
    <w:rsid w:val="005B4BCA"/>
    <w:rsid w:val="005C0D16"/>
    <w:rsid w:val="005C1B71"/>
    <w:rsid w:val="005C21D4"/>
    <w:rsid w:val="005C6B6E"/>
    <w:rsid w:val="005C75C2"/>
    <w:rsid w:val="005D1924"/>
    <w:rsid w:val="005D26A8"/>
    <w:rsid w:val="005D3ECB"/>
    <w:rsid w:val="005D4FC0"/>
    <w:rsid w:val="005E0AA0"/>
    <w:rsid w:val="005E159D"/>
    <w:rsid w:val="005E675B"/>
    <w:rsid w:val="005E701A"/>
    <w:rsid w:val="005E767C"/>
    <w:rsid w:val="005E7706"/>
    <w:rsid w:val="005E7A99"/>
    <w:rsid w:val="005F0FDF"/>
    <w:rsid w:val="005F382B"/>
    <w:rsid w:val="005F4FAB"/>
    <w:rsid w:val="005F650B"/>
    <w:rsid w:val="005F65BE"/>
    <w:rsid w:val="005F7AD2"/>
    <w:rsid w:val="00600CB9"/>
    <w:rsid w:val="00601269"/>
    <w:rsid w:val="00604A13"/>
    <w:rsid w:val="006066A8"/>
    <w:rsid w:val="006073A2"/>
    <w:rsid w:val="00607BF1"/>
    <w:rsid w:val="0061020A"/>
    <w:rsid w:val="00611D1B"/>
    <w:rsid w:val="0061212D"/>
    <w:rsid w:val="006219A9"/>
    <w:rsid w:val="00622599"/>
    <w:rsid w:val="00622B5C"/>
    <w:rsid w:val="00624D3B"/>
    <w:rsid w:val="00625CDF"/>
    <w:rsid w:val="00630D4D"/>
    <w:rsid w:val="006315F0"/>
    <w:rsid w:val="00631A30"/>
    <w:rsid w:val="006324D5"/>
    <w:rsid w:val="00632A74"/>
    <w:rsid w:val="00633680"/>
    <w:rsid w:val="00636077"/>
    <w:rsid w:val="00640DEB"/>
    <w:rsid w:val="0064296E"/>
    <w:rsid w:val="00643A6D"/>
    <w:rsid w:val="006443FD"/>
    <w:rsid w:val="0064490F"/>
    <w:rsid w:val="00644AC5"/>
    <w:rsid w:val="00647CED"/>
    <w:rsid w:val="00647F26"/>
    <w:rsid w:val="00650956"/>
    <w:rsid w:val="00651B08"/>
    <w:rsid w:val="00651EA8"/>
    <w:rsid w:val="00657767"/>
    <w:rsid w:val="0066445A"/>
    <w:rsid w:val="00664C84"/>
    <w:rsid w:val="006657B2"/>
    <w:rsid w:val="0066700D"/>
    <w:rsid w:val="006721C3"/>
    <w:rsid w:val="006726C7"/>
    <w:rsid w:val="006729E8"/>
    <w:rsid w:val="00674A1C"/>
    <w:rsid w:val="006760AE"/>
    <w:rsid w:val="00681AAA"/>
    <w:rsid w:val="00681CF7"/>
    <w:rsid w:val="006837FE"/>
    <w:rsid w:val="0068524D"/>
    <w:rsid w:val="006852FA"/>
    <w:rsid w:val="00685404"/>
    <w:rsid w:val="006854EF"/>
    <w:rsid w:val="0068578D"/>
    <w:rsid w:val="0069115B"/>
    <w:rsid w:val="00692654"/>
    <w:rsid w:val="00696826"/>
    <w:rsid w:val="00697008"/>
    <w:rsid w:val="006979FE"/>
    <w:rsid w:val="00697D08"/>
    <w:rsid w:val="006A3A0F"/>
    <w:rsid w:val="006A4655"/>
    <w:rsid w:val="006A5F23"/>
    <w:rsid w:val="006A759D"/>
    <w:rsid w:val="006A785A"/>
    <w:rsid w:val="006B07D6"/>
    <w:rsid w:val="006B0E84"/>
    <w:rsid w:val="006B11A8"/>
    <w:rsid w:val="006B1499"/>
    <w:rsid w:val="006B2518"/>
    <w:rsid w:val="006B2B3C"/>
    <w:rsid w:val="006B2F04"/>
    <w:rsid w:val="006B6CCB"/>
    <w:rsid w:val="006B75C0"/>
    <w:rsid w:val="006C1D81"/>
    <w:rsid w:val="006C2671"/>
    <w:rsid w:val="006C4373"/>
    <w:rsid w:val="006C45C6"/>
    <w:rsid w:val="006C7038"/>
    <w:rsid w:val="006C717B"/>
    <w:rsid w:val="006C7834"/>
    <w:rsid w:val="006D0808"/>
    <w:rsid w:val="006D1777"/>
    <w:rsid w:val="006D19B4"/>
    <w:rsid w:val="006D2CB0"/>
    <w:rsid w:val="006D45C4"/>
    <w:rsid w:val="006D4B60"/>
    <w:rsid w:val="006D5227"/>
    <w:rsid w:val="006D52D6"/>
    <w:rsid w:val="006D6E98"/>
    <w:rsid w:val="006E2F69"/>
    <w:rsid w:val="006E73EF"/>
    <w:rsid w:val="006F1F26"/>
    <w:rsid w:val="006F200C"/>
    <w:rsid w:val="006F279B"/>
    <w:rsid w:val="006F2924"/>
    <w:rsid w:val="006F4179"/>
    <w:rsid w:val="006F609C"/>
    <w:rsid w:val="0070265C"/>
    <w:rsid w:val="00703323"/>
    <w:rsid w:val="00704481"/>
    <w:rsid w:val="00704518"/>
    <w:rsid w:val="0070531A"/>
    <w:rsid w:val="0070544F"/>
    <w:rsid w:val="00713588"/>
    <w:rsid w:val="00714D4D"/>
    <w:rsid w:val="00717457"/>
    <w:rsid w:val="007202A4"/>
    <w:rsid w:val="007214E1"/>
    <w:rsid w:val="00721A70"/>
    <w:rsid w:val="0072291E"/>
    <w:rsid w:val="007231CC"/>
    <w:rsid w:val="00737B50"/>
    <w:rsid w:val="00741F70"/>
    <w:rsid w:val="007433DE"/>
    <w:rsid w:val="007438CB"/>
    <w:rsid w:val="0074502F"/>
    <w:rsid w:val="007525C9"/>
    <w:rsid w:val="007541CD"/>
    <w:rsid w:val="007556D1"/>
    <w:rsid w:val="007559E0"/>
    <w:rsid w:val="007604BB"/>
    <w:rsid w:val="0076089A"/>
    <w:rsid w:val="00760B6B"/>
    <w:rsid w:val="00763080"/>
    <w:rsid w:val="007650BF"/>
    <w:rsid w:val="00766DD9"/>
    <w:rsid w:val="00766EF7"/>
    <w:rsid w:val="00767039"/>
    <w:rsid w:val="007704FF"/>
    <w:rsid w:val="00770F30"/>
    <w:rsid w:val="00772C73"/>
    <w:rsid w:val="0077433E"/>
    <w:rsid w:val="0077757F"/>
    <w:rsid w:val="00777681"/>
    <w:rsid w:val="00780B76"/>
    <w:rsid w:val="007831F2"/>
    <w:rsid w:val="00785232"/>
    <w:rsid w:val="00790515"/>
    <w:rsid w:val="00792F5B"/>
    <w:rsid w:val="00793920"/>
    <w:rsid w:val="00793B7A"/>
    <w:rsid w:val="007947FF"/>
    <w:rsid w:val="007971E7"/>
    <w:rsid w:val="007A21EB"/>
    <w:rsid w:val="007A228C"/>
    <w:rsid w:val="007A3B69"/>
    <w:rsid w:val="007A4648"/>
    <w:rsid w:val="007A48A9"/>
    <w:rsid w:val="007A4EB1"/>
    <w:rsid w:val="007A4FAD"/>
    <w:rsid w:val="007A6CEE"/>
    <w:rsid w:val="007A6DD5"/>
    <w:rsid w:val="007A7BF3"/>
    <w:rsid w:val="007B0F9D"/>
    <w:rsid w:val="007B1A93"/>
    <w:rsid w:val="007B527A"/>
    <w:rsid w:val="007B57D6"/>
    <w:rsid w:val="007C0BC2"/>
    <w:rsid w:val="007C12BD"/>
    <w:rsid w:val="007C1CE8"/>
    <w:rsid w:val="007C223D"/>
    <w:rsid w:val="007C2343"/>
    <w:rsid w:val="007C363B"/>
    <w:rsid w:val="007C36C9"/>
    <w:rsid w:val="007C3783"/>
    <w:rsid w:val="007C5E97"/>
    <w:rsid w:val="007C7A98"/>
    <w:rsid w:val="007D23AE"/>
    <w:rsid w:val="007D2897"/>
    <w:rsid w:val="007D28B8"/>
    <w:rsid w:val="007D5203"/>
    <w:rsid w:val="007D6401"/>
    <w:rsid w:val="007D714C"/>
    <w:rsid w:val="007E01E4"/>
    <w:rsid w:val="007E0D5B"/>
    <w:rsid w:val="007E25A6"/>
    <w:rsid w:val="007E33D7"/>
    <w:rsid w:val="007E631A"/>
    <w:rsid w:val="007E64C7"/>
    <w:rsid w:val="007E69C8"/>
    <w:rsid w:val="007E721F"/>
    <w:rsid w:val="007F09CB"/>
    <w:rsid w:val="007F0BB3"/>
    <w:rsid w:val="007F11F8"/>
    <w:rsid w:val="007F16CB"/>
    <w:rsid w:val="007F2EB7"/>
    <w:rsid w:val="007F3E48"/>
    <w:rsid w:val="007F6BE0"/>
    <w:rsid w:val="007F7107"/>
    <w:rsid w:val="008020A8"/>
    <w:rsid w:val="0081030F"/>
    <w:rsid w:val="008108EB"/>
    <w:rsid w:val="00810AA7"/>
    <w:rsid w:val="00811D4A"/>
    <w:rsid w:val="008126D0"/>
    <w:rsid w:val="00812AB6"/>
    <w:rsid w:val="0081325C"/>
    <w:rsid w:val="00813F04"/>
    <w:rsid w:val="0082087D"/>
    <w:rsid w:val="00821B4C"/>
    <w:rsid w:val="008222E9"/>
    <w:rsid w:val="00822C77"/>
    <w:rsid w:val="0082451A"/>
    <w:rsid w:val="00825B56"/>
    <w:rsid w:val="00825FC9"/>
    <w:rsid w:val="00826034"/>
    <w:rsid w:val="008265A1"/>
    <w:rsid w:val="00827262"/>
    <w:rsid w:val="008313F6"/>
    <w:rsid w:val="00831C0F"/>
    <w:rsid w:val="00832AEB"/>
    <w:rsid w:val="008339FB"/>
    <w:rsid w:val="00833D40"/>
    <w:rsid w:val="00834AA3"/>
    <w:rsid w:val="00835236"/>
    <w:rsid w:val="00836533"/>
    <w:rsid w:val="0083666C"/>
    <w:rsid w:val="00836C3A"/>
    <w:rsid w:val="00837971"/>
    <w:rsid w:val="00842127"/>
    <w:rsid w:val="00842597"/>
    <w:rsid w:val="00842933"/>
    <w:rsid w:val="00843BD2"/>
    <w:rsid w:val="0084444F"/>
    <w:rsid w:val="00844F33"/>
    <w:rsid w:val="00845056"/>
    <w:rsid w:val="0084537E"/>
    <w:rsid w:val="008463DD"/>
    <w:rsid w:val="00846AD3"/>
    <w:rsid w:val="008504BE"/>
    <w:rsid w:val="00850DDD"/>
    <w:rsid w:val="0085309E"/>
    <w:rsid w:val="008530BF"/>
    <w:rsid w:val="008535C3"/>
    <w:rsid w:val="008601A8"/>
    <w:rsid w:val="0086082C"/>
    <w:rsid w:val="00861A06"/>
    <w:rsid w:val="00864ADC"/>
    <w:rsid w:val="00866251"/>
    <w:rsid w:val="00870687"/>
    <w:rsid w:val="00870F92"/>
    <w:rsid w:val="00871942"/>
    <w:rsid w:val="00871DA5"/>
    <w:rsid w:val="00874959"/>
    <w:rsid w:val="00876959"/>
    <w:rsid w:val="00876AF6"/>
    <w:rsid w:val="008774E0"/>
    <w:rsid w:val="00880153"/>
    <w:rsid w:val="00880740"/>
    <w:rsid w:val="00880F97"/>
    <w:rsid w:val="0088133A"/>
    <w:rsid w:val="0088175A"/>
    <w:rsid w:val="00881DC4"/>
    <w:rsid w:val="0088231B"/>
    <w:rsid w:val="0088245E"/>
    <w:rsid w:val="00885A6B"/>
    <w:rsid w:val="00887F08"/>
    <w:rsid w:val="0089285E"/>
    <w:rsid w:val="00892A2D"/>
    <w:rsid w:val="00892E7B"/>
    <w:rsid w:val="0089436C"/>
    <w:rsid w:val="00894E39"/>
    <w:rsid w:val="0089510F"/>
    <w:rsid w:val="008A0CE9"/>
    <w:rsid w:val="008A1249"/>
    <w:rsid w:val="008A1938"/>
    <w:rsid w:val="008A214D"/>
    <w:rsid w:val="008A221C"/>
    <w:rsid w:val="008B07FA"/>
    <w:rsid w:val="008B0FE3"/>
    <w:rsid w:val="008B1BE5"/>
    <w:rsid w:val="008B3B72"/>
    <w:rsid w:val="008B4DAF"/>
    <w:rsid w:val="008B57C3"/>
    <w:rsid w:val="008C0914"/>
    <w:rsid w:val="008C0B29"/>
    <w:rsid w:val="008C2744"/>
    <w:rsid w:val="008C2ABB"/>
    <w:rsid w:val="008C3461"/>
    <w:rsid w:val="008C5C1D"/>
    <w:rsid w:val="008C5D3E"/>
    <w:rsid w:val="008D110D"/>
    <w:rsid w:val="008D2821"/>
    <w:rsid w:val="008D365C"/>
    <w:rsid w:val="008D4B0C"/>
    <w:rsid w:val="008D5B63"/>
    <w:rsid w:val="008D778B"/>
    <w:rsid w:val="008D7BFA"/>
    <w:rsid w:val="008E1053"/>
    <w:rsid w:val="008E2179"/>
    <w:rsid w:val="008E2AA1"/>
    <w:rsid w:val="008E3BFA"/>
    <w:rsid w:val="008E4C66"/>
    <w:rsid w:val="008E4D54"/>
    <w:rsid w:val="008E4E27"/>
    <w:rsid w:val="008E67EF"/>
    <w:rsid w:val="008E75D5"/>
    <w:rsid w:val="008E761A"/>
    <w:rsid w:val="008E7650"/>
    <w:rsid w:val="008E76A9"/>
    <w:rsid w:val="008E7BB0"/>
    <w:rsid w:val="008E7DA3"/>
    <w:rsid w:val="008E7FB4"/>
    <w:rsid w:val="008F0AE1"/>
    <w:rsid w:val="008F1781"/>
    <w:rsid w:val="008F1DF2"/>
    <w:rsid w:val="008F36BB"/>
    <w:rsid w:val="008F4A48"/>
    <w:rsid w:val="008F6906"/>
    <w:rsid w:val="009030BF"/>
    <w:rsid w:val="00903220"/>
    <w:rsid w:val="009033B7"/>
    <w:rsid w:val="00905E13"/>
    <w:rsid w:val="00907958"/>
    <w:rsid w:val="00907A05"/>
    <w:rsid w:val="00907F45"/>
    <w:rsid w:val="0091032F"/>
    <w:rsid w:val="00911911"/>
    <w:rsid w:val="009136D2"/>
    <w:rsid w:val="00914368"/>
    <w:rsid w:val="00922BAF"/>
    <w:rsid w:val="00927862"/>
    <w:rsid w:val="00931076"/>
    <w:rsid w:val="009316F5"/>
    <w:rsid w:val="00931AC7"/>
    <w:rsid w:val="009333F6"/>
    <w:rsid w:val="00933430"/>
    <w:rsid w:val="009345D9"/>
    <w:rsid w:val="00934B15"/>
    <w:rsid w:val="00935E78"/>
    <w:rsid w:val="009369BC"/>
    <w:rsid w:val="00940692"/>
    <w:rsid w:val="0094128D"/>
    <w:rsid w:val="00941394"/>
    <w:rsid w:val="00942B62"/>
    <w:rsid w:val="00943125"/>
    <w:rsid w:val="00943294"/>
    <w:rsid w:val="00945313"/>
    <w:rsid w:val="00945E65"/>
    <w:rsid w:val="009469D8"/>
    <w:rsid w:val="00954B19"/>
    <w:rsid w:val="00954E12"/>
    <w:rsid w:val="009557DA"/>
    <w:rsid w:val="00956A0C"/>
    <w:rsid w:val="00956BD9"/>
    <w:rsid w:val="009570A4"/>
    <w:rsid w:val="00957797"/>
    <w:rsid w:val="00957EE8"/>
    <w:rsid w:val="00961771"/>
    <w:rsid w:val="00962489"/>
    <w:rsid w:val="0096320B"/>
    <w:rsid w:val="009653D1"/>
    <w:rsid w:val="00966E90"/>
    <w:rsid w:val="009701B1"/>
    <w:rsid w:val="00972B9B"/>
    <w:rsid w:val="00974DFF"/>
    <w:rsid w:val="00977063"/>
    <w:rsid w:val="00980A8E"/>
    <w:rsid w:val="00981F0A"/>
    <w:rsid w:val="00982434"/>
    <w:rsid w:val="009842EC"/>
    <w:rsid w:val="00986F60"/>
    <w:rsid w:val="0098735D"/>
    <w:rsid w:val="009874D0"/>
    <w:rsid w:val="00987941"/>
    <w:rsid w:val="00990C2C"/>
    <w:rsid w:val="00994160"/>
    <w:rsid w:val="009968DE"/>
    <w:rsid w:val="00997EF4"/>
    <w:rsid w:val="009A13FB"/>
    <w:rsid w:val="009A1588"/>
    <w:rsid w:val="009A23D8"/>
    <w:rsid w:val="009A2461"/>
    <w:rsid w:val="009A289F"/>
    <w:rsid w:val="009A28E1"/>
    <w:rsid w:val="009A2C39"/>
    <w:rsid w:val="009A4037"/>
    <w:rsid w:val="009A53E0"/>
    <w:rsid w:val="009A59EB"/>
    <w:rsid w:val="009A676D"/>
    <w:rsid w:val="009B08F2"/>
    <w:rsid w:val="009B17B2"/>
    <w:rsid w:val="009B4966"/>
    <w:rsid w:val="009B5FEB"/>
    <w:rsid w:val="009B628E"/>
    <w:rsid w:val="009C00B4"/>
    <w:rsid w:val="009C28B1"/>
    <w:rsid w:val="009C4E12"/>
    <w:rsid w:val="009D1ACE"/>
    <w:rsid w:val="009D1CEE"/>
    <w:rsid w:val="009D24AB"/>
    <w:rsid w:val="009D3CAF"/>
    <w:rsid w:val="009D6388"/>
    <w:rsid w:val="009D7237"/>
    <w:rsid w:val="009E0664"/>
    <w:rsid w:val="009E08CF"/>
    <w:rsid w:val="009E205C"/>
    <w:rsid w:val="009E2455"/>
    <w:rsid w:val="009E3431"/>
    <w:rsid w:val="009E652D"/>
    <w:rsid w:val="009F1908"/>
    <w:rsid w:val="009F256E"/>
    <w:rsid w:val="009F5D28"/>
    <w:rsid w:val="009F696D"/>
    <w:rsid w:val="009F6BC6"/>
    <w:rsid w:val="00A00860"/>
    <w:rsid w:val="00A00EC0"/>
    <w:rsid w:val="00A02936"/>
    <w:rsid w:val="00A032D4"/>
    <w:rsid w:val="00A037F9"/>
    <w:rsid w:val="00A0557B"/>
    <w:rsid w:val="00A06C91"/>
    <w:rsid w:val="00A07C79"/>
    <w:rsid w:val="00A101A1"/>
    <w:rsid w:val="00A12B25"/>
    <w:rsid w:val="00A12CD4"/>
    <w:rsid w:val="00A14287"/>
    <w:rsid w:val="00A144F0"/>
    <w:rsid w:val="00A17328"/>
    <w:rsid w:val="00A207BE"/>
    <w:rsid w:val="00A22931"/>
    <w:rsid w:val="00A22C7D"/>
    <w:rsid w:val="00A22EBC"/>
    <w:rsid w:val="00A23649"/>
    <w:rsid w:val="00A23A20"/>
    <w:rsid w:val="00A24BE9"/>
    <w:rsid w:val="00A24E60"/>
    <w:rsid w:val="00A2516E"/>
    <w:rsid w:val="00A268B9"/>
    <w:rsid w:val="00A2703A"/>
    <w:rsid w:val="00A2715D"/>
    <w:rsid w:val="00A27476"/>
    <w:rsid w:val="00A27BBE"/>
    <w:rsid w:val="00A3231D"/>
    <w:rsid w:val="00A33639"/>
    <w:rsid w:val="00A33DFF"/>
    <w:rsid w:val="00A35115"/>
    <w:rsid w:val="00A35FE7"/>
    <w:rsid w:val="00A4078F"/>
    <w:rsid w:val="00A45EC1"/>
    <w:rsid w:val="00A46776"/>
    <w:rsid w:val="00A46CED"/>
    <w:rsid w:val="00A503AC"/>
    <w:rsid w:val="00A535B2"/>
    <w:rsid w:val="00A54149"/>
    <w:rsid w:val="00A5532B"/>
    <w:rsid w:val="00A554AB"/>
    <w:rsid w:val="00A55A45"/>
    <w:rsid w:val="00A61FEE"/>
    <w:rsid w:val="00A679D1"/>
    <w:rsid w:val="00A67AE9"/>
    <w:rsid w:val="00A70DEC"/>
    <w:rsid w:val="00A71032"/>
    <w:rsid w:val="00A75597"/>
    <w:rsid w:val="00A772FD"/>
    <w:rsid w:val="00A803CD"/>
    <w:rsid w:val="00A8452C"/>
    <w:rsid w:val="00A845AE"/>
    <w:rsid w:val="00A86737"/>
    <w:rsid w:val="00A869BD"/>
    <w:rsid w:val="00A8701B"/>
    <w:rsid w:val="00A87E08"/>
    <w:rsid w:val="00A87F9C"/>
    <w:rsid w:val="00A92053"/>
    <w:rsid w:val="00A92B53"/>
    <w:rsid w:val="00A94FA6"/>
    <w:rsid w:val="00A96952"/>
    <w:rsid w:val="00A97E84"/>
    <w:rsid w:val="00AA1491"/>
    <w:rsid w:val="00AA3749"/>
    <w:rsid w:val="00AA3FA3"/>
    <w:rsid w:val="00AA45A4"/>
    <w:rsid w:val="00AA49A0"/>
    <w:rsid w:val="00AA6710"/>
    <w:rsid w:val="00AA7D99"/>
    <w:rsid w:val="00AB025F"/>
    <w:rsid w:val="00AB0681"/>
    <w:rsid w:val="00AB1BFA"/>
    <w:rsid w:val="00AB5228"/>
    <w:rsid w:val="00AB7F9F"/>
    <w:rsid w:val="00AC05F0"/>
    <w:rsid w:val="00AC069D"/>
    <w:rsid w:val="00AC174C"/>
    <w:rsid w:val="00AC4C15"/>
    <w:rsid w:val="00AC5AAC"/>
    <w:rsid w:val="00AC6A61"/>
    <w:rsid w:val="00AD1241"/>
    <w:rsid w:val="00AD1686"/>
    <w:rsid w:val="00AD4E31"/>
    <w:rsid w:val="00AD520B"/>
    <w:rsid w:val="00AD581A"/>
    <w:rsid w:val="00AD75D0"/>
    <w:rsid w:val="00AD7758"/>
    <w:rsid w:val="00AD7E59"/>
    <w:rsid w:val="00AE012C"/>
    <w:rsid w:val="00AE5891"/>
    <w:rsid w:val="00AE79A5"/>
    <w:rsid w:val="00AE7C72"/>
    <w:rsid w:val="00AF0435"/>
    <w:rsid w:val="00AF1322"/>
    <w:rsid w:val="00AF16CD"/>
    <w:rsid w:val="00AF300C"/>
    <w:rsid w:val="00AF4C6F"/>
    <w:rsid w:val="00AF4DDC"/>
    <w:rsid w:val="00AF64C0"/>
    <w:rsid w:val="00B01274"/>
    <w:rsid w:val="00B01931"/>
    <w:rsid w:val="00B06ADE"/>
    <w:rsid w:val="00B07443"/>
    <w:rsid w:val="00B10581"/>
    <w:rsid w:val="00B10910"/>
    <w:rsid w:val="00B135EE"/>
    <w:rsid w:val="00B169A2"/>
    <w:rsid w:val="00B20BF7"/>
    <w:rsid w:val="00B21CFA"/>
    <w:rsid w:val="00B21D8C"/>
    <w:rsid w:val="00B224E5"/>
    <w:rsid w:val="00B23093"/>
    <w:rsid w:val="00B24C0A"/>
    <w:rsid w:val="00B24E4B"/>
    <w:rsid w:val="00B25DF6"/>
    <w:rsid w:val="00B31525"/>
    <w:rsid w:val="00B31DEB"/>
    <w:rsid w:val="00B31EE8"/>
    <w:rsid w:val="00B348BB"/>
    <w:rsid w:val="00B35B7E"/>
    <w:rsid w:val="00B40D09"/>
    <w:rsid w:val="00B414C0"/>
    <w:rsid w:val="00B41AE5"/>
    <w:rsid w:val="00B440AD"/>
    <w:rsid w:val="00B44829"/>
    <w:rsid w:val="00B4666D"/>
    <w:rsid w:val="00B4728D"/>
    <w:rsid w:val="00B47B7C"/>
    <w:rsid w:val="00B50463"/>
    <w:rsid w:val="00B5053C"/>
    <w:rsid w:val="00B51EEF"/>
    <w:rsid w:val="00B530CD"/>
    <w:rsid w:val="00B53E1F"/>
    <w:rsid w:val="00B53E7E"/>
    <w:rsid w:val="00B55045"/>
    <w:rsid w:val="00B56159"/>
    <w:rsid w:val="00B57F54"/>
    <w:rsid w:val="00B609BE"/>
    <w:rsid w:val="00B6220C"/>
    <w:rsid w:val="00B62D5C"/>
    <w:rsid w:val="00B6342E"/>
    <w:rsid w:val="00B65267"/>
    <w:rsid w:val="00B65715"/>
    <w:rsid w:val="00B65CD2"/>
    <w:rsid w:val="00B65DE2"/>
    <w:rsid w:val="00B66FDC"/>
    <w:rsid w:val="00B67309"/>
    <w:rsid w:val="00B701F3"/>
    <w:rsid w:val="00B70576"/>
    <w:rsid w:val="00B70D6B"/>
    <w:rsid w:val="00B7113F"/>
    <w:rsid w:val="00B717D1"/>
    <w:rsid w:val="00B77ED3"/>
    <w:rsid w:val="00B80C14"/>
    <w:rsid w:val="00B80C67"/>
    <w:rsid w:val="00B81300"/>
    <w:rsid w:val="00B81BB4"/>
    <w:rsid w:val="00B8406B"/>
    <w:rsid w:val="00B87CC7"/>
    <w:rsid w:val="00B92739"/>
    <w:rsid w:val="00B95E7E"/>
    <w:rsid w:val="00B973E2"/>
    <w:rsid w:val="00BA07E1"/>
    <w:rsid w:val="00BA1402"/>
    <w:rsid w:val="00BA140A"/>
    <w:rsid w:val="00BA1884"/>
    <w:rsid w:val="00BA333D"/>
    <w:rsid w:val="00BA6622"/>
    <w:rsid w:val="00BA73B6"/>
    <w:rsid w:val="00BA741A"/>
    <w:rsid w:val="00BA7F76"/>
    <w:rsid w:val="00BB16A3"/>
    <w:rsid w:val="00BB2603"/>
    <w:rsid w:val="00BB2F78"/>
    <w:rsid w:val="00BB42F0"/>
    <w:rsid w:val="00BB4FCD"/>
    <w:rsid w:val="00BB5805"/>
    <w:rsid w:val="00BC49FF"/>
    <w:rsid w:val="00BC51D4"/>
    <w:rsid w:val="00BC7B58"/>
    <w:rsid w:val="00BD13EA"/>
    <w:rsid w:val="00BD1430"/>
    <w:rsid w:val="00BD340B"/>
    <w:rsid w:val="00BD39A6"/>
    <w:rsid w:val="00BD4917"/>
    <w:rsid w:val="00BD7932"/>
    <w:rsid w:val="00BE0D2F"/>
    <w:rsid w:val="00BE1B09"/>
    <w:rsid w:val="00BE3808"/>
    <w:rsid w:val="00BE47CA"/>
    <w:rsid w:val="00BF21F7"/>
    <w:rsid w:val="00BF30C0"/>
    <w:rsid w:val="00BF54E3"/>
    <w:rsid w:val="00BF741D"/>
    <w:rsid w:val="00C0067D"/>
    <w:rsid w:val="00C00B7D"/>
    <w:rsid w:val="00C024A8"/>
    <w:rsid w:val="00C02824"/>
    <w:rsid w:val="00C062E9"/>
    <w:rsid w:val="00C071C3"/>
    <w:rsid w:val="00C07B33"/>
    <w:rsid w:val="00C07B64"/>
    <w:rsid w:val="00C10BAD"/>
    <w:rsid w:val="00C12288"/>
    <w:rsid w:val="00C13721"/>
    <w:rsid w:val="00C151DA"/>
    <w:rsid w:val="00C151DE"/>
    <w:rsid w:val="00C157B3"/>
    <w:rsid w:val="00C15BD4"/>
    <w:rsid w:val="00C200D9"/>
    <w:rsid w:val="00C21522"/>
    <w:rsid w:val="00C21B8F"/>
    <w:rsid w:val="00C22BED"/>
    <w:rsid w:val="00C23194"/>
    <w:rsid w:val="00C26F4D"/>
    <w:rsid w:val="00C275FB"/>
    <w:rsid w:val="00C276F4"/>
    <w:rsid w:val="00C27AD9"/>
    <w:rsid w:val="00C3066D"/>
    <w:rsid w:val="00C319B1"/>
    <w:rsid w:val="00C31CAE"/>
    <w:rsid w:val="00C3216E"/>
    <w:rsid w:val="00C3737C"/>
    <w:rsid w:val="00C40CC6"/>
    <w:rsid w:val="00C43F59"/>
    <w:rsid w:val="00C444ED"/>
    <w:rsid w:val="00C4536A"/>
    <w:rsid w:val="00C45DEA"/>
    <w:rsid w:val="00C469D7"/>
    <w:rsid w:val="00C4743E"/>
    <w:rsid w:val="00C51940"/>
    <w:rsid w:val="00C52953"/>
    <w:rsid w:val="00C53E19"/>
    <w:rsid w:val="00C53E37"/>
    <w:rsid w:val="00C543F4"/>
    <w:rsid w:val="00C5487B"/>
    <w:rsid w:val="00C55C73"/>
    <w:rsid w:val="00C5724A"/>
    <w:rsid w:val="00C61A13"/>
    <w:rsid w:val="00C625BE"/>
    <w:rsid w:val="00C6291C"/>
    <w:rsid w:val="00C63250"/>
    <w:rsid w:val="00C633CB"/>
    <w:rsid w:val="00C65CEC"/>
    <w:rsid w:val="00C6686E"/>
    <w:rsid w:val="00C679D3"/>
    <w:rsid w:val="00C70217"/>
    <w:rsid w:val="00C71C2B"/>
    <w:rsid w:val="00C73F82"/>
    <w:rsid w:val="00C745FA"/>
    <w:rsid w:val="00C74B5D"/>
    <w:rsid w:val="00C75FE3"/>
    <w:rsid w:val="00C77488"/>
    <w:rsid w:val="00C80493"/>
    <w:rsid w:val="00C83A8D"/>
    <w:rsid w:val="00C875A7"/>
    <w:rsid w:val="00C8762C"/>
    <w:rsid w:val="00C94558"/>
    <w:rsid w:val="00C9477C"/>
    <w:rsid w:val="00C97B81"/>
    <w:rsid w:val="00CA00F9"/>
    <w:rsid w:val="00CA0A4A"/>
    <w:rsid w:val="00CA0E22"/>
    <w:rsid w:val="00CA2961"/>
    <w:rsid w:val="00CA3116"/>
    <w:rsid w:val="00CA3B4A"/>
    <w:rsid w:val="00CA4170"/>
    <w:rsid w:val="00CA69D0"/>
    <w:rsid w:val="00CB0397"/>
    <w:rsid w:val="00CB35A9"/>
    <w:rsid w:val="00CB4C51"/>
    <w:rsid w:val="00CB50D7"/>
    <w:rsid w:val="00CB5A74"/>
    <w:rsid w:val="00CB64AC"/>
    <w:rsid w:val="00CB6F24"/>
    <w:rsid w:val="00CB7177"/>
    <w:rsid w:val="00CB7B40"/>
    <w:rsid w:val="00CC1998"/>
    <w:rsid w:val="00CC2425"/>
    <w:rsid w:val="00CC4946"/>
    <w:rsid w:val="00CC6680"/>
    <w:rsid w:val="00CC673F"/>
    <w:rsid w:val="00CD0B12"/>
    <w:rsid w:val="00CD178F"/>
    <w:rsid w:val="00CD64DD"/>
    <w:rsid w:val="00CD748F"/>
    <w:rsid w:val="00CD7985"/>
    <w:rsid w:val="00CE1813"/>
    <w:rsid w:val="00CE2044"/>
    <w:rsid w:val="00CE2B7C"/>
    <w:rsid w:val="00CE2DDD"/>
    <w:rsid w:val="00CE3FE5"/>
    <w:rsid w:val="00CE4080"/>
    <w:rsid w:val="00CE6502"/>
    <w:rsid w:val="00CE7D74"/>
    <w:rsid w:val="00CF3499"/>
    <w:rsid w:val="00CF65F3"/>
    <w:rsid w:val="00CF7C1E"/>
    <w:rsid w:val="00D006E5"/>
    <w:rsid w:val="00D00CF7"/>
    <w:rsid w:val="00D063BD"/>
    <w:rsid w:val="00D07043"/>
    <w:rsid w:val="00D10FC2"/>
    <w:rsid w:val="00D14DD7"/>
    <w:rsid w:val="00D158E8"/>
    <w:rsid w:val="00D160D8"/>
    <w:rsid w:val="00D2362E"/>
    <w:rsid w:val="00D26600"/>
    <w:rsid w:val="00D270A4"/>
    <w:rsid w:val="00D30605"/>
    <w:rsid w:val="00D315E7"/>
    <w:rsid w:val="00D31609"/>
    <w:rsid w:val="00D31FE9"/>
    <w:rsid w:val="00D34E1B"/>
    <w:rsid w:val="00D35893"/>
    <w:rsid w:val="00D36D11"/>
    <w:rsid w:val="00D376BA"/>
    <w:rsid w:val="00D40FD5"/>
    <w:rsid w:val="00D41489"/>
    <w:rsid w:val="00D4339D"/>
    <w:rsid w:val="00D44B52"/>
    <w:rsid w:val="00D45503"/>
    <w:rsid w:val="00D4656D"/>
    <w:rsid w:val="00D477D9"/>
    <w:rsid w:val="00D50F6C"/>
    <w:rsid w:val="00D510F1"/>
    <w:rsid w:val="00D536D9"/>
    <w:rsid w:val="00D5568A"/>
    <w:rsid w:val="00D5711C"/>
    <w:rsid w:val="00D5742A"/>
    <w:rsid w:val="00D61098"/>
    <w:rsid w:val="00D6257A"/>
    <w:rsid w:val="00D63D73"/>
    <w:rsid w:val="00D64257"/>
    <w:rsid w:val="00D66E1E"/>
    <w:rsid w:val="00D6703F"/>
    <w:rsid w:val="00D67A11"/>
    <w:rsid w:val="00D67A28"/>
    <w:rsid w:val="00D67D13"/>
    <w:rsid w:val="00D73495"/>
    <w:rsid w:val="00D73B98"/>
    <w:rsid w:val="00D74AC4"/>
    <w:rsid w:val="00D7522C"/>
    <w:rsid w:val="00D75722"/>
    <w:rsid w:val="00D80F3B"/>
    <w:rsid w:val="00D811F6"/>
    <w:rsid w:val="00D84CAB"/>
    <w:rsid w:val="00D85A37"/>
    <w:rsid w:val="00D85BC2"/>
    <w:rsid w:val="00D85D5B"/>
    <w:rsid w:val="00D903F7"/>
    <w:rsid w:val="00D91BF3"/>
    <w:rsid w:val="00D92EDE"/>
    <w:rsid w:val="00D93CEF"/>
    <w:rsid w:val="00D96DEB"/>
    <w:rsid w:val="00DA13BD"/>
    <w:rsid w:val="00DA5BBA"/>
    <w:rsid w:val="00DA6A98"/>
    <w:rsid w:val="00DA7A39"/>
    <w:rsid w:val="00DB0044"/>
    <w:rsid w:val="00DB198B"/>
    <w:rsid w:val="00DB3A81"/>
    <w:rsid w:val="00DB5143"/>
    <w:rsid w:val="00DB67C9"/>
    <w:rsid w:val="00DC01C5"/>
    <w:rsid w:val="00DC0C95"/>
    <w:rsid w:val="00DC21C7"/>
    <w:rsid w:val="00DC3578"/>
    <w:rsid w:val="00DC39A2"/>
    <w:rsid w:val="00DC4412"/>
    <w:rsid w:val="00DC60A5"/>
    <w:rsid w:val="00DC6148"/>
    <w:rsid w:val="00DC6F83"/>
    <w:rsid w:val="00DC7A9F"/>
    <w:rsid w:val="00DD42C0"/>
    <w:rsid w:val="00DD4EF8"/>
    <w:rsid w:val="00DD6580"/>
    <w:rsid w:val="00DD77ED"/>
    <w:rsid w:val="00DE0BCE"/>
    <w:rsid w:val="00DE132D"/>
    <w:rsid w:val="00DE47AE"/>
    <w:rsid w:val="00DE5450"/>
    <w:rsid w:val="00DE6CB2"/>
    <w:rsid w:val="00DF4A98"/>
    <w:rsid w:val="00DF7819"/>
    <w:rsid w:val="00E02E91"/>
    <w:rsid w:val="00E02F0A"/>
    <w:rsid w:val="00E06C0A"/>
    <w:rsid w:val="00E07A8D"/>
    <w:rsid w:val="00E10179"/>
    <w:rsid w:val="00E1059F"/>
    <w:rsid w:val="00E105E4"/>
    <w:rsid w:val="00E11671"/>
    <w:rsid w:val="00E11CAD"/>
    <w:rsid w:val="00E12977"/>
    <w:rsid w:val="00E132D5"/>
    <w:rsid w:val="00E16B35"/>
    <w:rsid w:val="00E177A5"/>
    <w:rsid w:val="00E17C72"/>
    <w:rsid w:val="00E20D9A"/>
    <w:rsid w:val="00E21FC6"/>
    <w:rsid w:val="00E23D08"/>
    <w:rsid w:val="00E27A01"/>
    <w:rsid w:val="00E306C2"/>
    <w:rsid w:val="00E311BC"/>
    <w:rsid w:val="00E323CC"/>
    <w:rsid w:val="00E32948"/>
    <w:rsid w:val="00E33632"/>
    <w:rsid w:val="00E34B5B"/>
    <w:rsid w:val="00E3530D"/>
    <w:rsid w:val="00E3540F"/>
    <w:rsid w:val="00E37872"/>
    <w:rsid w:val="00E41B3C"/>
    <w:rsid w:val="00E41D70"/>
    <w:rsid w:val="00E431A9"/>
    <w:rsid w:val="00E43898"/>
    <w:rsid w:val="00E45C66"/>
    <w:rsid w:val="00E466A6"/>
    <w:rsid w:val="00E472FE"/>
    <w:rsid w:val="00E5047D"/>
    <w:rsid w:val="00E5055A"/>
    <w:rsid w:val="00E53B9D"/>
    <w:rsid w:val="00E53C96"/>
    <w:rsid w:val="00E543D2"/>
    <w:rsid w:val="00E5485F"/>
    <w:rsid w:val="00E550BF"/>
    <w:rsid w:val="00E55306"/>
    <w:rsid w:val="00E61C1C"/>
    <w:rsid w:val="00E62B83"/>
    <w:rsid w:val="00E633B3"/>
    <w:rsid w:val="00E639C9"/>
    <w:rsid w:val="00E63B6A"/>
    <w:rsid w:val="00E64A51"/>
    <w:rsid w:val="00E6557D"/>
    <w:rsid w:val="00E669E2"/>
    <w:rsid w:val="00E677CD"/>
    <w:rsid w:val="00E74006"/>
    <w:rsid w:val="00E76135"/>
    <w:rsid w:val="00E819B6"/>
    <w:rsid w:val="00E8439C"/>
    <w:rsid w:val="00E847E6"/>
    <w:rsid w:val="00E858E8"/>
    <w:rsid w:val="00E87CB0"/>
    <w:rsid w:val="00E87D8A"/>
    <w:rsid w:val="00E90F5B"/>
    <w:rsid w:val="00E9281C"/>
    <w:rsid w:val="00E949A3"/>
    <w:rsid w:val="00E956CB"/>
    <w:rsid w:val="00E9676E"/>
    <w:rsid w:val="00E97AEF"/>
    <w:rsid w:val="00EA1327"/>
    <w:rsid w:val="00EA50AC"/>
    <w:rsid w:val="00EB05BA"/>
    <w:rsid w:val="00EB25EB"/>
    <w:rsid w:val="00EB3FFA"/>
    <w:rsid w:val="00EC0653"/>
    <w:rsid w:val="00EC2666"/>
    <w:rsid w:val="00EC2844"/>
    <w:rsid w:val="00EC5783"/>
    <w:rsid w:val="00EC60A0"/>
    <w:rsid w:val="00ED23AA"/>
    <w:rsid w:val="00ED2982"/>
    <w:rsid w:val="00ED2D5E"/>
    <w:rsid w:val="00ED4A9D"/>
    <w:rsid w:val="00ED61E1"/>
    <w:rsid w:val="00ED704E"/>
    <w:rsid w:val="00EE0714"/>
    <w:rsid w:val="00EE136E"/>
    <w:rsid w:val="00EE56E5"/>
    <w:rsid w:val="00EE604E"/>
    <w:rsid w:val="00EE6E50"/>
    <w:rsid w:val="00EE79A4"/>
    <w:rsid w:val="00EF0F9D"/>
    <w:rsid w:val="00EF1093"/>
    <w:rsid w:val="00EF1329"/>
    <w:rsid w:val="00EF349D"/>
    <w:rsid w:val="00EF4BC7"/>
    <w:rsid w:val="00EF5EB5"/>
    <w:rsid w:val="00EF66FE"/>
    <w:rsid w:val="00EF6C6C"/>
    <w:rsid w:val="00EF6E00"/>
    <w:rsid w:val="00EF7086"/>
    <w:rsid w:val="00EF7175"/>
    <w:rsid w:val="00EF79AE"/>
    <w:rsid w:val="00F009CF"/>
    <w:rsid w:val="00F0145E"/>
    <w:rsid w:val="00F01C7F"/>
    <w:rsid w:val="00F0490F"/>
    <w:rsid w:val="00F05167"/>
    <w:rsid w:val="00F056FC"/>
    <w:rsid w:val="00F05B8F"/>
    <w:rsid w:val="00F0747F"/>
    <w:rsid w:val="00F10476"/>
    <w:rsid w:val="00F135D8"/>
    <w:rsid w:val="00F13838"/>
    <w:rsid w:val="00F1456E"/>
    <w:rsid w:val="00F15F00"/>
    <w:rsid w:val="00F17417"/>
    <w:rsid w:val="00F17718"/>
    <w:rsid w:val="00F2011B"/>
    <w:rsid w:val="00F2022E"/>
    <w:rsid w:val="00F203A9"/>
    <w:rsid w:val="00F20F39"/>
    <w:rsid w:val="00F21150"/>
    <w:rsid w:val="00F21BF0"/>
    <w:rsid w:val="00F25098"/>
    <w:rsid w:val="00F27429"/>
    <w:rsid w:val="00F30492"/>
    <w:rsid w:val="00F308A3"/>
    <w:rsid w:val="00F30C7C"/>
    <w:rsid w:val="00F31299"/>
    <w:rsid w:val="00F32BAC"/>
    <w:rsid w:val="00F33128"/>
    <w:rsid w:val="00F348E2"/>
    <w:rsid w:val="00F34EF6"/>
    <w:rsid w:val="00F3534A"/>
    <w:rsid w:val="00F40597"/>
    <w:rsid w:val="00F40957"/>
    <w:rsid w:val="00F45D70"/>
    <w:rsid w:val="00F5113C"/>
    <w:rsid w:val="00F51700"/>
    <w:rsid w:val="00F53A9D"/>
    <w:rsid w:val="00F5624A"/>
    <w:rsid w:val="00F5643C"/>
    <w:rsid w:val="00F61470"/>
    <w:rsid w:val="00F62928"/>
    <w:rsid w:val="00F649B2"/>
    <w:rsid w:val="00F64D8D"/>
    <w:rsid w:val="00F654B0"/>
    <w:rsid w:val="00F65510"/>
    <w:rsid w:val="00F65A03"/>
    <w:rsid w:val="00F67FE7"/>
    <w:rsid w:val="00F70AB6"/>
    <w:rsid w:val="00F70E7C"/>
    <w:rsid w:val="00F75C9F"/>
    <w:rsid w:val="00F765F6"/>
    <w:rsid w:val="00F800D2"/>
    <w:rsid w:val="00F8059D"/>
    <w:rsid w:val="00F81A0B"/>
    <w:rsid w:val="00F836AA"/>
    <w:rsid w:val="00F83EA8"/>
    <w:rsid w:val="00F84034"/>
    <w:rsid w:val="00F85325"/>
    <w:rsid w:val="00F86B8E"/>
    <w:rsid w:val="00F927F5"/>
    <w:rsid w:val="00F9336C"/>
    <w:rsid w:val="00F95F87"/>
    <w:rsid w:val="00F97A19"/>
    <w:rsid w:val="00FA01F9"/>
    <w:rsid w:val="00FA17F8"/>
    <w:rsid w:val="00FA1E1C"/>
    <w:rsid w:val="00FA357D"/>
    <w:rsid w:val="00FA4574"/>
    <w:rsid w:val="00FA6FD3"/>
    <w:rsid w:val="00FA73C0"/>
    <w:rsid w:val="00FA7C10"/>
    <w:rsid w:val="00FB031E"/>
    <w:rsid w:val="00FB0664"/>
    <w:rsid w:val="00FB134A"/>
    <w:rsid w:val="00FB247C"/>
    <w:rsid w:val="00FB2539"/>
    <w:rsid w:val="00FB2CFB"/>
    <w:rsid w:val="00FB5ED1"/>
    <w:rsid w:val="00FB6416"/>
    <w:rsid w:val="00FC016B"/>
    <w:rsid w:val="00FC1171"/>
    <w:rsid w:val="00FC1874"/>
    <w:rsid w:val="00FC1F25"/>
    <w:rsid w:val="00FC2DFC"/>
    <w:rsid w:val="00FC33A0"/>
    <w:rsid w:val="00FC45D1"/>
    <w:rsid w:val="00FC4E2C"/>
    <w:rsid w:val="00FD1B46"/>
    <w:rsid w:val="00FD22B1"/>
    <w:rsid w:val="00FD404D"/>
    <w:rsid w:val="00FD4ABF"/>
    <w:rsid w:val="00FD54E1"/>
    <w:rsid w:val="00FD5745"/>
    <w:rsid w:val="00FD5EF6"/>
    <w:rsid w:val="00FD6A40"/>
    <w:rsid w:val="00FD6EDE"/>
    <w:rsid w:val="00FD7C4B"/>
    <w:rsid w:val="00FE0A31"/>
    <w:rsid w:val="00FE0CA7"/>
    <w:rsid w:val="00FE3B44"/>
    <w:rsid w:val="00FF3CCB"/>
    <w:rsid w:val="00FF4E61"/>
    <w:rsid w:val="00FF5F12"/>
    <w:rsid w:val="00FF78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DB198B"/>
    <w:rPr>
      <w:sz w:val="24"/>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sz w:val="26"/>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rPr>
      <w:szCs w:val="20"/>
    </w:r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rsid w:val="00A17328"/>
    <w:rPr>
      <w:b/>
      <w:vanish/>
      <w:color w:val="FF00FF"/>
      <w:sz w:val="20"/>
    </w:rPr>
  </w:style>
  <w:style w:type="paragraph" w:styleId="CommentText">
    <w:name w:val="annotation text"/>
    <w:basedOn w:val="Normal"/>
    <w:link w:val="CommentTextChar"/>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 w:val="26"/>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sz w:val="26"/>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Standard">
    <w:name w:val="Standard"/>
    <w:rsid w:val="00C65CEC"/>
    <w:pPr>
      <w:widowControl w:val="0"/>
      <w:suppressAutoHyphens/>
      <w:autoSpaceDN w:val="0"/>
    </w:pPr>
    <w:rPr>
      <w:rFonts w:ascii="Liberation Serif" w:eastAsia="DejaVu Sans" w:hAnsi="Liberation Serif" w:cs="DejaVu Sans"/>
      <w:kern w:val="3"/>
      <w:sz w:val="24"/>
      <w:szCs w:val="24"/>
      <w:lang w:eastAsia="zh-CN" w:bidi="hi-IN"/>
    </w:rPr>
  </w:style>
  <w:style w:type="character" w:customStyle="1" w:styleId="st1">
    <w:name w:val="st1"/>
    <w:basedOn w:val="DefaultParagraphFont"/>
    <w:rsid w:val="002869EF"/>
  </w:style>
  <w:style w:type="character" w:styleId="Hyperlink">
    <w:name w:val="Hyperlink"/>
    <w:basedOn w:val="DefaultParagraphFont"/>
    <w:rsid w:val="00E11CAD"/>
    <w:rPr>
      <w:color w:val="0000FF" w:themeColor="hyperlink"/>
      <w:u w:val="single"/>
    </w:rPr>
  </w:style>
  <w:style w:type="paragraph" w:styleId="CommentSubject">
    <w:name w:val="annotation subject"/>
    <w:basedOn w:val="CommentText"/>
    <w:next w:val="CommentText"/>
    <w:link w:val="CommentSubjectChar"/>
    <w:rsid w:val="00600CB9"/>
    <w:pPr>
      <w:spacing w:before="0" w:line="240" w:lineRule="auto"/>
      <w:ind w:left="0" w:firstLine="0"/>
    </w:pPr>
    <w:rPr>
      <w:b/>
      <w:bCs/>
      <w:szCs w:val="20"/>
    </w:rPr>
  </w:style>
  <w:style w:type="character" w:customStyle="1" w:styleId="CommentTextChar">
    <w:name w:val="Comment Text Char"/>
    <w:basedOn w:val="DefaultParagraphFont"/>
    <w:link w:val="CommentText"/>
    <w:rsid w:val="00600CB9"/>
    <w:rPr>
      <w:szCs w:val="24"/>
    </w:rPr>
  </w:style>
  <w:style w:type="character" w:customStyle="1" w:styleId="CommentSubjectChar">
    <w:name w:val="Comment Subject Char"/>
    <w:basedOn w:val="CommentTextChar"/>
    <w:link w:val="CommentSubject"/>
    <w:rsid w:val="00600CB9"/>
    <w:rPr>
      <w:b/>
      <w:bCs/>
      <w:szCs w:val="24"/>
    </w:rPr>
  </w:style>
  <w:style w:type="paragraph" w:styleId="Revision">
    <w:name w:val="Revision"/>
    <w:hidden/>
    <w:uiPriority w:val="99"/>
    <w:semiHidden/>
    <w:rsid w:val="00600CB9"/>
    <w:rPr>
      <w:sz w:val="26"/>
      <w:szCs w:val="24"/>
    </w:rPr>
  </w:style>
  <w:style w:type="character" w:customStyle="1" w:styleId="BodyTextChar">
    <w:name w:val="Body Text Char"/>
    <w:basedOn w:val="DefaultParagraphFont"/>
    <w:link w:val="BodyText"/>
    <w:rsid w:val="003016E7"/>
    <w:rPr>
      <w:sz w:val="26"/>
    </w:rPr>
  </w:style>
  <w:style w:type="character" w:customStyle="1" w:styleId="QuoteChar">
    <w:name w:val="Quote Char"/>
    <w:basedOn w:val="DefaultParagraphFont"/>
    <w:link w:val="Quote"/>
    <w:rsid w:val="003016E7"/>
    <w:rPr>
      <w:sz w:val="24"/>
    </w:rPr>
  </w:style>
  <w:style w:type="character" w:customStyle="1" w:styleId="Heading4Char">
    <w:name w:val="Heading 4 Char"/>
    <w:basedOn w:val="DefaultParagraphFont"/>
    <w:link w:val="Heading4"/>
    <w:rsid w:val="00B80C67"/>
    <w:rPr>
      <w:rFonts w:ascii="Arial" w:hAnsi="Arial"/>
      <w:i/>
      <w:sz w:val="24"/>
    </w:rPr>
  </w:style>
  <w:style w:type="paragraph" w:customStyle="1" w:styleId="Heading">
    <w:name w:val="Heading"/>
    <w:basedOn w:val="BodyText"/>
    <w:rsid w:val="008B0FE3"/>
  </w:style>
  <w:style w:type="character" w:customStyle="1" w:styleId="FootnoteTextChar">
    <w:name w:val="Footnote Text Char"/>
    <w:basedOn w:val="DefaultParagraphFont"/>
    <w:link w:val="FootnoteText"/>
    <w:rsid w:val="009D24AB"/>
    <w:rPr>
      <w:sz w:val="22"/>
    </w:rPr>
  </w:style>
  <w:style w:type="paragraph" w:customStyle="1" w:styleId="InformationRequestBullet">
    <w:name w:val="Information Request Bullet"/>
    <w:basedOn w:val="ListBullet"/>
    <w:next w:val="BodyText"/>
    <w:rsid w:val="0047600B"/>
    <w:pPr>
      <w:numPr>
        <w:numId w:val="0"/>
      </w:numPr>
    </w:pPr>
    <w:rPr>
      <w:rFonts w:ascii="Arial" w:hAnsi="Arial"/>
      <w:i/>
      <w:sz w:val="24"/>
    </w:rPr>
  </w:style>
  <w:style w:type="paragraph" w:customStyle="1" w:styleId="BoxSpaceAbove">
    <w:name w:val="Box Space Above"/>
    <w:basedOn w:val="BodyText"/>
    <w:rsid w:val="00411DEE"/>
    <w:pPr>
      <w:keepNext/>
      <w:spacing w:before="360" w:line="80" w:lineRule="exact"/>
      <w:jc w:val="left"/>
    </w:pPr>
  </w:style>
  <w:style w:type="paragraph" w:customStyle="1" w:styleId="BoxSpaceBelow">
    <w:name w:val="Box Space Below"/>
    <w:basedOn w:val="Box"/>
    <w:rsid w:val="00411DEE"/>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DB198B"/>
    <w:rPr>
      <w:sz w:val="24"/>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sz w:val="26"/>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rPr>
      <w:szCs w:val="20"/>
    </w:r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rsid w:val="00A17328"/>
    <w:rPr>
      <w:b/>
      <w:vanish/>
      <w:color w:val="FF00FF"/>
      <w:sz w:val="20"/>
    </w:rPr>
  </w:style>
  <w:style w:type="paragraph" w:styleId="CommentText">
    <w:name w:val="annotation text"/>
    <w:basedOn w:val="Normal"/>
    <w:link w:val="CommentTextChar"/>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 w:val="26"/>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sz w:val="26"/>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Standard">
    <w:name w:val="Standard"/>
    <w:rsid w:val="00C65CEC"/>
    <w:pPr>
      <w:widowControl w:val="0"/>
      <w:suppressAutoHyphens/>
      <w:autoSpaceDN w:val="0"/>
    </w:pPr>
    <w:rPr>
      <w:rFonts w:ascii="Liberation Serif" w:eastAsia="DejaVu Sans" w:hAnsi="Liberation Serif" w:cs="DejaVu Sans"/>
      <w:kern w:val="3"/>
      <w:sz w:val="24"/>
      <w:szCs w:val="24"/>
      <w:lang w:eastAsia="zh-CN" w:bidi="hi-IN"/>
    </w:rPr>
  </w:style>
  <w:style w:type="character" w:customStyle="1" w:styleId="st1">
    <w:name w:val="st1"/>
    <w:basedOn w:val="DefaultParagraphFont"/>
    <w:rsid w:val="002869EF"/>
  </w:style>
  <w:style w:type="character" w:styleId="Hyperlink">
    <w:name w:val="Hyperlink"/>
    <w:basedOn w:val="DefaultParagraphFont"/>
    <w:rsid w:val="00E11CAD"/>
    <w:rPr>
      <w:color w:val="0000FF" w:themeColor="hyperlink"/>
      <w:u w:val="single"/>
    </w:rPr>
  </w:style>
  <w:style w:type="paragraph" w:styleId="CommentSubject">
    <w:name w:val="annotation subject"/>
    <w:basedOn w:val="CommentText"/>
    <w:next w:val="CommentText"/>
    <w:link w:val="CommentSubjectChar"/>
    <w:rsid w:val="00600CB9"/>
    <w:pPr>
      <w:spacing w:before="0" w:line="240" w:lineRule="auto"/>
      <w:ind w:left="0" w:firstLine="0"/>
    </w:pPr>
    <w:rPr>
      <w:b/>
      <w:bCs/>
      <w:szCs w:val="20"/>
    </w:rPr>
  </w:style>
  <w:style w:type="character" w:customStyle="1" w:styleId="CommentTextChar">
    <w:name w:val="Comment Text Char"/>
    <w:basedOn w:val="DefaultParagraphFont"/>
    <w:link w:val="CommentText"/>
    <w:rsid w:val="00600CB9"/>
    <w:rPr>
      <w:szCs w:val="24"/>
    </w:rPr>
  </w:style>
  <w:style w:type="character" w:customStyle="1" w:styleId="CommentSubjectChar">
    <w:name w:val="Comment Subject Char"/>
    <w:basedOn w:val="CommentTextChar"/>
    <w:link w:val="CommentSubject"/>
    <w:rsid w:val="00600CB9"/>
    <w:rPr>
      <w:b/>
      <w:bCs/>
      <w:szCs w:val="24"/>
    </w:rPr>
  </w:style>
  <w:style w:type="paragraph" w:styleId="Revision">
    <w:name w:val="Revision"/>
    <w:hidden/>
    <w:uiPriority w:val="99"/>
    <w:semiHidden/>
    <w:rsid w:val="00600CB9"/>
    <w:rPr>
      <w:sz w:val="26"/>
      <w:szCs w:val="24"/>
    </w:rPr>
  </w:style>
  <w:style w:type="character" w:customStyle="1" w:styleId="BodyTextChar">
    <w:name w:val="Body Text Char"/>
    <w:basedOn w:val="DefaultParagraphFont"/>
    <w:link w:val="BodyText"/>
    <w:rsid w:val="003016E7"/>
    <w:rPr>
      <w:sz w:val="26"/>
    </w:rPr>
  </w:style>
  <w:style w:type="character" w:customStyle="1" w:styleId="QuoteChar">
    <w:name w:val="Quote Char"/>
    <w:basedOn w:val="DefaultParagraphFont"/>
    <w:link w:val="Quote"/>
    <w:rsid w:val="003016E7"/>
    <w:rPr>
      <w:sz w:val="24"/>
    </w:rPr>
  </w:style>
  <w:style w:type="character" w:customStyle="1" w:styleId="Heading4Char">
    <w:name w:val="Heading 4 Char"/>
    <w:basedOn w:val="DefaultParagraphFont"/>
    <w:link w:val="Heading4"/>
    <w:rsid w:val="00B80C67"/>
    <w:rPr>
      <w:rFonts w:ascii="Arial" w:hAnsi="Arial"/>
      <w:i/>
      <w:sz w:val="24"/>
    </w:rPr>
  </w:style>
  <w:style w:type="paragraph" w:customStyle="1" w:styleId="Heading">
    <w:name w:val="Heading"/>
    <w:basedOn w:val="BodyText"/>
    <w:rsid w:val="008B0FE3"/>
  </w:style>
  <w:style w:type="character" w:customStyle="1" w:styleId="FootnoteTextChar">
    <w:name w:val="Footnote Text Char"/>
    <w:basedOn w:val="DefaultParagraphFont"/>
    <w:link w:val="FootnoteText"/>
    <w:rsid w:val="009D24AB"/>
    <w:rPr>
      <w:sz w:val="22"/>
    </w:rPr>
  </w:style>
  <w:style w:type="paragraph" w:customStyle="1" w:styleId="InformationRequestBullet">
    <w:name w:val="Information Request Bullet"/>
    <w:basedOn w:val="ListBullet"/>
    <w:next w:val="BodyText"/>
    <w:rsid w:val="0047600B"/>
    <w:pPr>
      <w:numPr>
        <w:numId w:val="0"/>
      </w:numPr>
    </w:pPr>
    <w:rPr>
      <w:rFonts w:ascii="Arial" w:hAnsi="Arial"/>
      <w:i/>
      <w:sz w:val="24"/>
    </w:rPr>
  </w:style>
  <w:style w:type="paragraph" w:customStyle="1" w:styleId="BoxSpaceAbove">
    <w:name w:val="Box Space Above"/>
    <w:basedOn w:val="BodyText"/>
    <w:rsid w:val="00411DEE"/>
    <w:pPr>
      <w:keepNext/>
      <w:spacing w:before="360" w:line="80" w:lineRule="exact"/>
      <w:jc w:val="left"/>
    </w:pPr>
  </w:style>
  <w:style w:type="paragraph" w:customStyle="1" w:styleId="BoxSpaceBelow">
    <w:name w:val="Box Space Below"/>
    <w:basedOn w:val="Box"/>
    <w:rsid w:val="00411DEE"/>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77807">
      <w:bodyDiv w:val="1"/>
      <w:marLeft w:val="0"/>
      <w:marRight w:val="0"/>
      <w:marTop w:val="0"/>
      <w:marBottom w:val="0"/>
      <w:divBdr>
        <w:top w:val="none" w:sz="0" w:space="0" w:color="auto"/>
        <w:left w:val="none" w:sz="0" w:space="0" w:color="auto"/>
        <w:bottom w:val="none" w:sz="0" w:space="0" w:color="auto"/>
        <w:right w:val="none" w:sz="0" w:space="0" w:color="auto"/>
      </w:divBdr>
    </w:div>
    <w:div w:id="329482026">
      <w:bodyDiv w:val="1"/>
      <w:marLeft w:val="0"/>
      <w:marRight w:val="0"/>
      <w:marTop w:val="0"/>
      <w:marBottom w:val="0"/>
      <w:divBdr>
        <w:top w:val="none" w:sz="0" w:space="0" w:color="auto"/>
        <w:left w:val="none" w:sz="0" w:space="0" w:color="auto"/>
        <w:bottom w:val="none" w:sz="0" w:space="0" w:color="auto"/>
        <w:right w:val="none" w:sz="0" w:space="0" w:color="auto"/>
      </w:divBdr>
    </w:div>
    <w:div w:id="1048263843">
      <w:bodyDiv w:val="1"/>
      <w:marLeft w:val="0"/>
      <w:marRight w:val="0"/>
      <w:marTop w:val="0"/>
      <w:marBottom w:val="0"/>
      <w:divBdr>
        <w:top w:val="none" w:sz="0" w:space="0" w:color="auto"/>
        <w:left w:val="none" w:sz="0" w:space="0" w:color="auto"/>
        <w:bottom w:val="none" w:sz="0" w:space="0" w:color="auto"/>
        <w:right w:val="none" w:sz="0" w:space="0" w:color="auto"/>
      </w:divBdr>
    </w:div>
    <w:div w:id="1463158290">
      <w:bodyDiv w:val="1"/>
      <w:marLeft w:val="0"/>
      <w:marRight w:val="0"/>
      <w:marTop w:val="0"/>
      <w:marBottom w:val="0"/>
      <w:divBdr>
        <w:top w:val="none" w:sz="0" w:space="0" w:color="auto"/>
        <w:left w:val="none" w:sz="0" w:space="0" w:color="auto"/>
        <w:bottom w:val="none" w:sz="0" w:space="0" w:color="auto"/>
        <w:right w:val="none" w:sz="0" w:space="0" w:color="auto"/>
      </w:divBdr>
    </w:div>
    <w:div w:id="1526753477">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9A3D4-3594-488F-8A06-D9E4A27E9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41</Pages>
  <Words>13965</Words>
  <Characters>79529</Characters>
  <Application>Microsoft Office Word</Application>
  <DocSecurity>0</DocSecurity>
  <Lines>662</Lines>
  <Paragraphs>186</Paragraphs>
  <ScaleCrop>false</ScaleCrop>
  <HeadingPairs>
    <vt:vector size="2" baseType="variant">
      <vt:variant>
        <vt:lpstr>Title</vt:lpstr>
      </vt:variant>
      <vt:variant>
        <vt:i4>1</vt:i4>
      </vt:variant>
    </vt:vector>
  </HeadingPairs>
  <TitlesOfParts>
    <vt:vector size="1" baseType="lpstr">
      <vt:lpstr>Transmission reliability</vt:lpstr>
    </vt:vector>
  </TitlesOfParts>
  <Company>Productivity Commission</Company>
  <LinksUpToDate>false</LinksUpToDate>
  <CharactersWithSpaces>93308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Transmission reliability</dc:title>
  <dc:subject>Electricity Network Regulation</dc:subject>
  <dc:creator>Productivity Commission</dc:creator>
  <dc:description>F.</dc:description>
  <cp:lastModifiedBy>Productivity Commission</cp:lastModifiedBy>
  <cp:revision>2</cp:revision>
  <cp:lastPrinted>2013-03-27T05:12:00Z</cp:lastPrinted>
  <dcterms:created xsi:type="dcterms:W3CDTF">2013-04-19T05:24:00Z</dcterms:created>
  <dcterms:modified xsi:type="dcterms:W3CDTF">2013-04-19T05:24:00Z</dcterms:modified>
</cp:coreProperties>
</file>