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A98" w:rsidRDefault="000943C7" w:rsidP="00EB3B3A">
      <w:pPr>
        <w:pStyle w:val="BodyText"/>
      </w:pPr>
      <w:bookmarkStart w:id="0" w:name="ChapterNumber"/>
      <w:bookmarkStart w:id="1" w:name="_GoBack"/>
      <w:r>
        <w:rPr>
          <w:noProof/>
        </w:rPr>
        <w:drawing>
          <wp:anchor distT="0" distB="0" distL="114300" distR="114300" simplePos="0" relativeHeight="251658240" behindDoc="1" locked="0" layoutInCell="1" allowOverlap="1">
            <wp:simplePos x="1152525" y="1057275"/>
            <wp:positionH relativeFrom="page">
              <wp:align>center</wp:align>
            </wp:positionH>
            <wp:positionV relativeFrom="page">
              <wp:align>bottom</wp:align>
            </wp:positionV>
            <wp:extent cx="7560000" cy="10125725"/>
            <wp:effectExtent l="0" t="0" r="3175" b="8890"/>
            <wp:wrapNone/>
            <wp:docPr id="2" name="Picture 2" descr="The Australian Government Productivity Commission.&#10;&#10;Cover for 'Electricity Network Regulatory Frameworks' supplement to Inquiry Report number 62. Published 9 April 2013.&#10;&#10;Title: The costs and benefits of demand management for househ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cover-electricity-final-inquiry-technical-note.png"/>
                    <pic:cNvPicPr/>
                  </pic:nvPicPr>
                  <pic:blipFill>
                    <a:blip r:embed="rId9">
                      <a:extLst>
                        <a:ext uri="{28A0092B-C50C-407E-A947-70E740481C1C}">
                          <a14:useLocalDpi xmlns:a14="http://schemas.microsoft.com/office/drawing/2010/main" val="0"/>
                        </a:ext>
                      </a:extLst>
                    </a:blip>
                    <a:stretch>
                      <a:fillRect/>
                    </a:stretch>
                  </pic:blipFill>
                  <pic:spPr>
                    <a:xfrm>
                      <a:off x="0" y="0"/>
                      <a:ext cx="7560000" cy="10125725"/>
                    </a:xfrm>
                    <a:prstGeom prst="rect">
                      <a:avLst/>
                    </a:prstGeom>
                  </pic:spPr>
                </pic:pic>
              </a:graphicData>
            </a:graphic>
            <wp14:sizeRelH relativeFrom="margin">
              <wp14:pctWidth>0</wp14:pctWidth>
            </wp14:sizeRelH>
            <wp14:sizeRelV relativeFrom="margin">
              <wp14:pctHeight>0</wp14:pctHeight>
            </wp14:sizeRelV>
          </wp:anchor>
        </w:drawing>
      </w:r>
      <w:bookmarkEnd w:id="1"/>
      <w:r w:rsidR="00260A98">
        <w:br w:type="page"/>
      </w:r>
    </w:p>
    <w:p w:rsidR="00260A98" w:rsidRPr="00583A3A" w:rsidRDefault="00260A98" w:rsidP="00260A98">
      <w:pPr>
        <w:pStyle w:val="TOC1"/>
        <w:rPr>
          <w:rFonts w:ascii="Times New Roman" w:hAnsi="Times New Roman"/>
          <w:caps w:val="0"/>
          <w:sz w:val="26"/>
          <w:szCs w:val="26"/>
        </w:rPr>
      </w:pPr>
      <w:r w:rsidRPr="00A35E6B">
        <w:rPr>
          <w:rFonts w:ascii="Times New Roman" w:hAnsi="Times New Roman"/>
          <w:caps w:val="0"/>
          <w:sz w:val="26"/>
          <w:szCs w:val="26"/>
        </w:rPr>
        <w:lastRenderedPageBreak/>
        <w:fldChar w:fldCharType="begin"/>
      </w:r>
      <w:r w:rsidRPr="00A35E6B">
        <w:rPr>
          <w:rFonts w:ascii="Times New Roman" w:hAnsi="Times New Roman"/>
          <w:caps w:val="0"/>
          <w:sz w:val="26"/>
          <w:szCs w:val="26"/>
        </w:rPr>
        <w:instrText>SYMBOL 227 \f "Symbol"</w:instrText>
      </w:r>
      <w:r w:rsidRPr="00A35E6B">
        <w:rPr>
          <w:rFonts w:ascii="Times New Roman" w:hAnsi="Times New Roman"/>
          <w:caps w:val="0"/>
          <w:sz w:val="26"/>
          <w:szCs w:val="26"/>
        </w:rPr>
        <w:fldChar w:fldCharType="end"/>
      </w:r>
      <w:r w:rsidRPr="00A35E6B">
        <w:rPr>
          <w:rFonts w:ascii="Times New Roman" w:hAnsi="Times New Roman"/>
          <w:caps w:val="0"/>
          <w:sz w:val="26"/>
          <w:szCs w:val="26"/>
        </w:rPr>
        <w:t xml:space="preserve"> Commonwealth </w:t>
      </w:r>
      <w:r w:rsidRPr="00583A3A">
        <w:rPr>
          <w:rFonts w:ascii="Times New Roman" w:hAnsi="Times New Roman"/>
          <w:caps w:val="0"/>
          <w:sz w:val="26"/>
          <w:szCs w:val="26"/>
        </w:rPr>
        <w:t>Australia 2013</w:t>
      </w:r>
    </w:p>
    <w:p w:rsidR="00260A98" w:rsidRPr="00583A3A" w:rsidRDefault="00260A98" w:rsidP="00260A98">
      <w:pPr>
        <w:pStyle w:val="BodyText"/>
        <w:tabs>
          <w:tab w:val="left" w:pos="851"/>
        </w:tabs>
        <w:spacing w:before="200" w:after="120"/>
        <w:rPr>
          <w:b/>
          <w:sz w:val="24"/>
        </w:rPr>
      </w:pPr>
      <w:r>
        <w:rPr>
          <w:b/>
          <w:sz w:val="24"/>
        </w:rPr>
        <w:t>ISBN</w:t>
      </w:r>
      <w:r>
        <w:rPr>
          <w:b/>
          <w:sz w:val="24"/>
        </w:rPr>
        <w:tab/>
      </w:r>
      <w:r w:rsidRPr="00583A3A">
        <w:rPr>
          <w:b/>
          <w:sz w:val="24"/>
        </w:rPr>
        <w:t>978-1-74037-437-8</w:t>
      </w:r>
    </w:p>
    <w:p w:rsidR="00260A98" w:rsidRPr="00F4234E" w:rsidRDefault="00260A98" w:rsidP="00260A98">
      <w:pPr>
        <w:pStyle w:val="BodyText"/>
      </w:pPr>
      <w:bookmarkStart w:id="2" w:name="ISSN"/>
      <w:bookmarkEnd w:id="2"/>
      <w:r w:rsidRPr="00F4234E">
        <w:t>This work is copyright. Apart from any use as permitted under the</w:t>
      </w:r>
      <w:r>
        <w:rPr>
          <w:i/>
        </w:rPr>
        <w:t xml:space="preserve"> Copyright Act </w:t>
      </w:r>
      <w:r w:rsidRPr="00F4234E">
        <w:rPr>
          <w:i/>
        </w:rPr>
        <w:t>1968</w:t>
      </w:r>
      <w:r w:rsidRPr="00F4234E">
        <w:t>, the work may be reproduced in whole or in part for study or training purposes, subject to the inclusion of an acknowledgment of the source. Reproduction for commercial use or sale requires prior written permission from the Productivity Commission. Requests and inquiries concerning reproduction and rights should be addressed to Media and Publications (see below).</w:t>
      </w:r>
    </w:p>
    <w:p w:rsidR="00260A98" w:rsidRPr="00F4234E" w:rsidRDefault="00260A98" w:rsidP="00260A98">
      <w:pPr>
        <w:pStyle w:val="BodyText"/>
        <w:rPr>
          <w:i/>
        </w:rPr>
      </w:pPr>
      <w:r w:rsidRPr="00F4234E">
        <w:rPr>
          <w:i/>
        </w:rPr>
        <w:t>This publication is available from the Productivity Commission website at www.pc.gov.au. If you require part or all of this publication in a different format, please contact Media and Publications.</w:t>
      </w:r>
    </w:p>
    <w:p w:rsidR="00260A98" w:rsidRDefault="00260A98" w:rsidP="00260A98">
      <w:pPr>
        <w:pStyle w:val="BodyText"/>
        <w:spacing w:before="320"/>
        <w:rPr>
          <w:b/>
          <w:sz w:val="24"/>
        </w:rPr>
      </w:pPr>
      <w:r>
        <w:rPr>
          <w:b/>
          <w:sz w:val="24"/>
        </w:rPr>
        <w:t>Publications Inquiries:</w:t>
      </w:r>
    </w:p>
    <w:p w:rsidR="00260A98" w:rsidRDefault="00260A98" w:rsidP="00260A98">
      <w:pPr>
        <w:pStyle w:val="BodyText"/>
        <w:spacing w:before="0" w:line="240" w:lineRule="auto"/>
        <w:rPr>
          <w:sz w:val="24"/>
        </w:rPr>
      </w:pPr>
      <w:r>
        <w:rPr>
          <w:sz w:val="24"/>
        </w:rPr>
        <w:t xml:space="preserve">Media and </w:t>
      </w:r>
      <w:r w:rsidRPr="00FD4728">
        <w:rPr>
          <w:snapToGrid w:val="0"/>
          <w:sz w:val="24"/>
        </w:rPr>
        <w:t>Publications</w:t>
      </w:r>
    </w:p>
    <w:p w:rsidR="00260A98" w:rsidRDefault="00260A98" w:rsidP="00260A98">
      <w:pPr>
        <w:pStyle w:val="BodyText"/>
        <w:spacing w:before="0" w:line="240" w:lineRule="auto"/>
        <w:rPr>
          <w:sz w:val="24"/>
        </w:rPr>
      </w:pPr>
      <w:r>
        <w:rPr>
          <w:sz w:val="24"/>
        </w:rPr>
        <w:t xml:space="preserve">Productivity </w:t>
      </w:r>
      <w:r w:rsidRPr="00FD4728">
        <w:rPr>
          <w:snapToGrid w:val="0"/>
          <w:sz w:val="24"/>
        </w:rPr>
        <w:t>Commission</w:t>
      </w:r>
    </w:p>
    <w:p w:rsidR="00260A98" w:rsidRDefault="00260A98" w:rsidP="00260A98">
      <w:pPr>
        <w:pStyle w:val="BodyText"/>
        <w:spacing w:before="0" w:line="240" w:lineRule="auto"/>
        <w:rPr>
          <w:sz w:val="24"/>
        </w:rPr>
      </w:pPr>
      <w:r>
        <w:rPr>
          <w:sz w:val="24"/>
        </w:rPr>
        <w:t xml:space="preserve">Locked Bag </w:t>
      </w:r>
      <w:smartTag w:uri="urn:schemas-microsoft-com:office:smarttags" w:element="Street">
        <w:smartTag w:uri="urn:schemas-microsoft-com:office:smarttags" w:element="address">
          <w:r>
            <w:rPr>
              <w:sz w:val="24"/>
            </w:rPr>
            <w:t xml:space="preserve">2 Collins </w:t>
          </w:r>
          <w:r w:rsidRPr="00FD4728">
            <w:rPr>
              <w:snapToGrid w:val="0"/>
              <w:sz w:val="24"/>
            </w:rPr>
            <w:t>Street</w:t>
          </w:r>
          <w:r>
            <w:rPr>
              <w:sz w:val="24"/>
            </w:rPr>
            <w:t xml:space="preserve"> East</w:t>
          </w:r>
        </w:smartTag>
      </w:smartTag>
    </w:p>
    <w:p w:rsidR="00260A98" w:rsidRDefault="00260A98" w:rsidP="00260A98">
      <w:pPr>
        <w:pStyle w:val="BodyText"/>
        <w:spacing w:before="0" w:after="120" w:line="240" w:lineRule="auto"/>
        <w:rPr>
          <w:sz w:val="24"/>
        </w:rPr>
      </w:pPr>
      <w:smartTag w:uri="urn:schemas-microsoft-com:office:smarttags" w:element="City">
        <w:smartTag w:uri="urn:schemas-microsoft-com:office:smarttags" w:element="place">
          <w:r>
            <w:rPr>
              <w:sz w:val="24"/>
            </w:rPr>
            <w:t>Melbourne</w:t>
          </w:r>
        </w:smartTag>
      </w:smartTag>
      <w:r>
        <w:rPr>
          <w:sz w:val="24"/>
        </w:rPr>
        <w:t xml:space="preserve">    VIC    </w:t>
      </w:r>
      <w:r w:rsidRPr="00FD4728">
        <w:rPr>
          <w:snapToGrid w:val="0"/>
          <w:sz w:val="24"/>
        </w:rPr>
        <w:t>8003</w:t>
      </w:r>
    </w:p>
    <w:p w:rsidR="00260A98" w:rsidRPr="00FD4728" w:rsidRDefault="00260A98" w:rsidP="00260A98">
      <w:pPr>
        <w:pStyle w:val="BodyText"/>
        <w:tabs>
          <w:tab w:val="left" w:pos="1134"/>
        </w:tabs>
        <w:spacing w:before="0" w:line="240" w:lineRule="auto"/>
        <w:rPr>
          <w:sz w:val="24"/>
          <w:szCs w:val="24"/>
        </w:rPr>
      </w:pPr>
      <w:r w:rsidRPr="00FD4728">
        <w:rPr>
          <w:sz w:val="24"/>
          <w:szCs w:val="24"/>
        </w:rPr>
        <w:t>Tel:</w:t>
      </w:r>
      <w:r w:rsidRPr="00FD4728">
        <w:rPr>
          <w:sz w:val="24"/>
          <w:szCs w:val="24"/>
        </w:rPr>
        <w:tab/>
        <w:t>(03) 9653 2244</w:t>
      </w:r>
    </w:p>
    <w:p w:rsidR="00260A98" w:rsidRDefault="00260A98" w:rsidP="00260A98">
      <w:pPr>
        <w:pStyle w:val="BodyText"/>
        <w:tabs>
          <w:tab w:val="left" w:pos="1134"/>
        </w:tabs>
        <w:spacing w:before="0" w:line="240" w:lineRule="auto"/>
        <w:jc w:val="left"/>
      </w:pPr>
      <w:r w:rsidRPr="00FD4728">
        <w:rPr>
          <w:sz w:val="24"/>
          <w:szCs w:val="24"/>
        </w:rPr>
        <w:t>Fax:</w:t>
      </w:r>
      <w:r w:rsidRPr="00FD4728">
        <w:rPr>
          <w:sz w:val="24"/>
          <w:szCs w:val="24"/>
        </w:rPr>
        <w:tab/>
        <w:t>(03) 9653 2303</w:t>
      </w:r>
      <w:r w:rsidRPr="00FD4728">
        <w:rPr>
          <w:sz w:val="24"/>
          <w:szCs w:val="24"/>
        </w:rPr>
        <w:br/>
      </w:r>
      <w:r w:rsidRPr="008F04C9">
        <w:rPr>
          <w:sz w:val="24"/>
          <w:szCs w:val="24"/>
        </w:rPr>
        <w:t>Email:</w:t>
      </w:r>
      <w:r w:rsidRPr="008F04C9">
        <w:rPr>
          <w:sz w:val="24"/>
          <w:szCs w:val="24"/>
        </w:rPr>
        <w:tab/>
      </w:r>
      <w:proofErr w:type="spellStart"/>
      <w:r w:rsidRPr="008F04C9">
        <w:rPr>
          <w:sz w:val="24"/>
          <w:szCs w:val="24"/>
        </w:rPr>
        <w:t>maps@pc.gov.au</w:t>
      </w:r>
      <w:proofErr w:type="spellEnd"/>
    </w:p>
    <w:p w:rsidR="00260A98" w:rsidRDefault="00260A98" w:rsidP="00260A98">
      <w:pPr>
        <w:pStyle w:val="BodyText"/>
        <w:spacing w:before="320"/>
        <w:rPr>
          <w:b/>
          <w:sz w:val="24"/>
        </w:rPr>
      </w:pPr>
      <w:r>
        <w:rPr>
          <w:b/>
          <w:sz w:val="24"/>
        </w:rPr>
        <w:t>General Inquiries:</w:t>
      </w:r>
    </w:p>
    <w:p w:rsidR="00260A98" w:rsidRPr="008F04C9" w:rsidRDefault="00260A98" w:rsidP="00260A98">
      <w:pPr>
        <w:pStyle w:val="BodyText"/>
        <w:tabs>
          <w:tab w:val="left" w:pos="1134"/>
        </w:tabs>
        <w:spacing w:before="0" w:line="240" w:lineRule="auto"/>
        <w:rPr>
          <w:sz w:val="24"/>
          <w:szCs w:val="24"/>
        </w:rPr>
      </w:pPr>
      <w:r w:rsidRPr="008F04C9">
        <w:rPr>
          <w:sz w:val="24"/>
          <w:szCs w:val="24"/>
        </w:rPr>
        <w:t>Tel:</w:t>
      </w:r>
      <w:r w:rsidRPr="008F04C9">
        <w:rPr>
          <w:sz w:val="24"/>
          <w:szCs w:val="24"/>
        </w:rPr>
        <w:tab/>
        <w:t>(03) 9653 2100 or (02) 6240 3200</w:t>
      </w:r>
    </w:p>
    <w:p w:rsidR="00260A98" w:rsidRPr="008F04C9" w:rsidRDefault="00260A98" w:rsidP="00260A98">
      <w:pPr>
        <w:pStyle w:val="BodyText"/>
        <w:spacing w:before="360" w:line="240" w:lineRule="auto"/>
        <w:rPr>
          <w:b/>
          <w:sz w:val="24"/>
          <w:szCs w:val="24"/>
        </w:rPr>
      </w:pPr>
      <w:r w:rsidRPr="008F04C9">
        <w:rPr>
          <w:b/>
          <w:sz w:val="24"/>
          <w:szCs w:val="24"/>
        </w:rPr>
        <w:t>An appropriate citation for this paper is:</w:t>
      </w:r>
    </w:p>
    <w:p w:rsidR="00260A98" w:rsidRPr="00A35E6B" w:rsidRDefault="00260A98" w:rsidP="00260A98">
      <w:pPr>
        <w:pStyle w:val="BodyText"/>
        <w:spacing w:before="160" w:after="120" w:line="240" w:lineRule="auto"/>
        <w:rPr>
          <w:sz w:val="24"/>
          <w:szCs w:val="24"/>
          <w:lang w:eastAsia="en-US"/>
        </w:rPr>
      </w:pPr>
      <w:r w:rsidRPr="00A35E6B">
        <w:rPr>
          <w:sz w:val="24"/>
          <w:szCs w:val="24"/>
          <w:lang w:eastAsia="en-US"/>
        </w:rPr>
        <w:t xml:space="preserve">Productivity Commission 2013, </w:t>
      </w:r>
      <w:r w:rsidRPr="00A35E6B">
        <w:rPr>
          <w:i/>
          <w:sz w:val="24"/>
          <w:szCs w:val="24"/>
          <w:lang w:eastAsia="en-US"/>
        </w:rPr>
        <w:t>The costs and benefits of demand management for households</w:t>
      </w:r>
      <w:r>
        <w:rPr>
          <w:sz w:val="24"/>
          <w:szCs w:val="24"/>
          <w:lang w:eastAsia="en-US"/>
        </w:rPr>
        <w:t>, Supplement</w:t>
      </w:r>
      <w:r w:rsidRPr="00A35E6B">
        <w:rPr>
          <w:sz w:val="24"/>
          <w:szCs w:val="24"/>
          <w:lang w:eastAsia="en-US"/>
        </w:rPr>
        <w:t xml:space="preserve"> to </w:t>
      </w:r>
      <w:r>
        <w:rPr>
          <w:sz w:val="24"/>
          <w:szCs w:val="24"/>
          <w:lang w:eastAsia="en-US"/>
        </w:rPr>
        <w:t>inquiry</w:t>
      </w:r>
      <w:r w:rsidRPr="00A35E6B">
        <w:rPr>
          <w:sz w:val="24"/>
          <w:szCs w:val="24"/>
          <w:lang w:eastAsia="en-US"/>
        </w:rPr>
        <w:t xml:space="preserve"> report on Electricity Network Regulatory Frameworks, 9 April</w:t>
      </w:r>
      <w:r>
        <w:rPr>
          <w:sz w:val="24"/>
          <w:szCs w:val="24"/>
          <w:lang w:eastAsia="en-US"/>
        </w:rPr>
        <w:t>.</w:t>
      </w:r>
    </w:p>
    <w:p w:rsidR="00260A98" w:rsidRPr="00507F3C" w:rsidRDefault="00260A98" w:rsidP="00260A98">
      <w:pPr>
        <w:pStyle w:val="BodyText"/>
        <w:spacing w:before="160" w:after="120" w:line="240" w:lineRule="auto"/>
        <w:rPr>
          <w:sz w:val="20"/>
        </w:rPr>
      </w:pPr>
    </w:p>
    <w:p w:rsidR="00260A98" w:rsidRPr="00DC75C7" w:rsidRDefault="00260A98" w:rsidP="00260A98">
      <w:pPr>
        <w:pStyle w:val="PCBoxHeading"/>
      </w:pPr>
      <w:r w:rsidRPr="00DC75C7">
        <w:t>The Productivity Commission</w:t>
      </w:r>
    </w:p>
    <w:p w:rsidR="00260A98" w:rsidRPr="00BB5DCF" w:rsidRDefault="00260A98" w:rsidP="00260A98">
      <w:pPr>
        <w:pStyle w:val="PCBoxtext"/>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260A98" w:rsidRPr="00BB5DCF" w:rsidRDefault="00260A98" w:rsidP="00260A98">
      <w:pPr>
        <w:pStyle w:val="PCBoxtext"/>
      </w:pPr>
      <w:r w:rsidRPr="00BB5DCF">
        <w:t>The Commission’s independence is underpinned by an Act of Parliament. Its processes and outputs are open to public scrutiny and are driven by concern for the wellbeing of the community as a whole.</w:t>
      </w:r>
    </w:p>
    <w:p w:rsidR="00260A98" w:rsidRDefault="00260A98" w:rsidP="00260A98">
      <w:pPr>
        <w:pStyle w:val="BodyText"/>
        <w:pBdr>
          <w:top w:val="single" w:sz="4" w:space="5" w:color="auto"/>
          <w:left w:val="single" w:sz="4" w:space="8" w:color="auto"/>
          <w:bottom w:val="single" w:sz="4" w:space="14" w:color="auto"/>
          <w:right w:val="single" w:sz="4" w:space="8" w:color="auto"/>
        </w:pBdr>
        <w:spacing w:before="160" w:line="240" w:lineRule="auto"/>
        <w:ind w:left="284" w:right="284"/>
        <w:rPr>
          <w:sz w:val="24"/>
          <w:szCs w:val="24"/>
        </w:rPr>
      </w:pPr>
      <w:r w:rsidRPr="00BB5DCF">
        <w:rPr>
          <w:sz w:val="24"/>
          <w:szCs w:val="24"/>
        </w:rPr>
        <w:t xml:space="preserve">Further information on the Productivity Commission can be obtained from the Commission’s website (www.pc.gov.au) or by contacting Media and Publications on (03) 9653 2244 or email: </w:t>
      </w:r>
      <w:proofErr w:type="spellStart"/>
      <w:r w:rsidRPr="00BB5DCF">
        <w:rPr>
          <w:sz w:val="24"/>
          <w:szCs w:val="24"/>
        </w:rPr>
        <w:t>maps@pc.gov.au</w:t>
      </w:r>
      <w:bookmarkStart w:id="3" w:name="cov"/>
      <w:bookmarkEnd w:id="3"/>
      <w:proofErr w:type="spellEnd"/>
    </w:p>
    <w:p w:rsidR="00260A98" w:rsidRPr="00260A98" w:rsidRDefault="00260A98" w:rsidP="00260A98">
      <w:pPr>
        <w:pStyle w:val="BodyText"/>
        <w:pBdr>
          <w:top w:val="single" w:sz="4" w:space="5" w:color="auto"/>
          <w:left w:val="single" w:sz="4" w:space="8" w:color="auto"/>
          <w:bottom w:val="single" w:sz="4" w:space="14" w:color="auto"/>
          <w:right w:val="single" w:sz="4" w:space="8" w:color="auto"/>
        </w:pBdr>
        <w:spacing w:before="160" w:line="240" w:lineRule="auto"/>
        <w:ind w:left="284" w:right="284"/>
        <w:rPr>
          <w:sz w:val="24"/>
          <w:szCs w:val="24"/>
        </w:rPr>
        <w:sectPr w:rsidR="00260A98" w:rsidRPr="00260A98" w:rsidSect="00A35E6B">
          <w:pgSz w:w="11907" w:h="16840" w:code="9"/>
          <w:pgMar w:top="1418" w:right="1304" w:bottom="567" w:left="1814" w:header="1701" w:footer="567" w:gutter="0"/>
          <w:pgNumType w:fmt="lowerRoman" w:start="1"/>
          <w:cols w:space="720"/>
          <w:titlePg/>
        </w:sectPr>
      </w:pPr>
    </w:p>
    <w:p w:rsidR="00962FA4" w:rsidRDefault="00962FA4" w:rsidP="00962FA4">
      <w:pPr>
        <w:pStyle w:val="BoxSpace"/>
      </w:pPr>
      <w:bookmarkStart w:id="4" w:name="begin"/>
      <w:bookmarkEnd w:id="0"/>
      <w:bookmarkEnd w:id="4"/>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62FA4" w:rsidTr="00962FA4">
        <w:tc>
          <w:tcPr>
            <w:tcW w:w="8771" w:type="dxa"/>
            <w:tcBorders>
              <w:top w:val="single" w:sz="6" w:space="0" w:color="auto"/>
              <w:bottom w:val="nil"/>
            </w:tcBorders>
          </w:tcPr>
          <w:p w:rsidR="00962FA4" w:rsidRDefault="00962FA4" w:rsidP="00962FA4">
            <w:pPr>
              <w:pStyle w:val="BoxTitle"/>
            </w:pPr>
            <w:r>
              <w:t>Key points</w:t>
            </w:r>
          </w:p>
        </w:tc>
      </w:tr>
      <w:tr w:rsidR="00962FA4" w:rsidTr="00962FA4">
        <w:trPr>
          <w:cantSplit/>
        </w:trPr>
        <w:tc>
          <w:tcPr>
            <w:tcW w:w="8771" w:type="dxa"/>
            <w:tcBorders>
              <w:top w:val="nil"/>
              <w:left w:val="single" w:sz="6" w:space="0" w:color="auto"/>
              <w:bottom w:val="nil"/>
              <w:right w:val="single" w:sz="6" w:space="0" w:color="auto"/>
            </w:tcBorders>
          </w:tcPr>
          <w:p w:rsidR="009F0635" w:rsidRPr="009F0635" w:rsidRDefault="005C079A" w:rsidP="00F12A68">
            <w:pPr>
              <w:pStyle w:val="BoxListBullet"/>
              <w:rPr>
                <w:b/>
                <w:lang w:eastAsia="en-US"/>
              </w:rPr>
            </w:pPr>
            <w:r>
              <w:t xml:space="preserve">Demand management can significantly delay or avoid network investments and reduce the need for peaking generators. </w:t>
            </w:r>
            <w:r w:rsidR="009F0635">
              <w:t xml:space="preserve">The technologies </w:t>
            </w:r>
            <w:r w:rsidR="009B14A4">
              <w:t xml:space="preserve">underpinning </w:t>
            </w:r>
            <w:r w:rsidR="009F0635">
              <w:t xml:space="preserve">demand management may also produce other benefits, such as </w:t>
            </w:r>
            <w:r w:rsidR="00F1257B">
              <w:t xml:space="preserve">those associated with </w:t>
            </w:r>
            <w:r w:rsidR="009F0635">
              <w:t xml:space="preserve">remote metering and </w:t>
            </w:r>
            <w:r w:rsidR="00F1257B">
              <w:t xml:space="preserve">the provision of </w:t>
            </w:r>
            <w:r w:rsidR="009F0635">
              <w:t xml:space="preserve">information on energy consumption </w:t>
            </w:r>
            <w:r w:rsidR="00F1257B">
              <w:t xml:space="preserve">to </w:t>
            </w:r>
            <w:r w:rsidR="009F0635">
              <w:t xml:space="preserve">consumers. </w:t>
            </w:r>
          </w:p>
          <w:p w:rsidR="00FD0BAD" w:rsidRPr="00FD0BAD" w:rsidRDefault="005C079A" w:rsidP="000218F6">
            <w:pPr>
              <w:pStyle w:val="BoxListBullet2"/>
              <w:rPr>
                <w:b/>
                <w:lang w:eastAsia="en-US"/>
              </w:rPr>
            </w:pPr>
            <w:r>
              <w:t xml:space="preserve">However, there are also costs, </w:t>
            </w:r>
            <w:r w:rsidR="00FD0BAD">
              <w:t>most particularly the costs of the technologies</w:t>
            </w:r>
            <w:r w:rsidR="00F1257B">
              <w:t xml:space="preserve"> needed to allow demand management to occur</w:t>
            </w:r>
            <w:r w:rsidR="00FD0BAD">
              <w:t>.</w:t>
            </w:r>
          </w:p>
          <w:p w:rsidR="00FD0BAD" w:rsidRPr="00FD0BAD" w:rsidRDefault="000218F6" w:rsidP="003A4447">
            <w:pPr>
              <w:pStyle w:val="BoxListBullet"/>
              <w:rPr>
                <w:b/>
                <w:lang w:eastAsia="en-US"/>
              </w:rPr>
            </w:pPr>
            <w:r>
              <w:t xml:space="preserve">The potential for net benefits </w:t>
            </w:r>
            <w:r w:rsidR="00F1257B">
              <w:t>from demand management is conditional on a number of factors, including</w:t>
            </w:r>
            <w:r w:rsidR="007765A5">
              <w:t>:</w:t>
            </w:r>
          </w:p>
          <w:p w:rsidR="0036700D" w:rsidRPr="000218F6" w:rsidRDefault="00F1257B" w:rsidP="000218F6">
            <w:pPr>
              <w:pStyle w:val="BoxListBullet2"/>
              <w:rPr>
                <w:rFonts w:ascii="Calibri" w:hAnsi="Calibri"/>
                <w:lang w:eastAsia="en-US"/>
              </w:rPr>
            </w:pPr>
            <w:r>
              <w:t>the</w:t>
            </w:r>
            <w:r w:rsidR="00EC3CBE">
              <w:t xml:space="preserve"> package of measures</w:t>
            </w:r>
            <w:r>
              <w:t xml:space="preserve"> used</w:t>
            </w:r>
            <w:r w:rsidR="00F27F5F">
              <w:t>. I</w:t>
            </w:r>
            <w:r>
              <w:t>n combination, d</w:t>
            </w:r>
            <w:r w:rsidR="00EC3CBE" w:rsidRPr="0036700D">
              <w:t>irect load control, smart meter rollouts and critical peak pricing</w:t>
            </w:r>
            <w:r w:rsidR="000218F6">
              <w:t xml:space="preserve"> </w:t>
            </w:r>
            <w:r w:rsidR="00EC3CBE" w:rsidRPr="0036700D">
              <w:t xml:space="preserve">can </w:t>
            </w:r>
            <w:r w:rsidR="00EC3CBE">
              <w:t>significantly reduce critical peak demand</w:t>
            </w:r>
            <w:r w:rsidR="00EC3CBE" w:rsidRPr="0036700D">
              <w:t xml:space="preserve"> </w:t>
            </w:r>
            <w:r w:rsidR="00EC3CBE">
              <w:t>if well implemented</w:t>
            </w:r>
          </w:p>
          <w:p w:rsidR="000218F6" w:rsidRPr="000218F6" w:rsidRDefault="00F1257B" w:rsidP="000218F6">
            <w:pPr>
              <w:pStyle w:val="BoxListBullet2"/>
              <w:rPr>
                <w:rFonts w:ascii="Calibri" w:hAnsi="Calibri"/>
                <w:lang w:eastAsia="en-US"/>
              </w:rPr>
            </w:pPr>
            <w:r>
              <w:t xml:space="preserve">a </w:t>
            </w:r>
            <w:r w:rsidR="000218F6">
              <w:t>sufficient demand response</w:t>
            </w:r>
          </w:p>
          <w:p w:rsidR="000218F6" w:rsidRPr="004E2638" w:rsidRDefault="00F1257B" w:rsidP="000218F6">
            <w:pPr>
              <w:pStyle w:val="BoxListBullet2"/>
              <w:rPr>
                <w:rFonts w:ascii="Calibri" w:hAnsi="Calibri"/>
                <w:lang w:eastAsia="en-US"/>
              </w:rPr>
            </w:pPr>
            <w:r>
              <w:t xml:space="preserve">the </w:t>
            </w:r>
            <w:r w:rsidR="000218F6">
              <w:t>deploy</w:t>
            </w:r>
            <w:r>
              <w:t>ment of</w:t>
            </w:r>
            <w:r w:rsidR="000218F6">
              <w:t xml:space="preserve"> technologies </w:t>
            </w:r>
            <w:r>
              <w:t>on</w:t>
            </w:r>
            <w:r w:rsidR="000218F6">
              <w:t xml:space="preserve"> a schedule that takes account of the </w:t>
            </w:r>
            <w:r>
              <w:t xml:space="preserve">network </w:t>
            </w:r>
            <w:r w:rsidR="000218F6">
              <w:t xml:space="preserve">characteristics of </w:t>
            </w:r>
            <w:r>
              <w:t>individual distribution businesses</w:t>
            </w:r>
            <w:r w:rsidR="000218F6">
              <w:t>, and the customers they serve</w:t>
            </w:r>
          </w:p>
          <w:p w:rsidR="004E2638" w:rsidRPr="00483A02" w:rsidRDefault="00F1257B" w:rsidP="000218F6">
            <w:pPr>
              <w:pStyle w:val="BoxListBullet2"/>
              <w:rPr>
                <w:rFonts w:ascii="Calibri" w:hAnsi="Calibri"/>
                <w:lang w:eastAsia="en-US"/>
              </w:rPr>
            </w:pPr>
            <w:r>
              <w:t>the use of genuine cost-reflective time-based pricing</w:t>
            </w:r>
            <w:r w:rsidR="003A4447">
              <w:t>.</w:t>
            </w:r>
            <w:r>
              <w:t xml:space="preserve"> </w:t>
            </w:r>
            <w:r w:rsidR="003A4447">
              <w:t>T</w:t>
            </w:r>
            <w:r w:rsidR="004E2638">
              <w:t xml:space="preserve">he shallow price differences </w:t>
            </w:r>
            <w:r>
              <w:t xml:space="preserve">between peak and non-peak electricity use </w:t>
            </w:r>
            <w:r w:rsidR="004E2638">
              <w:t>of many time-of-use pric</w:t>
            </w:r>
            <w:r>
              <w:t>ing schemes</w:t>
            </w:r>
            <w:r w:rsidR="004E2638">
              <w:t xml:space="preserve"> provide weak incentives to shift demand away from the mostly costly peaks</w:t>
            </w:r>
            <w:r w:rsidR="003A4447">
              <w:t>. This</w:t>
            </w:r>
            <w:r>
              <w:t xml:space="preserve"> mean</w:t>
            </w:r>
            <w:r w:rsidR="003A4447">
              <w:t>s</w:t>
            </w:r>
            <w:r w:rsidR="004E2638">
              <w:t xml:space="preserve"> poorly targeted demand management options perform badly in cost-benefit analyses.</w:t>
            </w:r>
          </w:p>
          <w:p w:rsidR="0036700D" w:rsidRPr="00636234" w:rsidRDefault="00E475EA" w:rsidP="003A4447">
            <w:pPr>
              <w:pStyle w:val="BoxListBullet"/>
              <w:rPr>
                <w:rFonts w:ascii="Calibri" w:hAnsi="Calibri"/>
                <w:lang w:eastAsia="en-US"/>
              </w:rPr>
            </w:pPr>
            <w:r>
              <w:t xml:space="preserve">Several </w:t>
            </w:r>
            <w:r w:rsidR="00F1257B">
              <w:t>steps can be taken to address</w:t>
            </w:r>
            <w:r w:rsidR="003A4447">
              <w:t xml:space="preserve"> the potential</w:t>
            </w:r>
            <w:r w:rsidR="00F1257B">
              <w:t xml:space="preserve"> </w:t>
            </w:r>
            <w:r w:rsidR="0036700D" w:rsidRPr="0036700D">
              <w:t>downside risks</w:t>
            </w:r>
            <w:r w:rsidR="003A4447">
              <w:t>,</w:t>
            </w:r>
            <w:r w:rsidR="0036700D" w:rsidRPr="0036700D">
              <w:t xml:space="preserve"> </w:t>
            </w:r>
            <w:r w:rsidR="003A4447">
              <w:t>including</w:t>
            </w:r>
            <w:r w:rsidR="0036700D" w:rsidRPr="0036700D">
              <w:t>:</w:t>
            </w:r>
          </w:p>
          <w:p w:rsidR="000F58F0" w:rsidRDefault="005C079A" w:rsidP="000218F6">
            <w:pPr>
              <w:pStyle w:val="BoxListBullet2"/>
              <w:rPr>
                <w:szCs w:val="22"/>
                <w:lang w:eastAsia="en-US"/>
              </w:rPr>
            </w:pPr>
            <w:r>
              <w:t>u</w:t>
            </w:r>
            <w:r w:rsidR="000F58F0">
              <w:t xml:space="preserve">ndertaking trials </w:t>
            </w:r>
            <w:r w:rsidR="004D42F7">
              <w:t>prior</w:t>
            </w:r>
            <w:r>
              <w:t xml:space="preserve"> to</w:t>
            </w:r>
            <w:r w:rsidR="008640A2">
              <w:t xml:space="preserve"> the </w:t>
            </w:r>
            <w:r>
              <w:t>wider introduction</w:t>
            </w:r>
            <w:r w:rsidR="002B5E6A">
              <w:t xml:space="preserve"> of these initiatives</w:t>
            </w:r>
            <w:r w:rsidR="008640A2">
              <w:t xml:space="preserve"> </w:t>
            </w:r>
          </w:p>
          <w:p w:rsidR="000F58F0" w:rsidRPr="000218F6" w:rsidRDefault="002805E9" w:rsidP="000218F6">
            <w:pPr>
              <w:pStyle w:val="BoxListBullet2"/>
              <w:rPr>
                <w:szCs w:val="22"/>
                <w:lang w:eastAsia="en-US"/>
              </w:rPr>
            </w:pPr>
            <w:r>
              <w:t>deploying</w:t>
            </w:r>
            <w:r w:rsidR="000F58F0">
              <w:t xml:space="preserve"> </w:t>
            </w:r>
            <w:r w:rsidR="005C079A">
              <w:t xml:space="preserve">smart meters </w:t>
            </w:r>
            <w:r>
              <w:t>(</w:t>
            </w:r>
            <w:r w:rsidR="005C079A">
              <w:t xml:space="preserve">and </w:t>
            </w:r>
            <w:r>
              <w:t xml:space="preserve">associated </w:t>
            </w:r>
            <w:r w:rsidR="00BD0AEE">
              <w:t>time-based charging</w:t>
            </w:r>
            <w:r>
              <w:t>)</w:t>
            </w:r>
            <w:r w:rsidR="000F58F0">
              <w:t xml:space="preserve"> </w:t>
            </w:r>
            <w:r>
              <w:t xml:space="preserve">when and where network businesses assess it as producing net benefits — which will often be </w:t>
            </w:r>
            <w:r w:rsidR="000F58F0">
              <w:t xml:space="preserve">where </w:t>
            </w:r>
            <w:r w:rsidR="005C079A">
              <w:t xml:space="preserve">regional network </w:t>
            </w:r>
            <w:r w:rsidR="000F58F0">
              <w:t>constraint</w:t>
            </w:r>
            <w:r w:rsidR="005C079A">
              <w:t>s are looming</w:t>
            </w:r>
            <w:r>
              <w:t xml:space="preserve"> </w:t>
            </w:r>
          </w:p>
          <w:p w:rsidR="000218F6" w:rsidRPr="0036700D" w:rsidRDefault="000218F6" w:rsidP="000218F6">
            <w:pPr>
              <w:pStyle w:val="BoxListBullet2"/>
              <w:rPr>
                <w:rFonts w:ascii="Calibri" w:hAnsi="Calibri"/>
                <w:lang w:eastAsia="en-US"/>
              </w:rPr>
            </w:pPr>
            <w:r w:rsidRPr="0036700D">
              <w:t xml:space="preserve">ensuring that </w:t>
            </w:r>
            <w:r>
              <w:t>any</w:t>
            </w:r>
            <w:r w:rsidRPr="0036700D">
              <w:t xml:space="preserve"> scheme effectively targets </w:t>
            </w:r>
            <w:r>
              <w:t xml:space="preserve">critical </w:t>
            </w:r>
            <w:r w:rsidRPr="0036700D">
              <w:t>peak energy use</w:t>
            </w:r>
          </w:p>
          <w:p w:rsidR="000218F6" w:rsidRPr="0036700D" w:rsidRDefault="000218F6" w:rsidP="000218F6">
            <w:pPr>
              <w:pStyle w:val="BoxListBullet2"/>
              <w:rPr>
                <w:lang w:eastAsia="en-US"/>
              </w:rPr>
            </w:pPr>
            <w:r w:rsidRPr="0036700D">
              <w:t xml:space="preserve">requiring rigorous analysis of </w:t>
            </w:r>
            <w:r w:rsidR="00F12A68">
              <w:t>the costs and benefits of smart meter rollouts</w:t>
            </w:r>
            <w:r w:rsidR="00A16B08">
              <w:t>. F</w:t>
            </w:r>
            <w:r w:rsidR="002B5E6A">
              <w:t>or large</w:t>
            </w:r>
            <w:r w:rsidR="002805E9">
              <w:t>-</w:t>
            </w:r>
            <w:r w:rsidR="002B5E6A">
              <w:t>scale rollouts</w:t>
            </w:r>
            <w:r w:rsidR="002805E9">
              <w:t>,</w:t>
            </w:r>
            <w:r w:rsidR="00F12A68">
              <w:t xml:space="preserve"> </w:t>
            </w:r>
            <w:r w:rsidR="00A16B08">
              <w:t>the cost</w:t>
            </w:r>
            <w:r w:rsidR="002805E9">
              <w:t>–</w:t>
            </w:r>
            <w:r w:rsidR="00A16B08">
              <w:t xml:space="preserve">benefit test would be done as part of </w:t>
            </w:r>
            <w:r w:rsidR="00F12A68">
              <w:t>the Regulatory Investment</w:t>
            </w:r>
            <w:r w:rsidR="003A4447">
              <w:t xml:space="preserve"> Test for </w:t>
            </w:r>
            <w:r w:rsidR="00F12A68">
              <w:t>Distribution (</w:t>
            </w:r>
            <w:proofErr w:type="spellStart"/>
            <w:r w:rsidR="00F12A68">
              <w:t>RIT</w:t>
            </w:r>
            <w:proofErr w:type="spellEnd"/>
            <w:r w:rsidR="00F12A68">
              <w:t>-D)</w:t>
            </w:r>
          </w:p>
          <w:p w:rsidR="0036700D" w:rsidRPr="0036700D" w:rsidRDefault="000218F6" w:rsidP="000218F6">
            <w:pPr>
              <w:pStyle w:val="BoxListBullet2"/>
            </w:pPr>
            <w:r>
              <w:t>using direct load control as a complement to smart meters.</w:t>
            </w:r>
          </w:p>
          <w:p w:rsidR="00153F01" w:rsidRPr="004E2638" w:rsidRDefault="00BB1B70" w:rsidP="00DB1618">
            <w:pPr>
              <w:pStyle w:val="BoxListBullet"/>
            </w:pPr>
            <w:r>
              <w:t>While r</w:t>
            </w:r>
            <w:r w:rsidR="004E2638" w:rsidRPr="004E2638">
              <w:t>ecent data help provide more information about the range of possible net benefits, the estimates</w:t>
            </w:r>
            <w:r w:rsidR="00060D89">
              <w:t xml:space="preserve"> </w:t>
            </w:r>
            <w:r w:rsidR="009B14A4">
              <w:t>nevertheless have wide confidence intervals</w:t>
            </w:r>
            <w:r w:rsidR="004E2638" w:rsidRPr="004E2638">
              <w:t xml:space="preserve">. </w:t>
            </w:r>
          </w:p>
        </w:tc>
      </w:tr>
      <w:tr w:rsidR="00962FA4" w:rsidTr="00962FA4">
        <w:trPr>
          <w:cantSplit/>
        </w:trPr>
        <w:tc>
          <w:tcPr>
            <w:tcW w:w="8771" w:type="dxa"/>
            <w:tcBorders>
              <w:top w:val="nil"/>
              <w:left w:val="single" w:sz="6" w:space="0" w:color="auto"/>
              <w:bottom w:val="single" w:sz="6" w:space="0" w:color="auto"/>
              <w:right w:val="single" w:sz="6" w:space="0" w:color="auto"/>
            </w:tcBorders>
          </w:tcPr>
          <w:p w:rsidR="00962FA4" w:rsidRDefault="00962FA4" w:rsidP="00962FA4">
            <w:pPr>
              <w:pStyle w:val="Box"/>
              <w:spacing w:before="0" w:line="120" w:lineRule="exact"/>
            </w:pPr>
          </w:p>
        </w:tc>
      </w:tr>
      <w:tr w:rsidR="00962FA4" w:rsidRPr="000863A5" w:rsidTr="00962FA4">
        <w:tc>
          <w:tcPr>
            <w:tcW w:w="8771" w:type="dxa"/>
            <w:tcBorders>
              <w:top w:val="nil"/>
              <w:left w:val="nil"/>
              <w:bottom w:val="nil"/>
              <w:right w:val="nil"/>
            </w:tcBorders>
          </w:tcPr>
          <w:p w:rsidR="00962FA4" w:rsidRPr="000863A5" w:rsidRDefault="00962FA4" w:rsidP="00962FA4">
            <w:pPr>
              <w:pStyle w:val="Box"/>
              <w:keepNext w:val="0"/>
              <w:spacing w:before="60" w:after="60" w:line="80" w:lineRule="exact"/>
              <w:rPr>
                <w:b/>
                <w:sz w:val="14"/>
              </w:rPr>
            </w:pPr>
          </w:p>
        </w:tc>
      </w:tr>
    </w:tbl>
    <w:p w:rsidR="009C783C" w:rsidRDefault="00A548A5" w:rsidP="009C783C">
      <w:pPr>
        <w:pStyle w:val="BodyText"/>
        <w:rPr>
          <w:lang w:eastAsia="en-US"/>
        </w:rPr>
      </w:pPr>
      <w:r>
        <w:rPr>
          <w:lang w:eastAsia="en-US"/>
        </w:rPr>
        <w:t>Electricity networks must be able to carry power</w:t>
      </w:r>
      <w:r w:rsidRPr="00A548A5">
        <w:rPr>
          <w:lang w:eastAsia="en-US"/>
        </w:rPr>
        <w:t xml:space="preserve"> </w:t>
      </w:r>
      <w:r>
        <w:rPr>
          <w:lang w:eastAsia="en-US"/>
        </w:rPr>
        <w:t xml:space="preserve">reliably during critical peak periods and peaking generators </w:t>
      </w:r>
      <w:r w:rsidR="00727886">
        <w:rPr>
          <w:lang w:eastAsia="en-US"/>
        </w:rPr>
        <w:t xml:space="preserve">must be </w:t>
      </w:r>
      <w:r>
        <w:rPr>
          <w:lang w:eastAsia="en-US"/>
        </w:rPr>
        <w:t xml:space="preserve">available to </w:t>
      </w:r>
      <w:r w:rsidR="00727886">
        <w:rPr>
          <w:lang w:eastAsia="en-US"/>
        </w:rPr>
        <w:t xml:space="preserve">supplement </w:t>
      </w:r>
      <w:r w:rsidR="00CE41CC">
        <w:rPr>
          <w:lang w:eastAsia="en-US"/>
        </w:rPr>
        <w:t xml:space="preserve">energy </w:t>
      </w:r>
      <w:r w:rsidR="00727886">
        <w:rPr>
          <w:lang w:eastAsia="en-US"/>
        </w:rPr>
        <w:t xml:space="preserve">supply </w:t>
      </w:r>
      <w:r>
        <w:rPr>
          <w:lang w:eastAsia="en-US"/>
        </w:rPr>
        <w:t xml:space="preserve">at these times. As discussed in chapter 9, the investments in infrastructure to meet critical peak demand </w:t>
      </w:r>
      <w:r w:rsidR="00C86D9D">
        <w:rPr>
          <w:lang w:eastAsia="en-US"/>
        </w:rPr>
        <w:t>can be</w:t>
      </w:r>
      <w:r>
        <w:rPr>
          <w:lang w:eastAsia="en-US"/>
        </w:rPr>
        <w:t xml:space="preserve"> very </w:t>
      </w:r>
      <w:r w:rsidR="00481334">
        <w:rPr>
          <w:lang w:eastAsia="en-US"/>
        </w:rPr>
        <w:t>large</w:t>
      </w:r>
      <w:r w:rsidR="00727886">
        <w:rPr>
          <w:lang w:eastAsia="en-US"/>
        </w:rPr>
        <w:t xml:space="preserve"> and, given current pricing arrangements, are inefficiently high</w:t>
      </w:r>
      <w:r>
        <w:rPr>
          <w:lang w:eastAsia="en-US"/>
        </w:rPr>
        <w:t xml:space="preserve">. </w:t>
      </w:r>
      <w:r w:rsidR="00481334">
        <w:rPr>
          <w:lang w:eastAsia="en-US"/>
        </w:rPr>
        <w:t xml:space="preserve">Demand management </w:t>
      </w:r>
      <w:r>
        <w:rPr>
          <w:lang w:eastAsia="en-US"/>
        </w:rPr>
        <w:t xml:space="preserve">during peak periods would </w:t>
      </w:r>
      <w:r w:rsidR="00481334">
        <w:rPr>
          <w:lang w:eastAsia="en-US"/>
        </w:rPr>
        <w:t>reduce</w:t>
      </w:r>
      <w:r>
        <w:rPr>
          <w:lang w:eastAsia="en-US"/>
        </w:rPr>
        <w:t xml:space="preserve"> such </w:t>
      </w:r>
      <w:r>
        <w:rPr>
          <w:lang w:eastAsia="en-US"/>
        </w:rPr>
        <w:lastRenderedPageBreak/>
        <w:t xml:space="preserve">costs, </w:t>
      </w:r>
      <w:r w:rsidR="00481334">
        <w:rPr>
          <w:lang w:eastAsia="en-US"/>
        </w:rPr>
        <w:t xml:space="preserve">and mitigate electricity price pressures. </w:t>
      </w:r>
      <w:r w:rsidR="00727886">
        <w:rPr>
          <w:lang w:eastAsia="en-US"/>
        </w:rPr>
        <w:t>Moreover, some of the technologies used to achieve demand management can also significantly reduce network cost</w:t>
      </w:r>
      <w:r w:rsidR="00DB5305">
        <w:rPr>
          <w:lang w:eastAsia="en-US"/>
        </w:rPr>
        <w:t>s in other ways (chapters 9 and </w:t>
      </w:r>
      <w:r w:rsidR="00727886">
        <w:rPr>
          <w:lang w:eastAsia="en-US"/>
        </w:rPr>
        <w:t>10)</w:t>
      </w:r>
      <w:r w:rsidR="00AF4A60">
        <w:rPr>
          <w:lang w:eastAsia="en-US"/>
        </w:rPr>
        <w:t xml:space="preserve"> — with this contributing significantly to the size of the benefits. T</w:t>
      </w:r>
      <w:r w:rsidR="009C783C">
        <w:rPr>
          <w:lang w:eastAsia="en-US"/>
        </w:rPr>
        <w:t xml:space="preserve">he magnitude of the benefits and costs </w:t>
      </w:r>
      <w:r w:rsidR="00AF4A60">
        <w:rPr>
          <w:lang w:eastAsia="en-US"/>
        </w:rPr>
        <w:t xml:space="preserve">also </w:t>
      </w:r>
      <w:r w:rsidR="009C783C">
        <w:rPr>
          <w:lang w:eastAsia="en-US"/>
        </w:rPr>
        <w:t xml:space="preserve">depends on the </w:t>
      </w:r>
      <w:r w:rsidR="009B14A4">
        <w:rPr>
          <w:lang w:eastAsia="en-US"/>
        </w:rPr>
        <w:t>way that demand management is implemented</w:t>
      </w:r>
      <w:r w:rsidR="009C783C">
        <w:rPr>
          <w:lang w:eastAsia="en-US"/>
        </w:rPr>
        <w:t xml:space="preserve">. </w:t>
      </w:r>
    </w:p>
    <w:p w:rsidR="009C783C" w:rsidRDefault="009C783C" w:rsidP="009C783C">
      <w:pPr>
        <w:pStyle w:val="BodyText"/>
        <w:rPr>
          <w:lang w:eastAsia="en-US"/>
        </w:rPr>
      </w:pPr>
      <w:r>
        <w:rPr>
          <w:lang w:eastAsia="en-US"/>
        </w:rPr>
        <w:t>Putting aside power factor correction</w:t>
      </w:r>
      <w:r>
        <w:rPr>
          <w:rStyle w:val="FootnoteReference"/>
          <w:lang w:eastAsia="en-US"/>
        </w:rPr>
        <w:footnoteReference w:id="1"/>
      </w:r>
      <w:r>
        <w:rPr>
          <w:lang w:eastAsia="en-US"/>
        </w:rPr>
        <w:t xml:space="preserve"> (which mainly </w:t>
      </w:r>
      <w:r w:rsidR="00BB1B70">
        <w:rPr>
          <w:lang w:eastAsia="en-US"/>
        </w:rPr>
        <w:t>relates</w:t>
      </w:r>
      <w:r>
        <w:rPr>
          <w:lang w:eastAsia="en-US"/>
        </w:rPr>
        <w:t xml:space="preserve"> to medium and large non-residential customers) and distributed generation (chapter </w:t>
      </w:r>
      <w:r w:rsidR="00BD5FFF">
        <w:rPr>
          <w:lang w:eastAsia="en-US"/>
        </w:rPr>
        <w:t>13</w:t>
      </w:r>
      <w:r>
        <w:rPr>
          <w:lang w:eastAsia="en-US"/>
        </w:rPr>
        <w:t>), demand management takes the form of:</w:t>
      </w:r>
    </w:p>
    <w:p w:rsidR="009C783C" w:rsidRDefault="009C783C" w:rsidP="009C783C">
      <w:pPr>
        <w:pStyle w:val="ListBullet"/>
      </w:pPr>
      <w:r>
        <w:t>direct load control at critical peaks</w:t>
      </w:r>
      <w:r w:rsidR="00AF4A60">
        <w:t xml:space="preserve"> to smooth </w:t>
      </w:r>
      <w:r w:rsidR="009678FC">
        <w:t>consumption</w:t>
      </w:r>
      <w:r w:rsidR="00AF4A60">
        <w:t>. Direct load control can (with the consent of the consumer) also help address the problems posed by intermittent energy output from renewable generation on the stability of the grid, and to reduce the impacts of failures in generators (and other key assets)</w:t>
      </w:r>
    </w:p>
    <w:p w:rsidR="009C783C" w:rsidRDefault="009C783C" w:rsidP="009C783C">
      <w:pPr>
        <w:pStyle w:val="ListBullet"/>
      </w:pPr>
      <w:r>
        <w:t xml:space="preserve">higher </w:t>
      </w:r>
      <w:r w:rsidR="00EC34F1">
        <w:t>prices</w:t>
      </w:r>
      <w:r>
        <w:t xml:space="preserve"> when demand is higher (though there are several variants of such pricing, as discussed later)</w:t>
      </w:r>
    </w:p>
    <w:p w:rsidR="009C783C" w:rsidRDefault="009C783C" w:rsidP="009C783C">
      <w:pPr>
        <w:pStyle w:val="ListBullet"/>
      </w:pPr>
      <w:r>
        <w:t>rebates or incentives to reduce demand at critical peaks.</w:t>
      </w:r>
    </w:p>
    <w:p w:rsidR="00483D51" w:rsidRDefault="009C783C" w:rsidP="009C783C">
      <w:pPr>
        <w:pStyle w:val="BodyText"/>
      </w:pPr>
      <w:r>
        <w:t xml:space="preserve">This </w:t>
      </w:r>
      <w:r w:rsidR="00483D51">
        <w:t>paper</w:t>
      </w:r>
      <w:r>
        <w:t xml:space="preserve"> explores the potential costs and benefits of several </w:t>
      </w:r>
      <w:r w:rsidRPr="00561CA6">
        <w:t>demand management</w:t>
      </w:r>
      <w:r>
        <w:t xml:space="preserve"> options</w:t>
      </w:r>
      <w:r w:rsidR="00233B0E">
        <w:t xml:space="preserve"> for </w:t>
      </w:r>
      <w:r w:rsidR="00233B0E" w:rsidRPr="00233B0E">
        <w:rPr>
          <w:i/>
        </w:rPr>
        <w:t>households</w:t>
      </w:r>
      <w:r>
        <w:t>, which provides some guidance for effective policy in this area</w:t>
      </w:r>
      <w:r w:rsidR="009678FC">
        <w:t>. It also highlights</w:t>
      </w:r>
      <w:r>
        <w:t xml:space="preserve"> some of the risks of ad hoc policymaking. </w:t>
      </w:r>
      <w:r w:rsidR="00483D51">
        <w:t xml:space="preserve">This technical paper is accompanied by a </w:t>
      </w:r>
      <w:proofErr w:type="spellStart"/>
      <w:r w:rsidR="00483D51">
        <w:t>spreadsheet</w:t>
      </w:r>
      <w:proofErr w:type="spellEnd"/>
      <w:r w:rsidR="00483D51">
        <w:t>, which lays out the key assumptions and the detailed calculations</w:t>
      </w:r>
      <w:r w:rsidR="005B12E6">
        <w:t xml:space="preserve">. </w:t>
      </w:r>
      <w:r w:rsidR="00EA01A6">
        <w:t>Figure 1.1 sets out the structure of the technical paper.</w:t>
      </w:r>
    </w:p>
    <w:p w:rsidR="00233B0E" w:rsidRDefault="001638B1" w:rsidP="00233B0E">
      <w:pPr>
        <w:pStyle w:val="Heading2"/>
      </w:pPr>
      <w:r>
        <w:fldChar w:fldCharType="begin"/>
      </w:r>
      <w:r>
        <w:instrText xml:space="preserve"> COMMENTS  \* MERGEFORMAT </w:instrText>
      </w:r>
      <w:r>
        <w:fldChar w:fldCharType="separate"/>
      </w:r>
      <w:r w:rsidR="007F1CF0">
        <w:t>1.</w:t>
      </w:r>
      <w:r>
        <w:fldChar w:fldCharType="end"/>
      </w:r>
      <w:fldSimple w:instr=" SEQ Heading2 ">
        <w:r w:rsidR="00A71173">
          <w:rPr>
            <w:noProof/>
          </w:rPr>
          <w:t>1</w:t>
        </w:r>
      </w:fldSimple>
      <w:r w:rsidR="00233B0E">
        <w:tab/>
        <w:t>Some essential caveats</w:t>
      </w:r>
    </w:p>
    <w:p w:rsidR="00233B0E" w:rsidRDefault="00233B0E" w:rsidP="00F27F5F">
      <w:pPr>
        <w:pStyle w:val="BodyText"/>
      </w:pPr>
      <w:r>
        <w:t>The Commission emphasises that the results in this technical paper are indicative</w:t>
      </w:r>
      <w:r w:rsidR="009678FC">
        <w:t>.</w:t>
      </w:r>
      <w:r w:rsidR="009100FA">
        <w:t xml:space="preserve"> </w:t>
      </w:r>
      <w:r w:rsidR="00F43363">
        <w:t xml:space="preserve">Estimates have been </w:t>
      </w:r>
      <w:r w:rsidR="009100FA">
        <w:t>derived using a relatively simple and tractable modelling approach</w:t>
      </w:r>
      <w:r>
        <w:t xml:space="preserve">. </w:t>
      </w:r>
      <w:r w:rsidR="001E3200">
        <w:t>Previous</w:t>
      </w:r>
      <w:r>
        <w:t xml:space="preserve"> cost-benefit studies of demand management options (box 1.1) have found quite disparate estimates of net benefits, highlighting the challenges involved in this area</w:t>
      </w:r>
      <w:r w:rsidR="00DB5305">
        <w:t xml:space="preserve"> (chapters 9 </w:t>
      </w:r>
      <w:r w:rsidR="00362DA1">
        <w:t>and</w:t>
      </w:r>
      <w:r w:rsidR="00DB5305">
        <w:t> </w:t>
      </w:r>
      <w:r w:rsidR="00362DA1">
        <w:t>10)</w:t>
      </w:r>
      <w:r>
        <w:t xml:space="preserve">. </w:t>
      </w:r>
      <w:r w:rsidR="009100FA">
        <w:t xml:space="preserve">This </w:t>
      </w:r>
      <w:r w:rsidR="00F43363">
        <w:t>paper</w:t>
      </w:r>
      <w:r w:rsidR="009100FA">
        <w:t xml:space="preserve"> draws on the methods and data in this previous work to help explore the options that the Commission has raised in its inquiry report. </w:t>
      </w:r>
      <w:r w:rsidR="000950BF">
        <w:t xml:space="preserve">Due to data limitations, sometimes it has been necessary to use estimates for costs and benefits from specific trials. These estimates may be different in </w:t>
      </w:r>
      <w:r w:rsidR="00BB1845">
        <w:t xml:space="preserve">real world commercial settings. </w:t>
      </w:r>
    </w:p>
    <w:p w:rsidR="00EA01A6" w:rsidRDefault="00EA01A6">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Figure \* ARABIC </w:instrText>
      </w:r>
      <w:r>
        <w:rPr>
          <w:b w:val="0"/>
        </w:rPr>
        <w:fldChar w:fldCharType="separate"/>
      </w:r>
      <w:r w:rsidR="00A71173">
        <w:rPr>
          <w:b w:val="0"/>
          <w:noProof/>
        </w:rPr>
        <w:t>1</w:t>
      </w:r>
      <w:r>
        <w:rPr>
          <w:b w:val="0"/>
        </w:rPr>
        <w:fldChar w:fldCharType="end"/>
      </w:r>
      <w:r>
        <w:tab/>
      </w:r>
      <w:r w:rsidR="00D01F72">
        <w:t>Technical paper structure</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EA01A6">
        <w:tc>
          <w:tcPr>
            <w:tcW w:w="8777" w:type="dxa"/>
          </w:tcPr>
          <w:p w:rsidR="00EA01A6" w:rsidRDefault="000E5ED7">
            <w:pPr>
              <w:pStyle w:val="Figure"/>
            </w:pPr>
            <w:r>
              <w:object w:dxaOrig="8929" w:dyaOrig="9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457.5pt" o:ole="">
                  <v:imagedata r:id="rId10" o:title=""/>
                </v:shape>
                <o:OLEObject Type="Embed" ProgID="Visio.Drawing.11" ShapeID="_x0000_i1025" DrawAspect="Content" ObjectID="_1428132728" r:id="rId11"/>
              </w:object>
            </w:r>
          </w:p>
        </w:tc>
      </w:tr>
    </w:tbl>
    <w:p w:rsidR="00F27F5F" w:rsidRDefault="00F27F5F" w:rsidP="00F27F5F">
      <w:pPr>
        <w:pStyle w:val="BodyText"/>
      </w:pPr>
      <w:r>
        <w:t xml:space="preserve">There may also be substantial economies of scale and scope from the large-scale deployment of advanced metering infrastructure and direct load control. While the Commission has sometimes cited stakeholders’ views on such economies, it has not been able to undertake a full analysis of their possible size. This may result in the overestimation of some costs. However, this is not certain. The Commission notes that a recent evaluation of Victoria’s deployment of smart meters found earlier studies had underestimated the costs involved (Deloitte </w:t>
      </w:r>
      <w:proofErr w:type="spellStart"/>
      <w:r>
        <w:t>2011a</w:t>
      </w:r>
      <w:proofErr w:type="spellEnd"/>
      <w:r>
        <w:t>).</w:t>
      </w:r>
    </w:p>
    <w:p w:rsidR="001F2510" w:rsidRDefault="001F2510" w:rsidP="001F2510">
      <w:pPr>
        <w:pStyle w:val="BoxSpaceAbove"/>
      </w:pPr>
    </w:p>
    <w:tbl>
      <w:tblPr>
        <w:tblW w:w="8771" w:type="dxa"/>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F2510" w:rsidTr="00E21ED5">
        <w:tc>
          <w:tcPr>
            <w:tcW w:w="8771" w:type="dxa"/>
            <w:tcBorders>
              <w:top w:val="single" w:sz="6" w:space="0" w:color="auto"/>
              <w:bottom w:val="nil"/>
            </w:tcBorders>
          </w:tcPr>
          <w:p w:rsidR="001F2510" w:rsidRDefault="001F2510" w:rsidP="00E21ED5">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Box \* ARABIC </w:instrText>
            </w:r>
            <w:r>
              <w:rPr>
                <w:b w:val="0"/>
              </w:rPr>
              <w:fldChar w:fldCharType="separate"/>
            </w:r>
            <w:r w:rsidR="00A71173">
              <w:rPr>
                <w:b w:val="0"/>
                <w:noProof/>
              </w:rPr>
              <w:t>1</w:t>
            </w:r>
            <w:r>
              <w:rPr>
                <w:b w:val="0"/>
              </w:rPr>
              <w:fldChar w:fldCharType="end"/>
            </w:r>
            <w:r>
              <w:tab/>
            </w:r>
            <w:r w:rsidRPr="00222D77">
              <w:t>Previous cost benefit studies of smart meter rollouts</w:t>
            </w:r>
          </w:p>
        </w:tc>
      </w:tr>
      <w:tr w:rsidR="001F2510" w:rsidTr="00E21ED5">
        <w:trPr>
          <w:cantSplit/>
        </w:trPr>
        <w:tc>
          <w:tcPr>
            <w:tcW w:w="8771" w:type="dxa"/>
            <w:tcBorders>
              <w:top w:val="nil"/>
              <w:left w:val="single" w:sz="6" w:space="0" w:color="auto"/>
              <w:bottom w:val="nil"/>
              <w:right w:val="single" w:sz="6" w:space="0" w:color="auto"/>
            </w:tcBorders>
          </w:tcPr>
          <w:p w:rsidR="00E64E35" w:rsidRDefault="001F2510" w:rsidP="00E21ED5">
            <w:pPr>
              <w:pStyle w:val="Box"/>
            </w:pPr>
            <w:r>
              <w:t>The</w:t>
            </w:r>
            <w:r w:rsidR="004E30EE">
              <w:t xml:space="preserve">re have been multiple studies of the </w:t>
            </w:r>
            <w:r>
              <w:t>costs and benefits of introducing smart meters and the potential for demand management schemes in Australia. Most were ex ante assessments of the future net benefits from introducing smart meters and demand management in Victoria</w:t>
            </w:r>
            <w:r w:rsidR="004E30EE">
              <w:t xml:space="preserve"> (described in detail in chapter 10)</w:t>
            </w:r>
            <w:r>
              <w:t xml:space="preserve">. </w:t>
            </w:r>
            <w:r w:rsidR="004E30EE">
              <w:t xml:space="preserve">At the time, they were undertaken, these studies faced several major forecasting challenges relating to the costs of smart meters, their functionality, the responsiveness of consumers, and the practical issues in developing and </w:t>
            </w:r>
            <w:proofErr w:type="spellStart"/>
            <w:r w:rsidR="004E30EE">
              <w:t>operationalising</w:t>
            </w:r>
            <w:proofErr w:type="spellEnd"/>
            <w:r w:rsidR="004E30EE">
              <w:t xml:space="preserve"> communication, billing and information systems. These studies typically suggested that a </w:t>
            </w:r>
            <w:proofErr w:type="spellStart"/>
            <w:r w:rsidR="004E30EE">
              <w:t>state-wide</w:t>
            </w:r>
            <w:proofErr w:type="spellEnd"/>
            <w:r w:rsidR="004E30EE">
              <w:t xml:space="preserve"> rollout in Victoria would provide net benefits.</w:t>
            </w:r>
          </w:p>
          <w:p w:rsidR="004E30EE" w:rsidRDefault="004E30EE" w:rsidP="004E30EE">
            <w:pPr>
              <w:pStyle w:val="Box"/>
            </w:pPr>
            <w:r>
              <w:t>However, a</w:t>
            </w:r>
            <w:r w:rsidRPr="003B6A48">
              <w:t xml:space="preserve"> more recent cost benefit analysis of </w:t>
            </w:r>
            <w:r>
              <w:t>the smart meter rollout</w:t>
            </w:r>
            <w:r w:rsidRPr="003B6A48">
              <w:t xml:space="preserve"> in Victoria (Deloitte </w:t>
            </w:r>
            <w:proofErr w:type="spellStart"/>
            <w:r w:rsidRPr="003B6A48">
              <w:t>2011a</w:t>
            </w:r>
            <w:proofErr w:type="spellEnd"/>
            <w:r w:rsidRPr="003B6A48">
              <w:t>)</w:t>
            </w:r>
            <w:r>
              <w:t xml:space="preserve"> was able to use actual cost data for some estimates because the rollout had been partly implemented. Using these data and various additional forecasts, Deloitte </w:t>
            </w:r>
            <w:r w:rsidRPr="003B6A48">
              <w:t>found that for the period 2008</w:t>
            </w:r>
            <w:r>
              <w:t xml:space="preserve"> (the time of project commencement)</w:t>
            </w:r>
            <w:r w:rsidRPr="003B6A48">
              <w:t xml:space="preserve"> to 2028, the program would likely produce net costs (due largely to cost blowouts in the initial years of the program). However, Deloitte still recommended that the rollout be completed</w:t>
            </w:r>
            <w:r>
              <w:t xml:space="preserve">, given that the costs that most contributed to this adverse outcome had already occurred (and were therefore ‘sunk’), while many of the benefits could be realised in the future. </w:t>
            </w:r>
            <w:r w:rsidRPr="003B6A48">
              <w:t xml:space="preserve">As such, the </w:t>
            </w:r>
            <w:r w:rsidRPr="003B6A48">
              <w:rPr>
                <w:i/>
              </w:rPr>
              <w:t>continuation</w:t>
            </w:r>
            <w:r w:rsidRPr="003B6A48">
              <w:t xml:space="preserve"> of the program from 2012 to 2028 was expected to deliver a substantial net benefit.</w:t>
            </w:r>
          </w:p>
          <w:p w:rsidR="001F2510" w:rsidRDefault="00E64E35" w:rsidP="00E21ED5">
            <w:pPr>
              <w:pStyle w:val="Box"/>
            </w:pPr>
            <w:r w:rsidRPr="00E64E35">
              <w:t xml:space="preserve">The most comprehensive cost benefit study of a </w:t>
            </w:r>
            <w:r w:rsidRPr="004E30EE">
              <w:rPr>
                <w:i/>
              </w:rPr>
              <w:t>national</w:t>
            </w:r>
            <w:r w:rsidRPr="00E64E35">
              <w:t xml:space="preserve"> rollout was undertaken for the then </w:t>
            </w:r>
            <w:r w:rsidR="001623FF">
              <w:t>M</w:t>
            </w:r>
            <w:r w:rsidRPr="00E64E35">
              <w:t xml:space="preserve">inisterial </w:t>
            </w:r>
            <w:r w:rsidR="001623FF">
              <w:t>C</w:t>
            </w:r>
            <w:r w:rsidRPr="00E64E35">
              <w:t xml:space="preserve">ouncil for </w:t>
            </w:r>
            <w:r w:rsidR="001623FF">
              <w:t>E</w:t>
            </w:r>
            <w:r w:rsidRPr="00E64E35">
              <w:t>nergy by a number of consultants (</w:t>
            </w:r>
            <w:proofErr w:type="spellStart"/>
            <w:r w:rsidRPr="00E64E35">
              <w:t>NERA</w:t>
            </w:r>
            <w:proofErr w:type="spellEnd"/>
            <w:r w:rsidRPr="00E64E35">
              <w:t xml:space="preserve"> </w:t>
            </w:r>
            <w:proofErr w:type="spellStart"/>
            <w:r w:rsidRPr="00E64E35">
              <w:t>2008a</w:t>
            </w:r>
            <w:proofErr w:type="spellEnd"/>
            <w:r w:rsidRPr="00E64E35">
              <w:t xml:space="preserve">, </w:t>
            </w:r>
            <w:proofErr w:type="spellStart"/>
            <w:r w:rsidRPr="00E64E35">
              <w:t>2008b</w:t>
            </w:r>
            <w:proofErr w:type="spellEnd"/>
            <w:r w:rsidRPr="00E64E35">
              <w:t>; KPMG 2008</w:t>
            </w:r>
            <w:r w:rsidR="001623FF">
              <w:t>;</w:t>
            </w:r>
            <w:r w:rsidRPr="00E64E35">
              <w:t xml:space="preserve"> </w:t>
            </w:r>
            <w:proofErr w:type="spellStart"/>
            <w:r w:rsidRPr="00E64E35">
              <w:t>CRA</w:t>
            </w:r>
            <w:proofErr w:type="spellEnd"/>
            <w:r w:rsidRPr="00E64E35">
              <w:t xml:space="preserve"> 2007</w:t>
            </w:r>
            <w:r w:rsidR="001623FF">
              <w:t>;</w:t>
            </w:r>
            <w:r w:rsidRPr="00E64E35">
              <w:t xml:space="preserve"> </w:t>
            </w:r>
            <w:proofErr w:type="spellStart"/>
            <w:r w:rsidRPr="00E64E35">
              <w:t>2008a</w:t>
            </w:r>
            <w:r w:rsidR="00D2758A">
              <w:t>,b</w:t>
            </w:r>
            <w:proofErr w:type="spellEnd"/>
            <w:r w:rsidR="001623FF">
              <w:t>;</w:t>
            </w:r>
            <w:r w:rsidRPr="00E64E35">
              <w:t xml:space="preserve"> and </w:t>
            </w:r>
            <w:proofErr w:type="spellStart"/>
            <w:r w:rsidRPr="00E64E35">
              <w:t>EMCa</w:t>
            </w:r>
            <w:proofErr w:type="spellEnd"/>
            <w:r w:rsidRPr="00E64E35">
              <w:t xml:space="preserve"> 2008). The study suggested that a universal rollout would result in net benefits for most states in the </w:t>
            </w:r>
            <w:proofErr w:type="spellStart"/>
            <w:r w:rsidRPr="00E64E35">
              <w:t>NEM</w:t>
            </w:r>
            <w:proofErr w:type="spellEnd"/>
            <w:r>
              <w:t>.</w:t>
            </w:r>
            <w:r w:rsidRPr="00E64E35">
              <w:t xml:space="preserve"> </w:t>
            </w:r>
            <w:r>
              <w:t xml:space="preserve">However, net benefits were unlikely for the ACT and </w:t>
            </w:r>
            <w:r w:rsidRPr="00E64E35">
              <w:t>Tasmania</w:t>
            </w:r>
            <w:r>
              <w:t xml:space="preserve">, and uncertain in South Australia </w:t>
            </w:r>
            <w:r w:rsidRPr="00E64E35">
              <w:t>(depending partly on demand response) (</w:t>
            </w:r>
            <w:proofErr w:type="spellStart"/>
            <w:r w:rsidRPr="00E64E35">
              <w:t>NERA</w:t>
            </w:r>
            <w:proofErr w:type="spellEnd"/>
            <w:r w:rsidRPr="00E64E35">
              <w:t xml:space="preserve"> </w:t>
            </w:r>
            <w:proofErr w:type="spellStart"/>
            <w:r w:rsidRPr="00E64E35">
              <w:t>2008a</w:t>
            </w:r>
            <w:proofErr w:type="spellEnd"/>
            <w:r w:rsidRPr="00E64E35">
              <w:t>).</w:t>
            </w:r>
            <w:r w:rsidR="001F2510">
              <w:t xml:space="preserve"> </w:t>
            </w:r>
          </w:p>
          <w:p w:rsidR="00874A67" w:rsidRDefault="00874A67" w:rsidP="00874A67">
            <w:pPr>
              <w:pStyle w:val="Box"/>
            </w:pPr>
            <w:r>
              <w:t xml:space="preserve">The variations between </w:t>
            </w:r>
            <w:r w:rsidR="003B6A48">
              <w:t xml:space="preserve">these </w:t>
            </w:r>
            <w:r>
              <w:t>successive studies — discussed at greater length in chapter 10 — demonstrates the importance of assumptions and changing circumstances on cost–benefit estimates.</w:t>
            </w:r>
          </w:p>
        </w:tc>
      </w:tr>
      <w:tr w:rsidR="001F2510" w:rsidTr="00E21ED5">
        <w:trPr>
          <w:cantSplit/>
        </w:trPr>
        <w:tc>
          <w:tcPr>
            <w:tcW w:w="8771" w:type="dxa"/>
            <w:tcBorders>
              <w:top w:val="nil"/>
              <w:left w:val="single" w:sz="6" w:space="0" w:color="auto"/>
              <w:bottom w:val="single" w:sz="6" w:space="0" w:color="auto"/>
              <w:right w:val="single" w:sz="6" w:space="0" w:color="auto"/>
            </w:tcBorders>
          </w:tcPr>
          <w:p w:rsidR="001F2510" w:rsidRDefault="001F2510" w:rsidP="00E21ED5">
            <w:pPr>
              <w:pStyle w:val="Box"/>
              <w:spacing w:before="0" w:line="120" w:lineRule="exact"/>
            </w:pPr>
          </w:p>
        </w:tc>
      </w:tr>
      <w:tr w:rsidR="001F2510" w:rsidRPr="000863A5" w:rsidTr="00E21ED5">
        <w:tc>
          <w:tcPr>
            <w:tcW w:w="8771" w:type="dxa"/>
            <w:tcBorders>
              <w:top w:val="nil"/>
              <w:left w:val="nil"/>
              <w:bottom w:val="nil"/>
              <w:right w:val="nil"/>
            </w:tcBorders>
          </w:tcPr>
          <w:p w:rsidR="001F2510" w:rsidRPr="00626D32" w:rsidRDefault="001F2510" w:rsidP="00E21ED5">
            <w:pPr>
              <w:pStyle w:val="BoxSpaceBelow"/>
            </w:pPr>
          </w:p>
        </w:tc>
      </w:tr>
    </w:tbl>
    <w:p w:rsidR="00F27F5F" w:rsidRDefault="00F27F5F" w:rsidP="00F27F5F">
      <w:pPr>
        <w:pStyle w:val="BodyText"/>
      </w:pPr>
      <w:r>
        <w:t>The uncertainties in the modelling analysis means that ranges, not point estimates, of net benefits are most useful for policy purposes. Even these ranges depend on assumptions that will change with technological developments and new patterns of demand.</w:t>
      </w:r>
    </w:p>
    <w:p w:rsidR="00F27F5F" w:rsidRDefault="00F27F5F" w:rsidP="00F27F5F">
      <w:pPr>
        <w:pStyle w:val="BodyText"/>
        <w:rPr>
          <w:lang w:eastAsia="en-US"/>
        </w:rPr>
      </w:pPr>
      <w:r>
        <w:rPr>
          <w:lang w:eastAsia="en-US"/>
        </w:rPr>
        <w:t>The Commission has calculated three outcomes for any given policy experiment — low, medium and high:</w:t>
      </w:r>
    </w:p>
    <w:p w:rsidR="00F27F5F" w:rsidRDefault="00F27F5F" w:rsidP="00F27F5F">
      <w:pPr>
        <w:pStyle w:val="ListBullet"/>
      </w:pPr>
      <w:r>
        <w:t>the ‘low’ case involves selecting the values in the ranges for parameters that give the worst welfare outcome</w:t>
      </w:r>
    </w:p>
    <w:p w:rsidR="00F27F5F" w:rsidRDefault="00F27F5F" w:rsidP="00F27F5F">
      <w:pPr>
        <w:pStyle w:val="ListBullet"/>
      </w:pPr>
      <w:r>
        <w:t>the ‘high’ case involves selecting the values in the ranges for parameters that give the best welfare outcome</w:t>
      </w:r>
    </w:p>
    <w:p w:rsidR="00F27F5F" w:rsidRDefault="00F27F5F" w:rsidP="00F27F5F">
      <w:pPr>
        <w:pStyle w:val="ListBullet"/>
      </w:pPr>
      <w:r>
        <w:lastRenderedPageBreak/>
        <w:t xml:space="preserve">the ‘medium’ case describes the outcome occurring when parameters are set at the median value of the range. </w:t>
      </w:r>
    </w:p>
    <w:p w:rsidR="004E4B83" w:rsidRDefault="004E4B83" w:rsidP="004E4B83">
      <w:pPr>
        <w:pStyle w:val="BodyText"/>
        <w:rPr>
          <w:lang w:eastAsia="en-US"/>
        </w:rPr>
      </w:pPr>
      <w:r>
        <w:rPr>
          <w:lang w:eastAsia="en-US"/>
        </w:rPr>
        <w:t xml:space="preserve">The ‘medium’ case is the most likely, given that the probability that all parameter values are </w:t>
      </w:r>
      <w:r w:rsidR="004D778E">
        <w:rPr>
          <w:lang w:eastAsia="en-US"/>
        </w:rPr>
        <w:t xml:space="preserve">either </w:t>
      </w:r>
      <w:r>
        <w:rPr>
          <w:lang w:eastAsia="en-US"/>
        </w:rPr>
        <w:t xml:space="preserve">at their worst </w:t>
      </w:r>
      <w:r w:rsidR="004D778E">
        <w:rPr>
          <w:lang w:eastAsia="en-US"/>
        </w:rPr>
        <w:t xml:space="preserve">or </w:t>
      </w:r>
      <w:r>
        <w:rPr>
          <w:lang w:eastAsia="en-US"/>
        </w:rPr>
        <w:t>be</w:t>
      </w:r>
      <w:r w:rsidR="004D778E">
        <w:rPr>
          <w:lang w:eastAsia="en-US"/>
        </w:rPr>
        <w:t>st</w:t>
      </w:r>
      <w:r>
        <w:rPr>
          <w:lang w:eastAsia="en-US"/>
        </w:rPr>
        <w:t xml:space="preserve"> possible setting is low. The Commission has also estimated </w:t>
      </w:r>
      <w:r w:rsidR="00874A67">
        <w:rPr>
          <w:lang w:eastAsia="en-US"/>
        </w:rPr>
        <w:t>an indicative</w:t>
      </w:r>
      <w:r>
        <w:rPr>
          <w:lang w:eastAsia="en-US"/>
        </w:rPr>
        <w:t xml:space="preserve"> 25</w:t>
      </w:r>
      <w:r w:rsidRPr="004E4B83">
        <w:rPr>
          <w:vertAlign w:val="superscript"/>
          <w:lang w:eastAsia="en-US"/>
        </w:rPr>
        <w:t>th</w:t>
      </w:r>
      <w:r>
        <w:rPr>
          <w:lang w:eastAsia="en-US"/>
        </w:rPr>
        <w:t xml:space="preserve"> and 75</w:t>
      </w:r>
      <w:r w:rsidRPr="004E4B83">
        <w:rPr>
          <w:vertAlign w:val="superscript"/>
          <w:lang w:eastAsia="en-US"/>
        </w:rPr>
        <w:t>th</w:t>
      </w:r>
      <w:r>
        <w:rPr>
          <w:lang w:eastAsia="en-US"/>
        </w:rPr>
        <w:t xml:space="preserve"> percentile outcome of any scenario using a simple statistical appro</w:t>
      </w:r>
      <w:r w:rsidR="00874A67">
        <w:rPr>
          <w:lang w:eastAsia="en-US"/>
        </w:rPr>
        <w:t>ach (described later) — which reduces extreme outcomes.</w:t>
      </w:r>
    </w:p>
    <w:p w:rsidR="00747D53" w:rsidRDefault="004E4B83" w:rsidP="004E4B83">
      <w:pPr>
        <w:pStyle w:val="BodyText"/>
        <w:rPr>
          <w:lang w:eastAsia="en-US"/>
        </w:rPr>
      </w:pPr>
      <w:r>
        <w:rPr>
          <w:lang w:eastAsia="en-US"/>
        </w:rPr>
        <w:t xml:space="preserve">However, while there is uncertainty about the size of the benefits of demand management, the ranges for the </w:t>
      </w:r>
      <w:r w:rsidRPr="009100FA">
        <w:rPr>
          <w:i/>
          <w:lang w:eastAsia="en-US"/>
        </w:rPr>
        <w:t>preferred</w:t>
      </w:r>
      <w:r>
        <w:rPr>
          <w:lang w:eastAsia="en-US"/>
        </w:rPr>
        <w:t xml:space="preserve"> policy approach</w:t>
      </w:r>
      <w:r w:rsidR="00747D53">
        <w:rPr>
          <w:lang w:eastAsia="en-US"/>
        </w:rPr>
        <w:t>es</w:t>
      </w:r>
      <w:r>
        <w:rPr>
          <w:lang w:eastAsia="en-US"/>
        </w:rPr>
        <w:t xml:space="preserve"> shown below </w:t>
      </w:r>
      <w:r w:rsidR="003C51FE">
        <w:rPr>
          <w:lang w:eastAsia="en-US"/>
        </w:rPr>
        <w:t xml:space="preserve">(section 1.8) </w:t>
      </w:r>
      <w:r>
        <w:rPr>
          <w:lang w:eastAsia="en-US"/>
        </w:rPr>
        <w:t xml:space="preserve">are likely to exaggerate the real degree of uncertainty. One of the strengths of the Commission’s recommended approach </w:t>
      </w:r>
      <w:r w:rsidR="00874A67">
        <w:rPr>
          <w:lang w:eastAsia="en-US"/>
        </w:rPr>
        <w:t>for managing the deployment of smart meters in chapter 10 (</w:t>
      </w:r>
      <w:r>
        <w:rPr>
          <w:lang w:eastAsia="en-US"/>
        </w:rPr>
        <w:t xml:space="preserve">and </w:t>
      </w:r>
      <w:r w:rsidR="00874A67">
        <w:rPr>
          <w:lang w:eastAsia="en-US"/>
        </w:rPr>
        <w:t>any</w:t>
      </w:r>
      <w:r>
        <w:rPr>
          <w:lang w:eastAsia="en-US"/>
        </w:rPr>
        <w:t xml:space="preserve"> </w:t>
      </w:r>
      <w:r w:rsidR="00874A67">
        <w:rPr>
          <w:lang w:eastAsia="en-US"/>
        </w:rPr>
        <w:t xml:space="preserve">other </w:t>
      </w:r>
      <w:r>
        <w:rPr>
          <w:lang w:eastAsia="en-US"/>
        </w:rPr>
        <w:t xml:space="preserve">demand management </w:t>
      </w:r>
      <w:r w:rsidR="00874A67">
        <w:rPr>
          <w:lang w:eastAsia="en-US"/>
        </w:rPr>
        <w:t xml:space="preserve">technologies) </w:t>
      </w:r>
      <w:r>
        <w:rPr>
          <w:lang w:eastAsia="en-US"/>
        </w:rPr>
        <w:t xml:space="preserve">is that </w:t>
      </w:r>
      <w:r w:rsidR="00874A67">
        <w:rPr>
          <w:lang w:eastAsia="en-US"/>
        </w:rPr>
        <w:t xml:space="preserve">rollouts </w:t>
      </w:r>
      <w:r>
        <w:rPr>
          <w:lang w:eastAsia="en-US"/>
        </w:rPr>
        <w:t>are sequenced</w:t>
      </w:r>
      <w:r w:rsidR="00874A67">
        <w:rPr>
          <w:lang w:eastAsia="en-US"/>
        </w:rPr>
        <w:t>, with distribution businesses re</w:t>
      </w:r>
      <w:r w:rsidR="00F23AE0">
        <w:rPr>
          <w:lang w:eastAsia="en-US"/>
        </w:rPr>
        <w:noBreakHyphen/>
      </w:r>
      <w:r w:rsidR="00874A67">
        <w:rPr>
          <w:lang w:eastAsia="en-US"/>
        </w:rPr>
        <w:t xml:space="preserve">assessing the benefits </w:t>
      </w:r>
      <w:r w:rsidR="00747D53">
        <w:rPr>
          <w:lang w:eastAsia="en-US"/>
        </w:rPr>
        <w:t xml:space="preserve">and costs </w:t>
      </w:r>
      <w:r w:rsidR="00874A67">
        <w:rPr>
          <w:lang w:eastAsia="en-US"/>
        </w:rPr>
        <w:t xml:space="preserve">of each staged rollout at the time it occurs. Any </w:t>
      </w:r>
      <w:r w:rsidR="002805E9">
        <w:rPr>
          <w:lang w:eastAsia="en-US"/>
        </w:rPr>
        <w:t>significant</w:t>
      </w:r>
      <w:r w:rsidR="00874A67">
        <w:rPr>
          <w:lang w:eastAsia="en-US"/>
        </w:rPr>
        <w:t xml:space="preserve"> investment </w:t>
      </w:r>
      <w:r w:rsidR="002805E9">
        <w:rPr>
          <w:lang w:eastAsia="en-US"/>
        </w:rPr>
        <w:t xml:space="preserve">(greater than $5 million) </w:t>
      </w:r>
      <w:r w:rsidR="00874A67">
        <w:rPr>
          <w:lang w:eastAsia="en-US"/>
        </w:rPr>
        <w:t xml:space="preserve">is </w:t>
      </w:r>
      <w:r w:rsidR="00F23AE0">
        <w:rPr>
          <w:lang w:eastAsia="en-US"/>
        </w:rPr>
        <w:t xml:space="preserve">also subject to a </w:t>
      </w:r>
      <w:proofErr w:type="spellStart"/>
      <w:r w:rsidR="00F23AE0">
        <w:rPr>
          <w:lang w:eastAsia="en-US"/>
        </w:rPr>
        <w:t>RIT</w:t>
      </w:r>
      <w:proofErr w:type="spellEnd"/>
      <w:r w:rsidR="00F23AE0">
        <w:rPr>
          <w:lang w:eastAsia="en-US"/>
        </w:rPr>
        <w:t>-D (a cost</w:t>
      </w:r>
      <w:r w:rsidR="00F23AE0">
        <w:rPr>
          <w:lang w:eastAsia="en-US"/>
        </w:rPr>
        <w:noBreakHyphen/>
      </w:r>
      <w:r w:rsidR="00874A67">
        <w:rPr>
          <w:lang w:eastAsia="en-US"/>
        </w:rPr>
        <w:t>benefit study) prior to its commencement. As a</w:t>
      </w:r>
      <w:r w:rsidR="00747D53">
        <w:rPr>
          <w:lang w:eastAsia="en-US"/>
        </w:rPr>
        <w:t xml:space="preserve">ny rollout would be remunerated through the standard incentive regulatory arrangements, the </w:t>
      </w:r>
      <w:r w:rsidR="00874A67">
        <w:rPr>
          <w:lang w:eastAsia="en-US"/>
        </w:rPr>
        <w:t xml:space="preserve">regulated business </w:t>
      </w:r>
      <w:r w:rsidR="00747D53">
        <w:rPr>
          <w:lang w:eastAsia="en-US"/>
        </w:rPr>
        <w:t>would also have strong incentives to minimise the costs of any rollout (in contrast to the arrangements that applied in Victoria — chapter 10).</w:t>
      </w:r>
    </w:p>
    <w:p w:rsidR="004E4B83" w:rsidRDefault="004E4B83" w:rsidP="004E4B83">
      <w:pPr>
        <w:pStyle w:val="BodyText"/>
        <w:rPr>
          <w:lang w:eastAsia="en-US"/>
        </w:rPr>
      </w:pPr>
      <w:r>
        <w:rPr>
          <w:lang w:eastAsia="en-US"/>
        </w:rPr>
        <w:t>In that sense, the Commission’s approach provides flexibility in the timing and scale of rollouts.</w:t>
      </w:r>
      <w:r w:rsidRPr="001A0820">
        <w:rPr>
          <w:lang w:eastAsia="en-US"/>
        </w:rPr>
        <w:t xml:space="preserve"> </w:t>
      </w:r>
      <w:r>
        <w:rPr>
          <w:lang w:eastAsia="en-US"/>
        </w:rPr>
        <w:t xml:space="preserve">Were the technologies for smart metering, the associated IT and for direct load control to develop at a faster pace, or the network infrastructure costs of critical peak demands to rise more than expected, then a rollout might be accelerated. In other circumstances, rollouts </w:t>
      </w:r>
      <w:r w:rsidR="009100FA">
        <w:rPr>
          <w:lang w:eastAsia="en-US"/>
        </w:rPr>
        <w:t>w</w:t>
      </w:r>
      <w:r>
        <w:rPr>
          <w:lang w:eastAsia="en-US"/>
        </w:rPr>
        <w:t xml:space="preserve">ould be </w:t>
      </w:r>
      <w:r w:rsidR="009100FA">
        <w:rPr>
          <w:lang w:eastAsia="en-US"/>
        </w:rPr>
        <w:t xml:space="preserve">appropriately </w:t>
      </w:r>
      <w:r>
        <w:rPr>
          <w:lang w:eastAsia="en-US"/>
        </w:rPr>
        <w:t xml:space="preserve">delayed. Moreover, the Commission’s recommended sequenced approach allows learning about the realised costs and benefits, which would then inform </w:t>
      </w:r>
      <w:r w:rsidR="0044216A">
        <w:rPr>
          <w:lang w:eastAsia="en-US"/>
        </w:rPr>
        <w:t xml:space="preserve">future </w:t>
      </w:r>
      <w:r>
        <w:rPr>
          <w:lang w:eastAsia="en-US"/>
        </w:rPr>
        <w:t>ex ante cost</w:t>
      </w:r>
      <w:r w:rsidR="00F23AE0">
        <w:rPr>
          <w:lang w:eastAsia="en-US"/>
        </w:rPr>
        <w:noBreakHyphen/>
      </w:r>
      <w:r>
        <w:rPr>
          <w:lang w:eastAsia="en-US"/>
        </w:rPr>
        <w:t>benefit tests. By design this should avoid circumstances in which each successive rollout failed</w:t>
      </w:r>
      <w:r w:rsidR="00203C13">
        <w:rPr>
          <w:lang w:eastAsia="en-US"/>
        </w:rPr>
        <w:t xml:space="preserve"> an ex post cost-benefit test. </w:t>
      </w:r>
    </w:p>
    <w:p w:rsidR="00AC5882" w:rsidRDefault="001638B1" w:rsidP="009C783C">
      <w:pPr>
        <w:pStyle w:val="Heading2"/>
      </w:pPr>
      <w:r>
        <w:fldChar w:fldCharType="begin"/>
      </w:r>
      <w:r>
        <w:instrText xml:space="preserve"> COMMENTS  \* MERGEFORMAT </w:instrText>
      </w:r>
      <w:r>
        <w:fldChar w:fldCharType="separate"/>
      </w:r>
      <w:r w:rsidR="007F1CF0">
        <w:t>1.</w:t>
      </w:r>
      <w:r>
        <w:fldChar w:fldCharType="end"/>
      </w:r>
      <w:fldSimple w:instr=" SEQ Heading2 ">
        <w:r w:rsidR="00A71173">
          <w:rPr>
            <w:noProof/>
          </w:rPr>
          <w:t>2</w:t>
        </w:r>
      </w:fldSimple>
      <w:r w:rsidR="001A0820">
        <w:tab/>
      </w:r>
      <w:r w:rsidR="009C783C">
        <w:t>The various policy options</w:t>
      </w:r>
    </w:p>
    <w:p w:rsidR="004B401F" w:rsidRDefault="002C59C7" w:rsidP="00CE0F24">
      <w:pPr>
        <w:pStyle w:val="BodyText"/>
      </w:pPr>
      <w:r>
        <w:t>T</w:t>
      </w:r>
      <w:r w:rsidR="00AC5882">
        <w:t xml:space="preserve">he formulation of </w:t>
      </w:r>
      <w:r>
        <w:t>the</w:t>
      </w:r>
      <w:r w:rsidR="00AC5882">
        <w:t xml:space="preserve"> scenarios </w:t>
      </w:r>
      <w:r w:rsidR="002B4D4D">
        <w:t>(table </w:t>
      </w:r>
      <w:r w:rsidR="00076A79">
        <w:t>1.1</w:t>
      </w:r>
      <w:r w:rsidR="002B4D4D">
        <w:t xml:space="preserve">) </w:t>
      </w:r>
      <w:r w:rsidR="00B7602B">
        <w:t xml:space="preserve">is based on </w:t>
      </w:r>
      <w:r w:rsidR="004D778E">
        <w:t xml:space="preserve">several </w:t>
      </w:r>
      <w:r w:rsidR="004B401F">
        <w:t xml:space="preserve">choices </w:t>
      </w:r>
      <w:r w:rsidR="004D778E">
        <w:t xml:space="preserve">about the: </w:t>
      </w:r>
    </w:p>
    <w:p w:rsidR="004B401F" w:rsidRDefault="00A65100" w:rsidP="00B7602B">
      <w:pPr>
        <w:pStyle w:val="ListBullet"/>
      </w:pPr>
      <w:r>
        <w:t xml:space="preserve">type </w:t>
      </w:r>
      <w:r w:rsidR="009100FA">
        <w:t xml:space="preserve">of pricing — </w:t>
      </w:r>
      <w:r w:rsidR="004B401F">
        <w:t>critical peak or time-of-use pricing co</w:t>
      </w:r>
      <w:r w:rsidR="00747D53">
        <w:t>mpared with flat energy charges</w:t>
      </w:r>
    </w:p>
    <w:p w:rsidR="004B401F" w:rsidRDefault="004D778E" w:rsidP="00B7602B">
      <w:pPr>
        <w:pStyle w:val="ListBullet"/>
      </w:pPr>
      <w:r>
        <w:t>nature</w:t>
      </w:r>
      <w:r w:rsidR="009100FA">
        <w:t xml:space="preserve"> of </w:t>
      </w:r>
      <w:r>
        <w:t xml:space="preserve">the </w:t>
      </w:r>
      <w:r w:rsidR="009100FA">
        <w:t xml:space="preserve">technology — advance metering technology (AMI or colloquially </w:t>
      </w:r>
      <w:r w:rsidR="004B401F">
        <w:t xml:space="preserve">smart meters </w:t>
      </w:r>
      <w:r w:rsidR="009100FA">
        <w:t>) or direct load control alone</w:t>
      </w:r>
      <w:r w:rsidR="00747D53">
        <w:t xml:space="preserve">. </w:t>
      </w:r>
      <w:r w:rsidR="00F23AE0">
        <w:t>The outcomes from deploying non</w:t>
      </w:r>
      <w:r w:rsidR="00F23AE0">
        <w:noBreakHyphen/>
      </w:r>
      <w:r w:rsidR="00747D53">
        <w:t xml:space="preserve">remotely read interval meters (type 5 meters) is not modelled. Type 5 meters can also be used for </w:t>
      </w:r>
      <w:r w:rsidR="00A2676E">
        <w:t xml:space="preserve">some forms of </w:t>
      </w:r>
      <w:r w:rsidR="00747D53">
        <w:t xml:space="preserve">cost-reflective pricing, but they </w:t>
      </w:r>
      <w:r w:rsidR="00747D53">
        <w:lastRenderedPageBreak/>
        <w:t>cannot provide immediate feedback to consumers or retailers about consumption patterns</w:t>
      </w:r>
      <w:r w:rsidR="005D10D9">
        <w:t>,</w:t>
      </w:r>
      <w:r w:rsidR="00A2676E">
        <w:t xml:space="preserve"> </w:t>
      </w:r>
      <w:r w:rsidR="00747D53">
        <w:t xml:space="preserve">and produce no other savings associated with the management of the network. </w:t>
      </w:r>
      <w:r w:rsidR="00541AB4">
        <w:t>Currently distribution businesses often replace accumulation meters with type 5 meters</w:t>
      </w:r>
      <w:r w:rsidR="00CA0DA5">
        <w:t xml:space="preserve">. For example, </w:t>
      </w:r>
      <w:proofErr w:type="spellStart"/>
      <w:r w:rsidR="00CA0DA5">
        <w:t>Ausgrid</w:t>
      </w:r>
      <w:proofErr w:type="spellEnd"/>
      <w:r w:rsidR="00CA0DA5">
        <w:t xml:space="preserve"> has been replacing old accumulation meters with type 5 meters since 2004 (</w:t>
      </w:r>
      <w:proofErr w:type="spellStart"/>
      <w:r w:rsidR="00CA0DA5">
        <w:t>Ausgrid</w:t>
      </w:r>
      <w:proofErr w:type="spellEnd"/>
      <w:r w:rsidR="00CA0DA5">
        <w:t xml:space="preserve"> 2013). However, this replacement strategy</w:t>
      </w:r>
      <w:r w:rsidR="00541AB4">
        <w:t xml:space="preserve"> </w:t>
      </w:r>
      <w:r w:rsidR="00271E3D">
        <w:t xml:space="preserve">partly </w:t>
      </w:r>
      <w:r w:rsidR="00541AB4">
        <w:t>reflect</w:t>
      </w:r>
      <w:r w:rsidR="00CA0DA5">
        <w:t>s</w:t>
      </w:r>
      <w:r w:rsidR="00541AB4">
        <w:t xml:space="preserve"> regulatory barriers to </w:t>
      </w:r>
      <w:r w:rsidR="00CA0DA5">
        <w:t>the</w:t>
      </w:r>
      <w:r w:rsidR="00541AB4">
        <w:t xml:space="preserve"> deployment </w:t>
      </w:r>
      <w:r w:rsidR="00970511">
        <w:t xml:space="preserve">by </w:t>
      </w:r>
      <w:r>
        <w:t>distribution businesses</w:t>
      </w:r>
      <w:r w:rsidR="00970511">
        <w:t xml:space="preserve"> </w:t>
      </w:r>
      <w:r w:rsidR="00541AB4">
        <w:t>of more advanced met</w:t>
      </w:r>
      <w:r w:rsidR="002805E9">
        <w:t>e</w:t>
      </w:r>
      <w:r w:rsidR="00541AB4">
        <w:t>ri</w:t>
      </w:r>
      <w:r w:rsidR="00271E3D">
        <w:t>ng infrastructure — chapter 10</w:t>
      </w:r>
      <w:r w:rsidR="005D10D9">
        <w:t>. It is unlikely that replacing accumulation meters with type 5 meters would be the most efficient</w:t>
      </w:r>
      <w:r w:rsidR="005D10D9" w:rsidRPr="005D10D9">
        <w:rPr>
          <w:i/>
        </w:rPr>
        <w:t xml:space="preserve"> long-term</w:t>
      </w:r>
      <w:r w:rsidR="005D10D9">
        <w:t xml:space="preserve"> strategy</w:t>
      </w:r>
    </w:p>
    <w:p w:rsidR="004B401F" w:rsidRDefault="004B401F" w:rsidP="00B7602B">
      <w:pPr>
        <w:pStyle w:val="ListBullet"/>
      </w:pPr>
      <w:r>
        <w:t xml:space="preserve">degree of geographical targeting </w:t>
      </w:r>
      <w:r w:rsidR="00B35215">
        <w:t xml:space="preserve">— </w:t>
      </w:r>
      <w:proofErr w:type="spellStart"/>
      <w:r w:rsidR="00945D81">
        <w:t>NEM</w:t>
      </w:r>
      <w:proofErr w:type="spellEnd"/>
      <w:r w:rsidR="00945D81">
        <w:t>-wide</w:t>
      </w:r>
      <w:r>
        <w:t xml:space="preserve"> rollouts</w:t>
      </w:r>
      <w:r w:rsidR="004D778E">
        <w:t xml:space="preserve"> or</w:t>
      </w:r>
      <w:r>
        <w:t xml:space="preserve"> rollouts targeted at peaky</w:t>
      </w:r>
      <w:r w:rsidR="004D778E">
        <w:t xml:space="preserve"> and constrained </w:t>
      </w:r>
      <w:r>
        <w:t>regions.</w:t>
      </w:r>
    </w:p>
    <w:p w:rsidR="00CE0F24" w:rsidRDefault="00CE0F24" w:rsidP="00BE5638">
      <w:pPr>
        <w:pStyle w:val="BodyText"/>
      </w:pPr>
      <w:r>
        <w:t xml:space="preserve">The scenarios have drawn on the choice of policies previously evaluated by decision makers, such as a </w:t>
      </w:r>
      <w:proofErr w:type="spellStart"/>
      <w:r w:rsidR="00006906">
        <w:t>NEM</w:t>
      </w:r>
      <w:proofErr w:type="spellEnd"/>
      <w:r w:rsidR="00006906">
        <w:t>-wide</w:t>
      </w:r>
      <w:r>
        <w:t xml:space="preserve"> or state-by-state rollout of smart meters.</w:t>
      </w:r>
      <w:r>
        <w:rPr>
          <w:rStyle w:val="FootnoteReference"/>
        </w:rPr>
        <w:footnoteReference w:id="2"/>
      </w:r>
    </w:p>
    <w:p w:rsidR="00CE0F24" w:rsidRDefault="00CE0F24" w:rsidP="00CE0F24">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Table \* ARABIC </w:instrText>
      </w:r>
      <w:r>
        <w:rPr>
          <w:b w:val="0"/>
        </w:rPr>
        <w:fldChar w:fldCharType="separate"/>
      </w:r>
      <w:r w:rsidR="00A71173">
        <w:rPr>
          <w:b w:val="0"/>
          <w:noProof/>
        </w:rPr>
        <w:t>1</w:t>
      </w:r>
      <w:r>
        <w:rPr>
          <w:b w:val="0"/>
        </w:rPr>
        <w:fldChar w:fldCharType="end"/>
      </w:r>
      <w:r>
        <w:tab/>
        <w:t>The nature of the policy experiments</w:t>
      </w:r>
      <w:r w:rsidR="00FC0EA8" w:rsidRPr="00FC0EA8">
        <w:rPr>
          <w:rStyle w:val="NoteLabel"/>
        </w:rPr>
        <w:t>a</w:t>
      </w:r>
    </w:p>
    <w:tbl>
      <w:tblPr>
        <w:tblW w:w="4981" w:type="pct"/>
        <w:tblCellMar>
          <w:left w:w="0" w:type="dxa"/>
          <w:right w:w="0" w:type="dxa"/>
        </w:tblCellMar>
        <w:tblLook w:val="0000" w:firstRow="0" w:lastRow="0" w:firstColumn="0" w:lastColumn="0" w:noHBand="0" w:noVBand="0"/>
      </w:tblPr>
      <w:tblGrid>
        <w:gridCol w:w="3998"/>
        <w:gridCol w:w="1187"/>
        <w:gridCol w:w="1191"/>
        <w:gridCol w:w="1191"/>
        <w:gridCol w:w="1189"/>
      </w:tblGrid>
      <w:tr w:rsidR="00B35215" w:rsidTr="00B35215">
        <w:tc>
          <w:tcPr>
            <w:tcW w:w="2283" w:type="pct"/>
            <w:tcBorders>
              <w:top w:val="single" w:sz="6" w:space="0" w:color="auto"/>
              <w:bottom w:val="single" w:sz="6" w:space="0" w:color="auto"/>
            </w:tcBorders>
            <w:shd w:val="clear" w:color="auto" w:fill="auto"/>
          </w:tcPr>
          <w:p w:rsidR="00B35215" w:rsidRDefault="00B35215" w:rsidP="007175AF">
            <w:pPr>
              <w:pStyle w:val="TableColumnHeading"/>
              <w:jc w:val="left"/>
            </w:pPr>
          </w:p>
        </w:tc>
        <w:tc>
          <w:tcPr>
            <w:tcW w:w="678" w:type="pct"/>
            <w:tcBorders>
              <w:top w:val="single" w:sz="6" w:space="0" w:color="auto"/>
              <w:bottom w:val="single" w:sz="6" w:space="0" w:color="auto"/>
            </w:tcBorders>
            <w:shd w:val="clear" w:color="auto" w:fill="auto"/>
          </w:tcPr>
          <w:p w:rsidR="00B35215" w:rsidRDefault="00B35215" w:rsidP="00FA46FB">
            <w:pPr>
              <w:pStyle w:val="TableColumnHeading"/>
              <w:ind w:left="0"/>
            </w:pPr>
            <w:r>
              <w:t>Scenario 1</w:t>
            </w:r>
          </w:p>
        </w:tc>
        <w:tc>
          <w:tcPr>
            <w:tcW w:w="680" w:type="pct"/>
            <w:tcBorders>
              <w:top w:val="single" w:sz="6" w:space="0" w:color="auto"/>
              <w:bottom w:val="single" w:sz="6" w:space="0" w:color="auto"/>
            </w:tcBorders>
          </w:tcPr>
          <w:p w:rsidR="00B35215" w:rsidRDefault="00B35215" w:rsidP="003C7A34">
            <w:pPr>
              <w:pStyle w:val="TableColumnHeading"/>
              <w:ind w:left="0" w:right="28"/>
            </w:pPr>
            <w:r>
              <w:t>Scenario 2</w:t>
            </w:r>
          </w:p>
        </w:tc>
        <w:tc>
          <w:tcPr>
            <w:tcW w:w="680" w:type="pct"/>
            <w:tcBorders>
              <w:top w:val="single" w:sz="6" w:space="0" w:color="auto"/>
              <w:bottom w:val="single" w:sz="6" w:space="0" w:color="auto"/>
            </w:tcBorders>
          </w:tcPr>
          <w:p w:rsidR="00B35215" w:rsidRDefault="00B35215" w:rsidP="003C7A34">
            <w:pPr>
              <w:pStyle w:val="TableColumnHeading"/>
              <w:ind w:left="0"/>
            </w:pPr>
            <w:r>
              <w:t>Scenario 3</w:t>
            </w:r>
          </w:p>
        </w:tc>
        <w:tc>
          <w:tcPr>
            <w:tcW w:w="680" w:type="pct"/>
            <w:tcBorders>
              <w:top w:val="single" w:sz="6" w:space="0" w:color="auto"/>
              <w:bottom w:val="single" w:sz="6" w:space="0" w:color="auto"/>
            </w:tcBorders>
            <w:shd w:val="clear" w:color="auto" w:fill="auto"/>
          </w:tcPr>
          <w:p w:rsidR="00B35215" w:rsidRDefault="00B35215" w:rsidP="003C7A34">
            <w:pPr>
              <w:pStyle w:val="TableColumnHeading"/>
              <w:ind w:left="0" w:right="28"/>
            </w:pPr>
            <w:r>
              <w:t>Scenario 4</w:t>
            </w:r>
          </w:p>
        </w:tc>
      </w:tr>
      <w:tr w:rsidR="00B35215" w:rsidTr="00B35215">
        <w:tc>
          <w:tcPr>
            <w:tcW w:w="2283" w:type="pct"/>
            <w:tcBorders>
              <w:top w:val="single" w:sz="4" w:space="0" w:color="auto"/>
            </w:tcBorders>
          </w:tcPr>
          <w:p w:rsidR="00B35215" w:rsidRPr="00B7602B" w:rsidRDefault="00B35215" w:rsidP="007175AF">
            <w:pPr>
              <w:pStyle w:val="TableBodyText"/>
              <w:jc w:val="left"/>
              <w:rPr>
                <w:b/>
              </w:rPr>
            </w:pPr>
            <w:r w:rsidRPr="00B7602B">
              <w:rPr>
                <w:b/>
              </w:rPr>
              <w:t>Pricing arrangements</w:t>
            </w:r>
          </w:p>
        </w:tc>
        <w:tc>
          <w:tcPr>
            <w:tcW w:w="678" w:type="pct"/>
            <w:tcBorders>
              <w:top w:val="single" w:sz="4" w:space="0" w:color="auto"/>
            </w:tcBorders>
          </w:tcPr>
          <w:p w:rsidR="00B35215" w:rsidRDefault="00B35215" w:rsidP="007175AF">
            <w:pPr>
              <w:pStyle w:val="TableBodyText"/>
              <w:ind w:left="0"/>
            </w:pPr>
          </w:p>
        </w:tc>
        <w:tc>
          <w:tcPr>
            <w:tcW w:w="680" w:type="pct"/>
            <w:tcBorders>
              <w:top w:val="single" w:sz="4" w:space="0" w:color="auto"/>
            </w:tcBorders>
          </w:tcPr>
          <w:p w:rsidR="00B35215" w:rsidRDefault="00B35215" w:rsidP="007175AF">
            <w:pPr>
              <w:pStyle w:val="TableBodyText"/>
              <w:ind w:left="0" w:right="28"/>
            </w:pPr>
          </w:p>
        </w:tc>
        <w:tc>
          <w:tcPr>
            <w:tcW w:w="680" w:type="pct"/>
            <w:tcBorders>
              <w:top w:val="single" w:sz="4" w:space="0" w:color="auto"/>
            </w:tcBorders>
          </w:tcPr>
          <w:p w:rsidR="00B35215" w:rsidRDefault="00B35215" w:rsidP="007175AF">
            <w:pPr>
              <w:pStyle w:val="TableBodyText"/>
              <w:ind w:left="0" w:right="28"/>
            </w:pPr>
          </w:p>
        </w:tc>
        <w:tc>
          <w:tcPr>
            <w:tcW w:w="680" w:type="pct"/>
            <w:tcBorders>
              <w:top w:val="single" w:sz="4" w:space="0" w:color="auto"/>
            </w:tcBorders>
          </w:tcPr>
          <w:p w:rsidR="00B35215" w:rsidRDefault="00B35215" w:rsidP="007175AF">
            <w:pPr>
              <w:pStyle w:val="TableBodyText"/>
              <w:ind w:left="0" w:right="28"/>
            </w:pPr>
          </w:p>
        </w:tc>
      </w:tr>
      <w:tr w:rsidR="00B35215" w:rsidTr="00B35215">
        <w:tc>
          <w:tcPr>
            <w:tcW w:w="2283" w:type="pct"/>
          </w:tcPr>
          <w:p w:rsidR="00B35215" w:rsidRDefault="00B35215" w:rsidP="007175AF">
            <w:pPr>
              <w:pStyle w:val="TableBodyText"/>
              <w:ind w:left="284"/>
              <w:jc w:val="left"/>
            </w:pPr>
            <w:r>
              <w:t>Critical peak pricing</w:t>
            </w:r>
          </w:p>
        </w:tc>
        <w:tc>
          <w:tcPr>
            <w:tcW w:w="678" w:type="pct"/>
          </w:tcPr>
          <w:p w:rsidR="00B35215" w:rsidRDefault="00B35215" w:rsidP="007175AF">
            <w:pPr>
              <w:pStyle w:val="TableBodyText"/>
              <w:ind w:left="0"/>
            </w:pPr>
            <w:r>
              <w:t>Yes</w:t>
            </w:r>
          </w:p>
        </w:tc>
        <w:tc>
          <w:tcPr>
            <w:tcW w:w="680" w:type="pct"/>
          </w:tcPr>
          <w:p w:rsidR="00B35215" w:rsidRDefault="00B35215" w:rsidP="007175AF">
            <w:pPr>
              <w:pStyle w:val="TableBodyText"/>
              <w:ind w:left="0" w:right="28"/>
            </w:pPr>
            <w:r>
              <w:t>Yes</w:t>
            </w:r>
          </w:p>
        </w:tc>
        <w:tc>
          <w:tcPr>
            <w:tcW w:w="680" w:type="pct"/>
          </w:tcPr>
          <w:p w:rsidR="00B35215" w:rsidRDefault="00B35215" w:rsidP="007175AF">
            <w:pPr>
              <w:pStyle w:val="TableBodyText"/>
              <w:ind w:left="0" w:right="28"/>
            </w:pPr>
          </w:p>
        </w:tc>
        <w:tc>
          <w:tcPr>
            <w:tcW w:w="680" w:type="pct"/>
          </w:tcPr>
          <w:p w:rsidR="00B35215" w:rsidRDefault="00B35215" w:rsidP="007175AF">
            <w:pPr>
              <w:pStyle w:val="TableBodyText"/>
              <w:ind w:left="0" w:right="28"/>
            </w:pPr>
          </w:p>
        </w:tc>
      </w:tr>
      <w:tr w:rsidR="00B35215" w:rsidTr="00B35215">
        <w:tc>
          <w:tcPr>
            <w:tcW w:w="2283" w:type="pct"/>
            <w:tcBorders>
              <w:bottom w:val="single" w:sz="4" w:space="0" w:color="auto"/>
            </w:tcBorders>
          </w:tcPr>
          <w:p w:rsidR="00B35215" w:rsidRDefault="00B35215" w:rsidP="007175AF">
            <w:pPr>
              <w:pStyle w:val="TableBodyText"/>
              <w:ind w:left="284"/>
              <w:jc w:val="left"/>
            </w:pPr>
            <w:r>
              <w:t>Weakly targeted ‘time of use’ (</w:t>
            </w:r>
            <w:proofErr w:type="spellStart"/>
            <w:r>
              <w:t>TOU</w:t>
            </w:r>
            <w:proofErr w:type="spellEnd"/>
            <w:r>
              <w:t>) pricing</w:t>
            </w:r>
          </w:p>
        </w:tc>
        <w:tc>
          <w:tcPr>
            <w:tcW w:w="678" w:type="pct"/>
            <w:tcBorders>
              <w:bottom w:val="single" w:sz="4" w:space="0" w:color="auto"/>
            </w:tcBorders>
          </w:tcPr>
          <w:p w:rsidR="00B35215" w:rsidRDefault="00B35215" w:rsidP="007175AF">
            <w:pPr>
              <w:pStyle w:val="TableBodyText"/>
              <w:ind w:left="0"/>
            </w:pPr>
          </w:p>
        </w:tc>
        <w:tc>
          <w:tcPr>
            <w:tcW w:w="680" w:type="pct"/>
            <w:tcBorders>
              <w:bottom w:val="single" w:sz="4" w:space="0" w:color="auto"/>
            </w:tcBorders>
          </w:tcPr>
          <w:p w:rsidR="00B35215" w:rsidRDefault="00B35215" w:rsidP="007175AF">
            <w:pPr>
              <w:pStyle w:val="TableBodyText"/>
              <w:ind w:left="0" w:right="28"/>
            </w:pPr>
          </w:p>
        </w:tc>
        <w:tc>
          <w:tcPr>
            <w:tcW w:w="680" w:type="pct"/>
            <w:tcBorders>
              <w:bottom w:val="single" w:sz="4" w:space="0" w:color="auto"/>
            </w:tcBorders>
          </w:tcPr>
          <w:p w:rsidR="00B35215" w:rsidRDefault="00B35215" w:rsidP="007175AF">
            <w:pPr>
              <w:pStyle w:val="TableBodyText"/>
              <w:ind w:left="0" w:right="28"/>
            </w:pPr>
            <w:r>
              <w:t>Yes</w:t>
            </w:r>
          </w:p>
        </w:tc>
        <w:tc>
          <w:tcPr>
            <w:tcW w:w="680" w:type="pct"/>
            <w:tcBorders>
              <w:bottom w:val="single" w:sz="4" w:space="0" w:color="auto"/>
            </w:tcBorders>
          </w:tcPr>
          <w:p w:rsidR="00B35215" w:rsidRDefault="00B35215" w:rsidP="007175AF">
            <w:pPr>
              <w:pStyle w:val="TableBodyText"/>
              <w:ind w:left="0" w:right="28"/>
            </w:pPr>
          </w:p>
        </w:tc>
      </w:tr>
      <w:tr w:rsidR="00B35215" w:rsidTr="00B35215">
        <w:tc>
          <w:tcPr>
            <w:tcW w:w="2283" w:type="pct"/>
            <w:tcBorders>
              <w:top w:val="single" w:sz="4" w:space="0" w:color="auto"/>
            </w:tcBorders>
          </w:tcPr>
          <w:p w:rsidR="00B35215" w:rsidRPr="00B7602B" w:rsidRDefault="00B35215" w:rsidP="007175AF">
            <w:pPr>
              <w:pStyle w:val="TableBodyText"/>
              <w:jc w:val="left"/>
              <w:rPr>
                <w:b/>
              </w:rPr>
            </w:pPr>
            <w:r w:rsidRPr="00B7602B">
              <w:rPr>
                <w:b/>
              </w:rPr>
              <w:t>Technology choice</w:t>
            </w:r>
          </w:p>
        </w:tc>
        <w:tc>
          <w:tcPr>
            <w:tcW w:w="678" w:type="pct"/>
            <w:tcBorders>
              <w:top w:val="single" w:sz="4" w:space="0" w:color="auto"/>
            </w:tcBorders>
          </w:tcPr>
          <w:p w:rsidR="00B35215" w:rsidRDefault="00B35215" w:rsidP="007175AF">
            <w:pPr>
              <w:pStyle w:val="TableBodyText"/>
              <w:ind w:left="0"/>
            </w:pPr>
          </w:p>
        </w:tc>
        <w:tc>
          <w:tcPr>
            <w:tcW w:w="680" w:type="pct"/>
            <w:tcBorders>
              <w:top w:val="single" w:sz="4" w:space="0" w:color="auto"/>
            </w:tcBorders>
          </w:tcPr>
          <w:p w:rsidR="00B35215" w:rsidRDefault="00B35215" w:rsidP="007175AF">
            <w:pPr>
              <w:pStyle w:val="TableBodyText"/>
              <w:ind w:left="0" w:right="28"/>
            </w:pPr>
          </w:p>
        </w:tc>
        <w:tc>
          <w:tcPr>
            <w:tcW w:w="680" w:type="pct"/>
            <w:tcBorders>
              <w:top w:val="single" w:sz="4" w:space="0" w:color="auto"/>
            </w:tcBorders>
          </w:tcPr>
          <w:p w:rsidR="00B35215" w:rsidRDefault="00B35215" w:rsidP="007175AF">
            <w:pPr>
              <w:pStyle w:val="TableBodyText"/>
              <w:ind w:left="0" w:right="28"/>
            </w:pPr>
          </w:p>
        </w:tc>
        <w:tc>
          <w:tcPr>
            <w:tcW w:w="680" w:type="pct"/>
            <w:tcBorders>
              <w:top w:val="single" w:sz="4" w:space="0" w:color="auto"/>
            </w:tcBorders>
          </w:tcPr>
          <w:p w:rsidR="00B35215" w:rsidRDefault="00B35215" w:rsidP="007175AF">
            <w:pPr>
              <w:pStyle w:val="TableBodyText"/>
              <w:ind w:left="0" w:right="28"/>
            </w:pPr>
          </w:p>
        </w:tc>
      </w:tr>
      <w:tr w:rsidR="00B35215" w:rsidTr="00B35215">
        <w:tc>
          <w:tcPr>
            <w:tcW w:w="2283" w:type="pct"/>
            <w:shd w:val="clear" w:color="auto" w:fill="auto"/>
          </w:tcPr>
          <w:p w:rsidR="00B35215" w:rsidRDefault="00B35215" w:rsidP="007175AF">
            <w:pPr>
              <w:pStyle w:val="TableBodyText"/>
              <w:ind w:left="284"/>
              <w:jc w:val="left"/>
            </w:pPr>
            <w:r>
              <w:t>Smart meter rollout</w:t>
            </w:r>
          </w:p>
        </w:tc>
        <w:tc>
          <w:tcPr>
            <w:tcW w:w="678" w:type="pct"/>
            <w:shd w:val="clear" w:color="auto" w:fill="auto"/>
          </w:tcPr>
          <w:p w:rsidR="00B35215" w:rsidRDefault="00B35215" w:rsidP="007175AF">
            <w:pPr>
              <w:pStyle w:val="TableBodyText"/>
              <w:ind w:left="0"/>
            </w:pPr>
            <w:r>
              <w:t>Yes</w:t>
            </w:r>
          </w:p>
        </w:tc>
        <w:tc>
          <w:tcPr>
            <w:tcW w:w="680" w:type="pct"/>
          </w:tcPr>
          <w:p w:rsidR="00B35215" w:rsidRDefault="00B35215" w:rsidP="007175AF">
            <w:pPr>
              <w:pStyle w:val="TableBodyText"/>
              <w:ind w:left="0" w:right="28"/>
            </w:pPr>
            <w:r>
              <w:t>Yes</w:t>
            </w:r>
          </w:p>
        </w:tc>
        <w:tc>
          <w:tcPr>
            <w:tcW w:w="680" w:type="pct"/>
          </w:tcPr>
          <w:p w:rsidR="00B35215" w:rsidRDefault="00B35215" w:rsidP="007175AF">
            <w:pPr>
              <w:pStyle w:val="TableBodyText"/>
              <w:ind w:left="0" w:right="28"/>
            </w:pPr>
            <w:r>
              <w:t>Yes</w:t>
            </w:r>
          </w:p>
        </w:tc>
        <w:tc>
          <w:tcPr>
            <w:tcW w:w="680" w:type="pct"/>
            <w:shd w:val="clear" w:color="auto" w:fill="auto"/>
          </w:tcPr>
          <w:p w:rsidR="00B35215" w:rsidRDefault="00B35215" w:rsidP="007175AF">
            <w:pPr>
              <w:pStyle w:val="TableBodyText"/>
              <w:ind w:left="0" w:right="28"/>
            </w:pPr>
          </w:p>
        </w:tc>
      </w:tr>
      <w:tr w:rsidR="00B35215" w:rsidTr="00B35215">
        <w:tc>
          <w:tcPr>
            <w:tcW w:w="2283" w:type="pct"/>
            <w:tcBorders>
              <w:bottom w:val="single" w:sz="6" w:space="0" w:color="auto"/>
            </w:tcBorders>
            <w:shd w:val="clear" w:color="auto" w:fill="auto"/>
          </w:tcPr>
          <w:p w:rsidR="00B35215" w:rsidRDefault="00B35215" w:rsidP="003C7A34">
            <w:pPr>
              <w:pStyle w:val="TableBodyText"/>
              <w:ind w:left="284"/>
              <w:jc w:val="left"/>
            </w:pPr>
            <w:r>
              <w:t>Direct load control only</w:t>
            </w:r>
          </w:p>
        </w:tc>
        <w:tc>
          <w:tcPr>
            <w:tcW w:w="678" w:type="pct"/>
            <w:tcBorders>
              <w:bottom w:val="single" w:sz="6" w:space="0" w:color="auto"/>
            </w:tcBorders>
            <w:shd w:val="clear" w:color="auto" w:fill="auto"/>
          </w:tcPr>
          <w:p w:rsidR="00B35215" w:rsidRDefault="00B35215" w:rsidP="003C7A34">
            <w:pPr>
              <w:pStyle w:val="TableBodyText"/>
              <w:ind w:left="0"/>
            </w:pPr>
          </w:p>
        </w:tc>
        <w:tc>
          <w:tcPr>
            <w:tcW w:w="680" w:type="pct"/>
            <w:tcBorders>
              <w:bottom w:val="single" w:sz="6" w:space="0" w:color="auto"/>
            </w:tcBorders>
          </w:tcPr>
          <w:p w:rsidR="00B35215" w:rsidRDefault="00B35215" w:rsidP="003C7A34">
            <w:pPr>
              <w:pStyle w:val="TableBodyText"/>
              <w:ind w:left="0" w:right="28"/>
            </w:pPr>
          </w:p>
        </w:tc>
        <w:tc>
          <w:tcPr>
            <w:tcW w:w="680" w:type="pct"/>
            <w:tcBorders>
              <w:bottom w:val="single" w:sz="6" w:space="0" w:color="auto"/>
            </w:tcBorders>
          </w:tcPr>
          <w:p w:rsidR="00B35215" w:rsidRDefault="00B35215" w:rsidP="003C7A34">
            <w:pPr>
              <w:pStyle w:val="TableBodyText"/>
              <w:ind w:left="0" w:right="28"/>
            </w:pPr>
          </w:p>
        </w:tc>
        <w:tc>
          <w:tcPr>
            <w:tcW w:w="680" w:type="pct"/>
            <w:tcBorders>
              <w:bottom w:val="single" w:sz="6" w:space="0" w:color="auto"/>
            </w:tcBorders>
            <w:shd w:val="clear" w:color="auto" w:fill="auto"/>
          </w:tcPr>
          <w:p w:rsidR="00B35215" w:rsidRDefault="00B35215" w:rsidP="003C7A34">
            <w:pPr>
              <w:pStyle w:val="TableBodyText"/>
              <w:ind w:left="0" w:right="28"/>
            </w:pPr>
            <w:r>
              <w:t>Yes</w:t>
            </w:r>
          </w:p>
        </w:tc>
      </w:tr>
      <w:tr w:rsidR="00B35215" w:rsidRPr="00B35215" w:rsidTr="001D1C07">
        <w:tc>
          <w:tcPr>
            <w:tcW w:w="2283" w:type="pct"/>
            <w:shd w:val="clear" w:color="auto" w:fill="auto"/>
          </w:tcPr>
          <w:p w:rsidR="00B35215" w:rsidRPr="00B35215" w:rsidRDefault="00B35215" w:rsidP="00B35215">
            <w:pPr>
              <w:pStyle w:val="TableBodyText"/>
              <w:jc w:val="left"/>
              <w:rPr>
                <w:b/>
              </w:rPr>
            </w:pPr>
            <w:r w:rsidRPr="00B7602B">
              <w:rPr>
                <w:b/>
              </w:rPr>
              <w:t>Degree of geographical targeting</w:t>
            </w:r>
          </w:p>
        </w:tc>
        <w:tc>
          <w:tcPr>
            <w:tcW w:w="678" w:type="pct"/>
            <w:shd w:val="clear" w:color="auto" w:fill="auto"/>
          </w:tcPr>
          <w:p w:rsidR="00B35215" w:rsidRPr="00B35215" w:rsidRDefault="00B35215" w:rsidP="00B35215">
            <w:pPr>
              <w:pStyle w:val="TableBodyText"/>
              <w:jc w:val="left"/>
              <w:rPr>
                <w:b/>
              </w:rPr>
            </w:pPr>
          </w:p>
        </w:tc>
        <w:tc>
          <w:tcPr>
            <w:tcW w:w="680" w:type="pct"/>
          </w:tcPr>
          <w:p w:rsidR="00B35215" w:rsidRPr="00B35215" w:rsidRDefault="00B35215" w:rsidP="00B35215">
            <w:pPr>
              <w:pStyle w:val="TableBodyText"/>
              <w:jc w:val="left"/>
              <w:rPr>
                <w:b/>
              </w:rPr>
            </w:pPr>
          </w:p>
        </w:tc>
        <w:tc>
          <w:tcPr>
            <w:tcW w:w="680" w:type="pct"/>
          </w:tcPr>
          <w:p w:rsidR="00B35215" w:rsidRPr="00B35215" w:rsidRDefault="00B35215" w:rsidP="00B35215">
            <w:pPr>
              <w:pStyle w:val="TableBodyText"/>
              <w:jc w:val="left"/>
              <w:rPr>
                <w:b/>
              </w:rPr>
            </w:pPr>
          </w:p>
        </w:tc>
        <w:tc>
          <w:tcPr>
            <w:tcW w:w="680" w:type="pct"/>
            <w:shd w:val="clear" w:color="auto" w:fill="auto"/>
          </w:tcPr>
          <w:p w:rsidR="00B35215" w:rsidRPr="00B35215" w:rsidRDefault="00B35215" w:rsidP="00B35215">
            <w:pPr>
              <w:pStyle w:val="TableBodyText"/>
              <w:jc w:val="left"/>
              <w:rPr>
                <w:b/>
              </w:rPr>
            </w:pPr>
          </w:p>
        </w:tc>
      </w:tr>
      <w:tr w:rsidR="00B35215" w:rsidTr="00B35215">
        <w:tc>
          <w:tcPr>
            <w:tcW w:w="2283" w:type="pct"/>
          </w:tcPr>
          <w:p w:rsidR="00B35215" w:rsidRDefault="00B35215" w:rsidP="007175AF">
            <w:pPr>
              <w:pStyle w:val="TableBodyText"/>
              <w:ind w:left="284"/>
              <w:jc w:val="left"/>
            </w:pPr>
            <w:r>
              <w:t xml:space="preserve">Targeted regional (constrained and peaky areas) </w:t>
            </w:r>
          </w:p>
        </w:tc>
        <w:tc>
          <w:tcPr>
            <w:tcW w:w="678" w:type="pct"/>
          </w:tcPr>
          <w:p w:rsidR="00B35215" w:rsidRDefault="00B35215" w:rsidP="007175AF">
            <w:pPr>
              <w:pStyle w:val="TableBodyText"/>
              <w:ind w:left="0"/>
            </w:pPr>
            <w:r>
              <w:t>Yes</w:t>
            </w:r>
          </w:p>
        </w:tc>
        <w:tc>
          <w:tcPr>
            <w:tcW w:w="680" w:type="pct"/>
          </w:tcPr>
          <w:p w:rsidR="00B35215" w:rsidRDefault="00B35215" w:rsidP="007175AF">
            <w:pPr>
              <w:pStyle w:val="TableBodyText"/>
              <w:ind w:left="0" w:right="28"/>
            </w:pPr>
          </w:p>
        </w:tc>
        <w:tc>
          <w:tcPr>
            <w:tcW w:w="680" w:type="pct"/>
          </w:tcPr>
          <w:p w:rsidR="00B35215" w:rsidRDefault="00B35215" w:rsidP="007175AF">
            <w:pPr>
              <w:pStyle w:val="TableBodyText"/>
              <w:ind w:left="0" w:right="28"/>
            </w:pPr>
          </w:p>
        </w:tc>
        <w:tc>
          <w:tcPr>
            <w:tcW w:w="680" w:type="pct"/>
          </w:tcPr>
          <w:p w:rsidR="00B35215" w:rsidRDefault="00B35215" w:rsidP="007175AF">
            <w:pPr>
              <w:pStyle w:val="TableBodyText"/>
              <w:ind w:left="0" w:right="28"/>
            </w:pPr>
          </w:p>
        </w:tc>
      </w:tr>
      <w:tr w:rsidR="00B35215" w:rsidTr="00B35215">
        <w:tc>
          <w:tcPr>
            <w:tcW w:w="2283" w:type="pct"/>
            <w:tcBorders>
              <w:bottom w:val="single" w:sz="4" w:space="0" w:color="auto"/>
            </w:tcBorders>
          </w:tcPr>
          <w:p w:rsidR="00B35215" w:rsidRDefault="00B35215" w:rsidP="007175AF">
            <w:pPr>
              <w:pStyle w:val="TableBodyText"/>
              <w:ind w:left="284"/>
              <w:jc w:val="left"/>
            </w:pPr>
            <w:proofErr w:type="spellStart"/>
            <w:r>
              <w:t>NEM</w:t>
            </w:r>
            <w:proofErr w:type="spellEnd"/>
            <w:r>
              <w:t>-wide rollouts</w:t>
            </w:r>
          </w:p>
        </w:tc>
        <w:tc>
          <w:tcPr>
            <w:tcW w:w="678" w:type="pct"/>
            <w:tcBorders>
              <w:bottom w:val="single" w:sz="4" w:space="0" w:color="auto"/>
            </w:tcBorders>
          </w:tcPr>
          <w:p w:rsidR="00B35215" w:rsidRDefault="00B35215" w:rsidP="007175AF">
            <w:pPr>
              <w:pStyle w:val="TableBodyText"/>
              <w:ind w:left="0"/>
            </w:pPr>
          </w:p>
        </w:tc>
        <w:tc>
          <w:tcPr>
            <w:tcW w:w="680" w:type="pct"/>
            <w:tcBorders>
              <w:bottom w:val="single" w:sz="4" w:space="0" w:color="auto"/>
            </w:tcBorders>
          </w:tcPr>
          <w:p w:rsidR="00B35215" w:rsidRDefault="00B35215" w:rsidP="007175AF">
            <w:pPr>
              <w:pStyle w:val="TableBodyText"/>
              <w:ind w:left="0" w:right="28"/>
            </w:pPr>
            <w:r>
              <w:t>Yes</w:t>
            </w:r>
          </w:p>
        </w:tc>
        <w:tc>
          <w:tcPr>
            <w:tcW w:w="680" w:type="pct"/>
            <w:tcBorders>
              <w:bottom w:val="single" w:sz="4" w:space="0" w:color="auto"/>
            </w:tcBorders>
          </w:tcPr>
          <w:p w:rsidR="00B35215" w:rsidRDefault="00B35215" w:rsidP="007175AF">
            <w:pPr>
              <w:pStyle w:val="TableBodyText"/>
              <w:ind w:left="0" w:right="28"/>
            </w:pPr>
            <w:r>
              <w:t>Yes</w:t>
            </w:r>
          </w:p>
        </w:tc>
        <w:tc>
          <w:tcPr>
            <w:tcW w:w="680" w:type="pct"/>
            <w:tcBorders>
              <w:bottom w:val="single" w:sz="4" w:space="0" w:color="auto"/>
            </w:tcBorders>
          </w:tcPr>
          <w:p w:rsidR="00B35215" w:rsidRDefault="00B35215" w:rsidP="007175AF">
            <w:pPr>
              <w:pStyle w:val="TableBodyText"/>
              <w:ind w:left="0" w:right="28"/>
            </w:pPr>
            <w:r>
              <w:t>Yes</w:t>
            </w:r>
          </w:p>
        </w:tc>
      </w:tr>
    </w:tbl>
    <w:p w:rsidR="00FC0EA8" w:rsidRPr="00FC0EA8" w:rsidRDefault="00FC0EA8" w:rsidP="00FC0EA8">
      <w:pPr>
        <w:pStyle w:val="Note"/>
        <w:rPr>
          <w:rStyle w:val="NoteLabel"/>
          <w:b w:val="0"/>
        </w:rPr>
      </w:pPr>
      <w:proofErr w:type="spellStart"/>
      <w:r w:rsidRPr="00FC0EA8">
        <w:rPr>
          <w:rStyle w:val="NoteLabel"/>
          <w:b w:val="0"/>
          <w:szCs w:val="22"/>
          <w:lang w:eastAsia="en-US"/>
        </w:rPr>
        <w:t>a</w:t>
      </w:r>
      <w:proofErr w:type="spellEnd"/>
      <w:r w:rsidRPr="00FC0EA8">
        <w:rPr>
          <w:rStyle w:val="NoteLabel"/>
          <w:b w:val="0"/>
          <w:szCs w:val="22"/>
          <w:lang w:eastAsia="en-US"/>
        </w:rPr>
        <w:t xml:space="preserve"> </w:t>
      </w:r>
      <w:r w:rsidRPr="00FC0EA8">
        <w:t>The counterfactual in each case are accumulation meters with flat energy use charges. Victoria is excluded from any results because it already has smart meters.</w:t>
      </w:r>
    </w:p>
    <w:p w:rsidR="00A7468D" w:rsidRDefault="001638B1" w:rsidP="007175AF">
      <w:pPr>
        <w:pStyle w:val="Heading2"/>
      </w:pPr>
      <w:r>
        <w:fldChar w:fldCharType="begin"/>
      </w:r>
      <w:r>
        <w:instrText xml:space="preserve"> COMMENTS  \* MERGEFORMAT </w:instrText>
      </w:r>
      <w:r>
        <w:fldChar w:fldCharType="separate"/>
      </w:r>
      <w:r w:rsidR="007F1CF0">
        <w:t>1.</w:t>
      </w:r>
      <w:r>
        <w:fldChar w:fldCharType="end"/>
      </w:r>
      <w:fldSimple w:instr=" SEQ Heading2 ">
        <w:r w:rsidR="00A71173">
          <w:rPr>
            <w:noProof/>
          </w:rPr>
          <w:t>3</w:t>
        </w:r>
      </w:fldSimple>
      <w:r w:rsidR="007175AF">
        <w:tab/>
      </w:r>
      <w:r w:rsidR="00A7468D">
        <w:t>T</w:t>
      </w:r>
      <w:r w:rsidR="00AB2A11">
        <w:t xml:space="preserve">he type of </w:t>
      </w:r>
      <w:r w:rsidR="006E45EE">
        <w:t xml:space="preserve">time-based </w:t>
      </w:r>
      <w:r w:rsidR="00AB2A11">
        <w:t xml:space="preserve">pricing applied. </w:t>
      </w:r>
    </w:p>
    <w:p w:rsidR="00A7468D" w:rsidRDefault="003F0C36" w:rsidP="00A7468D">
      <w:pPr>
        <w:pStyle w:val="BodyText"/>
      </w:pPr>
      <w:r>
        <w:t xml:space="preserve">In its </w:t>
      </w:r>
      <w:r w:rsidR="003C51FE">
        <w:t xml:space="preserve">various </w:t>
      </w:r>
      <w:r>
        <w:t xml:space="preserve">scenarios, the Commission examines </w:t>
      </w:r>
      <w:r w:rsidR="00AB2A11">
        <w:t xml:space="preserve">two </w:t>
      </w:r>
      <w:r w:rsidR="003C51FE">
        <w:t xml:space="preserve">pricing </w:t>
      </w:r>
      <w:r w:rsidR="00AB2A11">
        <w:t xml:space="preserve">options </w:t>
      </w:r>
      <w:r>
        <w:t xml:space="preserve">— </w:t>
      </w:r>
      <w:r w:rsidR="0044216A">
        <w:t xml:space="preserve">untargeted </w:t>
      </w:r>
      <w:r w:rsidR="006E45EE">
        <w:t>‘time of use’ (</w:t>
      </w:r>
      <w:proofErr w:type="spellStart"/>
      <w:r w:rsidR="006E45EE">
        <w:t>TOU</w:t>
      </w:r>
      <w:proofErr w:type="spellEnd"/>
      <w:r w:rsidR="006E45EE">
        <w:t xml:space="preserve">) </w:t>
      </w:r>
      <w:r w:rsidR="008A4881">
        <w:t>pricing</w:t>
      </w:r>
      <w:r w:rsidR="006E45EE">
        <w:t xml:space="preserve"> and ‘critical peak pricing’ (</w:t>
      </w:r>
      <w:proofErr w:type="spellStart"/>
      <w:r w:rsidR="006E45EE">
        <w:t>CPP</w:t>
      </w:r>
      <w:proofErr w:type="spellEnd"/>
      <w:r w:rsidR="006E45EE">
        <w:t xml:space="preserve">). Under </w:t>
      </w:r>
      <w:proofErr w:type="spellStart"/>
      <w:r w:rsidR="006E45EE">
        <w:t>TOU</w:t>
      </w:r>
      <w:proofErr w:type="spellEnd"/>
      <w:r w:rsidR="00D044A2">
        <w:t>,</w:t>
      </w:r>
      <w:r w:rsidR="006E45EE">
        <w:t xml:space="preserve"> electricity prices are set in advance for a given part of each day (such as ‘peak’, ‘shoulder’ and ‘off-peak’ times). </w:t>
      </w:r>
      <w:proofErr w:type="spellStart"/>
      <w:r w:rsidR="006E45EE">
        <w:t>TOU</w:t>
      </w:r>
      <w:proofErr w:type="spellEnd"/>
      <w:r w:rsidR="006E45EE">
        <w:t xml:space="preserve"> prices and periods may change </w:t>
      </w:r>
      <w:r w:rsidR="006E45EE">
        <w:lastRenderedPageBreak/>
        <w:t xml:space="preserve">during the year — reflecting seasonal </w:t>
      </w:r>
      <w:r w:rsidR="00150280">
        <w:t>patterns</w:t>
      </w:r>
      <w:r w:rsidR="006E45EE">
        <w:t xml:space="preserve"> of demand</w:t>
      </w:r>
      <w:r w:rsidR="00A26DA8">
        <w:rPr>
          <w:rStyle w:val="FootnoteReference"/>
        </w:rPr>
        <w:footnoteReference w:id="3"/>
      </w:r>
      <w:r w:rsidR="006E45EE">
        <w:t xml:space="preserve"> — but usually do not chang</w:t>
      </w:r>
      <w:r w:rsidR="00150280">
        <w:t xml:space="preserve">e more than twice a year. </w:t>
      </w:r>
      <w:r w:rsidR="008A4881">
        <w:t>Accordingly</w:t>
      </w:r>
      <w:r w:rsidR="006E45EE">
        <w:t xml:space="preserve">, </w:t>
      </w:r>
      <w:proofErr w:type="spellStart"/>
      <w:r w:rsidR="006E45EE">
        <w:t>TOU</w:t>
      </w:r>
      <w:proofErr w:type="spellEnd"/>
      <w:r w:rsidR="006E45EE">
        <w:t xml:space="preserve"> prices are hi</w:t>
      </w:r>
      <w:r w:rsidR="0040700C">
        <w:t>ghly predictable for consumers</w:t>
      </w:r>
      <w:r w:rsidR="008A4881">
        <w:t xml:space="preserve"> and </w:t>
      </w:r>
      <w:r w:rsidR="0040700C">
        <w:t xml:space="preserve">can habituate </w:t>
      </w:r>
      <w:r w:rsidR="008A4881">
        <w:t>them</w:t>
      </w:r>
      <w:r w:rsidR="0040700C">
        <w:t xml:space="preserve"> to certain demand responses (such as installing timers on pool pumps or </w:t>
      </w:r>
      <w:r w:rsidR="00777DEC">
        <w:t>routinely</w:t>
      </w:r>
      <w:r w:rsidR="0040700C">
        <w:t xml:space="preserve"> turning on dishwashers later at night). </w:t>
      </w:r>
    </w:p>
    <w:p w:rsidR="009E4B53" w:rsidRDefault="00D044A2" w:rsidP="00A7468D">
      <w:pPr>
        <w:pStyle w:val="BodyText"/>
      </w:pPr>
      <w:r>
        <w:t xml:space="preserve">The </w:t>
      </w:r>
      <w:r w:rsidR="00787EBF">
        <w:t>peak periods included</w:t>
      </w:r>
      <w:r>
        <w:t xml:space="preserve"> </w:t>
      </w:r>
      <w:r w:rsidR="00787EBF">
        <w:t>in</w:t>
      </w:r>
      <w:r>
        <w:t xml:space="preserve"> </w:t>
      </w:r>
      <w:proofErr w:type="spellStart"/>
      <w:r>
        <w:t>TOU</w:t>
      </w:r>
      <w:proofErr w:type="spellEnd"/>
      <w:r>
        <w:t xml:space="preserve"> </w:t>
      </w:r>
      <w:r w:rsidR="0040700C">
        <w:t xml:space="preserve">are </w:t>
      </w:r>
      <w:r w:rsidR="00787EBF">
        <w:t>relatively long</w:t>
      </w:r>
      <w:r w:rsidR="0044570B">
        <w:t xml:space="preserve">. </w:t>
      </w:r>
      <w:r w:rsidR="00F028B4">
        <w:t xml:space="preserve">For example, </w:t>
      </w:r>
      <w:proofErr w:type="spellStart"/>
      <w:r w:rsidR="00F028B4">
        <w:t>Ausgrid’s</w:t>
      </w:r>
      <w:proofErr w:type="spellEnd"/>
      <w:r w:rsidR="0044216A">
        <w:t xml:space="preserve"> peak rate of </w:t>
      </w:r>
      <w:proofErr w:type="spellStart"/>
      <w:r w:rsidR="009E4B53">
        <w:t>T</w:t>
      </w:r>
      <w:r w:rsidR="003C51FE">
        <w:t>O</w:t>
      </w:r>
      <w:r w:rsidR="009E4B53">
        <w:t>U</w:t>
      </w:r>
      <w:proofErr w:type="spellEnd"/>
      <w:r w:rsidR="009E4B53">
        <w:t xml:space="preserve"> pricing applies for </w:t>
      </w:r>
      <w:r w:rsidR="003B59B7">
        <w:t xml:space="preserve">around 6 hours per </w:t>
      </w:r>
      <w:r w:rsidR="00F028B4">
        <w:t>weekday</w:t>
      </w:r>
      <w:r w:rsidR="009E4B53" w:rsidRPr="005D027E">
        <w:t xml:space="preserve"> or </w:t>
      </w:r>
      <w:r w:rsidR="00F028B4">
        <w:t>nearly 1600 hours a year</w:t>
      </w:r>
      <w:r w:rsidR="008A4881">
        <w:t xml:space="preserve"> (a deficiency according to </w:t>
      </w:r>
      <w:proofErr w:type="spellStart"/>
      <w:r w:rsidR="008A4881">
        <w:t>Ausgrid</w:t>
      </w:r>
      <w:proofErr w:type="spellEnd"/>
      <w:r w:rsidR="008A4881">
        <w:rPr>
          <w:rStyle w:val="FootnoteReference"/>
        </w:rPr>
        <w:footnoteReference w:id="4"/>
      </w:r>
      <w:r w:rsidR="008A4881">
        <w:t>)</w:t>
      </w:r>
      <w:r w:rsidR="009E4B53">
        <w:t xml:space="preserve">. </w:t>
      </w:r>
      <w:r w:rsidR="00F028B4">
        <w:t xml:space="preserve">In Queensland, </w:t>
      </w:r>
      <w:proofErr w:type="spellStart"/>
      <w:r w:rsidR="00F028B4">
        <w:t>Energex’s</w:t>
      </w:r>
      <w:proofErr w:type="spellEnd"/>
      <w:r w:rsidR="00F028B4">
        <w:t xml:space="preserve"> </w:t>
      </w:r>
      <w:proofErr w:type="spellStart"/>
      <w:r w:rsidR="00F028B4">
        <w:t>TOU</w:t>
      </w:r>
      <w:proofErr w:type="spellEnd"/>
      <w:r w:rsidR="00F028B4">
        <w:t xml:space="preserve"> peak period is over 1000 hours a year. </w:t>
      </w:r>
      <w:r w:rsidR="009E4B53">
        <w:t>Accordingly, t</w:t>
      </w:r>
      <w:r w:rsidR="009E4B53" w:rsidRPr="005D027E">
        <w:t xml:space="preserve">he peak </w:t>
      </w:r>
      <w:proofErr w:type="spellStart"/>
      <w:r w:rsidR="009E4B53">
        <w:t>TOU</w:t>
      </w:r>
      <w:proofErr w:type="spellEnd"/>
      <w:r w:rsidR="009E4B53">
        <w:t xml:space="preserve"> charge</w:t>
      </w:r>
      <w:r w:rsidR="009E4B53" w:rsidRPr="005D027E">
        <w:t xml:space="preserve"> </w:t>
      </w:r>
      <w:r w:rsidR="009E4B53">
        <w:t>must</w:t>
      </w:r>
      <w:r w:rsidR="009E4B53" w:rsidRPr="005D027E">
        <w:t xml:space="preserve"> </w:t>
      </w:r>
      <w:r w:rsidR="009E4B53">
        <w:t>be</w:t>
      </w:r>
      <w:r w:rsidR="009E4B53" w:rsidRPr="005D027E">
        <w:t xml:space="preserve"> much less than in critical peak pricing schemes</w:t>
      </w:r>
      <w:r w:rsidR="009E4B53">
        <w:t>, which involve substantial</w:t>
      </w:r>
      <w:r w:rsidR="00EF6EE5">
        <w:t>ly higher</w:t>
      </w:r>
      <w:r w:rsidR="009E4B53">
        <w:t xml:space="preserve"> prices for short periods for extreme demand peaks (typically </w:t>
      </w:r>
      <w:r w:rsidR="009E4B53" w:rsidRPr="005D027E">
        <w:t>between 30–80 hours per year</w:t>
      </w:r>
      <w:r w:rsidR="009E4B53">
        <w:t>)</w:t>
      </w:r>
      <w:r w:rsidR="009E4B53" w:rsidRPr="005D027E">
        <w:t>.</w:t>
      </w:r>
      <w:r w:rsidR="009E4B53">
        <w:t xml:space="preserve"> </w:t>
      </w:r>
    </w:p>
    <w:p w:rsidR="005D10D9" w:rsidRDefault="0044570B" w:rsidP="00A7468D">
      <w:pPr>
        <w:pStyle w:val="BodyText"/>
      </w:pPr>
      <w:r>
        <w:t xml:space="preserve">For example, </w:t>
      </w:r>
      <w:r w:rsidR="00A000CE">
        <w:t xml:space="preserve">where appropriate </w:t>
      </w:r>
      <w:r w:rsidR="0040700C">
        <w:t xml:space="preserve">electricity </w:t>
      </w:r>
      <w:r w:rsidR="00A000CE">
        <w:t xml:space="preserve">meters allow time-based charging, </w:t>
      </w:r>
      <w:proofErr w:type="spellStart"/>
      <w:r>
        <w:t>Ausgrid</w:t>
      </w:r>
      <w:proofErr w:type="spellEnd"/>
      <w:r>
        <w:t xml:space="preserve"> </w:t>
      </w:r>
      <w:r w:rsidR="00777DEC">
        <w:t xml:space="preserve">(a </w:t>
      </w:r>
      <w:r w:rsidR="00884EE9">
        <w:t>distribution business in New South Wales</w:t>
      </w:r>
      <w:r w:rsidR="00777DEC">
        <w:t xml:space="preserve">) </w:t>
      </w:r>
      <w:r>
        <w:t xml:space="preserve">sets </w:t>
      </w:r>
      <w:r w:rsidR="0044216A">
        <w:t xml:space="preserve">its network charges for </w:t>
      </w:r>
      <w:r>
        <w:t>a peak period from 2</w:t>
      </w:r>
      <w:r w:rsidR="00A000CE">
        <w:t> </w:t>
      </w:r>
      <w:r>
        <w:t>pm to 8</w:t>
      </w:r>
      <w:r w:rsidR="00A000CE">
        <w:t> </w:t>
      </w:r>
      <w:r>
        <w:t>pm, a shoulder period from 8</w:t>
      </w:r>
      <w:r w:rsidR="00A000CE">
        <w:t> </w:t>
      </w:r>
      <w:r>
        <w:t>pm to 10</w:t>
      </w:r>
      <w:r w:rsidR="00A000CE">
        <w:t> </w:t>
      </w:r>
      <w:r>
        <w:t>pm and 7</w:t>
      </w:r>
      <w:r w:rsidR="00A000CE">
        <w:t> </w:t>
      </w:r>
      <w:r>
        <w:t>am to 2</w:t>
      </w:r>
      <w:r w:rsidR="00A000CE">
        <w:t> </w:t>
      </w:r>
      <w:r>
        <w:t>pm with off peak from 10</w:t>
      </w:r>
      <w:r w:rsidR="00A000CE">
        <w:t> </w:t>
      </w:r>
      <w:r>
        <w:t>pm to 7</w:t>
      </w:r>
      <w:r w:rsidR="00A000CE">
        <w:t> </w:t>
      </w:r>
      <w:r>
        <w:t>am</w:t>
      </w:r>
      <w:r w:rsidR="00777DEC">
        <w:t xml:space="preserve">. Its </w:t>
      </w:r>
      <w:r w:rsidR="003E4FA4">
        <w:t xml:space="preserve">residential </w:t>
      </w:r>
      <w:proofErr w:type="spellStart"/>
      <w:r w:rsidR="0045500D">
        <w:t>TOU</w:t>
      </w:r>
      <w:proofErr w:type="spellEnd"/>
      <w:r w:rsidR="0045500D">
        <w:t xml:space="preserve"> </w:t>
      </w:r>
      <w:r w:rsidR="00A7468D">
        <w:t xml:space="preserve">network </w:t>
      </w:r>
      <w:r w:rsidR="00093AC4">
        <w:t xml:space="preserve">prices at peak periods </w:t>
      </w:r>
      <w:r w:rsidR="003E4FA4">
        <w:t>(as proposed for 2012</w:t>
      </w:r>
      <w:r w:rsidR="0016366A">
        <w:noBreakHyphen/>
      </w:r>
      <w:r w:rsidR="003E4FA4">
        <w:t xml:space="preserve">13) </w:t>
      </w:r>
      <w:r w:rsidR="00777DEC">
        <w:t xml:space="preserve">are </w:t>
      </w:r>
      <w:r w:rsidR="00093AC4">
        <w:t>around ten times those at off-peak times</w:t>
      </w:r>
      <w:r w:rsidR="00A000CE">
        <w:t xml:space="preserve"> (</w:t>
      </w:r>
      <w:proofErr w:type="spellStart"/>
      <w:r w:rsidR="00A000CE">
        <w:t>Ausgrid</w:t>
      </w:r>
      <w:proofErr w:type="spellEnd"/>
      <w:r w:rsidR="00A000CE">
        <w:t xml:space="preserve"> 201</w:t>
      </w:r>
      <w:r w:rsidR="00006906">
        <w:t>2</w:t>
      </w:r>
      <w:r w:rsidR="00BB1845">
        <w:t>, p. 29</w:t>
      </w:r>
      <w:r w:rsidR="00A000CE">
        <w:t>)</w:t>
      </w:r>
      <w:r>
        <w:t>.</w:t>
      </w:r>
      <w:r w:rsidR="00787EBF">
        <w:t xml:space="preserve"> </w:t>
      </w:r>
    </w:p>
    <w:p w:rsidR="00422801" w:rsidRDefault="00422801" w:rsidP="00A7468D">
      <w:pPr>
        <w:pStyle w:val="BodyText"/>
      </w:pPr>
      <w:r>
        <w:t xml:space="preserve">However, consumer behaviour is determined by retail prices and only indirectly by </w:t>
      </w:r>
      <w:r w:rsidR="0044216A">
        <w:t xml:space="preserve">the </w:t>
      </w:r>
      <w:r>
        <w:t xml:space="preserve">network </w:t>
      </w:r>
      <w:r w:rsidR="0044216A">
        <w:t>component of those prices</w:t>
      </w:r>
      <w:r>
        <w:t>. While retailers will often incorporate time</w:t>
      </w:r>
      <w:r w:rsidR="00F23AE0">
        <w:noBreakHyphen/>
      </w:r>
      <w:r>
        <w:t>varying network charges into their retail tariffs, their effects are diluted because other costs are also important in determining final retail charges</w:t>
      </w:r>
      <w:r w:rsidR="0044216A">
        <w:t>,</w:t>
      </w:r>
      <w:r w:rsidR="009068A2">
        <w:t xml:space="preserve"> and because retailers tend to smooth </w:t>
      </w:r>
      <w:r w:rsidR="0044216A">
        <w:t xml:space="preserve">wholesale power </w:t>
      </w:r>
      <w:r w:rsidR="009068A2">
        <w:t>price variations</w:t>
      </w:r>
      <w:r w:rsidR="0044216A">
        <w:t xml:space="preserve"> (where they use hedges to contain the risk of variability)</w:t>
      </w:r>
      <w:r>
        <w:t xml:space="preserve">. Consequently, a </w:t>
      </w:r>
      <w:proofErr w:type="spellStart"/>
      <w:r>
        <w:t>TOU</w:t>
      </w:r>
      <w:proofErr w:type="spellEnd"/>
      <w:r>
        <w:t xml:space="preserve"> </w:t>
      </w:r>
      <w:r w:rsidR="0045500D" w:rsidRPr="009068A2">
        <w:rPr>
          <w:i/>
        </w:rPr>
        <w:t>network</w:t>
      </w:r>
      <w:r w:rsidR="0045500D">
        <w:t xml:space="preserve"> </w:t>
      </w:r>
      <w:r>
        <w:t xml:space="preserve">charge that varies significantly over peak and off-peak periods </w:t>
      </w:r>
      <w:r w:rsidR="00884EE9">
        <w:t xml:space="preserve">is usually </w:t>
      </w:r>
      <w:r>
        <w:t xml:space="preserve">translated into much smaller price relativities at the </w:t>
      </w:r>
      <w:r w:rsidRPr="009068A2">
        <w:rPr>
          <w:i/>
        </w:rPr>
        <w:t>retail</w:t>
      </w:r>
      <w:r>
        <w:t xml:space="preserve"> level. </w:t>
      </w:r>
      <w:r w:rsidR="00A7468D">
        <w:t xml:space="preserve">For example, in </w:t>
      </w:r>
      <w:r w:rsidR="00884EE9">
        <w:t>New South Wales</w:t>
      </w:r>
      <w:r w:rsidR="000000B8">
        <w:t>, Origin Energy’s peak retail energy prices</w:t>
      </w:r>
      <w:r w:rsidR="0040700C">
        <w:t xml:space="preserve"> for residential customers</w:t>
      </w:r>
      <w:r w:rsidR="000000B8">
        <w:t xml:space="preserve"> in the </w:t>
      </w:r>
      <w:proofErr w:type="spellStart"/>
      <w:r w:rsidR="000000B8">
        <w:t>Ausgrid</w:t>
      </w:r>
      <w:proofErr w:type="spellEnd"/>
      <w:r w:rsidR="000000B8">
        <w:t xml:space="preserve"> network area are </w:t>
      </w:r>
      <w:r w:rsidR="0045500D">
        <w:t>only around</w:t>
      </w:r>
      <w:r w:rsidR="000000B8">
        <w:t xml:space="preserve"> four times those of the off-peak rates</w:t>
      </w:r>
      <w:r w:rsidR="0091083F">
        <w:t xml:space="preserve"> (Origin Energy 2012)</w:t>
      </w:r>
      <w:r w:rsidR="0045500D">
        <w:t>.</w:t>
      </w:r>
      <w:r w:rsidR="00B813C9">
        <w:rPr>
          <w:rStyle w:val="FootnoteReference"/>
        </w:rPr>
        <w:footnoteReference w:id="5"/>
      </w:r>
      <w:r w:rsidR="0045500D">
        <w:t xml:space="preserve"> </w:t>
      </w:r>
      <w:r w:rsidR="00B813C9">
        <w:t>Accordingly</w:t>
      </w:r>
      <w:r w:rsidR="0045500D">
        <w:t xml:space="preserve">, </w:t>
      </w:r>
      <w:r w:rsidR="00B813C9">
        <w:t xml:space="preserve">a ten-fold price differential at the network side was more than </w:t>
      </w:r>
      <w:r w:rsidR="00B813C9">
        <w:lastRenderedPageBreak/>
        <w:t xml:space="preserve">halved when expressed in retail prices. </w:t>
      </w:r>
      <w:r>
        <w:t>This dilution of network charging variations is important in modelling demand responses.</w:t>
      </w:r>
    </w:p>
    <w:p w:rsidR="0040700C" w:rsidRDefault="006E45EE" w:rsidP="00A7468D">
      <w:pPr>
        <w:pStyle w:val="BodyText"/>
      </w:pPr>
      <w:r>
        <w:t>In contrast</w:t>
      </w:r>
      <w:r w:rsidR="007F1CF0">
        <w:t xml:space="preserve"> to </w:t>
      </w:r>
      <w:proofErr w:type="spellStart"/>
      <w:r w:rsidR="007F1CF0">
        <w:t>TOU</w:t>
      </w:r>
      <w:proofErr w:type="spellEnd"/>
      <w:r w:rsidR="007F1CF0">
        <w:t xml:space="preserve"> pricing</w:t>
      </w:r>
      <w:r>
        <w:t xml:space="preserve">, </w:t>
      </w:r>
      <w:proofErr w:type="spellStart"/>
      <w:r>
        <w:t>CPP</w:t>
      </w:r>
      <w:proofErr w:type="spellEnd"/>
      <w:r>
        <w:t xml:space="preserve"> only applies for </w:t>
      </w:r>
      <w:r w:rsidR="00150280">
        <w:t>the limited number of hours a year when demand reaches extreme levels</w:t>
      </w:r>
      <w:r>
        <w:t xml:space="preserve"> — such as during heat wave conditions when air conditioning loads are particularly high.</w:t>
      </w:r>
      <w:r w:rsidR="006D7673">
        <w:t xml:space="preserve"> </w:t>
      </w:r>
      <w:proofErr w:type="spellStart"/>
      <w:r w:rsidR="00B813C9">
        <w:t>CPP</w:t>
      </w:r>
      <w:proofErr w:type="spellEnd"/>
      <w:r w:rsidR="00B813C9">
        <w:t xml:space="preserve"> network price variations are much greater than </w:t>
      </w:r>
      <w:proofErr w:type="spellStart"/>
      <w:r w:rsidR="00B813C9">
        <w:t>TOU</w:t>
      </w:r>
      <w:proofErr w:type="spellEnd"/>
      <w:r w:rsidR="00B813C9">
        <w:t xml:space="preserve"> network prices, and so this is reflected in a larger differential in retail prices </w:t>
      </w:r>
      <w:r w:rsidR="009068A2">
        <w:t>during</w:t>
      </w:r>
      <w:r w:rsidR="00B813C9">
        <w:t xml:space="preserve"> peak </w:t>
      </w:r>
      <w:r w:rsidR="0044216A">
        <w:t xml:space="preserve">times compared with </w:t>
      </w:r>
      <w:r w:rsidR="00B813C9">
        <w:t>off</w:t>
      </w:r>
      <w:r w:rsidR="0044216A">
        <w:t xml:space="preserve"> peak</w:t>
      </w:r>
      <w:r w:rsidR="009068A2">
        <w:t>.</w:t>
      </w:r>
      <w:r w:rsidR="00B813C9">
        <w:t xml:space="preserve"> </w:t>
      </w:r>
      <w:r w:rsidR="009F2ADF">
        <w:t xml:space="preserve">For example, </w:t>
      </w:r>
      <w:r w:rsidR="00F51E46">
        <w:t xml:space="preserve">Deloitte </w:t>
      </w:r>
      <w:r w:rsidR="009F2ADF">
        <w:t xml:space="preserve">modelled a critical peak </w:t>
      </w:r>
      <w:r w:rsidR="005D10D9">
        <w:t xml:space="preserve">retail </w:t>
      </w:r>
      <w:r w:rsidR="009F2ADF">
        <w:t>price that was 15 times that of the off-peak rate (</w:t>
      </w:r>
      <w:r w:rsidR="0042650E">
        <w:t xml:space="preserve">scenario E </w:t>
      </w:r>
      <w:r w:rsidR="0040700C">
        <w:t xml:space="preserve">by </w:t>
      </w:r>
      <w:r w:rsidR="005205A3">
        <w:t xml:space="preserve">Deloitte </w:t>
      </w:r>
      <w:proofErr w:type="spellStart"/>
      <w:r w:rsidR="005205A3">
        <w:t>2011</w:t>
      </w:r>
      <w:r w:rsidR="00006906">
        <w:t>b</w:t>
      </w:r>
      <w:proofErr w:type="spellEnd"/>
      <w:r w:rsidR="00006906">
        <w:t>, p. 4</w:t>
      </w:r>
      <w:r w:rsidR="0042650E">
        <w:t>4</w:t>
      </w:r>
      <w:r w:rsidR="0040700C">
        <w:t>)</w:t>
      </w:r>
      <w:r w:rsidR="005205A3">
        <w:t xml:space="preserve">. </w:t>
      </w:r>
      <w:r w:rsidR="009F2ADF">
        <w:t xml:space="preserve">In South Australia, </w:t>
      </w:r>
      <w:r w:rsidR="00E86E71">
        <w:t>Origin Energy’s ‘</w:t>
      </w:r>
      <w:r w:rsidR="00E86E71" w:rsidRPr="00E86E71">
        <w:t>Smart Rates Adelaide Solar City Energy Plan (Option 1)</w:t>
      </w:r>
      <w:r w:rsidR="00E86E71">
        <w:t>’ sets a critical peak</w:t>
      </w:r>
      <w:r w:rsidR="005D10D9">
        <w:t xml:space="preserve"> retail </w:t>
      </w:r>
      <w:r w:rsidR="00E86E71">
        <w:t xml:space="preserve">price of $3.90 per kWh or around 14 times the off peak charge of around 28 cents per kWh. In contrast, Origin Energy’s ‘Smart Time of Use All Season Plan’ sets a peak </w:t>
      </w:r>
      <w:r w:rsidR="005D10D9">
        <w:t xml:space="preserve">retail </w:t>
      </w:r>
      <w:r w:rsidR="00E86E71">
        <w:t>price of around 54 cents per kWh, only around three times higher than the off peak rate of around 17 cents per kWh. A</w:t>
      </w:r>
      <w:r w:rsidR="005205A3">
        <w:t xml:space="preserve">ccordingly, demand responses to </w:t>
      </w:r>
      <w:proofErr w:type="spellStart"/>
      <w:r w:rsidR="005205A3">
        <w:t>CPP</w:t>
      </w:r>
      <w:proofErr w:type="spellEnd"/>
      <w:r w:rsidR="005205A3">
        <w:t xml:space="preserve"> can be expected to be </w:t>
      </w:r>
      <w:r w:rsidR="005D10D9">
        <w:t>greater</w:t>
      </w:r>
      <w:r w:rsidR="005205A3">
        <w:t xml:space="preserve"> than those arising from </w:t>
      </w:r>
      <w:proofErr w:type="spellStart"/>
      <w:r w:rsidR="005205A3">
        <w:t>TOU</w:t>
      </w:r>
      <w:proofErr w:type="spellEnd"/>
      <w:r w:rsidR="005205A3">
        <w:t xml:space="preserve"> prices alone.</w:t>
      </w:r>
      <w:r w:rsidR="00204677">
        <w:t xml:space="preserve"> </w:t>
      </w:r>
      <w:r w:rsidR="00B813C9">
        <w:t xml:space="preserve">Consumers are typically informed of the critical periods and the associated prices one day ahead of the anticipated critical peaks, but, given the uncertain timing of peak events, </w:t>
      </w:r>
      <w:proofErr w:type="spellStart"/>
      <w:r w:rsidR="00B813C9">
        <w:t>CPP</w:t>
      </w:r>
      <w:proofErr w:type="spellEnd"/>
      <w:r w:rsidR="00B813C9">
        <w:t xml:space="preserve"> may not elicit habituated demand management responses</w:t>
      </w:r>
      <w:r w:rsidR="0016366A">
        <w:t xml:space="preserve"> </w:t>
      </w:r>
      <w:r w:rsidR="00B813C9">
        <w:t xml:space="preserve">(though </w:t>
      </w:r>
      <w:proofErr w:type="spellStart"/>
      <w:r w:rsidR="00B813C9">
        <w:t>CPP</w:t>
      </w:r>
      <w:proofErr w:type="spellEnd"/>
      <w:r w:rsidR="00B813C9">
        <w:t xml:space="preserve"> is often accompanied by </w:t>
      </w:r>
      <w:proofErr w:type="spellStart"/>
      <w:r w:rsidR="00B813C9">
        <w:t>TOU</w:t>
      </w:r>
      <w:proofErr w:type="spellEnd"/>
      <w:r w:rsidR="00B813C9">
        <w:t xml:space="preserve"> charging).</w:t>
      </w:r>
    </w:p>
    <w:p w:rsidR="006F553F" w:rsidRDefault="006D7673" w:rsidP="00A7468D">
      <w:pPr>
        <w:pStyle w:val="BodyText"/>
      </w:pPr>
      <w:r>
        <w:t xml:space="preserve">A third pricing </w:t>
      </w:r>
      <w:r w:rsidR="00EF0526">
        <w:t xml:space="preserve">approach is dynamic or real time pricing, in which electricity prices may change on an hourly (or even on a more granular basis) at all times. The latter would not generally apply to residential consumers and small businesses, and is not examined in this </w:t>
      </w:r>
      <w:r w:rsidR="009064FA">
        <w:t>paper</w:t>
      </w:r>
      <w:r w:rsidR="00EF0526">
        <w:t xml:space="preserve">. </w:t>
      </w:r>
    </w:p>
    <w:p w:rsidR="006E45EE" w:rsidRDefault="006F553F" w:rsidP="00A7468D">
      <w:pPr>
        <w:pStyle w:val="BodyText"/>
      </w:pPr>
      <w:r>
        <w:t>Capacity charges — which relate to the maximum capacity requirements of a customer over a given year —</w:t>
      </w:r>
      <w:r w:rsidR="00271E3D">
        <w:t xml:space="preserve"> are also only applied to high</w:t>
      </w:r>
      <w:r>
        <w:t xml:space="preserve"> energy users (chapter 10).</w:t>
      </w:r>
    </w:p>
    <w:p w:rsidR="003F0C36" w:rsidRDefault="003F0C36" w:rsidP="003F0C36">
      <w:pPr>
        <w:pStyle w:val="Heading3"/>
      </w:pPr>
      <w:r>
        <w:t>The effects of pricing</w:t>
      </w:r>
    </w:p>
    <w:p w:rsidR="000A199F" w:rsidRDefault="00DC0CD1" w:rsidP="00DC0CD1">
      <w:pPr>
        <w:pStyle w:val="BodyText"/>
      </w:pPr>
      <w:r>
        <w:t xml:space="preserve">The sensitivity of peak demand to pricing is measured by the peak price demand elasticity (the percentage reduction in peak demand associated with a percentage increase in the </w:t>
      </w:r>
      <w:r w:rsidR="00247955">
        <w:t xml:space="preserve">peak </w:t>
      </w:r>
      <w:r>
        <w:t xml:space="preserve">price of </w:t>
      </w:r>
      <w:r w:rsidR="00247955">
        <w:t>electricity</w:t>
      </w:r>
      <w:r>
        <w:t xml:space="preserve"> over standard </w:t>
      </w:r>
      <w:r w:rsidR="00247955">
        <w:t>electricity</w:t>
      </w:r>
      <w:r>
        <w:t xml:space="preserve"> charges). The Commission </w:t>
      </w:r>
      <w:r w:rsidR="008B0B13">
        <w:t xml:space="preserve">has </w:t>
      </w:r>
      <w:r>
        <w:t xml:space="preserve">assumed </w:t>
      </w:r>
      <w:proofErr w:type="spellStart"/>
      <w:r>
        <w:t>elasticities</w:t>
      </w:r>
      <w:proofErr w:type="spellEnd"/>
      <w:r>
        <w:t xml:space="preserve"> between -0.1 and </w:t>
      </w:r>
      <w:r w:rsidR="008B0B13">
        <w:t>-</w:t>
      </w:r>
      <w:r>
        <w:t>0.2</w:t>
      </w:r>
      <w:r w:rsidR="00A50622">
        <w:t xml:space="preserve"> (with a middle case of </w:t>
      </w:r>
      <w:r w:rsidR="00A50622">
        <w:noBreakHyphen/>
        <w:t>0.15)</w:t>
      </w:r>
      <w:r>
        <w:t xml:space="preserve">, </w:t>
      </w:r>
      <w:r w:rsidR="00AA1523">
        <w:t>which is within</w:t>
      </w:r>
      <w:r>
        <w:t xml:space="preserve"> </w:t>
      </w:r>
      <w:r w:rsidR="00AA1523">
        <w:t>the (rather wide) ranges found in a variety</w:t>
      </w:r>
      <w:r>
        <w:t xml:space="preserve"> </w:t>
      </w:r>
      <w:r w:rsidR="00AA1523">
        <w:t xml:space="preserve">of </w:t>
      </w:r>
      <w:r>
        <w:t xml:space="preserve">the </w:t>
      </w:r>
      <w:r w:rsidR="00AA1523">
        <w:t>studies, including</w:t>
      </w:r>
      <w:r>
        <w:t xml:space="preserve"> Deloitte (</w:t>
      </w:r>
      <w:proofErr w:type="spellStart"/>
      <w:r>
        <w:t>2011</w:t>
      </w:r>
      <w:r w:rsidR="00E27534">
        <w:t>b</w:t>
      </w:r>
      <w:proofErr w:type="spellEnd"/>
      <w:r>
        <w:t xml:space="preserve">, </w:t>
      </w:r>
      <w:r w:rsidR="006167EB">
        <w:t xml:space="preserve">volume 2, </w:t>
      </w:r>
      <w:r>
        <w:t>pp. </w:t>
      </w:r>
      <w:proofErr w:type="spellStart"/>
      <w:r>
        <w:t>50ff</w:t>
      </w:r>
      <w:proofErr w:type="spellEnd"/>
      <w:r>
        <w:t>)</w:t>
      </w:r>
      <w:r w:rsidR="008E218C">
        <w:t xml:space="preserve">, </w:t>
      </w:r>
      <w:proofErr w:type="spellStart"/>
      <w:r w:rsidR="00000FE9">
        <w:t>NERA</w:t>
      </w:r>
      <w:proofErr w:type="spellEnd"/>
      <w:r w:rsidR="00000FE9">
        <w:t xml:space="preserve"> (</w:t>
      </w:r>
      <w:proofErr w:type="spellStart"/>
      <w:r w:rsidR="00000FE9">
        <w:t>2008b</w:t>
      </w:r>
      <w:proofErr w:type="spellEnd"/>
      <w:r w:rsidR="00000FE9">
        <w:t>)</w:t>
      </w:r>
      <w:r w:rsidR="00AA1523">
        <w:t xml:space="preserve">, </w:t>
      </w:r>
      <w:proofErr w:type="spellStart"/>
      <w:r w:rsidR="008E218C">
        <w:t>Langmore</w:t>
      </w:r>
      <w:proofErr w:type="spellEnd"/>
      <w:r w:rsidR="008E218C">
        <w:t xml:space="preserve"> and Duffy (2004)</w:t>
      </w:r>
      <w:r w:rsidR="00AA1523">
        <w:t xml:space="preserve"> and </w:t>
      </w:r>
      <w:proofErr w:type="spellStart"/>
      <w:r w:rsidR="00AA1523">
        <w:t>Faruqui</w:t>
      </w:r>
      <w:proofErr w:type="spellEnd"/>
      <w:r w:rsidR="00AA1523">
        <w:t xml:space="preserve"> and Palmer (2011)</w:t>
      </w:r>
      <w:r w:rsidR="007765A5">
        <w:t>.</w:t>
      </w:r>
      <w:r>
        <w:t xml:space="preserve"> </w:t>
      </w:r>
    </w:p>
    <w:p w:rsidR="00DC0CD1" w:rsidRDefault="008B0B13" w:rsidP="00DC0CD1">
      <w:pPr>
        <w:pStyle w:val="BodyText"/>
      </w:pPr>
      <w:r>
        <w:t xml:space="preserve">Such low </w:t>
      </w:r>
      <w:proofErr w:type="spellStart"/>
      <w:r>
        <w:t>elasticities</w:t>
      </w:r>
      <w:proofErr w:type="spellEnd"/>
      <w:r>
        <w:t xml:space="preserve"> reveal that people are reluctant to substitute </w:t>
      </w:r>
      <w:r w:rsidR="003D732F">
        <w:t xml:space="preserve">consumption away from </w:t>
      </w:r>
      <w:r>
        <w:t xml:space="preserve">peak demand </w:t>
      </w:r>
      <w:r w:rsidR="003D732F">
        <w:t>periods</w:t>
      </w:r>
      <w:r w:rsidR="008A4881">
        <w:t xml:space="preserve"> when the price changes are small</w:t>
      </w:r>
      <w:r>
        <w:t xml:space="preserve">. </w:t>
      </w:r>
      <w:r w:rsidR="008F1FB8">
        <w:t xml:space="preserve">However, </w:t>
      </w:r>
      <w:r>
        <w:lastRenderedPageBreak/>
        <w:t>cost</w:t>
      </w:r>
      <w:r w:rsidR="00F23AE0">
        <w:noBreakHyphen/>
      </w:r>
      <w:r>
        <w:t xml:space="preserve">reflective consumer energy tariffs at critical periods are many times those during off-peak periods. In some instances, the </w:t>
      </w:r>
      <w:r w:rsidR="008A4881">
        <w:t xml:space="preserve">(retail) </w:t>
      </w:r>
      <w:r>
        <w:t>critical peak charge has been 20</w:t>
      </w:r>
      <w:r>
        <w:noBreakHyphen/>
        <w:t>30 times the off-peak rate, although usually the relativity is lower than this (</w:t>
      </w:r>
      <w:proofErr w:type="spellStart"/>
      <w:r>
        <w:t>Futura</w:t>
      </w:r>
      <w:proofErr w:type="spellEnd"/>
      <w:r>
        <w:t xml:space="preserve"> 2011, pp. 69</w:t>
      </w:r>
      <w:r w:rsidR="00DA633F">
        <w:noBreakHyphen/>
      </w:r>
      <w:r>
        <w:t xml:space="preserve">70). For example, with an elasticity of -0.15 and an eight-fold difference between a flat </w:t>
      </w:r>
      <w:r w:rsidR="008A4881">
        <w:t xml:space="preserve">retail </w:t>
      </w:r>
      <w:r>
        <w:t>tariff and a critical peak price, the expected reduction in critical peak demand effect is 27 per cent. Accordingly, even with a ‘low’ elasticity, the demand response can be large.</w:t>
      </w:r>
      <w:r w:rsidR="006F553F">
        <w:t xml:space="preserve"> </w:t>
      </w:r>
    </w:p>
    <w:p w:rsidR="00964C6E" w:rsidRDefault="00DC0CD1" w:rsidP="003F0C36">
      <w:pPr>
        <w:pStyle w:val="BodyText"/>
      </w:pPr>
      <w:r>
        <w:t xml:space="preserve">Trials bear out </w:t>
      </w:r>
      <w:r w:rsidR="000A199F">
        <w:t>the significance of critical peak pricing. T</w:t>
      </w:r>
      <w:r w:rsidR="003F0C36">
        <w:t>rials</w:t>
      </w:r>
      <w:r w:rsidR="000A199F">
        <w:t xml:space="preserve"> in</w:t>
      </w:r>
      <w:r w:rsidR="003F0C36" w:rsidRPr="005D027E">
        <w:t xml:space="preserve"> </w:t>
      </w:r>
      <w:r w:rsidR="000A199F">
        <w:t xml:space="preserve">New South Wales, Queensland and South Australia </w:t>
      </w:r>
      <w:r w:rsidR="003F0C36" w:rsidRPr="005D027E">
        <w:t>suggest reductions in energy use during critical pea</w:t>
      </w:r>
      <w:r w:rsidR="003F0C36">
        <w:t xml:space="preserve">k events of </w:t>
      </w:r>
      <w:r w:rsidR="00D91208">
        <w:t>21</w:t>
      </w:r>
      <w:r w:rsidR="00DA633F">
        <w:t>–</w:t>
      </w:r>
      <w:r w:rsidR="003F0C36">
        <w:t>3</w:t>
      </w:r>
      <w:r w:rsidR="00D91208">
        <w:t>7</w:t>
      </w:r>
      <w:r w:rsidR="003F0C36">
        <w:t> per cent (</w:t>
      </w:r>
      <w:r w:rsidR="00964C6E">
        <w:t>figure</w:t>
      </w:r>
      <w:r w:rsidR="003F0C36">
        <w:t> </w:t>
      </w:r>
      <w:r w:rsidR="007F1CF0">
        <w:t>1.2</w:t>
      </w:r>
      <w:r w:rsidR="003F0C36" w:rsidRPr="005D027E">
        <w:t xml:space="preserve">). </w:t>
      </w:r>
      <w:r w:rsidR="000A199F">
        <w:t>In contrast, ‘s</w:t>
      </w:r>
      <w:r w:rsidR="00456127">
        <w:t>hallow</w:t>
      </w:r>
      <w:r w:rsidR="000A199F">
        <w:t>’</w:t>
      </w:r>
      <w:r w:rsidR="00456127">
        <w:t xml:space="preserve"> </w:t>
      </w:r>
      <w:proofErr w:type="spellStart"/>
      <w:r w:rsidR="003D732F">
        <w:t>TOU</w:t>
      </w:r>
      <w:proofErr w:type="spellEnd"/>
      <w:r w:rsidR="00456127" w:rsidRPr="005D027E">
        <w:t xml:space="preserve"> charging has been less effective in reducing energy use during critical peak events</w:t>
      </w:r>
      <w:r w:rsidR="00456127">
        <w:t xml:space="preserve"> </w:t>
      </w:r>
      <w:r w:rsidR="00456127" w:rsidRPr="005D027E">
        <w:t xml:space="preserve">with trial reductions </w:t>
      </w:r>
      <w:r w:rsidR="00456127">
        <w:t xml:space="preserve">of </w:t>
      </w:r>
      <w:r w:rsidR="00456127" w:rsidRPr="005D027E">
        <w:t>between 2</w:t>
      </w:r>
      <w:r w:rsidR="00624F0D">
        <w:t> </w:t>
      </w:r>
      <w:r w:rsidR="00456127">
        <w:t xml:space="preserve">and </w:t>
      </w:r>
      <w:r w:rsidR="00964C6E">
        <w:t>4 per cent</w:t>
      </w:r>
      <w:r w:rsidR="00456127" w:rsidRPr="005D027E">
        <w:t>.</w:t>
      </w:r>
    </w:p>
    <w:p w:rsidR="0099327E" w:rsidRDefault="0099327E" w:rsidP="0099327E">
      <w:pPr>
        <w:pStyle w:val="BodyText"/>
      </w:pPr>
      <w:r>
        <w:t xml:space="preserve">An important issue in any modelling of the effects of time-based charging is the persistence of demand responses. </w:t>
      </w:r>
      <w:proofErr w:type="spellStart"/>
      <w:r>
        <w:t>Etrog</w:t>
      </w:r>
      <w:proofErr w:type="spellEnd"/>
      <w:r>
        <w:t xml:space="preserve"> Consulting (2012, </w:t>
      </w:r>
      <w:r w:rsidR="00AA1523">
        <w:t>p.</w:t>
      </w:r>
      <w:r>
        <w:t xml:space="preserve"> 57) and </w:t>
      </w:r>
      <w:proofErr w:type="spellStart"/>
      <w:r>
        <w:t>Faruqui</w:t>
      </w:r>
      <w:proofErr w:type="spellEnd"/>
      <w:r w:rsidRPr="00F67DA3">
        <w:t xml:space="preserve"> and Palmer</w:t>
      </w:r>
      <w:r>
        <w:t xml:space="preserve"> (</w:t>
      </w:r>
      <w:r w:rsidRPr="00F67DA3">
        <w:t>2011</w:t>
      </w:r>
      <w:r>
        <w:t xml:space="preserve">, </w:t>
      </w:r>
      <w:r w:rsidR="00AA1523">
        <w:t>p. </w:t>
      </w:r>
      <w:r>
        <w:t xml:space="preserve">20) found that customer responses to </w:t>
      </w:r>
      <w:r w:rsidR="0044216A">
        <w:t>changes in prices</w:t>
      </w:r>
      <w:r>
        <w:t xml:space="preserve"> persisted over time. </w:t>
      </w:r>
    </w:p>
    <w:p w:rsidR="005D10D9" w:rsidRDefault="001638B1" w:rsidP="005D10D9">
      <w:pPr>
        <w:pStyle w:val="Heading2"/>
      </w:pPr>
      <w:r>
        <w:fldChar w:fldCharType="begin"/>
      </w:r>
      <w:r>
        <w:instrText xml:space="preserve"> COMMENT</w:instrText>
      </w:r>
      <w:r>
        <w:instrText xml:space="preserve">S  \* MERGEFORMAT </w:instrText>
      </w:r>
      <w:r>
        <w:fldChar w:fldCharType="separate"/>
      </w:r>
      <w:r w:rsidR="005D10D9">
        <w:t>1.</w:t>
      </w:r>
      <w:r>
        <w:fldChar w:fldCharType="end"/>
      </w:r>
      <w:fldSimple w:instr=" SEQ Heading2 ">
        <w:r w:rsidR="00A71173">
          <w:rPr>
            <w:noProof/>
          </w:rPr>
          <w:t>4</w:t>
        </w:r>
      </w:fldSimple>
      <w:r w:rsidR="005D10D9">
        <w:tab/>
        <w:t>The nature of technology that targets peak demand periods</w:t>
      </w:r>
    </w:p>
    <w:p w:rsidR="005D10D9" w:rsidRDefault="005D10D9" w:rsidP="005D10D9">
      <w:pPr>
        <w:pStyle w:val="Heading3"/>
      </w:pPr>
      <w:r>
        <w:t>Smart meters</w:t>
      </w:r>
    </w:p>
    <w:p w:rsidR="005D10D9" w:rsidRDefault="005D10D9" w:rsidP="005D10D9">
      <w:pPr>
        <w:pStyle w:val="BodyText"/>
        <w:rPr>
          <w:lang w:eastAsia="en-US"/>
        </w:rPr>
      </w:pPr>
      <w:r>
        <w:rPr>
          <w:lang w:eastAsia="en-US"/>
        </w:rPr>
        <w:t xml:space="preserve">Smart meters measure electricity consumption over given periods — such as at half hourly intervals — and can be read remotely by the distribution business, avoiding the need for a person to manually read the meter for billing purposes. They also allow distribution businesses to use the meters as network sensors to assess the performance of the network and to give customers information about their power use. When paired with compatible appliances, they provide the scope for direct load control. Smart meters are supported by </w:t>
      </w:r>
      <w:r w:rsidRPr="00736DA9">
        <w:rPr>
          <w:lang w:eastAsia="en-US"/>
        </w:rPr>
        <w:t xml:space="preserve">IT management and communication systems </w:t>
      </w:r>
      <w:r>
        <w:rPr>
          <w:lang w:eastAsia="en-US"/>
        </w:rPr>
        <w:t>(‘backend’ systems), which are a major source of their costs.</w:t>
      </w:r>
    </w:p>
    <w:p w:rsidR="00953141" w:rsidRDefault="00953141" w:rsidP="00953141">
      <w:pPr>
        <w:pStyle w:val="FigureTitle"/>
      </w:pPr>
      <w:r>
        <w:rPr>
          <w:b w:val="0"/>
        </w:rPr>
        <w:lastRenderedPageBreak/>
        <w:t xml:space="preserve">Figure </w:t>
      </w:r>
      <w:r>
        <w:rPr>
          <w:b w:val="0"/>
        </w:rPr>
        <w:fldChar w:fldCharType="begin"/>
      </w:r>
      <w:r>
        <w:rPr>
          <w:b w:val="0"/>
        </w:rPr>
        <w:instrText xml:space="preserve"> COMMENTS  \* MERGEFORMAT </w:instrText>
      </w:r>
      <w:r>
        <w:rPr>
          <w:b w:val="0"/>
        </w:rPr>
        <w:fldChar w:fldCharType="separate"/>
      </w:r>
      <w:r>
        <w:rPr>
          <w:b w:val="0"/>
        </w:rPr>
        <w:t>1.</w:t>
      </w:r>
      <w:r>
        <w:rPr>
          <w:b w:val="0"/>
        </w:rPr>
        <w:fldChar w:fldCharType="end"/>
      </w:r>
      <w:r>
        <w:rPr>
          <w:b w:val="0"/>
        </w:rPr>
        <w:fldChar w:fldCharType="begin"/>
      </w:r>
      <w:r>
        <w:rPr>
          <w:b w:val="0"/>
        </w:rPr>
        <w:instrText xml:space="preserve"> SEQ Figure \* ARABIC </w:instrText>
      </w:r>
      <w:r>
        <w:rPr>
          <w:b w:val="0"/>
        </w:rPr>
        <w:fldChar w:fldCharType="separate"/>
      </w:r>
      <w:r w:rsidR="00A71173">
        <w:rPr>
          <w:b w:val="0"/>
          <w:noProof/>
        </w:rPr>
        <w:t>2</w:t>
      </w:r>
      <w:r>
        <w:rPr>
          <w:b w:val="0"/>
        </w:rPr>
        <w:fldChar w:fldCharType="end"/>
      </w:r>
      <w:r>
        <w:tab/>
        <w:t>Reduction in critical peak electricity use for Australian trials</w:t>
      </w:r>
    </w:p>
    <w:p w:rsidR="00953141" w:rsidRDefault="00953141" w:rsidP="00953141">
      <w:pPr>
        <w:pStyle w:val="Subtitle"/>
      </w:pPr>
      <w:r>
        <w:t>Average reduction by type of demand management</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953141" w:rsidTr="000218F6">
        <w:tc>
          <w:tcPr>
            <w:tcW w:w="8777" w:type="dxa"/>
          </w:tcPr>
          <w:p w:rsidR="00953141" w:rsidRDefault="00953141" w:rsidP="000218F6">
            <w:pPr>
              <w:pStyle w:val="Figure"/>
            </w:pPr>
            <w:r w:rsidRPr="008A78A6">
              <w:rPr>
                <w:noProof/>
              </w:rPr>
              <w:drawing>
                <wp:inline distT="0" distB="0" distL="0" distR="0" wp14:anchorId="0BE73997" wp14:editId="4098FF5E">
                  <wp:extent cx="5446643" cy="3721211"/>
                  <wp:effectExtent l="0" t="0" r="19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953141" w:rsidRDefault="00953141" w:rsidP="00953141">
      <w:pPr>
        <w:pStyle w:val="Note"/>
      </w:pPr>
      <w:proofErr w:type="spellStart"/>
      <w:r>
        <w:rPr>
          <w:rStyle w:val="NoteLabel"/>
        </w:rPr>
        <w:t>a</w:t>
      </w:r>
      <w:proofErr w:type="spellEnd"/>
      <w:r>
        <w:t xml:space="preserve"> Many demand management schemes have been trialled or introduced in Australia. They have included weakly targeted </w:t>
      </w:r>
      <w:proofErr w:type="spellStart"/>
      <w:r>
        <w:t>TOU</w:t>
      </w:r>
      <w:proofErr w:type="spellEnd"/>
      <w:r>
        <w:t xml:space="preserve"> pricing, critical peak pricing, rebates for curtailing electricity consumption during critical peak events, and the use of direct load control</w:t>
      </w:r>
      <w:r w:rsidR="00F164D4">
        <w:t xml:space="preserve"> (</w:t>
      </w:r>
      <w:proofErr w:type="spellStart"/>
      <w:r w:rsidR="00F164D4">
        <w:t>DLC</w:t>
      </w:r>
      <w:proofErr w:type="spellEnd"/>
      <w:r w:rsidR="00F164D4">
        <w:t xml:space="preserve"> in the figure)</w:t>
      </w:r>
      <w:r>
        <w:t xml:space="preserve"> technology (also targeting critical peak events). In some cases, several approaches have been used together. The chart is based on household responses of various demand management policies. (In some cases, the policies included more than one type of approach, such as </w:t>
      </w:r>
      <w:proofErr w:type="spellStart"/>
      <w:r>
        <w:t>CPP</w:t>
      </w:r>
      <w:proofErr w:type="spellEnd"/>
      <w:r>
        <w:t xml:space="preserve"> combined with year round </w:t>
      </w:r>
      <w:proofErr w:type="spellStart"/>
      <w:r>
        <w:t>TOU</w:t>
      </w:r>
      <w:proofErr w:type="spellEnd"/>
      <w:r>
        <w:t xml:space="preserve">. Where that is the case, the Commission has categorised the policy by its most important element.) In most cases the </w:t>
      </w:r>
      <w:proofErr w:type="spellStart"/>
      <w:r>
        <w:t>CPP</w:t>
      </w:r>
      <w:proofErr w:type="spellEnd"/>
      <w:r>
        <w:t xml:space="preserve"> results show the demand response for particular critical peaks in a given season (such as in summer), while others show averages responses to critical peaks over all seasons. Given the selection biases, the scale of reduced peak energy use from a wider role out of demand management in Australia may be smaller than that achieved through trials. This is partly because consumer participation in demand management schemes and trials has been voluntary and so is more likely to include those with a greater interest and capacity for demand reductions. In addition, some trials have restricted eligibility to consumers who have greater scope to reduce peak energy use (for example, households with air conditioners).</w:t>
      </w:r>
    </w:p>
    <w:p w:rsidR="00953141" w:rsidRDefault="00953141" w:rsidP="00953141">
      <w:pPr>
        <w:pStyle w:val="Source"/>
      </w:pPr>
      <w:r>
        <w:rPr>
          <w:i/>
        </w:rPr>
        <w:t>Data source</w:t>
      </w:r>
      <w:r w:rsidRPr="00167F06">
        <w:t xml:space="preserve">: </w:t>
      </w:r>
      <w:proofErr w:type="spellStart"/>
      <w:r>
        <w:t>Futura</w:t>
      </w:r>
      <w:proofErr w:type="spellEnd"/>
      <w:r>
        <w:t xml:space="preserve"> (2011, pp. 13</w:t>
      </w:r>
      <w:r>
        <w:noBreakHyphen/>
        <w:t>15, p. 60).</w:t>
      </w:r>
    </w:p>
    <w:p w:rsidR="00211893" w:rsidRDefault="00211893" w:rsidP="00211893">
      <w:pPr>
        <w:pStyle w:val="BodyText"/>
        <w:rPr>
          <w:lang w:eastAsia="en-US"/>
        </w:rPr>
      </w:pPr>
      <w:r>
        <w:rPr>
          <w:lang w:eastAsia="en-US"/>
        </w:rPr>
        <w:t>In contrast, accumulation meters simply record the total power usage, and must be read manually. They cannot facilitate time-based charging. A</w:t>
      </w:r>
      <w:r w:rsidR="00325DBD">
        <w:rPr>
          <w:lang w:eastAsia="en-US"/>
        </w:rPr>
        <w:t xml:space="preserve"> type 5</w:t>
      </w:r>
      <w:r>
        <w:rPr>
          <w:lang w:eastAsia="en-US"/>
        </w:rPr>
        <w:t xml:space="preserve"> interval meter </w:t>
      </w:r>
      <w:r w:rsidR="005E56BD">
        <w:rPr>
          <w:lang w:eastAsia="en-US"/>
        </w:rPr>
        <w:t xml:space="preserve">can record power usage over time, but </w:t>
      </w:r>
      <w:r>
        <w:rPr>
          <w:lang w:eastAsia="en-US"/>
        </w:rPr>
        <w:t>does not give consumers time</w:t>
      </w:r>
      <w:r w:rsidR="00325DBD">
        <w:rPr>
          <w:lang w:eastAsia="en-US"/>
        </w:rPr>
        <w:t xml:space="preserve">ly feedback on their energy use, </w:t>
      </w:r>
      <w:r>
        <w:rPr>
          <w:lang w:eastAsia="en-US"/>
        </w:rPr>
        <w:t>provides little information to retailers to allow them to set new tariffs</w:t>
      </w:r>
      <w:r w:rsidR="00E475EA">
        <w:rPr>
          <w:lang w:eastAsia="en-US"/>
        </w:rPr>
        <w:t>,</w:t>
      </w:r>
      <w:r w:rsidR="00325DBD">
        <w:rPr>
          <w:lang w:eastAsia="en-US"/>
        </w:rPr>
        <w:t xml:space="preserve"> and cannot be read remotely</w:t>
      </w:r>
      <w:r>
        <w:rPr>
          <w:lang w:eastAsia="en-US"/>
        </w:rPr>
        <w:t xml:space="preserve">. </w:t>
      </w:r>
    </w:p>
    <w:p w:rsidR="004A5B4C" w:rsidRDefault="00182721" w:rsidP="004A5B4C">
      <w:pPr>
        <w:pStyle w:val="BodyText"/>
        <w:rPr>
          <w:lang w:eastAsia="en-US"/>
        </w:rPr>
      </w:pPr>
      <w:r>
        <w:rPr>
          <w:lang w:eastAsia="en-US"/>
        </w:rPr>
        <w:t xml:space="preserve">Accordingly, smart meters </w:t>
      </w:r>
      <w:r w:rsidR="00A2676E">
        <w:rPr>
          <w:lang w:eastAsia="en-US"/>
        </w:rPr>
        <w:t xml:space="preserve">have the joint benefits of </w:t>
      </w:r>
      <w:r w:rsidR="004A5B4C">
        <w:rPr>
          <w:lang w:eastAsia="en-US"/>
        </w:rPr>
        <w:t>underpin</w:t>
      </w:r>
      <w:r w:rsidR="00A2676E">
        <w:rPr>
          <w:lang w:eastAsia="en-US"/>
        </w:rPr>
        <w:t>ning</w:t>
      </w:r>
      <w:r w:rsidR="004A5B4C">
        <w:rPr>
          <w:lang w:eastAsia="en-US"/>
        </w:rPr>
        <w:t xml:space="preserve"> </w:t>
      </w:r>
      <w:r>
        <w:rPr>
          <w:lang w:eastAsia="en-US"/>
        </w:rPr>
        <w:t xml:space="preserve">sophisticated </w:t>
      </w:r>
      <w:r w:rsidR="004A5B4C">
        <w:rPr>
          <w:lang w:eastAsia="en-US"/>
        </w:rPr>
        <w:t>pricing initiative</w:t>
      </w:r>
      <w:r>
        <w:rPr>
          <w:lang w:eastAsia="en-US"/>
        </w:rPr>
        <w:t>s</w:t>
      </w:r>
      <w:r w:rsidR="004A5B4C">
        <w:rPr>
          <w:lang w:eastAsia="en-US"/>
        </w:rPr>
        <w:t xml:space="preserve"> (including rebates and incentives)</w:t>
      </w:r>
      <w:r w:rsidR="00E34D85">
        <w:rPr>
          <w:lang w:eastAsia="en-US"/>
        </w:rPr>
        <w:t>;</w:t>
      </w:r>
      <w:r w:rsidR="004A5B4C">
        <w:rPr>
          <w:lang w:eastAsia="en-US"/>
        </w:rPr>
        <w:t xml:space="preserve"> </w:t>
      </w:r>
      <w:r w:rsidR="007F1CF0">
        <w:rPr>
          <w:lang w:eastAsia="en-US"/>
        </w:rPr>
        <w:t>facilitat</w:t>
      </w:r>
      <w:r w:rsidR="00A2676E">
        <w:rPr>
          <w:lang w:eastAsia="en-US"/>
        </w:rPr>
        <w:t>ing</w:t>
      </w:r>
      <w:r w:rsidR="007F1CF0">
        <w:rPr>
          <w:lang w:eastAsia="en-US"/>
        </w:rPr>
        <w:t xml:space="preserve"> </w:t>
      </w:r>
      <w:r w:rsidR="004A5B4C">
        <w:rPr>
          <w:lang w:eastAsia="en-US"/>
        </w:rPr>
        <w:t>information flows between network businesses</w:t>
      </w:r>
      <w:r w:rsidR="00E34D85">
        <w:rPr>
          <w:lang w:eastAsia="en-US"/>
        </w:rPr>
        <w:t>, retailers</w:t>
      </w:r>
      <w:r w:rsidR="004A5B4C">
        <w:rPr>
          <w:lang w:eastAsia="en-US"/>
        </w:rPr>
        <w:t xml:space="preserve"> and customers</w:t>
      </w:r>
      <w:r w:rsidR="00E34D85">
        <w:rPr>
          <w:lang w:eastAsia="en-US"/>
        </w:rPr>
        <w:t>;</w:t>
      </w:r>
      <w:r w:rsidR="007F1CF0">
        <w:rPr>
          <w:lang w:eastAsia="en-US"/>
        </w:rPr>
        <w:t xml:space="preserve"> </w:t>
      </w:r>
      <w:r w:rsidR="00E34D85">
        <w:rPr>
          <w:lang w:eastAsia="en-US"/>
        </w:rPr>
        <w:t xml:space="preserve">managing the network and its </w:t>
      </w:r>
      <w:r w:rsidR="00E34D85">
        <w:rPr>
          <w:lang w:eastAsia="en-US"/>
        </w:rPr>
        <w:lastRenderedPageBreak/>
        <w:t xml:space="preserve">costs; </w:t>
      </w:r>
      <w:r w:rsidR="007F1CF0">
        <w:rPr>
          <w:lang w:eastAsia="en-US"/>
        </w:rPr>
        <w:t>and assist</w:t>
      </w:r>
      <w:r w:rsidR="00A2676E">
        <w:rPr>
          <w:lang w:eastAsia="en-US"/>
        </w:rPr>
        <w:t>ing</w:t>
      </w:r>
      <w:r w:rsidR="007F1CF0">
        <w:rPr>
          <w:lang w:eastAsia="en-US"/>
        </w:rPr>
        <w:t xml:space="preserve"> the direct load control of appliances (though </w:t>
      </w:r>
      <w:r w:rsidR="00A2676E">
        <w:rPr>
          <w:lang w:eastAsia="en-US"/>
        </w:rPr>
        <w:t xml:space="preserve">they </w:t>
      </w:r>
      <w:r w:rsidR="007F1CF0">
        <w:rPr>
          <w:lang w:eastAsia="en-US"/>
        </w:rPr>
        <w:t>are not a prerequisite for this form of demand management)</w:t>
      </w:r>
      <w:r w:rsidR="004A5B4C">
        <w:rPr>
          <w:lang w:eastAsia="en-US"/>
        </w:rPr>
        <w:t xml:space="preserve">. </w:t>
      </w:r>
    </w:p>
    <w:p w:rsidR="00182721" w:rsidRDefault="004A5B4C" w:rsidP="00182721">
      <w:pPr>
        <w:pStyle w:val="BodyText"/>
      </w:pPr>
      <w:r>
        <w:t>Smart meters have been installed and operated as part of trials throughout Australia</w:t>
      </w:r>
      <w:r w:rsidR="0044216A">
        <w:t>.</w:t>
      </w:r>
      <w:r>
        <w:t xml:space="preserve"> </w:t>
      </w:r>
      <w:r w:rsidR="0044216A">
        <w:t xml:space="preserve">A rollout is </w:t>
      </w:r>
      <w:r w:rsidR="007F1CF0">
        <w:t>nearly</w:t>
      </w:r>
      <w:r>
        <w:t xml:space="preserve"> completed</w:t>
      </w:r>
      <w:r w:rsidR="004B3398">
        <w:t xml:space="preserve"> in Victoria</w:t>
      </w:r>
      <w:r w:rsidR="0044216A">
        <w:t xml:space="preserve">, but full use of </w:t>
      </w:r>
      <w:r w:rsidR="00E34D85">
        <w:t>time-based</w:t>
      </w:r>
      <w:r w:rsidR="0044216A">
        <w:t xml:space="preserve"> pricing in Victoria is still subject to a moratorium (due to elapse in 2013)</w:t>
      </w:r>
      <w:r>
        <w:t>. These experiences help to provide cost estimates for other rollouts. While smart meters have also been introduced overseas, differences in the expected use of smart meters and variations in electrical systems reduce the applicability of overseas experiences for deriving cost estimates.</w:t>
      </w:r>
    </w:p>
    <w:p w:rsidR="00182721" w:rsidRDefault="00182721" w:rsidP="00182721">
      <w:pPr>
        <w:pStyle w:val="BodyText"/>
      </w:pPr>
      <w:r>
        <w:t>In the scenarios below, any change in a metering ty</w:t>
      </w:r>
      <w:r w:rsidR="00C83815">
        <w:t xml:space="preserve">pe is from accumulation meters — </w:t>
      </w:r>
      <w:r>
        <w:t>the most prevalent form of meter in Australia</w:t>
      </w:r>
      <w:r w:rsidR="00C83815">
        <w:t xml:space="preserve"> (AEMC 2012)</w:t>
      </w:r>
      <w:r>
        <w:t xml:space="preserve"> to smart meters.</w:t>
      </w:r>
    </w:p>
    <w:p w:rsidR="007175AF" w:rsidRDefault="007175AF" w:rsidP="007175AF">
      <w:pPr>
        <w:pStyle w:val="Heading4"/>
      </w:pPr>
      <w:r>
        <w:t>Costs</w:t>
      </w:r>
    </w:p>
    <w:p w:rsidR="007175AF" w:rsidRPr="005507BF" w:rsidRDefault="007175AF" w:rsidP="007175AF">
      <w:pPr>
        <w:pStyle w:val="BodyText"/>
      </w:pPr>
      <w:r w:rsidRPr="005507BF">
        <w:t xml:space="preserve">Several </w:t>
      </w:r>
      <w:r w:rsidR="00443315">
        <w:t>factors</w:t>
      </w:r>
      <w:r w:rsidRPr="005507BF">
        <w:t xml:space="preserve"> affect the costs of smart meters, and these have contributed to </w:t>
      </w:r>
      <w:r w:rsidR="00443315">
        <w:t>un</w:t>
      </w:r>
      <w:r w:rsidRPr="005507BF">
        <w:t xml:space="preserve">certainty about the costs </w:t>
      </w:r>
      <w:r w:rsidR="00443315">
        <w:t xml:space="preserve">of </w:t>
      </w:r>
      <w:r w:rsidRPr="005507BF">
        <w:t>any rollout program.</w:t>
      </w:r>
      <w:r w:rsidR="005E56BD">
        <w:t xml:space="preserve"> </w:t>
      </w:r>
    </w:p>
    <w:p w:rsidR="007175AF" w:rsidRDefault="005E56BD" w:rsidP="007175AF">
      <w:pPr>
        <w:pStyle w:val="ListBullet"/>
      </w:pPr>
      <w:r>
        <w:t>T</w:t>
      </w:r>
      <w:r w:rsidR="007175AF">
        <w:t>he number of smart meters required at any given time is uncertain. Given the differences in peak energy use, the rollout of smart meters to small businesses may occur at a different time to households</w:t>
      </w:r>
      <w:r w:rsidR="005D10D9">
        <w:t>.</w:t>
      </w:r>
    </w:p>
    <w:p w:rsidR="007175AF" w:rsidRDefault="005E56BD" w:rsidP="007175AF">
      <w:pPr>
        <w:pStyle w:val="ListBullet"/>
      </w:pPr>
      <w:r>
        <w:t>D</w:t>
      </w:r>
      <w:r w:rsidR="007175AF">
        <w:t xml:space="preserve">ifferent smart meters are needed for premises with three-phase power, those that utilise direct load control; and those where there are two separate elements that record the flow of electricity separately. (The latter is used to calculate the feed in energy from </w:t>
      </w:r>
      <w:r>
        <w:t>photovoltaic</w:t>
      </w:r>
      <w:r w:rsidR="007175AF">
        <w:t xml:space="preserve"> units and for some forms of controlled loads, such as a single element off peak hot water system where the boost function would be a separate element.) </w:t>
      </w:r>
      <w:r w:rsidR="00CB0079">
        <w:t>S</w:t>
      </w:r>
      <w:r w:rsidR="007175AF">
        <w:t>mart meters</w:t>
      </w:r>
      <w:r w:rsidR="00F23AE0">
        <w:t xml:space="preserve"> needed for premises with three</w:t>
      </w:r>
      <w:r w:rsidR="00F23AE0">
        <w:noBreakHyphen/>
      </w:r>
      <w:r w:rsidR="007175AF">
        <w:t>phase power can be double the cost of meters used with single-phase power</w:t>
      </w:r>
      <w:r w:rsidR="005D10D9">
        <w:t>.</w:t>
      </w:r>
      <w:r w:rsidR="00257261">
        <w:rPr>
          <w:rStyle w:val="FootnoteReference"/>
        </w:rPr>
        <w:footnoteReference w:id="6"/>
      </w:r>
    </w:p>
    <w:p w:rsidR="007175AF" w:rsidRDefault="005E56BD" w:rsidP="007175AF">
      <w:pPr>
        <w:pStyle w:val="ListBullet"/>
      </w:pPr>
      <w:r>
        <w:t>T</w:t>
      </w:r>
      <w:r w:rsidR="007175AF">
        <w:t>here has been limited information on the cost of installing smart meters and the software and backend systems required to use them effectively. Cost blowouts in IT in ma</w:t>
      </w:r>
      <w:r w:rsidR="00682A14">
        <w:t>ny areas of business are common</w:t>
      </w:r>
      <w:r w:rsidR="005D10D9">
        <w:t>.</w:t>
      </w:r>
    </w:p>
    <w:p w:rsidR="00682A14" w:rsidRDefault="005E56BD" w:rsidP="007175AF">
      <w:pPr>
        <w:pStyle w:val="ListBullet"/>
      </w:pPr>
      <w:r>
        <w:t>G</w:t>
      </w:r>
      <w:r w:rsidR="00682A14">
        <w:t>radual rollouts of smart meters mean that a distribut</w:t>
      </w:r>
      <w:r>
        <w:t>ion business</w:t>
      </w:r>
      <w:r w:rsidR="00682A14">
        <w:t xml:space="preserve"> would have to maintain two systems — one for standard accumulation meters (involving manual meter reading for example), and one for smart meters (for example, IT systems, and information provision to retailers). This is one of the reasons why </w:t>
      </w:r>
      <w:r w:rsidR="00682A14">
        <w:lastRenderedPageBreak/>
        <w:t>the implementation process can affect the costs and benefits of smart meter rollouts</w:t>
      </w:r>
      <w:r w:rsidR="002B1FBB">
        <w:t>.</w:t>
      </w:r>
    </w:p>
    <w:p w:rsidR="005E56BD" w:rsidRDefault="005E56BD" w:rsidP="005E56BD">
      <w:pPr>
        <w:pStyle w:val="BodyText"/>
      </w:pPr>
      <w:r>
        <w:t>Drawing on the Victorian evidence, the main cost of meters is their upfront purchase and installation (box 1.2 and table 1.2). However, with economies of scale and purchasing (Deloitte 2012, p. 27), technological change, and a common specification that was consistent with internationally recognised standards, costs could fall significantly.</w:t>
      </w:r>
    </w:p>
    <w:p w:rsidR="005D10D9" w:rsidRDefault="005D10D9" w:rsidP="005D10D9">
      <w:pPr>
        <w:pStyle w:val="BoxSpaceAbove"/>
      </w:pPr>
    </w:p>
    <w:tbl>
      <w:tblPr>
        <w:tblW w:w="0" w:type="auto"/>
        <w:tblInd w:w="142"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93"/>
      </w:tblGrid>
      <w:tr w:rsidR="005D10D9" w:rsidTr="008A30F1">
        <w:tc>
          <w:tcPr>
            <w:tcW w:w="8793" w:type="dxa"/>
            <w:tcBorders>
              <w:top w:val="single" w:sz="6" w:space="0" w:color="auto"/>
              <w:bottom w:val="nil"/>
            </w:tcBorders>
          </w:tcPr>
          <w:p w:rsidR="005D10D9" w:rsidRDefault="005D10D9" w:rsidP="008A30F1">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Pr>
                <w:b w:val="0"/>
              </w:rPr>
              <w:t>1.</w:t>
            </w:r>
            <w:r>
              <w:rPr>
                <w:b w:val="0"/>
              </w:rPr>
              <w:fldChar w:fldCharType="end"/>
            </w:r>
            <w:r>
              <w:rPr>
                <w:b w:val="0"/>
              </w:rPr>
              <w:fldChar w:fldCharType="begin"/>
            </w:r>
            <w:r>
              <w:rPr>
                <w:b w:val="0"/>
              </w:rPr>
              <w:instrText xml:space="preserve"> SEQ Box \* ARABIC </w:instrText>
            </w:r>
            <w:r>
              <w:rPr>
                <w:b w:val="0"/>
              </w:rPr>
              <w:fldChar w:fldCharType="separate"/>
            </w:r>
            <w:r w:rsidR="00A71173">
              <w:rPr>
                <w:b w:val="0"/>
                <w:noProof/>
              </w:rPr>
              <w:t>2</w:t>
            </w:r>
            <w:r>
              <w:rPr>
                <w:b w:val="0"/>
              </w:rPr>
              <w:fldChar w:fldCharType="end"/>
            </w:r>
            <w:r>
              <w:tab/>
            </w:r>
            <w:r w:rsidRPr="00EE66A9">
              <w:rPr>
                <w:bCs/>
              </w:rPr>
              <w:t>Recent estimates of smart meter costs from Victoria</w:t>
            </w:r>
          </w:p>
        </w:tc>
      </w:tr>
      <w:tr w:rsidR="005D10D9" w:rsidTr="008A30F1">
        <w:trPr>
          <w:cantSplit/>
        </w:trPr>
        <w:tc>
          <w:tcPr>
            <w:tcW w:w="8793" w:type="dxa"/>
            <w:tcBorders>
              <w:top w:val="nil"/>
              <w:left w:val="single" w:sz="6" w:space="0" w:color="auto"/>
              <w:bottom w:val="nil"/>
              <w:right w:val="single" w:sz="6" w:space="0" w:color="auto"/>
            </w:tcBorders>
          </w:tcPr>
          <w:p w:rsidR="005D10D9" w:rsidRDefault="005D10D9" w:rsidP="008A30F1">
            <w:pPr>
              <w:pStyle w:val="Box"/>
            </w:pPr>
            <w:r>
              <w:t>F</w:t>
            </w:r>
            <w:r w:rsidRPr="00EE66A9">
              <w:t>inal determinations released by the Australian Energy Regulator (</w:t>
            </w:r>
            <w:proofErr w:type="spellStart"/>
            <w:r w:rsidRPr="00EE66A9">
              <w:t>AER</w:t>
            </w:r>
            <w:proofErr w:type="spellEnd"/>
            <w:r>
              <w:t xml:space="preserve"> 2011, p. 16</w:t>
            </w:r>
            <w:r w:rsidRPr="00EE66A9">
              <w:t xml:space="preserve">) </w:t>
            </w:r>
            <w:r>
              <w:t>and cost estimates from Deloitte (</w:t>
            </w:r>
            <w:proofErr w:type="spellStart"/>
            <w:r>
              <w:t>2011a</w:t>
            </w:r>
            <w:proofErr w:type="spellEnd"/>
            <w:r>
              <w:t xml:space="preserve">, p. 7) </w:t>
            </w:r>
            <w:r w:rsidRPr="00EE66A9">
              <w:t xml:space="preserve">suggest that the gross costs of the AMI rollout </w:t>
            </w:r>
            <w:r>
              <w:t>in Victoria would be around $2.2</w:t>
            </w:r>
            <w:r>
              <w:noBreakHyphen/>
              <w:t>$2.3 billion</w:t>
            </w:r>
            <w:r w:rsidRPr="00EE66A9">
              <w:t xml:space="preserve"> to supply around </w:t>
            </w:r>
            <w:r>
              <w:t>2.9 million meters to around 2.7 million ‘small customer’ supply points by 2015</w:t>
            </w:r>
            <w:r w:rsidRPr="00EE66A9">
              <w:t xml:space="preserve">. </w:t>
            </w:r>
            <w:r>
              <w:t>This implies</w:t>
            </w:r>
            <w:r w:rsidRPr="00EE66A9">
              <w:t xml:space="preserve"> that networks will spend </w:t>
            </w:r>
            <w:r>
              <w:t>around</w:t>
            </w:r>
            <w:r w:rsidRPr="00EE66A9">
              <w:t xml:space="preserve"> $800 for each meter that </w:t>
            </w:r>
            <w:r>
              <w:t>they eventually roll</w:t>
            </w:r>
            <w:r w:rsidRPr="00EE66A9">
              <w:t xml:space="preserve"> out. </w:t>
            </w:r>
            <w:r>
              <w:t>Yet early estimates were for the gross costs to be around half of this. For example, NERA estimated that aggregate gross meter costs (including all backend systems) as between $270 and $434 per meter</w:t>
            </w:r>
            <w:r w:rsidR="00AA1523">
              <w:t xml:space="preserve"> under a distributor-led rollout (</w:t>
            </w:r>
            <w:proofErr w:type="spellStart"/>
            <w:r w:rsidR="00AA1523">
              <w:t>NERA</w:t>
            </w:r>
            <w:proofErr w:type="spellEnd"/>
            <w:r w:rsidR="00AA1523">
              <w:t xml:space="preserve"> </w:t>
            </w:r>
            <w:proofErr w:type="spellStart"/>
            <w:r w:rsidR="00AA1523">
              <w:t>2008a</w:t>
            </w:r>
            <w:proofErr w:type="spellEnd"/>
            <w:r w:rsidR="00AA1523">
              <w:t>, p. 145)</w:t>
            </w:r>
            <w:r>
              <w:t>. In part, the difference may be explained by:</w:t>
            </w:r>
          </w:p>
          <w:p w:rsidR="005D10D9" w:rsidRDefault="005D10D9" w:rsidP="008A30F1">
            <w:pPr>
              <w:pStyle w:val="BoxListBullet"/>
            </w:pPr>
            <w:r>
              <w:t>the change in technical standards proposed initially for the smart meters and the later decision to choose more advanced metering infrastructure</w:t>
            </w:r>
          </w:p>
          <w:p w:rsidR="005D10D9" w:rsidRDefault="005D10D9" w:rsidP="008A30F1">
            <w:pPr>
              <w:pStyle w:val="BoxListBullet"/>
            </w:pPr>
            <w:r>
              <w:t xml:space="preserve">the potential effects of inflation more generally. </w:t>
            </w:r>
          </w:p>
          <w:p w:rsidR="005D10D9" w:rsidRPr="00EE66A9" w:rsidRDefault="005D10D9" w:rsidP="008A30F1">
            <w:pPr>
              <w:pStyle w:val="Box"/>
            </w:pPr>
            <w:r>
              <w:t>However, with the prospect of technology change, the general decline in the costs of electronic equipment, and the potential to use a lower standard of functionality than actually selected in the Victorian AMI rollout, a lower bound cost of $270 for the total system costs per meter may still be reasonable.</w:t>
            </w:r>
          </w:p>
          <w:p w:rsidR="005D10D9" w:rsidRDefault="005D10D9" w:rsidP="008A30F1">
            <w:pPr>
              <w:pStyle w:val="Box"/>
            </w:pPr>
            <w:r w:rsidRPr="00EE66A9">
              <w:t xml:space="preserve">The figures </w:t>
            </w:r>
            <w:r>
              <w:t xml:space="preserve">above </w:t>
            </w:r>
            <w:r w:rsidRPr="00EE66A9">
              <w:t xml:space="preserve">include the costs of communication infrastructure and data management. </w:t>
            </w:r>
            <w:r>
              <w:t>T</w:t>
            </w:r>
            <w:r w:rsidRPr="00EE66A9">
              <w:t xml:space="preserve">he </w:t>
            </w:r>
            <w:r>
              <w:t xml:space="preserve">actual </w:t>
            </w:r>
            <w:r w:rsidRPr="00EE66A9">
              <w:t xml:space="preserve">purchase price of smart meters accounted for about 45 per cent of the </w:t>
            </w:r>
            <w:r>
              <w:t xml:space="preserve">Victorian rollout </w:t>
            </w:r>
            <w:r w:rsidRPr="00EE66A9">
              <w:t>cost (table </w:t>
            </w:r>
            <w:r>
              <w:t>1.2</w:t>
            </w:r>
            <w:r w:rsidRPr="00EE66A9">
              <w:t xml:space="preserve">). </w:t>
            </w:r>
          </w:p>
        </w:tc>
      </w:tr>
      <w:tr w:rsidR="005D10D9" w:rsidTr="008A30F1">
        <w:trPr>
          <w:cantSplit/>
        </w:trPr>
        <w:tc>
          <w:tcPr>
            <w:tcW w:w="8793" w:type="dxa"/>
            <w:tcBorders>
              <w:top w:val="nil"/>
              <w:left w:val="single" w:sz="6" w:space="0" w:color="auto"/>
              <w:bottom w:val="single" w:sz="6" w:space="0" w:color="auto"/>
              <w:right w:val="single" w:sz="6" w:space="0" w:color="auto"/>
            </w:tcBorders>
          </w:tcPr>
          <w:p w:rsidR="005D10D9" w:rsidRDefault="005D10D9" w:rsidP="008A30F1">
            <w:pPr>
              <w:pStyle w:val="Box"/>
              <w:spacing w:before="0" w:line="120" w:lineRule="exact"/>
            </w:pPr>
          </w:p>
        </w:tc>
      </w:tr>
      <w:tr w:rsidR="005D10D9" w:rsidRPr="000863A5" w:rsidTr="008A30F1">
        <w:tc>
          <w:tcPr>
            <w:tcW w:w="8793" w:type="dxa"/>
            <w:tcBorders>
              <w:top w:val="nil"/>
              <w:left w:val="nil"/>
              <w:bottom w:val="nil"/>
              <w:right w:val="nil"/>
            </w:tcBorders>
          </w:tcPr>
          <w:p w:rsidR="005D10D9" w:rsidRPr="00626D32" w:rsidRDefault="005D10D9" w:rsidP="008A30F1">
            <w:pPr>
              <w:pStyle w:val="BoxSpaceBelow"/>
            </w:pPr>
          </w:p>
        </w:tc>
      </w:tr>
    </w:tbl>
    <w:p w:rsidR="005E56BD" w:rsidRDefault="005E56BD" w:rsidP="005E56BD">
      <w:pPr>
        <w:pStyle w:val="BodyText"/>
      </w:pPr>
      <w:r>
        <w:t xml:space="preserve">There are other significant additional costs associated with smart meters (table 1.2). These include the need to develop IT systems to record each consumer’s electricity consumption data in real time and linking the consumption data to billing systems and network management systems. </w:t>
      </w:r>
      <w:r w:rsidRPr="001004E9">
        <w:t xml:space="preserve">There </w:t>
      </w:r>
      <w:r>
        <w:t>are also</w:t>
      </w:r>
      <w:r w:rsidRPr="001004E9">
        <w:t xml:space="preserve"> costs in establishing effective systems to provide information to consumers </w:t>
      </w:r>
      <w:r>
        <w:t xml:space="preserve">and retailers </w:t>
      </w:r>
      <w:r w:rsidRPr="001004E9">
        <w:t>about real time electricity usage and to provide a communication system to alert households in advance about a peak pricing day</w:t>
      </w:r>
      <w:r>
        <w:t xml:space="preserve"> (where meters are used for critical peak pricing)</w:t>
      </w:r>
      <w:r w:rsidRPr="001004E9">
        <w:t>.</w:t>
      </w:r>
      <w:r>
        <w:t xml:space="preserve"> </w:t>
      </w:r>
    </w:p>
    <w:p w:rsidR="005E56BD" w:rsidRDefault="005E56BD" w:rsidP="005E56BD">
      <w:pPr>
        <w:pStyle w:val="BodyText"/>
      </w:pPr>
      <w:r>
        <w:t>Using table 1.2, the gross cost of supplying</w:t>
      </w:r>
      <w:r w:rsidR="004A37CA">
        <w:t xml:space="preserve"> and</w:t>
      </w:r>
      <w:r>
        <w:t xml:space="preserve"> installing smart meters is likely to be in the range of $270</w:t>
      </w:r>
      <w:r>
        <w:noBreakHyphen/>
        <w:t xml:space="preserve">$800 per unit depending on their functionality. The </w:t>
      </w:r>
      <w:r>
        <w:lastRenderedPageBreak/>
        <w:t>Commission has used these figures to provide the upper and lower bound estimates used in its calculations.</w:t>
      </w:r>
    </w:p>
    <w:p w:rsidR="007175AF" w:rsidRDefault="007175AF" w:rsidP="007175AF">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Table \* ARABIC </w:instrText>
      </w:r>
      <w:r>
        <w:rPr>
          <w:b w:val="0"/>
        </w:rPr>
        <w:fldChar w:fldCharType="separate"/>
      </w:r>
      <w:r w:rsidR="00A71173">
        <w:rPr>
          <w:b w:val="0"/>
          <w:noProof/>
        </w:rPr>
        <w:t>2</w:t>
      </w:r>
      <w:r>
        <w:rPr>
          <w:b w:val="0"/>
        </w:rPr>
        <w:fldChar w:fldCharType="end"/>
      </w:r>
      <w:r>
        <w:tab/>
      </w:r>
      <w:r w:rsidRPr="003016DF">
        <w:t>Key components of an advanced metering rollout</w:t>
      </w:r>
    </w:p>
    <w:p w:rsidR="007175AF" w:rsidRDefault="007175AF" w:rsidP="007175AF">
      <w:pPr>
        <w:pStyle w:val="Subtitle"/>
      </w:pPr>
      <w:r w:rsidRPr="003016DF">
        <w:t>Victorian AMI rollout</w:t>
      </w:r>
    </w:p>
    <w:tbl>
      <w:tblPr>
        <w:tblW w:w="5000" w:type="pct"/>
        <w:tblCellMar>
          <w:left w:w="0" w:type="dxa"/>
          <w:right w:w="0" w:type="dxa"/>
        </w:tblCellMar>
        <w:tblLook w:val="0000" w:firstRow="0" w:lastRow="0" w:firstColumn="0" w:lastColumn="0" w:noHBand="0" w:noVBand="0"/>
      </w:tblPr>
      <w:tblGrid>
        <w:gridCol w:w="3638"/>
        <w:gridCol w:w="1890"/>
        <w:gridCol w:w="3261"/>
      </w:tblGrid>
      <w:tr w:rsidR="00E5049F" w:rsidTr="00E5049F">
        <w:tc>
          <w:tcPr>
            <w:tcW w:w="2070" w:type="pct"/>
            <w:tcBorders>
              <w:top w:val="single" w:sz="6" w:space="0" w:color="auto"/>
              <w:bottom w:val="single" w:sz="6" w:space="0" w:color="auto"/>
            </w:tcBorders>
            <w:shd w:val="clear" w:color="auto" w:fill="auto"/>
          </w:tcPr>
          <w:p w:rsidR="00E5049F" w:rsidRDefault="00E5049F" w:rsidP="007175AF">
            <w:pPr>
              <w:pStyle w:val="TableColumnHeading"/>
              <w:jc w:val="left"/>
            </w:pPr>
            <w:r>
              <w:t>Cost item</w:t>
            </w:r>
          </w:p>
        </w:tc>
        <w:tc>
          <w:tcPr>
            <w:tcW w:w="1075" w:type="pct"/>
            <w:tcBorders>
              <w:top w:val="single" w:sz="6" w:space="0" w:color="auto"/>
              <w:bottom w:val="single" w:sz="6" w:space="0" w:color="auto"/>
            </w:tcBorders>
          </w:tcPr>
          <w:p w:rsidR="00E5049F" w:rsidRDefault="00E5049F" w:rsidP="007175AF">
            <w:pPr>
              <w:pStyle w:val="TableColumnHeading"/>
              <w:ind w:right="28"/>
            </w:pPr>
          </w:p>
        </w:tc>
        <w:tc>
          <w:tcPr>
            <w:tcW w:w="1855" w:type="pct"/>
            <w:tcBorders>
              <w:top w:val="single" w:sz="6" w:space="0" w:color="auto"/>
              <w:bottom w:val="single" w:sz="6" w:space="0" w:color="auto"/>
            </w:tcBorders>
            <w:shd w:val="clear" w:color="auto" w:fill="auto"/>
          </w:tcPr>
          <w:p w:rsidR="00E5049F" w:rsidRDefault="00E5049F" w:rsidP="007175AF">
            <w:pPr>
              <w:pStyle w:val="TableColumnHeading"/>
              <w:ind w:right="28"/>
            </w:pPr>
            <w:r>
              <w:t>Cost estimate</w:t>
            </w:r>
          </w:p>
        </w:tc>
      </w:tr>
      <w:tr w:rsidR="00E5049F" w:rsidTr="00E5049F">
        <w:tc>
          <w:tcPr>
            <w:tcW w:w="2070" w:type="pct"/>
          </w:tcPr>
          <w:p w:rsidR="00E5049F" w:rsidRDefault="00E5049F" w:rsidP="007175AF">
            <w:pPr>
              <w:pStyle w:val="TableBodyText"/>
              <w:jc w:val="left"/>
            </w:pPr>
            <w:r w:rsidRPr="00EE66A9">
              <w:t>‘Smart’ electricity meters and communication modules for each property</w:t>
            </w:r>
          </w:p>
        </w:tc>
        <w:tc>
          <w:tcPr>
            <w:tcW w:w="1075" w:type="pct"/>
          </w:tcPr>
          <w:p w:rsidR="00E5049F" w:rsidRPr="00020C92" w:rsidRDefault="00E5049F" w:rsidP="004136CB">
            <w:pPr>
              <w:pStyle w:val="TableBodyText"/>
            </w:pPr>
          </w:p>
        </w:tc>
        <w:tc>
          <w:tcPr>
            <w:tcW w:w="1855" w:type="pct"/>
          </w:tcPr>
          <w:p w:rsidR="00E5049F" w:rsidRPr="00020C92" w:rsidRDefault="00E5049F" w:rsidP="004136CB">
            <w:pPr>
              <w:pStyle w:val="TableBodyText"/>
            </w:pPr>
            <w:r w:rsidRPr="00020C92">
              <w:t>Purchase – 45 per cent</w:t>
            </w:r>
            <w:r>
              <w:br/>
              <w:t>Installation – 10 per cent</w:t>
            </w:r>
          </w:p>
        </w:tc>
      </w:tr>
      <w:tr w:rsidR="00E5049F" w:rsidTr="003E252E">
        <w:tc>
          <w:tcPr>
            <w:tcW w:w="2070" w:type="pct"/>
          </w:tcPr>
          <w:p w:rsidR="00E5049F" w:rsidRPr="00D54B27" w:rsidRDefault="00E5049F" w:rsidP="007175AF">
            <w:pPr>
              <w:pStyle w:val="TableBodyText"/>
              <w:jc w:val="left"/>
            </w:pPr>
            <w:r w:rsidRPr="00D54B27">
              <w:t>Communications infrastructure to transmit messages to and from the meters</w:t>
            </w:r>
          </w:p>
        </w:tc>
        <w:tc>
          <w:tcPr>
            <w:tcW w:w="1075" w:type="pct"/>
          </w:tcPr>
          <w:p w:rsidR="00E5049F" w:rsidRPr="00020C92" w:rsidRDefault="00E5049F" w:rsidP="007175AF">
            <w:pPr>
              <w:pStyle w:val="TableBodyText"/>
            </w:pPr>
          </w:p>
        </w:tc>
        <w:tc>
          <w:tcPr>
            <w:tcW w:w="1855" w:type="pct"/>
          </w:tcPr>
          <w:p w:rsidR="00E5049F" w:rsidRDefault="00E5049F" w:rsidP="007175AF">
            <w:pPr>
              <w:pStyle w:val="TableBodyText"/>
            </w:pPr>
            <w:r w:rsidRPr="00020C92">
              <w:t>7 per cent</w:t>
            </w:r>
          </w:p>
        </w:tc>
      </w:tr>
      <w:tr w:rsidR="003E252E" w:rsidTr="003E252E">
        <w:tc>
          <w:tcPr>
            <w:tcW w:w="2070" w:type="pct"/>
            <w:tcBorders>
              <w:right w:val="single" w:sz="4" w:space="0" w:color="auto"/>
            </w:tcBorders>
          </w:tcPr>
          <w:p w:rsidR="003E252E" w:rsidRDefault="003E252E" w:rsidP="007175AF">
            <w:pPr>
              <w:pStyle w:val="TableBodyText"/>
              <w:jc w:val="left"/>
            </w:pPr>
            <w:r w:rsidRPr="00D54B27">
              <w:t>‘Backend’ IT systems including:</w:t>
            </w:r>
          </w:p>
        </w:tc>
        <w:tc>
          <w:tcPr>
            <w:tcW w:w="1075" w:type="pct"/>
            <w:vMerge w:val="restart"/>
          </w:tcPr>
          <w:p w:rsidR="003E252E" w:rsidRPr="00E5049F" w:rsidRDefault="003E252E" w:rsidP="007175AF">
            <w:pPr>
              <w:pStyle w:val="TableBodyText"/>
              <w:rPr>
                <w:rFonts w:ascii="Cambria Math" w:hAnsi="Cambria Math"/>
                <w:oMath/>
              </w:rPr>
            </w:pPr>
            <w:r>
              <w:rPr>
                <w:noProof/>
              </w:rPr>
              <mc:AlternateContent>
                <mc:Choice Requires="wpc">
                  <w:drawing>
                    <wp:inline distT="0" distB="0" distL="0" distR="0" wp14:anchorId="488984C0" wp14:editId="5EB69E27">
                      <wp:extent cx="620973" cy="928049"/>
                      <wp:effectExtent l="0" t="0" r="27305" b="571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ight Brace 5"/>
                              <wps:cNvSpPr/>
                              <wps:spPr>
                                <a:xfrm>
                                  <a:off x="90122" y="1"/>
                                  <a:ext cx="530940" cy="887104"/>
                                </a:xfrm>
                                <a:prstGeom prst="rightBrace">
                                  <a:avLst>
                                    <a:gd name="adj1" fmla="val 27604"/>
                                    <a:gd name="adj2" fmla="val 50470"/>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4" o:spid="_x0000_s1026" editas="canvas" style="width:48.9pt;height:73.05pt;mso-position-horizontal-relative:char;mso-position-vertical-relative:line" coordsize="6203,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">
                      <v:shape id="_x0000_s1027" type="#_x0000_t75" style="position:absolute;width:6203;height:9277;visibility:visible;mso-wrap-style:square">
                        <v:fill o:detectmouseclick="t"/>
                        <v:path o:connecttype="none"/>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8" type="#_x0000_t88" style="position:absolute;left:901;width:5309;height:8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RFMMA&#10;AADaAAAADwAAAGRycy9kb3ducmV2LnhtbESPQWvCQBSE74X+h+UJvekmQm2NbkKRtrZ40ur9kX1m&#10;g9m3MbvV5N+7BaHHYWa+YZZFbxtxoc7XjhWkkwQEcel0zZWC/c/H+BWED8gaG8ekYCAPRf74sMRM&#10;uytv6bILlYgQ9hkqMCG0mZS+NGTRT1xLHL2j6yyGKLtK6g6vEW4bOU2SmbRYc1ww2NLKUHna/VoF&#10;Mz18n18GPmxqM/1M5+lhXb03Sj2N+rcFiEB9+A/f219awTP8XYk3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YRFMMAAADaAAAADwAAAAAAAAAAAAAAAACYAgAAZHJzL2Rv&#10;d25yZXYueG1sUEsFBgAAAAAEAAQA9QAAAIgDAAAAAA==&#10;" adj="3569,10902" strokecolor="black [3213]" strokeweight="1.25pt"/>
                      <w10:anchorlock/>
                    </v:group>
                  </w:pict>
                </mc:Fallback>
              </mc:AlternateContent>
            </w:r>
          </w:p>
        </w:tc>
        <w:tc>
          <w:tcPr>
            <w:tcW w:w="1855" w:type="pct"/>
          </w:tcPr>
          <w:p w:rsidR="003E252E" w:rsidRDefault="003E252E" w:rsidP="007175AF">
            <w:pPr>
              <w:pStyle w:val="TableBodyText"/>
            </w:pPr>
          </w:p>
        </w:tc>
      </w:tr>
      <w:tr w:rsidR="003E252E" w:rsidTr="003E252E">
        <w:tc>
          <w:tcPr>
            <w:tcW w:w="2070" w:type="pct"/>
            <w:tcBorders>
              <w:right w:val="single" w:sz="4" w:space="0" w:color="auto"/>
            </w:tcBorders>
          </w:tcPr>
          <w:p w:rsidR="003E252E" w:rsidRPr="0060277C" w:rsidRDefault="003E252E" w:rsidP="007175AF">
            <w:pPr>
              <w:pStyle w:val="TableBodyText"/>
              <w:ind w:left="284"/>
              <w:jc w:val="left"/>
            </w:pPr>
            <w:r w:rsidRPr="0060277C">
              <w:t>network management</w:t>
            </w:r>
          </w:p>
        </w:tc>
        <w:tc>
          <w:tcPr>
            <w:tcW w:w="1075" w:type="pct"/>
            <w:vMerge/>
          </w:tcPr>
          <w:p w:rsidR="003E252E" w:rsidRDefault="003E252E" w:rsidP="007175AF">
            <w:pPr>
              <w:pStyle w:val="TableBodyText"/>
            </w:pPr>
          </w:p>
        </w:tc>
        <w:tc>
          <w:tcPr>
            <w:tcW w:w="1855" w:type="pct"/>
          </w:tcPr>
          <w:p w:rsidR="003E252E" w:rsidRDefault="003E252E" w:rsidP="007175AF">
            <w:pPr>
              <w:pStyle w:val="TableBodyText"/>
            </w:pPr>
          </w:p>
        </w:tc>
      </w:tr>
      <w:tr w:rsidR="003E252E" w:rsidTr="003E252E">
        <w:tc>
          <w:tcPr>
            <w:tcW w:w="2070" w:type="pct"/>
            <w:tcBorders>
              <w:right w:val="single" w:sz="4" w:space="0" w:color="auto"/>
            </w:tcBorders>
          </w:tcPr>
          <w:p w:rsidR="003E252E" w:rsidRPr="0060277C" w:rsidRDefault="003E252E" w:rsidP="007175AF">
            <w:pPr>
              <w:pStyle w:val="TableBodyText"/>
              <w:ind w:left="284"/>
              <w:jc w:val="left"/>
            </w:pPr>
            <w:r w:rsidRPr="0060277C">
              <w:t>communication protocols</w:t>
            </w:r>
          </w:p>
        </w:tc>
        <w:tc>
          <w:tcPr>
            <w:tcW w:w="1075" w:type="pct"/>
            <w:vMerge/>
          </w:tcPr>
          <w:p w:rsidR="003E252E" w:rsidRDefault="003E252E" w:rsidP="007175AF">
            <w:pPr>
              <w:pStyle w:val="TableBodyText"/>
            </w:pPr>
          </w:p>
        </w:tc>
        <w:tc>
          <w:tcPr>
            <w:tcW w:w="1855" w:type="pct"/>
          </w:tcPr>
          <w:p w:rsidR="003E252E" w:rsidRDefault="003E252E" w:rsidP="007175AF">
            <w:pPr>
              <w:pStyle w:val="TableBodyText"/>
            </w:pPr>
            <w:r>
              <w:t>25 per cent</w:t>
            </w:r>
          </w:p>
        </w:tc>
      </w:tr>
      <w:tr w:rsidR="003E252E" w:rsidTr="003E252E">
        <w:tc>
          <w:tcPr>
            <w:tcW w:w="2070" w:type="pct"/>
            <w:tcBorders>
              <w:right w:val="single" w:sz="4" w:space="0" w:color="auto"/>
            </w:tcBorders>
          </w:tcPr>
          <w:p w:rsidR="003E252E" w:rsidRPr="0060277C" w:rsidRDefault="003E252E" w:rsidP="007175AF">
            <w:pPr>
              <w:pStyle w:val="TableBodyText"/>
              <w:ind w:left="284"/>
              <w:jc w:val="left"/>
            </w:pPr>
            <w:r w:rsidRPr="0060277C">
              <w:t>data storage and management</w:t>
            </w:r>
          </w:p>
        </w:tc>
        <w:tc>
          <w:tcPr>
            <w:tcW w:w="1075" w:type="pct"/>
            <w:vMerge/>
          </w:tcPr>
          <w:p w:rsidR="003E252E" w:rsidRDefault="003E252E" w:rsidP="007175AF">
            <w:pPr>
              <w:pStyle w:val="TableBodyText"/>
            </w:pPr>
          </w:p>
        </w:tc>
        <w:tc>
          <w:tcPr>
            <w:tcW w:w="1855" w:type="pct"/>
          </w:tcPr>
          <w:p w:rsidR="003E252E" w:rsidRDefault="003E252E" w:rsidP="007175AF">
            <w:pPr>
              <w:pStyle w:val="TableBodyText"/>
            </w:pPr>
          </w:p>
        </w:tc>
      </w:tr>
      <w:tr w:rsidR="003E252E" w:rsidTr="003E252E">
        <w:tc>
          <w:tcPr>
            <w:tcW w:w="2070" w:type="pct"/>
            <w:tcBorders>
              <w:right w:val="single" w:sz="4" w:space="0" w:color="auto"/>
            </w:tcBorders>
          </w:tcPr>
          <w:p w:rsidR="003E252E" w:rsidRPr="0060277C" w:rsidRDefault="003E252E" w:rsidP="007175AF">
            <w:pPr>
              <w:pStyle w:val="TableBodyText"/>
              <w:ind w:left="284"/>
              <w:jc w:val="left"/>
            </w:pPr>
            <w:r w:rsidRPr="0060277C">
              <w:t>utilising the information for network management</w:t>
            </w:r>
          </w:p>
        </w:tc>
        <w:tc>
          <w:tcPr>
            <w:tcW w:w="1075" w:type="pct"/>
            <w:vMerge/>
          </w:tcPr>
          <w:p w:rsidR="003E252E" w:rsidRDefault="003E252E" w:rsidP="007175AF">
            <w:pPr>
              <w:pStyle w:val="TableBodyText"/>
            </w:pPr>
          </w:p>
        </w:tc>
        <w:tc>
          <w:tcPr>
            <w:tcW w:w="1855" w:type="pct"/>
          </w:tcPr>
          <w:p w:rsidR="003E252E" w:rsidRDefault="003E252E" w:rsidP="007175AF">
            <w:pPr>
              <w:pStyle w:val="TableBodyText"/>
            </w:pPr>
          </w:p>
        </w:tc>
      </w:tr>
      <w:tr w:rsidR="00E5049F" w:rsidTr="00E5049F">
        <w:tc>
          <w:tcPr>
            <w:tcW w:w="2070" w:type="pct"/>
            <w:tcBorders>
              <w:bottom w:val="single" w:sz="4" w:space="0" w:color="auto"/>
            </w:tcBorders>
          </w:tcPr>
          <w:p w:rsidR="00E5049F" w:rsidRDefault="00E5049F" w:rsidP="007175AF">
            <w:pPr>
              <w:pStyle w:val="TableBodyText"/>
              <w:jc w:val="left"/>
            </w:pPr>
            <w:r w:rsidRPr="0060277C">
              <w:t>Project management of the initial transition</w:t>
            </w:r>
          </w:p>
        </w:tc>
        <w:tc>
          <w:tcPr>
            <w:tcW w:w="1075" w:type="pct"/>
            <w:tcBorders>
              <w:bottom w:val="single" w:sz="4" w:space="0" w:color="auto"/>
            </w:tcBorders>
          </w:tcPr>
          <w:p w:rsidR="00E5049F" w:rsidRDefault="00E5049F" w:rsidP="007175AF">
            <w:pPr>
              <w:pStyle w:val="TableBodyText"/>
            </w:pPr>
          </w:p>
        </w:tc>
        <w:tc>
          <w:tcPr>
            <w:tcW w:w="1855" w:type="pct"/>
            <w:tcBorders>
              <w:bottom w:val="single" w:sz="4" w:space="0" w:color="auto"/>
            </w:tcBorders>
          </w:tcPr>
          <w:p w:rsidR="00E5049F" w:rsidRDefault="00E5049F" w:rsidP="007529CE">
            <w:pPr>
              <w:pStyle w:val="TableBodyText"/>
            </w:pPr>
            <w:r>
              <w:t>10 per cent</w:t>
            </w:r>
          </w:p>
        </w:tc>
      </w:tr>
    </w:tbl>
    <w:p w:rsidR="007175AF" w:rsidRPr="003016DF" w:rsidRDefault="007175AF" w:rsidP="007175AF">
      <w:pPr>
        <w:pStyle w:val="Source"/>
      </w:pPr>
      <w:r>
        <w:rPr>
          <w:i/>
        </w:rPr>
        <w:t>Source</w:t>
      </w:r>
      <w:r w:rsidR="00DB5305">
        <w:rPr>
          <w:i/>
        </w:rPr>
        <w:t>s</w:t>
      </w:r>
      <w:r>
        <w:rPr>
          <w:i/>
        </w:rPr>
        <w:t xml:space="preserve">: </w:t>
      </w:r>
      <w:proofErr w:type="spellStart"/>
      <w:r w:rsidRPr="003016DF">
        <w:t>AER</w:t>
      </w:r>
      <w:proofErr w:type="spellEnd"/>
      <w:r w:rsidRPr="003016DF">
        <w:t xml:space="preserve"> approved determination </w:t>
      </w:r>
      <w:proofErr w:type="spellStart"/>
      <w:r w:rsidRPr="003016DF">
        <w:t>spreadsheets</w:t>
      </w:r>
      <w:proofErr w:type="spellEnd"/>
      <w:r w:rsidR="004136CB">
        <w:t xml:space="preserve"> and in</w:t>
      </w:r>
      <w:r w:rsidR="001D601B">
        <w:t xml:space="preserve">formation from various studies, </w:t>
      </w:r>
      <w:r w:rsidR="004136CB">
        <w:t xml:space="preserve">particularly Deloitte </w:t>
      </w:r>
      <w:r w:rsidR="001D601B">
        <w:t>(</w:t>
      </w:r>
      <w:proofErr w:type="spellStart"/>
      <w:r w:rsidR="004136CB">
        <w:t>2011a</w:t>
      </w:r>
      <w:proofErr w:type="spellEnd"/>
      <w:r w:rsidR="001D601B">
        <w:t>)</w:t>
      </w:r>
      <w:r w:rsidR="003A7A8B">
        <w:t xml:space="preserve"> and Oakley Greenwood </w:t>
      </w:r>
      <w:r w:rsidR="001D601B">
        <w:t>(</w:t>
      </w:r>
      <w:proofErr w:type="spellStart"/>
      <w:r w:rsidR="003A7A8B">
        <w:t>2010</w:t>
      </w:r>
      <w:r w:rsidR="00C178AE">
        <w:t>a,b</w:t>
      </w:r>
      <w:proofErr w:type="spellEnd"/>
      <w:r w:rsidR="001D601B">
        <w:t>)</w:t>
      </w:r>
      <w:r w:rsidR="003A7A8B">
        <w:t xml:space="preserve">, which itself drew on work by </w:t>
      </w:r>
      <w:proofErr w:type="spellStart"/>
      <w:r w:rsidR="003A7A8B">
        <w:t>Futura</w:t>
      </w:r>
      <w:proofErr w:type="spellEnd"/>
      <w:r w:rsidR="001D601B">
        <w:t xml:space="preserve"> (2009</w:t>
      </w:r>
      <w:r w:rsidR="004136CB">
        <w:t>)</w:t>
      </w:r>
      <w:r w:rsidRPr="003016DF">
        <w:t>.</w:t>
      </w:r>
      <w:r w:rsidR="00E34D85">
        <w:t xml:space="preserve"> The cost shares in the United Kingdom’s rollout are similar in at least some components (</w:t>
      </w:r>
      <w:proofErr w:type="spellStart"/>
      <w:r w:rsidR="00E34D85">
        <w:t>Hierzinger</w:t>
      </w:r>
      <w:proofErr w:type="spellEnd"/>
      <w:r w:rsidR="00E34D85">
        <w:t xml:space="preserve"> </w:t>
      </w:r>
      <w:r w:rsidR="00203C13">
        <w:t xml:space="preserve">et al. </w:t>
      </w:r>
      <w:r w:rsidR="00E34D85">
        <w:t xml:space="preserve">2012, p. 88). The cost shares in the </w:t>
      </w:r>
      <w:r w:rsidR="001D601B">
        <w:t>United Kingdom</w:t>
      </w:r>
      <w:r w:rsidR="00E34D85">
        <w:t xml:space="preserve"> are 55 per cent for metering and installation, 23 per cent for communication technologies (which may encompass some costs that are categorised as IT costs in the Victorian rollout), 10 per cent IT costs and 10 per cent for other costs, such as industry set up costs and marketing. This provides some triangulation of the Victorian costs.</w:t>
      </w:r>
    </w:p>
    <w:p w:rsidR="005D10D9" w:rsidRDefault="005D10D9" w:rsidP="005D10D9">
      <w:pPr>
        <w:pStyle w:val="BodyText"/>
      </w:pPr>
      <w:r>
        <w:t xml:space="preserve">Information from the Victoria rollout indicates that the other costs of operating smart meters would be </w:t>
      </w:r>
      <w:r w:rsidR="00A7183F">
        <w:t xml:space="preserve">around </w:t>
      </w:r>
      <w:r>
        <w:t>$2</w:t>
      </w:r>
      <w:r w:rsidR="004A37CA">
        <w:t>5</w:t>
      </w:r>
      <w:r>
        <w:t> a year per meter. The Commission has assumed that annual costs associated with smart meters would be in the order of $20–30 a year per meter, although there is a risk that costs could be higher.</w:t>
      </w:r>
    </w:p>
    <w:p w:rsidR="004A37CA" w:rsidRDefault="004A37CA" w:rsidP="005D10D9">
      <w:pPr>
        <w:pStyle w:val="BodyText"/>
      </w:pPr>
      <w:r>
        <w:t xml:space="preserve">The IT software will also require updates over time. </w:t>
      </w:r>
      <w:r w:rsidR="00A7183F">
        <w:t>Following Deloitte (</w:t>
      </w:r>
      <w:proofErr w:type="spellStart"/>
      <w:r w:rsidR="00A7183F">
        <w:t>2011a</w:t>
      </w:r>
      <w:proofErr w:type="spellEnd"/>
      <w:r w:rsidR="00A7183F">
        <w:t>, </w:t>
      </w:r>
      <w:r>
        <w:t>p. 12), the Commission has assumed that these costs</w:t>
      </w:r>
      <w:r w:rsidR="00A7183F">
        <w:t xml:space="preserve"> are </w:t>
      </w:r>
      <w:r>
        <w:t xml:space="preserve">likely to be incurred </w:t>
      </w:r>
      <w:r w:rsidR="00047E00">
        <w:t>seven</w:t>
      </w:r>
      <w:r>
        <w:t xml:space="preserve"> years </w:t>
      </w:r>
      <w:r w:rsidR="00A7183F">
        <w:t>after</w:t>
      </w:r>
      <w:r>
        <w:t xml:space="preserve"> installation and </w:t>
      </w:r>
      <w:r w:rsidR="00A7183F">
        <w:t xml:space="preserve">would </w:t>
      </w:r>
      <w:r>
        <w:t xml:space="preserve">range between $100 and $150 per meter. </w:t>
      </w:r>
    </w:p>
    <w:p w:rsidR="005D10D9" w:rsidRDefault="005D10D9" w:rsidP="005D10D9">
      <w:pPr>
        <w:pStyle w:val="Heading4"/>
      </w:pPr>
      <w:r>
        <w:t>Benefits</w:t>
      </w:r>
    </w:p>
    <w:p w:rsidR="005D10D9" w:rsidRDefault="005D10D9" w:rsidP="005D10D9">
      <w:pPr>
        <w:pStyle w:val="BodyText"/>
      </w:pPr>
      <w:r>
        <w:t>The principal benefits of smart meters arise from</w:t>
      </w:r>
      <w:r w:rsidR="00B46CE6">
        <w:t xml:space="preserve"> a mixture of demand management and other benefits, including</w:t>
      </w:r>
      <w:r>
        <w:t>:</w:t>
      </w:r>
    </w:p>
    <w:p w:rsidR="005D10D9" w:rsidRDefault="005D10D9" w:rsidP="005D10D9">
      <w:pPr>
        <w:pStyle w:val="ListBullet"/>
      </w:pPr>
      <w:r>
        <w:t>their use in curtailing investment in generation and network infrastructure</w:t>
      </w:r>
      <w:r w:rsidR="00B46CE6">
        <w:t xml:space="preserve"> (the core of demand management)</w:t>
      </w:r>
    </w:p>
    <w:p w:rsidR="00B46CE6" w:rsidRDefault="00B46CE6" w:rsidP="00B46CE6">
      <w:pPr>
        <w:pStyle w:val="ListBullet"/>
      </w:pPr>
      <w:r>
        <w:lastRenderedPageBreak/>
        <w:t xml:space="preserve">ensuring that, if consumers value continuing to use power at critical peak times, the tariffs they pay appropriately reflect the real costs of their behaviour </w:t>
      </w:r>
    </w:p>
    <w:p w:rsidR="00B46CE6" w:rsidRDefault="00B46CE6" w:rsidP="00B46CE6">
      <w:pPr>
        <w:pStyle w:val="ListBullet"/>
      </w:pPr>
      <w:r>
        <w:t>energy savings for consumers who were otherwise unaware of their usage patterns</w:t>
      </w:r>
      <w:r>
        <w:rPr>
          <w:rStyle w:val="FootnoteReference"/>
        </w:rPr>
        <w:footnoteReference w:id="7"/>
      </w:r>
    </w:p>
    <w:p w:rsidR="00B46CE6" w:rsidRDefault="00B46CE6" w:rsidP="00B46CE6">
      <w:pPr>
        <w:pStyle w:val="ListBullet"/>
      </w:pPr>
      <w:r>
        <w:t>in the event of major unanticipated electricity system failures, it may be feasible to have less costly load shedding (for example, by switching off power to many individual premises for only short periods, rather than cutting off whole areas for long periods)</w:t>
      </w:r>
    </w:p>
    <w:p w:rsidR="00B46CE6" w:rsidRDefault="00B46CE6" w:rsidP="00B46CE6">
      <w:pPr>
        <w:pStyle w:val="ListBullet"/>
      </w:pPr>
      <w:r>
        <w:t>raising network management efficiency</w:t>
      </w:r>
    </w:p>
    <w:p w:rsidR="00B46CE6" w:rsidRDefault="00B46CE6" w:rsidP="00B46CE6">
      <w:pPr>
        <w:pStyle w:val="ListBullet"/>
      </w:pPr>
      <w:r>
        <w:t>manual meter reads should not be required for any premises with smart meters, though the size of the gains are strongly dependent on sufficient local penetration rates</w:t>
      </w:r>
    </w:p>
    <w:p w:rsidR="00B46CE6" w:rsidRDefault="00B46CE6" w:rsidP="00B46CE6">
      <w:pPr>
        <w:pStyle w:val="ListBullet"/>
      </w:pPr>
      <w:r>
        <w:t>connections, disconnections and special reads (such as when consumers dispute their bills) can be conducted remotely</w:t>
      </w:r>
    </w:p>
    <w:p w:rsidR="00B46CE6" w:rsidRDefault="00B46CE6" w:rsidP="00B46CE6">
      <w:pPr>
        <w:pStyle w:val="ListBullet"/>
      </w:pPr>
      <w:r>
        <w:t>networks can be notified about outages almost immediately without relying on public reporting, allowing them to respond more rapidly (and reducing call centre costs). A network business can distinguish between an electrical fault affecting the network and one that relates to the premises of the customer (with faults in the latter the responsibility of the customer)</w:t>
      </w:r>
    </w:p>
    <w:p w:rsidR="00B46CE6" w:rsidRDefault="00B46CE6" w:rsidP="00B46CE6">
      <w:pPr>
        <w:pStyle w:val="ListBullet"/>
      </w:pPr>
      <w:r>
        <w:t>the incremental costs of installing a smart meter are reduced to the extent that there was a need to replace old accumulation meters.</w:t>
      </w:r>
      <w:r>
        <w:rPr>
          <w:rStyle w:val="FootnoteReference"/>
        </w:rPr>
        <w:footnoteReference w:id="8"/>
      </w:r>
    </w:p>
    <w:p w:rsidR="0003717D" w:rsidRDefault="0003717D" w:rsidP="007175AF">
      <w:pPr>
        <w:pStyle w:val="BodyText"/>
      </w:pPr>
      <w:r>
        <w:t xml:space="preserve">The benefits of the demand management associated with smart meters are potentially large if their rollout successfully defers or avoids network augmentation (the cost of which is discussed below). </w:t>
      </w:r>
    </w:p>
    <w:p w:rsidR="007175AF" w:rsidRDefault="0003717D" w:rsidP="007175AF">
      <w:pPr>
        <w:pStyle w:val="BodyText"/>
      </w:pPr>
      <w:r>
        <w:t xml:space="preserve">Non-demand management benefits are also significant. </w:t>
      </w:r>
      <w:r w:rsidR="007175AF">
        <w:t xml:space="preserve">Recent Australian studies provide varying estimates of </w:t>
      </w:r>
      <w:r w:rsidR="009849BA">
        <w:t xml:space="preserve">the non-demand management </w:t>
      </w:r>
      <w:r w:rsidR="007175AF">
        <w:t>benefits from smart meters (</w:t>
      </w:r>
      <w:r w:rsidR="00DA633F">
        <w:t>Deloitte </w:t>
      </w:r>
      <w:proofErr w:type="spellStart"/>
      <w:r w:rsidR="00DA633F">
        <w:t>2011a,b</w:t>
      </w:r>
      <w:proofErr w:type="spellEnd"/>
      <w:r w:rsidR="00DA633F">
        <w:t xml:space="preserve">; </w:t>
      </w:r>
      <w:proofErr w:type="spellStart"/>
      <w:r w:rsidR="00DA633F">
        <w:t>Futura</w:t>
      </w:r>
      <w:proofErr w:type="spellEnd"/>
      <w:r w:rsidR="00DA633F">
        <w:t xml:space="preserve"> 2009; </w:t>
      </w:r>
      <w:proofErr w:type="spellStart"/>
      <w:r w:rsidR="007175AF">
        <w:t>NERA</w:t>
      </w:r>
      <w:proofErr w:type="spellEnd"/>
      <w:r w:rsidR="007175AF">
        <w:t> </w:t>
      </w:r>
      <w:proofErr w:type="spellStart"/>
      <w:r w:rsidR="007175AF">
        <w:t>2008</w:t>
      </w:r>
      <w:r w:rsidR="008B36F3">
        <w:t>a,b</w:t>
      </w:r>
      <w:proofErr w:type="spellEnd"/>
      <w:r w:rsidR="007175AF">
        <w:t>; Oakley Greenwood </w:t>
      </w:r>
      <w:proofErr w:type="spellStart"/>
      <w:r w:rsidR="007175AF">
        <w:t>2010</w:t>
      </w:r>
      <w:r w:rsidR="00F230B2">
        <w:t>a,b</w:t>
      </w:r>
      <w:proofErr w:type="spellEnd"/>
      <w:r w:rsidR="007175AF">
        <w:t>)</w:t>
      </w:r>
      <w:r w:rsidR="0008577C">
        <w:t>, though these only incorporate some of the factors above</w:t>
      </w:r>
      <w:r w:rsidR="007175AF">
        <w:t xml:space="preserve">. </w:t>
      </w:r>
      <w:r w:rsidR="008B36F3">
        <w:t>Drawing on i</w:t>
      </w:r>
      <w:r w:rsidR="007175AF">
        <w:t xml:space="preserve">nformation from the most recent analysis of Victoria suggests an average ‘other’ benefit from each meter </w:t>
      </w:r>
      <w:r w:rsidR="002D7093">
        <w:t>c</w:t>
      </w:r>
      <w:r w:rsidR="007175AF">
        <w:t>ould be in the rang</w:t>
      </w:r>
      <w:r w:rsidR="0031554E">
        <w:t xml:space="preserve">e of </w:t>
      </w:r>
      <w:r w:rsidR="009C103C">
        <w:t xml:space="preserve">around </w:t>
      </w:r>
      <w:r w:rsidR="0031554E">
        <w:t>$</w:t>
      </w:r>
      <w:r w:rsidR="009C103C">
        <w:t>45</w:t>
      </w:r>
      <w:r w:rsidR="009C103C">
        <w:noBreakHyphen/>
        <w:t>$70</w:t>
      </w:r>
      <w:r w:rsidR="0031554E">
        <w:t xml:space="preserve"> </w:t>
      </w:r>
      <w:r w:rsidR="0031554E">
        <w:lastRenderedPageBreak/>
        <w:t>each year (</w:t>
      </w:r>
      <w:r w:rsidR="003923C0">
        <w:t xml:space="preserve">based on estimates cited by </w:t>
      </w:r>
      <w:r w:rsidR="0031554E">
        <w:t>Deloitte</w:t>
      </w:r>
      <w:r w:rsidR="007175AF">
        <w:t xml:space="preserve"> </w:t>
      </w:r>
      <w:proofErr w:type="spellStart"/>
      <w:r w:rsidR="007175AF">
        <w:t>2011</w:t>
      </w:r>
      <w:r w:rsidR="008B36F3">
        <w:t>a</w:t>
      </w:r>
      <w:proofErr w:type="spellEnd"/>
      <w:r w:rsidR="003923C0">
        <w:t xml:space="preserve"> for Victoria and a national study by </w:t>
      </w:r>
      <w:proofErr w:type="spellStart"/>
      <w:r w:rsidR="003923C0">
        <w:t>CRA</w:t>
      </w:r>
      <w:proofErr w:type="spellEnd"/>
      <w:r w:rsidR="003923C0">
        <w:t xml:space="preserve"> </w:t>
      </w:r>
      <w:proofErr w:type="spellStart"/>
      <w:r w:rsidR="003923C0">
        <w:t>2008a</w:t>
      </w:r>
      <w:proofErr w:type="spellEnd"/>
      <w:r w:rsidR="007175AF">
        <w:t>).</w:t>
      </w:r>
      <w:r w:rsidR="008B36F3">
        <w:rPr>
          <w:rStyle w:val="FootnoteReference"/>
        </w:rPr>
        <w:footnoteReference w:id="9"/>
      </w:r>
    </w:p>
    <w:p w:rsidR="00111305" w:rsidRDefault="007175AF" w:rsidP="00111305">
      <w:pPr>
        <w:pStyle w:val="BodyText"/>
      </w:pPr>
      <w:r>
        <w:t>However, there are doubts about when such benefits may eventuate, with evidence from the early rollout of smart meters in Victoria indicating that such benefits are yet to be realised (</w:t>
      </w:r>
      <w:proofErr w:type="spellStart"/>
      <w:r>
        <w:t>AER</w:t>
      </w:r>
      <w:proofErr w:type="spellEnd"/>
      <w:r>
        <w:t xml:space="preserve"> 2011). (Indeed, network operators indicated that meter reading costs had actually increased — due to the need to implement automated systems capable of collecting real time data from smart meters.) While such benefits may </w:t>
      </w:r>
      <w:r w:rsidR="009849BA">
        <w:t xml:space="preserve">eventually </w:t>
      </w:r>
      <w:r>
        <w:t>materialise, the Commission notes that the limited operating lifespan for smart meters (15 years) would make it less likely that the projected cost sa</w:t>
      </w:r>
      <w:r w:rsidR="00BD4783">
        <w:t xml:space="preserve">vings will be achieved in full. </w:t>
      </w:r>
      <w:r>
        <w:t>For the purposes of modelling, the Commission has used a range of between $50 and $65</w:t>
      </w:r>
      <w:r w:rsidR="000D0AB7">
        <w:t> </w:t>
      </w:r>
      <w:r>
        <w:t>a year as the estimate of the overall non</w:t>
      </w:r>
      <w:r w:rsidR="00F23AE0">
        <w:noBreakHyphen/>
      </w:r>
      <w:r>
        <w:t>demand management benefits of smart meters.</w:t>
      </w:r>
      <w:r w:rsidR="00111305" w:rsidRPr="00111305">
        <w:t xml:space="preserve"> </w:t>
      </w:r>
    </w:p>
    <w:p w:rsidR="00111305" w:rsidRDefault="00111305" w:rsidP="00111305">
      <w:pPr>
        <w:pStyle w:val="BodyText"/>
      </w:pPr>
      <w:r>
        <w:t xml:space="preserve">The extent to which smart meters provide any such </w:t>
      </w:r>
      <w:r w:rsidR="00BD4783">
        <w:t xml:space="preserve">demand management and other benefits </w:t>
      </w:r>
      <w:r>
        <w:t>depend on complementary policies — such as pricing or incentive initiatives</w:t>
      </w:r>
      <w:r w:rsidR="00BD4783">
        <w:t xml:space="preserve"> — </w:t>
      </w:r>
      <w:r>
        <w:t xml:space="preserve">and the timing and geographical specificity of their rollout. For example, the capacity of smart meters to reduce peak demand in any given area requires a sufficient penetration of meters. </w:t>
      </w:r>
      <w:r w:rsidR="0003717D">
        <w:t>Accordingly, the benefits are highly dependent on the context in which they are rolled out.</w:t>
      </w:r>
    </w:p>
    <w:p w:rsidR="0072638B" w:rsidRDefault="0072638B" w:rsidP="0072638B">
      <w:pPr>
        <w:pStyle w:val="Heading3"/>
      </w:pPr>
      <w:r>
        <w:t>Direct load control</w:t>
      </w:r>
    </w:p>
    <w:p w:rsidR="0072638B" w:rsidRDefault="0072638B" w:rsidP="0072638B">
      <w:pPr>
        <w:pStyle w:val="BodyText"/>
        <w:tabs>
          <w:tab w:val="center" w:pos="4394"/>
        </w:tabs>
      </w:pPr>
      <w:r>
        <w:t xml:space="preserve">Direct load control involves a capacity to interrupt the use of power by an appliance. Electric water heating has been subject to direct load control to avoid use of peak hour electricity since the </w:t>
      </w:r>
      <w:proofErr w:type="spellStart"/>
      <w:r>
        <w:t>1960s</w:t>
      </w:r>
      <w:proofErr w:type="spellEnd"/>
      <w:r>
        <w:t xml:space="preserve">, and constitutes the largest single source of peak power saved through demand side participation in the </w:t>
      </w:r>
      <w:proofErr w:type="spellStart"/>
      <w:r>
        <w:t>NEM</w:t>
      </w:r>
      <w:proofErr w:type="spellEnd"/>
      <w:r>
        <w:t xml:space="preserve"> (</w:t>
      </w:r>
      <w:proofErr w:type="spellStart"/>
      <w:r>
        <w:t>Futura</w:t>
      </w:r>
      <w:proofErr w:type="spellEnd"/>
      <w:r>
        <w:t xml:space="preserve"> 2011, p. 10, p. 30). </w:t>
      </w:r>
    </w:p>
    <w:p w:rsidR="0072638B" w:rsidRDefault="0072638B" w:rsidP="0072638B">
      <w:pPr>
        <w:pStyle w:val="BodyText"/>
        <w:tabs>
          <w:tab w:val="center" w:pos="4394"/>
        </w:tabs>
      </w:pPr>
      <w:r>
        <w:t xml:space="preserve">Much of the current interest in direct load control </w:t>
      </w:r>
      <w:r w:rsidR="004D7EC8">
        <w:t>relates to</w:t>
      </w:r>
      <w:r>
        <w:t xml:space="preserve"> air conditioner and pool pump use. </w:t>
      </w:r>
      <w:r w:rsidR="00774732">
        <w:t>Network businesses have conducted t</w:t>
      </w:r>
      <w:r>
        <w:t>rials of direct load control</w:t>
      </w:r>
      <w:r w:rsidR="004D7EC8">
        <w:t xml:space="preserve"> of these appliances</w:t>
      </w:r>
      <w:r w:rsidR="004B3398">
        <w:t>,</w:t>
      </w:r>
      <w:r>
        <w:t xml:space="preserve"> </w:t>
      </w:r>
      <w:r w:rsidR="00774732">
        <w:t>and have found</w:t>
      </w:r>
      <w:r w:rsidRPr="005D027E">
        <w:t xml:space="preserve"> </w:t>
      </w:r>
      <w:r>
        <w:t>significant</w:t>
      </w:r>
      <w:r w:rsidRPr="005D027E">
        <w:t xml:space="preserve"> reductions in critical peak demand</w:t>
      </w:r>
      <w:r>
        <w:t xml:space="preserve">. </w:t>
      </w:r>
      <w:r w:rsidR="00774732">
        <w:t>Network businesses can implement d</w:t>
      </w:r>
      <w:r>
        <w:t>irect load control without the need to install smart meters (although smart meters and critical peak pricing can still be useful in providing a signal for consumers to take up direct load control). From a network operator’s perspective, the capacity to control load at critical peaks provides reasonable certainty over the timing, quantum and location of energy savings. Reliable demand forecasts at the localised level are necessary for a network business to reduce its investments in capacity.</w:t>
      </w:r>
    </w:p>
    <w:p w:rsidR="0072638B" w:rsidRDefault="0072638B" w:rsidP="0072638B">
      <w:pPr>
        <w:pStyle w:val="BodyText"/>
        <w:tabs>
          <w:tab w:val="center" w:pos="4394"/>
        </w:tabs>
      </w:pPr>
      <w:r>
        <w:lastRenderedPageBreak/>
        <w:t>While direct load control can be installed across a range of appliances, the most beneficial form of direct load control relates to air</w:t>
      </w:r>
      <w:r w:rsidR="001D2814">
        <w:t> </w:t>
      </w:r>
      <w:r>
        <w:t xml:space="preserve">conditioners, which make a particularly large contribution to critical peak demand. </w:t>
      </w:r>
      <w:r w:rsidR="001D2814">
        <w:t xml:space="preserve">Direct load control of </w:t>
      </w:r>
      <w:r>
        <w:t>air</w:t>
      </w:r>
      <w:r w:rsidR="001D2814">
        <w:t> </w:t>
      </w:r>
      <w:r>
        <w:t xml:space="preserve">conditioners </w:t>
      </w:r>
      <w:r w:rsidR="001D2814">
        <w:t xml:space="preserve">— especially that involving capping power to the compressor </w:t>
      </w:r>
      <w:r w:rsidR="00DF6A72">
        <w:t xml:space="preserve">at critical peak times </w:t>
      </w:r>
      <w:r w:rsidR="001D2814">
        <w:t xml:space="preserve">— </w:t>
      </w:r>
      <w:r>
        <w:t xml:space="preserve">has </w:t>
      </w:r>
      <w:r w:rsidR="004B1E42">
        <w:t xml:space="preserve">shown </w:t>
      </w:r>
      <w:r>
        <w:t xml:space="preserve">little impact on </w:t>
      </w:r>
      <w:r w:rsidR="001D2814">
        <w:t xml:space="preserve">consumers’ </w:t>
      </w:r>
      <w:r>
        <w:t xml:space="preserve">comfort levels </w:t>
      </w:r>
      <w:r w:rsidR="001D2814">
        <w:t>(</w:t>
      </w:r>
      <w:r w:rsidR="001F6035">
        <w:t xml:space="preserve">Energex, </w:t>
      </w:r>
      <w:r w:rsidR="001D2814">
        <w:t>pers</w:t>
      </w:r>
      <w:r w:rsidR="001F6035">
        <w:t>.</w:t>
      </w:r>
      <w:r w:rsidR="001D2814">
        <w:t xml:space="preserve"> </w:t>
      </w:r>
      <w:r w:rsidR="001F6035">
        <w:t>c</w:t>
      </w:r>
      <w:r w:rsidR="001D2814">
        <w:t>omm</w:t>
      </w:r>
      <w:r w:rsidR="001F6035">
        <w:t>., 19 </w:t>
      </w:r>
      <w:r w:rsidR="001D2814">
        <w:t xml:space="preserve">March 2013). </w:t>
      </w:r>
    </w:p>
    <w:p w:rsidR="00F637D1" w:rsidRDefault="0072638B" w:rsidP="0072638B">
      <w:pPr>
        <w:pStyle w:val="BodyText"/>
        <w:tabs>
          <w:tab w:val="center" w:pos="4394"/>
        </w:tabs>
      </w:pPr>
      <w:r>
        <w:t>Direct load control trials</w:t>
      </w:r>
      <w:r w:rsidRPr="00705880">
        <w:t xml:space="preserve"> </w:t>
      </w:r>
      <w:r>
        <w:t xml:space="preserve">in </w:t>
      </w:r>
      <w:r w:rsidRPr="00705880">
        <w:t>New South Wales and Queensland</w:t>
      </w:r>
      <w:r>
        <w:t xml:space="preserve"> have demonstrated the effectiveness of communication and other technologies to control </w:t>
      </w:r>
      <w:r w:rsidRPr="00432B78">
        <w:rPr>
          <w:i/>
        </w:rPr>
        <w:t>compatible</w:t>
      </w:r>
      <w:r>
        <w:t xml:space="preserve"> appliances. </w:t>
      </w:r>
      <w:r w:rsidR="004D7EC8">
        <w:t>However</w:t>
      </w:r>
      <w:r>
        <w:t xml:space="preserve">, a hurdle to the wide use of direct load control is that </w:t>
      </w:r>
      <w:r w:rsidR="001D2814">
        <w:t>most</w:t>
      </w:r>
      <w:r>
        <w:t xml:space="preserve"> </w:t>
      </w:r>
      <w:r w:rsidRPr="001D2814">
        <w:rPr>
          <w:i/>
        </w:rPr>
        <w:t>existing</w:t>
      </w:r>
      <w:r>
        <w:t xml:space="preserve"> appliances </w:t>
      </w:r>
      <w:r w:rsidR="001D2814">
        <w:t xml:space="preserve">do not </w:t>
      </w:r>
      <w:r>
        <w:t>have the capability to be controlled remotely</w:t>
      </w:r>
      <w:r w:rsidR="001D2814">
        <w:t xml:space="preserve">. Figure 1.3 provides evidence for 2011, though the Commission understands that many more appliance manufacturers are incorporating direct load control capabilities into new air conditioners (chapter 10). </w:t>
      </w:r>
    </w:p>
    <w:p w:rsidR="0072638B" w:rsidRPr="00143989" w:rsidRDefault="0072638B" w:rsidP="0072638B">
      <w:pPr>
        <w:pStyle w:val="FigureTitle"/>
        <w:rPr>
          <w:vertAlign w:val="superscript"/>
        </w:rPr>
      </w:pPr>
      <w:r>
        <w:rPr>
          <w:b w:val="0"/>
        </w:rPr>
        <w:t xml:space="preserve">Figure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Figure \* ARABIC </w:instrText>
      </w:r>
      <w:r>
        <w:rPr>
          <w:b w:val="0"/>
        </w:rPr>
        <w:fldChar w:fldCharType="separate"/>
      </w:r>
      <w:r w:rsidR="00A71173">
        <w:rPr>
          <w:b w:val="0"/>
          <w:noProof/>
        </w:rPr>
        <w:t>3</w:t>
      </w:r>
      <w:r>
        <w:rPr>
          <w:b w:val="0"/>
        </w:rPr>
        <w:fldChar w:fldCharType="end"/>
      </w:r>
      <w:r>
        <w:tab/>
      </w:r>
      <w:r w:rsidR="000D0AB7">
        <w:t>A</w:t>
      </w:r>
      <w:r>
        <w:t xml:space="preserve">ir conditioners compatible with direct load </w:t>
      </w:r>
      <w:proofErr w:type="spellStart"/>
      <w:r>
        <w:t>control</w:t>
      </w:r>
      <w:r>
        <w:rPr>
          <w:vertAlign w:val="superscript"/>
        </w:rPr>
        <w:t>a</w:t>
      </w:r>
      <w:proofErr w:type="spellEnd"/>
    </w:p>
    <w:p w:rsidR="0072638B" w:rsidRDefault="00BE11B4" w:rsidP="0072638B">
      <w:pPr>
        <w:pStyle w:val="Subtitle"/>
      </w:pPr>
      <w:r>
        <w:t>August</w:t>
      </w:r>
      <w:r w:rsidR="0072638B">
        <w:t xml:space="preserve"> 2011</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72638B" w:rsidTr="00F61AF7">
        <w:tc>
          <w:tcPr>
            <w:tcW w:w="8777" w:type="dxa"/>
          </w:tcPr>
          <w:p w:rsidR="0072638B" w:rsidRDefault="0072638B" w:rsidP="00F61AF7">
            <w:pPr>
              <w:pStyle w:val="Figure"/>
            </w:pPr>
            <w:r>
              <w:rPr>
                <w:noProof/>
              </w:rPr>
              <w:drawing>
                <wp:inline distT="0" distB="0" distL="0" distR="0" wp14:anchorId="1EDE274B" wp14:editId="4B963C04">
                  <wp:extent cx="5400675" cy="2876550"/>
                  <wp:effectExtent l="0" t="0" r="952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rsidR="0072638B" w:rsidRDefault="0072638B" w:rsidP="0072638B">
      <w:pPr>
        <w:pStyle w:val="Note"/>
      </w:pPr>
      <w:proofErr w:type="spellStart"/>
      <w:r>
        <w:rPr>
          <w:rStyle w:val="NoteLabel"/>
        </w:rPr>
        <w:t>a</w:t>
      </w:r>
      <w:proofErr w:type="spellEnd"/>
      <w:r>
        <w:t xml:space="preserve"> </w:t>
      </w:r>
      <w:r w:rsidR="003E252E">
        <w:t xml:space="preserve">Excludes </w:t>
      </w:r>
      <w:r>
        <w:t>air</w:t>
      </w:r>
      <w:r w:rsidR="001D2814">
        <w:t> </w:t>
      </w:r>
      <w:r>
        <w:t>conditioners that exceed 30 kW of powe</w:t>
      </w:r>
      <w:r w:rsidR="003E252E">
        <w:t>r</w:t>
      </w:r>
      <w:r>
        <w:t>.</w:t>
      </w:r>
    </w:p>
    <w:p w:rsidR="0072638B" w:rsidRDefault="0072638B" w:rsidP="0072638B">
      <w:pPr>
        <w:pStyle w:val="Source"/>
      </w:pPr>
      <w:r>
        <w:rPr>
          <w:i/>
        </w:rPr>
        <w:t>Data source</w:t>
      </w:r>
      <w:r w:rsidRPr="00167F06">
        <w:t xml:space="preserve">: </w:t>
      </w:r>
      <w:proofErr w:type="spellStart"/>
      <w:r>
        <w:t>Wilkenfeld</w:t>
      </w:r>
      <w:proofErr w:type="spellEnd"/>
      <w:r>
        <w:t xml:space="preserve"> (2011</w:t>
      </w:r>
      <w:r w:rsidR="00BE11B4">
        <w:t>, p. 9</w:t>
      </w:r>
      <w:r>
        <w:t>).</w:t>
      </w:r>
    </w:p>
    <w:p w:rsidR="00F637D1" w:rsidRDefault="00AE64E4" w:rsidP="00F637D1">
      <w:pPr>
        <w:pStyle w:val="BodyText"/>
        <w:tabs>
          <w:tab w:val="center" w:pos="4394"/>
        </w:tabs>
      </w:pPr>
      <w:r>
        <w:t>T</w:t>
      </w:r>
      <w:r w:rsidR="00F637D1">
        <w:t>he wide take-up of direct load control would require either:</w:t>
      </w:r>
    </w:p>
    <w:p w:rsidR="00F637D1" w:rsidRDefault="00F637D1" w:rsidP="00F637D1">
      <w:pPr>
        <w:pStyle w:val="ListBullet"/>
      </w:pPr>
      <w:r>
        <w:t>the retrofitting of a large stock of appliances (which can be costly, as discussed below)</w:t>
      </w:r>
    </w:p>
    <w:p w:rsidR="00F637D1" w:rsidRDefault="00F637D1" w:rsidP="00F637D1">
      <w:pPr>
        <w:pStyle w:val="ListBullet"/>
      </w:pPr>
      <w:r>
        <w:t>the incorporation of the appropriate technologies in new appliances and sufficient time that old appliances have been scrapped and replaced with newer models.</w:t>
      </w:r>
    </w:p>
    <w:p w:rsidR="00F637D1" w:rsidRDefault="00F637D1" w:rsidP="00F637D1">
      <w:pPr>
        <w:pStyle w:val="Heading4"/>
      </w:pPr>
      <w:r>
        <w:lastRenderedPageBreak/>
        <w:t>Cost estimates</w:t>
      </w:r>
    </w:p>
    <w:p w:rsidR="00F637D1" w:rsidRDefault="00F637D1" w:rsidP="00F637D1">
      <w:pPr>
        <w:pStyle w:val="BodyText"/>
      </w:pPr>
      <w:r>
        <w:t xml:space="preserve">The evidence suggests that retrofitting costs are not trivial. </w:t>
      </w:r>
    </w:p>
    <w:p w:rsidR="00F637D1" w:rsidRDefault="00F637D1" w:rsidP="00F637D1">
      <w:pPr>
        <w:pStyle w:val="ListBullet"/>
      </w:pPr>
      <w:r>
        <w:t>In 2007</w:t>
      </w:r>
      <w:r>
        <w:noBreakHyphen/>
        <w:t>08, Energex trialled direct load control of air conditioners without smart meters. It retrofitted around 900 air conditioners in Brisbane to enable direct load control without the need for smart meters (McGowan 2009). The indicative per participant cost of this trial was $</w:t>
      </w:r>
      <w:r w:rsidR="00047E00">
        <w:t>1500 (</w:t>
      </w:r>
      <w:proofErr w:type="spellStart"/>
      <w:r w:rsidR="00047E00">
        <w:t>EnergyAustralia</w:t>
      </w:r>
      <w:proofErr w:type="spellEnd"/>
      <w:r w:rsidR="00047E00">
        <w:t xml:space="preserve"> and </w:t>
      </w:r>
      <w:proofErr w:type="spellStart"/>
      <w:r w:rsidR="00047E00">
        <w:t>TransG</w:t>
      </w:r>
      <w:r>
        <w:t>rid</w:t>
      </w:r>
      <w:proofErr w:type="spellEnd"/>
      <w:r>
        <w:t xml:space="preserve"> 2009, p. 15). A key consideration in selecting which air conditioners were included in the study (of the 2300 offered as test vehicles by consumers) was the ease of retrofitting (McGowan 2009).</w:t>
      </w:r>
      <w:r>
        <w:rPr>
          <w:rStyle w:val="FootnoteReference"/>
        </w:rPr>
        <w:footnoteReference w:id="10"/>
      </w:r>
      <w:r>
        <w:t xml:space="preserve"> </w:t>
      </w:r>
    </w:p>
    <w:p w:rsidR="00F637D1" w:rsidRDefault="00F637D1" w:rsidP="00F637D1">
      <w:pPr>
        <w:pStyle w:val="ListBullet"/>
      </w:pPr>
      <w:r>
        <w:t xml:space="preserve">The </w:t>
      </w:r>
      <w:proofErr w:type="spellStart"/>
      <w:r w:rsidRPr="00FF622B">
        <w:rPr>
          <w:i/>
        </w:rPr>
        <w:t>Peakbreaker</w:t>
      </w:r>
      <w:proofErr w:type="spellEnd"/>
      <w:r>
        <w:t xml:space="preserve"> trial of direct load control in South Australia by </w:t>
      </w:r>
      <w:proofErr w:type="spellStart"/>
      <w:r>
        <w:t>ETSA</w:t>
      </w:r>
      <w:proofErr w:type="spellEnd"/>
      <w:r>
        <w:t xml:space="preserve"> Utilities found that it took around 30 minutes</w:t>
      </w:r>
      <w:r>
        <w:rPr>
          <w:rStyle w:val="FootnoteReference"/>
        </w:rPr>
        <w:footnoteReference w:id="11"/>
      </w:r>
      <w:r>
        <w:t xml:space="preserve"> to two hours to retrofit an air conditioner (leading to an average cost of roughly $300). Once again, the trial tended to focus on air conditioners that were the cheapest to retrofit (box 1.3).</w:t>
      </w:r>
    </w:p>
    <w:p w:rsidR="0072638B" w:rsidRDefault="0072638B" w:rsidP="0072638B">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2638B" w:rsidTr="00F61AF7">
        <w:tc>
          <w:tcPr>
            <w:tcW w:w="8771" w:type="dxa"/>
            <w:tcBorders>
              <w:top w:val="single" w:sz="6" w:space="0" w:color="auto"/>
              <w:bottom w:val="nil"/>
            </w:tcBorders>
          </w:tcPr>
          <w:p w:rsidR="0072638B" w:rsidRDefault="0072638B" w:rsidP="00F61AF7">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Box \* ARABIC </w:instrText>
            </w:r>
            <w:r>
              <w:rPr>
                <w:b w:val="0"/>
              </w:rPr>
              <w:fldChar w:fldCharType="separate"/>
            </w:r>
            <w:r w:rsidR="00A71173">
              <w:rPr>
                <w:b w:val="0"/>
                <w:noProof/>
              </w:rPr>
              <w:t>3</w:t>
            </w:r>
            <w:r>
              <w:rPr>
                <w:b w:val="0"/>
              </w:rPr>
              <w:fldChar w:fldCharType="end"/>
            </w:r>
            <w:r>
              <w:tab/>
              <w:t xml:space="preserve">Selection of air conditioners for the </w:t>
            </w:r>
            <w:proofErr w:type="spellStart"/>
            <w:r>
              <w:t>Peakbreaker</w:t>
            </w:r>
            <w:proofErr w:type="spellEnd"/>
            <w:r>
              <w:t xml:space="preserve"> trial</w:t>
            </w:r>
          </w:p>
        </w:tc>
      </w:tr>
      <w:tr w:rsidR="0072638B" w:rsidTr="00F61AF7">
        <w:trPr>
          <w:cantSplit/>
        </w:trPr>
        <w:tc>
          <w:tcPr>
            <w:tcW w:w="8771" w:type="dxa"/>
            <w:tcBorders>
              <w:top w:val="nil"/>
              <w:left w:val="single" w:sz="6" w:space="0" w:color="auto"/>
              <w:bottom w:val="nil"/>
              <w:right w:val="single" w:sz="6" w:space="0" w:color="auto"/>
            </w:tcBorders>
          </w:tcPr>
          <w:p w:rsidR="0072638B" w:rsidRDefault="0072638B" w:rsidP="00F61AF7">
            <w:pPr>
              <w:pStyle w:val="Box"/>
            </w:pPr>
            <w:r>
              <w:t>Following a community education campaign to recruit people for a direct load control trial, the trial managers identified 1691 air conditioning units that met the trial criteria — being either split system or ducted refrigerated air conditioners. Air conditioners that were older and/or consumed less electricity were outside the scope of the trial. By contacting all commercial premises within the trial area, an additional 701 air conditioners were included in the trial — bringing the total up to 2392.</w:t>
            </w:r>
          </w:p>
          <w:p w:rsidR="0072638B" w:rsidRDefault="0072638B" w:rsidP="00F61AF7">
            <w:pPr>
              <w:pStyle w:val="Box"/>
            </w:pPr>
            <w:r>
              <w:t xml:space="preserve">Of those 1108 (46 per cent) were compatible with a demand </w:t>
            </w:r>
            <w:r w:rsidR="00BB220D">
              <w:t>response enabling device (</w:t>
            </w:r>
            <w:proofErr w:type="spellStart"/>
            <w:r w:rsidR="00BB220D">
              <w:t>DRED</w:t>
            </w:r>
            <w:proofErr w:type="spellEnd"/>
            <w:r w:rsidR="00BB220D">
              <w:t>).</w:t>
            </w:r>
            <w:r>
              <w:t xml:space="preserve"> </w:t>
            </w:r>
            <w:r w:rsidR="00BB220D">
              <w:t>Just over 1150 of the units — around 50</w:t>
            </w:r>
            <w:r>
              <w:t xml:space="preserve"> per cent </w:t>
            </w:r>
            <w:r w:rsidR="00BB220D">
              <w:t xml:space="preserve">of the sample </w:t>
            </w:r>
            <w:r>
              <w:t xml:space="preserve">— </w:t>
            </w:r>
            <w:r w:rsidR="00BB220D">
              <w:t xml:space="preserve">were </w:t>
            </w:r>
            <w:r>
              <w:t>typically more modern air conditioners</w:t>
            </w:r>
            <w:r w:rsidR="00BB220D">
              <w:t>, and</w:t>
            </w:r>
            <w:r>
              <w:t xml:space="preserve"> could be retrofitted (such as with an emulator). </w:t>
            </w:r>
            <w:r w:rsidR="00BB220D">
              <w:t>It was not possible to determine if 128 air conditioners (5 per cent) could be retrofitted.</w:t>
            </w:r>
          </w:p>
          <w:p w:rsidR="0072638B" w:rsidRDefault="004443C2" w:rsidP="00F23AE0">
            <w:pPr>
              <w:pStyle w:val="Box"/>
            </w:pPr>
            <w:r>
              <w:t>In total</w:t>
            </w:r>
            <w:r w:rsidR="0072638B">
              <w:t xml:space="preserve">, 784 air conditioners were converted for direct load control — 754 with a </w:t>
            </w:r>
            <w:proofErr w:type="spellStart"/>
            <w:r w:rsidR="0072638B">
              <w:t>DRED</w:t>
            </w:r>
            <w:proofErr w:type="spellEnd"/>
            <w:r w:rsidR="0072638B">
              <w:t xml:space="preserve"> (68 per cent of those compatible) and 30 air conditioners that were not compatible with a </w:t>
            </w:r>
            <w:proofErr w:type="spellStart"/>
            <w:r w:rsidR="0072638B">
              <w:t>DRED</w:t>
            </w:r>
            <w:proofErr w:type="spellEnd"/>
            <w:r w:rsidR="0072638B">
              <w:t xml:space="preserve"> (only 3 per cent of those that could be retrofitted without a </w:t>
            </w:r>
            <w:proofErr w:type="spellStart"/>
            <w:r w:rsidR="0072638B">
              <w:t>DRED</w:t>
            </w:r>
            <w:proofErr w:type="spellEnd"/>
            <w:r w:rsidR="0072638B">
              <w:t>). The 30 non-</w:t>
            </w:r>
            <w:proofErr w:type="spellStart"/>
            <w:r w:rsidR="0072638B">
              <w:t>DRED</w:t>
            </w:r>
            <w:proofErr w:type="spellEnd"/>
            <w:r w:rsidR="0072638B">
              <w:t xml:space="preserve"> compatible air conditioners were selected because a relatively cost</w:t>
            </w:r>
            <w:r w:rsidR="00F23AE0">
              <w:noBreakHyphen/>
            </w:r>
            <w:r w:rsidR="0072638B">
              <w:t xml:space="preserve">effective means of retrofitting </w:t>
            </w:r>
            <w:r w:rsidR="00544DE5">
              <w:t xml:space="preserve">of direct load control </w:t>
            </w:r>
            <w:r w:rsidR="0072638B">
              <w:t>had been identified for one brand of air conditioner.</w:t>
            </w:r>
          </w:p>
        </w:tc>
      </w:tr>
      <w:tr w:rsidR="0072638B" w:rsidTr="00F61AF7">
        <w:trPr>
          <w:cantSplit/>
        </w:trPr>
        <w:tc>
          <w:tcPr>
            <w:tcW w:w="8771" w:type="dxa"/>
            <w:tcBorders>
              <w:top w:val="nil"/>
              <w:left w:val="single" w:sz="6" w:space="0" w:color="auto"/>
              <w:bottom w:val="nil"/>
              <w:right w:val="single" w:sz="6" w:space="0" w:color="auto"/>
            </w:tcBorders>
          </w:tcPr>
          <w:p w:rsidR="0072638B" w:rsidRDefault="0072638B" w:rsidP="00F61AF7">
            <w:pPr>
              <w:pStyle w:val="BoxSource"/>
            </w:pPr>
            <w:r>
              <w:rPr>
                <w:i/>
              </w:rPr>
              <w:t>Source</w:t>
            </w:r>
            <w:r w:rsidRPr="00167F06">
              <w:t xml:space="preserve">: </w:t>
            </w:r>
            <w:proofErr w:type="spellStart"/>
            <w:r>
              <w:t>ETSA</w:t>
            </w:r>
            <w:proofErr w:type="spellEnd"/>
            <w:r>
              <w:t xml:space="preserve"> Utilities </w:t>
            </w:r>
            <w:r w:rsidR="002124D6">
              <w:t>(</w:t>
            </w:r>
            <w:r>
              <w:t>2009</w:t>
            </w:r>
            <w:r w:rsidR="002124D6">
              <w:t>, pp. 68</w:t>
            </w:r>
            <w:r w:rsidR="002124D6">
              <w:noBreakHyphen/>
              <w:t>71).</w:t>
            </w:r>
          </w:p>
        </w:tc>
      </w:tr>
      <w:tr w:rsidR="0072638B" w:rsidTr="00F61AF7">
        <w:trPr>
          <w:cantSplit/>
        </w:trPr>
        <w:tc>
          <w:tcPr>
            <w:tcW w:w="8771" w:type="dxa"/>
            <w:tcBorders>
              <w:top w:val="nil"/>
              <w:left w:val="single" w:sz="6" w:space="0" w:color="auto"/>
              <w:bottom w:val="single" w:sz="6" w:space="0" w:color="auto"/>
              <w:right w:val="single" w:sz="6" w:space="0" w:color="auto"/>
            </w:tcBorders>
          </w:tcPr>
          <w:p w:rsidR="0072638B" w:rsidRDefault="0072638B" w:rsidP="00F61AF7">
            <w:pPr>
              <w:pStyle w:val="Box"/>
              <w:spacing w:before="0" w:line="120" w:lineRule="exact"/>
            </w:pPr>
          </w:p>
        </w:tc>
      </w:tr>
      <w:tr w:rsidR="0072638B" w:rsidTr="00F61AF7">
        <w:tc>
          <w:tcPr>
            <w:tcW w:w="8771" w:type="dxa"/>
            <w:tcBorders>
              <w:top w:val="nil"/>
              <w:left w:val="nil"/>
              <w:bottom w:val="nil"/>
              <w:right w:val="nil"/>
            </w:tcBorders>
          </w:tcPr>
          <w:p w:rsidR="0072638B" w:rsidRDefault="0072638B" w:rsidP="00F61AF7">
            <w:pPr>
              <w:pStyle w:val="Box"/>
              <w:keepNext w:val="0"/>
              <w:spacing w:before="60" w:after="60" w:line="80" w:lineRule="exact"/>
              <w:rPr>
                <w:b/>
                <w:color w:val="FF00FF"/>
                <w:sz w:val="14"/>
              </w:rPr>
            </w:pPr>
          </w:p>
        </w:tc>
      </w:tr>
    </w:tbl>
    <w:p w:rsidR="00AE64E4" w:rsidRDefault="00AE64E4" w:rsidP="00AE64E4">
      <w:pPr>
        <w:pStyle w:val="BodyText"/>
      </w:pPr>
      <w:r>
        <w:lastRenderedPageBreak/>
        <w:t>However, the main purpose of the trials was to assess customers’ receptiveness, demand response, and the technology. They were not commercial pilots. The Commission has been told by distribution businesses that they would not retrofit old air conditioners, but would rely on the compatibility of an increasing number of new air conditioners with direct load control. Accordingly, the lack of compatibility of old air conditioners with direct load control has an effect on the commercially viable pace of the adoption of direct load control, but not on the costs. In the longer run, in</w:t>
      </w:r>
      <w:r>
        <w:noBreakHyphen/>
        <w:t xml:space="preserve">built direct load control capability may become standard among air conditioners — which may occur due to the adoption of new technical standards or if there are commercial benefits from including this feature. </w:t>
      </w:r>
      <w:proofErr w:type="spellStart"/>
      <w:r>
        <w:t>Wilkenfeld</w:t>
      </w:r>
      <w:proofErr w:type="spellEnd"/>
      <w:r>
        <w:t xml:space="preserve"> (2011) estimated that in this instance, the costs could be $10 per appliance for interface costs and $150</w:t>
      </w:r>
      <w:r>
        <w:noBreakHyphen/>
        <w:t>250 for activation, leading to a cost range of between $160 and $260. There are also ongoing management costs, which are estimated at around $25 per year by Deloitte (</w:t>
      </w:r>
      <w:proofErr w:type="spellStart"/>
      <w:r>
        <w:t>2011a</w:t>
      </w:r>
      <w:proofErr w:type="spellEnd"/>
      <w:r>
        <w:t>, p. 51).</w:t>
      </w:r>
    </w:p>
    <w:p w:rsidR="00225194" w:rsidRDefault="00022F30" w:rsidP="0072638B">
      <w:pPr>
        <w:pStyle w:val="BodyText"/>
      </w:pPr>
      <w:r>
        <w:t>T</w:t>
      </w:r>
      <w:r w:rsidR="00DA7770">
        <w:t xml:space="preserve">he </w:t>
      </w:r>
      <w:r>
        <w:t>presumption</w:t>
      </w:r>
      <w:r w:rsidR="00DA7770">
        <w:t xml:space="preserve"> </w:t>
      </w:r>
      <w:r w:rsidR="004506BD">
        <w:t xml:space="preserve">in these figures </w:t>
      </w:r>
      <w:r>
        <w:t xml:space="preserve">is </w:t>
      </w:r>
      <w:r w:rsidR="00DA7770">
        <w:t xml:space="preserve">that the </w:t>
      </w:r>
      <w:r w:rsidR="00674A07">
        <w:t xml:space="preserve">differences </w:t>
      </w:r>
      <w:r w:rsidR="00225194">
        <w:t>between the</w:t>
      </w:r>
      <w:r w:rsidR="00DA7770">
        <w:t xml:space="preserve"> costs of </w:t>
      </w:r>
      <w:r w:rsidR="00674A07">
        <w:t>installing an air condition</w:t>
      </w:r>
      <w:r w:rsidR="00225194">
        <w:t>er</w:t>
      </w:r>
      <w:r w:rsidR="00DA7770">
        <w:t xml:space="preserve"> with direct load control</w:t>
      </w:r>
      <w:r w:rsidR="00674A07">
        <w:t xml:space="preserve"> </w:t>
      </w:r>
      <w:r>
        <w:t xml:space="preserve">would </w:t>
      </w:r>
      <w:r w:rsidR="00225194">
        <w:t>not be much higher than a traditional air conditioner (a view put to the Commission by a distribution business). Some other costs associated with encouraging the uptake of direct load control</w:t>
      </w:r>
      <w:r w:rsidR="004506BD">
        <w:t xml:space="preserve"> are likely to decrease</w:t>
      </w:r>
      <w:r w:rsidR="00225194">
        <w:t xml:space="preserve">. For example, marketing costs are likely to fall </w:t>
      </w:r>
      <w:r w:rsidR="004506BD">
        <w:t>because</w:t>
      </w:r>
      <w:r w:rsidR="00225194">
        <w:t xml:space="preserve"> appliance retailers </w:t>
      </w:r>
      <w:r w:rsidR="004506BD">
        <w:t>are</w:t>
      </w:r>
      <w:r w:rsidR="00225194">
        <w:t xml:space="preserve"> </w:t>
      </w:r>
      <w:r w:rsidR="004506BD">
        <w:t>increasingly</w:t>
      </w:r>
      <w:r w:rsidR="00225194">
        <w:t xml:space="preserve"> fulfilling that role as part of their usual marketing of appliances. </w:t>
      </w:r>
    </w:p>
    <w:p w:rsidR="0072638B" w:rsidRDefault="0072638B" w:rsidP="0072638B">
      <w:pPr>
        <w:pStyle w:val="BodyText"/>
      </w:pPr>
      <w:r>
        <w:t xml:space="preserve">Any </w:t>
      </w:r>
      <w:r w:rsidR="00D7126D">
        <w:t>significant consumer uptake of any kind of voluntary</w:t>
      </w:r>
      <w:r>
        <w:t xml:space="preserve"> direct load control of air conditioning or other appliances requires some payoff for consumers. Were network business to implement (and governments to allow) critical peak pricing for household electricity users, the</w:t>
      </w:r>
      <w:r w:rsidR="004D7EC8">
        <w:t>ir</w:t>
      </w:r>
      <w:r>
        <w:t xml:space="preserve"> uptake would be motivated by consumers’ preferences to lower their power use during such periods (and with the certainty that direct load control provides). </w:t>
      </w:r>
    </w:p>
    <w:p w:rsidR="0072638B" w:rsidRDefault="0072638B" w:rsidP="0072638B">
      <w:pPr>
        <w:pStyle w:val="BodyText"/>
      </w:pPr>
      <w:r>
        <w:t xml:space="preserve">However, in the absence of such pricing, direct load control is likely to </w:t>
      </w:r>
      <w:r w:rsidR="004D7EC8">
        <w:t>require</w:t>
      </w:r>
      <w:r>
        <w:t xml:space="preserve"> financial incentives to consumers, which add to costs. In Australian trials of direct load control</w:t>
      </w:r>
      <w:r w:rsidR="004443C2">
        <w:t xml:space="preserve">, </w:t>
      </w:r>
      <w:r w:rsidR="0060386E">
        <w:t xml:space="preserve">incentives have included </w:t>
      </w:r>
      <w:r>
        <w:t xml:space="preserve">credits on electricity bills, </w:t>
      </w:r>
      <w:r w:rsidR="004443C2">
        <w:t xml:space="preserve">ongoing </w:t>
      </w:r>
      <w:r>
        <w:t>cash payments or alternative services (such as servicing of air conditioners). Payments have ranged from $30 up to $1</w:t>
      </w:r>
      <w:r w:rsidR="00035CB9">
        <w:t>25</w:t>
      </w:r>
      <w:r>
        <w:t xml:space="preserve"> per household per year </w:t>
      </w:r>
      <w:r w:rsidR="00035CB9">
        <w:t xml:space="preserve">depending on the number of appliances </w:t>
      </w:r>
      <w:r>
        <w:t>(</w:t>
      </w:r>
      <w:proofErr w:type="spellStart"/>
      <w:r>
        <w:t>Futura</w:t>
      </w:r>
      <w:proofErr w:type="spellEnd"/>
      <w:r>
        <w:t xml:space="preserve"> 2011</w:t>
      </w:r>
      <w:r w:rsidR="008315FD">
        <w:t>, pp. 119</w:t>
      </w:r>
      <w:r w:rsidR="008315FD">
        <w:noBreakHyphen/>
        <w:t>124</w:t>
      </w:r>
      <w:r>
        <w:t>)</w:t>
      </w:r>
      <w:r w:rsidR="004443C2">
        <w:t>. In South</w:t>
      </w:r>
      <w:r w:rsidR="00F23AE0">
        <w:t>-East Queensland, there are one</w:t>
      </w:r>
      <w:r w:rsidR="00F23AE0">
        <w:noBreakHyphen/>
      </w:r>
      <w:r w:rsidR="004443C2">
        <w:t xml:space="preserve">off rebates </w:t>
      </w:r>
      <w:r w:rsidR="0060386E">
        <w:t>for</w:t>
      </w:r>
      <w:r w:rsidR="00896EB3">
        <w:t xml:space="preserve"> purchasing air </w:t>
      </w:r>
      <w:r w:rsidR="004443C2">
        <w:t>conditioners</w:t>
      </w:r>
      <w:r w:rsidR="00235518">
        <w:t xml:space="preserve"> compatible with these technologies, subject to the customer agreeing that the network can cap the appliances’ energy consumption when the electricity network reaches peak demand (while not </w:t>
      </w:r>
      <w:r w:rsidR="00235518">
        <w:lastRenderedPageBreak/>
        <w:t>compromising comfort)</w:t>
      </w:r>
      <w:r>
        <w:t>.</w:t>
      </w:r>
      <w:r w:rsidR="004443C2">
        <w:rPr>
          <w:rStyle w:val="FootnoteReference"/>
        </w:rPr>
        <w:footnoteReference w:id="12"/>
      </w:r>
      <w:r>
        <w:t xml:space="preserve"> </w:t>
      </w:r>
      <w:r w:rsidR="004443C2">
        <w:t xml:space="preserve">In its </w:t>
      </w:r>
      <w:r>
        <w:t xml:space="preserve">analysis of </w:t>
      </w:r>
      <w:r w:rsidR="004443C2">
        <w:t xml:space="preserve">the net benefits of </w:t>
      </w:r>
      <w:r>
        <w:t>direct load control, the Commission assumed that participating households would be eligible for annual payments of between $30</w:t>
      </w:r>
      <w:r w:rsidR="008B2ABC">
        <w:t>–$</w:t>
      </w:r>
      <w:r>
        <w:t>100 a year for three years</w:t>
      </w:r>
      <w:r w:rsidR="004443C2">
        <w:t>, recognising that even ‘ongoing’ payments only apply for a limited number of years</w:t>
      </w:r>
      <w:r>
        <w:t>.</w:t>
      </w:r>
    </w:p>
    <w:p w:rsidR="0072638B" w:rsidRDefault="0072638B" w:rsidP="0072638B">
      <w:pPr>
        <w:pStyle w:val="Heading4"/>
      </w:pPr>
      <w:r>
        <w:t>The benefits</w:t>
      </w:r>
    </w:p>
    <w:p w:rsidR="0072638B" w:rsidRDefault="0072638B" w:rsidP="0072638B">
      <w:pPr>
        <w:pStyle w:val="BodyText"/>
        <w:rPr>
          <w:lang w:eastAsia="en-US"/>
        </w:rPr>
      </w:pPr>
      <w:r>
        <w:t>Trial results suggest significant reductions in critical peak use. For example, McGowan (2009, pp. 16</w:t>
      </w:r>
      <w:r>
        <w:noBreakHyphen/>
        <w:t xml:space="preserve">17) found reductions in peak loads of between </w:t>
      </w:r>
      <w:r>
        <w:rPr>
          <w:lang w:eastAsia="en-US"/>
        </w:rPr>
        <w:t xml:space="preserve">17 and 35 per cent in the case of air conditioning trials in Queensland and South Australia. </w:t>
      </w:r>
    </w:p>
    <w:p w:rsidR="0072638B" w:rsidRDefault="0072638B" w:rsidP="0072638B">
      <w:pPr>
        <w:pStyle w:val="BodyText"/>
      </w:pPr>
      <w:r>
        <w:t>However, the results of direct load control trials may be affected by so-called ‘selection bias’, in which the households that volunteer to participate have different characteristics and responsiveness to households in general. For example, they may be more conscious of their electricity bills and more responsive to incentive payments than other households. Consequently, it is important not to assume that a significant share of households would voluntarily participate and that a wider group of households would respond by the extent observed in recent trials. The Commission has assumed responsiveness in peak demand of between 15 and 25 per cent in its modelling from participation in direct load control.</w:t>
      </w:r>
    </w:p>
    <w:p w:rsidR="005A4584" w:rsidRDefault="005A4584" w:rsidP="005A4584">
      <w:pPr>
        <w:pStyle w:val="BodyText"/>
      </w:pPr>
      <w:r>
        <w:t xml:space="preserve">Moreover, unlike pricing initiatives, </w:t>
      </w:r>
      <w:r w:rsidR="00647B02">
        <w:t xml:space="preserve">the behavioural responses appear to wane over time. </w:t>
      </w:r>
      <w:r>
        <w:t>The evidence from Australian trials and programs is that some consumers who initially join direct load control schemes subsequently choose to discontinue their participation</w:t>
      </w:r>
      <w:r w:rsidR="00014682">
        <w:t xml:space="preserve"> (which may reflect the way in which incentives are provided)</w:t>
      </w:r>
      <w:r>
        <w:t xml:space="preserve">. </w:t>
      </w:r>
    </w:p>
    <w:p w:rsidR="0072638B" w:rsidRDefault="001638B1" w:rsidP="0072638B">
      <w:pPr>
        <w:pStyle w:val="Heading2"/>
      </w:pPr>
      <w:r>
        <w:fldChar w:fldCharType="begin"/>
      </w:r>
      <w:r>
        <w:instrText xml:space="preserve"> COMMENTS  \* MERGEFORMAT </w:instrText>
      </w:r>
      <w:r>
        <w:fldChar w:fldCharType="separate"/>
      </w:r>
      <w:r w:rsidR="007F1CF0">
        <w:t>1.</w:t>
      </w:r>
      <w:r>
        <w:fldChar w:fldCharType="end"/>
      </w:r>
      <w:fldSimple w:instr=" SEQ Heading2 ">
        <w:r w:rsidR="00A71173">
          <w:rPr>
            <w:noProof/>
          </w:rPr>
          <w:t>5</w:t>
        </w:r>
      </w:fldSimple>
      <w:r w:rsidR="0072638B">
        <w:tab/>
        <w:t>The degree of geographical targeting</w:t>
      </w:r>
      <w:r w:rsidR="000D0AB7">
        <w:t xml:space="preserve"> of smart meters</w:t>
      </w:r>
    </w:p>
    <w:p w:rsidR="004E6FC7" w:rsidRDefault="004E6FC7" w:rsidP="004E6FC7">
      <w:pPr>
        <w:pStyle w:val="BodyText"/>
      </w:pPr>
      <w:r>
        <w:t xml:space="preserve">There are </w:t>
      </w:r>
      <w:r w:rsidR="008F406F">
        <w:t>two broad</w:t>
      </w:r>
      <w:r>
        <w:t xml:space="preserve"> options:</w:t>
      </w:r>
    </w:p>
    <w:p w:rsidR="006A0641" w:rsidRDefault="006A0641" w:rsidP="006A0641">
      <w:pPr>
        <w:pStyle w:val="Heading3"/>
      </w:pPr>
      <w:r>
        <w:lastRenderedPageBreak/>
        <w:t>Targeted rollouts</w:t>
      </w:r>
    </w:p>
    <w:p w:rsidR="003C7A34" w:rsidRDefault="003C7A34" w:rsidP="003C7A34">
      <w:pPr>
        <w:pStyle w:val="BodyText"/>
      </w:pPr>
      <w:r>
        <w:t>First, r</w:t>
      </w:r>
      <w:r w:rsidR="00CC5ABA">
        <w:t>ollouts could be targeted at</w:t>
      </w:r>
      <w:r w:rsidR="004C04E5">
        <w:t xml:space="preserve"> areas where demand </w:t>
      </w:r>
      <w:r w:rsidR="00BB6DB8">
        <w:t xml:space="preserve">was peakier and </w:t>
      </w:r>
      <w:r w:rsidR="00DD632F">
        <w:t>where</w:t>
      </w:r>
      <w:r w:rsidR="00CC5ABA">
        <w:t xml:space="preserve"> </w:t>
      </w:r>
      <w:r w:rsidR="00DD632F">
        <w:t xml:space="preserve">there were </w:t>
      </w:r>
      <w:r w:rsidR="00CC5ABA">
        <w:t xml:space="preserve">benefits from avoiding or deferring network augmentation (which, in any given period, requires that additional capacity would </w:t>
      </w:r>
      <w:r w:rsidR="00E6250F">
        <w:t xml:space="preserve">soon </w:t>
      </w:r>
      <w:r w:rsidR="00CC5ABA">
        <w:t xml:space="preserve">need to be built in the absence of demand management). </w:t>
      </w:r>
    </w:p>
    <w:p w:rsidR="003C7A34" w:rsidRDefault="003C7A34" w:rsidP="003C7A34">
      <w:pPr>
        <w:pStyle w:val="BodyText"/>
      </w:pPr>
      <w:r>
        <w:t>As noted by Ernst and Young, constraints tend to be localised:</w:t>
      </w:r>
    </w:p>
    <w:p w:rsidR="003C7A34" w:rsidRDefault="003C7A34" w:rsidP="003C7A34">
      <w:pPr>
        <w:pStyle w:val="Quote"/>
      </w:pPr>
      <w:r w:rsidRPr="003C7A34">
        <w:t xml:space="preserve">Whilst peak demand represents the maximum load on a section of the network within a given timeframe, </w:t>
      </w:r>
      <w:proofErr w:type="spellStart"/>
      <w:r w:rsidRPr="003C7A34">
        <w:t>NSPs</w:t>
      </w:r>
      <w:proofErr w:type="spellEnd"/>
      <w:r w:rsidRPr="003C7A34">
        <w:t xml:space="preserve"> </w:t>
      </w:r>
      <w:r w:rsidR="00F23AE0">
        <w:t xml:space="preserve">[Network Service Providers] </w:t>
      </w:r>
      <w:r w:rsidRPr="003C7A34">
        <w:t xml:space="preserve">do not build network capacity to meet whole-of-system peak </w:t>
      </w:r>
      <w:r w:rsidR="00F03ECC">
        <w:t xml:space="preserve">demand. </w:t>
      </w:r>
      <w:r w:rsidRPr="003C7A34">
        <w:t xml:space="preserve">Rather, network businesses identify localised network constraints and build additional capacity to address these specific constraints. In a network with multiple localised constraints, all of these constraints are unlikely to occur at the time of system peak demand. This may be due to the geographical size of the network, the network topology and local customer characteristics (such as customer density, load factor, customer type </w:t>
      </w:r>
      <w:proofErr w:type="spellStart"/>
      <w:r w:rsidRPr="003C7A34">
        <w:t>etc</w:t>
      </w:r>
      <w:proofErr w:type="spellEnd"/>
      <w:r w:rsidRPr="003C7A34">
        <w:t>).</w:t>
      </w:r>
      <w:r>
        <w:t xml:space="preserve"> </w:t>
      </w:r>
      <w:r w:rsidR="007765A5">
        <w:t>(2011, p. 69)</w:t>
      </w:r>
    </w:p>
    <w:p w:rsidR="003C7A34" w:rsidRDefault="003C7A34" w:rsidP="003C7A34">
      <w:pPr>
        <w:pStyle w:val="BodyText"/>
      </w:pPr>
      <w:r>
        <w:t>Addressing localised constraints through demand management requires several conditions to be in place:</w:t>
      </w:r>
    </w:p>
    <w:p w:rsidR="00D96BA8" w:rsidRDefault="00CC5ABA" w:rsidP="00D96BA8">
      <w:pPr>
        <w:pStyle w:val="ListBullet"/>
      </w:pPr>
      <w:r>
        <w:t xml:space="preserve">network business </w:t>
      </w:r>
      <w:r w:rsidR="00D96BA8">
        <w:t>must be</w:t>
      </w:r>
      <w:r>
        <w:t xml:space="preserve"> able to forecast such impending constraints a sufficient time ahead that a smart meter rollout could occur</w:t>
      </w:r>
      <w:r w:rsidR="00F67793">
        <w:t xml:space="preserve"> and that demand management would be a realistic alternative to network augmentation</w:t>
      </w:r>
      <w:r w:rsidR="00E6250F">
        <w:t xml:space="preserve">. Currently, it appears that </w:t>
      </w:r>
      <w:r w:rsidR="006A0641">
        <w:t xml:space="preserve">network businesses </w:t>
      </w:r>
      <w:r w:rsidR="00DF4DF0">
        <w:t>sometimes</w:t>
      </w:r>
      <w:r w:rsidR="006A0641">
        <w:t xml:space="preserve"> consider </w:t>
      </w:r>
      <w:r w:rsidR="00E6250F">
        <w:t xml:space="preserve">demand management as an alternative to network augmentation </w:t>
      </w:r>
      <w:r w:rsidR="006A0641">
        <w:t xml:space="preserve">only </w:t>
      </w:r>
      <w:r w:rsidR="00E6250F">
        <w:t xml:space="preserve">at the time when an investment decision </w:t>
      </w:r>
      <w:r w:rsidR="006A0641">
        <w:t xml:space="preserve">must otherwise be made </w:t>
      </w:r>
      <w:r w:rsidR="00F67793">
        <w:t xml:space="preserve">to avoid </w:t>
      </w:r>
      <w:r w:rsidR="00D96BA8">
        <w:t>an imminent constraint</w:t>
      </w:r>
      <w:r w:rsidR="00E6250F">
        <w:t xml:space="preserve">. If a demand management solution requires more time </w:t>
      </w:r>
      <w:r w:rsidR="00D96BA8">
        <w:t xml:space="preserve">than augmentation </w:t>
      </w:r>
      <w:r w:rsidR="00E6250F">
        <w:t xml:space="preserve">to relieve </w:t>
      </w:r>
      <w:r w:rsidR="00F67793">
        <w:t>an anticipated</w:t>
      </w:r>
      <w:r w:rsidR="00D96BA8">
        <w:t xml:space="preserve"> </w:t>
      </w:r>
      <w:r w:rsidR="00E6250F">
        <w:t>constraint, then there will be a tendency to build. Were demand management to have occurred earlier, then the build may have been avoidable</w:t>
      </w:r>
    </w:p>
    <w:p w:rsidR="00F67793" w:rsidRDefault="00F67793" w:rsidP="00F67793">
      <w:pPr>
        <w:pStyle w:val="ListBullet"/>
      </w:pPr>
      <w:r>
        <w:t>new tariffs could be developed and sufficient demand responses could be elicited</w:t>
      </w:r>
    </w:p>
    <w:p w:rsidR="00F67793" w:rsidRDefault="003C7A34" w:rsidP="00F67793">
      <w:pPr>
        <w:pStyle w:val="ListBullet"/>
      </w:pPr>
      <w:r>
        <w:t xml:space="preserve">there is enough certainty that a demand response solution will constrain demand in </w:t>
      </w:r>
      <w:r w:rsidR="00D96BA8">
        <w:t>a given</w:t>
      </w:r>
      <w:r>
        <w:t xml:space="preserve"> locality</w:t>
      </w:r>
      <w:r w:rsidR="007765A5">
        <w:t>.</w:t>
      </w:r>
    </w:p>
    <w:p w:rsidR="006A0641" w:rsidRDefault="00F67793" w:rsidP="003C7A34">
      <w:pPr>
        <w:pStyle w:val="BodyText"/>
      </w:pPr>
      <w:r>
        <w:t>Experiences with trials and the imminent adoption of time-based pricing in Victoria should</w:t>
      </w:r>
      <w:r w:rsidR="006A0641">
        <w:t xml:space="preserve"> make it easier to meet the latter two conditions. Moreover, </w:t>
      </w:r>
      <w:r w:rsidR="007A2AD6">
        <w:t>c</w:t>
      </w:r>
      <w:r>
        <w:t xml:space="preserve">hanges to the regulatory incentive arrangements that have previously encouraged augmentation ahead of other solutions should increase the likelihood that demand management options are considered. </w:t>
      </w:r>
    </w:p>
    <w:p w:rsidR="00AB2A11" w:rsidRDefault="006A0641" w:rsidP="003C7A34">
      <w:pPr>
        <w:pStyle w:val="BodyText"/>
      </w:pPr>
      <w:r>
        <w:t xml:space="preserve">Targeted rollouts </w:t>
      </w:r>
      <w:r w:rsidR="00CC5ABA">
        <w:t xml:space="preserve">would </w:t>
      </w:r>
      <w:r>
        <w:t xml:space="preserve">eventually </w:t>
      </w:r>
      <w:r w:rsidR="00CC5ABA">
        <w:t xml:space="preserve">lead to a </w:t>
      </w:r>
      <w:proofErr w:type="spellStart"/>
      <w:r w:rsidR="00CC5ABA">
        <w:t>NEM</w:t>
      </w:r>
      <w:proofErr w:type="spellEnd"/>
      <w:r w:rsidR="00CC5ABA">
        <w:t>-wide rollout</w:t>
      </w:r>
      <w:r>
        <w:t xml:space="preserve"> of meters</w:t>
      </w:r>
      <w:r w:rsidR="00CC5ABA">
        <w:t xml:space="preserve">, but implementation would be delayed for areas with lower peak use or where existing network infrastructure was sufficient for the medium term. </w:t>
      </w:r>
    </w:p>
    <w:p w:rsidR="006A0641" w:rsidRDefault="006A0641" w:rsidP="006A0641">
      <w:pPr>
        <w:pStyle w:val="Heading3"/>
      </w:pPr>
      <w:r>
        <w:lastRenderedPageBreak/>
        <w:t xml:space="preserve">A </w:t>
      </w:r>
      <w:proofErr w:type="spellStart"/>
      <w:r>
        <w:t>NEM</w:t>
      </w:r>
      <w:proofErr w:type="spellEnd"/>
      <w:r>
        <w:t>-wide approach</w:t>
      </w:r>
    </w:p>
    <w:p w:rsidR="004E6FC7" w:rsidRDefault="00BB6DB8" w:rsidP="003C7A34">
      <w:pPr>
        <w:pStyle w:val="BodyText"/>
      </w:pPr>
      <w:r>
        <w:t xml:space="preserve">As in Victoria and some European countries, an alternative approach is a mandatory and universal rollout of smart meters throughout the </w:t>
      </w:r>
      <w:proofErr w:type="spellStart"/>
      <w:r>
        <w:t>NEM</w:t>
      </w:r>
      <w:proofErr w:type="spellEnd"/>
      <w:r>
        <w:t xml:space="preserve"> (realistically achieved over several years).</w:t>
      </w:r>
      <w:r w:rsidR="004E6FC7">
        <w:t xml:space="preserve"> </w:t>
      </w:r>
    </w:p>
    <w:p w:rsidR="000A199F" w:rsidRDefault="001638B1" w:rsidP="000A199F">
      <w:pPr>
        <w:pStyle w:val="Heading2"/>
      </w:pPr>
      <w:r>
        <w:fldChar w:fldCharType="begin"/>
      </w:r>
      <w:r>
        <w:instrText xml:space="preserve"> COMMENTS  \* MERGEFORMAT </w:instrText>
      </w:r>
      <w:r>
        <w:fldChar w:fldCharType="separate"/>
      </w:r>
      <w:r w:rsidR="007F1CF0">
        <w:t>1.</w:t>
      </w:r>
      <w:r>
        <w:fldChar w:fldCharType="end"/>
      </w:r>
      <w:fldSimple w:instr=" SEQ Heading2 ">
        <w:r w:rsidR="00A71173">
          <w:rPr>
            <w:noProof/>
          </w:rPr>
          <w:t>6</w:t>
        </w:r>
      </w:fldSimple>
      <w:r w:rsidR="001E7459">
        <w:tab/>
      </w:r>
      <w:r w:rsidR="000A199F">
        <w:t xml:space="preserve">Valuing </w:t>
      </w:r>
      <w:r w:rsidR="00647B02">
        <w:t xml:space="preserve">any </w:t>
      </w:r>
      <w:r w:rsidR="000A199F">
        <w:t>reduction in peak demand</w:t>
      </w:r>
    </w:p>
    <w:p w:rsidR="00AD0240" w:rsidRDefault="003824A2" w:rsidP="000A199F">
      <w:pPr>
        <w:pStyle w:val="BodyText"/>
      </w:pPr>
      <w:r>
        <w:t xml:space="preserve">Reducing the growth in peak demand reduces the need for additional investment, and accordingly provides potentially large savings. </w:t>
      </w:r>
      <w:r w:rsidR="00AD0240">
        <w:t>The question is the appropriate measure of these cost savings. Two (readily confused</w:t>
      </w:r>
      <w:r w:rsidR="00AD0240">
        <w:rPr>
          <w:rStyle w:val="FootnoteReference"/>
        </w:rPr>
        <w:footnoteReference w:id="13"/>
      </w:r>
      <w:r w:rsidR="00AD0240">
        <w:t>) measures are cited as relevant to the cost o</w:t>
      </w:r>
      <w:r w:rsidR="0030574B">
        <w:t>f augmenting electricity supply.</w:t>
      </w:r>
    </w:p>
    <w:p w:rsidR="0030574B" w:rsidRDefault="0030574B" w:rsidP="0030574B">
      <w:pPr>
        <w:pStyle w:val="Heading3"/>
      </w:pPr>
      <w:r>
        <w:t>The upfront cost of a lumpy investment needed to resolve a constraint — short-run marginal cost</w:t>
      </w:r>
    </w:p>
    <w:p w:rsidR="00AD0240" w:rsidRDefault="00AD0240" w:rsidP="00AD0240">
      <w:pPr>
        <w:pStyle w:val="BodyText"/>
      </w:pPr>
      <w:r>
        <w:t xml:space="preserve">One </w:t>
      </w:r>
      <w:r w:rsidR="002B043D">
        <w:t xml:space="preserve">measure of the cost </w:t>
      </w:r>
      <w:r>
        <w:t xml:space="preserve">is the </w:t>
      </w:r>
      <w:r w:rsidR="002B043D">
        <w:t xml:space="preserve">value of the </w:t>
      </w:r>
      <w:r>
        <w:t xml:space="preserve">entire upfront investment </w:t>
      </w:r>
      <w:r w:rsidR="002B043D">
        <w:t>needed to add</w:t>
      </w:r>
      <w:r>
        <w:t xml:space="preserve"> a given increment to supply. This is the short-run marginal cost (</w:t>
      </w:r>
      <w:proofErr w:type="spellStart"/>
      <w:r>
        <w:t>SRMC</w:t>
      </w:r>
      <w:proofErr w:type="spellEnd"/>
      <w:r>
        <w:t xml:space="preserve">) of </w:t>
      </w:r>
      <w:r w:rsidRPr="004F663B">
        <w:t xml:space="preserve">network </w:t>
      </w:r>
      <w:r>
        <w:t xml:space="preserve">and generation </w:t>
      </w:r>
      <w:r w:rsidRPr="004F663B">
        <w:t xml:space="preserve">replacement </w:t>
      </w:r>
      <w:r>
        <w:t>at the point when</w:t>
      </w:r>
      <w:r w:rsidRPr="004F663B">
        <w:t xml:space="preserve"> </w:t>
      </w:r>
      <w:r>
        <w:t>supply constraints are</w:t>
      </w:r>
      <w:r w:rsidRPr="004F663B">
        <w:t xml:space="preserve"> so great as to require a new large fixed investment</w:t>
      </w:r>
      <w:r>
        <w:t>.</w:t>
      </w:r>
      <w:r>
        <w:rPr>
          <w:rStyle w:val="FootnoteReference"/>
        </w:rPr>
        <w:footnoteReference w:id="14"/>
      </w:r>
      <w:r>
        <w:t xml:space="preserve"> In the case of generation, the marginal cost at this point </w:t>
      </w:r>
      <w:r w:rsidR="001B7304">
        <w:t>might</w:t>
      </w:r>
      <w:r>
        <w:t xml:space="preserve"> be the cost of building a peaking generator. In distribution networks, it might be the construction of a new zone substation. </w:t>
      </w:r>
      <w:r w:rsidR="0030574B">
        <w:t>If achieved in time, a</w:t>
      </w:r>
      <w:r>
        <w:t xml:space="preserve"> relatively modest reduction in demand arising from demand management may defer the lumpy investment. </w:t>
      </w:r>
    </w:p>
    <w:p w:rsidR="00AD0240" w:rsidRDefault="00AD0240" w:rsidP="00AD0240">
      <w:pPr>
        <w:pStyle w:val="BodyText"/>
      </w:pPr>
      <w:r>
        <w:t xml:space="preserve">The Commission received advice from </w:t>
      </w:r>
      <w:proofErr w:type="spellStart"/>
      <w:r>
        <w:t>Ausgrid</w:t>
      </w:r>
      <w:proofErr w:type="spellEnd"/>
      <w:r>
        <w:t xml:space="preserve"> about the short-run marginal cost of new capacity, with the costs being:</w:t>
      </w:r>
    </w:p>
    <w:p w:rsidR="00AD0240" w:rsidRDefault="00AD0240" w:rsidP="001B7304">
      <w:pPr>
        <w:pStyle w:val="ListBullet"/>
      </w:pPr>
      <w:r>
        <w:t xml:space="preserve">$1000 per kW for generation </w:t>
      </w:r>
    </w:p>
    <w:p w:rsidR="00AD0240" w:rsidRDefault="00AD0240" w:rsidP="001B7304">
      <w:pPr>
        <w:pStyle w:val="ListBullet"/>
      </w:pPr>
      <w:r>
        <w:t xml:space="preserve">$400–$1000 per kW for transmission (with a preferred estimate of $800) </w:t>
      </w:r>
    </w:p>
    <w:p w:rsidR="00AD0240" w:rsidRDefault="00AD0240" w:rsidP="001B7304">
      <w:pPr>
        <w:pStyle w:val="ListBullet"/>
      </w:pPr>
      <w:r>
        <w:t xml:space="preserve">$1500–$2000 per kW for distribution (with a preferred estimate of $1500). </w:t>
      </w:r>
    </w:p>
    <w:p w:rsidR="00AD0240" w:rsidRDefault="00AD0240" w:rsidP="001B7304">
      <w:pPr>
        <w:pStyle w:val="BodyText"/>
      </w:pPr>
      <w:r>
        <w:lastRenderedPageBreak/>
        <w:t xml:space="preserve">AECOM (2012) developed a range of </w:t>
      </w:r>
      <w:proofErr w:type="spellStart"/>
      <w:r>
        <w:t>SRMC</w:t>
      </w:r>
      <w:proofErr w:type="spellEnd"/>
      <w:r>
        <w:t xml:space="preserve"> estimates based on the ratio of growth-related capital expenditure and increased maximum demand. When the estimates from </w:t>
      </w:r>
      <w:proofErr w:type="spellStart"/>
      <w:r>
        <w:t>Ausgrid</w:t>
      </w:r>
      <w:proofErr w:type="spellEnd"/>
      <w:r>
        <w:t xml:space="preserve"> and AECOM are conso</w:t>
      </w:r>
      <w:r w:rsidR="001B7304">
        <w:t xml:space="preserve">lidated, and outliers removed, </w:t>
      </w:r>
      <w:r>
        <w:t xml:space="preserve">the best estimates of the </w:t>
      </w:r>
      <w:proofErr w:type="spellStart"/>
      <w:r>
        <w:t>SRMC</w:t>
      </w:r>
      <w:proofErr w:type="spellEnd"/>
      <w:r>
        <w:t xml:space="preserve"> of additional capacity are:</w:t>
      </w:r>
    </w:p>
    <w:p w:rsidR="00AD0240" w:rsidRDefault="00AD0240" w:rsidP="001B7304">
      <w:pPr>
        <w:pStyle w:val="ListBullet"/>
      </w:pPr>
      <w:r>
        <w:t>$900 per kW for generation</w:t>
      </w:r>
    </w:p>
    <w:p w:rsidR="00AD0240" w:rsidRDefault="00AD0240" w:rsidP="001B7304">
      <w:pPr>
        <w:pStyle w:val="ListBullet"/>
      </w:pPr>
      <w:r>
        <w:t>$470–$900 per kW for transmission</w:t>
      </w:r>
    </w:p>
    <w:p w:rsidR="00AD0240" w:rsidRDefault="00AD0240" w:rsidP="001B7304">
      <w:pPr>
        <w:pStyle w:val="ListBullet"/>
      </w:pPr>
      <w:r>
        <w:t>$2200–$3300 per kW for distribution.</w:t>
      </w:r>
    </w:p>
    <w:p w:rsidR="009F7E57" w:rsidRPr="00006103" w:rsidRDefault="00AD0240" w:rsidP="009F7E57">
      <w:pPr>
        <w:pStyle w:val="BodyText"/>
      </w:pPr>
      <w:r>
        <w:t>This suggests that short-run marginal costs of delivering peak power to consumers could be as high as $3600–$5100 per kW.</w:t>
      </w:r>
      <w:r w:rsidR="009F7E57">
        <w:t xml:space="preserve"> However, for the short-run savings from demand management to be that high would require sufficient reductions in peak electricity demand to simultaneously avoid or defer the need for new generation, transmission </w:t>
      </w:r>
      <w:r w:rsidR="009F7E57">
        <w:rPr>
          <w:u w:val="single"/>
        </w:rPr>
        <w:t>and</w:t>
      </w:r>
      <w:r w:rsidR="009F7E57">
        <w:t xml:space="preserve"> distribution capacity.</w:t>
      </w:r>
      <w:r w:rsidR="008C3616">
        <w:t xml:space="preserve"> The scope of regionally-focused demand management to defer network augmentation is more likely to occur in just the distribution network. </w:t>
      </w:r>
    </w:p>
    <w:p w:rsidR="002B043D" w:rsidRDefault="002B043D" w:rsidP="002B043D">
      <w:pPr>
        <w:pStyle w:val="Heading3"/>
      </w:pPr>
      <w:r>
        <w:t>A long-run perspective on the costs of capacity</w:t>
      </w:r>
    </w:p>
    <w:p w:rsidR="00AD0240" w:rsidRPr="001C17C0" w:rsidRDefault="00AD0240" w:rsidP="001B7304">
      <w:pPr>
        <w:pStyle w:val="BodyText"/>
      </w:pPr>
      <w:r>
        <w:t xml:space="preserve">The other cost </w:t>
      </w:r>
      <w:r w:rsidR="002B043D">
        <w:t xml:space="preserve">measure </w:t>
      </w:r>
      <w:r>
        <w:t>is the long-run marginal cost (</w:t>
      </w:r>
      <w:proofErr w:type="spellStart"/>
      <w:r>
        <w:t>LRMC</w:t>
      </w:r>
      <w:proofErr w:type="spellEnd"/>
      <w:r>
        <w:t>) of supplying capacity. As discussed in chapter 11, there are different ways of calculat</w:t>
      </w:r>
      <w:r w:rsidR="0021709E">
        <w:t xml:space="preserve">ing the </w:t>
      </w:r>
      <w:proofErr w:type="spellStart"/>
      <w:r w:rsidR="0021709E">
        <w:t>LRMC</w:t>
      </w:r>
      <w:proofErr w:type="spellEnd"/>
      <w:r w:rsidR="0021709E">
        <w:t>, but fundamentally,</w:t>
      </w:r>
      <w:r>
        <w:t xml:space="preserve"> it measures the annual</w:t>
      </w:r>
      <w:r w:rsidR="002B043D">
        <w:t>ised</w:t>
      </w:r>
      <w:r>
        <w:t xml:space="preserve"> cost of supplying the required capacity over the life of the asset. </w:t>
      </w:r>
      <w:r w:rsidR="00624786">
        <w:t xml:space="preserve">Accordingly, unlike the </w:t>
      </w:r>
      <w:proofErr w:type="spellStart"/>
      <w:r w:rsidR="00624786">
        <w:t>SRMC</w:t>
      </w:r>
      <w:proofErr w:type="spellEnd"/>
      <w:r w:rsidR="00624786">
        <w:t xml:space="preserve">, the </w:t>
      </w:r>
      <w:proofErr w:type="spellStart"/>
      <w:r w:rsidR="00624786">
        <w:t>LRMC</w:t>
      </w:r>
      <w:proofErr w:type="spellEnd"/>
      <w:r w:rsidR="00624786">
        <w:t xml:space="preserve"> is measure</w:t>
      </w:r>
      <w:r w:rsidR="005F00A1">
        <w:t>d</w:t>
      </w:r>
      <w:r w:rsidR="00624786">
        <w:t xml:space="preserve"> in per year terms. </w:t>
      </w:r>
      <w:r>
        <w:t>The Commission reviewed existing estimates of the long-run marginal cost of delivering an additional kW to an end user during peak periods,</w:t>
      </w:r>
      <w:r>
        <w:rPr>
          <w:rStyle w:val="FootnoteReference"/>
        </w:rPr>
        <w:footnoteReference w:id="15"/>
      </w:r>
      <w:r>
        <w:t xml:space="preserve"> and found the following ranges plausible:</w:t>
      </w:r>
    </w:p>
    <w:p w:rsidR="00AD0240" w:rsidRPr="001B4980" w:rsidRDefault="00AD0240" w:rsidP="001B7304">
      <w:pPr>
        <w:pStyle w:val="ListBullet"/>
        <w:rPr>
          <w:rFonts w:eastAsiaTheme="minorHAnsi"/>
        </w:rPr>
      </w:pPr>
      <w:r>
        <w:rPr>
          <w:rFonts w:eastAsiaTheme="minorHAnsi"/>
        </w:rPr>
        <w:t xml:space="preserve">$150 to $220 </w:t>
      </w:r>
      <w:r>
        <w:t>of distribution infrastructure costs for an additional kW per year</w:t>
      </w:r>
    </w:p>
    <w:p w:rsidR="00AD0240" w:rsidRDefault="00AD0240" w:rsidP="001B7304">
      <w:pPr>
        <w:pStyle w:val="ListBullet"/>
        <w:rPr>
          <w:rFonts w:eastAsiaTheme="minorHAnsi"/>
        </w:rPr>
      </w:pPr>
      <w:r>
        <w:t>$30 to $70 of additional transmission capacity costs for each kW per year</w:t>
      </w:r>
    </w:p>
    <w:p w:rsidR="00AD0240" w:rsidRDefault="00AD0240" w:rsidP="001B7304">
      <w:pPr>
        <w:pStyle w:val="ListBullet"/>
      </w:pPr>
      <w:r>
        <w:t>$90 of generation infrastructure costs for an additional kW per year.</w:t>
      </w:r>
    </w:p>
    <w:p w:rsidR="001B7304" w:rsidRDefault="00AD0240" w:rsidP="00AD0240">
      <w:pPr>
        <w:pStyle w:val="BodyText"/>
      </w:pPr>
      <w:r>
        <w:t>This suggests that, i</w:t>
      </w:r>
      <w:r w:rsidRPr="006A7EE9">
        <w:t xml:space="preserve">n aggregate, </w:t>
      </w:r>
      <w:r>
        <w:t>the l</w:t>
      </w:r>
      <w:r w:rsidRPr="006A7EE9">
        <w:t>ong</w:t>
      </w:r>
      <w:r>
        <w:t>-</w:t>
      </w:r>
      <w:r w:rsidRPr="006A7EE9">
        <w:t xml:space="preserve">run marginal cost of delivering peak power to consumers </w:t>
      </w:r>
      <w:r>
        <w:t xml:space="preserve">is likely to be somewhere in the range of </w:t>
      </w:r>
      <w:r w:rsidRPr="006A7EE9">
        <w:t>$</w:t>
      </w:r>
      <w:r>
        <w:t>270</w:t>
      </w:r>
      <w:r w:rsidRPr="006A7EE9">
        <w:t>–</w:t>
      </w:r>
      <w:r>
        <w:t>$380</w:t>
      </w:r>
      <w:r w:rsidRPr="006A7EE9">
        <w:t xml:space="preserve"> per kW</w:t>
      </w:r>
      <w:r>
        <w:t xml:space="preserve"> per year</w:t>
      </w:r>
      <w:r w:rsidR="001B7304">
        <w:t>.</w:t>
      </w:r>
      <w:r w:rsidR="00B614A8">
        <w:rPr>
          <w:rStyle w:val="FootnoteReference"/>
        </w:rPr>
        <w:footnoteReference w:id="16"/>
      </w:r>
    </w:p>
    <w:p w:rsidR="00B614A8" w:rsidRDefault="007F00C9" w:rsidP="00B614A8">
      <w:pPr>
        <w:pStyle w:val="Heading3"/>
      </w:pPr>
      <w:r>
        <w:lastRenderedPageBreak/>
        <w:t>Both measures have value</w:t>
      </w:r>
    </w:p>
    <w:p w:rsidR="00CD3BC2" w:rsidRDefault="000960CE" w:rsidP="00AD0240">
      <w:pPr>
        <w:pStyle w:val="BodyText"/>
      </w:pPr>
      <w:r>
        <w:t xml:space="preserve">Both </w:t>
      </w:r>
      <w:r w:rsidR="00B614A8">
        <w:t xml:space="preserve">the </w:t>
      </w:r>
      <w:proofErr w:type="spellStart"/>
      <w:r w:rsidR="00B614A8">
        <w:t>SRMC</w:t>
      </w:r>
      <w:proofErr w:type="spellEnd"/>
      <w:r w:rsidR="00B614A8">
        <w:t xml:space="preserve"> and </w:t>
      </w:r>
      <w:proofErr w:type="spellStart"/>
      <w:r w:rsidR="00B614A8">
        <w:t>LRMC</w:t>
      </w:r>
      <w:proofErr w:type="spellEnd"/>
      <w:r w:rsidR="00B614A8">
        <w:t xml:space="preserve"> </w:t>
      </w:r>
      <w:r>
        <w:t xml:space="preserve">have value in considering the </w:t>
      </w:r>
      <w:r w:rsidR="00B614A8">
        <w:t>impacts</w:t>
      </w:r>
      <w:r>
        <w:t xml:space="preserve"> of demand management.</w:t>
      </w:r>
      <w:r w:rsidR="007F00C9">
        <w:t xml:space="preserve"> In areas where a large lumpy investment must be made, </w:t>
      </w:r>
      <w:r w:rsidR="00CD3BC2">
        <w:t xml:space="preserve">a relatively small amount of </w:t>
      </w:r>
      <w:r w:rsidR="00082E45">
        <w:t xml:space="preserve">demand management may </w:t>
      </w:r>
      <w:r w:rsidR="00CD3BC2">
        <w:t xml:space="preserve">sufficiently address constraints that an </w:t>
      </w:r>
      <w:r w:rsidR="00082E45">
        <w:t>entire investment</w:t>
      </w:r>
      <w:r w:rsidR="00CD3BC2">
        <w:t xml:space="preserve"> may be deferred for one or more years</w:t>
      </w:r>
      <w:r w:rsidR="00082E45">
        <w:t xml:space="preserve">. </w:t>
      </w:r>
      <w:r w:rsidR="00CD3BC2">
        <w:t>(Given it is deferral, not complete avoidance of the need for investment, the value is the deferral value, not the value of the whole investment.)</w:t>
      </w:r>
      <w:r w:rsidR="00CD3BC2">
        <w:rPr>
          <w:rStyle w:val="FootnoteReference"/>
        </w:rPr>
        <w:footnoteReference w:id="17"/>
      </w:r>
    </w:p>
    <w:p w:rsidR="00B614A8" w:rsidRDefault="00CD3BC2" w:rsidP="00AD0240">
      <w:pPr>
        <w:pStyle w:val="BodyText"/>
      </w:pPr>
      <w:r>
        <w:t>However, more commonly, the appropriate measure of deferred or avoided investment</w:t>
      </w:r>
      <w:r w:rsidR="009A6D12">
        <w:t xml:space="preserve"> is </w:t>
      </w:r>
      <w:r w:rsidR="006F398B">
        <w:t xml:space="preserve">the </w:t>
      </w:r>
      <w:proofErr w:type="spellStart"/>
      <w:r w:rsidR="006F398B">
        <w:t>LRMC</w:t>
      </w:r>
      <w:proofErr w:type="spellEnd"/>
      <w:r w:rsidR="006F398B">
        <w:t>, which recognises that</w:t>
      </w:r>
      <w:r w:rsidR="009A6D12">
        <w:t>,</w:t>
      </w:r>
      <w:r w:rsidR="006F398B">
        <w:t xml:space="preserve"> </w:t>
      </w:r>
      <w:r w:rsidR="009A6D12">
        <w:t xml:space="preserve">on average, demand management can steadily reduce (and sometimes avoid altogether) the required incremental expansion of the network. Most studies of the impacts of demand management have used estimates of the </w:t>
      </w:r>
      <w:proofErr w:type="spellStart"/>
      <w:r w:rsidR="009A6D12">
        <w:t>LRMC</w:t>
      </w:r>
      <w:proofErr w:type="spellEnd"/>
      <w:r w:rsidR="009A6D12">
        <w:t xml:space="preserve"> in valuing savings in network augmentation. In all of its scenarios, the Commission has used a </w:t>
      </w:r>
      <w:proofErr w:type="spellStart"/>
      <w:r w:rsidR="009A6D12">
        <w:t>LRMC</w:t>
      </w:r>
      <w:proofErr w:type="spellEnd"/>
      <w:r w:rsidR="009A6D12">
        <w:t xml:space="preserve"> estimate of between </w:t>
      </w:r>
      <w:r w:rsidR="009A6D12" w:rsidRPr="006A7EE9">
        <w:t>$</w:t>
      </w:r>
      <w:r w:rsidR="009A6D12">
        <w:t>270 and $380</w:t>
      </w:r>
      <w:r w:rsidR="009A6D12" w:rsidRPr="006A7EE9">
        <w:t xml:space="preserve"> per kW</w:t>
      </w:r>
      <w:r w:rsidR="009A6D12">
        <w:t xml:space="preserve"> per year (as derived above).</w:t>
      </w:r>
      <w:r w:rsidR="009A6D12">
        <w:rPr>
          <w:rStyle w:val="FootnoteReference"/>
        </w:rPr>
        <w:footnoteReference w:id="18"/>
      </w:r>
      <w:r w:rsidR="009A6D12">
        <w:t xml:space="preserve"> </w:t>
      </w:r>
    </w:p>
    <w:p w:rsidR="00E022A7" w:rsidRDefault="001638B1" w:rsidP="00E022A7">
      <w:pPr>
        <w:pStyle w:val="Heading2"/>
      </w:pPr>
      <w:r>
        <w:fldChar w:fldCharType="begin"/>
      </w:r>
      <w:r>
        <w:instrText xml:space="preserve"> COMMENTS  \* MERGEFORMAT </w:instrText>
      </w:r>
      <w:r>
        <w:fldChar w:fldCharType="separate"/>
      </w:r>
      <w:r w:rsidR="007F1CF0">
        <w:t>1.</w:t>
      </w:r>
      <w:r>
        <w:fldChar w:fldCharType="end"/>
      </w:r>
      <w:fldSimple w:instr=" SEQ Heading2 ">
        <w:r w:rsidR="00A71173">
          <w:rPr>
            <w:noProof/>
          </w:rPr>
          <w:t>7</w:t>
        </w:r>
      </w:fldSimple>
      <w:r w:rsidR="00E022A7">
        <w:tab/>
        <w:t>Interpreting the results of the cost-benefit scenarios</w:t>
      </w:r>
    </w:p>
    <w:p w:rsidR="00F66D83" w:rsidRDefault="00F66D83" w:rsidP="00E022A7">
      <w:pPr>
        <w:pStyle w:val="BodyText"/>
        <w:rPr>
          <w:lang w:eastAsia="en-US"/>
        </w:rPr>
      </w:pPr>
      <w:r>
        <w:rPr>
          <w:lang w:eastAsia="en-US"/>
        </w:rPr>
        <w:t>The tables below identify the c</w:t>
      </w:r>
      <w:r w:rsidR="007873D1">
        <w:rPr>
          <w:lang w:eastAsia="en-US"/>
        </w:rPr>
        <w:t>osts and benefits for each of the scenarios</w:t>
      </w:r>
      <w:r>
        <w:rPr>
          <w:lang w:eastAsia="en-US"/>
        </w:rPr>
        <w:t>. Such costs and benefits are dep</w:t>
      </w:r>
      <w:r w:rsidR="00F541D4">
        <w:rPr>
          <w:lang w:eastAsia="en-US"/>
        </w:rPr>
        <w:t>icte</w:t>
      </w:r>
      <w:r w:rsidR="0001007F">
        <w:rPr>
          <w:lang w:eastAsia="en-US"/>
        </w:rPr>
        <w:t>d in several ways:</w:t>
      </w:r>
    </w:p>
    <w:p w:rsidR="00F66D83" w:rsidRDefault="00F66D83" w:rsidP="00622CE8">
      <w:pPr>
        <w:pStyle w:val="BodyText"/>
        <w:numPr>
          <w:ilvl w:val="0"/>
          <w:numId w:val="24"/>
        </w:numPr>
        <w:tabs>
          <w:tab w:val="left" w:pos="3288"/>
        </w:tabs>
        <w:rPr>
          <w:lang w:eastAsia="en-US"/>
        </w:rPr>
      </w:pPr>
      <w:r>
        <w:rPr>
          <w:lang w:eastAsia="en-US"/>
        </w:rPr>
        <w:t xml:space="preserve">as the net present value </w:t>
      </w:r>
      <w:r w:rsidR="007B40C8">
        <w:rPr>
          <w:lang w:eastAsia="en-US"/>
        </w:rPr>
        <w:t>(</w:t>
      </w:r>
      <w:proofErr w:type="spellStart"/>
      <w:r w:rsidR="00104577">
        <w:rPr>
          <w:lang w:eastAsia="en-US"/>
        </w:rPr>
        <w:t>NPV</w:t>
      </w:r>
      <w:proofErr w:type="spellEnd"/>
      <w:r w:rsidR="007B40C8">
        <w:rPr>
          <w:lang w:eastAsia="en-US"/>
        </w:rPr>
        <w:t xml:space="preserve">) </w:t>
      </w:r>
      <w:r>
        <w:rPr>
          <w:lang w:eastAsia="en-US"/>
        </w:rPr>
        <w:t xml:space="preserve">of the stream of </w:t>
      </w:r>
      <w:r w:rsidR="00613E30">
        <w:rPr>
          <w:lang w:eastAsia="en-US"/>
        </w:rPr>
        <w:t xml:space="preserve">cost and </w:t>
      </w:r>
      <w:r>
        <w:rPr>
          <w:lang w:eastAsia="en-US"/>
        </w:rPr>
        <w:t xml:space="preserve">benefits </w:t>
      </w:r>
      <w:r w:rsidR="00F541D4">
        <w:rPr>
          <w:lang w:eastAsia="en-US"/>
        </w:rPr>
        <w:t>over the life of the smart meters</w:t>
      </w:r>
      <w:r w:rsidR="007B40C8">
        <w:rPr>
          <w:lang w:eastAsia="en-US"/>
        </w:rPr>
        <w:t xml:space="preserve"> using a real discount rate </w:t>
      </w:r>
      <w:r w:rsidR="00622CE8">
        <w:rPr>
          <w:lang w:eastAsia="en-US"/>
        </w:rPr>
        <w:t xml:space="preserve">of </w:t>
      </w:r>
      <w:r w:rsidR="00DA633F">
        <w:rPr>
          <w:lang w:eastAsia="en-US"/>
        </w:rPr>
        <w:t>8</w:t>
      </w:r>
      <w:r w:rsidR="00622CE8">
        <w:rPr>
          <w:lang w:eastAsia="en-US"/>
        </w:rPr>
        <w:t> per cent</w:t>
      </w:r>
      <w:r w:rsidR="00104577">
        <w:rPr>
          <w:rStyle w:val="FootnoteReference"/>
          <w:lang w:eastAsia="en-US"/>
        </w:rPr>
        <w:footnoteReference w:id="19"/>
      </w:r>
    </w:p>
    <w:p w:rsidR="00622CE8" w:rsidRDefault="00613E30" w:rsidP="00D60534">
      <w:pPr>
        <w:pStyle w:val="BodyText"/>
        <w:numPr>
          <w:ilvl w:val="0"/>
          <w:numId w:val="24"/>
        </w:numPr>
        <w:tabs>
          <w:tab w:val="left" w:pos="3288"/>
        </w:tabs>
        <w:rPr>
          <w:lang w:eastAsia="en-US"/>
        </w:rPr>
      </w:pPr>
      <w:r>
        <w:rPr>
          <w:lang w:eastAsia="en-US"/>
        </w:rPr>
        <w:t xml:space="preserve">as the </w:t>
      </w:r>
      <w:proofErr w:type="spellStart"/>
      <w:r w:rsidR="00104577">
        <w:rPr>
          <w:lang w:eastAsia="en-US"/>
        </w:rPr>
        <w:t>NPV</w:t>
      </w:r>
      <w:proofErr w:type="spellEnd"/>
      <w:r>
        <w:rPr>
          <w:lang w:eastAsia="en-US"/>
        </w:rPr>
        <w:t xml:space="preserve"> of the stream of costs and benefits </w:t>
      </w:r>
      <w:r w:rsidR="00622CE8" w:rsidRPr="00622CE8">
        <w:rPr>
          <w:i/>
          <w:lang w:eastAsia="en-US"/>
        </w:rPr>
        <w:t>per household</w:t>
      </w:r>
      <w:r w:rsidR="00622CE8">
        <w:rPr>
          <w:lang w:eastAsia="en-US"/>
        </w:rPr>
        <w:t xml:space="preserve"> using smart meters or direct load control. </w:t>
      </w:r>
      <w:r w:rsidR="00D955A2">
        <w:rPr>
          <w:lang w:eastAsia="en-US"/>
        </w:rPr>
        <w:t>The advantage of this measure is that it recognises that</w:t>
      </w:r>
      <w:r w:rsidR="00D955A2" w:rsidRPr="00D955A2">
        <w:rPr>
          <w:lang w:eastAsia="en-US"/>
        </w:rPr>
        <w:t xml:space="preserve"> the number of </w:t>
      </w:r>
      <w:r w:rsidR="00D955A2">
        <w:rPr>
          <w:lang w:eastAsia="en-US"/>
        </w:rPr>
        <w:t>households</w:t>
      </w:r>
      <w:r w:rsidR="00D955A2" w:rsidRPr="00D955A2">
        <w:rPr>
          <w:lang w:eastAsia="en-US"/>
        </w:rPr>
        <w:t xml:space="preserve"> </w:t>
      </w:r>
      <w:r w:rsidR="00D955A2">
        <w:rPr>
          <w:lang w:eastAsia="en-US"/>
        </w:rPr>
        <w:t>that</w:t>
      </w:r>
      <w:r w:rsidR="00D955A2" w:rsidRPr="00D955A2">
        <w:rPr>
          <w:lang w:eastAsia="en-US"/>
        </w:rPr>
        <w:t xml:space="preserve"> could participate </w:t>
      </w:r>
      <w:r w:rsidR="00D955A2">
        <w:rPr>
          <w:lang w:eastAsia="en-US"/>
        </w:rPr>
        <w:t>in a demand management policy</w:t>
      </w:r>
      <w:r w:rsidR="00D955A2" w:rsidRPr="00D955A2">
        <w:rPr>
          <w:lang w:eastAsia="en-US"/>
        </w:rPr>
        <w:t xml:space="preserve"> differs substantially across the scenarios. </w:t>
      </w:r>
      <w:r w:rsidR="00D955A2">
        <w:rPr>
          <w:lang w:eastAsia="en-US"/>
        </w:rPr>
        <w:t>For example, in the scenario where network distributors roll</w:t>
      </w:r>
      <w:r w:rsidR="00D60534">
        <w:rPr>
          <w:lang w:eastAsia="en-US"/>
        </w:rPr>
        <w:t xml:space="preserve"> </w:t>
      </w:r>
      <w:r w:rsidR="00D955A2">
        <w:rPr>
          <w:lang w:eastAsia="en-US"/>
        </w:rPr>
        <w:t xml:space="preserve">out smart meters </w:t>
      </w:r>
      <w:r w:rsidR="00D955A2">
        <w:rPr>
          <w:lang w:eastAsia="en-US"/>
        </w:rPr>
        <w:lastRenderedPageBreak/>
        <w:t xml:space="preserve">sequentially, region by region, the calculations </w:t>
      </w:r>
      <w:r w:rsidR="00D60534">
        <w:rPr>
          <w:lang w:eastAsia="en-US"/>
        </w:rPr>
        <w:t>are based on</w:t>
      </w:r>
      <w:r w:rsidR="00D955A2">
        <w:rPr>
          <w:lang w:eastAsia="en-US"/>
        </w:rPr>
        <w:t xml:space="preserve"> a single regional rollout with 100 per cent participation rates in each region. </w:t>
      </w:r>
      <w:r w:rsidR="00D60534">
        <w:rPr>
          <w:lang w:eastAsia="en-US"/>
        </w:rPr>
        <w:t>By definition</w:t>
      </w:r>
      <w:r w:rsidR="00D955A2">
        <w:rPr>
          <w:lang w:eastAsia="en-US"/>
        </w:rPr>
        <w:t>, the</w:t>
      </w:r>
      <w:r w:rsidR="00E26D33">
        <w:rPr>
          <w:lang w:eastAsia="en-US"/>
        </w:rPr>
        <w:t>se</w:t>
      </w:r>
      <w:r w:rsidR="00D955A2">
        <w:rPr>
          <w:lang w:eastAsia="en-US"/>
        </w:rPr>
        <w:t xml:space="preserve"> results relate to a smaller number of households than </w:t>
      </w:r>
      <w:r w:rsidR="00E26D33">
        <w:rPr>
          <w:lang w:eastAsia="en-US"/>
        </w:rPr>
        <w:t>an</w:t>
      </w:r>
      <w:r w:rsidR="00D955A2">
        <w:rPr>
          <w:lang w:eastAsia="en-US"/>
        </w:rPr>
        <w:t xml:space="preserve"> analysis of a rapid </w:t>
      </w:r>
      <w:proofErr w:type="spellStart"/>
      <w:r w:rsidR="00D955A2">
        <w:rPr>
          <w:lang w:eastAsia="en-US"/>
        </w:rPr>
        <w:t>NEM</w:t>
      </w:r>
      <w:proofErr w:type="spellEnd"/>
      <w:r w:rsidR="00D955A2">
        <w:rPr>
          <w:lang w:eastAsia="en-US"/>
        </w:rPr>
        <w:t xml:space="preserve">-wide rollout. </w:t>
      </w:r>
      <w:r w:rsidR="00D60534">
        <w:rPr>
          <w:lang w:eastAsia="en-US"/>
        </w:rPr>
        <w:t xml:space="preserve">In turn, the </w:t>
      </w:r>
      <w:r w:rsidR="00D60534" w:rsidRPr="00D60534">
        <w:rPr>
          <w:i/>
          <w:lang w:eastAsia="en-US"/>
        </w:rPr>
        <w:t>absolute</w:t>
      </w:r>
      <w:r w:rsidR="00D60534">
        <w:rPr>
          <w:lang w:eastAsia="en-US"/>
        </w:rPr>
        <w:t xml:space="preserve"> value of the costs and benefits</w:t>
      </w:r>
      <w:r w:rsidR="00D60534" w:rsidRPr="00D60534">
        <w:rPr>
          <w:i/>
          <w:lang w:eastAsia="en-US"/>
        </w:rPr>
        <w:t xml:space="preserve"> </w:t>
      </w:r>
      <w:r w:rsidR="00D60534" w:rsidRPr="00D60534">
        <w:rPr>
          <w:lang w:eastAsia="en-US"/>
        </w:rPr>
        <w:t>of any given regional rollout i</w:t>
      </w:r>
      <w:r w:rsidR="00D60534">
        <w:rPr>
          <w:lang w:eastAsia="en-US"/>
        </w:rPr>
        <w:t xml:space="preserve">s also small compared with an untargeted rapid </w:t>
      </w:r>
      <w:proofErr w:type="spellStart"/>
      <w:r w:rsidR="00D60534">
        <w:rPr>
          <w:lang w:eastAsia="en-US"/>
        </w:rPr>
        <w:t>NEM</w:t>
      </w:r>
      <w:proofErr w:type="spellEnd"/>
      <w:r w:rsidR="00D60534">
        <w:rPr>
          <w:lang w:eastAsia="en-US"/>
        </w:rPr>
        <w:t xml:space="preserve">-wide rollout. However, </w:t>
      </w:r>
      <w:r w:rsidR="00E26D33">
        <w:rPr>
          <w:lang w:eastAsia="en-US"/>
        </w:rPr>
        <w:t>an absolute measure of costs and benefits would be misleading because,</w:t>
      </w:r>
      <w:r w:rsidR="00D60534">
        <w:rPr>
          <w:lang w:eastAsia="en-US"/>
        </w:rPr>
        <w:t xml:space="preserve"> </w:t>
      </w:r>
      <w:r w:rsidR="00E26D33">
        <w:rPr>
          <w:lang w:eastAsia="en-US"/>
        </w:rPr>
        <w:t xml:space="preserve">on a per household basis, </w:t>
      </w:r>
      <w:r w:rsidR="00D60534">
        <w:rPr>
          <w:lang w:eastAsia="en-US"/>
        </w:rPr>
        <w:t xml:space="preserve">the net benefits are greater for a sequenced and targeted regional rollout than a </w:t>
      </w:r>
      <w:proofErr w:type="spellStart"/>
      <w:r w:rsidR="00D60534">
        <w:rPr>
          <w:lang w:eastAsia="en-US"/>
        </w:rPr>
        <w:t>NEM</w:t>
      </w:r>
      <w:proofErr w:type="spellEnd"/>
      <w:r w:rsidR="00D60534">
        <w:rPr>
          <w:lang w:eastAsia="en-US"/>
        </w:rPr>
        <w:t xml:space="preserve">-wide untargeted rollout. </w:t>
      </w:r>
      <w:r w:rsidR="00622CE8">
        <w:rPr>
          <w:lang w:eastAsia="en-US"/>
        </w:rPr>
        <w:t>Given th</w:t>
      </w:r>
      <w:r w:rsidR="00D60534">
        <w:rPr>
          <w:lang w:eastAsia="en-US"/>
        </w:rPr>
        <w:t>is</w:t>
      </w:r>
      <w:r w:rsidR="00622CE8">
        <w:rPr>
          <w:lang w:eastAsia="en-US"/>
        </w:rPr>
        <w:t>, (ii) is a better measure than (</w:t>
      </w:r>
      <w:proofErr w:type="spellStart"/>
      <w:r w:rsidR="00622CE8">
        <w:rPr>
          <w:lang w:eastAsia="en-US"/>
        </w:rPr>
        <w:t>i</w:t>
      </w:r>
      <w:proofErr w:type="spellEnd"/>
      <w:r w:rsidR="00622CE8">
        <w:rPr>
          <w:lang w:eastAsia="en-US"/>
        </w:rPr>
        <w:t xml:space="preserve">) </w:t>
      </w:r>
    </w:p>
    <w:p w:rsidR="0018028C" w:rsidRDefault="0021709E" w:rsidP="00D60534">
      <w:pPr>
        <w:pStyle w:val="BodyText"/>
        <w:numPr>
          <w:ilvl w:val="0"/>
          <w:numId w:val="24"/>
        </w:numPr>
        <w:tabs>
          <w:tab w:val="left" w:pos="3288"/>
        </w:tabs>
        <w:rPr>
          <w:lang w:eastAsia="en-US"/>
        </w:rPr>
      </w:pPr>
      <w:r>
        <w:rPr>
          <w:lang w:eastAsia="en-US"/>
        </w:rPr>
        <w:t>a</w:t>
      </w:r>
      <w:r w:rsidR="00F66D83">
        <w:rPr>
          <w:lang w:eastAsia="en-US"/>
        </w:rPr>
        <w:t>s a benefit–cost ratio</w:t>
      </w:r>
      <w:r w:rsidR="00D60534">
        <w:rPr>
          <w:lang w:eastAsia="en-US"/>
        </w:rPr>
        <w:t>. This provides a single useful metric of whether a policy passes a cost-benefit test. A value</w:t>
      </w:r>
      <w:r w:rsidR="00F66D83">
        <w:rPr>
          <w:lang w:eastAsia="en-US"/>
        </w:rPr>
        <w:t xml:space="preserve"> </w:t>
      </w:r>
      <w:r w:rsidR="00D60534">
        <w:rPr>
          <w:lang w:eastAsia="en-US"/>
        </w:rPr>
        <w:t>lower</w:t>
      </w:r>
      <w:r w:rsidR="00F66D83">
        <w:rPr>
          <w:lang w:eastAsia="en-US"/>
        </w:rPr>
        <w:t xml:space="preserve"> </w:t>
      </w:r>
      <w:r w:rsidR="00D60534">
        <w:rPr>
          <w:lang w:eastAsia="en-US"/>
        </w:rPr>
        <w:t xml:space="preserve">than one means </w:t>
      </w:r>
      <w:r w:rsidR="00F66D83">
        <w:rPr>
          <w:lang w:eastAsia="en-US"/>
        </w:rPr>
        <w:t xml:space="preserve">that the </w:t>
      </w:r>
      <w:r w:rsidR="00D60534">
        <w:rPr>
          <w:lang w:eastAsia="en-US"/>
        </w:rPr>
        <w:t xml:space="preserve">estimated </w:t>
      </w:r>
      <w:r w:rsidR="00797E99">
        <w:rPr>
          <w:lang w:eastAsia="en-US"/>
        </w:rPr>
        <w:t>present value</w:t>
      </w:r>
      <w:r w:rsidR="00D60534">
        <w:rPr>
          <w:lang w:eastAsia="en-US"/>
        </w:rPr>
        <w:t xml:space="preserve"> of the costs of a policy is more than the estimated </w:t>
      </w:r>
      <w:r w:rsidR="00797E99">
        <w:rPr>
          <w:lang w:eastAsia="en-US"/>
        </w:rPr>
        <w:t>present value</w:t>
      </w:r>
      <w:r w:rsidR="00D60534">
        <w:rPr>
          <w:lang w:eastAsia="en-US"/>
        </w:rPr>
        <w:t xml:space="preserve"> of its benefits, which </w:t>
      </w:r>
      <w:r w:rsidR="00E53341">
        <w:rPr>
          <w:lang w:eastAsia="en-US"/>
        </w:rPr>
        <w:t>suggests that the policy should not be implemented</w:t>
      </w:r>
      <w:r w:rsidR="00797E99">
        <w:rPr>
          <w:lang w:eastAsia="en-US"/>
        </w:rPr>
        <w:t xml:space="preserve"> (the </w:t>
      </w:r>
      <w:proofErr w:type="spellStart"/>
      <w:r w:rsidR="00C946AD">
        <w:rPr>
          <w:lang w:eastAsia="en-US"/>
        </w:rPr>
        <w:t>NPV</w:t>
      </w:r>
      <w:proofErr w:type="spellEnd"/>
      <w:r w:rsidR="00797E99">
        <w:rPr>
          <w:lang w:eastAsia="en-US"/>
        </w:rPr>
        <w:t xml:space="preserve"> would be negative)</w:t>
      </w:r>
      <w:r w:rsidR="00F66D83">
        <w:rPr>
          <w:lang w:eastAsia="en-US"/>
        </w:rPr>
        <w:t xml:space="preserve"> </w:t>
      </w:r>
    </w:p>
    <w:p w:rsidR="0001007F" w:rsidRDefault="0001007F" w:rsidP="00D60534">
      <w:pPr>
        <w:pStyle w:val="BodyText"/>
        <w:numPr>
          <w:ilvl w:val="0"/>
          <w:numId w:val="24"/>
        </w:numPr>
        <w:tabs>
          <w:tab w:val="left" w:pos="3288"/>
        </w:tabs>
        <w:rPr>
          <w:lang w:eastAsia="en-US"/>
        </w:rPr>
      </w:pPr>
      <w:r>
        <w:rPr>
          <w:lang w:eastAsia="en-US"/>
        </w:rPr>
        <w:t xml:space="preserve">as an annuity over the </w:t>
      </w:r>
      <w:r w:rsidR="007456BE">
        <w:rPr>
          <w:lang w:eastAsia="en-US"/>
        </w:rPr>
        <w:t xml:space="preserve">15 year </w:t>
      </w:r>
      <w:r>
        <w:rPr>
          <w:lang w:eastAsia="en-US"/>
        </w:rPr>
        <w:t>life of the technology underpinning demand management</w:t>
      </w:r>
      <w:r w:rsidR="00406B5B">
        <w:rPr>
          <w:lang w:eastAsia="en-US"/>
        </w:rPr>
        <w:t xml:space="preserve">, </w:t>
      </w:r>
      <w:r w:rsidR="007456BE">
        <w:rPr>
          <w:lang w:eastAsia="en-US"/>
        </w:rPr>
        <w:t>reflecting that</w:t>
      </w:r>
      <w:r>
        <w:rPr>
          <w:lang w:eastAsia="en-US"/>
        </w:rPr>
        <w:t xml:space="preserve"> </w:t>
      </w:r>
      <w:r w:rsidR="007456BE">
        <w:t xml:space="preserve">present values </w:t>
      </w:r>
      <w:r w:rsidR="00DE132C">
        <w:t xml:space="preserve">of streams of future net benefits are often not popularly understood. </w:t>
      </w:r>
      <w:r w:rsidR="007456BE">
        <w:t>The annuity is the dollar reduction per year in a household’s bill over the 15-year period. For example, the annuity value of the medium case in scenario 1 is around $</w:t>
      </w:r>
      <w:r w:rsidR="0021709E">
        <w:t>15</w:t>
      </w:r>
      <w:r w:rsidR="00FB7449">
        <w:t>0</w:t>
      </w:r>
      <w:r w:rsidR="007456BE">
        <w:t> a year, while the value is around $</w:t>
      </w:r>
      <w:r w:rsidR="0021709E">
        <w:t>330</w:t>
      </w:r>
      <w:r w:rsidR="007456BE">
        <w:t xml:space="preserve"> for the high case and $</w:t>
      </w:r>
      <w:r w:rsidR="0021709E">
        <w:t>15</w:t>
      </w:r>
      <w:r w:rsidR="007456BE">
        <w:t xml:space="preserve"> for the low case. Since the probability of achieving the net benefits associated with either the low case or high case </w:t>
      </w:r>
      <w:r w:rsidR="00797E99">
        <w:t>is</w:t>
      </w:r>
      <w:r w:rsidR="007456BE">
        <w:t xml:space="preserve"> small, a narrower range than $</w:t>
      </w:r>
      <w:r w:rsidR="0021709E">
        <w:t>15</w:t>
      </w:r>
      <w:r w:rsidR="007456BE">
        <w:t>–$</w:t>
      </w:r>
      <w:r w:rsidR="0021709E">
        <w:t>330</w:t>
      </w:r>
      <w:r w:rsidR="007456BE">
        <w:t xml:space="preserve"> may be appropriate. Box </w:t>
      </w:r>
      <w:r w:rsidR="00DE132C">
        <w:t>1.4</w:t>
      </w:r>
      <w:r w:rsidR="007456BE">
        <w:t xml:space="preserve"> sets out a method for calculating a more reasonable range based on the 25</w:t>
      </w:r>
      <w:r w:rsidR="007456BE" w:rsidRPr="0018028C">
        <w:rPr>
          <w:vertAlign w:val="superscript"/>
        </w:rPr>
        <w:t>th</w:t>
      </w:r>
      <w:r w:rsidR="007456BE">
        <w:t xml:space="preserve"> to 75</w:t>
      </w:r>
      <w:r w:rsidR="007456BE" w:rsidRPr="0018028C">
        <w:rPr>
          <w:vertAlign w:val="superscript"/>
        </w:rPr>
        <w:t>th</w:t>
      </w:r>
      <w:r w:rsidR="007456BE">
        <w:t xml:space="preserve"> percentile of the distribution of outcomes. In the case of scenario 1 — the Commission’s preferred policy approach — the resulting range in the annuity for the 25</w:t>
      </w:r>
      <w:r w:rsidR="007456BE" w:rsidRPr="0018028C">
        <w:rPr>
          <w:vertAlign w:val="superscript"/>
        </w:rPr>
        <w:t>th</w:t>
      </w:r>
      <w:r w:rsidR="007456BE">
        <w:t xml:space="preserve"> to 75</w:t>
      </w:r>
      <w:r w:rsidR="007456BE" w:rsidRPr="0018028C">
        <w:rPr>
          <w:vertAlign w:val="superscript"/>
        </w:rPr>
        <w:t>th</w:t>
      </w:r>
      <w:r w:rsidR="007456BE">
        <w:t xml:space="preserve"> percentile is between </w:t>
      </w:r>
      <w:r w:rsidR="00D7174A">
        <w:t xml:space="preserve">a </w:t>
      </w:r>
      <w:r w:rsidR="007456BE">
        <w:t>$1</w:t>
      </w:r>
      <w:r w:rsidR="0021709E">
        <w:t>00</w:t>
      </w:r>
      <w:r w:rsidR="007456BE">
        <w:t xml:space="preserve"> and $</w:t>
      </w:r>
      <w:r w:rsidR="0021709E">
        <w:t>2</w:t>
      </w:r>
      <w:r w:rsidR="00FB7449">
        <w:t>0</w:t>
      </w:r>
      <w:r w:rsidR="007456BE">
        <w:t xml:space="preserve">0 </w:t>
      </w:r>
      <w:r w:rsidR="00D7174A">
        <w:t xml:space="preserve">annual saving per household </w:t>
      </w:r>
      <w:r w:rsidR="007456BE">
        <w:t xml:space="preserve">(the value reported in </w:t>
      </w:r>
      <w:r w:rsidR="00797E99">
        <w:t xml:space="preserve">chapter 9 of </w:t>
      </w:r>
      <w:r w:rsidR="007456BE">
        <w:t>the main report).</w:t>
      </w:r>
      <w:r w:rsidR="002C39AD">
        <w:t xml:space="preserve"> </w:t>
      </w:r>
    </w:p>
    <w:p w:rsidR="00DE132C" w:rsidRDefault="0018028C" w:rsidP="0018028C">
      <w:pPr>
        <w:pStyle w:val="BodyText"/>
        <w:rPr>
          <w:lang w:eastAsia="en-US"/>
        </w:rPr>
      </w:pPr>
      <w:r>
        <w:t xml:space="preserve">Comparisons between alternative policies would be reasonably straightforward were it possible to estimate cost-benefit ratios precisely or where, across all possibilities, one scenario was always superior to others. Where that is not the case, judgment is required to determine the best policy response. </w:t>
      </w:r>
      <w:r w:rsidR="00DE132C">
        <w:t xml:space="preserve">For example, it may be better to implement a policy that has a reasonable prospect of covering a larger proportion of peak consumption — and thereby, large absolute benefits — even if the benefit-cost ratio is lower than that of a policy with relatively low take-up. Moreover, a risky policy with potentially large net benefits may be worth examining closely if there may be ways of mitigating the </w:t>
      </w:r>
      <w:r w:rsidR="00DE132C">
        <w:rPr>
          <w:lang w:eastAsia="en-US"/>
        </w:rPr>
        <w:t>downside risks.</w:t>
      </w:r>
    </w:p>
    <w:p w:rsidR="0099327E" w:rsidRDefault="001638B1" w:rsidP="0099327E">
      <w:pPr>
        <w:pStyle w:val="Heading2"/>
      </w:pPr>
      <w:r>
        <w:lastRenderedPageBreak/>
        <w:fldChar w:fldCharType="begin"/>
      </w:r>
      <w:r>
        <w:instrText xml:space="preserve"> COMMENTS  \* MERGEFORMAT </w:instrText>
      </w:r>
      <w:r>
        <w:fldChar w:fldCharType="separate"/>
      </w:r>
      <w:r w:rsidR="0099327E">
        <w:t>1.</w:t>
      </w:r>
      <w:r>
        <w:fldChar w:fldCharType="end"/>
      </w:r>
      <w:fldSimple w:instr=" SEQ Heading2 ">
        <w:r w:rsidR="00A71173">
          <w:rPr>
            <w:noProof/>
          </w:rPr>
          <w:t>8</w:t>
        </w:r>
      </w:fldSimple>
      <w:r w:rsidR="0099327E">
        <w:tab/>
        <w:t>Results of analysis</w:t>
      </w:r>
    </w:p>
    <w:p w:rsidR="0099327E" w:rsidRDefault="0099327E" w:rsidP="0099327E">
      <w:pPr>
        <w:pStyle w:val="Heading3"/>
      </w:pPr>
      <w:r>
        <w:t xml:space="preserve">The best options to implement demand management </w:t>
      </w:r>
    </w:p>
    <w:p w:rsidR="0099327E" w:rsidRDefault="0099327E" w:rsidP="0099327E">
      <w:pPr>
        <w:pStyle w:val="BodyText"/>
        <w:rPr>
          <w:lang w:eastAsia="en-US"/>
        </w:rPr>
      </w:pPr>
      <w:r>
        <w:rPr>
          <w:lang w:eastAsia="en-US"/>
        </w:rPr>
        <w:t>The</w:t>
      </w:r>
      <w:r w:rsidR="00EE66FE">
        <w:rPr>
          <w:lang w:eastAsia="en-US"/>
        </w:rPr>
        <w:t xml:space="preserve"> modelling carried out suggests that the </w:t>
      </w:r>
      <w:r>
        <w:rPr>
          <w:lang w:eastAsia="en-US"/>
        </w:rPr>
        <w:t>most promising policy option is the targeted and sequenced rollout of smart meters (policy scenario 1) with:</w:t>
      </w:r>
    </w:p>
    <w:p w:rsidR="0099327E" w:rsidRDefault="0099327E" w:rsidP="0099327E">
      <w:pPr>
        <w:pStyle w:val="ListBullet"/>
      </w:pPr>
      <w:r>
        <w:t>rollouts timed to address emerging localised network constraints</w:t>
      </w:r>
      <w:r w:rsidR="00C946AD">
        <w:t xml:space="preserve"> and aimed at areas where demand tends to be peaky</w:t>
      </w:r>
    </w:p>
    <w:p w:rsidR="0099327E" w:rsidRDefault="0099327E" w:rsidP="0099327E">
      <w:pPr>
        <w:pStyle w:val="ListBullet"/>
      </w:pPr>
      <w:r>
        <w:t>critical peak pricing to create incentives for consumers to shift demand to other times or to seek direct load control</w:t>
      </w:r>
    </w:p>
    <w:p w:rsidR="0099327E" w:rsidRDefault="0099327E" w:rsidP="0099327E">
      <w:pPr>
        <w:pStyle w:val="ListBullet"/>
      </w:pPr>
      <w:r>
        <w:t>the smaller scale of the rollout allowing targeted information and education campaigns, hence increasing the demand response achievable over the near term.</w:t>
      </w:r>
    </w:p>
    <w:p w:rsidR="003F7CBD" w:rsidRDefault="003F7CB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F7CBD">
        <w:tc>
          <w:tcPr>
            <w:tcW w:w="8771" w:type="dxa"/>
            <w:tcBorders>
              <w:top w:val="single" w:sz="6" w:space="0" w:color="auto"/>
              <w:bottom w:val="nil"/>
            </w:tcBorders>
          </w:tcPr>
          <w:p w:rsidR="003F7CBD" w:rsidRDefault="003F7CBD" w:rsidP="003F7CBD">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Box \* ARABIC </w:instrText>
            </w:r>
            <w:r>
              <w:rPr>
                <w:b w:val="0"/>
              </w:rPr>
              <w:fldChar w:fldCharType="separate"/>
            </w:r>
            <w:r w:rsidR="00A71173">
              <w:rPr>
                <w:b w:val="0"/>
                <w:noProof/>
              </w:rPr>
              <w:t>4</w:t>
            </w:r>
            <w:r>
              <w:rPr>
                <w:b w:val="0"/>
              </w:rPr>
              <w:fldChar w:fldCharType="end"/>
            </w:r>
            <w:r>
              <w:tab/>
              <w:t>Estimating the 25</w:t>
            </w:r>
            <w:r w:rsidRPr="003F7CBD">
              <w:rPr>
                <w:vertAlign w:val="superscript"/>
              </w:rPr>
              <w:t>th</w:t>
            </w:r>
            <w:r>
              <w:t xml:space="preserve"> to 75</w:t>
            </w:r>
            <w:r w:rsidRPr="003F7CBD">
              <w:rPr>
                <w:vertAlign w:val="superscript"/>
              </w:rPr>
              <w:t>th</w:t>
            </w:r>
            <w:r>
              <w:t xml:space="preserve"> percentile of costs and benefits</w:t>
            </w:r>
          </w:p>
        </w:tc>
      </w:tr>
      <w:tr w:rsidR="003F7CBD">
        <w:trPr>
          <w:cantSplit/>
        </w:trPr>
        <w:tc>
          <w:tcPr>
            <w:tcW w:w="8771" w:type="dxa"/>
            <w:tcBorders>
              <w:top w:val="nil"/>
              <w:left w:val="single" w:sz="6" w:space="0" w:color="auto"/>
              <w:bottom w:val="nil"/>
              <w:right w:val="single" w:sz="6" w:space="0" w:color="auto"/>
            </w:tcBorders>
          </w:tcPr>
          <w:p w:rsidR="003F7CBD" w:rsidRDefault="003F7CBD" w:rsidP="003F7CBD">
            <w:pPr>
              <w:pStyle w:val="Box"/>
            </w:pPr>
            <w:r>
              <w:t xml:space="preserve">The Commission </w:t>
            </w:r>
            <w:r w:rsidR="00EE66FE">
              <w:t>developed</w:t>
            </w:r>
            <w:r>
              <w:t xml:space="preserve"> the following approach</w:t>
            </w:r>
            <w:r w:rsidR="00FA3738">
              <w:t xml:space="preserve"> to estimate percentiles</w:t>
            </w:r>
            <w:r>
              <w:t>:</w:t>
            </w:r>
          </w:p>
          <w:p w:rsidR="00FA3738" w:rsidRDefault="003F7CBD" w:rsidP="00FA3738">
            <w:pPr>
              <w:pStyle w:val="BoxListBullet"/>
            </w:pPr>
            <w:r>
              <w:t>the distribution of net benefits is assumed to follow a beta distribution, which has the advantage that it need not be symmetric about the mean (or median)</w:t>
            </w:r>
            <w:r w:rsidR="00FA3738">
              <w:t xml:space="preserve"> and that it is strictly bounded between a low and a high value</w:t>
            </w:r>
            <w:r>
              <w:t>. The two parameters of the beta distribution — α and β — determine its shape and statistical moments</w:t>
            </w:r>
          </w:p>
          <w:p w:rsidR="003F7CBD" w:rsidRDefault="003F7CBD" w:rsidP="003F7CBD">
            <w:pPr>
              <w:pStyle w:val="BoxListBullet"/>
            </w:pPr>
            <w:r>
              <w:t>it is assumed that the value of β in the beta distribution is 2 (a reasonable assumption)</w:t>
            </w:r>
          </w:p>
          <w:p w:rsidR="003F7CBD" w:rsidRDefault="00DE132C" w:rsidP="003F7CBD">
            <w:pPr>
              <w:pStyle w:val="BoxListBullet"/>
            </w:pPr>
            <w:r>
              <w:t xml:space="preserve">using the method of moments, </w:t>
            </w:r>
            <w:r w:rsidR="00FA3738">
              <w:t>it is possible to estimate the remaining parameter of the beta distribution (α).T</w:t>
            </w:r>
            <w:r w:rsidR="003F7CBD">
              <w:t xml:space="preserve">he </w:t>
            </w:r>
            <w:r w:rsidR="00FA3738">
              <w:t xml:space="preserve">estimated </w:t>
            </w:r>
            <w:r w:rsidR="003F7CBD">
              <w:t>value of α is calculated</w:t>
            </w:r>
            <w:r>
              <w:t xml:space="preserve"> </w:t>
            </w:r>
            <w:r w:rsidR="003F7CBD">
              <w:t>such that the</w:t>
            </w:r>
            <w:r w:rsidR="003F7CBD" w:rsidRPr="00CA7226">
              <w:t xml:space="preserve"> inverse of the beta cumulative probability density function</w:t>
            </w:r>
            <w:r w:rsidR="003F7CBD">
              <w:t xml:space="preserve"> </w:t>
            </w:r>
            <w:proofErr w:type="spellStart"/>
            <w:r w:rsidR="003F7CBD">
              <w:t>BetaInv</w:t>
            </w:r>
            <w:proofErr w:type="spellEnd"/>
            <w:r w:rsidR="003F7CBD">
              <w:t>(0.5,</w:t>
            </w:r>
            <w:r w:rsidR="00B942B5">
              <w:t> </w:t>
            </w:r>
            <w:r w:rsidR="003F7CBD">
              <w:t>α,</w:t>
            </w:r>
            <w:r w:rsidR="00B942B5">
              <w:t> </w:t>
            </w:r>
            <w:r w:rsidR="003F7CBD">
              <w:t>β,</w:t>
            </w:r>
            <w:r w:rsidR="00B942B5">
              <w:t> </w:t>
            </w:r>
            <w:r w:rsidR="00FA3738">
              <w:t>L</w:t>
            </w:r>
            <w:r w:rsidR="003F7CBD">
              <w:t>,</w:t>
            </w:r>
            <w:r w:rsidR="00B942B5">
              <w:t> </w:t>
            </w:r>
            <w:r w:rsidR="00FA3738">
              <w:t>H</w:t>
            </w:r>
            <w:r w:rsidR="003F7CBD">
              <w:t xml:space="preserve">) = </w:t>
            </w:r>
            <w:r w:rsidR="00FA3738">
              <w:t xml:space="preserve">the </w:t>
            </w:r>
            <w:r w:rsidR="003F7CBD">
              <w:t xml:space="preserve">median, where </w:t>
            </w:r>
            <w:r w:rsidR="00FA3738">
              <w:t>L</w:t>
            </w:r>
            <w:r w:rsidR="003F7CBD">
              <w:t xml:space="preserve"> and </w:t>
            </w:r>
            <w:r w:rsidR="00FA3738">
              <w:t>H</w:t>
            </w:r>
            <w:r w:rsidR="003F7CBD">
              <w:t xml:space="preserve"> are the low and high estimates of the range of net benefits</w:t>
            </w:r>
          </w:p>
          <w:p w:rsidR="003F7CBD" w:rsidRDefault="003F7CBD" w:rsidP="003F7CBD">
            <w:pPr>
              <w:pStyle w:val="BoxListBullet"/>
            </w:pPr>
            <w:r>
              <w:t>the values of the net benefit per household associated with the 25</w:t>
            </w:r>
            <w:r w:rsidRPr="00CA7226">
              <w:rPr>
                <w:vertAlign w:val="superscript"/>
              </w:rPr>
              <w:t>th</w:t>
            </w:r>
            <w:r>
              <w:t xml:space="preserve"> and 75</w:t>
            </w:r>
            <w:r w:rsidRPr="00CA7226">
              <w:rPr>
                <w:vertAlign w:val="superscript"/>
              </w:rPr>
              <w:t>th</w:t>
            </w:r>
            <w:r>
              <w:t xml:space="preserve"> percentile are calculated as </w:t>
            </w:r>
            <w:proofErr w:type="spellStart"/>
            <w:r>
              <w:t>N25</w:t>
            </w:r>
            <w:proofErr w:type="spellEnd"/>
            <w:r>
              <w:t xml:space="preserve"> = </w:t>
            </w:r>
            <w:proofErr w:type="spellStart"/>
            <w:r>
              <w:t>BetaInv</w:t>
            </w:r>
            <w:proofErr w:type="spellEnd"/>
            <w:r>
              <w:t>(0.25,</w:t>
            </w:r>
            <w:r w:rsidR="00B942B5">
              <w:t> </w:t>
            </w:r>
            <w:r>
              <w:t>α,</w:t>
            </w:r>
            <w:r w:rsidR="00B942B5">
              <w:t> </w:t>
            </w:r>
            <w:r>
              <w:t>β,</w:t>
            </w:r>
            <w:r w:rsidR="00B942B5">
              <w:t> </w:t>
            </w:r>
            <w:r w:rsidR="00FA3738">
              <w:t>L</w:t>
            </w:r>
            <w:r>
              <w:t>,</w:t>
            </w:r>
            <w:r w:rsidR="00B942B5">
              <w:t> </w:t>
            </w:r>
            <w:r w:rsidR="00FA3738">
              <w:t>H</w:t>
            </w:r>
            <w:r>
              <w:t xml:space="preserve">) and </w:t>
            </w:r>
            <w:proofErr w:type="spellStart"/>
            <w:r>
              <w:t>N75</w:t>
            </w:r>
            <w:proofErr w:type="spellEnd"/>
            <w:r>
              <w:t xml:space="preserve"> = </w:t>
            </w:r>
            <w:proofErr w:type="spellStart"/>
            <w:r>
              <w:t>BetaInv</w:t>
            </w:r>
            <w:proofErr w:type="spellEnd"/>
            <w:r>
              <w:t>(0.75,</w:t>
            </w:r>
            <w:r w:rsidR="00B942B5">
              <w:t> </w:t>
            </w:r>
            <w:r>
              <w:t>α,</w:t>
            </w:r>
            <w:r w:rsidR="00B942B5">
              <w:t> </w:t>
            </w:r>
            <w:r>
              <w:t>β,</w:t>
            </w:r>
            <w:r w:rsidR="00B942B5">
              <w:t> </w:t>
            </w:r>
            <w:r>
              <w:t>low,</w:t>
            </w:r>
            <w:r w:rsidR="00B942B5">
              <w:t xml:space="preserve"> </w:t>
            </w:r>
            <w:r>
              <w:t>high)</w:t>
            </w:r>
          </w:p>
          <w:p w:rsidR="003F7CBD" w:rsidRDefault="003F7CBD" w:rsidP="003F7CBD">
            <w:pPr>
              <w:pStyle w:val="BoxListBullet"/>
            </w:pPr>
            <w:r>
              <w:t xml:space="preserve">the annuity values associated with </w:t>
            </w:r>
            <w:proofErr w:type="spellStart"/>
            <w:r>
              <w:t>N25</w:t>
            </w:r>
            <w:proofErr w:type="spellEnd"/>
            <w:r>
              <w:t xml:space="preserve"> and </w:t>
            </w:r>
            <w:proofErr w:type="spellStart"/>
            <w:r>
              <w:t>N75</w:t>
            </w:r>
            <w:proofErr w:type="spellEnd"/>
            <w:r>
              <w:t xml:space="preserve"> are calculated.</w:t>
            </w:r>
          </w:p>
        </w:tc>
      </w:tr>
      <w:tr w:rsidR="003F7CBD">
        <w:trPr>
          <w:cantSplit/>
        </w:trPr>
        <w:tc>
          <w:tcPr>
            <w:tcW w:w="8771" w:type="dxa"/>
            <w:tcBorders>
              <w:top w:val="nil"/>
              <w:left w:val="single" w:sz="6" w:space="0" w:color="auto"/>
              <w:bottom w:val="single" w:sz="6" w:space="0" w:color="auto"/>
              <w:right w:val="single" w:sz="6" w:space="0" w:color="auto"/>
            </w:tcBorders>
          </w:tcPr>
          <w:p w:rsidR="003F7CBD" w:rsidRDefault="003F7CBD">
            <w:pPr>
              <w:pStyle w:val="Box"/>
              <w:spacing w:before="0" w:line="120" w:lineRule="exact"/>
            </w:pPr>
          </w:p>
        </w:tc>
      </w:tr>
      <w:tr w:rsidR="003F7CBD" w:rsidRPr="000863A5">
        <w:tc>
          <w:tcPr>
            <w:tcW w:w="8771" w:type="dxa"/>
            <w:tcBorders>
              <w:top w:val="nil"/>
              <w:left w:val="nil"/>
              <w:bottom w:val="nil"/>
              <w:right w:val="nil"/>
            </w:tcBorders>
          </w:tcPr>
          <w:p w:rsidR="003F7CBD" w:rsidRPr="00626D32" w:rsidRDefault="003F7CBD" w:rsidP="002D58A6">
            <w:pPr>
              <w:pStyle w:val="BoxSpaceBelow"/>
            </w:pPr>
          </w:p>
        </w:tc>
      </w:tr>
    </w:tbl>
    <w:p w:rsidR="005C31A2" w:rsidRPr="00D12EFA" w:rsidRDefault="005C31A2" w:rsidP="005C31A2">
      <w:pPr>
        <w:pStyle w:val="BodyText"/>
      </w:pPr>
      <w:r>
        <w:t>Table</w:t>
      </w:r>
      <w:r w:rsidR="00DE132C">
        <w:t xml:space="preserve"> 1.3</w:t>
      </w:r>
      <w:r w:rsidR="00F35B97">
        <w:t xml:space="preserve"> summarise</w:t>
      </w:r>
      <w:r w:rsidR="00DE132C">
        <w:t>s</w:t>
      </w:r>
      <w:r>
        <w:t xml:space="preserve"> the key assumptions and results of </w:t>
      </w:r>
      <w:r w:rsidR="00C946AD">
        <w:t>this</w:t>
      </w:r>
      <w:r>
        <w:t xml:space="preserve"> scenario.</w:t>
      </w:r>
      <w:r w:rsidR="00F1528F">
        <w:rPr>
          <w:rStyle w:val="FootnoteReference"/>
        </w:rPr>
        <w:footnoteReference w:id="20"/>
      </w:r>
      <w:r>
        <w:t xml:space="preserve"> It includes the estimated </w:t>
      </w:r>
      <w:proofErr w:type="spellStart"/>
      <w:r w:rsidR="00C946AD">
        <w:t>NPV</w:t>
      </w:r>
      <w:proofErr w:type="spellEnd"/>
      <w:r>
        <w:t xml:space="preserve"> of the benefits per household</w:t>
      </w:r>
      <w:r w:rsidR="00D37923">
        <w:t>, the annuity value over the 15</w:t>
      </w:r>
      <w:r w:rsidR="00F1528F">
        <w:t> </w:t>
      </w:r>
      <w:r w:rsidR="00D37923">
        <w:t>year period,</w:t>
      </w:r>
      <w:r>
        <w:t xml:space="preserve"> and a benefit</w:t>
      </w:r>
      <w:r w:rsidR="00BA5394">
        <w:t>–</w:t>
      </w:r>
      <w:r>
        <w:t xml:space="preserve">cost ratio under low, </w:t>
      </w:r>
      <w:proofErr w:type="spellStart"/>
      <w:r>
        <w:t>mid-point</w:t>
      </w:r>
      <w:proofErr w:type="spellEnd"/>
      <w:r>
        <w:t xml:space="preserve"> and high </w:t>
      </w:r>
      <w:r w:rsidR="00D37923">
        <w:t>cases</w:t>
      </w:r>
      <w:r>
        <w:t>.</w:t>
      </w:r>
      <w:r w:rsidR="00D12EFA">
        <w:t xml:space="preserve"> (A summary table discussed later in the technical paper — table </w:t>
      </w:r>
      <w:r w:rsidR="00DE132C">
        <w:t>1.6</w:t>
      </w:r>
      <w:r w:rsidR="00D12EFA">
        <w:t xml:space="preserve"> — provides the 25</w:t>
      </w:r>
      <w:r w:rsidR="00D12EFA" w:rsidRPr="00D12EFA">
        <w:rPr>
          <w:vertAlign w:val="superscript"/>
        </w:rPr>
        <w:t>th</w:t>
      </w:r>
      <w:r w:rsidR="00D12EFA">
        <w:t xml:space="preserve"> to 75</w:t>
      </w:r>
      <w:r w:rsidR="00D12EFA" w:rsidRPr="00D12EFA">
        <w:rPr>
          <w:vertAlign w:val="superscript"/>
        </w:rPr>
        <w:t>th</w:t>
      </w:r>
      <w:r w:rsidR="00D12EFA">
        <w:t xml:space="preserve"> percentile annuity estimates for all scenarios.)</w:t>
      </w:r>
    </w:p>
    <w:p w:rsidR="000C0819" w:rsidRDefault="00D37923" w:rsidP="00D37923">
      <w:pPr>
        <w:pStyle w:val="BodyText"/>
      </w:pPr>
      <w:r>
        <w:lastRenderedPageBreak/>
        <w:t xml:space="preserve">Under </w:t>
      </w:r>
      <w:r w:rsidR="008C7F9F">
        <w:t>a</w:t>
      </w:r>
      <w:r>
        <w:t xml:space="preserve"> targeted rollout</w:t>
      </w:r>
      <w:r w:rsidR="008C7F9F">
        <w:t xml:space="preserve"> that takes account of impending capacity constraints — the most preferred policy case ——</w:t>
      </w:r>
      <w:r>
        <w:t xml:space="preserve">there is a likelihood of significant net benefits per household. </w:t>
      </w:r>
      <w:r w:rsidR="008C7F9F">
        <w:t>In this scenario, t</w:t>
      </w:r>
      <w:r>
        <w:t xml:space="preserve">he </w:t>
      </w:r>
      <w:r w:rsidR="00E44426">
        <w:t xml:space="preserve">median </w:t>
      </w:r>
      <w:r w:rsidR="00014B2B">
        <w:t>present value</w:t>
      </w:r>
      <w:r w:rsidR="00E44426">
        <w:t xml:space="preserve"> of the </w:t>
      </w:r>
      <w:r w:rsidR="00014B2B">
        <w:t xml:space="preserve">net </w:t>
      </w:r>
      <w:r w:rsidR="00E44426">
        <w:t xml:space="preserve">benefits over the life of a smart meter </w:t>
      </w:r>
      <w:r w:rsidR="00D12EFA">
        <w:t xml:space="preserve">is </w:t>
      </w:r>
      <w:r w:rsidR="00D329B2">
        <w:t>close to</w:t>
      </w:r>
      <w:r w:rsidR="00D12EFA">
        <w:t xml:space="preserve"> </w:t>
      </w:r>
      <w:r w:rsidR="00E44426">
        <w:t>$</w:t>
      </w:r>
      <w:r w:rsidR="00BA5394">
        <w:t>1400</w:t>
      </w:r>
      <w:r w:rsidR="00E44426">
        <w:t xml:space="preserve"> per household. </w:t>
      </w:r>
    </w:p>
    <w:p w:rsidR="00335D57" w:rsidRDefault="00335D57" w:rsidP="00D37923">
      <w:pPr>
        <w:pStyle w:val="BodyText"/>
      </w:pPr>
      <w:r>
        <w:t xml:space="preserve">The net benefit estimates of the </w:t>
      </w:r>
      <w:r w:rsidR="007D1F26">
        <w:t xml:space="preserve">use of </w:t>
      </w:r>
      <w:r>
        <w:t>dire</w:t>
      </w:r>
      <w:r w:rsidR="00896EB3">
        <w:t xml:space="preserve">ct load control devices for air </w:t>
      </w:r>
      <w:r>
        <w:t>conditioners</w:t>
      </w:r>
      <w:r w:rsidR="003A31A3">
        <w:t xml:space="preserve"> are close to that of scenario </w:t>
      </w:r>
      <w:r w:rsidR="008D7BD5">
        <w:t>1 (table 1.4)</w:t>
      </w:r>
      <w:r>
        <w:t xml:space="preserve">. The key determinants of </w:t>
      </w:r>
      <w:r w:rsidR="003A31A3">
        <w:t xml:space="preserve">the magnitude of the benefits </w:t>
      </w:r>
      <w:r>
        <w:t xml:space="preserve">are </w:t>
      </w:r>
      <w:r w:rsidR="007D1F26">
        <w:t xml:space="preserve">the demand response of </w:t>
      </w:r>
      <w:r w:rsidR="008D7BD5">
        <w:t>direct load control</w:t>
      </w:r>
      <w:r w:rsidR="007D1F26">
        <w:t xml:space="preserve"> programs</w:t>
      </w:r>
      <w:r>
        <w:t xml:space="preserve"> and </w:t>
      </w:r>
      <w:r w:rsidR="007D1F26">
        <w:t>the</w:t>
      </w:r>
      <w:r>
        <w:t xml:space="preserve"> costs of </w:t>
      </w:r>
      <w:r w:rsidR="008D7BD5">
        <w:t>direct load control</w:t>
      </w:r>
      <w:r>
        <w:t xml:space="preserve"> devices.</w:t>
      </w:r>
    </w:p>
    <w:p w:rsidR="002D0884" w:rsidRDefault="002D0884" w:rsidP="002D0884">
      <w:pPr>
        <w:pStyle w:val="Heading3"/>
      </w:pPr>
      <w:r>
        <w:t>Some less beneficial options</w:t>
      </w:r>
    </w:p>
    <w:p w:rsidR="002D0884" w:rsidRDefault="002D0884" w:rsidP="002D0884">
      <w:pPr>
        <w:pStyle w:val="BodyText"/>
      </w:pPr>
      <w:r>
        <w:t xml:space="preserve">The rapid and early </w:t>
      </w:r>
      <w:proofErr w:type="spellStart"/>
      <w:r>
        <w:t>NEM</w:t>
      </w:r>
      <w:proofErr w:type="spellEnd"/>
      <w:r>
        <w:t xml:space="preserve">-wide introduction of smart meters combined with critical peak pricing may not yield net benefits for households (table 1.5). This mainly reflects the high </w:t>
      </w:r>
      <w:proofErr w:type="spellStart"/>
      <w:r>
        <w:t>up-front</w:t>
      </w:r>
      <w:proofErr w:type="spellEnd"/>
      <w:r>
        <w:t xml:space="preserve"> costs of meters and the delay in achieving network savings when many areas of the network are not congested, even at critical peak times. </w:t>
      </w:r>
    </w:p>
    <w:p w:rsidR="002D0884" w:rsidRDefault="002D0884" w:rsidP="002D0884">
      <w:pPr>
        <w:pStyle w:val="BodyText"/>
      </w:pPr>
      <w:r>
        <w:t xml:space="preserve">The outcomes for a </w:t>
      </w:r>
      <w:proofErr w:type="spellStart"/>
      <w:r>
        <w:t>NEM</w:t>
      </w:r>
      <w:proofErr w:type="spellEnd"/>
      <w:r>
        <w:t>-wide r</w:t>
      </w:r>
      <w:r w:rsidR="00203C13">
        <w:t>ollout</w:t>
      </w:r>
      <w:r>
        <w:t xml:space="preserve"> with untargeted </w:t>
      </w:r>
      <w:proofErr w:type="spellStart"/>
      <w:r>
        <w:t>TOU</w:t>
      </w:r>
      <w:proofErr w:type="spellEnd"/>
      <w:r>
        <w:t xml:space="preserve"> pricing involve the same costs as a </w:t>
      </w:r>
      <w:proofErr w:type="spellStart"/>
      <w:r>
        <w:t>NEM</w:t>
      </w:r>
      <w:proofErr w:type="spellEnd"/>
      <w:r>
        <w:t>-wide r</w:t>
      </w:r>
      <w:r w:rsidR="00203C13">
        <w:t>ollout</w:t>
      </w:r>
      <w:r>
        <w:t xml:space="preserve"> with critical peak pricing, but the benefits are less because demand responses by consumers are lower with such untargeted price signals. Consequently, it is likely that a </w:t>
      </w:r>
      <w:proofErr w:type="spellStart"/>
      <w:r>
        <w:t>NEM</w:t>
      </w:r>
      <w:proofErr w:type="spellEnd"/>
      <w:r>
        <w:t xml:space="preserve">-wide rollout with </w:t>
      </w:r>
      <w:proofErr w:type="spellStart"/>
      <w:r>
        <w:t>TOU</w:t>
      </w:r>
      <w:proofErr w:type="spellEnd"/>
      <w:r>
        <w:t xml:space="preserve"> pricing would lead to higher overall costs for households. However, there may be grounds for combining seasonal </w:t>
      </w:r>
      <w:proofErr w:type="spellStart"/>
      <w:r>
        <w:t>TOU</w:t>
      </w:r>
      <w:proofErr w:type="spellEnd"/>
      <w:r>
        <w:t xml:space="preserve"> pricing with </w:t>
      </w:r>
      <w:proofErr w:type="spellStart"/>
      <w:r>
        <w:t>CPP</w:t>
      </w:r>
      <w:proofErr w:type="spellEnd"/>
      <w:r>
        <w:t xml:space="preserve"> since this would encourage habitual demand responses.</w:t>
      </w:r>
    </w:p>
    <w:p w:rsidR="002D0884" w:rsidRDefault="001638B1" w:rsidP="002D0884">
      <w:pPr>
        <w:pStyle w:val="Heading2"/>
      </w:pPr>
      <w:r>
        <w:fldChar w:fldCharType="begin"/>
      </w:r>
      <w:r>
        <w:instrText xml:space="preserve"> COMMENTS  \* MERGEFORMAT </w:instrText>
      </w:r>
      <w:r>
        <w:fldChar w:fldCharType="separate"/>
      </w:r>
      <w:r w:rsidR="002D0884">
        <w:t>1.</w:t>
      </w:r>
      <w:r>
        <w:fldChar w:fldCharType="end"/>
      </w:r>
      <w:fldSimple w:instr=" SEQ Heading2 ">
        <w:r w:rsidR="00A71173">
          <w:rPr>
            <w:noProof/>
          </w:rPr>
          <w:t>9</w:t>
        </w:r>
      </w:fldSimple>
      <w:r w:rsidR="002D0884">
        <w:tab/>
        <w:t>Some uncertainties</w:t>
      </w:r>
    </w:p>
    <w:p w:rsidR="002D0884" w:rsidRPr="00A13423" w:rsidRDefault="002D0884" w:rsidP="002D0884">
      <w:pPr>
        <w:pStyle w:val="BodyText"/>
        <w:rPr>
          <w:lang w:eastAsia="en-US"/>
        </w:rPr>
      </w:pPr>
      <w:r>
        <w:rPr>
          <w:lang w:eastAsia="en-US"/>
        </w:rPr>
        <w:t>Several factors would affect the net benefits estimated above</w:t>
      </w:r>
      <w:r w:rsidR="00F27F5F">
        <w:rPr>
          <w:lang w:eastAsia="en-US"/>
        </w:rPr>
        <w:t xml:space="preserve"> (and summarised in table 1.6)</w:t>
      </w:r>
      <w:r>
        <w:rPr>
          <w:lang w:eastAsia="en-US"/>
        </w:rPr>
        <w:t>, including the:</w:t>
      </w:r>
    </w:p>
    <w:p w:rsidR="002C78E0" w:rsidRDefault="002D0884" w:rsidP="002D0884">
      <w:pPr>
        <w:pStyle w:val="ListBullet"/>
      </w:pPr>
      <w:r>
        <w:t>extent to which smart meter costs fall over time given technological developments and economies of scale in their manufacturing</w:t>
      </w:r>
      <w:r w:rsidR="002C78E0">
        <w:t xml:space="preserve"> </w:t>
      </w:r>
    </w:p>
    <w:p w:rsidR="002D0884" w:rsidRDefault="002C78E0" w:rsidP="002D0884">
      <w:pPr>
        <w:pStyle w:val="ListBullet"/>
      </w:pPr>
      <w:r>
        <w:t xml:space="preserve">benefits that might be gained from adopting a minimum specification for the smart meters </w:t>
      </w:r>
      <w:r w:rsidR="00BB6DB8">
        <w:t>that</w:t>
      </w:r>
      <w:r>
        <w:t xml:space="preserve"> was consistent with widely accepted international standards, and thus did not require any special Australian ‘koala’ customisation of the smart meters.</w:t>
      </w:r>
    </w:p>
    <w:p w:rsidR="002D0884" w:rsidRDefault="002D0884" w:rsidP="002D0884">
      <w:pPr>
        <w:pStyle w:val="ListBullet"/>
      </w:pPr>
      <w:r>
        <w:t>the possible development of innovative new services that rely on smart meters</w:t>
      </w:r>
      <w:r w:rsidR="00BB6DB8">
        <w:t xml:space="preserve"> and </w:t>
      </w:r>
      <w:r w:rsidR="008D7BD5">
        <w:t xml:space="preserve">that </w:t>
      </w:r>
      <w:r w:rsidR="00BB6DB8">
        <w:t>are valued by consumers</w:t>
      </w:r>
    </w:p>
    <w:p w:rsidR="002D0884" w:rsidRDefault="002D0884" w:rsidP="002D0884">
      <w:pPr>
        <w:pStyle w:val="ListBullet"/>
      </w:pPr>
      <w:r>
        <w:t>degree to which smart meters could encourage the development of a ‘smart grid’ with the benefits that this entails</w:t>
      </w:r>
    </w:p>
    <w:p w:rsidR="00A73BA9" w:rsidRDefault="00A73BA9" w:rsidP="00A73BA9">
      <w:pPr>
        <w:pStyle w:val="TableTitle"/>
      </w:pPr>
      <w:r>
        <w:rPr>
          <w:b w:val="0"/>
        </w:rPr>
        <w:lastRenderedPageBreak/>
        <w:t xml:space="preserve">Table </w:t>
      </w:r>
      <w:r w:rsidR="001638B1">
        <w:fldChar w:fldCharType="begin"/>
      </w:r>
      <w:r w:rsidR="001638B1">
        <w:instrText xml:space="preserve"> COMMENTS  \* MERGEFORMAT </w:instrText>
      </w:r>
      <w:r w:rsidR="001638B1">
        <w:fldChar w:fldCharType="separate"/>
      </w:r>
      <w:r w:rsidR="007F1CF0" w:rsidRPr="007F1CF0">
        <w:rPr>
          <w:b w:val="0"/>
        </w:rPr>
        <w:t>1.</w:t>
      </w:r>
      <w:r w:rsidR="001638B1">
        <w:rPr>
          <w:b w:val="0"/>
        </w:rPr>
        <w:fldChar w:fldCharType="end"/>
      </w:r>
      <w:r>
        <w:rPr>
          <w:b w:val="0"/>
        </w:rPr>
        <w:fldChar w:fldCharType="begin"/>
      </w:r>
      <w:r>
        <w:rPr>
          <w:b w:val="0"/>
        </w:rPr>
        <w:instrText xml:space="preserve"> SEQ Table \* ARABIC </w:instrText>
      </w:r>
      <w:r>
        <w:rPr>
          <w:b w:val="0"/>
        </w:rPr>
        <w:fldChar w:fldCharType="separate"/>
      </w:r>
      <w:r w:rsidR="00A71173">
        <w:rPr>
          <w:b w:val="0"/>
          <w:noProof/>
        </w:rPr>
        <w:t>3</w:t>
      </w:r>
      <w:r>
        <w:rPr>
          <w:b w:val="0"/>
        </w:rPr>
        <w:fldChar w:fldCharType="end"/>
      </w:r>
      <w:r>
        <w:tab/>
      </w:r>
      <w:r w:rsidR="008C7F9F" w:rsidRPr="008C7F9F">
        <w:t xml:space="preserve">A regional rollout aimed at a constrained and more peaky area </w:t>
      </w:r>
      <w:r w:rsidR="0075665D">
        <w:t>(scenario 1)</w:t>
      </w:r>
    </w:p>
    <w:p w:rsidR="00A73BA9" w:rsidRDefault="00A73BA9" w:rsidP="00A73BA9">
      <w:pPr>
        <w:pStyle w:val="Subtitle"/>
      </w:pPr>
      <w:r>
        <w:t>Key assumptions and results for a single region</w:t>
      </w:r>
      <w:r w:rsidR="00B25FEE" w:rsidRPr="00B25FEE">
        <w:rPr>
          <w:rStyle w:val="NoteLabel"/>
        </w:rPr>
        <w:t>a</w:t>
      </w:r>
    </w:p>
    <w:tbl>
      <w:tblPr>
        <w:tblW w:w="5000" w:type="pct"/>
        <w:tblCellMar>
          <w:left w:w="0" w:type="dxa"/>
          <w:right w:w="0" w:type="dxa"/>
        </w:tblCellMar>
        <w:tblLook w:val="0000" w:firstRow="0" w:lastRow="0" w:firstColumn="0" w:lastColumn="0" w:noHBand="0" w:noVBand="0"/>
      </w:tblPr>
      <w:tblGrid>
        <w:gridCol w:w="2023"/>
        <w:gridCol w:w="2399"/>
        <w:gridCol w:w="1832"/>
        <w:gridCol w:w="1350"/>
        <w:gridCol w:w="1185"/>
      </w:tblGrid>
      <w:tr w:rsidR="00A73BA9" w:rsidTr="00A73BA9">
        <w:tc>
          <w:tcPr>
            <w:tcW w:w="1151" w:type="pct"/>
            <w:tcBorders>
              <w:top w:val="single" w:sz="6" w:space="0" w:color="auto"/>
              <w:bottom w:val="single" w:sz="6" w:space="0" w:color="auto"/>
            </w:tcBorders>
            <w:shd w:val="clear" w:color="auto" w:fill="auto"/>
          </w:tcPr>
          <w:p w:rsidR="00A73BA9" w:rsidRDefault="00A73BA9" w:rsidP="00A4328D">
            <w:pPr>
              <w:pStyle w:val="TableColumnHeading"/>
              <w:ind w:left="0" w:right="0" w:hanging="2"/>
              <w:jc w:val="left"/>
            </w:pPr>
          </w:p>
        </w:tc>
        <w:tc>
          <w:tcPr>
            <w:tcW w:w="1365" w:type="pct"/>
            <w:tcBorders>
              <w:top w:val="single" w:sz="6" w:space="0" w:color="auto"/>
              <w:bottom w:val="single" w:sz="6" w:space="0" w:color="auto"/>
            </w:tcBorders>
          </w:tcPr>
          <w:p w:rsidR="00A73BA9" w:rsidRDefault="00A73BA9" w:rsidP="002224B0">
            <w:pPr>
              <w:pStyle w:val="TableColumnHeading"/>
              <w:ind w:left="104"/>
            </w:pPr>
            <w:r>
              <w:t>Units</w:t>
            </w:r>
          </w:p>
        </w:tc>
        <w:tc>
          <w:tcPr>
            <w:tcW w:w="1042" w:type="pct"/>
            <w:tcBorders>
              <w:top w:val="single" w:sz="6" w:space="0" w:color="auto"/>
              <w:bottom w:val="single" w:sz="6" w:space="0" w:color="auto"/>
            </w:tcBorders>
            <w:shd w:val="clear" w:color="auto" w:fill="auto"/>
          </w:tcPr>
          <w:p w:rsidR="00A73BA9" w:rsidRDefault="00A73BA9" w:rsidP="002224B0">
            <w:pPr>
              <w:pStyle w:val="TableColumnHeading"/>
              <w:ind w:left="104"/>
            </w:pPr>
            <w:r>
              <w:t>low</w:t>
            </w:r>
          </w:p>
        </w:tc>
        <w:tc>
          <w:tcPr>
            <w:tcW w:w="768" w:type="pct"/>
            <w:tcBorders>
              <w:top w:val="single" w:sz="6" w:space="0" w:color="auto"/>
              <w:bottom w:val="single" w:sz="6" w:space="0" w:color="auto"/>
            </w:tcBorders>
          </w:tcPr>
          <w:p w:rsidR="00A73BA9" w:rsidRDefault="00A73BA9" w:rsidP="002224B0">
            <w:pPr>
              <w:pStyle w:val="TableColumnHeading"/>
              <w:ind w:left="104" w:right="28"/>
            </w:pPr>
            <w:proofErr w:type="spellStart"/>
            <w:r>
              <w:t>mid-point</w:t>
            </w:r>
            <w:proofErr w:type="spellEnd"/>
          </w:p>
        </w:tc>
        <w:tc>
          <w:tcPr>
            <w:tcW w:w="674" w:type="pct"/>
            <w:tcBorders>
              <w:top w:val="single" w:sz="6" w:space="0" w:color="auto"/>
              <w:bottom w:val="single" w:sz="6" w:space="0" w:color="auto"/>
            </w:tcBorders>
            <w:shd w:val="clear" w:color="auto" w:fill="auto"/>
          </w:tcPr>
          <w:p w:rsidR="00A73BA9" w:rsidRDefault="00A73BA9" w:rsidP="002224B0">
            <w:pPr>
              <w:pStyle w:val="TableColumnHeading"/>
              <w:ind w:left="104" w:right="28"/>
            </w:pPr>
            <w:r>
              <w:t>high</w:t>
            </w:r>
          </w:p>
        </w:tc>
      </w:tr>
      <w:tr w:rsidR="0075665D" w:rsidRPr="0075665D" w:rsidTr="00A73BA9">
        <w:tc>
          <w:tcPr>
            <w:tcW w:w="1151" w:type="pct"/>
          </w:tcPr>
          <w:p w:rsidR="0075665D" w:rsidRPr="0075665D" w:rsidRDefault="008C7F9F" w:rsidP="00A4328D">
            <w:pPr>
              <w:pStyle w:val="TableBodyText"/>
              <w:ind w:left="0" w:right="0" w:hanging="2"/>
              <w:jc w:val="left"/>
              <w:rPr>
                <w:b/>
              </w:rPr>
            </w:pPr>
            <w:r>
              <w:rPr>
                <w:b/>
              </w:rPr>
              <w:t>A</w:t>
            </w:r>
            <w:r w:rsidR="0075665D" w:rsidRPr="0075665D">
              <w:rPr>
                <w:b/>
              </w:rPr>
              <w:t>ssumptions</w:t>
            </w:r>
          </w:p>
        </w:tc>
        <w:tc>
          <w:tcPr>
            <w:tcW w:w="1365" w:type="pct"/>
          </w:tcPr>
          <w:p w:rsidR="0075665D" w:rsidRPr="0075665D" w:rsidRDefault="0075665D" w:rsidP="002224B0">
            <w:pPr>
              <w:pStyle w:val="TableBodyText"/>
              <w:ind w:left="104"/>
              <w:rPr>
                <w:b/>
              </w:rPr>
            </w:pPr>
          </w:p>
        </w:tc>
        <w:tc>
          <w:tcPr>
            <w:tcW w:w="1042" w:type="pct"/>
          </w:tcPr>
          <w:p w:rsidR="0075665D" w:rsidRPr="0075665D" w:rsidRDefault="0075665D" w:rsidP="002224B0">
            <w:pPr>
              <w:pStyle w:val="TableBodyText"/>
              <w:ind w:left="104"/>
              <w:rPr>
                <w:b/>
              </w:rPr>
            </w:pPr>
          </w:p>
        </w:tc>
        <w:tc>
          <w:tcPr>
            <w:tcW w:w="768" w:type="pct"/>
          </w:tcPr>
          <w:p w:rsidR="0075665D" w:rsidRPr="0075665D" w:rsidRDefault="0075665D" w:rsidP="002224B0">
            <w:pPr>
              <w:pStyle w:val="TableBodyText"/>
              <w:ind w:left="104" w:right="28"/>
              <w:rPr>
                <w:b/>
              </w:rPr>
            </w:pPr>
          </w:p>
        </w:tc>
        <w:tc>
          <w:tcPr>
            <w:tcW w:w="674" w:type="pct"/>
          </w:tcPr>
          <w:p w:rsidR="0075665D" w:rsidRPr="0075665D" w:rsidRDefault="0075665D" w:rsidP="002224B0">
            <w:pPr>
              <w:pStyle w:val="TableBodyText"/>
              <w:ind w:left="104" w:right="28"/>
              <w:rPr>
                <w:b/>
              </w:rPr>
            </w:pPr>
          </w:p>
        </w:tc>
      </w:tr>
      <w:tr w:rsidR="00A73BA9" w:rsidTr="00A73BA9">
        <w:tc>
          <w:tcPr>
            <w:tcW w:w="1151" w:type="pct"/>
          </w:tcPr>
          <w:p w:rsidR="00A73BA9" w:rsidRDefault="00A73BA9" w:rsidP="00A4328D">
            <w:pPr>
              <w:pStyle w:val="TableBodyText"/>
              <w:ind w:left="0" w:right="0" w:hanging="2"/>
              <w:jc w:val="left"/>
            </w:pPr>
            <w:r>
              <w:t>Smart meters</w:t>
            </w:r>
          </w:p>
        </w:tc>
        <w:tc>
          <w:tcPr>
            <w:tcW w:w="1365" w:type="pct"/>
          </w:tcPr>
          <w:p w:rsidR="00A73BA9" w:rsidRDefault="00BB6DB8" w:rsidP="002224B0">
            <w:pPr>
              <w:pStyle w:val="TableBodyText"/>
              <w:ind w:left="104"/>
            </w:pPr>
            <w:r>
              <w:t>number</w:t>
            </w:r>
          </w:p>
        </w:tc>
        <w:tc>
          <w:tcPr>
            <w:tcW w:w="1042" w:type="pct"/>
          </w:tcPr>
          <w:p w:rsidR="00A73BA9" w:rsidRDefault="00A73BA9" w:rsidP="002224B0">
            <w:pPr>
              <w:pStyle w:val="TableBodyText"/>
              <w:ind w:left="104"/>
            </w:pPr>
            <w:r>
              <w:t>10 000</w:t>
            </w:r>
          </w:p>
        </w:tc>
        <w:tc>
          <w:tcPr>
            <w:tcW w:w="768" w:type="pct"/>
          </w:tcPr>
          <w:p w:rsidR="00A73BA9" w:rsidRDefault="00A73BA9" w:rsidP="002224B0">
            <w:pPr>
              <w:pStyle w:val="TableBodyText"/>
              <w:ind w:left="104" w:right="28"/>
            </w:pPr>
            <w:r>
              <w:t>10 000</w:t>
            </w:r>
          </w:p>
        </w:tc>
        <w:tc>
          <w:tcPr>
            <w:tcW w:w="674" w:type="pct"/>
          </w:tcPr>
          <w:p w:rsidR="00A73BA9" w:rsidRDefault="00A73BA9" w:rsidP="002224B0">
            <w:pPr>
              <w:pStyle w:val="TableBodyText"/>
              <w:ind w:left="104" w:right="28"/>
            </w:pPr>
            <w:r>
              <w:t>10 000</w:t>
            </w:r>
          </w:p>
        </w:tc>
      </w:tr>
      <w:tr w:rsidR="00A73BA9" w:rsidTr="00A73BA9">
        <w:tc>
          <w:tcPr>
            <w:tcW w:w="1151" w:type="pct"/>
            <w:shd w:val="clear" w:color="auto" w:fill="auto"/>
          </w:tcPr>
          <w:p w:rsidR="00A73BA9" w:rsidRDefault="00A73BA9" w:rsidP="00A4328D">
            <w:pPr>
              <w:pStyle w:val="TableBodyText"/>
              <w:ind w:left="0" w:right="0" w:hanging="2"/>
              <w:jc w:val="left"/>
            </w:pPr>
            <w:r>
              <w:t>Relevant critical peak demand</w:t>
            </w:r>
          </w:p>
        </w:tc>
        <w:tc>
          <w:tcPr>
            <w:tcW w:w="1365" w:type="pct"/>
          </w:tcPr>
          <w:p w:rsidR="00A73BA9" w:rsidRDefault="00A73BA9" w:rsidP="002224B0">
            <w:pPr>
              <w:pStyle w:val="TableBodyText"/>
              <w:ind w:left="104"/>
            </w:pPr>
            <w:proofErr w:type="spellStart"/>
            <w:r>
              <w:t>MWh</w:t>
            </w:r>
            <w:proofErr w:type="spellEnd"/>
          </w:p>
        </w:tc>
        <w:tc>
          <w:tcPr>
            <w:tcW w:w="1042" w:type="pct"/>
            <w:shd w:val="clear" w:color="auto" w:fill="auto"/>
          </w:tcPr>
          <w:p w:rsidR="00A73BA9" w:rsidRDefault="00A73BA9" w:rsidP="002224B0">
            <w:pPr>
              <w:pStyle w:val="TableBodyText"/>
              <w:ind w:left="104"/>
            </w:pPr>
            <w:r>
              <w:t>28</w:t>
            </w:r>
          </w:p>
        </w:tc>
        <w:tc>
          <w:tcPr>
            <w:tcW w:w="768" w:type="pct"/>
          </w:tcPr>
          <w:p w:rsidR="00A73BA9" w:rsidRDefault="00C00C9B" w:rsidP="002224B0">
            <w:pPr>
              <w:pStyle w:val="TableBodyText"/>
              <w:ind w:left="104" w:right="28"/>
            </w:pPr>
            <w:r>
              <w:t>32</w:t>
            </w:r>
          </w:p>
        </w:tc>
        <w:tc>
          <w:tcPr>
            <w:tcW w:w="674" w:type="pct"/>
            <w:shd w:val="clear" w:color="auto" w:fill="auto"/>
          </w:tcPr>
          <w:p w:rsidR="00A73BA9" w:rsidRDefault="00C00C9B" w:rsidP="002224B0">
            <w:pPr>
              <w:pStyle w:val="TableBodyText"/>
              <w:ind w:left="104" w:right="28"/>
            </w:pPr>
            <w:r>
              <w:t>36</w:t>
            </w:r>
          </w:p>
        </w:tc>
      </w:tr>
      <w:tr w:rsidR="00A73BA9" w:rsidTr="00A73BA9">
        <w:tc>
          <w:tcPr>
            <w:tcW w:w="1151" w:type="pct"/>
            <w:shd w:val="clear" w:color="auto" w:fill="auto"/>
          </w:tcPr>
          <w:p w:rsidR="00A73BA9" w:rsidRDefault="00A73BA9" w:rsidP="00A4328D">
            <w:pPr>
              <w:pStyle w:val="TableBodyText"/>
              <w:ind w:left="0" w:right="0" w:hanging="2"/>
              <w:jc w:val="left"/>
            </w:pPr>
            <w:r>
              <w:t>Up front cost</w:t>
            </w:r>
          </w:p>
        </w:tc>
        <w:tc>
          <w:tcPr>
            <w:tcW w:w="1365" w:type="pct"/>
          </w:tcPr>
          <w:p w:rsidR="00A73BA9" w:rsidRDefault="00A73BA9" w:rsidP="002224B0">
            <w:pPr>
              <w:pStyle w:val="TableBodyText"/>
              <w:ind w:left="104"/>
            </w:pPr>
            <w:r>
              <w:t>$ per appliance</w:t>
            </w:r>
          </w:p>
        </w:tc>
        <w:tc>
          <w:tcPr>
            <w:tcW w:w="1042" w:type="pct"/>
            <w:shd w:val="clear" w:color="auto" w:fill="auto"/>
          </w:tcPr>
          <w:p w:rsidR="00A73BA9" w:rsidRDefault="00A73BA9" w:rsidP="002224B0">
            <w:pPr>
              <w:pStyle w:val="TableBodyText"/>
              <w:ind w:left="104"/>
            </w:pPr>
            <w:r>
              <w:t>800</w:t>
            </w:r>
          </w:p>
        </w:tc>
        <w:tc>
          <w:tcPr>
            <w:tcW w:w="768" w:type="pct"/>
          </w:tcPr>
          <w:p w:rsidR="00A73BA9" w:rsidRDefault="00A73BA9" w:rsidP="002224B0">
            <w:pPr>
              <w:pStyle w:val="TableBodyText"/>
              <w:ind w:left="104" w:right="28"/>
            </w:pPr>
            <w:r>
              <w:t>535</w:t>
            </w:r>
          </w:p>
        </w:tc>
        <w:tc>
          <w:tcPr>
            <w:tcW w:w="674" w:type="pct"/>
            <w:shd w:val="clear" w:color="auto" w:fill="auto"/>
          </w:tcPr>
          <w:p w:rsidR="00A73BA9" w:rsidRDefault="00CF37A4" w:rsidP="002224B0">
            <w:pPr>
              <w:pStyle w:val="TableBodyText"/>
              <w:ind w:left="104" w:right="28"/>
            </w:pPr>
            <w:r>
              <w:t>270</w:t>
            </w:r>
          </w:p>
        </w:tc>
      </w:tr>
      <w:tr w:rsidR="00A73BA9" w:rsidTr="00A73BA9">
        <w:tc>
          <w:tcPr>
            <w:tcW w:w="1151" w:type="pct"/>
            <w:shd w:val="clear" w:color="auto" w:fill="auto"/>
          </w:tcPr>
          <w:p w:rsidR="00A73BA9" w:rsidRDefault="00C82115" w:rsidP="00A4328D">
            <w:pPr>
              <w:pStyle w:val="TableBodyText"/>
              <w:ind w:left="0" w:right="0" w:hanging="2"/>
              <w:jc w:val="left"/>
            </w:pPr>
            <w:r>
              <w:t xml:space="preserve">IT </w:t>
            </w:r>
            <w:r w:rsidR="00A73BA9">
              <w:t>Refresh cost</w:t>
            </w:r>
          </w:p>
        </w:tc>
        <w:tc>
          <w:tcPr>
            <w:tcW w:w="1365" w:type="pct"/>
          </w:tcPr>
          <w:p w:rsidR="00A73BA9" w:rsidRDefault="00A73BA9" w:rsidP="002224B0">
            <w:pPr>
              <w:pStyle w:val="TableBodyText"/>
              <w:ind w:left="104"/>
            </w:pPr>
            <w:r>
              <w:t>$ per appliance</w:t>
            </w:r>
          </w:p>
        </w:tc>
        <w:tc>
          <w:tcPr>
            <w:tcW w:w="1042" w:type="pct"/>
            <w:shd w:val="clear" w:color="auto" w:fill="auto"/>
          </w:tcPr>
          <w:p w:rsidR="00A73BA9" w:rsidRDefault="00A73BA9" w:rsidP="002224B0">
            <w:pPr>
              <w:pStyle w:val="TableBodyText"/>
              <w:ind w:left="104"/>
            </w:pPr>
            <w:r>
              <w:t>150</w:t>
            </w:r>
          </w:p>
        </w:tc>
        <w:tc>
          <w:tcPr>
            <w:tcW w:w="768" w:type="pct"/>
          </w:tcPr>
          <w:p w:rsidR="00A73BA9" w:rsidRDefault="00A73BA9" w:rsidP="002224B0">
            <w:pPr>
              <w:pStyle w:val="TableBodyText"/>
              <w:ind w:left="104" w:right="28"/>
            </w:pPr>
            <w:r>
              <w:t>125</w:t>
            </w:r>
          </w:p>
        </w:tc>
        <w:tc>
          <w:tcPr>
            <w:tcW w:w="674" w:type="pct"/>
            <w:shd w:val="clear" w:color="auto" w:fill="auto"/>
          </w:tcPr>
          <w:p w:rsidR="00A73BA9" w:rsidRDefault="00A73BA9" w:rsidP="002224B0">
            <w:pPr>
              <w:pStyle w:val="TableBodyText"/>
              <w:ind w:left="104" w:right="28"/>
            </w:pPr>
            <w:r>
              <w:t>100</w:t>
            </w:r>
          </w:p>
        </w:tc>
      </w:tr>
      <w:tr w:rsidR="00A73BA9" w:rsidTr="00A73BA9">
        <w:tc>
          <w:tcPr>
            <w:tcW w:w="1151" w:type="pct"/>
            <w:shd w:val="clear" w:color="auto" w:fill="auto"/>
          </w:tcPr>
          <w:p w:rsidR="00A73BA9" w:rsidRDefault="00A73BA9" w:rsidP="00A4328D">
            <w:pPr>
              <w:pStyle w:val="TableBodyText"/>
              <w:ind w:left="0" w:right="0" w:hanging="2"/>
              <w:jc w:val="left"/>
            </w:pPr>
            <w:r>
              <w:t>Annual cost</w:t>
            </w:r>
          </w:p>
        </w:tc>
        <w:tc>
          <w:tcPr>
            <w:tcW w:w="1365" w:type="pct"/>
          </w:tcPr>
          <w:p w:rsidR="00A73BA9" w:rsidRDefault="00A73BA9" w:rsidP="002224B0">
            <w:pPr>
              <w:pStyle w:val="TableBodyText"/>
              <w:ind w:left="104"/>
            </w:pPr>
            <w:r>
              <w:t>$ per appliance per year</w:t>
            </w:r>
          </w:p>
        </w:tc>
        <w:tc>
          <w:tcPr>
            <w:tcW w:w="1042" w:type="pct"/>
            <w:shd w:val="clear" w:color="auto" w:fill="auto"/>
          </w:tcPr>
          <w:p w:rsidR="00A73BA9" w:rsidRDefault="00A73BA9" w:rsidP="002224B0">
            <w:pPr>
              <w:pStyle w:val="TableBodyText"/>
              <w:ind w:left="104"/>
            </w:pPr>
            <w:r>
              <w:t>30</w:t>
            </w:r>
          </w:p>
        </w:tc>
        <w:tc>
          <w:tcPr>
            <w:tcW w:w="768" w:type="pct"/>
          </w:tcPr>
          <w:p w:rsidR="00A73BA9" w:rsidRDefault="00A73BA9" w:rsidP="002224B0">
            <w:pPr>
              <w:pStyle w:val="TableBodyText"/>
              <w:ind w:left="104" w:right="28"/>
            </w:pPr>
            <w:r>
              <w:t>25</w:t>
            </w:r>
          </w:p>
        </w:tc>
        <w:tc>
          <w:tcPr>
            <w:tcW w:w="674" w:type="pct"/>
            <w:shd w:val="clear" w:color="auto" w:fill="auto"/>
          </w:tcPr>
          <w:p w:rsidR="00A73BA9" w:rsidRDefault="00A73BA9" w:rsidP="002224B0">
            <w:pPr>
              <w:pStyle w:val="TableBodyText"/>
              <w:ind w:left="104" w:right="28"/>
            </w:pPr>
            <w:r>
              <w:t>20</w:t>
            </w:r>
          </w:p>
        </w:tc>
      </w:tr>
      <w:tr w:rsidR="00D24977" w:rsidTr="00355F4D">
        <w:trPr>
          <w:trHeight w:val="810"/>
        </w:trPr>
        <w:tc>
          <w:tcPr>
            <w:tcW w:w="1151" w:type="pct"/>
            <w:shd w:val="clear" w:color="auto" w:fill="auto"/>
          </w:tcPr>
          <w:p w:rsidR="00D24977" w:rsidRDefault="00D24977" w:rsidP="00A4328D">
            <w:pPr>
              <w:pStyle w:val="TableBodyText"/>
              <w:ind w:left="0" w:right="0" w:hanging="2"/>
              <w:jc w:val="left"/>
            </w:pPr>
            <w:r>
              <w:t>Value of demand management savings (network/generation)</w:t>
            </w:r>
          </w:p>
        </w:tc>
        <w:tc>
          <w:tcPr>
            <w:tcW w:w="1365" w:type="pct"/>
          </w:tcPr>
          <w:p w:rsidR="00D24977" w:rsidRDefault="00D24977" w:rsidP="002224B0">
            <w:pPr>
              <w:pStyle w:val="TableBodyText"/>
              <w:ind w:left="104"/>
            </w:pPr>
            <w:r>
              <w:t>$/kW per year</w:t>
            </w:r>
          </w:p>
        </w:tc>
        <w:tc>
          <w:tcPr>
            <w:tcW w:w="1042" w:type="pct"/>
            <w:shd w:val="clear" w:color="auto" w:fill="auto"/>
          </w:tcPr>
          <w:p w:rsidR="00D24977" w:rsidRDefault="00D24977" w:rsidP="00355F4D">
            <w:pPr>
              <w:jc w:val="right"/>
              <w:rPr>
                <w:rFonts w:ascii="Arial" w:hAnsi="Arial" w:cs="Arial"/>
                <w:color w:val="000000"/>
                <w:sz w:val="20"/>
                <w:szCs w:val="20"/>
              </w:rPr>
            </w:pPr>
            <w:r>
              <w:rPr>
                <w:rFonts w:ascii="Arial" w:hAnsi="Arial" w:cs="Arial"/>
                <w:color w:val="000000"/>
                <w:sz w:val="20"/>
                <w:szCs w:val="20"/>
              </w:rPr>
              <w:t>271</w:t>
            </w:r>
          </w:p>
        </w:tc>
        <w:tc>
          <w:tcPr>
            <w:tcW w:w="768" w:type="pct"/>
          </w:tcPr>
          <w:p w:rsidR="00D24977" w:rsidRDefault="00D24977" w:rsidP="00355F4D">
            <w:pPr>
              <w:jc w:val="right"/>
              <w:rPr>
                <w:rFonts w:ascii="Arial" w:hAnsi="Arial" w:cs="Arial"/>
                <w:color w:val="000000"/>
                <w:sz w:val="20"/>
                <w:szCs w:val="20"/>
              </w:rPr>
            </w:pPr>
            <w:r>
              <w:rPr>
                <w:rFonts w:ascii="Arial" w:hAnsi="Arial" w:cs="Arial"/>
                <w:color w:val="000000"/>
                <w:sz w:val="20"/>
                <w:szCs w:val="20"/>
              </w:rPr>
              <w:t>326</w:t>
            </w:r>
          </w:p>
        </w:tc>
        <w:tc>
          <w:tcPr>
            <w:tcW w:w="674" w:type="pct"/>
            <w:shd w:val="clear" w:color="auto" w:fill="auto"/>
          </w:tcPr>
          <w:p w:rsidR="00D24977" w:rsidRDefault="00D24977" w:rsidP="00355F4D">
            <w:pPr>
              <w:jc w:val="right"/>
              <w:rPr>
                <w:rFonts w:ascii="Arial" w:hAnsi="Arial" w:cs="Arial"/>
                <w:color w:val="000000"/>
                <w:sz w:val="20"/>
                <w:szCs w:val="20"/>
              </w:rPr>
            </w:pPr>
            <w:r>
              <w:rPr>
                <w:rFonts w:ascii="Arial" w:hAnsi="Arial" w:cs="Arial"/>
                <w:color w:val="000000"/>
                <w:sz w:val="20"/>
                <w:szCs w:val="20"/>
              </w:rPr>
              <w:t>381</w:t>
            </w:r>
          </w:p>
        </w:tc>
      </w:tr>
      <w:tr w:rsidR="00A73BA9" w:rsidTr="0075665D">
        <w:tc>
          <w:tcPr>
            <w:tcW w:w="1151" w:type="pct"/>
            <w:shd w:val="clear" w:color="auto" w:fill="auto"/>
          </w:tcPr>
          <w:p w:rsidR="00A73BA9" w:rsidRDefault="00A73BA9" w:rsidP="00A4328D">
            <w:pPr>
              <w:pStyle w:val="TableBodyText"/>
              <w:ind w:left="0" w:right="0" w:hanging="2"/>
              <w:jc w:val="left"/>
            </w:pPr>
            <w:r>
              <w:t>Maximum demand management response</w:t>
            </w:r>
          </w:p>
        </w:tc>
        <w:tc>
          <w:tcPr>
            <w:tcW w:w="1365" w:type="pct"/>
          </w:tcPr>
          <w:p w:rsidR="00A73BA9" w:rsidRDefault="00A73BA9" w:rsidP="002224B0">
            <w:pPr>
              <w:pStyle w:val="TableBodyText"/>
              <w:ind w:left="104"/>
            </w:pPr>
            <w:r>
              <w:t>% of relevant critical peak demand</w:t>
            </w:r>
          </w:p>
        </w:tc>
        <w:tc>
          <w:tcPr>
            <w:tcW w:w="1042" w:type="pct"/>
            <w:shd w:val="clear" w:color="auto" w:fill="auto"/>
          </w:tcPr>
          <w:p w:rsidR="00A73BA9" w:rsidRDefault="00A73BA9" w:rsidP="002224B0">
            <w:pPr>
              <w:pStyle w:val="TableBodyText"/>
              <w:ind w:left="104"/>
            </w:pPr>
            <w:r>
              <w:t>19</w:t>
            </w:r>
          </w:p>
        </w:tc>
        <w:tc>
          <w:tcPr>
            <w:tcW w:w="768" w:type="pct"/>
          </w:tcPr>
          <w:p w:rsidR="00A73BA9" w:rsidRDefault="00A73BA9" w:rsidP="002224B0">
            <w:pPr>
              <w:pStyle w:val="TableBodyText"/>
              <w:ind w:left="104" w:right="28"/>
            </w:pPr>
            <w:r>
              <w:t>27</w:t>
            </w:r>
          </w:p>
        </w:tc>
        <w:tc>
          <w:tcPr>
            <w:tcW w:w="674" w:type="pct"/>
            <w:shd w:val="clear" w:color="auto" w:fill="auto"/>
          </w:tcPr>
          <w:p w:rsidR="00A73BA9" w:rsidRDefault="00A73BA9" w:rsidP="002224B0">
            <w:pPr>
              <w:pStyle w:val="TableBodyText"/>
              <w:ind w:left="104" w:right="28"/>
            </w:pPr>
            <w:r>
              <w:t>34</w:t>
            </w:r>
          </w:p>
        </w:tc>
      </w:tr>
      <w:tr w:rsidR="002224B0" w:rsidTr="007E57A6">
        <w:tc>
          <w:tcPr>
            <w:tcW w:w="1151" w:type="pct"/>
            <w:shd w:val="clear" w:color="auto" w:fill="auto"/>
          </w:tcPr>
          <w:p w:rsidR="002224B0" w:rsidRDefault="002224B0" w:rsidP="007E57A6">
            <w:pPr>
              <w:pStyle w:val="TableBodyText"/>
              <w:ind w:left="0" w:right="0" w:hanging="2"/>
              <w:jc w:val="left"/>
            </w:pPr>
            <w:r>
              <w:t>Cost profile</w:t>
            </w:r>
          </w:p>
        </w:tc>
        <w:tc>
          <w:tcPr>
            <w:tcW w:w="3849" w:type="pct"/>
            <w:gridSpan w:val="4"/>
          </w:tcPr>
          <w:p w:rsidR="002224B0" w:rsidRDefault="002224B0" w:rsidP="007E57A6">
            <w:pPr>
              <w:pStyle w:val="TableBodyText"/>
              <w:ind w:left="104" w:right="28"/>
              <w:jc w:val="left"/>
            </w:pPr>
            <w:r>
              <w:t>Install costs all occur up fr</w:t>
            </w:r>
            <w:r w:rsidR="00203C13">
              <w:t xml:space="preserve">ont. IT refresh after 7 years. </w:t>
            </w:r>
          </w:p>
        </w:tc>
      </w:tr>
      <w:tr w:rsidR="00A73BA9" w:rsidTr="0075665D">
        <w:tc>
          <w:tcPr>
            <w:tcW w:w="1151" w:type="pct"/>
            <w:tcBorders>
              <w:bottom w:val="single" w:sz="4" w:space="0" w:color="auto"/>
            </w:tcBorders>
            <w:shd w:val="clear" w:color="auto" w:fill="auto"/>
          </w:tcPr>
          <w:p w:rsidR="00A73BA9" w:rsidRDefault="00A73BA9" w:rsidP="00A4328D">
            <w:pPr>
              <w:pStyle w:val="TableBodyText"/>
              <w:ind w:left="0" w:right="0" w:hanging="2"/>
              <w:jc w:val="left"/>
            </w:pPr>
            <w:r>
              <w:t>Demand management savings profile</w:t>
            </w:r>
          </w:p>
        </w:tc>
        <w:tc>
          <w:tcPr>
            <w:tcW w:w="3849" w:type="pct"/>
            <w:gridSpan w:val="4"/>
            <w:tcBorders>
              <w:bottom w:val="single" w:sz="4" w:space="0" w:color="auto"/>
            </w:tcBorders>
          </w:tcPr>
          <w:p w:rsidR="00A73BA9" w:rsidRDefault="00765A13" w:rsidP="002224B0">
            <w:pPr>
              <w:pStyle w:val="TableBodyText"/>
              <w:ind w:left="104" w:right="28"/>
              <w:jc w:val="left"/>
            </w:pPr>
            <w:r>
              <w:t>D</w:t>
            </w:r>
            <w:r w:rsidR="00A73BA9">
              <w:t>emand response</w:t>
            </w:r>
            <w:r>
              <w:t xml:space="preserve"> in the first year is 1/7</w:t>
            </w:r>
            <w:r w:rsidRPr="00765A13">
              <w:rPr>
                <w:vertAlign w:val="superscript"/>
              </w:rPr>
              <w:t>th</w:t>
            </w:r>
            <w:r>
              <w:t xml:space="preserve"> of the maximum response (reached in year 7), with linear growth in the response between the minimum and the maximum.</w:t>
            </w:r>
            <w:r w:rsidR="00A73BA9">
              <w:t xml:space="preserve"> </w:t>
            </w:r>
          </w:p>
        </w:tc>
      </w:tr>
      <w:tr w:rsidR="0075665D" w:rsidTr="0075665D">
        <w:tc>
          <w:tcPr>
            <w:tcW w:w="5000" w:type="pct"/>
            <w:gridSpan w:val="5"/>
            <w:tcBorders>
              <w:top w:val="single" w:sz="4" w:space="0" w:color="auto"/>
            </w:tcBorders>
            <w:shd w:val="clear" w:color="auto" w:fill="auto"/>
          </w:tcPr>
          <w:p w:rsidR="0075665D" w:rsidRPr="0075665D" w:rsidRDefault="00A12B46" w:rsidP="008632B1">
            <w:pPr>
              <w:pStyle w:val="TableBodyText"/>
              <w:ind w:left="104" w:right="0" w:hanging="2"/>
              <w:jc w:val="left"/>
              <w:rPr>
                <w:b/>
              </w:rPr>
            </w:pPr>
            <w:r>
              <w:rPr>
                <w:b/>
              </w:rPr>
              <w:t>Results</w:t>
            </w:r>
          </w:p>
        </w:tc>
      </w:tr>
      <w:tr w:rsidR="00A654DE" w:rsidTr="00A73BA9">
        <w:tc>
          <w:tcPr>
            <w:tcW w:w="1151" w:type="pct"/>
            <w:shd w:val="clear" w:color="auto" w:fill="auto"/>
          </w:tcPr>
          <w:p w:rsidR="00A654DE" w:rsidRDefault="00A654DE" w:rsidP="00A4328D">
            <w:pPr>
              <w:pStyle w:val="TableBodyText"/>
              <w:ind w:left="0" w:right="0" w:hanging="2"/>
              <w:jc w:val="left"/>
            </w:pPr>
            <w:r>
              <w:t>Discounted costs</w:t>
            </w:r>
          </w:p>
        </w:tc>
        <w:tc>
          <w:tcPr>
            <w:tcW w:w="1365" w:type="pct"/>
          </w:tcPr>
          <w:p w:rsidR="00A654DE" w:rsidRDefault="00A654DE" w:rsidP="002224B0">
            <w:pPr>
              <w:pStyle w:val="TableBodyText"/>
              <w:ind w:left="104"/>
            </w:pPr>
            <w:r>
              <w:t>$ Million (</w:t>
            </w:r>
            <w:proofErr w:type="spellStart"/>
            <w:r>
              <w:t>NPV</w:t>
            </w:r>
            <w:proofErr w:type="spellEnd"/>
            <w:r>
              <w:t>)</w:t>
            </w:r>
            <w:r>
              <w:rPr>
                <w:rStyle w:val="NoteLabel"/>
              </w:rPr>
              <w:t>b</w:t>
            </w:r>
          </w:p>
        </w:tc>
        <w:tc>
          <w:tcPr>
            <w:tcW w:w="1042" w:type="pct"/>
            <w:shd w:val="clear" w:color="auto" w:fill="auto"/>
          </w:tcPr>
          <w:p w:rsidR="00A654DE" w:rsidRPr="00D270C0" w:rsidRDefault="00A654DE" w:rsidP="00A654DE">
            <w:pPr>
              <w:pStyle w:val="TableBodyText"/>
              <w:ind w:left="104"/>
            </w:pPr>
            <w:r w:rsidRPr="00D270C0">
              <w:t>11</w:t>
            </w:r>
          </w:p>
        </w:tc>
        <w:tc>
          <w:tcPr>
            <w:tcW w:w="768" w:type="pct"/>
          </w:tcPr>
          <w:p w:rsidR="00A654DE" w:rsidRPr="00D270C0" w:rsidRDefault="00A654DE" w:rsidP="00A654DE">
            <w:pPr>
              <w:pStyle w:val="TableBodyText"/>
              <w:ind w:left="104"/>
            </w:pPr>
            <w:r w:rsidRPr="00D270C0">
              <w:t>8</w:t>
            </w:r>
          </w:p>
        </w:tc>
        <w:tc>
          <w:tcPr>
            <w:tcW w:w="674" w:type="pct"/>
            <w:shd w:val="clear" w:color="auto" w:fill="auto"/>
          </w:tcPr>
          <w:p w:rsidR="00A654DE" w:rsidRPr="00D270C0" w:rsidRDefault="00A654DE" w:rsidP="00A654DE">
            <w:pPr>
              <w:pStyle w:val="TableBodyText"/>
              <w:ind w:left="104"/>
            </w:pPr>
            <w:r w:rsidRPr="00D270C0">
              <w:t>5</w:t>
            </w:r>
          </w:p>
        </w:tc>
      </w:tr>
      <w:tr w:rsidR="00A654DE" w:rsidTr="00A73BA9">
        <w:tc>
          <w:tcPr>
            <w:tcW w:w="1151" w:type="pct"/>
            <w:shd w:val="clear" w:color="auto" w:fill="auto"/>
          </w:tcPr>
          <w:p w:rsidR="00A654DE" w:rsidRDefault="00A654DE" w:rsidP="00A4328D">
            <w:pPr>
              <w:pStyle w:val="TableBodyText"/>
              <w:ind w:left="0" w:right="0" w:hanging="2"/>
              <w:jc w:val="left"/>
            </w:pPr>
            <w:r>
              <w:t>Discounted benefits</w:t>
            </w:r>
          </w:p>
        </w:tc>
        <w:tc>
          <w:tcPr>
            <w:tcW w:w="1365" w:type="pct"/>
          </w:tcPr>
          <w:p w:rsidR="00A654DE" w:rsidRDefault="00A654DE" w:rsidP="002224B0">
            <w:pPr>
              <w:pStyle w:val="TableBodyText"/>
              <w:ind w:left="104"/>
            </w:pPr>
            <w:r>
              <w:t>$ M</w:t>
            </w:r>
            <w:r w:rsidRPr="00A106FF">
              <w:t>illion</w:t>
            </w:r>
            <w:r>
              <w:t xml:space="preserve"> (</w:t>
            </w:r>
            <w:proofErr w:type="spellStart"/>
            <w:r>
              <w:t>NPV</w:t>
            </w:r>
            <w:proofErr w:type="spellEnd"/>
            <w:r>
              <w:t>)</w:t>
            </w:r>
          </w:p>
        </w:tc>
        <w:tc>
          <w:tcPr>
            <w:tcW w:w="1042" w:type="pct"/>
            <w:shd w:val="clear" w:color="auto" w:fill="auto"/>
          </w:tcPr>
          <w:p w:rsidR="00A654DE" w:rsidRPr="00D270C0" w:rsidRDefault="00A654DE" w:rsidP="00A654DE">
            <w:pPr>
              <w:pStyle w:val="TableBodyText"/>
              <w:ind w:left="104"/>
            </w:pPr>
            <w:r w:rsidRPr="00D270C0">
              <w:t>13</w:t>
            </w:r>
          </w:p>
        </w:tc>
        <w:tc>
          <w:tcPr>
            <w:tcW w:w="768" w:type="pct"/>
          </w:tcPr>
          <w:p w:rsidR="00A654DE" w:rsidRPr="00D270C0" w:rsidRDefault="00A654DE" w:rsidP="00A654DE">
            <w:pPr>
              <w:pStyle w:val="TableBodyText"/>
              <w:ind w:left="104"/>
            </w:pPr>
            <w:r w:rsidRPr="00D270C0">
              <w:t>22</w:t>
            </w:r>
          </w:p>
        </w:tc>
        <w:tc>
          <w:tcPr>
            <w:tcW w:w="674" w:type="pct"/>
            <w:shd w:val="clear" w:color="auto" w:fill="auto"/>
          </w:tcPr>
          <w:p w:rsidR="00A654DE" w:rsidRPr="00D270C0" w:rsidRDefault="00A654DE" w:rsidP="00A654DE">
            <w:pPr>
              <w:pStyle w:val="TableBodyText"/>
              <w:ind w:left="104"/>
            </w:pPr>
            <w:r w:rsidRPr="00D270C0">
              <w:t>34</w:t>
            </w:r>
          </w:p>
        </w:tc>
      </w:tr>
      <w:tr w:rsidR="00A654DE" w:rsidTr="0075665D">
        <w:tc>
          <w:tcPr>
            <w:tcW w:w="1151" w:type="pct"/>
            <w:shd w:val="clear" w:color="auto" w:fill="auto"/>
          </w:tcPr>
          <w:p w:rsidR="00A654DE" w:rsidRDefault="00A654DE" w:rsidP="00A4328D">
            <w:pPr>
              <w:pStyle w:val="TableBodyText"/>
              <w:ind w:left="0" w:right="0" w:hanging="2"/>
              <w:jc w:val="left"/>
            </w:pPr>
            <w:r>
              <w:t>Net benefit</w:t>
            </w:r>
          </w:p>
        </w:tc>
        <w:tc>
          <w:tcPr>
            <w:tcW w:w="1365" w:type="pct"/>
          </w:tcPr>
          <w:p w:rsidR="00A654DE" w:rsidRDefault="00A654DE" w:rsidP="002224B0">
            <w:pPr>
              <w:pStyle w:val="TableBodyText"/>
              <w:ind w:left="104"/>
            </w:pPr>
            <w:r>
              <w:t>$ M</w:t>
            </w:r>
            <w:r w:rsidRPr="00A106FF">
              <w:t>illion</w:t>
            </w:r>
            <w:r>
              <w:t xml:space="preserve"> (</w:t>
            </w:r>
            <w:proofErr w:type="spellStart"/>
            <w:r>
              <w:t>NPV</w:t>
            </w:r>
            <w:proofErr w:type="spellEnd"/>
            <w:r>
              <w:t>)</w:t>
            </w:r>
          </w:p>
        </w:tc>
        <w:tc>
          <w:tcPr>
            <w:tcW w:w="1042" w:type="pct"/>
            <w:shd w:val="clear" w:color="auto" w:fill="auto"/>
          </w:tcPr>
          <w:p w:rsidR="00A654DE" w:rsidRPr="00D270C0" w:rsidRDefault="00A654DE" w:rsidP="00A654DE">
            <w:pPr>
              <w:pStyle w:val="TableBodyText"/>
              <w:ind w:left="104"/>
            </w:pPr>
            <w:r w:rsidRPr="00D270C0">
              <w:t>1</w:t>
            </w:r>
          </w:p>
        </w:tc>
        <w:tc>
          <w:tcPr>
            <w:tcW w:w="768" w:type="pct"/>
          </w:tcPr>
          <w:p w:rsidR="00A654DE" w:rsidRPr="00D270C0" w:rsidRDefault="00A654DE" w:rsidP="00A654DE">
            <w:pPr>
              <w:pStyle w:val="TableBodyText"/>
              <w:ind w:left="104"/>
            </w:pPr>
            <w:r w:rsidRPr="00D270C0">
              <w:t>14</w:t>
            </w:r>
          </w:p>
        </w:tc>
        <w:tc>
          <w:tcPr>
            <w:tcW w:w="674" w:type="pct"/>
            <w:shd w:val="clear" w:color="auto" w:fill="auto"/>
          </w:tcPr>
          <w:p w:rsidR="00A654DE" w:rsidRDefault="00A654DE" w:rsidP="00A654DE">
            <w:pPr>
              <w:pStyle w:val="TableBodyText"/>
              <w:ind w:left="104"/>
            </w:pPr>
            <w:r w:rsidRPr="00D270C0">
              <w:t>29</w:t>
            </w:r>
          </w:p>
        </w:tc>
      </w:tr>
      <w:tr w:rsidR="00A654DE" w:rsidRPr="0075665D" w:rsidTr="0094131A">
        <w:tc>
          <w:tcPr>
            <w:tcW w:w="1151" w:type="pct"/>
            <w:shd w:val="clear" w:color="auto" w:fill="auto"/>
          </w:tcPr>
          <w:p w:rsidR="00A654DE" w:rsidRPr="0075665D" w:rsidRDefault="00A654DE" w:rsidP="00A4328D">
            <w:pPr>
              <w:pStyle w:val="TableBodyText"/>
              <w:ind w:left="0" w:right="0" w:hanging="2"/>
              <w:jc w:val="left"/>
            </w:pPr>
            <w:r w:rsidRPr="0075665D">
              <w:t>Net benefit per household</w:t>
            </w:r>
          </w:p>
        </w:tc>
        <w:tc>
          <w:tcPr>
            <w:tcW w:w="1365" w:type="pct"/>
            <w:shd w:val="clear" w:color="auto" w:fill="auto"/>
          </w:tcPr>
          <w:p w:rsidR="00A654DE" w:rsidRPr="0075665D" w:rsidRDefault="00A654DE" w:rsidP="002224B0">
            <w:pPr>
              <w:pStyle w:val="TableBodyText"/>
              <w:ind w:left="104"/>
            </w:pPr>
            <w:r w:rsidRPr="0075665D">
              <w:t>$ (</w:t>
            </w:r>
            <w:proofErr w:type="spellStart"/>
            <w:r>
              <w:t>NPV</w:t>
            </w:r>
            <w:proofErr w:type="spellEnd"/>
            <w:r w:rsidRPr="0075665D">
              <w:t>)</w:t>
            </w:r>
          </w:p>
        </w:tc>
        <w:tc>
          <w:tcPr>
            <w:tcW w:w="1042" w:type="pct"/>
            <w:shd w:val="clear" w:color="auto" w:fill="auto"/>
          </w:tcPr>
          <w:p w:rsidR="00A654DE" w:rsidRPr="001C282B" w:rsidRDefault="00A654DE" w:rsidP="00A654DE">
            <w:pPr>
              <w:pStyle w:val="TableBodyText"/>
              <w:ind w:left="104"/>
            </w:pPr>
            <w:r w:rsidRPr="001C282B">
              <w:t>130</w:t>
            </w:r>
          </w:p>
        </w:tc>
        <w:tc>
          <w:tcPr>
            <w:tcW w:w="768" w:type="pct"/>
            <w:shd w:val="clear" w:color="auto" w:fill="auto"/>
          </w:tcPr>
          <w:p w:rsidR="00A654DE" w:rsidRPr="001C282B" w:rsidRDefault="00A654DE" w:rsidP="00A654DE">
            <w:pPr>
              <w:pStyle w:val="TableBodyText"/>
              <w:ind w:left="104"/>
            </w:pPr>
            <w:r w:rsidRPr="001C282B">
              <w:t>1</w:t>
            </w:r>
            <w:r w:rsidR="007A6364">
              <w:t> </w:t>
            </w:r>
            <w:r w:rsidRPr="001C282B">
              <w:t>370</w:t>
            </w:r>
          </w:p>
        </w:tc>
        <w:tc>
          <w:tcPr>
            <w:tcW w:w="674" w:type="pct"/>
            <w:shd w:val="clear" w:color="auto" w:fill="auto"/>
          </w:tcPr>
          <w:p w:rsidR="00A654DE" w:rsidRPr="001C282B" w:rsidRDefault="00A654DE" w:rsidP="00A654DE">
            <w:pPr>
              <w:pStyle w:val="TableBodyText"/>
              <w:ind w:left="104"/>
            </w:pPr>
            <w:r w:rsidRPr="001C282B">
              <w:t>2</w:t>
            </w:r>
            <w:r w:rsidR="007A6364">
              <w:t> </w:t>
            </w:r>
            <w:r w:rsidRPr="001C282B">
              <w:t>920</w:t>
            </w:r>
          </w:p>
        </w:tc>
      </w:tr>
      <w:tr w:rsidR="00A654DE" w:rsidRPr="0075665D" w:rsidTr="0094131A">
        <w:tc>
          <w:tcPr>
            <w:tcW w:w="1151" w:type="pct"/>
            <w:shd w:val="clear" w:color="auto" w:fill="auto"/>
          </w:tcPr>
          <w:p w:rsidR="00A654DE" w:rsidRPr="0075665D" w:rsidRDefault="00A654DE" w:rsidP="00DA1400">
            <w:pPr>
              <w:pStyle w:val="TableBodyText"/>
              <w:ind w:left="0" w:right="0" w:hanging="2"/>
              <w:jc w:val="left"/>
            </w:pPr>
            <w:r w:rsidRPr="0075665D">
              <w:t>Benefit cost ratio</w:t>
            </w:r>
          </w:p>
        </w:tc>
        <w:tc>
          <w:tcPr>
            <w:tcW w:w="1365" w:type="pct"/>
          </w:tcPr>
          <w:p w:rsidR="00A654DE" w:rsidRPr="0075665D" w:rsidRDefault="00A654DE" w:rsidP="00A5149D">
            <w:pPr>
              <w:pStyle w:val="TableBodyText"/>
              <w:ind w:left="104"/>
            </w:pPr>
            <w:r>
              <w:t>ratio</w:t>
            </w:r>
          </w:p>
        </w:tc>
        <w:tc>
          <w:tcPr>
            <w:tcW w:w="1042" w:type="pct"/>
            <w:shd w:val="clear" w:color="auto" w:fill="auto"/>
          </w:tcPr>
          <w:p w:rsidR="00A654DE" w:rsidRPr="001C282B" w:rsidRDefault="00A654DE" w:rsidP="00A654DE">
            <w:pPr>
              <w:pStyle w:val="TableBodyText"/>
              <w:ind w:left="104"/>
            </w:pPr>
            <w:r w:rsidRPr="001C282B">
              <w:t>1.1</w:t>
            </w:r>
          </w:p>
        </w:tc>
        <w:tc>
          <w:tcPr>
            <w:tcW w:w="768" w:type="pct"/>
          </w:tcPr>
          <w:p w:rsidR="00A654DE" w:rsidRPr="001C282B" w:rsidRDefault="00A654DE" w:rsidP="00A654DE">
            <w:pPr>
              <w:pStyle w:val="TableBodyText"/>
              <w:ind w:left="104"/>
            </w:pPr>
            <w:r w:rsidRPr="001C282B">
              <w:t>2.7</w:t>
            </w:r>
          </w:p>
        </w:tc>
        <w:tc>
          <w:tcPr>
            <w:tcW w:w="674" w:type="pct"/>
            <w:shd w:val="clear" w:color="auto" w:fill="auto"/>
          </w:tcPr>
          <w:p w:rsidR="00A654DE" w:rsidRDefault="00A654DE" w:rsidP="00A654DE">
            <w:pPr>
              <w:pStyle w:val="TableBodyText"/>
              <w:ind w:left="104"/>
            </w:pPr>
            <w:r w:rsidRPr="001C282B">
              <w:t>6.9</w:t>
            </w:r>
          </w:p>
        </w:tc>
      </w:tr>
      <w:tr w:rsidR="00A654DE" w:rsidRPr="009F7960" w:rsidTr="0094131A">
        <w:tc>
          <w:tcPr>
            <w:tcW w:w="1151" w:type="pct"/>
            <w:tcBorders>
              <w:bottom w:val="single" w:sz="4" w:space="0" w:color="auto"/>
            </w:tcBorders>
            <w:shd w:val="clear" w:color="auto" w:fill="auto"/>
          </w:tcPr>
          <w:p w:rsidR="00A654DE" w:rsidRPr="009F7960" w:rsidRDefault="00A654DE" w:rsidP="0094131A">
            <w:pPr>
              <w:pStyle w:val="TableBodyText"/>
              <w:ind w:left="0" w:right="0" w:hanging="2"/>
              <w:jc w:val="left"/>
              <w:rPr>
                <w:b/>
              </w:rPr>
            </w:pPr>
            <w:r w:rsidRPr="00A40654">
              <w:t xml:space="preserve">Annuity </w:t>
            </w:r>
            <w:r>
              <w:t>per household</w:t>
            </w:r>
            <w:r w:rsidRPr="0075665D">
              <w:t xml:space="preserve"> </w:t>
            </w:r>
          </w:p>
        </w:tc>
        <w:tc>
          <w:tcPr>
            <w:tcW w:w="1365" w:type="pct"/>
            <w:tcBorders>
              <w:bottom w:val="single" w:sz="4" w:space="0" w:color="auto"/>
            </w:tcBorders>
          </w:tcPr>
          <w:p w:rsidR="00A654DE" w:rsidRPr="0075665D" w:rsidRDefault="00A654DE" w:rsidP="002224B0">
            <w:pPr>
              <w:pStyle w:val="TableBodyText"/>
              <w:ind w:left="104"/>
            </w:pPr>
            <w:r>
              <w:t>$</w:t>
            </w:r>
          </w:p>
        </w:tc>
        <w:tc>
          <w:tcPr>
            <w:tcW w:w="1042" w:type="pct"/>
            <w:tcBorders>
              <w:bottom w:val="single" w:sz="4" w:space="0" w:color="auto"/>
            </w:tcBorders>
            <w:shd w:val="clear" w:color="auto" w:fill="auto"/>
          </w:tcPr>
          <w:p w:rsidR="00A654DE" w:rsidRPr="009D73DA" w:rsidRDefault="00A654DE" w:rsidP="00A654DE">
            <w:pPr>
              <w:pStyle w:val="TableBodyText"/>
              <w:ind w:left="104"/>
            </w:pPr>
            <w:r w:rsidRPr="009D73DA">
              <w:t xml:space="preserve">15 </w:t>
            </w:r>
          </w:p>
        </w:tc>
        <w:tc>
          <w:tcPr>
            <w:tcW w:w="768" w:type="pct"/>
            <w:tcBorders>
              <w:bottom w:val="single" w:sz="4" w:space="0" w:color="auto"/>
            </w:tcBorders>
          </w:tcPr>
          <w:p w:rsidR="00A654DE" w:rsidRPr="009D73DA" w:rsidRDefault="00A654DE" w:rsidP="00A654DE">
            <w:pPr>
              <w:pStyle w:val="TableBodyText"/>
              <w:ind w:left="104"/>
            </w:pPr>
            <w:r w:rsidRPr="009D73DA">
              <w:t xml:space="preserve">154 </w:t>
            </w:r>
          </w:p>
        </w:tc>
        <w:tc>
          <w:tcPr>
            <w:tcW w:w="674" w:type="pct"/>
            <w:tcBorders>
              <w:bottom w:val="single" w:sz="4" w:space="0" w:color="auto"/>
            </w:tcBorders>
            <w:shd w:val="clear" w:color="auto" w:fill="auto"/>
          </w:tcPr>
          <w:p w:rsidR="00A654DE" w:rsidRDefault="00A654DE" w:rsidP="00A654DE">
            <w:pPr>
              <w:pStyle w:val="TableBodyText"/>
              <w:ind w:left="104"/>
            </w:pPr>
            <w:r w:rsidRPr="009D73DA">
              <w:t xml:space="preserve">328 </w:t>
            </w:r>
          </w:p>
        </w:tc>
      </w:tr>
    </w:tbl>
    <w:p w:rsidR="00BC2DC5" w:rsidRDefault="00BC2DC5" w:rsidP="00BC2DC5">
      <w:pPr>
        <w:pStyle w:val="Note"/>
      </w:pPr>
      <w:proofErr w:type="spellStart"/>
      <w:r w:rsidRPr="00BC2DC5">
        <w:rPr>
          <w:rStyle w:val="NoteLabel"/>
        </w:rPr>
        <w:t>a</w:t>
      </w:r>
      <w:proofErr w:type="spellEnd"/>
      <w:r>
        <w:t xml:space="preserve"> </w:t>
      </w:r>
      <w:r w:rsidR="002224B0">
        <w:t>For scena</w:t>
      </w:r>
      <w:r w:rsidR="002224B0" w:rsidRPr="00674A07">
        <w:t xml:space="preserve">rio 1, </w:t>
      </w:r>
      <w:r w:rsidR="00380F6F" w:rsidRPr="00674A07">
        <w:t>the 25th a</w:t>
      </w:r>
      <w:r w:rsidR="00380F6F">
        <w:t>nd 75</w:t>
      </w:r>
      <w:r w:rsidR="00380F6F" w:rsidRPr="00674A07">
        <w:t>th</w:t>
      </w:r>
      <w:r w:rsidR="00380F6F">
        <w:t xml:space="preserve"> percentile values of the net benefit per </w:t>
      </w:r>
      <w:r w:rsidR="0075665D">
        <w:t>household</w:t>
      </w:r>
      <w:r w:rsidR="00380F6F">
        <w:t xml:space="preserve"> is </w:t>
      </w:r>
      <w:r w:rsidR="00406B5B">
        <w:t>around $</w:t>
      </w:r>
      <w:r w:rsidR="00F14598">
        <w:t>900</w:t>
      </w:r>
      <w:r w:rsidR="00380F6F">
        <w:t xml:space="preserve"> and </w:t>
      </w:r>
      <w:r w:rsidR="00406B5B">
        <w:t>$</w:t>
      </w:r>
      <w:r w:rsidR="00F14598">
        <w:t>1900</w:t>
      </w:r>
      <w:r w:rsidR="00380F6F">
        <w:t xml:space="preserve"> </w:t>
      </w:r>
      <w:r w:rsidR="0075665D">
        <w:t>respectively</w:t>
      </w:r>
      <w:r w:rsidR="00380F6F">
        <w:t xml:space="preserve">, which translates into a rounded range of an annuity </w:t>
      </w:r>
      <w:r w:rsidR="00BB6DB8">
        <w:t xml:space="preserve">for 15 years </w:t>
      </w:r>
      <w:r w:rsidR="00380F6F">
        <w:t>of between $</w:t>
      </w:r>
      <w:r w:rsidR="00F14598">
        <w:t>100</w:t>
      </w:r>
      <w:r w:rsidR="00380F6F">
        <w:t xml:space="preserve"> and $</w:t>
      </w:r>
      <w:r w:rsidR="00F14598">
        <w:t>2</w:t>
      </w:r>
      <w:r w:rsidR="00AF7E58">
        <w:t>0</w:t>
      </w:r>
      <w:r w:rsidR="00380F6F">
        <w:t>0</w:t>
      </w:r>
      <w:r w:rsidR="00BB6DB8">
        <w:t xml:space="preserve"> (based on a 15 year life of the meter)</w:t>
      </w:r>
      <w:r w:rsidR="00380F6F">
        <w:t>.</w:t>
      </w:r>
      <w:r w:rsidR="0075665D">
        <w:t xml:space="preserve"> </w:t>
      </w:r>
      <w:r w:rsidR="00235ED8" w:rsidRPr="00235ED8">
        <w:rPr>
          <w:rStyle w:val="NoteLabel"/>
        </w:rPr>
        <w:t>b</w:t>
      </w:r>
      <w:r w:rsidR="00235ED8">
        <w:t xml:space="preserve"> </w:t>
      </w:r>
      <w:proofErr w:type="spellStart"/>
      <w:r w:rsidR="00104577">
        <w:t>NPV</w:t>
      </w:r>
      <w:proofErr w:type="spellEnd"/>
      <w:r w:rsidR="00235ED8">
        <w:t xml:space="preserve"> denotes the net present value. It takes account of the fact that people prefer a dollar today than later and allows a stream of costs and benefits that vary over time to be represented in a single number. A discount rate of 8 per cent has been used in calculating the </w:t>
      </w:r>
      <w:proofErr w:type="spellStart"/>
      <w:r w:rsidR="00104577">
        <w:t>NPV</w:t>
      </w:r>
      <w:proofErr w:type="spellEnd"/>
      <w:r w:rsidR="00235ED8">
        <w:t>.</w:t>
      </w:r>
    </w:p>
    <w:p w:rsidR="002C73B4" w:rsidRDefault="002C73B4" w:rsidP="002C73B4">
      <w:pPr>
        <w:pStyle w:val="ListBullet"/>
      </w:pPr>
      <w:r>
        <w:t>potential for greater and more rapid recruitment of consumers into direct load control schemes through innovative marketing and incentive arrangements (recognising that the form of marketing may significantly affect participation rates)</w:t>
      </w:r>
    </w:p>
    <w:p w:rsidR="002C73B4" w:rsidRDefault="002C73B4" w:rsidP="002C73B4">
      <w:pPr>
        <w:pStyle w:val="ListBullet"/>
      </w:pPr>
      <w:r>
        <w:t>extent of penetration of direct load control technologies in appliances or lowered costs for retrofitting</w:t>
      </w:r>
    </w:p>
    <w:p w:rsidR="002C73B4" w:rsidRDefault="002C73B4" w:rsidP="002C73B4">
      <w:pPr>
        <w:pStyle w:val="ListBullet"/>
      </w:pPr>
      <w:r>
        <w:t>the strength of incentives for distribution businesses to undertake demand management, which depends on the exact design of the incentive regulation</w:t>
      </w:r>
      <w:r w:rsidR="00DB5305">
        <w:t xml:space="preserve"> regime (chapters </w:t>
      </w:r>
      <w:r w:rsidR="00DB5305" w:rsidRPr="00DB5305">
        <w:t>5</w:t>
      </w:r>
      <w:r w:rsidR="00DB5305">
        <w:t> </w:t>
      </w:r>
      <w:r w:rsidRPr="00DB5305">
        <w:t>and</w:t>
      </w:r>
      <w:r>
        <w:t> 12)</w:t>
      </w:r>
    </w:p>
    <w:p w:rsidR="002C73B4" w:rsidRDefault="002C73B4" w:rsidP="002C73B4">
      <w:pPr>
        <w:pStyle w:val="BodyText"/>
      </w:pPr>
      <w:r>
        <w:lastRenderedPageBreak/>
        <w:t>Regardless, as emphasised in section 1.1, the Commission’s estimates rely on many assumptions and varying estimates, with these sometimes being critical for the impacts shown in the tables above.</w:t>
      </w:r>
    </w:p>
    <w:p w:rsidR="00AE5A4B" w:rsidRDefault="00AE5A4B" w:rsidP="00B25FEE">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Table \* ARABIC </w:instrText>
      </w:r>
      <w:r>
        <w:rPr>
          <w:b w:val="0"/>
        </w:rPr>
        <w:fldChar w:fldCharType="separate"/>
      </w:r>
      <w:r w:rsidR="00A71173">
        <w:rPr>
          <w:b w:val="0"/>
          <w:noProof/>
        </w:rPr>
        <w:t>4</w:t>
      </w:r>
      <w:r>
        <w:rPr>
          <w:b w:val="0"/>
        </w:rPr>
        <w:fldChar w:fldCharType="end"/>
      </w:r>
      <w:r>
        <w:tab/>
      </w:r>
      <w:r w:rsidR="00B25FEE">
        <w:t>Direct load control without smart meters (scenario </w:t>
      </w:r>
      <w:r w:rsidR="00F27F5F">
        <w:t>4</w:t>
      </w:r>
      <w:r w:rsidR="00B25FEE">
        <w:t>)</w:t>
      </w:r>
      <w:r w:rsidR="00B25FEE" w:rsidRPr="00B25FEE">
        <w:rPr>
          <w:rStyle w:val="NoteLabel"/>
        </w:rPr>
        <w:t>a</w:t>
      </w:r>
    </w:p>
    <w:tbl>
      <w:tblPr>
        <w:tblStyle w:val="TableGrid"/>
        <w:tblW w:w="8864" w:type="dxa"/>
        <w:tblLook w:val="04A0" w:firstRow="1" w:lastRow="0" w:firstColumn="1" w:lastColumn="0" w:noHBand="0" w:noVBand="1"/>
      </w:tblPr>
      <w:tblGrid>
        <w:gridCol w:w="3227"/>
        <w:gridCol w:w="1701"/>
        <w:gridCol w:w="1242"/>
        <w:gridCol w:w="1276"/>
        <w:gridCol w:w="1418"/>
      </w:tblGrid>
      <w:tr w:rsidR="00AE5A4B" w:rsidRPr="001E0C18" w:rsidTr="006A360F">
        <w:trPr>
          <w:trHeight w:val="315"/>
        </w:trPr>
        <w:tc>
          <w:tcPr>
            <w:tcW w:w="3227" w:type="dxa"/>
            <w:tcBorders>
              <w:top w:val="single" w:sz="6" w:space="0" w:color="auto"/>
              <w:left w:val="nil"/>
              <w:bottom w:val="nil"/>
              <w:right w:val="nil"/>
            </w:tcBorders>
            <w:shd w:val="clear" w:color="auto" w:fill="auto"/>
            <w:hideMark/>
          </w:tcPr>
          <w:p w:rsidR="001E0C18" w:rsidRPr="001E0C18" w:rsidRDefault="001E0C18" w:rsidP="00AE5A4B">
            <w:pPr>
              <w:pStyle w:val="TableColumnHeading"/>
            </w:pPr>
            <w:r w:rsidRPr="001E0C18">
              <w:t> </w:t>
            </w:r>
          </w:p>
        </w:tc>
        <w:tc>
          <w:tcPr>
            <w:tcW w:w="1701" w:type="dxa"/>
            <w:tcBorders>
              <w:top w:val="single" w:sz="6" w:space="0" w:color="auto"/>
              <w:left w:val="nil"/>
              <w:bottom w:val="single" w:sz="4" w:space="0" w:color="auto"/>
              <w:right w:val="nil"/>
            </w:tcBorders>
            <w:shd w:val="clear" w:color="auto" w:fill="auto"/>
            <w:hideMark/>
          </w:tcPr>
          <w:p w:rsidR="001E0C18" w:rsidRPr="001E0C18" w:rsidRDefault="001E0C18" w:rsidP="00AE5A4B">
            <w:pPr>
              <w:pStyle w:val="TableColumnHeading"/>
            </w:pPr>
            <w:r w:rsidRPr="001E0C18">
              <w:t>Units</w:t>
            </w:r>
          </w:p>
        </w:tc>
        <w:tc>
          <w:tcPr>
            <w:tcW w:w="1242" w:type="dxa"/>
            <w:tcBorders>
              <w:top w:val="single" w:sz="6" w:space="0" w:color="auto"/>
              <w:left w:val="nil"/>
              <w:bottom w:val="single" w:sz="4" w:space="0" w:color="auto"/>
              <w:right w:val="nil"/>
            </w:tcBorders>
            <w:shd w:val="clear" w:color="auto" w:fill="auto"/>
            <w:hideMark/>
          </w:tcPr>
          <w:p w:rsidR="001E0C18" w:rsidRPr="001E0C18" w:rsidRDefault="00AE5A4B" w:rsidP="00AE5A4B">
            <w:pPr>
              <w:pStyle w:val="TableColumnHeading"/>
            </w:pPr>
            <w:r>
              <w:t>Low</w:t>
            </w:r>
          </w:p>
        </w:tc>
        <w:tc>
          <w:tcPr>
            <w:tcW w:w="1276" w:type="dxa"/>
            <w:tcBorders>
              <w:top w:val="single" w:sz="6" w:space="0" w:color="auto"/>
              <w:left w:val="nil"/>
              <w:bottom w:val="single" w:sz="4" w:space="0" w:color="auto"/>
              <w:right w:val="nil"/>
            </w:tcBorders>
            <w:shd w:val="clear" w:color="auto" w:fill="auto"/>
            <w:hideMark/>
          </w:tcPr>
          <w:p w:rsidR="001E0C18" w:rsidRPr="001E0C18" w:rsidRDefault="00AE5A4B" w:rsidP="00AE5A4B">
            <w:pPr>
              <w:pStyle w:val="TableColumnHeading"/>
            </w:pPr>
            <w:r>
              <w:t>Mid</w:t>
            </w:r>
            <w:r w:rsidR="001E0C18" w:rsidRPr="001E0C18">
              <w:t>-point</w:t>
            </w:r>
          </w:p>
        </w:tc>
        <w:tc>
          <w:tcPr>
            <w:tcW w:w="1418" w:type="dxa"/>
            <w:tcBorders>
              <w:top w:val="single" w:sz="6" w:space="0" w:color="auto"/>
              <w:left w:val="nil"/>
              <w:bottom w:val="single" w:sz="4" w:space="0" w:color="auto"/>
              <w:right w:val="nil"/>
            </w:tcBorders>
            <w:shd w:val="clear" w:color="auto" w:fill="auto"/>
            <w:hideMark/>
          </w:tcPr>
          <w:p w:rsidR="001E0C18" w:rsidRPr="001E0C18" w:rsidRDefault="00AE5A4B" w:rsidP="00AE5A4B">
            <w:pPr>
              <w:pStyle w:val="TableColumnHeading"/>
              <w:tabs>
                <w:tab w:val="center" w:pos="547"/>
                <w:tab w:val="right" w:pos="1089"/>
              </w:tabs>
            </w:pPr>
            <w:r>
              <w:t>High</w:t>
            </w:r>
          </w:p>
        </w:tc>
      </w:tr>
      <w:tr w:rsidR="00AE5A4B" w:rsidRPr="001E0C18" w:rsidTr="006A360F">
        <w:trPr>
          <w:trHeight w:val="300"/>
        </w:trPr>
        <w:tc>
          <w:tcPr>
            <w:tcW w:w="3227" w:type="dxa"/>
            <w:tcBorders>
              <w:top w:val="nil"/>
              <w:left w:val="nil"/>
              <w:bottom w:val="nil"/>
              <w:right w:val="nil"/>
            </w:tcBorders>
            <w:hideMark/>
          </w:tcPr>
          <w:p w:rsidR="001E0C18" w:rsidRPr="001E0C18" w:rsidRDefault="001E0C18" w:rsidP="00AE5A4B">
            <w:pPr>
              <w:pStyle w:val="TableBodyText"/>
              <w:jc w:val="left"/>
            </w:pPr>
            <w:r w:rsidRPr="001E0C18">
              <w:t>Direct load control devices</w:t>
            </w:r>
          </w:p>
        </w:tc>
        <w:tc>
          <w:tcPr>
            <w:tcW w:w="1701" w:type="dxa"/>
            <w:tcBorders>
              <w:top w:val="single" w:sz="4" w:space="0" w:color="auto"/>
              <w:left w:val="nil"/>
              <w:bottom w:val="nil"/>
              <w:right w:val="nil"/>
            </w:tcBorders>
            <w:hideMark/>
          </w:tcPr>
          <w:p w:rsidR="001E0C18" w:rsidRPr="001E0C18" w:rsidRDefault="001E0C18" w:rsidP="00AE5A4B">
            <w:pPr>
              <w:pStyle w:val="TableBodyText"/>
            </w:pPr>
            <w:r w:rsidRPr="001E0C18">
              <w:t>number</w:t>
            </w:r>
          </w:p>
        </w:tc>
        <w:tc>
          <w:tcPr>
            <w:tcW w:w="1242" w:type="dxa"/>
            <w:tcBorders>
              <w:top w:val="single" w:sz="4" w:space="0" w:color="auto"/>
              <w:left w:val="nil"/>
              <w:bottom w:val="nil"/>
              <w:right w:val="nil"/>
            </w:tcBorders>
            <w:noWrap/>
            <w:hideMark/>
          </w:tcPr>
          <w:p w:rsidR="001E0C18" w:rsidRPr="001E0C18" w:rsidRDefault="001E0C18" w:rsidP="00AE5A4B">
            <w:pPr>
              <w:pStyle w:val="TableBodyText"/>
            </w:pPr>
            <w:r w:rsidRPr="001E0C18">
              <w:t>124</w:t>
            </w:r>
            <w:r w:rsidR="007A6364">
              <w:t> </w:t>
            </w:r>
            <w:r w:rsidRPr="001E0C18">
              <w:t>000</w:t>
            </w:r>
          </w:p>
        </w:tc>
        <w:tc>
          <w:tcPr>
            <w:tcW w:w="1276" w:type="dxa"/>
            <w:tcBorders>
              <w:top w:val="single" w:sz="4" w:space="0" w:color="auto"/>
              <w:left w:val="nil"/>
              <w:bottom w:val="nil"/>
              <w:right w:val="nil"/>
            </w:tcBorders>
            <w:hideMark/>
          </w:tcPr>
          <w:p w:rsidR="001E0C18" w:rsidRPr="001E0C18" w:rsidRDefault="00C82115" w:rsidP="00AE5A4B">
            <w:pPr>
              <w:pStyle w:val="TableBodyText"/>
            </w:pPr>
            <w:r>
              <w:t>310</w:t>
            </w:r>
            <w:r w:rsidR="007A6364">
              <w:t> </w:t>
            </w:r>
            <w:r w:rsidR="00AE5A4B" w:rsidRPr="001E0C18">
              <w:t>000</w:t>
            </w:r>
          </w:p>
        </w:tc>
        <w:tc>
          <w:tcPr>
            <w:tcW w:w="1418" w:type="dxa"/>
            <w:tcBorders>
              <w:top w:val="single" w:sz="4" w:space="0" w:color="auto"/>
              <w:left w:val="nil"/>
              <w:bottom w:val="nil"/>
              <w:right w:val="nil"/>
            </w:tcBorders>
            <w:hideMark/>
          </w:tcPr>
          <w:p w:rsidR="001E0C18" w:rsidRPr="001E0C18" w:rsidRDefault="00C82115" w:rsidP="00AE5A4B">
            <w:pPr>
              <w:pStyle w:val="TableBodyText"/>
            </w:pPr>
            <w:r>
              <w:t>1</w:t>
            </w:r>
            <w:r w:rsidR="007A6364">
              <w:t> </w:t>
            </w:r>
            <w:r>
              <w:t>240</w:t>
            </w:r>
            <w:r w:rsidR="007A6364">
              <w:t> </w:t>
            </w:r>
            <w:r w:rsidR="00AE5A4B" w:rsidRPr="001E0C18">
              <w:t>000</w:t>
            </w:r>
          </w:p>
        </w:tc>
      </w:tr>
      <w:tr w:rsidR="00AE5A4B" w:rsidRPr="001E0C18" w:rsidTr="00B25FEE">
        <w:trPr>
          <w:trHeight w:val="300"/>
        </w:trPr>
        <w:tc>
          <w:tcPr>
            <w:tcW w:w="3227" w:type="dxa"/>
            <w:tcBorders>
              <w:top w:val="nil"/>
              <w:left w:val="nil"/>
              <w:bottom w:val="nil"/>
              <w:right w:val="nil"/>
            </w:tcBorders>
            <w:hideMark/>
          </w:tcPr>
          <w:p w:rsidR="001E0C18" w:rsidRPr="001E0C18" w:rsidRDefault="001E0C18" w:rsidP="00AE5A4B">
            <w:pPr>
              <w:pStyle w:val="TableBodyText"/>
              <w:jc w:val="left"/>
            </w:pPr>
            <w:r w:rsidRPr="001E0C18">
              <w:t>Relevant critical peak demand</w:t>
            </w:r>
          </w:p>
        </w:tc>
        <w:tc>
          <w:tcPr>
            <w:tcW w:w="1701" w:type="dxa"/>
            <w:tcBorders>
              <w:top w:val="nil"/>
              <w:left w:val="nil"/>
              <w:bottom w:val="nil"/>
              <w:right w:val="nil"/>
            </w:tcBorders>
            <w:hideMark/>
          </w:tcPr>
          <w:p w:rsidR="001E0C18" w:rsidRPr="001E0C18" w:rsidRDefault="001E0C18" w:rsidP="00AE5A4B">
            <w:pPr>
              <w:pStyle w:val="TableBodyText"/>
            </w:pPr>
            <w:proofErr w:type="spellStart"/>
            <w:r w:rsidRPr="001E0C18">
              <w:t>MWh</w:t>
            </w:r>
            <w:proofErr w:type="spellEnd"/>
          </w:p>
        </w:tc>
        <w:tc>
          <w:tcPr>
            <w:tcW w:w="1242" w:type="dxa"/>
            <w:tcBorders>
              <w:top w:val="nil"/>
              <w:left w:val="nil"/>
              <w:bottom w:val="nil"/>
              <w:right w:val="nil"/>
            </w:tcBorders>
            <w:noWrap/>
            <w:hideMark/>
          </w:tcPr>
          <w:p w:rsidR="001E0C18" w:rsidRPr="001E0C18" w:rsidRDefault="001E0C18" w:rsidP="00AE5A4B">
            <w:pPr>
              <w:pStyle w:val="TableBodyText"/>
            </w:pPr>
            <w:r w:rsidRPr="001E0C18">
              <w:t>76</w:t>
            </w:r>
          </w:p>
        </w:tc>
        <w:tc>
          <w:tcPr>
            <w:tcW w:w="1276" w:type="dxa"/>
            <w:tcBorders>
              <w:top w:val="nil"/>
              <w:left w:val="nil"/>
              <w:bottom w:val="nil"/>
              <w:right w:val="nil"/>
            </w:tcBorders>
            <w:noWrap/>
            <w:hideMark/>
          </w:tcPr>
          <w:p w:rsidR="001E0C18" w:rsidRPr="001E0C18" w:rsidRDefault="001E0C18" w:rsidP="00AE5A4B">
            <w:pPr>
              <w:pStyle w:val="TableBodyText"/>
            </w:pPr>
            <w:r w:rsidRPr="001E0C18">
              <w:t>91</w:t>
            </w:r>
          </w:p>
        </w:tc>
        <w:tc>
          <w:tcPr>
            <w:tcW w:w="1418" w:type="dxa"/>
            <w:tcBorders>
              <w:top w:val="nil"/>
              <w:left w:val="nil"/>
              <w:bottom w:val="nil"/>
              <w:right w:val="nil"/>
            </w:tcBorders>
            <w:noWrap/>
            <w:hideMark/>
          </w:tcPr>
          <w:p w:rsidR="001E0C18" w:rsidRPr="001E0C18" w:rsidRDefault="001E0C18" w:rsidP="00AE5A4B">
            <w:pPr>
              <w:pStyle w:val="TableBodyText"/>
            </w:pPr>
            <w:r w:rsidRPr="001E0C18">
              <w:t>4</w:t>
            </w:r>
            <w:r w:rsidR="007A6364">
              <w:t> </w:t>
            </w:r>
            <w:r w:rsidRPr="001E0C18">
              <w:t>455</w:t>
            </w:r>
          </w:p>
        </w:tc>
      </w:tr>
      <w:tr w:rsidR="00AE5A4B" w:rsidRPr="001E0C18" w:rsidTr="00B25FEE">
        <w:trPr>
          <w:trHeight w:val="300"/>
        </w:trPr>
        <w:tc>
          <w:tcPr>
            <w:tcW w:w="3227" w:type="dxa"/>
            <w:tcBorders>
              <w:top w:val="nil"/>
              <w:left w:val="nil"/>
              <w:bottom w:val="nil"/>
              <w:right w:val="nil"/>
            </w:tcBorders>
            <w:hideMark/>
          </w:tcPr>
          <w:p w:rsidR="001E0C18" w:rsidRPr="001E0C18" w:rsidRDefault="001E0C18" w:rsidP="00AE5A4B">
            <w:pPr>
              <w:pStyle w:val="TableBodyText"/>
              <w:jc w:val="left"/>
            </w:pPr>
            <w:r w:rsidRPr="001E0C18">
              <w:t>Up front cost</w:t>
            </w:r>
          </w:p>
        </w:tc>
        <w:tc>
          <w:tcPr>
            <w:tcW w:w="1701" w:type="dxa"/>
            <w:tcBorders>
              <w:top w:val="nil"/>
              <w:left w:val="nil"/>
              <w:bottom w:val="nil"/>
              <w:right w:val="nil"/>
            </w:tcBorders>
            <w:hideMark/>
          </w:tcPr>
          <w:p w:rsidR="001E0C18" w:rsidRPr="001E0C18" w:rsidRDefault="001E0C18" w:rsidP="00AE5A4B">
            <w:pPr>
              <w:pStyle w:val="TableBodyText"/>
            </w:pPr>
            <w:r w:rsidRPr="001E0C18">
              <w:t>$ per appliance</w:t>
            </w:r>
          </w:p>
        </w:tc>
        <w:tc>
          <w:tcPr>
            <w:tcW w:w="1242" w:type="dxa"/>
            <w:tcBorders>
              <w:top w:val="nil"/>
              <w:left w:val="nil"/>
              <w:bottom w:val="nil"/>
              <w:right w:val="nil"/>
            </w:tcBorders>
            <w:hideMark/>
          </w:tcPr>
          <w:p w:rsidR="001E0C18" w:rsidRDefault="00CF37A4" w:rsidP="00AE5A4B">
            <w:pPr>
              <w:pStyle w:val="TableBodyText"/>
            </w:pPr>
            <w:r>
              <w:t>260</w:t>
            </w:r>
          </w:p>
          <w:p w:rsidR="00096668" w:rsidRPr="001E0C18" w:rsidRDefault="00096668" w:rsidP="00AE5A4B">
            <w:pPr>
              <w:pStyle w:val="TableBodyText"/>
            </w:pPr>
          </w:p>
        </w:tc>
        <w:tc>
          <w:tcPr>
            <w:tcW w:w="1276" w:type="dxa"/>
            <w:tcBorders>
              <w:top w:val="nil"/>
              <w:left w:val="nil"/>
              <w:bottom w:val="nil"/>
              <w:right w:val="nil"/>
            </w:tcBorders>
            <w:hideMark/>
          </w:tcPr>
          <w:p w:rsidR="001E0C18" w:rsidRPr="001E0C18" w:rsidRDefault="00CF37A4" w:rsidP="00AE5A4B">
            <w:pPr>
              <w:pStyle w:val="TableBodyText"/>
            </w:pPr>
            <w:r>
              <w:t>210</w:t>
            </w:r>
          </w:p>
        </w:tc>
        <w:tc>
          <w:tcPr>
            <w:tcW w:w="1418" w:type="dxa"/>
            <w:tcBorders>
              <w:top w:val="nil"/>
              <w:left w:val="nil"/>
              <w:bottom w:val="nil"/>
              <w:right w:val="nil"/>
            </w:tcBorders>
            <w:hideMark/>
          </w:tcPr>
          <w:p w:rsidR="001E0C18" w:rsidRPr="001E0C18" w:rsidRDefault="001E0C18" w:rsidP="00AE5A4B">
            <w:pPr>
              <w:pStyle w:val="TableBodyText"/>
            </w:pPr>
            <w:r w:rsidRPr="001E0C18">
              <w:t>160</w:t>
            </w:r>
          </w:p>
        </w:tc>
      </w:tr>
      <w:tr w:rsidR="00AE5A4B" w:rsidRPr="00AE5A4B" w:rsidTr="00B25FEE">
        <w:trPr>
          <w:trHeight w:val="300"/>
        </w:trPr>
        <w:tc>
          <w:tcPr>
            <w:tcW w:w="3227" w:type="dxa"/>
            <w:tcBorders>
              <w:top w:val="nil"/>
              <w:left w:val="nil"/>
              <w:bottom w:val="nil"/>
              <w:right w:val="nil"/>
            </w:tcBorders>
            <w:hideMark/>
          </w:tcPr>
          <w:p w:rsidR="00AE5A4B" w:rsidRPr="00AE5A4B" w:rsidRDefault="00AE5A4B" w:rsidP="00AE5A4B">
            <w:pPr>
              <w:pStyle w:val="TableBodyText"/>
              <w:jc w:val="left"/>
            </w:pPr>
            <w:r w:rsidRPr="00AE5A4B">
              <w:t>Annual cost</w:t>
            </w:r>
          </w:p>
        </w:tc>
        <w:tc>
          <w:tcPr>
            <w:tcW w:w="1701" w:type="dxa"/>
            <w:tcBorders>
              <w:top w:val="nil"/>
              <w:left w:val="nil"/>
              <w:bottom w:val="nil"/>
              <w:right w:val="nil"/>
            </w:tcBorders>
            <w:hideMark/>
          </w:tcPr>
          <w:p w:rsidR="00AE5A4B" w:rsidRPr="00AE5A4B" w:rsidRDefault="00AE5A4B" w:rsidP="00AE5A4B">
            <w:pPr>
              <w:pStyle w:val="TableBodyText"/>
            </w:pPr>
            <w:r w:rsidRPr="00AE5A4B">
              <w:t>$ per appliance per year</w:t>
            </w:r>
          </w:p>
        </w:tc>
        <w:tc>
          <w:tcPr>
            <w:tcW w:w="1242" w:type="dxa"/>
            <w:tcBorders>
              <w:top w:val="nil"/>
              <w:left w:val="nil"/>
              <w:bottom w:val="nil"/>
              <w:right w:val="nil"/>
            </w:tcBorders>
            <w:hideMark/>
          </w:tcPr>
          <w:p w:rsidR="00AE5A4B" w:rsidRPr="00AE5A4B" w:rsidRDefault="00AE5A4B" w:rsidP="00022F30">
            <w:pPr>
              <w:pStyle w:val="TableBodyText"/>
            </w:pPr>
            <w:r w:rsidRPr="00AE5A4B">
              <w:t>2</w:t>
            </w:r>
            <w:r w:rsidR="00022F30">
              <w:t>5</w:t>
            </w:r>
          </w:p>
        </w:tc>
        <w:tc>
          <w:tcPr>
            <w:tcW w:w="1276" w:type="dxa"/>
            <w:tcBorders>
              <w:top w:val="nil"/>
              <w:left w:val="nil"/>
              <w:bottom w:val="nil"/>
              <w:right w:val="nil"/>
            </w:tcBorders>
            <w:hideMark/>
          </w:tcPr>
          <w:p w:rsidR="00AE5A4B" w:rsidRPr="00AE5A4B" w:rsidRDefault="00AE5A4B" w:rsidP="00022F30">
            <w:pPr>
              <w:pStyle w:val="TableBodyText"/>
            </w:pPr>
            <w:r w:rsidRPr="00AE5A4B">
              <w:t>2</w:t>
            </w:r>
            <w:r w:rsidR="00022F30">
              <w:t>5</w:t>
            </w:r>
          </w:p>
        </w:tc>
        <w:tc>
          <w:tcPr>
            <w:tcW w:w="1418" w:type="dxa"/>
            <w:tcBorders>
              <w:top w:val="nil"/>
              <w:left w:val="nil"/>
              <w:bottom w:val="nil"/>
              <w:right w:val="nil"/>
            </w:tcBorders>
            <w:hideMark/>
          </w:tcPr>
          <w:p w:rsidR="00AE5A4B" w:rsidRPr="00AE5A4B" w:rsidRDefault="00AE5A4B" w:rsidP="00022F30">
            <w:pPr>
              <w:pStyle w:val="TableBodyText"/>
            </w:pPr>
            <w:r w:rsidRPr="00AE5A4B">
              <w:t>2</w:t>
            </w:r>
            <w:r w:rsidR="00022F30">
              <w:t>5</w:t>
            </w:r>
          </w:p>
        </w:tc>
      </w:tr>
      <w:tr w:rsidR="00D24977" w:rsidRPr="00AE5A4B" w:rsidTr="00B25FEE">
        <w:trPr>
          <w:trHeight w:val="510"/>
        </w:trPr>
        <w:tc>
          <w:tcPr>
            <w:tcW w:w="3227" w:type="dxa"/>
            <w:tcBorders>
              <w:top w:val="nil"/>
              <w:left w:val="nil"/>
              <w:bottom w:val="nil"/>
              <w:right w:val="nil"/>
            </w:tcBorders>
            <w:hideMark/>
          </w:tcPr>
          <w:p w:rsidR="00D24977" w:rsidRPr="00AE5A4B" w:rsidRDefault="00D24977" w:rsidP="00AE5A4B">
            <w:pPr>
              <w:pStyle w:val="TableBodyText"/>
              <w:jc w:val="left"/>
            </w:pPr>
            <w:r w:rsidRPr="00AE5A4B">
              <w:t>Value of demand management savings (network/generation)</w:t>
            </w:r>
          </w:p>
        </w:tc>
        <w:tc>
          <w:tcPr>
            <w:tcW w:w="1701" w:type="dxa"/>
            <w:tcBorders>
              <w:top w:val="nil"/>
              <w:left w:val="nil"/>
              <w:bottom w:val="nil"/>
              <w:right w:val="nil"/>
            </w:tcBorders>
            <w:hideMark/>
          </w:tcPr>
          <w:p w:rsidR="00D24977" w:rsidRPr="00AE5A4B" w:rsidRDefault="00D24977" w:rsidP="00AE5A4B">
            <w:pPr>
              <w:pStyle w:val="TableBodyText"/>
            </w:pPr>
            <w:r w:rsidRPr="00AE5A4B">
              <w:t>$/kW per year</w:t>
            </w:r>
          </w:p>
        </w:tc>
        <w:tc>
          <w:tcPr>
            <w:tcW w:w="1242" w:type="dxa"/>
            <w:tcBorders>
              <w:top w:val="nil"/>
              <w:left w:val="nil"/>
              <w:bottom w:val="nil"/>
              <w:right w:val="nil"/>
            </w:tcBorders>
            <w:hideMark/>
          </w:tcPr>
          <w:p w:rsidR="00D24977" w:rsidRPr="00BE4C64" w:rsidRDefault="00D24977" w:rsidP="00D24977">
            <w:pPr>
              <w:pStyle w:val="TableBodyText"/>
            </w:pPr>
            <w:r w:rsidRPr="00BE4C64">
              <w:t>271</w:t>
            </w:r>
          </w:p>
        </w:tc>
        <w:tc>
          <w:tcPr>
            <w:tcW w:w="1276" w:type="dxa"/>
            <w:tcBorders>
              <w:top w:val="nil"/>
              <w:left w:val="nil"/>
              <w:bottom w:val="nil"/>
              <w:right w:val="nil"/>
            </w:tcBorders>
            <w:hideMark/>
          </w:tcPr>
          <w:p w:rsidR="00D24977" w:rsidRPr="00BE4C64" w:rsidRDefault="00D24977" w:rsidP="00D24977">
            <w:pPr>
              <w:pStyle w:val="TableBodyText"/>
            </w:pPr>
            <w:r w:rsidRPr="00BE4C64">
              <w:t>326</w:t>
            </w:r>
          </w:p>
        </w:tc>
        <w:tc>
          <w:tcPr>
            <w:tcW w:w="1418" w:type="dxa"/>
            <w:tcBorders>
              <w:top w:val="nil"/>
              <w:left w:val="nil"/>
              <w:bottom w:val="nil"/>
              <w:right w:val="nil"/>
            </w:tcBorders>
            <w:hideMark/>
          </w:tcPr>
          <w:p w:rsidR="00D24977" w:rsidRDefault="00D24977" w:rsidP="00D24977">
            <w:pPr>
              <w:pStyle w:val="TableBodyText"/>
            </w:pPr>
            <w:r w:rsidRPr="00BE4C64">
              <w:t>381</w:t>
            </w:r>
          </w:p>
        </w:tc>
      </w:tr>
      <w:tr w:rsidR="00AE5A4B" w:rsidRPr="00AE5A4B" w:rsidTr="00B25FEE">
        <w:trPr>
          <w:trHeight w:val="510"/>
        </w:trPr>
        <w:tc>
          <w:tcPr>
            <w:tcW w:w="3227" w:type="dxa"/>
            <w:tcBorders>
              <w:top w:val="nil"/>
              <w:left w:val="nil"/>
              <w:bottom w:val="nil"/>
              <w:right w:val="nil"/>
            </w:tcBorders>
            <w:hideMark/>
          </w:tcPr>
          <w:p w:rsidR="00AE5A4B" w:rsidRPr="00AE5A4B" w:rsidRDefault="00AE5A4B" w:rsidP="00AE5A4B">
            <w:pPr>
              <w:pStyle w:val="TableBodyText"/>
              <w:jc w:val="left"/>
            </w:pPr>
            <w:r w:rsidRPr="00AE5A4B">
              <w:t>Maximum demand management response</w:t>
            </w:r>
          </w:p>
        </w:tc>
        <w:tc>
          <w:tcPr>
            <w:tcW w:w="1701" w:type="dxa"/>
            <w:tcBorders>
              <w:top w:val="nil"/>
              <w:left w:val="nil"/>
              <w:bottom w:val="nil"/>
              <w:right w:val="nil"/>
            </w:tcBorders>
            <w:hideMark/>
          </w:tcPr>
          <w:p w:rsidR="00AE5A4B" w:rsidRPr="00AE5A4B" w:rsidRDefault="00AE5A4B" w:rsidP="00AE5A4B">
            <w:pPr>
              <w:pStyle w:val="TableBodyText"/>
            </w:pPr>
            <w:r w:rsidRPr="00AE5A4B">
              <w:t>% of relevant critical peak demand</w:t>
            </w:r>
          </w:p>
        </w:tc>
        <w:tc>
          <w:tcPr>
            <w:tcW w:w="1242" w:type="dxa"/>
            <w:tcBorders>
              <w:top w:val="nil"/>
              <w:left w:val="nil"/>
              <w:bottom w:val="nil"/>
              <w:right w:val="nil"/>
            </w:tcBorders>
            <w:noWrap/>
            <w:hideMark/>
          </w:tcPr>
          <w:p w:rsidR="00AE5A4B" w:rsidRPr="00AE5A4B" w:rsidRDefault="00AE5A4B" w:rsidP="00AE5A4B">
            <w:pPr>
              <w:pStyle w:val="TableBodyText"/>
            </w:pPr>
            <w:r w:rsidRPr="00AE5A4B">
              <w:t>15</w:t>
            </w:r>
          </w:p>
        </w:tc>
        <w:tc>
          <w:tcPr>
            <w:tcW w:w="1276" w:type="dxa"/>
            <w:tcBorders>
              <w:top w:val="nil"/>
              <w:left w:val="nil"/>
              <w:bottom w:val="nil"/>
              <w:right w:val="nil"/>
            </w:tcBorders>
            <w:noWrap/>
            <w:hideMark/>
          </w:tcPr>
          <w:p w:rsidR="00AE5A4B" w:rsidRPr="00AE5A4B" w:rsidRDefault="00AE5A4B" w:rsidP="00AE5A4B">
            <w:pPr>
              <w:pStyle w:val="TableBodyText"/>
            </w:pPr>
            <w:r w:rsidRPr="00AE5A4B">
              <w:t>20</w:t>
            </w:r>
          </w:p>
        </w:tc>
        <w:tc>
          <w:tcPr>
            <w:tcW w:w="1418" w:type="dxa"/>
            <w:tcBorders>
              <w:top w:val="nil"/>
              <w:left w:val="nil"/>
              <w:bottom w:val="nil"/>
              <w:right w:val="nil"/>
            </w:tcBorders>
            <w:noWrap/>
            <w:hideMark/>
          </w:tcPr>
          <w:p w:rsidR="00AE5A4B" w:rsidRPr="00AE5A4B" w:rsidRDefault="00AE5A4B" w:rsidP="00AE5A4B">
            <w:pPr>
              <w:pStyle w:val="TableBodyText"/>
            </w:pPr>
            <w:r w:rsidRPr="00AE5A4B">
              <w:t>25</w:t>
            </w:r>
          </w:p>
        </w:tc>
      </w:tr>
      <w:tr w:rsidR="002224B0" w:rsidRPr="00AE5A4B" w:rsidTr="007E57A6">
        <w:trPr>
          <w:trHeight w:val="510"/>
        </w:trPr>
        <w:tc>
          <w:tcPr>
            <w:tcW w:w="3227" w:type="dxa"/>
            <w:tcBorders>
              <w:top w:val="nil"/>
              <w:left w:val="nil"/>
              <w:bottom w:val="nil"/>
              <w:right w:val="nil"/>
            </w:tcBorders>
          </w:tcPr>
          <w:p w:rsidR="002224B0" w:rsidRPr="00AE5A4B" w:rsidRDefault="002224B0" w:rsidP="007E57A6">
            <w:pPr>
              <w:pStyle w:val="TableBodyText"/>
              <w:jc w:val="left"/>
            </w:pPr>
            <w:r>
              <w:t>Cost profile</w:t>
            </w:r>
          </w:p>
        </w:tc>
        <w:tc>
          <w:tcPr>
            <w:tcW w:w="5637" w:type="dxa"/>
            <w:gridSpan w:val="4"/>
            <w:tcBorders>
              <w:top w:val="nil"/>
              <w:left w:val="nil"/>
              <w:bottom w:val="nil"/>
              <w:right w:val="nil"/>
            </w:tcBorders>
          </w:tcPr>
          <w:p w:rsidR="002224B0" w:rsidRPr="00AE5A4B" w:rsidRDefault="002224B0" w:rsidP="00C82115">
            <w:pPr>
              <w:pStyle w:val="TableBodyText"/>
            </w:pPr>
            <w:r w:rsidRPr="00B31681">
              <w:t>Install costs all occur up front for any group of participants. Consumers also receive annual payments (</w:t>
            </w:r>
            <w:r w:rsidR="00C82115">
              <w:t>$</w:t>
            </w:r>
            <w:r w:rsidRPr="00B31681">
              <w:t xml:space="preserve">30 to </w:t>
            </w:r>
            <w:r w:rsidR="00C82115">
              <w:t>$</w:t>
            </w:r>
            <w:r w:rsidRPr="00B31681">
              <w:t xml:space="preserve">100 year) ahead of first three years. Software for direct load </w:t>
            </w:r>
            <w:r>
              <w:t>control updated after 7 years</w:t>
            </w:r>
          </w:p>
        </w:tc>
      </w:tr>
      <w:tr w:rsidR="00AE5A4B" w:rsidRPr="001E0C18" w:rsidTr="00B25FEE">
        <w:trPr>
          <w:trHeight w:val="300"/>
        </w:trPr>
        <w:tc>
          <w:tcPr>
            <w:tcW w:w="3227" w:type="dxa"/>
            <w:tcBorders>
              <w:top w:val="nil"/>
              <w:left w:val="nil"/>
              <w:bottom w:val="single" w:sz="4" w:space="0" w:color="auto"/>
              <w:right w:val="nil"/>
            </w:tcBorders>
          </w:tcPr>
          <w:p w:rsidR="00AE5A4B" w:rsidRPr="001E0C18" w:rsidRDefault="00AE5A4B" w:rsidP="00B25FEE">
            <w:pPr>
              <w:pStyle w:val="TableBodyText"/>
              <w:jc w:val="left"/>
            </w:pPr>
            <w:r w:rsidRPr="00AE5A4B">
              <w:t>Demand management savings profile</w:t>
            </w:r>
          </w:p>
        </w:tc>
        <w:tc>
          <w:tcPr>
            <w:tcW w:w="5637" w:type="dxa"/>
            <w:gridSpan w:val="4"/>
            <w:tcBorders>
              <w:top w:val="nil"/>
              <w:left w:val="nil"/>
              <w:bottom w:val="single" w:sz="4" w:space="0" w:color="auto"/>
              <w:right w:val="nil"/>
            </w:tcBorders>
          </w:tcPr>
          <w:p w:rsidR="00AE5A4B" w:rsidRPr="001E0C18" w:rsidRDefault="00B31681" w:rsidP="00AE5A4B">
            <w:pPr>
              <w:pStyle w:val="TableBodyText"/>
            </w:pPr>
            <w:r w:rsidRPr="00B31681">
              <w:t xml:space="preserve">Maximum demand management achieved in year 4, with participation in </w:t>
            </w:r>
            <w:proofErr w:type="spellStart"/>
            <w:r w:rsidRPr="00B31681">
              <w:t>DLC</w:t>
            </w:r>
            <w:proofErr w:type="spellEnd"/>
            <w:r w:rsidRPr="00B31681">
              <w:t xml:space="preserve"> falling to 70% of max</w:t>
            </w:r>
            <w:r>
              <w:t>imum participation by year 15</w:t>
            </w:r>
          </w:p>
        </w:tc>
      </w:tr>
      <w:tr w:rsidR="00B31681" w:rsidRPr="00AE5A4B" w:rsidTr="00B25FEE">
        <w:trPr>
          <w:trHeight w:val="300"/>
        </w:trPr>
        <w:tc>
          <w:tcPr>
            <w:tcW w:w="3227" w:type="dxa"/>
            <w:tcBorders>
              <w:top w:val="single" w:sz="4" w:space="0" w:color="auto"/>
              <w:left w:val="nil"/>
              <w:bottom w:val="nil"/>
              <w:right w:val="nil"/>
            </w:tcBorders>
            <w:hideMark/>
          </w:tcPr>
          <w:p w:rsidR="00B31681" w:rsidRPr="00AE5A4B" w:rsidRDefault="00B31681" w:rsidP="00AE5A4B">
            <w:pPr>
              <w:pStyle w:val="TableBodyText"/>
              <w:jc w:val="left"/>
            </w:pPr>
            <w:r w:rsidRPr="00AE5A4B">
              <w:t>Discounted costs</w:t>
            </w:r>
          </w:p>
        </w:tc>
        <w:tc>
          <w:tcPr>
            <w:tcW w:w="1701" w:type="dxa"/>
            <w:tcBorders>
              <w:top w:val="single" w:sz="4" w:space="0" w:color="auto"/>
              <w:left w:val="nil"/>
              <w:bottom w:val="nil"/>
              <w:right w:val="nil"/>
            </w:tcBorders>
            <w:hideMark/>
          </w:tcPr>
          <w:p w:rsidR="00B31681" w:rsidRPr="00AE5A4B" w:rsidRDefault="00B31681" w:rsidP="00AE5A4B">
            <w:pPr>
              <w:pStyle w:val="TableBodyText"/>
            </w:pPr>
            <w:r w:rsidRPr="00AE5A4B">
              <w:t>$ Million (</w:t>
            </w:r>
            <w:proofErr w:type="spellStart"/>
            <w:r w:rsidR="00104577">
              <w:t>NPV</w:t>
            </w:r>
            <w:proofErr w:type="spellEnd"/>
            <w:r w:rsidRPr="00AE5A4B">
              <w:t>)</w:t>
            </w:r>
          </w:p>
        </w:tc>
        <w:tc>
          <w:tcPr>
            <w:tcW w:w="1242" w:type="dxa"/>
            <w:tcBorders>
              <w:top w:val="single" w:sz="4" w:space="0" w:color="auto"/>
              <w:left w:val="nil"/>
              <w:bottom w:val="nil"/>
              <w:right w:val="nil"/>
            </w:tcBorders>
            <w:hideMark/>
          </w:tcPr>
          <w:p w:rsidR="00B31681" w:rsidRPr="00EF4B07" w:rsidRDefault="002268AF" w:rsidP="00B31681">
            <w:pPr>
              <w:pStyle w:val="TableBodyText"/>
            </w:pPr>
            <w:r>
              <w:t>97</w:t>
            </w:r>
          </w:p>
        </w:tc>
        <w:tc>
          <w:tcPr>
            <w:tcW w:w="1276" w:type="dxa"/>
            <w:tcBorders>
              <w:top w:val="single" w:sz="4" w:space="0" w:color="auto"/>
              <w:left w:val="nil"/>
              <w:bottom w:val="nil"/>
              <w:right w:val="nil"/>
            </w:tcBorders>
            <w:hideMark/>
          </w:tcPr>
          <w:p w:rsidR="00B31681" w:rsidRPr="00EF4B07" w:rsidRDefault="00B31681" w:rsidP="00B31681">
            <w:pPr>
              <w:pStyle w:val="TableBodyText"/>
            </w:pPr>
            <w:r w:rsidRPr="00EF4B07">
              <w:t>199</w:t>
            </w:r>
          </w:p>
        </w:tc>
        <w:tc>
          <w:tcPr>
            <w:tcW w:w="1418" w:type="dxa"/>
            <w:tcBorders>
              <w:top w:val="single" w:sz="4" w:space="0" w:color="auto"/>
              <w:left w:val="nil"/>
              <w:bottom w:val="nil"/>
              <w:right w:val="nil"/>
            </w:tcBorders>
            <w:hideMark/>
          </w:tcPr>
          <w:p w:rsidR="00B31681" w:rsidRPr="00EF4B07" w:rsidRDefault="00B31681" w:rsidP="00B31681">
            <w:pPr>
              <w:pStyle w:val="TableBodyText"/>
            </w:pPr>
            <w:r w:rsidRPr="00EF4B07">
              <w:t>452</w:t>
            </w:r>
          </w:p>
        </w:tc>
      </w:tr>
      <w:tr w:rsidR="002268AF" w:rsidRPr="00AE5A4B" w:rsidTr="00B25FEE">
        <w:trPr>
          <w:trHeight w:val="300"/>
        </w:trPr>
        <w:tc>
          <w:tcPr>
            <w:tcW w:w="3227" w:type="dxa"/>
            <w:tcBorders>
              <w:top w:val="nil"/>
              <w:left w:val="nil"/>
              <w:bottom w:val="nil"/>
              <w:right w:val="nil"/>
            </w:tcBorders>
            <w:hideMark/>
          </w:tcPr>
          <w:p w:rsidR="002268AF" w:rsidRPr="00AE5A4B" w:rsidRDefault="002268AF" w:rsidP="00AE5A4B">
            <w:pPr>
              <w:pStyle w:val="TableBodyText"/>
              <w:jc w:val="left"/>
            </w:pPr>
            <w:r w:rsidRPr="00AE5A4B">
              <w:t>Discounted benefits</w:t>
            </w:r>
          </w:p>
        </w:tc>
        <w:tc>
          <w:tcPr>
            <w:tcW w:w="1701" w:type="dxa"/>
            <w:tcBorders>
              <w:top w:val="nil"/>
              <w:left w:val="nil"/>
              <w:bottom w:val="nil"/>
              <w:right w:val="nil"/>
            </w:tcBorders>
            <w:hideMark/>
          </w:tcPr>
          <w:p w:rsidR="002268AF" w:rsidRPr="00AE5A4B" w:rsidRDefault="002268AF" w:rsidP="00AE5A4B">
            <w:pPr>
              <w:pStyle w:val="TableBodyText"/>
            </w:pPr>
            <w:r w:rsidRPr="00AE5A4B">
              <w:t>$ Million (</w:t>
            </w:r>
            <w:proofErr w:type="spellStart"/>
            <w:r>
              <w:t>NPV</w:t>
            </w:r>
            <w:proofErr w:type="spellEnd"/>
            <w:r w:rsidRPr="00AE5A4B">
              <w:t>)</w:t>
            </w:r>
          </w:p>
        </w:tc>
        <w:tc>
          <w:tcPr>
            <w:tcW w:w="1242" w:type="dxa"/>
            <w:tcBorders>
              <w:top w:val="nil"/>
              <w:left w:val="nil"/>
              <w:bottom w:val="nil"/>
              <w:right w:val="nil"/>
            </w:tcBorders>
            <w:hideMark/>
          </w:tcPr>
          <w:p w:rsidR="002268AF" w:rsidRPr="00FE36C6" w:rsidRDefault="002268AF" w:rsidP="002268AF">
            <w:pPr>
              <w:pStyle w:val="TableBodyText"/>
            </w:pPr>
            <w:r w:rsidRPr="00FE36C6">
              <w:t>98</w:t>
            </w:r>
          </w:p>
        </w:tc>
        <w:tc>
          <w:tcPr>
            <w:tcW w:w="1276" w:type="dxa"/>
            <w:tcBorders>
              <w:top w:val="nil"/>
              <w:left w:val="nil"/>
              <w:bottom w:val="nil"/>
              <w:right w:val="nil"/>
            </w:tcBorders>
            <w:hideMark/>
          </w:tcPr>
          <w:p w:rsidR="002268AF" w:rsidRPr="00FE36C6" w:rsidRDefault="002268AF" w:rsidP="002268AF">
            <w:pPr>
              <w:pStyle w:val="TableBodyText"/>
            </w:pPr>
            <w:r w:rsidRPr="00FE36C6">
              <w:t>449</w:t>
            </w:r>
          </w:p>
        </w:tc>
        <w:tc>
          <w:tcPr>
            <w:tcW w:w="1418" w:type="dxa"/>
            <w:tcBorders>
              <w:top w:val="nil"/>
              <w:left w:val="nil"/>
              <w:bottom w:val="nil"/>
              <w:right w:val="nil"/>
            </w:tcBorders>
            <w:noWrap/>
            <w:hideMark/>
          </w:tcPr>
          <w:p w:rsidR="002268AF" w:rsidRPr="00FE36C6" w:rsidRDefault="002268AF" w:rsidP="002268AF">
            <w:pPr>
              <w:pStyle w:val="TableBodyText"/>
            </w:pPr>
            <w:r w:rsidRPr="00FE36C6">
              <w:t>2</w:t>
            </w:r>
            <w:r w:rsidR="007A6364">
              <w:t> </w:t>
            </w:r>
            <w:r w:rsidRPr="00FE36C6">
              <w:t>949</w:t>
            </w:r>
          </w:p>
        </w:tc>
      </w:tr>
      <w:tr w:rsidR="00022F30" w:rsidRPr="00AE5A4B" w:rsidTr="00B25FEE">
        <w:trPr>
          <w:trHeight w:val="300"/>
        </w:trPr>
        <w:tc>
          <w:tcPr>
            <w:tcW w:w="3227" w:type="dxa"/>
            <w:tcBorders>
              <w:top w:val="nil"/>
              <w:left w:val="nil"/>
              <w:bottom w:val="nil"/>
              <w:right w:val="nil"/>
            </w:tcBorders>
            <w:hideMark/>
          </w:tcPr>
          <w:p w:rsidR="00022F30" w:rsidRPr="00AE5A4B" w:rsidRDefault="00022F30" w:rsidP="00AE5A4B">
            <w:pPr>
              <w:pStyle w:val="TableBodyText"/>
              <w:jc w:val="left"/>
            </w:pPr>
            <w:r w:rsidRPr="00AE5A4B">
              <w:t>Net benefit</w:t>
            </w:r>
          </w:p>
        </w:tc>
        <w:tc>
          <w:tcPr>
            <w:tcW w:w="1701" w:type="dxa"/>
            <w:tcBorders>
              <w:top w:val="nil"/>
              <w:left w:val="nil"/>
              <w:bottom w:val="nil"/>
              <w:right w:val="nil"/>
            </w:tcBorders>
            <w:hideMark/>
          </w:tcPr>
          <w:p w:rsidR="00022F30" w:rsidRPr="00AE5A4B" w:rsidRDefault="00022F30" w:rsidP="00AE5A4B">
            <w:pPr>
              <w:pStyle w:val="TableBodyText"/>
            </w:pPr>
            <w:r w:rsidRPr="00AE5A4B">
              <w:t>$ Million (</w:t>
            </w:r>
            <w:proofErr w:type="spellStart"/>
            <w:r>
              <w:t>NPV</w:t>
            </w:r>
            <w:proofErr w:type="spellEnd"/>
            <w:r w:rsidRPr="00AE5A4B">
              <w:t>)</w:t>
            </w:r>
          </w:p>
        </w:tc>
        <w:tc>
          <w:tcPr>
            <w:tcW w:w="1242" w:type="dxa"/>
            <w:tcBorders>
              <w:top w:val="nil"/>
              <w:left w:val="nil"/>
              <w:bottom w:val="nil"/>
              <w:right w:val="nil"/>
            </w:tcBorders>
            <w:hideMark/>
          </w:tcPr>
          <w:p w:rsidR="00022F30" w:rsidRPr="008B5F55" w:rsidRDefault="00022F30" w:rsidP="00022F30">
            <w:pPr>
              <w:pStyle w:val="TableBodyText"/>
            </w:pPr>
            <w:r w:rsidRPr="008B5F55">
              <w:t>16</w:t>
            </w:r>
          </w:p>
        </w:tc>
        <w:tc>
          <w:tcPr>
            <w:tcW w:w="1276" w:type="dxa"/>
            <w:tcBorders>
              <w:top w:val="nil"/>
              <w:left w:val="nil"/>
              <w:bottom w:val="nil"/>
              <w:right w:val="nil"/>
            </w:tcBorders>
            <w:hideMark/>
          </w:tcPr>
          <w:p w:rsidR="00022F30" w:rsidRPr="008B5F55" w:rsidRDefault="00022F30" w:rsidP="00022F30">
            <w:pPr>
              <w:pStyle w:val="TableBodyText"/>
            </w:pPr>
            <w:r w:rsidRPr="008B5F55">
              <w:t>275</w:t>
            </w:r>
          </w:p>
        </w:tc>
        <w:tc>
          <w:tcPr>
            <w:tcW w:w="1418" w:type="dxa"/>
            <w:tcBorders>
              <w:top w:val="nil"/>
              <w:left w:val="nil"/>
              <w:bottom w:val="nil"/>
              <w:right w:val="nil"/>
            </w:tcBorders>
            <w:noWrap/>
            <w:hideMark/>
          </w:tcPr>
          <w:p w:rsidR="00022F30" w:rsidRPr="008B5F55" w:rsidRDefault="00022F30" w:rsidP="00022F30">
            <w:pPr>
              <w:pStyle w:val="TableBodyText"/>
            </w:pPr>
            <w:r w:rsidRPr="008B5F55">
              <w:t>2</w:t>
            </w:r>
            <w:r w:rsidR="007A6364">
              <w:t> </w:t>
            </w:r>
            <w:r w:rsidRPr="008B5F55">
              <w:t>416</w:t>
            </w:r>
          </w:p>
        </w:tc>
      </w:tr>
      <w:tr w:rsidR="00022F30" w:rsidRPr="00AE5A4B" w:rsidTr="00B25FEE">
        <w:trPr>
          <w:trHeight w:val="300"/>
        </w:trPr>
        <w:tc>
          <w:tcPr>
            <w:tcW w:w="3227" w:type="dxa"/>
            <w:tcBorders>
              <w:top w:val="nil"/>
              <w:left w:val="nil"/>
              <w:bottom w:val="nil"/>
              <w:right w:val="nil"/>
            </w:tcBorders>
            <w:hideMark/>
          </w:tcPr>
          <w:p w:rsidR="00022F30" w:rsidRPr="00AE5A4B" w:rsidRDefault="00022F30" w:rsidP="00AE5A4B">
            <w:pPr>
              <w:pStyle w:val="TableBodyText"/>
              <w:jc w:val="left"/>
            </w:pPr>
            <w:r w:rsidRPr="00AE5A4B">
              <w:t>Net benefit per household</w:t>
            </w:r>
          </w:p>
        </w:tc>
        <w:tc>
          <w:tcPr>
            <w:tcW w:w="1701" w:type="dxa"/>
            <w:tcBorders>
              <w:top w:val="nil"/>
              <w:left w:val="nil"/>
              <w:bottom w:val="nil"/>
              <w:right w:val="nil"/>
            </w:tcBorders>
            <w:hideMark/>
          </w:tcPr>
          <w:p w:rsidR="00022F30" w:rsidRPr="00AE5A4B" w:rsidRDefault="00022F30" w:rsidP="00AE5A4B">
            <w:pPr>
              <w:pStyle w:val="TableBodyText"/>
            </w:pPr>
            <w:r w:rsidRPr="00AE5A4B">
              <w:t>$ (</w:t>
            </w:r>
            <w:proofErr w:type="spellStart"/>
            <w:r>
              <w:t>NPV</w:t>
            </w:r>
            <w:proofErr w:type="spellEnd"/>
            <w:r w:rsidRPr="00AE5A4B">
              <w:t>)</w:t>
            </w:r>
          </w:p>
        </w:tc>
        <w:tc>
          <w:tcPr>
            <w:tcW w:w="1242" w:type="dxa"/>
            <w:tcBorders>
              <w:top w:val="nil"/>
              <w:left w:val="nil"/>
              <w:bottom w:val="nil"/>
              <w:right w:val="nil"/>
            </w:tcBorders>
            <w:hideMark/>
          </w:tcPr>
          <w:p w:rsidR="00022F30" w:rsidRPr="008B5F55" w:rsidRDefault="00022F30" w:rsidP="00022F30">
            <w:pPr>
              <w:pStyle w:val="TableBodyText"/>
            </w:pPr>
            <w:r w:rsidRPr="008B5F55">
              <w:t>131</w:t>
            </w:r>
          </w:p>
        </w:tc>
        <w:tc>
          <w:tcPr>
            <w:tcW w:w="1276" w:type="dxa"/>
            <w:tcBorders>
              <w:top w:val="nil"/>
              <w:left w:val="nil"/>
              <w:bottom w:val="nil"/>
              <w:right w:val="nil"/>
            </w:tcBorders>
            <w:hideMark/>
          </w:tcPr>
          <w:p w:rsidR="00022F30" w:rsidRPr="008B5F55" w:rsidRDefault="00022F30" w:rsidP="00022F30">
            <w:pPr>
              <w:pStyle w:val="TableBodyText"/>
            </w:pPr>
            <w:r w:rsidRPr="008B5F55">
              <w:t>887</w:t>
            </w:r>
          </w:p>
        </w:tc>
        <w:tc>
          <w:tcPr>
            <w:tcW w:w="1418" w:type="dxa"/>
            <w:tcBorders>
              <w:top w:val="nil"/>
              <w:left w:val="nil"/>
              <w:bottom w:val="nil"/>
              <w:right w:val="nil"/>
            </w:tcBorders>
            <w:hideMark/>
          </w:tcPr>
          <w:p w:rsidR="00022F30" w:rsidRPr="008B5F55" w:rsidRDefault="00022F30" w:rsidP="00022F30">
            <w:pPr>
              <w:pStyle w:val="TableBodyText"/>
            </w:pPr>
            <w:r w:rsidRPr="008B5F55">
              <w:t>1</w:t>
            </w:r>
            <w:r w:rsidR="007A6364">
              <w:t> </w:t>
            </w:r>
            <w:r w:rsidRPr="008B5F55">
              <w:t>948</w:t>
            </w:r>
          </w:p>
        </w:tc>
      </w:tr>
      <w:tr w:rsidR="00022F30" w:rsidRPr="00AE5A4B" w:rsidTr="00B25FEE">
        <w:trPr>
          <w:trHeight w:val="315"/>
        </w:trPr>
        <w:tc>
          <w:tcPr>
            <w:tcW w:w="3227" w:type="dxa"/>
            <w:tcBorders>
              <w:top w:val="nil"/>
              <w:left w:val="nil"/>
              <w:bottom w:val="nil"/>
              <w:right w:val="nil"/>
            </w:tcBorders>
            <w:hideMark/>
          </w:tcPr>
          <w:p w:rsidR="00022F30" w:rsidRPr="00AE5A4B" w:rsidRDefault="00022F30" w:rsidP="00AE5A4B">
            <w:pPr>
              <w:pStyle w:val="TableBodyText"/>
              <w:jc w:val="left"/>
            </w:pPr>
            <w:r w:rsidRPr="00AE5A4B">
              <w:t>Benefit cost ratio</w:t>
            </w:r>
          </w:p>
        </w:tc>
        <w:tc>
          <w:tcPr>
            <w:tcW w:w="1701" w:type="dxa"/>
            <w:tcBorders>
              <w:top w:val="nil"/>
              <w:left w:val="nil"/>
              <w:bottom w:val="nil"/>
              <w:right w:val="nil"/>
            </w:tcBorders>
            <w:hideMark/>
          </w:tcPr>
          <w:p w:rsidR="00022F30" w:rsidRPr="00AE5A4B" w:rsidRDefault="00022F30" w:rsidP="00AE5A4B">
            <w:pPr>
              <w:pStyle w:val="TableBodyText"/>
            </w:pPr>
            <w:r w:rsidRPr="00AE5A4B">
              <w:t>ratio</w:t>
            </w:r>
          </w:p>
        </w:tc>
        <w:tc>
          <w:tcPr>
            <w:tcW w:w="1242" w:type="dxa"/>
            <w:tcBorders>
              <w:top w:val="nil"/>
              <w:left w:val="nil"/>
              <w:bottom w:val="nil"/>
              <w:right w:val="nil"/>
            </w:tcBorders>
            <w:hideMark/>
          </w:tcPr>
          <w:p w:rsidR="00022F30" w:rsidRPr="008B5F55" w:rsidRDefault="00022F30" w:rsidP="00022F30">
            <w:pPr>
              <w:pStyle w:val="TableBodyText"/>
            </w:pPr>
            <w:r w:rsidRPr="008B5F55">
              <w:t>1.2</w:t>
            </w:r>
          </w:p>
        </w:tc>
        <w:tc>
          <w:tcPr>
            <w:tcW w:w="1276" w:type="dxa"/>
            <w:tcBorders>
              <w:top w:val="nil"/>
              <w:left w:val="nil"/>
              <w:bottom w:val="nil"/>
              <w:right w:val="nil"/>
            </w:tcBorders>
            <w:hideMark/>
          </w:tcPr>
          <w:p w:rsidR="00022F30" w:rsidRPr="008B5F55" w:rsidRDefault="00022F30" w:rsidP="00022F30">
            <w:pPr>
              <w:pStyle w:val="TableBodyText"/>
            </w:pPr>
            <w:r w:rsidRPr="008B5F55">
              <w:t>2.7</w:t>
            </w:r>
          </w:p>
        </w:tc>
        <w:tc>
          <w:tcPr>
            <w:tcW w:w="1418" w:type="dxa"/>
            <w:tcBorders>
              <w:top w:val="nil"/>
              <w:left w:val="nil"/>
              <w:bottom w:val="nil"/>
              <w:right w:val="nil"/>
            </w:tcBorders>
            <w:hideMark/>
          </w:tcPr>
          <w:p w:rsidR="00022F30" w:rsidRPr="008B5F55" w:rsidRDefault="00022F30" w:rsidP="00022F30">
            <w:pPr>
              <w:pStyle w:val="TableBodyText"/>
            </w:pPr>
            <w:r w:rsidRPr="008B5F55">
              <w:t>6.3</w:t>
            </w:r>
          </w:p>
        </w:tc>
      </w:tr>
      <w:tr w:rsidR="00022F30" w:rsidRPr="00AE5A4B" w:rsidTr="00AE5A4B">
        <w:trPr>
          <w:trHeight w:val="300"/>
        </w:trPr>
        <w:tc>
          <w:tcPr>
            <w:tcW w:w="3227" w:type="dxa"/>
            <w:tcBorders>
              <w:top w:val="nil"/>
              <w:left w:val="nil"/>
              <w:bottom w:val="single" w:sz="6" w:space="0" w:color="auto"/>
              <w:right w:val="nil"/>
            </w:tcBorders>
            <w:shd w:val="clear" w:color="auto" w:fill="auto"/>
            <w:hideMark/>
          </w:tcPr>
          <w:p w:rsidR="00022F30" w:rsidRPr="00AE5A4B" w:rsidRDefault="00022F30" w:rsidP="00AE5A4B">
            <w:pPr>
              <w:pStyle w:val="TableBodyText"/>
              <w:jc w:val="left"/>
              <w:rPr>
                <w:rFonts w:ascii="Times New Roman" w:hAnsi="Times New Roman"/>
                <w:sz w:val="26"/>
              </w:rPr>
            </w:pPr>
            <w:r w:rsidRPr="00A40654">
              <w:t xml:space="preserve">Annuity </w:t>
            </w:r>
            <w:r>
              <w:t>per household</w:t>
            </w:r>
          </w:p>
        </w:tc>
        <w:tc>
          <w:tcPr>
            <w:tcW w:w="1701" w:type="dxa"/>
            <w:tcBorders>
              <w:top w:val="nil"/>
              <w:left w:val="nil"/>
              <w:bottom w:val="single" w:sz="6" w:space="0" w:color="auto"/>
              <w:right w:val="nil"/>
            </w:tcBorders>
            <w:shd w:val="clear" w:color="auto" w:fill="auto"/>
            <w:hideMark/>
          </w:tcPr>
          <w:p w:rsidR="00022F30" w:rsidRPr="00AE5A4B" w:rsidRDefault="00022F30" w:rsidP="00AE5A4B">
            <w:pPr>
              <w:pStyle w:val="TableBodyText"/>
            </w:pPr>
            <w:r w:rsidRPr="00AE5A4B">
              <w:t>$</w:t>
            </w:r>
          </w:p>
        </w:tc>
        <w:tc>
          <w:tcPr>
            <w:tcW w:w="1242" w:type="dxa"/>
            <w:tcBorders>
              <w:top w:val="nil"/>
              <w:left w:val="nil"/>
              <w:bottom w:val="single" w:sz="6" w:space="0" w:color="auto"/>
              <w:right w:val="nil"/>
            </w:tcBorders>
            <w:shd w:val="clear" w:color="auto" w:fill="auto"/>
            <w:noWrap/>
            <w:hideMark/>
          </w:tcPr>
          <w:p w:rsidR="00022F30" w:rsidRPr="008B5F55" w:rsidRDefault="00022F30" w:rsidP="00022F30">
            <w:pPr>
              <w:pStyle w:val="TableBodyText"/>
            </w:pPr>
            <w:r w:rsidRPr="008B5F55">
              <w:t xml:space="preserve">14 </w:t>
            </w:r>
          </w:p>
        </w:tc>
        <w:tc>
          <w:tcPr>
            <w:tcW w:w="1276" w:type="dxa"/>
            <w:tcBorders>
              <w:top w:val="nil"/>
              <w:left w:val="nil"/>
              <w:bottom w:val="single" w:sz="6" w:space="0" w:color="auto"/>
              <w:right w:val="nil"/>
            </w:tcBorders>
            <w:shd w:val="clear" w:color="auto" w:fill="auto"/>
            <w:noWrap/>
            <w:hideMark/>
          </w:tcPr>
          <w:p w:rsidR="00022F30" w:rsidRPr="008B5F55" w:rsidRDefault="00022F30" w:rsidP="00022F30">
            <w:pPr>
              <w:pStyle w:val="TableBodyText"/>
            </w:pPr>
            <w:r w:rsidRPr="008B5F55">
              <w:t xml:space="preserve">96 </w:t>
            </w:r>
          </w:p>
        </w:tc>
        <w:tc>
          <w:tcPr>
            <w:tcW w:w="1418" w:type="dxa"/>
            <w:tcBorders>
              <w:top w:val="nil"/>
              <w:left w:val="nil"/>
              <w:bottom w:val="single" w:sz="6" w:space="0" w:color="auto"/>
              <w:right w:val="nil"/>
            </w:tcBorders>
            <w:shd w:val="clear" w:color="auto" w:fill="auto"/>
            <w:noWrap/>
            <w:hideMark/>
          </w:tcPr>
          <w:p w:rsidR="00022F30" w:rsidRDefault="00022F30" w:rsidP="00022F30">
            <w:pPr>
              <w:pStyle w:val="TableBodyText"/>
            </w:pPr>
            <w:r w:rsidRPr="008B5F55">
              <w:t xml:space="preserve">212 </w:t>
            </w:r>
          </w:p>
        </w:tc>
      </w:tr>
    </w:tbl>
    <w:p w:rsidR="00B25FEE" w:rsidRPr="007701B9" w:rsidRDefault="00B25FEE" w:rsidP="00B25FEE">
      <w:pPr>
        <w:pStyle w:val="Note"/>
      </w:pPr>
      <w:proofErr w:type="spellStart"/>
      <w:r w:rsidRPr="00BC2DC5">
        <w:rPr>
          <w:rStyle w:val="NoteLabel"/>
        </w:rPr>
        <w:t>a</w:t>
      </w:r>
      <w:proofErr w:type="spellEnd"/>
      <w:r>
        <w:t xml:space="preserve"> T</w:t>
      </w:r>
      <w:r w:rsidRPr="007701B9">
        <w:t xml:space="preserve">he 25th and </w:t>
      </w:r>
      <w:r w:rsidRPr="00022F30">
        <w:t>75th pe</w:t>
      </w:r>
      <w:r w:rsidRPr="007701B9">
        <w:t xml:space="preserve">rcentile values of the net benefit per household is </w:t>
      </w:r>
      <w:r>
        <w:t>$</w:t>
      </w:r>
      <w:r w:rsidR="00E85593">
        <w:t>5</w:t>
      </w:r>
      <w:r w:rsidR="0047079E">
        <w:t>7</w:t>
      </w:r>
      <w:r w:rsidR="00307CA6">
        <w:t>0</w:t>
      </w:r>
      <w:r w:rsidRPr="007701B9">
        <w:t xml:space="preserve"> and $</w:t>
      </w:r>
      <w:r>
        <w:t>1</w:t>
      </w:r>
      <w:r w:rsidR="00307CA6">
        <w:t>2</w:t>
      </w:r>
      <w:r w:rsidR="0047079E">
        <w:t>4</w:t>
      </w:r>
      <w:r>
        <w:t>0</w:t>
      </w:r>
      <w:r w:rsidRPr="007701B9">
        <w:t xml:space="preserve"> respectively, which translates into a rounded range of an annuity </w:t>
      </w:r>
      <w:r>
        <w:t xml:space="preserve">over the 15 year life of the meters </w:t>
      </w:r>
      <w:r w:rsidRPr="007701B9">
        <w:t>of between $</w:t>
      </w:r>
      <w:r w:rsidR="0047079E">
        <w:t>65</w:t>
      </w:r>
      <w:r w:rsidRPr="007701B9">
        <w:t xml:space="preserve"> and $</w:t>
      </w:r>
      <w:r>
        <w:t>1</w:t>
      </w:r>
      <w:r w:rsidR="0047079E">
        <w:t>40</w:t>
      </w:r>
      <w:r w:rsidRPr="007701B9">
        <w:t xml:space="preserve">. </w:t>
      </w:r>
    </w:p>
    <w:p w:rsidR="00A61B09" w:rsidRDefault="00A61B09" w:rsidP="00A61B09">
      <w:pPr>
        <w:pStyle w:val="TableTitle"/>
      </w:pPr>
      <w:r>
        <w:rPr>
          <w:b w:val="0"/>
        </w:rPr>
        <w:lastRenderedPageBreak/>
        <w:t xml:space="preserve">Table </w:t>
      </w:r>
      <w:r w:rsidR="001638B1">
        <w:fldChar w:fldCharType="begin"/>
      </w:r>
      <w:r w:rsidR="001638B1">
        <w:instrText xml:space="preserve"> COMMENTS  \* MERGEFORMAT </w:instrText>
      </w:r>
      <w:r w:rsidR="001638B1">
        <w:fldChar w:fldCharType="separate"/>
      </w:r>
      <w:r w:rsidR="007F1CF0" w:rsidRPr="007F1CF0">
        <w:rPr>
          <w:b w:val="0"/>
        </w:rPr>
        <w:t>1.</w:t>
      </w:r>
      <w:r w:rsidR="001638B1">
        <w:rPr>
          <w:b w:val="0"/>
        </w:rPr>
        <w:fldChar w:fldCharType="end"/>
      </w:r>
      <w:r>
        <w:rPr>
          <w:b w:val="0"/>
        </w:rPr>
        <w:fldChar w:fldCharType="begin"/>
      </w:r>
      <w:r>
        <w:rPr>
          <w:b w:val="0"/>
        </w:rPr>
        <w:instrText xml:space="preserve"> SEQ Table \* ARABIC </w:instrText>
      </w:r>
      <w:r>
        <w:rPr>
          <w:b w:val="0"/>
        </w:rPr>
        <w:fldChar w:fldCharType="separate"/>
      </w:r>
      <w:r w:rsidR="00A71173">
        <w:rPr>
          <w:b w:val="0"/>
          <w:noProof/>
        </w:rPr>
        <w:t>5</w:t>
      </w:r>
      <w:r>
        <w:rPr>
          <w:b w:val="0"/>
        </w:rPr>
        <w:fldChar w:fldCharType="end"/>
      </w:r>
      <w:r>
        <w:tab/>
      </w:r>
      <w:proofErr w:type="spellStart"/>
      <w:r w:rsidR="00800C3B">
        <w:t>NEM</w:t>
      </w:r>
      <w:proofErr w:type="spellEnd"/>
      <w:r w:rsidR="00800C3B">
        <w:t xml:space="preserve">-wide </w:t>
      </w:r>
      <w:r w:rsidR="00967A34">
        <w:t>roll</w:t>
      </w:r>
      <w:r>
        <w:t>out</w:t>
      </w:r>
      <w:r w:rsidR="00800C3B">
        <w:t xml:space="preserve"> over five years</w:t>
      </w:r>
      <w:r>
        <w:t xml:space="preserve"> (scenario</w:t>
      </w:r>
      <w:r w:rsidR="00B120E7">
        <w:t>s</w:t>
      </w:r>
      <w:r w:rsidR="00800C3B">
        <w:t xml:space="preserve"> </w:t>
      </w:r>
      <w:r w:rsidR="00F27F5F">
        <w:t>2</w:t>
      </w:r>
      <w:r w:rsidR="00B120E7">
        <w:t xml:space="preserve"> and </w:t>
      </w:r>
      <w:r w:rsidR="00F27F5F">
        <w:t>3</w:t>
      </w:r>
      <w:r>
        <w:t>)</w:t>
      </w:r>
    </w:p>
    <w:p w:rsidR="00A61B09" w:rsidRDefault="00A61B09" w:rsidP="00A61B09">
      <w:pPr>
        <w:pStyle w:val="Subtitle"/>
      </w:pPr>
      <w:r>
        <w:t>Key assumptions and results</w:t>
      </w:r>
      <w:r w:rsidR="00F34009" w:rsidRPr="00F34009">
        <w:rPr>
          <w:rStyle w:val="NoteLabel"/>
        </w:rPr>
        <w:t>a</w:t>
      </w:r>
    </w:p>
    <w:tbl>
      <w:tblPr>
        <w:tblW w:w="5000" w:type="pct"/>
        <w:tblCellMar>
          <w:left w:w="0" w:type="dxa"/>
          <w:right w:w="0" w:type="dxa"/>
        </w:tblCellMar>
        <w:tblLook w:val="0000" w:firstRow="0" w:lastRow="0" w:firstColumn="0" w:lastColumn="0" w:noHBand="0" w:noVBand="0"/>
      </w:tblPr>
      <w:tblGrid>
        <w:gridCol w:w="2959"/>
        <w:gridCol w:w="2392"/>
        <w:gridCol w:w="1273"/>
        <w:gridCol w:w="1172"/>
        <w:gridCol w:w="993"/>
      </w:tblGrid>
      <w:tr w:rsidR="00A61B09" w:rsidTr="00A61B09">
        <w:tc>
          <w:tcPr>
            <w:tcW w:w="1683" w:type="pct"/>
            <w:tcBorders>
              <w:top w:val="single" w:sz="6" w:space="0" w:color="auto"/>
              <w:bottom w:val="single" w:sz="6" w:space="0" w:color="auto"/>
            </w:tcBorders>
            <w:shd w:val="clear" w:color="auto" w:fill="auto"/>
          </w:tcPr>
          <w:p w:rsidR="00A61B09" w:rsidRDefault="00A61B09" w:rsidP="00A61B09">
            <w:pPr>
              <w:pStyle w:val="TableColumnHeading"/>
              <w:ind w:left="0" w:right="0" w:hanging="2"/>
              <w:jc w:val="left"/>
            </w:pPr>
          </w:p>
        </w:tc>
        <w:tc>
          <w:tcPr>
            <w:tcW w:w="1361" w:type="pct"/>
            <w:tcBorders>
              <w:top w:val="single" w:sz="6" w:space="0" w:color="auto"/>
              <w:bottom w:val="single" w:sz="6" w:space="0" w:color="auto"/>
            </w:tcBorders>
          </w:tcPr>
          <w:p w:rsidR="00A61B09" w:rsidRDefault="00A61B09" w:rsidP="00800C3B">
            <w:pPr>
              <w:pStyle w:val="TableColumnHeading"/>
              <w:ind w:right="59"/>
            </w:pPr>
            <w:r>
              <w:t>Units</w:t>
            </w:r>
          </w:p>
        </w:tc>
        <w:tc>
          <w:tcPr>
            <w:tcW w:w="724" w:type="pct"/>
            <w:tcBorders>
              <w:top w:val="single" w:sz="6" w:space="0" w:color="auto"/>
              <w:bottom w:val="single" w:sz="6" w:space="0" w:color="auto"/>
            </w:tcBorders>
            <w:shd w:val="clear" w:color="auto" w:fill="auto"/>
          </w:tcPr>
          <w:p w:rsidR="00A61B09" w:rsidRDefault="00A61B09" w:rsidP="00800C3B">
            <w:pPr>
              <w:pStyle w:val="TableColumnHeading"/>
              <w:ind w:right="59"/>
            </w:pPr>
            <w:r>
              <w:t>low</w:t>
            </w:r>
          </w:p>
        </w:tc>
        <w:tc>
          <w:tcPr>
            <w:tcW w:w="667" w:type="pct"/>
            <w:tcBorders>
              <w:top w:val="single" w:sz="6" w:space="0" w:color="auto"/>
              <w:bottom w:val="single" w:sz="6" w:space="0" w:color="auto"/>
            </w:tcBorders>
          </w:tcPr>
          <w:p w:rsidR="00A61B09" w:rsidRDefault="00A61B09" w:rsidP="00800C3B">
            <w:pPr>
              <w:pStyle w:val="TableColumnHeading"/>
              <w:ind w:right="59"/>
            </w:pPr>
            <w:proofErr w:type="spellStart"/>
            <w:r>
              <w:t>mid-point</w:t>
            </w:r>
            <w:proofErr w:type="spellEnd"/>
          </w:p>
        </w:tc>
        <w:tc>
          <w:tcPr>
            <w:tcW w:w="565" w:type="pct"/>
            <w:tcBorders>
              <w:top w:val="single" w:sz="6" w:space="0" w:color="auto"/>
              <w:bottom w:val="single" w:sz="6" w:space="0" w:color="auto"/>
            </w:tcBorders>
            <w:shd w:val="clear" w:color="auto" w:fill="auto"/>
          </w:tcPr>
          <w:p w:rsidR="00A61B09" w:rsidRDefault="00A61B09" w:rsidP="00800C3B">
            <w:pPr>
              <w:pStyle w:val="TableColumnHeading"/>
              <w:ind w:right="59"/>
            </w:pPr>
            <w:r>
              <w:t>high</w:t>
            </w:r>
          </w:p>
        </w:tc>
      </w:tr>
      <w:tr w:rsidR="00A61B09" w:rsidRPr="0075665D" w:rsidTr="00A61B09">
        <w:tc>
          <w:tcPr>
            <w:tcW w:w="1683" w:type="pct"/>
          </w:tcPr>
          <w:p w:rsidR="00A61B09" w:rsidRPr="0075665D" w:rsidRDefault="00A61B09" w:rsidP="00A61B09">
            <w:pPr>
              <w:pStyle w:val="TableBodyText"/>
              <w:ind w:left="0" w:right="0" w:hanging="2"/>
              <w:jc w:val="left"/>
              <w:rPr>
                <w:b/>
              </w:rPr>
            </w:pPr>
            <w:r w:rsidRPr="0075665D">
              <w:rPr>
                <w:b/>
              </w:rPr>
              <w:t>Shared assumptions</w:t>
            </w:r>
          </w:p>
        </w:tc>
        <w:tc>
          <w:tcPr>
            <w:tcW w:w="1361" w:type="pct"/>
          </w:tcPr>
          <w:p w:rsidR="00A61B09" w:rsidRPr="0075665D" w:rsidRDefault="00A61B09" w:rsidP="00800C3B">
            <w:pPr>
              <w:pStyle w:val="TableBodyText"/>
              <w:ind w:right="59"/>
              <w:rPr>
                <w:b/>
              </w:rPr>
            </w:pPr>
          </w:p>
        </w:tc>
        <w:tc>
          <w:tcPr>
            <w:tcW w:w="724" w:type="pct"/>
          </w:tcPr>
          <w:p w:rsidR="00A61B09" w:rsidRPr="0075665D" w:rsidRDefault="00A61B09" w:rsidP="00800C3B">
            <w:pPr>
              <w:pStyle w:val="TableBodyText"/>
              <w:ind w:right="59"/>
              <w:rPr>
                <w:b/>
              </w:rPr>
            </w:pPr>
          </w:p>
        </w:tc>
        <w:tc>
          <w:tcPr>
            <w:tcW w:w="667" w:type="pct"/>
          </w:tcPr>
          <w:p w:rsidR="00A61B09" w:rsidRPr="0075665D" w:rsidRDefault="00A61B09" w:rsidP="00800C3B">
            <w:pPr>
              <w:pStyle w:val="TableBodyText"/>
              <w:ind w:right="59"/>
              <w:rPr>
                <w:b/>
              </w:rPr>
            </w:pPr>
          </w:p>
        </w:tc>
        <w:tc>
          <w:tcPr>
            <w:tcW w:w="565" w:type="pct"/>
          </w:tcPr>
          <w:p w:rsidR="00A61B09" w:rsidRPr="0075665D" w:rsidRDefault="00A61B09" w:rsidP="00800C3B">
            <w:pPr>
              <w:pStyle w:val="TableBodyText"/>
              <w:ind w:right="59"/>
              <w:rPr>
                <w:b/>
              </w:rPr>
            </w:pPr>
          </w:p>
        </w:tc>
      </w:tr>
      <w:tr w:rsidR="00A61B09" w:rsidTr="00A61B09">
        <w:tc>
          <w:tcPr>
            <w:tcW w:w="1683" w:type="pct"/>
          </w:tcPr>
          <w:p w:rsidR="00A61B09" w:rsidRDefault="00A61B09" w:rsidP="00A61B09">
            <w:pPr>
              <w:pStyle w:val="TableBodyText"/>
              <w:ind w:left="0" w:right="0" w:hanging="2"/>
              <w:jc w:val="left"/>
            </w:pPr>
            <w:r>
              <w:t>Smart meters</w:t>
            </w:r>
          </w:p>
        </w:tc>
        <w:tc>
          <w:tcPr>
            <w:tcW w:w="1361" w:type="pct"/>
          </w:tcPr>
          <w:p w:rsidR="00A61B09" w:rsidRDefault="00BB6DB8" w:rsidP="00800C3B">
            <w:pPr>
              <w:pStyle w:val="TableBodyText"/>
              <w:ind w:right="59"/>
            </w:pPr>
            <w:r>
              <w:t>number</w:t>
            </w:r>
          </w:p>
        </w:tc>
        <w:tc>
          <w:tcPr>
            <w:tcW w:w="724" w:type="pct"/>
          </w:tcPr>
          <w:p w:rsidR="00A61B09" w:rsidRPr="001C404E" w:rsidRDefault="00A61B09" w:rsidP="007A6364">
            <w:pPr>
              <w:pStyle w:val="TableBodyText"/>
              <w:ind w:left="0" w:right="59" w:hanging="2"/>
            </w:pPr>
            <w:r w:rsidRPr="001C404E">
              <w:t xml:space="preserve"> 6</w:t>
            </w:r>
            <w:r w:rsidR="007A6364">
              <w:t> </w:t>
            </w:r>
            <w:r w:rsidRPr="001C404E">
              <w:t>200</w:t>
            </w:r>
            <w:r w:rsidR="007A6364">
              <w:t> </w:t>
            </w:r>
            <w:r w:rsidRPr="001C404E">
              <w:t xml:space="preserve">000 </w:t>
            </w:r>
          </w:p>
        </w:tc>
        <w:tc>
          <w:tcPr>
            <w:tcW w:w="667" w:type="pct"/>
          </w:tcPr>
          <w:p w:rsidR="00A61B09" w:rsidRPr="001C404E" w:rsidRDefault="00A61B09" w:rsidP="007A6364">
            <w:pPr>
              <w:pStyle w:val="TableBodyText"/>
              <w:ind w:left="0" w:right="59" w:hanging="2"/>
            </w:pPr>
            <w:r w:rsidRPr="001C404E">
              <w:t xml:space="preserve"> 6</w:t>
            </w:r>
            <w:r w:rsidR="007A6364">
              <w:t> </w:t>
            </w:r>
            <w:r w:rsidRPr="001C404E">
              <w:t>200</w:t>
            </w:r>
            <w:r w:rsidR="007A6364">
              <w:t> </w:t>
            </w:r>
            <w:r w:rsidRPr="001C404E">
              <w:t xml:space="preserve">000 </w:t>
            </w:r>
          </w:p>
        </w:tc>
        <w:tc>
          <w:tcPr>
            <w:tcW w:w="565" w:type="pct"/>
          </w:tcPr>
          <w:p w:rsidR="00A61B09" w:rsidRPr="001C404E" w:rsidRDefault="00A61B09" w:rsidP="007A6364">
            <w:pPr>
              <w:pStyle w:val="TableBodyText"/>
              <w:ind w:left="0" w:right="59" w:hanging="2"/>
            </w:pPr>
            <w:r w:rsidRPr="001C404E">
              <w:t>6</w:t>
            </w:r>
            <w:r w:rsidR="007A6364">
              <w:t> </w:t>
            </w:r>
            <w:r w:rsidRPr="001C404E">
              <w:t>200</w:t>
            </w:r>
            <w:r w:rsidR="007A6364">
              <w:t> </w:t>
            </w:r>
            <w:r w:rsidRPr="001C404E">
              <w:t xml:space="preserve">000 </w:t>
            </w:r>
          </w:p>
        </w:tc>
      </w:tr>
      <w:tr w:rsidR="00A61B09" w:rsidTr="00A61B09">
        <w:tc>
          <w:tcPr>
            <w:tcW w:w="1683" w:type="pct"/>
            <w:shd w:val="clear" w:color="auto" w:fill="auto"/>
          </w:tcPr>
          <w:p w:rsidR="00A61B09" w:rsidRDefault="00A61B09" w:rsidP="00A61B09">
            <w:pPr>
              <w:pStyle w:val="TableBodyText"/>
              <w:ind w:left="0" w:right="0" w:hanging="2"/>
              <w:jc w:val="left"/>
            </w:pPr>
            <w:r>
              <w:t>Relevant critical peak demand</w:t>
            </w:r>
          </w:p>
        </w:tc>
        <w:tc>
          <w:tcPr>
            <w:tcW w:w="1361" w:type="pct"/>
          </w:tcPr>
          <w:p w:rsidR="00A61B09" w:rsidRDefault="00A61B09" w:rsidP="00800C3B">
            <w:pPr>
              <w:pStyle w:val="TableBodyText"/>
              <w:ind w:right="59"/>
            </w:pPr>
            <w:proofErr w:type="spellStart"/>
            <w:r>
              <w:t>MWh</w:t>
            </w:r>
            <w:proofErr w:type="spellEnd"/>
          </w:p>
        </w:tc>
        <w:tc>
          <w:tcPr>
            <w:tcW w:w="724" w:type="pct"/>
            <w:shd w:val="clear" w:color="auto" w:fill="auto"/>
          </w:tcPr>
          <w:p w:rsidR="00A61B09" w:rsidRPr="001C404E" w:rsidRDefault="00A61B09" w:rsidP="00800C3B">
            <w:pPr>
              <w:pStyle w:val="TableBodyText"/>
              <w:ind w:left="0" w:right="59" w:hanging="2"/>
            </w:pPr>
            <w:r w:rsidRPr="001C404E">
              <w:t>11</w:t>
            </w:r>
            <w:r w:rsidR="007A6364">
              <w:t> </w:t>
            </w:r>
            <w:r w:rsidRPr="001C404E">
              <w:t>550</w:t>
            </w:r>
          </w:p>
        </w:tc>
        <w:tc>
          <w:tcPr>
            <w:tcW w:w="667" w:type="pct"/>
          </w:tcPr>
          <w:p w:rsidR="00A61B09" w:rsidRPr="001C404E" w:rsidRDefault="00A61B09" w:rsidP="007A6364">
            <w:pPr>
              <w:pStyle w:val="TableBodyText"/>
              <w:ind w:left="0" w:right="59" w:hanging="2"/>
            </w:pPr>
            <w:r w:rsidRPr="001C404E">
              <w:t>13</w:t>
            </w:r>
            <w:r w:rsidR="007A6364">
              <w:t> </w:t>
            </w:r>
            <w:r w:rsidRPr="001C404E">
              <w:t>200</w:t>
            </w:r>
          </w:p>
        </w:tc>
        <w:tc>
          <w:tcPr>
            <w:tcW w:w="565" w:type="pct"/>
            <w:shd w:val="clear" w:color="auto" w:fill="auto"/>
          </w:tcPr>
          <w:p w:rsidR="00A61B09" w:rsidRPr="001C404E" w:rsidRDefault="00A61B09" w:rsidP="00800C3B">
            <w:pPr>
              <w:pStyle w:val="TableBodyText"/>
              <w:ind w:left="0" w:right="59" w:hanging="2"/>
            </w:pPr>
            <w:r w:rsidRPr="001C404E">
              <w:t>14</w:t>
            </w:r>
            <w:r w:rsidR="007A6364">
              <w:t> </w:t>
            </w:r>
            <w:r w:rsidRPr="001C404E">
              <w:t>850</w:t>
            </w:r>
          </w:p>
        </w:tc>
      </w:tr>
      <w:tr w:rsidR="00A61B09" w:rsidTr="00A61B09">
        <w:tc>
          <w:tcPr>
            <w:tcW w:w="1683" w:type="pct"/>
            <w:shd w:val="clear" w:color="auto" w:fill="auto"/>
          </w:tcPr>
          <w:p w:rsidR="00A61B09" w:rsidRDefault="00A61B09" w:rsidP="00A61B09">
            <w:pPr>
              <w:pStyle w:val="TableBodyText"/>
              <w:ind w:left="0" w:right="0" w:hanging="2"/>
              <w:jc w:val="left"/>
            </w:pPr>
            <w:r>
              <w:t>Up front cost</w:t>
            </w:r>
          </w:p>
        </w:tc>
        <w:tc>
          <w:tcPr>
            <w:tcW w:w="1361" w:type="pct"/>
          </w:tcPr>
          <w:p w:rsidR="00A61B09" w:rsidRDefault="00A61B09" w:rsidP="00800C3B">
            <w:pPr>
              <w:pStyle w:val="TableBodyText"/>
              <w:ind w:right="59"/>
            </w:pPr>
            <w:r>
              <w:t>$ per appliance</w:t>
            </w:r>
          </w:p>
        </w:tc>
        <w:tc>
          <w:tcPr>
            <w:tcW w:w="724" w:type="pct"/>
            <w:shd w:val="clear" w:color="auto" w:fill="auto"/>
          </w:tcPr>
          <w:p w:rsidR="00A61B09" w:rsidRPr="001C404E" w:rsidRDefault="00A61B09" w:rsidP="00800C3B">
            <w:pPr>
              <w:pStyle w:val="TableBodyText"/>
              <w:ind w:left="0" w:right="59" w:hanging="2"/>
            </w:pPr>
            <w:r w:rsidRPr="001C404E">
              <w:t>800</w:t>
            </w:r>
          </w:p>
        </w:tc>
        <w:tc>
          <w:tcPr>
            <w:tcW w:w="667" w:type="pct"/>
          </w:tcPr>
          <w:p w:rsidR="00A61B09" w:rsidRPr="001C404E" w:rsidRDefault="00A61B09" w:rsidP="00800C3B">
            <w:pPr>
              <w:pStyle w:val="TableBodyText"/>
              <w:ind w:left="0" w:right="59" w:hanging="2"/>
            </w:pPr>
            <w:r w:rsidRPr="001C404E">
              <w:t>535</w:t>
            </w:r>
          </w:p>
        </w:tc>
        <w:tc>
          <w:tcPr>
            <w:tcW w:w="565" w:type="pct"/>
            <w:shd w:val="clear" w:color="auto" w:fill="auto"/>
          </w:tcPr>
          <w:p w:rsidR="00A61B09" w:rsidRPr="001C404E" w:rsidRDefault="00A61B09" w:rsidP="00800C3B">
            <w:pPr>
              <w:pStyle w:val="TableBodyText"/>
              <w:ind w:left="0" w:right="59" w:hanging="2"/>
            </w:pPr>
            <w:r w:rsidRPr="001C404E">
              <w:t>270</w:t>
            </w:r>
          </w:p>
        </w:tc>
      </w:tr>
      <w:tr w:rsidR="00A61B09" w:rsidTr="00A61B09">
        <w:tc>
          <w:tcPr>
            <w:tcW w:w="1683" w:type="pct"/>
            <w:shd w:val="clear" w:color="auto" w:fill="auto"/>
          </w:tcPr>
          <w:p w:rsidR="00A61B09" w:rsidRDefault="00C82115" w:rsidP="00A61B09">
            <w:pPr>
              <w:pStyle w:val="TableBodyText"/>
              <w:ind w:left="0" w:right="0" w:hanging="2"/>
              <w:jc w:val="left"/>
            </w:pPr>
            <w:r>
              <w:t xml:space="preserve">IT </w:t>
            </w:r>
            <w:r w:rsidR="00A61B09">
              <w:t>Refresh cost</w:t>
            </w:r>
          </w:p>
        </w:tc>
        <w:tc>
          <w:tcPr>
            <w:tcW w:w="1361" w:type="pct"/>
          </w:tcPr>
          <w:p w:rsidR="00A61B09" w:rsidRDefault="00A61B09" w:rsidP="00800C3B">
            <w:pPr>
              <w:pStyle w:val="TableBodyText"/>
              <w:ind w:right="59"/>
            </w:pPr>
            <w:r>
              <w:t>$ per appliance</w:t>
            </w:r>
          </w:p>
        </w:tc>
        <w:tc>
          <w:tcPr>
            <w:tcW w:w="724" w:type="pct"/>
            <w:shd w:val="clear" w:color="auto" w:fill="auto"/>
          </w:tcPr>
          <w:p w:rsidR="00A61B09" w:rsidRPr="001C404E" w:rsidRDefault="00A61B09" w:rsidP="00800C3B">
            <w:pPr>
              <w:pStyle w:val="TableBodyText"/>
              <w:ind w:left="0" w:right="59" w:hanging="2"/>
            </w:pPr>
            <w:r w:rsidRPr="001C404E">
              <w:t>150</w:t>
            </w:r>
          </w:p>
        </w:tc>
        <w:tc>
          <w:tcPr>
            <w:tcW w:w="667" w:type="pct"/>
          </w:tcPr>
          <w:p w:rsidR="00A61B09" w:rsidRPr="001C404E" w:rsidRDefault="00A61B09" w:rsidP="00800C3B">
            <w:pPr>
              <w:pStyle w:val="TableBodyText"/>
              <w:ind w:left="0" w:right="59" w:hanging="2"/>
            </w:pPr>
            <w:r w:rsidRPr="001C404E">
              <w:t>125</w:t>
            </w:r>
          </w:p>
        </w:tc>
        <w:tc>
          <w:tcPr>
            <w:tcW w:w="565" w:type="pct"/>
            <w:shd w:val="clear" w:color="auto" w:fill="auto"/>
          </w:tcPr>
          <w:p w:rsidR="00A61B09" w:rsidRDefault="00A61B09" w:rsidP="00800C3B">
            <w:pPr>
              <w:pStyle w:val="TableBodyText"/>
              <w:ind w:left="0" w:right="59" w:hanging="2"/>
            </w:pPr>
            <w:r w:rsidRPr="001C404E">
              <w:t>100</w:t>
            </w:r>
          </w:p>
        </w:tc>
      </w:tr>
      <w:tr w:rsidR="00A61B09" w:rsidTr="00A61B09">
        <w:tc>
          <w:tcPr>
            <w:tcW w:w="1683" w:type="pct"/>
            <w:shd w:val="clear" w:color="auto" w:fill="auto"/>
          </w:tcPr>
          <w:p w:rsidR="00A61B09" w:rsidRDefault="00A61B09" w:rsidP="00A61B09">
            <w:pPr>
              <w:pStyle w:val="TableBodyText"/>
              <w:ind w:left="0" w:right="0" w:hanging="2"/>
              <w:jc w:val="left"/>
            </w:pPr>
            <w:r>
              <w:t>Cost profile</w:t>
            </w:r>
          </w:p>
        </w:tc>
        <w:tc>
          <w:tcPr>
            <w:tcW w:w="3317" w:type="pct"/>
            <w:gridSpan w:val="4"/>
          </w:tcPr>
          <w:p w:rsidR="00A61B09" w:rsidRDefault="00A61B09" w:rsidP="00FD2590">
            <w:pPr>
              <w:pStyle w:val="TableBodyText"/>
              <w:ind w:right="59"/>
              <w:jc w:val="left"/>
            </w:pPr>
            <w:r w:rsidRPr="00A61B09">
              <w:t>Smart meters phased in over five years (1.2</w:t>
            </w:r>
            <w:r w:rsidR="00203C13" w:rsidRPr="00A61B09">
              <w:t>4</w:t>
            </w:r>
            <w:r w:rsidR="00203C13">
              <w:t> million</w:t>
            </w:r>
            <w:r w:rsidRPr="00A61B09">
              <w:t xml:space="preserve"> per year). Refresh of IT components 7 years after installation</w:t>
            </w:r>
            <w:r>
              <w:t xml:space="preserve"> </w:t>
            </w:r>
          </w:p>
        </w:tc>
      </w:tr>
      <w:tr w:rsidR="00A61B09" w:rsidTr="002026EA">
        <w:tc>
          <w:tcPr>
            <w:tcW w:w="1683" w:type="pct"/>
            <w:shd w:val="clear" w:color="auto" w:fill="auto"/>
          </w:tcPr>
          <w:p w:rsidR="00A61B09" w:rsidRDefault="00A61B09" w:rsidP="00A61B09">
            <w:pPr>
              <w:pStyle w:val="TableBodyText"/>
              <w:ind w:left="0" w:right="0" w:hanging="2"/>
              <w:jc w:val="left"/>
            </w:pPr>
            <w:r>
              <w:t>Annual cost</w:t>
            </w:r>
          </w:p>
        </w:tc>
        <w:tc>
          <w:tcPr>
            <w:tcW w:w="1361" w:type="pct"/>
          </w:tcPr>
          <w:p w:rsidR="00A61B09" w:rsidRDefault="00A61B09" w:rsidP="00800C3B">
            <w:pPr>
              <w:pStyle w:val="TableBodyText"/>
              <w:ind w:right="59"/>
            </w:pPr>
            <w:r>
              <w:t>$ per appliance per year</w:t>
            </w:r>
          </w:p>
        </w:tc>
        <w:tc>
          <w:tcPr>
            <w:tcW w:w="724" w:type="pct"/>
            <w:shd w:val="clear" w:color="auto" w:fill="auto"/>
          </w:tcPr>
          <w:p w:rsidR="00A61B09" w:rsidRDefault="00A61B09" w:rsidP="00800C3B">
            <w:pPr>
              <w:pStyle w:val="TableBodyText"/>
              <w:ind w:right="59"/>
            </w:pPr>
            <w:r>
              <w:t>30</w:t>
            </w:r>
          </w:p>
        </w:tc>
        <w:tc>
          <w:tcPr>
            <w:tcW w:w="667" w:type="pct"/>
          </w:tcPr>
          <w:p w:rsidR="00A61B09" w:rsidRDefault="00A61B09" w:rsidP="00800C3B">
            <w:pPr>
              <w:pStyle w:val="TableBodyText"/>
              <w:ind w:right="59"/>
            </w:pPr>
            <w:r>
              <w:t>25</w:t>
            </w:r>
          </w:p>
        </w:tc>
        <w:tc>
          <w:tcPr>
            <w:tcW w:w="565" w:type="pct"/>
            <w:shd w:val="clear" w:color="auto" w:fill="auto"/>
          </w:tcPr>
          <w:p w:rsidR="00A61B09" w:rsidRDefault="00A61B09" w:rsidP="00800C3B">
            <w:pPr>
              <w:pStyle w:val="TableBodyText"/>
              <w:ind w:right="59"/>
            </w:pPr>
            <w:r>
              <w:t>20</w:t>
            </w:r>
          </w:p>
        </w:tc>
      </w:tr>
      <w:tr w:rsidR="00A61B09" w:rsidTr="002026EA">
        <w:tc>
          <w:tcPr>
            <w:tcW w:w="1683" w:type="pct"/>
            <w:tcBorders>
              <w:bottom w:val="single" w:sz="4" w:space="0" w:color="auto"/>
            </w:tcBorders>
            <w:shd w:val="clear" w:color="auto" w:fill="auto"/>
          </w:tcPr>
          <w:p w:rsidR="00A61B09" w:rsidRDefault="00A61B09" w:rsidP="00A61B09">
            <w:pPr>
              <w:pStyle w:val="TableBodyText"/>
              <w:ind w:left="0" w:right="0" w:hanging="2"/>
              <w:jc w:val="left"/>
            </w:pPr>
            <w:r>
              <w:t>Value of demand management savings (network/generation)</w:t>
            </w:r>
          </w:p>
        </w:tc>
        <w:tc>
          <w:tcPr>
            <w:tcW w:w="1361" w:type="pct"/>
            <w:tcBorders>
              <w:bottom w:val="single" w:sz="4" w:space="0" w:color="auto"/>
            </w:tcBorders>
          </w:tcPr>
          <w:p w:rsidR="00A61B09" w:rsidRDefault="00A61B09" w:rsidP="00F11E24">
            <w:pPr>
              <w:pStyle w:val="TableBodyText"/>
              <w:ind w:right="59"/>
            </w:pPr>
            <w:r>
              <w:t>$/k</w:t>
            </w:r>
            <w:r w:rsidR="00F11E24">
              <w:t>W</w:t>
            </w:r>
            <w:r>
              <w:t xml:space="preserve"> per year</w:t>
            </w:r>
          </w:p>
        </w:tc>
        <w:tc>
          <w:tcPr>
            <w:tcW w:w="724" w:type="pct"/>
            <w:tcBorders>
              <w:bottom w:val="single" w:sz="4" w:space="0" w:color="auto"/>
            </w:tcBorders>
            <w:shd w:val="clear" w:color="auto" w:fill="auto"/>
          </w:tcPr>
          <w:p w:rsidR="00A61B09" w:rsidRDefault="00355F4D" w:rsidP="00800C3B">
            <w:pPr>
              <w:pStyle w:val="TableBodyText"/>
              <w:ind w:right="59"/>
            </w:pPr>
            <w:r>
              <w:t>271</w:t>
            </w:r>
          </w:p>
        </w:tc>
        <w:tc>
          <w:tcPr>
            <w:tcW w:w="667" w:type="pct"/>
            <w:tcBorders>
              <w:bottom w:val="single" w:sz="4" w:space="0" w:color="auto"/>
            </w:tcBorders>
          </w:tcPr>
          <w:p w:rsidR="00A61B09" w:rsidRDefault="00355F4D" w:rsidP="00800C3B">
            <w:pPr>
              <w:pStyle w:val="TableBodyText"/>
              <w:ind w:right="59"/>
            </w:pPr>
            <w:r>
              <w:t>326</w:t>
            </w:r>
          </w:p>
        </w:tc>
        <w:tc>
          <w:tcPr>
            <w:tcW w:w="565" w:type="pct"/>
            <w:tcBorders>
              <w:bottom w:val="single" w:sz="4" w:space="0" w:color="auto"/>
            </w:tcBorders>
            <w:shd w:val="clear" w:color="auto" w:fill="auto"/>
          </w:tcPr>
          <w:p w:rsidR="00A61B09" w:rsidRDefault="00355F4D" w:rsidP="00800C3B">
            <w:pPr>
              <w:pStyle w:val="TableBodyText"/>
              <w:ind w:right="59"/>
            </w:pPr>
            <w:r>
              <w:t>381</w:t>
            </w:r>
          </w:p>
        </w:tc>
      </w:tr>
      <w:tr w:rsidR="000D1FB7" w:rsidRPr="009F7960" w:rsidTr="002026EA">
        <w:tc>
          <w:tcPr>
            <w:tcW w:w="5000" w:type="pct"/>
            <w:gridSpan w:val="5"/>
            <w:tcBorders>
              <w:top w:val="single" w:sz="4" w:space="0" w:color="auto"/>
            </w:tcBorders>
            <w:shd w:val="clear" w:color="auto" w:fill="auto"/>
          </w:tcPr>
          <w:p w:rsidR="000D1FB7" w:rsidRPr="000D1FB7" w:rsidRDefault="000D1FB7" w:rsidP="00F27F5F">
            <w:pPr>
              <w:pStyle w:val="TableBodyText"/>
              <w:jc w:val="left"/>
              <w:rPr>
                <w:b/>
              </w:rPr>
            </w:pPr>
            <w:r w:rsidRPr="000D1FB7">
              <w:rPr>
                <w:b/>
              </w:rPr>
              <w:t xml:space="preserve">Scenario </w:t>
            </w:r>
            <w:r w:rsidR="00F27F5F">
              <w:rPr>
                <w:b/>
              </w:rPr>
              <w:t>2</w:t>
            </w:r>
            <w:r w:rsidRPr="000D1FB7">
              <w:rPr>
                <w:b/>
              </w:rPr>
              <w:t xml:space="preserve"> </w:t>
            </w:r>
            <w:proofErr w:type="spellStart"/>
            <w:r w:rsidRPr="000D1FB7">
              <w:rPr>
                <w:b/>
              </w:rPr>
              <w:t>NEM</w:t>
            </w:r>
            <w:proofErr w:type="spellEnd"/>
            <w:r w:rsidRPr="000D1FB7">
              <w:rPr>
                <w:b/>
              </w:rPr>
              <w:t>-wide r</w:t>
            </w:r>
            <w:r w:rsidR="00203C13">
              <w:rPr>
                <w:b/>
              </w:rPr>
              <w:t>ollout</w:t>
            </w:r>
            <w:r w:rsidRPr="000D1FB7">
              <w:rPr>
                <w:b/>
              </w:rPr>
              <w:t xml:space="preserve"> with critical peak pricing</w:t>
            </w:r>
          </w:p>
        </w:tc>
      </w:tr>
      <w:tr w:rsidR="008A3EF5" w:rsidRPr="009F7960" w:rsidTr="00A61B09">
        <w:tc>
          <w:tcPr>
            <w:tcW w:w="1683" w:type="pct"/>
            <w:shd w:val="clear" w:color="auto" w:fill="auto"/>
          </w:tcPr>
          <w:p w:rsidR="008A3EF5" w:rsidRDefault="008A3EF5" w:rsidP="00A61B09">
            <w:pPr>
              <w:pStyle w:val="TableBodyText"/>
              <w:ind w:left="0" w:right="0"/>
              <w:jc w:val="left"/>
            </w:pPr>
            <w:r>
              <w:t>Discounted costs</w:t>
            </w:r>
          </w:p>
        </w:tc>
        <w:tc>
          <w:tcPr>
            <w:tcW w:w="1361" w:type="pct"/>
          </w:tcPr>
          <w:p w:rsidR="008A3EF5" w:rsidRDefault="008A3EF5" w:rsidP="00800C3B">
            <w:pPr>
              <w:pStyle w:val="TableBodyText"/>
              <w:ind w:right="59"/>
            </w:pPr>
            <w:r>
              <w:t>$ Million (</w:t>
            </w:r>
            <w:proofErr w:type="spellStart"/>
            <w:r w:rsidR="00104577">
              <w:t>NPV</w:t>
            </w:r>
            <w:proofErr w:type="spellEnd"/>
            <w:r>
              <w:t>)</w:t>
            </w:r>
          </w:p>
        </w:tc>
        <w:tc>
          <w:tcPr>
            <w:tcW w:w="724" w:type="pct"/>
            <w:shd w:val="clear" w:color="auto" w:fill="auto"/>
          </w:tcPr>
          <w:p w:rsidR="008A3EF5" w:rsidRPr="0076114F" w:rsidRDefault="008A3EF5" w:rsidP="008A3EF5">
            <w:pPr>
              <w:pStyle w:val="TableBodyText"/>
            </w:pPr>
            <w:r w:rsidRPr="0076114F">
              <w:t>5</w:t>
            </w:r>
            <w:r w:rsidR="007A6364">
              <w:t> </w:t>
            </w:r>
            <w:r w:rsidRPr="0076114F">
              <w:t>993</w:t>
            </w:r>
          </w:p>
        </w:tc>
        <w:tc>
          <w:tcPr>
            <w:tcW w:w="667" w:type="pct"/>
          </w:tcPr>
          <w:p w:rsidR="008A3EF5" w:rsidRPr="0076114F" w:rsidRDefault="008A3EF5" w:rsidP="008A3EF5">
            <w:pPr>
              <w:pStyle w:val="TableBodyText"/>
            </w:pPr>
            <w:r w:rsidRPr="0076114F">
              <w:t>4</w:t>
            </w:r>
            <w:r w:rsidR="007A6364">
              <w:t> </w:t>
            </w:r>
            <w:r w:rsidRPr="0076114F">
              <w:t>317</w:t>
            </w:r>
          </w:p>
        </w:tc>
        <w:tc>
          <w:tcPr>
            <w:tcW w:w="565" w:type="pct"/>
            <w:shd w:val="clear" w:color="auto" w:fill="auto"/>
          </w:tcPr>
          <w:p w:rsidR="008A3EF5" w:rsidRPr="0076114F" w:rsidRDefault="008A3EF5" w:rsidP="008A3EF5">
            <w:pPr>
              <w:pStyle w:val="TableBodyText"/>
            </w:pPr>
            <w:r w:rsidRPr="0076114F">
              <w:t>2</w:t>
            </w:r>
            <w:r w:rsidR="007A6364">
              <w:t> </w:t>
            </w:r>
            <w:r w:rsidRPr="0076114F">
              <w:t>641</w:t>
            </w:r>
          </w:p>
        </w:tc>
      </w:tr>
      <w:tr w:rsidR="00A5149D" w:rsidRPr="009F7960" w:rsidTr="00A61B09">
        <w:tc>
          <w:tcPr>
            <w:tcW w:w="1683" w:type="pct"/>
            <w:shd w:val="clear" w:color="auto" w:fill="auto"/>
          </w:tcPr>
          <w:p w:rsidR="00A5149D" w:rsidRDefault="00A5149D" w:rsidP="00A61B09">
            <w:pPr>
              <w:pStyle w:val="TableBodyText"/>
              <w:ind w:left="0" w:right="0"/>
              <w:jc w:val="left"/>
            </w:pPr>
            <w:r>
              <w:t>Discounted benefits</w:t>
            </w:r>
          </w:p>
        </w:tc>
        <w:tc>
          <w:tcPr>
            <w:tcW w:w="1361" w:type="pct"/>
          </w:tcPr>
          <w:p w:rsidR="00A5149D" w:rsidRDefault="00A5149D" w:rsidP="00800C3B">
            <w:pPr>
              <w:pStyle w:val="TableBodyText"/>
              <w:ind w:right="59"/>
            </w:pPr>
            <w:r>
              <w:t>$ M</w:t>
            </w:r>
            <w:r w:rsidRPr="00A106FF">
              <w:t>illion</w:t>
            </w:r>
            <w:r>
              <w:t xml:space="preserve"> (</w:t>
            </w:r>
            <w:proofErr w:type="spellStart"/>
            <w:r>
              <w:t>NPV</w:t>
            </w:r>
            <w:proofErr w:type="spellEnd"/>
            <w:r>
              <w:t>)</w:t>
            </w:r>
          </w:p>
        </w:tc>
        <w:tc>
          <w:tcPr>
            <w:tcW w:w="724" w:type="pct"/>
            <w:shd w:val="clear" w:color="auto" w:fill="auto"/>
          </w:tcPr>
          <w:p w:rsidR="00A5149D" w:rsidRPr="00AF6D5B" w:rsidRDefault="00A5149D" w:rsidP="00A5149D">
            <w:pPr>
              <w:pStyle w:val="TableBodyText"/>
            </w:pPr>
            <w:r w:rsidRPr="00AF6D5B">
              <w:t>3</w:t>
            </w:r>
            <w:r w:rsidR="007A6364">
              <w:t> </w:t>
            </w:r>
            <w:r w:rsidRPr="00AF6D5B">
              <w:t>311</w:t>
            </w:r>
          </w:p>
        </w:tc>
        <w:tc>
          <w:tcPr>
            <w:tcW w:w="667" w:type="pct"/>
          </w:tcPr>
          <w:p w:rsidR="00A5149D" w:rsidRPr="00AF6D5B" w:rsidRDefault="00A5149D" w:rsidP="00A5149D">
            <w:pPr>
              <w:pStyle w:val="TableBodyText"/>
            </w:pPr>
            <w:r w:rsidRPr="00AF6D5B">
              <w:t>4</w:t>
            </w:r>
            <w:r w:rsidR="007A6364">
              <w:t> </w:t>
            </w:r>
            <w:r w:rsidRPr="00AF6D5B">
              <w:t>968</w:t>
            </w:r>
          </w:p>
        </w:tc>
        <w:tc>
          <w:tcPr>
            <w:tcW w:w="565" w:type="pct"/>
            <w:shd w:val="clear" w:color="auto" w:fill="auto"/>
          </w:tcPr>
          <w:p w:rsidR="00A5149D" w:rsidRPr="00AF6D5B" w:rsidRDefault="00A5149D" w:rsidP="00A5149D">
            <w:pPr>
              <w:pStyle w:val="TableBodyText"/>
            </w:pPr>
            <w:r w:rsidRPr="00AF6D5B">
              <w:t>7</w:t>
            </w:r>
            <w:r w:rsidR="007A6364">
              <w:t> </w:t>
            </w:r>
            <w:r w:rsidRPr="00AF6D5B">
              <w:t>126</w:t>
            </w:r>
          </w:p>
        </w:tc>
      </w:tr>
      <w:tr w:rsidR="00A5149D" w:rsidRPr="009F7960" w:rsidTr="00A61B09">
        <w:tc>
          <w:tcPr>
            <w:tcW w:w="1683" w:type="pct"/>
            <w:shd w:val="clear" w:color="auto" w:fill="auto"/>
          </w:tcPr>
          <w:p w:rsidR="00A5149D" w:rsidRDefault="00A5149D" w:rsidP="00A61B09">
            <w:pPr>
              <w:pStyle w:val="TableBodyText"/>
              <w:ind w:left="0" w:right="0"/>
              <w:jc w:val="left"/>
            </w:pPr>
            <w:r>
              <w:t>Net benefit</w:t>
            </w:r>
          </w:p>
        </w:tc>
        <w:tc>
          <w:tcPr>
            <w:tcW w:w="1361" w:type="pct"/>
          </w:tcPr>
          <w:p w:rsidR="00A5149D" w:rsidRDefault="00A5149D" w:rsidP="00800C3B">
            <w:pPr>
              <w:pStyle w:val="TableBodyText"/>
              <w:ind w:right="59"/>
            </w:pPr>
            <w:r>
              <w:t>$ M</w:t>
            </w:r>
            <w:r w:rsidRPr="00A106FF">
              <w:t>illion</w:t>
            </w:r>
            <w:r>
              <w:t xml:space="preserve"> (</w:t>
            </w:r>
            <w:proofErr w:type="spellStart"/>
            <w:r>
              <w:t>NPV</w:t>
            </w:r>
            <w:proofErr w:type="spellEnd"/>
            <w:r>
              <w:t>)</w:t>
            </w:r>
          </w:p>
        </w:tc>
        <w:tc>
          <w:tcPr>
            <w:tcW w:w="724" w:type="pct"/>
            <w:shd w:val="clear" w:color="auto" w:fill="auto"/>
          </w:tcPr>
          <w:p w:rsidR="00A5149D" w:rsidRPr="00AF6D5B" w:rsidRDefault="00A5149D" w:rsidP="00A5149D">
            <w:pPr>
              <w:pStyle w:val="TableBodyText"/>
            </w:pPr>
            <w:r w:rsidRPr="00AF6D5B">
              <w:t>-2</w:t>
            </w:r>
            <w:r w:rsidR="007A6364">
              <w:t> </w:t>
            </w:r>
            <w:r w:rsidRPr="00AF6D5B">
              <w:t>682</w:t>
            </w:r>
          </w:p>
        </w:tc>
        <w:tc>
          <w:tcPr>
            <w:tcW w:w="667" w:type="pct"/>
          </w:tcPr>
          <w:p w:rsidR="00A5149D" w:rsidRPr="00AF6D5B" w:rsidRDefault="00A5149D" w:rsidP="00A5149D">
            <w:pPr>
              <w:pStyle w:val="TableBodyText"/>
            </w:pPr>
            <w:r w:rsidRPr="00AF6D5B">
              <w:t>651</w:t>
            </w:r>
          </w:p>
        </w:tc>
        <w:tc>
          <w:tcPr>
            <w:tcW w:w="565" w:type="pct"/>
            <w:shd w:val="clear" w:color="auto" w:fill="auto"/>
          </w:tcPr>
          <w:p w:rsidR="00A5149D" w:rsidRPr="00AF6D5B" w:rsidRDefault="00A5149D" w:rsidP="00A5149D">
            <w:pPr>
              <w:pStyle w:val="TableBodyText"/>
            </w:pPr>
            <w:r w:rsidRPr="00AF6D5B">
              <w:t>4</w:t>
            </w:r>
            <w:r w:rsidR="007A6364">
              <w:t> </w:t>
            </w:r>
            <w:r w:rsidRPr="00AF6D5B">
              <w:t>485</w:t>
            </w:r>
          </w:p>
        </w:tc>
      </w:tr>
      <w:tr w:rsidR="00A5149D" w:rsidRPr="0075665D" w:rsidTr="00F11E24">
        <w:tc>
          <w:tcPr>
            <w:tcW w:w="1683" w:type="pct"/>
            <w:shd w:val="clear" w:color="auto" w:fill="auto"/>
          </w:tcPr>
          <w:p w:rsidR="00A5149D" w:rsidRPr="0075665D" w:rsidRDefault="00A5149D" w:rsidP="00A61B09">
            <w:pPr>
              <w:pStyle w:val="TableBodyText"/>
              <w:ind w:left="0" w:right="0"/>
              <w:jc w:val="left"/>
            </w:pPr>
            <w:r w:rsidRPr="0075665D">
              <w:t>Net benefit per household</w:t>
            </w:r>
          </w:p>
        </w:tc>
        <w:tc>
          <w:tcPr>
            <w:tcW w:w="1361" w:type="pct"/>
          </w:tcPr>
          <w:p w:rsidR="00A5149D" w:rsidRPr="0075665D" w:rsidRDefault="00A5149D" w:rsidP="00800C3B">
            <w:pPr>
              <w:pStyle w:val="TableBodyText"/>
              <w:ind w:right="59"/>
            </w:pPr>
            <w:r w:rsidRPr="0075665D">
              <w:t>$ (</w:t>
            </w:r>
            <w:proofErr w:type="spellStart"/>
            <w:r>
              <w:t>NPV</w:t>
            </w:r>
            <w:proofErr w:type="spellEnd"/>
            <w:r w:rsidRPr="0075665D">
              <w:t>)</w:t>
            </w:r>
          </w:p>
        </w:tc>
        <w:tc>
          <w:tcPr>
            <w:tcW w:w="724" w:type="pct"/>
            <w:shd w:val="clear" w:color="auto" w:fill="auto"/>
          </w:tcPr>
          <w:p w:rsidR="00A5149D" w:rsidRPr="00AF6D5B" w:rsidRDefault="00A5149D" w:rsidP="00A5149D">
            <w:pPr>
              <w:pStyle w:val="TableBodyText"/>
            </w:pPr>
            <w:r w:rsidRPr="00AF6D5B">
              <w:t>-433</w:t>
            </w:r>
          </w:p>
        </w:tc>
        <w:tc>
          <w:tcPr>
            <w:tcW w:w="667" w:type="pct"/>
          </w:tcPr>
          <w:p w:rsidR="00A5149D" w:rsidRPr="00AF6D5B" w:rsidRDefault="00A5149D" w:rsidP="00A5149D">
            <w:pPr>
              <w:pStyle w:val="TableBodyText"/>
            </w:pPr>
            <w:r w:rsidRPr="00AF6D5B">
              <w:t>105</w:t>
            </w:r>
          </w:p>
        </w:tc>
        <w:tc>
          <w:tcPr>
            <w:tcW w:w="565" w:type="pct"/>
            <w:shd w:val="clear" w:color="auto" w:fill="auto"/>
          </w:tcPr>
          <w:p w:rsidR="00A5149D" w:rsidRPr="00AF6D5B" w:rsidRDefault="00A5149D" w:rsidP="00A5149D">
            <w:pPr>
              <w:pStyle w:val="TableBodyText"/>
            </w:pPr>
            <w:r w:rsidRPr="00AF6D5B">
              <w:t>723</w:t>
            </w:r>
          </w:p>
        </w:tc>
      </w:tr>
      <w:tr w:rsidR="00A5149D" w:rsidRPr="009F7960" w:rsidTr="002026EA">
        <w:tc>
          <w:tcPr>
            <w:tcW w:w="1683" w:type="pct"/>
            <w:shd w:val="clear" w:color="auto" w:fill="auto"/>
          </w:tcPr>
          <w:p w:rsidR="00A5149D" w:rsidRPr="00A4328D" w:rsidRDefault="00A5149D" w:rsidP="003A5535">
            <w:pPr>
              <w:pStyle w:val="TableBodyText"/>
              <w:ind w:left="0" w:right="0"/>
              <w:jc w:val="left"/>
            </w:pPr>
            <w:r w:rsidRPr="00A4328D">
              <w:t>Benefit cost ratio</w:t>
            </w:r>
          </w:p>
        </w:tc>
        <w:tc>
          <w:tcPr>
            <w:tcW w:w="1361" w:type="pct"/>
          </w:tcPr>
          <w:p w:rsidR="00A5149D" w:rsidRPr="0075665D" w:rsidRDefault="00A5149D" w:rsidP="003A5535">
            <w:pPr>
              <w:pStyle w:val="TableBodyText"/>
              <w:ind w:right="59"/>
            </w:pPr>
            <w:r w:rsidRPr="0075665D">
              <w:t>ratio</w:t>
            </w:r>
          </w:p>
        </w:tc>
        <w:tc>
          <w:tcPr>
            <w:tcW w:w="724" w:type="pct"/>
            <w:shd w:val="clear" w:color="auto" w:fill="auto"/>
          </w:tcPr>
          <w:p w:rsidR="00A5149D" w:rsidRPr="00AF6D5B" w:rsidRDefault="00A5149D" w:rsidP="00A5149D">
            <w:pPr>
              <w:pStyle w:val="TableBodyText"/>
            </w:pPr>
            <w:r w:rsidRPr="00AF6D5B">
              <w:t>0.6</w:t>
            </w:r>
          </w:p>
        </w:tc>
        <w:tc>
          <w:tcPr>
            <w:tcW w:w="667" w:type="pct"/>
          </w:tcPr>
          <w:p w:rsidR="00A5149D" w:rsidRPr="00AF6D5B" w:rsidRDefault="00A5149D" w:rsidP="00A5149D">
            <w:pPr>
              <w:pStyle w:val="TableBodyText"/>
            </w:pPr>
            <w:r w:rsidRPr="00AF6D5B">
              <w:t>1.2</w:t>
            </w:r>
          </w:p>
        </w:tc>
        <w:tc>
          <w:tcPr>
            <w:tcW w:w="565" w:type="pct"/>
            <w:shd w:val="clear" w:color="auto" w:fill="auto"/>
          </w:tcPr>
          <w:p w:rsidR="00A5149D" w:rsidRPr="00AF6D5B" w:rsidRDefault="00A5149D" w:rsidP="00A5149D">
            <w:pPr>
              <w:pStyle w:val="TableBodyText"/>
            </w:pPr>
            <w:r w:rsidRPr="00AF6D5B">
              <w:t>2.7</w:t>
            </w:r>
          </w:p>
        </w:tc>
      </w:tr>
      <w:tr w:rsidR="00A5149D" w:rsidRPr="009F7960" w:rsidTr="002026EA">
        <w:tc>
          <w:tcPr>
            <w:tcW w:w="1683" w:type="pct"/>
            <w:tcBorders>
              <w:bottom w:val="single" w:sz="4" w:space="0" w:color="auto"/>
            </w:tcBorders>
            <w:shd w:val="clear" w:color="auto" w:fill="auto"/>
          </w:tcPr>
          <w:p w:rsidR="00A5149D" w:rsidRPr="00A4328D" w:rsidRDefault="00A5149D" w:rsidP="003A5535">
            <w:pPr>
              <w:pStyle w:val="TableBodyText"/>
              <w:ind w:left="0" w:right="0"/>
              <w:jc w:val="left"/>
            </w:pPr>
            <w:r w:rsidRPr="00A40654">
              <w:t>Annuity over 15 years</w:t>
            </w:r>
            <w:r w:rsidRPr="00A4328D">
              <w:t xml:space="preserve"> per household</w:t>
            </w:r>
          </w:p>
        </w:tc>
        <w:tc>
          <w:tcPr>
            <w:tcW w:w="1361" w:type="pct"/>
            <w:tcBorders>
              <w:bottom w:val="single" w:sz="4" w:space="0" w:color="auto"/>
            </w:tcBorders>
          </w:tcPr>
          <w:p w:rsidR="00A5149D" w:rsidRPr="00A40654" w:rsidRDefault="00A5149D" w:rsidP="003A5535">
            <w:pPr>
              <w:pStyle w:val="TableBodyText"/>
              <w:ind w:right="59"/>
            </w:pPr>
            <w:r w:rsidRPr="00A40654">
              <w:t>$</w:t>
            </w:r>
          </w:p>
        </w:tc>
        <w:tc>
          <w:tcPr>
            <w:tcW w:w="724" w:type="pct"/>
            <w:tcBorders>
              <w:bottom w:val="single" w:sz="4" w:space="0" w:color="auto"/>
            </w:tcBorders>
            <w:shd w:val="clear" w:color="auto" w:fill="auto"/>
          </w:tcPr>
          <w:p w:rsidR="00A5149D" w:rsidRPr="00AF6D5B" w:rsidRDefault="00BD14BC" w:rsidP="00A5149D">
            <w:pPr>
              <w:pStyle w:val="TableBodyText"/>
            </w:pPr>
            <w:r>
              <w:t>-</w:t>
            </w:r>
            <w:r w:rsidR="00A5149D" w:rsidRPr="00AF6D5B">
              <w:t xml:space="preserve">49 </w:t>
            </w:r>
          </w:p>
        </w:tc>
        <w:tc>
          <w:tcPr>
            <w:tcW w:w="667" w:type="pct"/>
            <w:tcBorders>
              <w:bottom w:val="single" w:sz="4" w:space="0" w:color="auto"/>
            </w:tcBorders>
          </w:tcPr>
          <w:p w:rsidR="00A5149D" w:rsidRPr="00AF6D5B" w:rsidRDefault="00A5149D" w:rsidP="00A5149D">
            <w:pPr>
              <w:pStyle w:val="TableBodyText"/>
            </w:pPr>
            <w:r w:rsidRPr="00AF6D5B">
              <w:t xml:space="preserve">12 </w:t>
            </w:r>
          </w:p>
        </w:tc>
        <w:tc>
          <w:tcPr>
            <w:tcW w:w="565" w:type="pct"/>
            <w:tcBorders>
              <w:bottom w:val="single" w:sz="4" w:space="0" w:color="auto"/>
            </w:tcBorders>
            <w:shd w:val="clear" w:color="auto" w:fill="auto"/>
          </w:tcPr>
          <w:p w:rsidR="00A5149D" w:rsidRDefault="00A5149D" w:rsidP="00A5149D">
            <w:pPr>
              <w:pStyle w:val="TableBodyText"/>
            </w:pPr>
            <w:r w:rsidRPr="00AF6D5B">
              <w:t xml:space="preserve">81 </w:t>
            </w:r>
          </w:p>
        </w:tc>
      </w:tr>
      <w:tr w:rsidR="000D1FB7" w:rsidRPr="009F7960" w:rsidTr="002026EA">
        <w:tc>
          <w:tcPr>
            <w:tcW w:w="5000" w:type="pct"/>
            <w:gridSpan w:val="5"/>
            <w:tcBorders>
              <w:top w:val="single" w:sz="4" w:space="0" w:color="auto"/>
            </w:tcBorders>
            <w:shd w:val="clear" w:color="auto" w:fill="auto"/>
          </w:tcPr>
          <w:p w:rsidR="000D1FB7" w:rsidRPr="0076114F" w:rsidRDefault="000D1FB7" w:rsidP="00F27F5F">
            <w:pPr>
              <w:pStyle w:val="TableBodyText"/>
              <w:jc w:val="left"/>
            </w:pPr>
            <w:r w:rsidRPr="000D1FB7">
              <w:rPr>
                <w:b/>
              </w:rPr>
              <w:t xml:space="preserve">Scenario </w:t>
            </w:r>
            <w:r w:rsidR="00F27F5F">
              <w:rPr>
                <w:b/>
              </w:rPr>
              <w:t>3</w:t>
            </w:r>
            <w:r w:rsidRPr="000D1FB7">
              <w:rPr>
                <w:b/>
              </w:rPr>
              <w:t xml:space="preserve"> </w:t>
            </w:r>
            <w:proofErr w:type="spellStart"/>
            <w:r w:rsidRPr="000D1FB7">
              <w:rPr>
                <w:b/>
              </w:rPr>
              <w:t>NEM</w:t>
            </w:r>
            <w:proofErr w:type="spellEnd"/>
            <w:r w:rsidRPr="000D1FB7">
              <w:rPr>
                <w:b/>
              </w:rPr>
              <w:t>-wide r</w:t>
            </w:r>
            <w:r w:rsidR="00203C13">
              <w:rPr>
                <w:b/>
              </w:rPr>
              <w:t>ollout</w:t>
            </w:r>
            <w:r w:rsidRPr="000D1FB7">
              <w:rPr>
                <w:b/>
              </w:rPr>
              <w:t xml:space="preserve"> with </w:t>
            </w:r>
            <w:r>
              <w:rPr>
                <w:b/>
              </w:rPr>
              <w:t>untargeted time of use prices</w:t>
            </w:r>
          </w:p>
        </w:tc>
      </w:tr>
      <w:tr w:rsidR="000D1FB7" w:rsidRPr="009F7960" w:rsidTr="002026EA">
        <w:tc>
          <w:tcPr>
            <w:tcW w:w="1683" w:type="pct"/>
            <w:shd w:val="clear" w:color="auto" w:fill="auto"/>
          </w:tcPr>
          <w:p w:rsidR="000D1FB7" w:rsidRDefault="000D1FB7" w:rsidP="003A5535">
            <w:pPr>
              <w:pStyle w:val="TableBodyText"/>
              <w:ind w:left="0" w:right="0"/>
              <w:jc w:val="left"/>
            </w:pPr>
            <w:r>
              <w:t>Discounted costs</w:t>
            </w:r>
          </w:p>
        </w:tc>
        <w:tc>
          <w:tcPr>
            <w:tcW w:w="1361" w:type="pct"/>
          </w:tcPr>
          <w:p w:rsidR="000D1FB7" w:rsidRDefault="000D1FB7" w:rsidP="003A5535">
            <w:pPr>
              <w:pStyle w:val="TableBodyText"/>
              <w:ind w:right="59"/>
            </w:pPr>
            <w:r>
              <w:t>$ Million (</w:t>
            </w:r>
            <w:proofErr w:type="spellStart"/>
            <w:r w:rsidR="00104577">
              <w:t>NPV</w:t>
            </w:r>
            <w:proofErr w:type="spellEnd"/>
            <w:r>
              <w:t>)</w:t>
            </w:r>
          </w:p>
        </w:tc>
        <w:tc>
          <w:tcPr>
            <w:tcW w:w="724" w:type="pct"/>
            <w:shd w:val="clear" w:color="auto" w:fill="auto"/>
          </w:tcPr>
          <w:p w:rsidR="000D1FB7" w:rsidRPr="00D13655" w:rsidRDefault="007A6364" w:rsidP="000D1FB7">
            <w:pPr>
              <w:pStyle w:val="TableBodyText"/>
            </w:pPr>
            <w:r>
              <w:t>5 </w:t>
            </w:r>
            <w:r w:rsidR="000D1FB7" w:rsidRPr="00D13655">
              <w:t>993</w:t>
            </w:r>
          </w:p>
        </w:tc>
        <w:tc>
          <w:tcPr>
            <w:tcW w:w="667" w:type="pct"/>
          </w:tcPr>
          <w:p w:rsidR="000D1FB7" w:rsidRPr="00D13655" w:rsidRDefault="007A6364" w:rsidP="000D1FB7">
            <w:pPr>
              <w:pStyle w:val="TableBodyText"/>
            </w:pPr>
            <w:r>
              <w:t>4 </w:t>
            </w:r>
            <w:r w:rsidR="000D1FB7" w:rsidRPr="00D13655">
              <w:t>317</w:t>
            </w:r>
          </w:p>
        </w:tc>
        <w:tc>
          <w:tcPr>
            <w:tcW w:w="565" w:type="pct"/>
            <w:shd w:val="clear" w:color="auto" w:fill="auto"/>
          </w:tcPr>
          <w:p w:rsidR="000D1FB7" w:rsidRPr="00D13655" w:rsidRDefault="007A6364" w:rsidP="000D1FB7">
            <w:pPr>
              <w:pStyle w:val="TableBodyText"/>
            </w:pPr>
            <w:r>
              <w:t>2 </w:t>
            </w:r>
            <w:r w:rsidR="000D1FB7" w:rsidRPr="00D13655">
              <w:t>641</w:t>
            </w:r>
          </w:p>
        </w:tc>
      </w:tr>
      <w:tr w:rsidR="00BD14BC" w:rsidRPr="009F7960" w:rsidTr="002026EA">
        <w:tc>
          <w:tcPr>
            <w:tcW w:w="1683" w:type="pct"/>
            <w:shd w:val="clear" w:color="auto" w:fill="auto"/>
          </w:tcPr>
          <w:p w:rsidR="00BD14BC" w:rsidRDefault="00BD14BC" w:rsidP="003A5535">
            <w:pPr>
              <w:pStyle w:val="TableBodyText"/>
              <w:ind w:left="0" w:right="0"/>
              <w:jc w:val="left"/>
            </w:pPr>
            <w:r>
              <w:t>Discounted benefits</w:t>
            </w:r>
          </w:p>
        </w:tc>
        <w:tc>
          <w:tcPr>
            <w:tcW w:w="1361" w:type="pct"/>
          </w:tcPr>
          <w:p w:rsidR="00BD14BC" w:rsidRDefault="00BD14BC" w:rsidP="003A5535">
            <w:pPr>
              <w:pStyle w:val="TableBodyText"/>
              <w:ind w:right="59"/>
            </w:pPr>
            <w:r>
              <w:t>$ M</w:t>
            </w:r>
            <w:r w:rsidRPr="00A106FF">
              <w:t>illion</w:t>
            </w:r>
            <w:r>
              <w:t xml:space="preserve"> (</w:t>
            </w:r>
            <w:proofErr w:type="spellStart"/>
            <w:r>
              <w:t>NPV</w:t>
            </w:r>
            <w:proofErr w:type="spellEnd"/>
            <w:r>
              <w:t>)</w:t>
            </w:r>
          </w:p>
        </w:tc>
        <w:tc>
          <w:tcPr>
            <w:tcW w:w="724" w:type="pct"/>
            <w:shd w:val="clear" w:color="auto" w:fill="auto"/>
          </w:tcPr>
          <w:p w:rsidR="00BD14BC" w:rsidRPr="00E362D0" w:rsidRDefault="007A6364" w:rsidP="00BD14BC">
            <w:pPr>
              <w:pStyle w:val="TableBodyText"/>
            </w:pPr>
            <w:r>
              <w:t>2 </w:t>
            </w:r>
            <w:r w:rsidR="00BD14BC" w:rsidRPr="00E362D0">
              <w:t>026</w:t>
            </w:r>
          </w:p>
        </w:tc>
        <w:tc>
          <w:tcPr>
            <w:tcW w:w="667" w:type="pct"/>
          </w:tcPr>
          <w:p w:rsidR="00BD14BC" w:rsidRPr="00E362D0" w:rsidRDefault="007A6364" w:rsidP="00BD14BC">
            <w:pPr>
              <w:pStyle w:val="TableBodyText"/>
            </w:pPr>
            <w:r>
              <w:t>2 </w:t>
            </w:r>
            <w:r w:rsidR="00BD14BC" w:rsidRPr="00E362D0">
              <w:t>445</w:t>
            </w:r>
          </w:p>
        </w:tc>
        <w:tc>
          <w:tcPr>
            <w:tcW w:w="565" w:type="pct"/>
            <w:shd w:val="clear" w:color="auto" w:fill="auto"/>
          </w:tcPr>
          <w:p w:rsidR="00BD14BC" w:rsidRPr="00E362D0" w:rsidRDefault="00BD14BC" w:rsidP="00BD14BC">
            <w:pPr>
              <w:pStyle w:val="TableBodyText"/>
            </w:pPr>
            <w:r w:rsidRPr="00E362D0">
              <w:t>2</w:t>
            </w:r>
            <w:r w:rsidR="007A6364">
              <w:t> </w:t>
            </w:r>
            <w:r w:rsidRPr="00E362D0">
              <w:t>849</w:t>
            </w:r>
          </w:p>
        </w:tc>
      </w:tr>
      <w:tr w:rsidR="00BD14BC" w:rsidRPr="009F7960" w:rsidTr="002026EA">
        <w:tc>
          <w:tcPr>
            <w:tcW w:w="1683" w:type="pct"/>
            <w:shd w:val="clear" w:color="auto" w:fill="auto"/>
          </w:tcPr>
          <w:p w:rsidR="00BD14BC" w:rsidRDefault="00BD14BC" w:rsidP="003A5535">
            <w:pPr>
              <w:pStyle w:val="TableBodyText"/>
              <w:ind w:left="0" w:right="0"/>
              <w:jc w:val="left"/>
            </w:pPr>
            <w:r>
              <w:t>Net benefit</w:t>
            </w:r>
          </w:p>
        </w:tc>
        <w:tc>
          <w:tcPr>
            <w:tcW w:w="1361" w:type="pct"/>
          </w:tcPr>
          <w:p w:rsidR="00BD14BC" w:rsidRDefault="00BD14BC" w:rsidP="003A5535">
            <w:pPr>
              <w:pStyle w:val="TableBodyText"/>
              <w:ind w:right="59"/>
            </w:pPr>
            <w:r>
              <w:t>$ M</w:t>
            </w:r>
            <w:r w:rsidRPr="00A106FF">
              <w:t>illion</w:t>
            </w:r>
            <w:r>
              <w:t xml:space="preserve"> (</w:t>
            </w:r>
            <w:proofErr w:type="spellStart"/>
            <w:r>
              <w:t>NPV</w:t>
            </w:r>
            <w:proofErr w:type="spellEnd"/>
            <w:r>
              <w:t>)</w:t>
            </w:r>
          </w:p>
        </w:tc>
        <w:tc>
          <w:tcPr>
            <w:tcW w:w="724" w:type="pct"/>
            <w:shd w:val="clear" w:color="auto" w:fill="auto"/>
          </w:tcPr>
          <w:p w:rsidR="00BD14BC" w:rsidRPr="00E362D0" w:rsidRDefault="007A6364" w:rsidP="00BD14BC">
            <w:pPr>
              <w:pStyle w:val="TableBodyText"/>
            </w:pPr>
            <w:r>
              <w:t>-3 </w:t>
            </w:r>
            <w:r w:rsidR="00BD14BC" w:rsidRPr="00E362D0">
              <w:t>968</w:t>
            </w:r>
          </w:p>
        </w:tc>
        <w:tc>
          <w:tcPr>
            <w:tcW w:w="667" w:type="pct"/>
          </w:tcPr>
          <w:p w:rsidR="00BD14BC" w:rsidRPr="00E362D0" w:rsidRDefault="007A6364" w:rsidP="00BD14BC">
            <w:pPr>
              <w:pStyle w:val="TableBodyText"/>
            </w:pPr>
            <w:r>
              <w:t>-1 </w:t>
            </w:r>
            <w:r w:rsidR="00BD14BC" w:rsidRPr="00E362D0">
              <w:t>872</w:t>
            </w:r>
          </w:p>
        </w:tc>
        <w:tc>
          <w:tcPr>
            <w:tcW w:w="565" w:type="pct"/>
            <w:shd w:val="clear" w:color="auto" w:fill="auto"/>
          </w:tcPr>
          <w:p w:rsidR="00BD14BC" w:rsidRPr="00E362D0" w:rsidRDefault="00BD14BC" w:rsidP="00BD14BC">
            <w:pPr>
              <w:pStyle w:val="TableBodyText"/>
            </w:pPr>
            <w:r w:rsidRPr="00E362D0">
              <w:t>208</w:t>
            </w:r>
          </w:p>
        </w:tc>
      </w:tr>
      <w:tr w:rsidR="00BD14BC" w:rsidRPr="009F7960" w:rsidTr="002026EA">
        <w:tc>
          <w:tcPr>
            <w:tcW w:w="1683" w:type="pct"/>
            <w:shd w:val="clear" w:color="auto" w:fill="auto"/>
          </w:tcPr>
          <w:p w:rsidR="00BD14BC" w:rsidRPr="0075665D" w:rsidRDefault="00BD14BC" w:rsidP="003A5535">
            <w:pPr>
              <w:pStyle w:val="TableBodyText"/>
              <w:ind w:left="0" w:right="0"/>
              <w:jc w:val="left"/>
            </w:pPr>
            <w:r w:rsidRPr="0075665D">
              <w:t>Net benefit per household</w:t>
            </w:r>
          </w:p>
        </w:tc>
        <w:tc>
          <w:tcPr>
            <w:tcW w:w="1361" w:type="pct"/>
          </w:tcPr>
          <w:p w:rsidR="00BD14BC" w:rsidRPr="0075665D" w:rsidRDefault="00BD14BC" w:rsidP="003A5535">
            <w:pPr>
              <w:pStyle w:val="TableBodyText"/>
              <w:ind w:right="59"/>
            </w:pPr>
            <w:r w:rsidRPr="0075665D">
              <w:t>$ (</w:t>
            </w:r>
            <w:proofErr w:type="spellStart"/>
            <w:r>
              <w:t>NPV</w:t>
            </w:r>
            <w:proofErr w:type="spellEnd"/>
            <w:r w:rsidRPr="0075665D">
              <w:t>)</w:t>
            </w:r>
          </w:p>
        </w:tc>
        <w:tc>
          <w:tcPr>
            <w:tcW w:w="724" w:type="pct"/>
            <w:shd w:val="clear" w:color="auto" w:fill="auto"/>
          </w:tcPr>
          <w:p w:rsidR="00BD14BC" w:rsidRPr="00E362D0" w:rsidRDefault="00BD14BC" w:rsidP="00BD14BC">
            <w:pPr>
              <w:pStyle w:val="TableBodyText"/>
            </w:pPr>
            <w:r w:rsidRPr="00E362D0">
              <w:t>-640</w:t>
            </w:r>
          </w:p>
        </w:tc>
        <w:tc>
          <w:tcPr>
            <w:tcW w:w="667" w:type="pct"/>
          </w:tcPr>
          <w:p w:rsidR="00BD14BC" w:rsidRPr="00E362D0" w:rsidRDefault="00BD14BC" w:rsidP="00BD14BC">
            <w:pPr>
              <w:pStyle w:val="TableBodyText"/>
            </w:pPr>
            <w:r w:rsidRPr="00E362D0">
              <w:t>-302</w:t>
            </w:r>
          </w:p>
        </w:tc>
        <w:tc>
          <w:tcPr>
            <w:tcW w:w="565" w:type="pct"/>
            <w:shd w:val="clear" w:color="auto" w:fill="auto"/>
          </w:tcPr>
          <w:p w:rsidR="00BD14BC" w:rsidRPr="00E362D0" w:rsidRDefault="00BD14BC" w:rsidP="00BD14BC">
            <w:pPr>
              <w:pStyle w:val="TableBodyText"/>
            </w:pPr>
            <w:r w:rsidRPr="00E362D0">
              <w:t>34</w:t>
            </w:r>
          </w:p>
        </w:tc>
      </w:tr>
      <w:tr w:rsidR="00BD14BC" w:rsidRPr="009F7960" w:rsidTr="002026EA">
        <w:tc>
          <w:tcPr>
            <w:tcW w:w="1683" w:type="pct"/>
            <w:shd w:val="clear" w:color="auto" w:fill="auto"/>
          </w:tcPr>
          <w:p w:rsidR="00BD14BC" w:rsidRPr="00A4328D" w:rsidRDefault="00BD14BC" w:rsidP="003A5535">
            <w:pPr>
              <w:pStyle w:val="TableBodyText"/>
              <w:ind w:left="0" w:right="0"/>
              <w:jc w:val="left"/>
            </w:pPr>
            <w:r w:rsidRPr="00A4328D">
              <w:t>Benefit cost ratio</w:t>
            </w:r>
          </w:p>
        </w:tc>
        <w:tc>
          <w:tcPr>
            <w:tcW w:w="1361" w:type="pct"/>
          </w:tcPr>
          <w:p w:rsidR="00BD14BC" w:rsidRPr="0075665D" w:rsidRDefault="00BD14BC" w:rsidP="003A5535">
            <w:pPr>
              <w:pStyle w:val="TableBodyText"/>
              <w:ind w:right="59"/>
            </w:pPr>
            <w:r w:rsidRPr="0075665D">
              <w:t>ratio</w:t>
            </w:r>
          </w:p>
        </w:tc>
        <w:tc>
          <w:tcPr>
            <w:tcW w:w="724" w:type="pct"/>
            <w:shd w:val="clear" w:color="auto" w:fill="auto"/>
          </w:tcPr>
          <w:p w:rsidR="00BD14BC" w:rsidRPr="00E362D0" w:rsidRDefault="00BD14BC" w:rsidP="00BD14BC">
            <w:pPr>
              <w:pStyle w:val="TableBodyText"/>
            </w:pPr>
            <w:r w:rsidRPr="00E362D0">
              <w:t>0.3</w:t>
            </w:r>
          </w:p>
        </w:tc>
        <w:tc>
          <w:tcPr>
            <w:tcW w:w="667" w:type="pct"/>
          </w:tcPr>
          <w:p w:rsidR="00BD14BC" w:rsidRPr="00E362D0" w:rsidRDefault="00BD14BC" w:rsidP="00BD14BC">
            <w:pPr>
              <w:pStyle w:val="TableBodyText"/>
            </w:pPr>
            <w:r w:rsidRPr="00E362D0">
              <w:t>0.6</w:t>
            </w:r>
          </w:p>
        </w:tc>
        <w:tc>
          <w:tcPr>
            <w:tcW w:w="565" w:type="pct"/>
            <w:shd w:val="clear" w:color="auto" w:fill="auto"/>
          </w:tcPr>
          <w:p w:rsidR="00BD14BC" w:rsidRPr="00E362D0" w:rsidRDefault="00BD14BC" w:rsidP="00BD14BC">
            <w:pPr>
              <w:pStyle w:val="TableBodyText"/>
            </w:pPr>
            <w:r w:rsidRPr="00E362D0">
              <w:t>1.1</w:t>
            </w:r>
          </w:p>
        </w:tc>
      </w:tr>
      <w:tr w:rsidR="00BD14BC" w:rsidRPr="009F7960" w:rsidTr="002026EA">
        <w:tc>
          <w:tcPr>
            <w:tcW w:w="1683" w:type="pct"/>
            <w:tcBorders>
              <w:bottom w:val="single" w:sz="4" w:space="0" w:color="auto"/>
            </w:tcBorders>
            <w:shd w:val="clear" w:color="auto" w:fill="auto"/>
          </w:tcPr>
          <w:p w:rsidR="00BD14BC" w:rsidRPr="00A4328D" w:rsidRDefault="00BD14BC" w:rsidP="00B25FEE">
            <w:pPr>
              <w:pStyle w:val="TableBodyText"/>
              <w:ind w:left="0" w:right="0"/>
              <w:jc w:val="left"/>
            </w:pPr>
            <w:r w:rsidRPr="00A40654">
              <w:t xml:space="preserve">Annuity </w:t>
            </w:r>
            <w:r w:rsidRPr="00A4328D">
              <w:t>per household</w:t>
            </w:r>
          </w:p>
        </w:tc>
        <w:tc>
          <w:tcPr>
            <w:tcW w:w="1361" w:type="pct"/>
            <w:tcBorders>
              <w:bottom w:val="single" w:sz="4" w:space="0" w:color="auto"/>
            </w:tcBorders>
          </w:tcPr>
          <w:p w:rsidR="00BD14BC" w:rsidRPr="00A40654" w:rsidRDefault="00BD14BC" w:rsidP="003A5535">
            <w:pPr>
              <w:pStyle w:val="TableBodyText"/>
              <w:ind w:right="59"/>
            </w:pPr>
            <w:r w:rsidRPr="00A40654">
              <w:t>$</w:t>
            </w:r>
          </w:p>
        </w:tc>
        <w:tc>
          <w:tcPr>
            <w:tcW w:w="724" w:type="pct"/>
            <w:tcBorders>
              <w:bottom w:val="single" w:sz="4" w:space="0" w:color="auto"/>
            </w:tcBorders>
            <w:shd w:val="clear" w:color="auto" w:fill="auto"/>
          </w:tcPr>
          <w:p w:rsidR="00BD14BC" w:rsidRPr="00E362D0" w:rsidRDefault="00BD14BC" w:rsidP="00BD14BC">
            <w:pPr>
              <w:pStyle w:val="TableBodyText"/>
            </w:pPr>
            <w:r>
              <w:t>-</w:t>
            </w:r>
            <w:r w:rsidRPr="00E362D0">
              <w:t xml:space="preserve">72 </w:t>
            </w:r>
          </w:p>
        </w:tc>
        <w:tc>
          <w:tcPr>
            <w:tcW w:w="667" w:type="pct"/>
            <w:tcBorders>
              <w:bottom w:val="single" w:sz="4" w:space="0" w:color="auto"/>
            </w:tcBorders>
          </w:tcPr>
          <w:p w:rsidR="00BD14BC" w:rsidRPr="00E362D0" w:rsidRDefault="00BD14BC" w:rsidP="00BD14BC">
            <w:pPr>
              <w:pStyle w:val="TableBodyText"/>
            </w:pPr>
            <w:r>
              <w:t>-</w:t>
            </w:r>
            <w:r w:rsidRPr="00E362D0">
              <w:t xml:space="preserve">34 </w:t>
            </w:r>
          </w:p>
        </w:tc>
        <w:tc>
          <w:tcPr>
            <w:tcW w:w="565" w:type="pct"/>
            <w:tcBorders>
              <w:bottom w:val="single" w:sz="4" w:space="0" w:color="auto"/>
            </w:tcBorders>
            <w:shd w:val="clear" w:color="auto" w:fill="auto"/>
          </w:tcPr>
          <w:p w:rsidR="00BD14BC" w:rsidRDefault="00BD14BC" w:rsidP="00BD14BC">
            <w:pPr>
              <w:pStyle w:val="TableBodyText"/>
            </w:pPr>
            <w:r w:rsidRPr="00E362D0">
              <w:t xml:space="preserve">4 </w:t>
            </w:r>
          </w:p>
        </w:tc>
      </w:tr>
    </w:tbl>
    <w:p w:rsidR="00A61B09" w:rsidRPr="007701B9" w:rsidRDefault="004D1716" w:rsidP="007701B9">
      <w:pPr>
        <w:pStyle w:val="Note"/>
      </w:pPr>
      <w:proofErr w:type="spellStart"/>
      <w:r w:rsidRPr="00BC2DC5">
        <w:rPr>
          <w:rStyle w:val="NoteLabel"/>
        </w:rPr>
        <w:t>a</w:t>
      </w:r>
      <w:proofErr w:type="spellEnd"/>
      <w:r>
        <w:t xml:space="preserve"> </w:t>
      </w:r>
      <w:r w:rsidR="000E4C07">
        <w:t xml:space="preserve">It is assumed that the demand saving benefits of a </w:t>
      </w:r>
      <w:proofErr w:type="spellStart"/>
      <w:r w:rsidR="000E4C07">
        <w:t>NEM</w:t>
      </w:r>
      <w:proofErr w:type="spellEnd"/>
      <w:r w:rsidR="000E4C07">
        <w:t>-wide r</w:t>
      </w:r>
      <w:r w:rsidR="00203C13">
        <w:t>ollout</w:t>
      </w:r>
      <w:r w:rsidR="000E4C07">
        <w:t xml:space="preserve"> are realised over a protracted period, with the impacts modelled using a generalised logistic function. The delayed impacts reflect several factors, such as the fact that network businesses would set low cost-reflective prices in any unconstrained regions, it would be hard to convince people of the need for </w:t>
      </w:r>
      <w:r w:rsidR="00C82115">
        <w:t xml:space="preserve">high </w:t>
      </w:r>
      <w:r w:rsidR="000E4C07">
        <w:t xml:space="preserve">cost-reflective prices where there are no </w:t>
      </w:r>
      <w:r w:rsidR="00C82115">
        <w:t xml:space="preserve">looming </w:t>
      </w:r>
      <w:r w:rsidR="000E4C07">
        <w:t xml:space="preserve">constraints, and the greater uncertainty of demand-side effects across regions given disparate pricing regimes. </w:t>
      </w:r>
      <w:r w:rsidR="000D1FB7">
        <w:t>For scenario </w:t>
      </w:r>
      <w:r w:rsidR="007B6B6F">
        <w:t>2</w:t>
      </w:r>
      <w:r w:rsidR="000D1FB7">
        <w:t>, t</w:t>
      </w:r>
      <w:r w:rsidRPr="007701B9">
        <w:t>he 25th and 75th percentile values of the net benefit per household is -$</w:t>
      </w:r>
      <w:r w:rsidR="007701B9">
        <w:t>1</w:t>
      </w:r>
      <w:r w:rsidR="00971271">
        <w:t>0</w:t>
      </w:r>
      <w:r w:rsidR="000D1FB7">
        <w:t>0</w:t>
      </w:r>
      <w:r w:rsidRPr="007701B9">
        <w:t xml:space="preserve"> and </w:t>
      </w:r>
      <w:r w:rsidR="00055922" w:rsidRPr="007701B9">
        <w:t>$</w:t>
      </w:r>
      <w:r w:rsidR="00971271">
        <w:t>3</w:t>
      </w:r>
      <w:r w:rsidR="00DA1400">
        <w:t>15</w:t>
      </w:r>
      <w:r w:rsidRPr="007701B9">
        <w:t xml:space="preserve"> respectively, which translates into a rounded range of an annuity </w:t>
      </w:r>
      <w:r w:rsidR="007701B9">
        <w:t xml:space="preserve">over the 15 year life of the meters </w:t>
      </w:r>
      <w:r w:rsidRPr="007701B9">
        <w:t xml:space="preserve">of between </w:t>
      </w:r>
      <w:r w:rsidR="007701B9">
        <w:t>-</w:t>
      </w:r>
      <w:r w:rsidRPr="007701B9">
        <w:t>$</w:t>
      </w:r>
      <w:r w:rsidR="00971271">
        <w:t>1</w:t>
      </w:r>
      <w:r w:rsidR="000D1FB7">
        <w:t>0</w:t>
      </w:r>
      <w:r w:rsidRPr="007701B9">
        <w:t xml:space="preserve"> and $</w:t>
      </w:r>
      <w:r w:rsidR="007701B9">
        <w:t>3</w:t>
      </w:r>
      <w:r w:rsidR="00971271">
        <w:t>5</w:t>
      </w:r>
      <w:r w:rsidRPr="007701B9">
        <w:t xml:space="preserve">. </w:t>
      </w:r>
      <w:r w:rsidR="000D1FB7">
        <w:t>For scenario </w:t>
      </w:r>
      <w:r w:rsidR="007B6B6F">
        <w:t>3</w:t>
      </w:r>
      <w:r w:rsidR="000D1FB7">
        <w:t>, t</w:t>
      </w:r>
      <w:r w:rsidR="000D1FB7" w:rsidRPr="007701B9">
        <w:t>he 25th and 75th percentile values of the net benefit per household is -$</w:t>
      </w:r>
      <w:r w:rsidR="000D1FB7">
        <w:t>4</w:t>
      </w:r>
      <w:r w:rsidR="00971271">
        <w:t>2</w:t>
      </w:r>
      <w:r w:rsidR="000D1FB7">
        <w:t>0</w:t>
      </w:r>
      <w:r w:rsidR="000D1FB7" w:rsidRPr="007701B9">
        <w:t xml:space="preserve"> and </w:t>
      </w:r>
      <w:r w:rsidR="00A324E2">
        <w:t>-</w:t>
      </w:r>
      <w:r w:rsidR="000D1FB7" w:rsidRPr="007701B9">
        <w:t>$</w:t>
      </w:r>
      <w:r w:rsidR="00A90B0B">
        <w:t>1</w:t>
      </w:r>
      <w:r w:rsidR="00971271">
        <w:t>85</w:t>
      </w:r>
      <w:r w:rsidR="000D1FB7" w:rsidRPr="007701B9">
        <w:t xml:space="preserve"> respectively, which translates into a rounded range of an annuity </w:t>
      </w:r>
      <w:r w:rsidR="000D1FB7">
        <w:t xml:space="preserve">over the 15 year life of the meters </w:t>
      </w:r>
      <w:r w:rsidR="000D1FB7" w:rsidRPr="007701B9">
        <w:t xml:space="preserve">of between </w:t>
      </w:r>
      <w:r w:rsidR="000D1FB7">
        <w:t>-</w:t>
      </w:r>
      <w:r w:rsidR="000D1FB7" w:rsidRPr="007701B9">
        <w:t>$</w:t>
      </w:r>
      <w:r w:rsidR="00971271">
        <w:t>45</w:t>
      </w:r>
      <w:r w:rsidR="000D1FB7" w:rsidRPr="007701B9">
        <w:t xml:space="preserve"> and </w:t>
      </w:r>
      <w:r w:rsidR="00A324E2">
        <w:t>-</w:t>
      </w:r>
      <w:r w:rsidR="000D1FB7" w:rsidRPr="007701B9">
        <w:t>$</w:t>
      </w:r>
      <w:r w:rsidR="000D1FB7">
        <w:t>20</w:t>
      </w:r>
      <w:r w:rsidR="000D1FB7" w:rsidRPr="007701B9">
        <w:t>.</w:t>
      </w:r>
    </w:p>
    <w:p w:rsidR="00C5092D" w:rsidRDefault="00C5092D" w:rsidP="0056737B">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r w:rsidR="007F1CF0">
        <w:rPr>
          <w:b w:val="0"/>
        </w:rPr>
        <w:t>1.</w:t>
      </w:r>
      <w:r>
        <w:rPr>
          <w:b w:val="0"/>
        </w:rPr>
        <w:fldChar w:fldCharType="end"/>
      </w:r>
      <w:r>
        <w:rPr>
          <w:b w:val="0"/>
        </w:rPr>
        <w:fldChar w:fldCharType="begin"/>
      </w:r>
      <w:r>
        <w:rPr>
          <w:b w:val="0"/>
        </w:rPr>
        <w:instrText xml:space="preserve"> SEQ Table \* ARABIC </w:instrText>
      </w:r>
      <w:r>
        <w:rPr>
          <w:b w:val="0"/>
        </w:rPr>
        <w:fldChar w:fldCharType="separate"/>
      </w:r>
      <w:r w:rsidR="00A71173">
        <w:rPr>
          <w:b w:val="0"/>
          <w:noProof/>
        </w:rPr>
        <w:t>6</w:t>
      </w:r>
      <w:r>
        <w:rPr>
          <w:b w:val="0"/>
        </w:rPr>
        <w:fldChar w:fldCharType="end"/>
      </w:r>
      <w:r>
        <w:tab/>
      </w:r>
      <w:r w:rsidR="0039259E">
        <w:t>Summary of outcomes</w:t>
      </w:r>
    </w:p>
    <w:tbl>
      <w:tblPr>
        <w:tblW w:w="5000" w:type="pct"/>
        <w:tblCellMar>
          <w:left w:w="0" w:type="dxa"/>
          <w:right w:w="0" w:type="dxa"/>
        </w:tblCellMar>
        <w:tblLook w:val="0000" w:firstRow="0" w:lastRow="0" w:firstColumn="0" w:lastColumn="0" w:noHBand="0" w:noVBand="0"/>
      </w:tblPr>
      <w:tblGrid>
        <w:gridCol w:w="1301"/>
        <w:gridCol w:w="1872"/>
        <w:gridCol w:w="1872"/>
        <w:gridCol w:w="1872"/>
        <w:gridCol w:w="1872"/>
      </w:tblGrid>
      <w:tr w:rsidR="007B6B6F" w:rsidTr="007B6B6F">
        <w:tc>
          <w:tcPr>
            <w:tcW w:w="740" w:type="pct"/>
            <w:tcBorders>
              <w:top w:val="single" w:sz="6" w:space="0" w:color="auto"/>
              <w:bottom w:val="single" w:sz="6" w:space="0" w:color="auto"/>
            </w:tcBorders>
            <w:shd w:val="clear" w:color="auto" w:fill="auto"/>
          </w:tcPr>
          <w:p w:rsidR="007B6B6F" w:rsidRDefault="007B6B6F" w:rsidP="00C5092D">
            <w:pPr>
              <w:pStyle w:val="TableColumnHeading"/>
              <w:jc w:val="left"/>
            </w:pPr>
          </w:p>
        </w:tc>
        <w:tc>
          <w:tcPr>
            <w:tcW w:w="1065" w:type="pct"/>
            <w:tcBorders>
              <w:top w:val="single" w:sz="6" w:space="0" w:color="auto"/>
              <w:bottom w:val="single" w:sz="6" w:space="0" w:color="auto"/>
            </w:tcBorders>
          </w:tcPr>
          <w:p w:rsidR="007B6B6F" w:rsidRDefault="007B6B6F" w:rsidP="00C5092D">
            <w:pPr>
              <w:pStyle w:val="TableColumnHeading"/>
            </w:pPr>
            <w:r>
              <w:t>Regional rollout in peaky and constrained areas</w:t>
            </w:r>
          </w:p>
        </w:tc>
        <w:tc>
          <w:tcPr>
            <w:tcW w:w="1065" w:type="pct"/>
            <w:tcBorders>
              <w:top w:val="single" w:sz="6" w:space="0" w:color="auto"/>
              <w:bottom w:val="single" w:sz="6" w:space="0" w:color="auto"/>
            </w:tcBorders>
          </w:tcPr>
          <w:p w:rsidR="007B6B6F" w:rsidRDefault="007B6B6F" w:rsidP="00C5092D">
            <w:pPr>
              <w:pStyle w:val="TableColumnHeading"/>
            </w:pPr>
            <w:proofErr w:type="spellStart"/>
            <w:r>
              <w:t>NEM</w:t>
            </w:r>
            <w:proofErr w:type="spellEnd"/>
            <w:r>
              <w:t>-wide rollout with critical peak pricing</w:t>
            </w:r>
          </w:p>
        </w:tc>
        <w:tc>
          <w:tcPr>
            <w:tcW w:w="1065" w:type="pct"/>
            <w:tcBorders>
              <w:top w:val="single" w:sz="6" w:space="0" w:color="auto"/>
              <w:bottom w:val="single" w:sz="6" w:space="0" w:color="auto"/>
            </w:tcBorders>
            <w:shd w:val="clear" w:color="auto" w:fill="auto"/>
          </w:tcPr>
          <w:p w:rsidR="007B6B6F" w:rsidRDefault="007B6B6F" w:rsidP="00C5092D">
            <w:pPr>
              <w:pStyle w:val="TableColumnHeading"/>
            </w:pPr>
            <w:proofErr w:type="spellStart"/>
            <w:r>
              <w:t>NEM</w:t>
            </w:r>
            <w:proofErr w:type="spellEnd"/>
            <w:r>
              <w:t>-wide rollout with weakly targeted time of use pricing</w:t>
            </w:r>
          </w:p>
        </w:tc>
        <w:tc>
          <w:tcPr>
            <w:tcW w:w="1065" w:type="pct"/>
            <w:tcBorders>
              <w:top w:val="single" w:sz="6" w:space="0" w:color="auto"/>
              <w:bottom w:val="single" w:sz="6" w:space="0" w:color="auto"/>
            </w:tcBorders>
            <w:shd w:val="clear" w:color="auto" w:fill="auto"/>
          </w:tcPr>
          <w:p w:rsidR="007B6B6F" w:rsidRDefault="007B6B6F" w:rsidP="00C5092D">
            <w:pPr>
              <w:pStyle w:val="TableColumnHeading"/>
            </w:pPr>
            <w:r>
              <w:t>Direct load control without smart meters</w:t>
            </w:r>
          </w:p>
        </w:tc>
      </w:tr>
      <w:tr w:rsidR="007B6B6F" w:rsidTr="007B6B6F">
        <w:tc>
          <w:tcPr>
            <w:tcW w:w="740" w:type="pct"/>
          </w:tcPr>
          <w:p w:rsidR="007B6B6F" w:rsidRDefault="007B6B6F" w:rsidP="00E34D85">
            <w:pPr>
              <w:pStyle w:val="TableBodyText"/>
              <w:jc w:val="left"/>
            </w:pPr>
            <w:r>
              <w:t>Scenario</w:t>
            </w:r>
          </w:p>
        </w:tc>
        <w:tc>
          <w:tcPr>
            <w:tcW w:w="1065" w:type="pct"/>
          </w:tcPr>
          <w:p w:rsidR="007B6B6F" w:rsidRPr="000436C4" w:rsidRDefault="007B6B6F" w:rsidP="007B6B6F">
            <w:pPr>
              <w:pStyle w:val="TableBodyText"/>
            </w:pPr>
            <w:r>
              <w:t>(1)</w:t>
            </w:r>
          </w:p>
        </w:tc>
        <w:tc>
          <w:tcPr>
            <w:tcW w:w="1065" w:type="pct"/>
          </w:tcPr>
          <w:p w:rsidR="007B6B6F" w:rsidRPr="000436C4" w:rsidRDefault="007B6B6F" w:rsidP="007B6B6F">
            <w:pPr>
              <w:pStyle w:val="TableBodyText"/>
            </w:pPr>
            <w:r>
              <w:t>(2)</w:t>
            </w:r>
          </w:p>
        </w:tc>
        <w:tc>
          <w:tcPr>
            <w:tcW w:w="1065" w:type="pct"/>
          </w:tcPr>
          <w:p w:rsidR="007B6B6F" w:rsidRPr="000436C4" w:rsidRDefault="007B6B6F" w:rsidP="007B6B6F">
            <w:pPr>
              <w:pStyle w:val="TableBodyText"/>
            </w:pPr>
            <w:r>
              <w:t>(3)</w:t>
            </w:r>
          </w:p>
        </w:tc>
        <w:tc>
          <w:tcPr>
            <w:tcW w:w="1065" w:type="pct"/>
          </w:tcPr>
          <w:p w:rsidR="007B6B6F" w:rsidRPr="000436C4" w:rsidRDefault="007B6B6F" w:rsidP="007B6B6F">
            <w:pPr>
              <w:pStyle w:val="TableBodyText"/>
            </w:pPr>
            <w:r>
              <w:t>(4)</w:t>
            </w:r>
          </w:p>
        </w:tc>
      </w:tr>
      <w:tr w:rsidR="007B6B6F" w:rsidTr="007B6B6F">
        <w:tc>
          <w:tcPr>
            <w:tcW w:w="740" w:type="pct"/>
          </w:tcPr>
          <w:p w:rsidR="007B6B6F" w:rsidRDefault="007B6B6F" w:rsidP="00C5092D">
            <w:pPr>
              <w:pStyle w:val="TableBodyText"/>
              <w:jc w:val="left"/>
            </w:pPr>
            <w:r>
              <w:t>Low</w:t>
            </w:r>
          </w:p>
        </w:tc>
        <w:tc>
          <w:tcPr>
            <w:tcW w:w="1065" w:type="pct"/>
          </w:tcPr>
          <w:p w:rsidR="007B6B6F" w:rsidRPr="000436C4" w:rsidRDefault="007B6B6F" w:rsidP="00AE746B">
            <w:pPr>
              <w:pStyle w:val="TableBodyText"/>
            </w:pPr>
            <w:r w:rsidRPr="000436C4">
              <w:t>1.1</w:t>
            </w:r>
          </w:p>
        </w:tc>
        <w:tc>
          <w:tcPr>
            <w:tcW w:w="1065" w:type="pct"/>
          </w:tcPr>
          <w:p w:rsidR="007B6B6F" w:rsidRPr="000436C4" w:rsidRDefault="007B6B6F" w:rsidP="00AE746B">
            <w:pPr>
              <w:pStyle w:val="TableBodyText"/>
            </w:pPr>
            <w:r w:rsidRPr="000436C4">
              <w:t>0.6</w:t>
            </w:r>
          </w:p>
        </w:tc>
        <w:tc>
          <w:tcPr>
            <w:tcW w:w="1065" w:type="pct"/>
          </w:tcPr>
          <w:p w:rsidR="007B6B6F" w:rsidRPr="000436C4" w:rsidRDefault="007B6B6F" w:rsidP="00AE746B">
            <w:pPr>
              <w:pStyle w:val="TableBodyText"/>
            </w:pPr>
            <w:r w:rsidRPr="000436C4">
              <w:t>0.3</w:t>
            </w:r>
          </w:p>
        </w:tc>
        <w:tc>
          <w:tcPr>
            <w:tcW w:w="1065" w:type="pct"/>
          </w:tcPr>
          <w:p w:rsidR="007B6B6F" w:rsidRPr="000436C4" w:rsidRDefault="007B6B6F" w:rsidP="00AE746B">
            <w:pPr>
              <w:pStyle w:val="TableBodyText"/>
            </w:pPr>
            <w:r>
              <w:t>1.2</w:t>
            </w:r>
          </w:p>
        </w:tc>
      </w:tr>
      <w:tr w:rsidR="007B6B6F" w:rsidTr="007B6B6F">
        <w:tc>
          <w:tcPr>
            <w:tcW w:w="740" w:type="pct"/>
          </w:tcPr>
          <w:p w:rsidR="007B6B6F" w:rsidRDefault="007B6B6F" w:rsidP="00C5092D">
            <w:pPr>
              <w:pStyle w:val="TableBodyText"/>
              <w:jc w:val="left"/>
            </w:pPr>
            <w:r>
              <w:t>Medium</w:t>
            </w:r>
          </w:p>
        </w:tc>
        <w:tc>
          <w:tcPr>
            <w:tcW w:w="1065" w:type="pct"/>
          </w:tcPr>
          <w:p w:rsidR="007B6B6F" w:rsidRPr="000436C4" w:rsidRDefault="007B6B6F" w:rsidP="00AE746B">
            <w:pPr>
              <w:pStyle w:val="TableBodyText"/>
            </w:pPr>
            <w:r w:rsidRPr="000436C4">
              <w:t>2.7</w:t>
            </w:r>
          </w:p>
        </w:tc>
        <w:tc>
          <w:tcPr>
            <w:tcW w:w="1065" w:type="pct"/>
          </w:tcPr>
          <w:p w:rsidR="007B6B6F" w:rsidRPr="000436C4" w:rsidRDefault="007B6B6F" w:rsidP="00AE746B">
            <w:pPr>
              <w:pStyle w:val="TableBodyText"/>
            </w:pPr>
            <w:r w:rsidRPr="000436C4">
              <w:t>1.2</w:t>
            </w:r>
          </w:p>
        </w:tc>
        <w:tc>
          <w:tcPr>
            <w:tcW w:w="1065" w:type="pct"/>
          </w:tcPr>
          <w:p w:rsidR="007B6B6F" w:rsidRPr="000436C4" w:rsidRDefault="007B6B6F" w:rsidP="00AE746B">
            <w:pPr>
              <w:pStyle w:val="TableBodyText"/>
            </w:pPr>
            <w:r w:rsidRPr="000436C4">
              <w:t>0.6</w:t>
            </w:r>
          </w:p>
        </w:tc>
        <w:tc>
          <w:tcPr>
            <w:tcW w:w="1065" w:type="pct"/>
          </w:tcPr>
          <w:p w:rsidR="007B6B6F" w:rsidRPr="000436C4" w:rsidRDefault="007B6B6F" w:rsidP="00AE746B">
            <w:pPr>
              <w:pStyle w:val="TableBodyText"/>
            </w:pPr>
            <w:r>
              <w:t>2.7</w:t>
            </w:r>
          </w:p>
        </w:tc>
      </w:tr>
      <w:tr w:rsidR="007B6B6F" w:rsidTr="007B6B6F">
        <w:tc>
          <w:tcPr>
            <w:tcW w:w="740" w:type="pct"/>
            <w:tcBorders>
              <w:bottom w:val="single" w:sz="4" w:space="0" w:color="auto"/>
            </w:tcBorders>
          </w:tcPr>
          <w:p w:rsidR="007B6B6F" w:rsidRDefault="007B6B6F" w:rsidP="008A30F1">
            <w:pPr>
              <w:pStyle w:val="TableBodyText"/>
              <w:jc w:val="left"/>
            </w:pPr>
            <w:r>
              <w:t>High</w:t>
            </w:r>
          </w:p>
        </w:tc>
        <w:tc>
          <w:tcPr>
            <w:tcW w:w="1065" w:type="pct"/>
            <w:tcBorders>
              <w:bottom w:val="single" w:sz="4" w:space="0" w:color="auto"/>
            </w:tcBorders>
          </w:tcPr>
          <w:p w:rsidR="007B6B6F" w:rsidRPr="000436C4" w:rsidRDefault="007B6B6F" w:rsidP="008A30F1">
            <w:pPr>
              <w:pStyle w:val="TableBodyText"/>
            </w:pPr>
            <w:r w:rsidRPr="000436C4">
              <w:t>6.9</w:t>
            </w:r>
          </w:p>
        </w:tc>
        <w:tc>
          <w:tcPr>
            <w:tcW w:w="1065" w:type="pct"/>
            <w:tcBorders>
              <w:bottom w:val="single" w:sz="4" w:space="0" w:color="auto"/>
            </w:tcBorders>
          </w:tcPr>
          <w:p w:rsidR="007B6B6F" w:rsidRPr="000436C4" w:rsidRDefault="007B6B6F" w:rsidP="008A30F1">
            <w:pPr>
              <w:pStyle w:val="TableBodyText"/>
            </w:pPr>
            <w:r w:rsidRPr="000436C4">
              <w:t>2.7</w:t>
            </w:r>
          </w:p>
        </w:tc>
        <w:tc>
          <w:tcPr>
            <w:tcW w:w="1065" w:type="pct"/>
            <w:tcBorders>
              <w:bottom w:val="single" w:sz="4" w:space="0" w:color="auto"/>
            </w:tcBorders>
          </w:tcPr>
          <w:p w:rsidR="007B6B6F" w:rsidRPr="000436C4" w:rsidRDefault="007B6B6F" w:rsidP="008A30F1">
            <w:pPr>
              <w:pStyle w:val="TableBodyText"/>
            </w:pPr>
            <w:r w:rsidRPr="000436C4">
              <w:t>1.1</w:t>
            </w:r>
          </w:p>
        </w:tc>
        <w:tc>
          <w:tcPr>
            <w:tcW w:w="1065" w:type="pct"/>
            <w:tcBorders>
              <w:bottom w:val="single" w:sz="4" w:space="0" w:color="auto"/>
            </w:tcBorders>
          </w:tcPr>
          <w:p w:rsidR="007B6B6F" w:rsidRDefault="007B6B6F" w:rsidP="008A30F1">
            <w:pPr>
              <w:pStyle w:val="TableBodyText"/>
            </w:pPr>
            <w:r w:rsidRPr="000436C4">
              <w:t>6.</w:t>
            </w:r>
            <w:r>
              <w:t>3</w:t>
            </w:r>
          </w:p>
        </w:tc>
      </w:tr>
      <w:tr w:rsidR="007B6B6F" w:rsidTr="007B6B6F">
        <w:tc>
          <w:tcPr>
            <w:tcW w:w="5000" w:type="pct"/>
            <w:gridSpan w:val="5"/>
            <w:tcBorders>
              <w:bottom w:val="single" w:sz="4" w:space="0" w:color="auto"/>
            </w:tcBorders>
          </w:tcPr>
          <w:p w:rsidR="007B6B6F" w:rsidRPr="000436C4" w:rsidRDefault="007B6B6F" w:rsidP="007B6B6F">
            <w:pPr>
              <w:pStyle w:val="TableBodyText"/>
              <w:jc w:val="left"/>
            </w:pPr>
            <w:r w:rsidRPr="0056737B">
              <w:rPr>
                <w:b/>
              </w:rPr>
              <w:t>25</w:t>
            </w:r>
            <w:r w:rsidRPr="0056737B">
              <w:rPr>
                <w:b/>
                <w:vertAlign w:val="superscript"/>
              </w:rPr>
              <w:t>th</w:t>
            </w:r>
            <w:r w:rsidRPr="0056737B">
              <w:rPr>
                <w:b/>
              </w:rPr>
              <w:t xml:space="preserve"> and 75</w:t>
            </w:r>
            <w:r w:rsidRPr="0056737B">
              <w:rPr>
                <w:b/>
                <w:vertAlign w:val="superscript"/>
              </w:rPr>
              <w:t>th</w:t>
            </w:r>
            <w:r w:rsidRPr="0056737B">
              <w:rPr>
                <w:b/>
              </w:rPr>
              <w:t xml:space="preserve"> percentile</w:t>
            </w:r>
            <w:r>
              <w:rPr>
                <w:b/>
              </w:rPr>
              <w:t xml:space="preserve"> of</w:t>
            </w:r>
            <w:r w:rsidRPr="0056737B">
              <w:rPr>
                <w:b/>
              </w:rPr>
              <w:t xml:space="preserve"> annuity value per household</w:t>
            </w:r>
            <w:r w:rsidR="00636F45">
              <w:rPr>
                <w:b/>
              </w:rPr>
              <w:t xml:space="preserve"> over 15 years</w:t>
            </w:r>
          </w:p>
        </w:tc>
      </w:tr>
      <w:tr w:rsidR="007B6B6F" w:rsidTr="007B6B6F">
        <w:tc>
          <w:tcPr>
            <w:tcW w:w="740" w:type="pct"/>
          </w:tcPr>
          <w:p w:rsidR="007B6B6F" w:rsidRDefault="007B6B6F" w:rsidP="0056737B">
            <w:pPr>
              <w:pStyle w:val="TableBodyText"/>
              <w:jc w:val="left"/>
            </w:pPr>
            <w:r>
              <w:t>25</w:t>
            </w:r>
            <w:r w:rsidRPr="00C5092D">
              <w:rPr>
                <w:vertAlign w:val="superscript"/>
              </w:rPr>
              <w:t>th</w:t>
            </w:r>
            <w:r>
              <w:t xml:space="preserve"> P ($)</w:t>
            </w:r>
          </w:p>
        </w:tc>
        <w:tc>
          <w:tcPr>
            <w:tcW w:w="1065" w:type="pct"/>
          </w:tcPr>
          <w:p w:rsidR="007B6B6F" w:rsidRPr="0089496D" w:rsidRDefault="007B6B6F" w:rsidP="00AE746B">
            <w:pPr>
              <w:pStyle w:val="TableBodyText"/>
            </w:pPr>
            <w:r w:rsidRPr="0089496D">
              <w:t>100</w:t>
            </w:r>
          </w:p>
        </w:tc>
        <w:tc>
          <w:tcPr>
            <w:tcW w:w="1065" w:type="pct"/>
          </w:tcPr>
          <w:p w:rsidR="007B6B6F" w:rsidRPr="0089496D" w:rsidRDefault="007B6B6F" w:rsidP="00AE746B">
            <w:pPr>
              <w:pStyle w:val="TableBodyText"/>
            </w:pPr>
            <w:r w:rsidRPr="0089496D">
              <w:t>-10</w:t>
            </w:r>
          </w:p>
        </w:tc>
        <w:tc>
          <w:tcPr>
            <w:tcW w:w="1065" w:type="pct"/>
          </w:tcPr>
          <w:p w:rsidR="007B6B6F" w:rsidRPr="0089496D" w:rsidRDefault="007B6B6F" w:rsidP="00AE746B">
            <w:pPr>
              <w:pStyle w:val="TableBodyText"/>
            </w:pPr>
            <w:r w:rsidRPr="0089496D">
              <w:t>-45</w:t>
            </w:r>
          </w:p>
        </w:tc>
        <w:tc>
          <w:tcPr>
            <w:tcW w:w="1065" w:type="pct"/>
          </w:tcPr>
          <w:p w:rsidR="007B6B6F" w:rsidRPr="0089496D" w:rsidRDefault="007B6B6F" w:rsidP="00152BA9">
            <w:pPr>
              <w:pStyle w:val="TableBodyText"/>
            </w:pPr>
            <w:r>
              <w:t>6</w:t>
            </w:r>
            <w:r w:rsidR="00152BA9">
              <w:t>5</w:t>
            </w:r>
          </w:p>
        </w:tc>
      </w:tr>
      <w:tr w:rsidR="007B6B6F" w:rsidTr="007B6B6F">
        <w:tc>
          <w:tcPr>
            <w:tcW w:w="740" w:type="pct"/>
            <w:tcBorders>
              <w:bottom w:val="single" w:sz="6" w:space="0" w:color="auto"/>
            </w:tcBorders>
            <w:shd w:val="clear" w:color="auto" w:fill="auto"/>
          </w:tcPr>
          <w:p w:rsidR="007B6B6F" w:rsidRDefault="007B6B6F" w:rsidP="0056737B">
            <w:pPr>
              <w:pStyle w:val="TableBodyText"/>
              <w:jc w:val="left"/>
            </w:pPr>
            <w:r>
              <w:t>75</w:t>
            </w:r>
            <w:r w:rsidRPr="00C5092D">
              <w:rPr>
                <w:vertAlign w:val="superscript"/>
              </w:rPr>
              <w:t>th</w:t>
            </w:r>
            <w:r>
              <w:t xml:space="preserve"> P ($)</w:t>
            </w:r>
          </w:p>
        </w:tc>
        <w:tc>
          <w:tcPr>
            <w:tcW w:w="1065" w:type="pct"/>
            <w:tcBorders>
              <w:bottom w:val="single" w:sz="6" w:space="0" w:color="auto"/>
            </w:tcBorders>
          </w:tcPr>
          <w:p w:rsidR="007B6B6F" w:rsidRPr="0089496D" w:rsidRDefault="007B6B6F" w:rsidP="00AE746B">
            <w:pPr>
              <w:pStyle w:val="TableBodyText"/>
            </w:pPr>
            <w:r w:rsidRPr="0089496D">
              <w:t>200</w:t>
            </w:r>
          </w:p>
        </w:tc>
        <w:tc>
          <w:tcPr>
            <w:tcW w:w="1065" w:type="pct"/>
            <w:tcBorders>
              <w:bottom w:val="single" w:sz="6" w:space="0" w:color="auto"/>
            </w:tcBorders>
          </w:tcPr>
          <w:p w:rsidR="007B6B6F" w:rsidRPr="0089496D" w:rsidRDefault="007B6B6F" w:rsidP="00AE746B">
            <w:pPr>
              <w:pStyle w:val="TableBodyText"/>
            </w:pPr>
            <w:r w:rsidRPr="0089496D">
              <w:t>35</w:t>
            </w:r>
          </w:p>
        </w:tc>
        <w:tc>
          <w:tcPr>
            <w:tcW w:w="1065" w:type="pct"/>
            <w:tcBorders>
              <w:bottom w:val="single" w:sz="6" w:space="0" w:color="auto"/>
            </w:tcBorders>
            <w:shd w:val="clear" w:color="auto" w:fill="auto"/>
          </w:tcPr>
          <w:p w:rsidR="007B6B6F" w:rsidRPr="0089496D" w:rsidRDefault="007B6B6F" w:rsidP="00AE746B">
            <w:pPr>
              <w:pStyle w:val="TableBodyText"/>
            </w:pPr>
            <w:r w:rsidRPr="0089496D">
              <w:t>-20</w:t>
            </w:r>
          </w:p>
        </w:tc>
        <w:tc>
          <w:tcPr>
            <w:tcW w:w="1065" w:type="pct"/>
            <w:tcBorders>
              <w:bottom w:val="single" w:sz="6" w:space="0" w:color="auto"/>
            </w:tcBorders>
            <w:shd w:val="clear" w:color="auto" w:fill="auto"/>
          </w:tcPr>
          <w:p w:rsidR="007B6B6F" w:rsidRDefault="007B6B6F" w:rsidP="00152BA9">
            <w:pPr>
              <w:pStyle w:val="TableBodyText"/>
            </w:pPr>
            <w:r w:rsidRPr="0089496D">
              <w:t>1</w:t>
            </w:r>
            <w:r w:rsidR="00152BA9">
              <w:t>40</w:t>
            </w:r>
          </w:p>
        </w:tc>
      </w:tr>
    </w:tbl>
    <w:p w:rsidR="00097D4F" w:rsidRDefault="00097D4F" w:rsidP="00640D41">
      <w:pPr>
        <w:tabs>
          <w:tab w:val="left" w:pos="3285"/>
        </w:tabs>
        <w:rPr>
          <w:rFonts w:ascii="Times New Roman" w:hAnsi="Times New Roman"/>
          <w:sz w:val="26"/>
          <w:szCs w:val="20"/>
          <w:lang w:eastAsia="en-AU"/>
        </w:rPr>
      </w:pPr>
      <w:r>
        <w:br w:type="page"/>
      </w:r>
    </w:p>
    <w:p w:rsidR="00097D4F" w:rsidRDefault="00097D4F" w:rsidP="00E5598A">
      <w:pPr>
        <w:pStyle w:val="Heading3"/>
      </w:pPr>
      <w:r>
        <w:lastRenderedPageBreak/>
        <w:t>References</w:t>
      </w:r>
    </w:p>
    <w:p w:rsidR="00A330DC" w:rsidRDefault="00A330DC" w:rsidP="00F15282">
      <w:pPr>
        <w:pStyle w:val="Reference"/>
      </w:pPr>
      <w:r>
        <w:t xml:space="preserve">AECOM 2012, </w:t>
      </w:r>
      <w:r w:rsidRPr="00F15282">
        <w:rPr>
          <w:i/>
        </w:rPr>
        <w:t>Impact of Electric Vehicles and Natural Gas Vehicles on the Energy Markets</w:t>
      </w:r>
      <w:r>
        <w:t>, Report for the AEMC, 22 June.</w:t>
      </w:r>
    </w:p>
    <w:p w:rsidR="009B4DA2" w:rsidRDefault="000C7AF5" w:rsidP="00F15282">
      <w:pPr>
        <w:pStyle w:val="Reference"/>
      </w:pPr>
      <w:r>
        <w:t>AEMC</w:t>
      </w:r>
      <w:r w:rsidR="00F27F5F">
        <w:t xml:space="preserve"> (Australian Energy Market Commission)</w:t>
      </w:r>
      <w:r>
        <w:t xml:space="preserve"> 2012, </w:t>
      </w:r>
      <w:r w:rsidR="009B4DA2" w:rsidRPr="00F15282">
        <w:rPr>
          <w:i/>
        </w:rPr>
        <w:t>Fact Sheet</w:t>
      </w:r>
      <w:r w:rsidR="00A969AA" w:rsidRPr="00F15282">
        <w:rPr>
          <w:i/>
        </w:rPr>
        <w:t>: Enabling Technology</w:t>
      </w:r>
      <w:r w:rsidR="009B4DA2" w:rsidRPr="00F15282">
        <w:rPr>
          <w:i/>
        </w:rPr>
        <w:t xml:space="preserve"> </w:t>
      </w:r>
      <w:r w:rsidR="00A969AA" w:rsidRPr="00F15282">
        <w:rPr>
          <w:i/>
        </w:rPr>
        <w:t>(</w:t>
      </w:r>
      <w:r w:rsidR="009B4DA2" w:rsidRPr="00F15282">
        <w:rPr>
          <w:i/>
        </w:rPr>
        <w:t>Metering</w:t>
      </w:r>
      <w:r w:rsidR="00A969AA" w:rsidRPr="00F15282">
        <w:rPr>
          <w:i/>
        </w:rPr>
        <w:t>)</w:t>
      </w:r>
      <w:r w:rsidR="009B4DA2">
        <w:t xml:space="preserve">, </w:t>
      </w:r>
      <w:r w:rsidR="00A969AA">
        <w:t>30</w:t>
      </w:r>
      <w:r w:rsidR="009B4DA2">
        <w:t> </w:t>
      </w:r>
      <w:r w:rsidR="00A969AA">
        <w:t>November</w:t>
      </w:r>
      <w:r w:rsidR="009B4DA2">
        <w:t>.</w:t>
      </w:r>
    </w:p>
    <w:p w:rsidR="001050E9" w:rsidRDefault="001050E9" w:rsidP="00F15282">
      <w:pPr>
        <w:pStyle w:val="Reference"/>
      </w:pPr>
      <w:proofErr w:type="spellStart"/>
      <w:r>
        <w:t>AER</w:t>
      </w:r>
      <w:proofErr w:type="spellEnd"/>
      <w:r w:rsidR="00F27F5F">
        <w:t xml:space="preserve"> (Australian Energy Regulator)</w:t>
      </w:r>
      <w:r>
        <w:t xml:space="preserve"> </w:t>
      </w:r>
      <w:r w:rsidR="00F72B29">
        <w:t xml:space="preserve">2011, </w:t>
      </w:r>
      <w:r w:rsidR="00F72B29" w:rsidRPr="00F15282">
        <w:rPr>
          <w:i/>
        </w:rPr>
        <w:t>Victorian Advanced Metering Infrastructure Review, 2012–15 budget and charges applications, final determination</w:t>
      </w:r>
      <w:r w:rsidR="00F72B29">
        <w:t>, October.</w:t>
      </w:r>
    </w:p>
    <w:p w:rsidR="007F26D0" w:rsidRDefault="00F15282" w:rsidP="00F15282">
      <w:pPr>
        <w:pStyle w:val="Reference"/>
      </w:pPr>
      <w:r>
        <w:t>—— </w:t>
      </w:r>
      <w:r w:rsidR="00F72B29">
        <w:t xml:space="preserve">2012, </w:t>
      </w:r>
      <w:r w:rsidR="00F72B29" w:rsidRPr="00F15282">
        <w:rPr>
          <w:i/>
        </w:rPr>
        <w:t>Determination, Advanced Metering Infrastructure</w:t>
      </w:r>
      <w:r w:rsidR="00F72B29">
        <w:t>, 2013 revised charges, October 2012.</w:t>
      </w:r>
    </w:p>
    <w:p w:rsidR="00963F5F" w:rsidRDefault="00963F5F" w:rsidP="00F15282">
      <w:pPr>
        <w:pStyle w:val="Reference"/>
      </w:pPr>
      <w:proofErr w:type="spellStart"/>
      <w:r>
        <w:t>Ausgrid</w:t>
      </w:r>
      <w:proofErr w:type="spellEnd"/>
      <w:r>
        <w:t xml:space="preserve"> 2012, </w:t>
      </w:r>
      <w:proofErr w:type="spellStart"/>
      <w:r w:rsidRPr="00F15282">
        <w:rPr>
          <w:i/>
        </w:rPr>
        <w:t>Ausgrid</w:t>
      </w:r>
      <w:proofErr w:type="spellEnd"/>
      <w:r w:rsidRPr="00F15282">
        <w:rPr>
          <w:i/>
        </w:rPr>
        <w:t xml:space="preserve"> Network Pricing Proposal </w:t>
      </w:r>
      <w:r w:rsidR="00697374" w:rsidRPr="00F15282">
        <w:rPr>
          <w:i/>
        </w:rPr>
        <w:t>f</w:t>
      </w:r>
      <w:r w:rsidRPr="00F15282">
        <w:rPr>
          <w:i/>
        </w:rPr>
        <w:t>or the Financial Year Ending June 2013</w:t>
      </w:r>
      <w:r>
        <w:t>, May 2012</w:t>
      </w:r>
      <w:r w:rsidR="00017300">
        <w:t>.</w:t>
      </w:r>
    </w:p>
    <w:p w:rsidR="00017300" w:rsidRDefault="00F912F9" w:rsidP="00F15282">
      <w:pPr>
        <w:pStyle w:val="Reference"/>
      </w:pPr>
      <w:r>
        <w:t>——</w:t>
      </w:r>
      <w:r w:rsidR="00F15282">
        <w:t> </w:t>
      </w:r>
      <w:r w:rsidR="00017300">
        <w:t xml:space="preserve">2013, </w:t>
      </w:r>
      <w:r w:rsidR="00017300" w:rsidRPr="00F15282">
        <w:rPr>
          <w:i/>
        </w:rPr>
        <w:t>Meter Upgrades</w:t>
      </w:r>
      <w:r w:rsidR="00017300">
        <w:t xml:space="preserve">, accessed on 25 March 2013 from </w:t>
      </w:r>
      <w:r w:rsidR="00F15282" w:rsidRPr="00F15282">
        <w:t>http://www.ausgrid.com.au/Common/Our-network/Metering/Meter-upgrades</w:t>
      </w:r>
      <w:r w:rsidR="00F15282" w:rsidRPr="00F15282">
        <w:br/>
        <w:t>.</w:t>
      </w:r>
      <w:proofErr w:type="spellStart"/>
      <w:r w:rsidR="00F15282" w:rsidRPr="00F15282">
        <w:t>aspx</w:t>
      </w:r>
      <w:proofErr w:type="spellEnd"/>
      <w:r w:rsidR="00F15282">
        <w:t>.</w:t>
      </w:r>
    </w:p>
    <w:p w:rsidR="000E5ED7" w:rsidRDefault="00D2758A" w:rsidP="00F15282">
      <w:pPr>
        <w:pStyle w:val="Reference"/>
      </w:pPr>
      <w:proofErr w:type="spellStart"/>
      <w:r>
        <w:t>CRA</w:t>
      </w:r>
      <w:proofErr w:type="spellEnd"/>
      <w:r>
        <w:t xml:space="preserve"> (Charles River Associates) </w:t>
      </w:r>
      <w:r w:rsidR="00811FF2">
        <w:t xml:space="preserve">2007, </w:t>
      </w:r>
      <w:r w:rsidR="000E5ED7" w:rsidRPr="00F15282">
        <w:rPr>
          <w:i/>
        </w:rPr>
        <w:t>Cost Benefit Analysis of Smart Metering and Direct Load Control, Stream 2, Network Benefits and Recurring Costs</w:t>
      </w:r>
      <w:r w:rsidR="000E5ED7">
        <w:t>, prepared for the Department of Industry, Tourism and Resources, Phase 1 Report, September.</w:t>
      </w:r>
    </w:p>
    <w:p w:rsidR="00097D4F" w:rsidRPr="00A32F3B" w:rsidRDefault="00F15282" w:rsidP="00F15282">
      <w:pPr>
        <w:pStyle w:val="Reference"/>
      </w:pPr>
      <w:r>
        <w:t>—— </w:t>
      </w:r>
      <w:proofErr w:type="spellStart"/>
      <w:r w:rsidR="00097D4F">
        <w:t>2008a</w:t>
      </w:r>
      <w:proofErr w:type="spellEnd"/>
      <w:r w:rsidR="00A32F3B">
        <w:t xml:space="preserve">, </w:t>
      </w:r>
      <w:r w:rsidR="00A32F3B" w:rsidRPr="00F15282">
        <w:rPr>
          <w:i/>
        </w:rPr>
        <w:t>Cost benefit analysis of smart metering and direct load control</w:t>
      </w:r>
      <w:r w:rsidR="00A32F3B">
        <w:t>, Report to the Ministerial Council on Energy, Work stream 2: Network benefits and recurrent costs.</w:t>
      </w:r>
    </w:p>
    <w:p w:rsidR="00097D4F" w:rsidRDefault="00F15282" w:rsidP="00F15282">
      <w:pPr>
        <w:pStyle w:val="Reference"/>
      </w:pPr>
      <w:r>
        <w:t>—— </w:t>
      </w:r>
      <w:proofErr w:type="spellStart"/>
      <w:r w:rsidR="00097D4F">
        <w:t>2008b</w:t>
      </w:r>
      <w:proofErr w:type="spellEnd"/>
      <w:r w:rsidR="00A32F3B">
        <w:t xml:space="preserve">, </w:t>
      </w:r>
      <w:r w:rsidR="00A32F3B" w:rsidRPr="00F15282">
        <w:rPr>
          <w:i/>
        </w:rPr>
        <w:t>Cost benefit analysis of smart metering and direct load control</w:t>
      </w:r>
      <w:r w:rsidR="00A32F3B">
        <w:t>, Report to the Ministerial Council on Energy, Work stream 5: Economic Impacts on wholesale electricity market and greenhouse gas emission outcomes.</w:t>
      </w:r>
    </w:p>
    <w:p w:rsidR="00097D4F" w:rsidRDefault="00097D4F" w:rsidP="00F15282">
      <w:pPr>
        <w:pStyle w:val="Reference"/>
      </w:pPr>
      <w:r>
        <w:t xml:space="preserve">Deloitte </w:t>
      </w:r>
      <w:proofErr w:type="spellStart"/>
      <w:r>
        <w:t>2011</w:t>
      </w:r>
      <w:r w:rsidR="0037763F">
        <w:t>a</w:t>
      </w:r>
      <w:proofErr w:type="spellEnd"/>
      <w:r w:rsidR="00A32F3B">
        <w:t xml:space="preserve">, </w:t>
      </w:r>
      <w:r w:rsidR="00A32F3B" w:rsidRPr="00F15282">
        <w:rPr>
          <w:i/>
        </w:rPr>
        <w:t>Advanced metering infrastructure cost benefit analysis</w:t>
      </w:r>
      <w:r w:rsidR="00A32F3B">
        <w:t xml:space="preserve">, </w:t>
      </w:r>
      <w:r w:rsidR="00F15282">
        <w:t>F</w:t>
      </w:r>
      <w:r w:rsidR="00A32F3B">
        <w:t xml:space="preserve">inal </w:t>
      </w:r>
      <w:r w:rsidR="00F15282">
        <w:t>R</w:t>
      </w:r>
      <w:r w:rsidR="00A32F3B">
        <w:t>eport to the Victorian Department of Treasury and Finance</w:t>
      </w:r>
      <w:r w:rsidR="00814DE1">
        <w:t>, 2</w:t>
      </w:r>
      <w:r w:rsidR="00FA364B">
        <w:rPr>
          <w:vertAlign w:val="superscript"/>
        </w:rPr>
        <w:t> </w:t>
      </w:r>
      <w:r w:rsidR="00814DE1">
        <w:t>August</w:t>
      </w:r>
      <w:r w:rsidR="00A32F3B">
        <w:t>.</w:t>
      </w:r>
    </w:p>
    <w:p w:rsidR="0037763F" w:rsidRPr="00A32F3B" w:rsidRDefault="00F912F9" w:rsidP="00F15282">
      <w:pPr>
        <w:pStyle w:val="Reference"/>
      </w:pPr>
      <w:r>
        <w:t>——</w:t>
      </w:r>
      <w:r w:rsidR="00F15282">
        <w:t> </w:t>
      </w:r>
      <w:proofErr w:type="spellStart"/>
      <w:r w:rsidR="0037763F" w:rsidRPr="0037763F">
        <w:t>2011b</w:t>
      </w:r>
      <w:proofErr w:type="spellEnd"/>
      <w:r w:rsidR="0037763F" w:rsidRPr="0037763F">
        <w:t xml:space="preserve">, </w:t>
      </w:r>
      <w:r w:rsidR="0037763F" w:rsidRPr="00F15282">
        <w:rPr>
          <w:i/>
        </w:rPr>
        <w:t>Advanced metering infrastructure customer impact study</w:t>
      </w:r>
      <w:r w:rsidR="0037763F" w:rsidRPr="0037763F">
        <w:t xml:space="preserve">, </w:t>
      </w:r>
      <w:r w:rsidR="00F15282">
        <w:t>Final R</w:t>
      </w:r>
      <w:r w:rsidR="0037763F" w:rsidRPr="0037763F">
        <w:t>eport, 2</w:t>
      </w:r>
      <w:r w:rsidR="0037763F">
        <w:t> </w:t>
      </w:r>
      <w:r w:rsidR="0037763F" w:rsidRPr="0037763F">
        <w:t>volumes, report</w:t>
      </w:r>
      <w:r w:rsidR="0037763F">
        <w:t xml:space="preserve"> to the Victorian Department of</w:t>
      </w:r>
      <w:r w:rsidR="0037763F" w:rsidRPr="0037763F">
        <w:t xml:space="preserve"> Primary Industries, October.</w:t>
      </w:r>
    </w:p>
    <w:p w:rsidR="00564B14" w:rsidRDefault="00F912F9" w:rsidP="00F15282">
      <w:pPr>
        <w:pStyle w:val="Reference"/>
      </w:pPr>
      <w:r>
        <w:t>——</w:t>
      </w:r>
      <w:r w:rsidR="00F15282">
        <w:t> </w:t>
      </w:r>
      <w:r w:rsidR="00564B14" w:rsidRPr="00564B14">
        <w:t xml:space="preserve">2012, </w:t>
      </w:r>
      <w:r w:rsidR="00564B14" w:rsidRPr="00F15282">
        <w:rPr>
          <w:i/>
        </w:rPr>
        <w:t>Analysis of initiatives to lower peak demand</w:t>
      </w:r>
      <w:r w:rsidR="00564B14">
        <w:t xml:space="preserve">, </w:t>
      </w:r>
      <w:r w:rsidR="00564B14" w:rsidRPr="00564B14">
        <w:t xml:space="preserve">Report for Energy Supply Association of Australia, </w:t>
      </w:r>
      <w:r w:rsidR="00211306">
        <w:t>April.</w:t>
      </w:r>
    </w:p>
    <w:p w:rsidR="007A6364" w:rsidRPr="00097D4F" w:rsidRDefault="007A6364" w:rsidP="00F15282">
      <w:pPr>
        <w:pStyle w:val="Reference"/>
      </w:pPr>
      <w:proofErr w:type="spellStart"/>
      <w:r>
        <w:t>EMC</w:t>
      </w:r>
      <w:r w:rsidRPr="00094476">
        <w:t>a</w:t>
      </w:r>
      <w:proofErr w:type="spellEnd"/>
      <w:r>
        <w:t xml:space="preserve"> (Energy Market Consulting Associates) 2008, </w:t>
      </w:r>
      <w:r w:rsidRPr="00F15282">
        <w:rPr>
          <w:i/>
        </w:rPr>
        <w:t>Cost benefit analysis of smart metering and direct load control</w:t>
      </w:r>
      <w:r>
        <w:t>, Report to the Ministerial Council on Energy, Work stream 6: Transitional implementation costs.</w:t>
      </w:r>
    </w:p>
    <w:p w:rsidR="007A6364" w:rsidRDefault="007A6364" w:rsidP="007A6364">
      <w:pPr>
        <w:pStyle w:val="Reference"/>
      </w:pPr>
      <w:proofErr w:type="spellStart"/>
      <w:r>
        <w:lastRenderedPageBreak/>
        <w:t>EnergyAustralia</w:t>
      </w:r>
      <w:proofErr w:type="spellEnd"/>
      <w:r>
        <w:t xml:space="preserve"> and </w:t>
      </w:r>
      <w:proofErr w:type="spellStart"/>
      <w:r>
        <w:t>TransGrid</w:t>
      </w:r>
      <w:proofErr w:type="spellEnd"/>
      <w:r>
        <w:t xml:space="preserve"> 2009, </w:t>
      </w:r>
      <w:r w:rsidRPr="00F15282">
        <w:rPr>
          <w:i/>
        </w:rPr>
        <w:t>Demand Management Investigation Report, Sydney Inner Metropolitan Area</w:t>
      </w:r>
      <w:r>
        <w:t>, November.</w:t>
      </w:r>
    </w:p>
    <w:p w:rsidR="007A6364" w:rsidRDefault="007A6364" w:rsidP="007A6364">
      <w:pPr>
        <w:pStyle w:val="Reference"/>
      </w:pPr>
      <w:r>
        <w:t xml:space="preserve">Ernst and Young, 2011, </w:t>
      </w:r>
      <w:r w:rsidRPr="00F15282">
        <w:rPr>
          <w:i/>
        </w:rPr>
        <w:t xml:space="preserve">Rationale and drivers for </w:t>
      </w:r>
      <w:proofErr w:type="spellStart"/>
      <w:r w:rsidRPr="00F15282">
        <w:rPr>
          <w:i/>
        </w:rPr>
        <w:t>DSP</w:t>
      </w:r>
      <w:proofErr w:type="spellEnd"/>
      <w:r w:rsidRPr="00F15282">
        <w:rPr>
          <w:i/>
        </w:rPr>
        <w:t xml:space="preserve"> in the electricity market – demand and supply of electricity</w:t>
      </w:r>
      <w:r>
        <w:t>, report for the AEMC Power of Choice review, December.</w:t>
      </w:r>
    </w:p>
    <w:p w:rsidR="007A6364" w:rsidRPr="00A32F3B" w:rsidRDefault="007A6364" w:rsidP="00F15282">
      <w:pPr>
        <w:pStyle w:val="Reference"/>
      </w:pPr>
      <w:r>
        <w:t xml:space="preserve">ESC (Essential Services Commission) 2002, </w:t>
      </w:r>
      <w:r w:rsidRPr="00F15282">
        <w:rPr>
          <w:i/>
        </w:rPr>
        <w:t>Installing interval meters for electricity customers — costs and benefits: Position paper</w:t>
      </w:r>
      <w:r>
        <w:t>, Melbourne.</w:t>
      </w:r>
    </w:p>
    <w:p w:rsidR="00097D4F" w:rsidRPr="00A32F3B" w:rsidRDefault="00097D4F" w:rsidP="00F15282">
      <w:pPr>
        <w:pStyle w:val="Reference"/>
      </w:pPr>
      <w:r>
        <w:t>——</w:t>
      </w:r>
      <w:r w:rsidR="00F15282">
        <w:t> </w:t>
      </w:r>
      <w:r>
        <w:t>2004</w:t>
      </w:r>
      <w:r w:rsidR="00A32F3B">
        <w:t xml:space="preserve">, </w:t>
      </w:r>
      <w:r w:rsidR="00A32F3B" w:rsidRPr="00F15282">
        <w:rPr>
          <w:i/>
        </w:rPr>
        <w:t>Mandatory rollout of interval meters for electricity customers: Final decision</w:t>
      </w:r>
      <w:r w:rsidR="00A32F3B">
        <w:t>, Melbourne.</w:t>
      </w:r>
    </w:p>
    <w:p w:rsidR="007A6364" w:rsidRDefault="007A6364" w:rsidP="00F15282">
      <w:pPr>
        <w:pStyle w:val="Reference"/>
      </w:pPr>
      <w:proofErr w:type="spellStart"/>
      <w:r>
        <w:t>Etrog</w:t>
      </w:r>
      <w:proofErr w:type="spellEnd"/>
      <w:r>
        <w:t xml:space="preserve"> Consulting 2012, </w:t>
      </w:r>
      <w:r w:rsidRPr="00F15282">
        <w:rPr>
          <w:i/>
        </w:rPr>
        <w:t>Flexible pricing of electricity for residential and small business customers</w:t>
      </w:r>
      <w:r>
        <w:t>, prepared for Department of Primary Industries, Victorian Government.</w:t>
      </w:r>
    </w:p>
    <w:p w:rsidR="007A6364" w:rsidRPr="00A820B3" w:rsidRDefault="007A6364" w:rsidP="00F15282">
      <w:pPr>
        <w:pStyle w:val="Reference"/>
      </w:pPr>
      <w:proofErr w:type="spellStart"/>
      <w:r>
        <w:t>ETSA</w:t>
      </w:r>
      <w:proofErr w:type="spellEnd"/>
      <w:r>
        <w:t xml:space="preserve"> Utilities 2009, </w:t>
      </w:r>
      <w:r w:rsidRPr="00F15282">
        <w:rPr>
          <w:i/>
        </w:rPr>
        <w:t>Annual Demand Management Compliance Report</w:t>
      </w:r>
      <w:r>
        <w:t>, Issue 1.0, August.</w:t>
      </w:r>
    </w:p>
    <w:p w:rsidR="00126331" w:rsidRDefault="00126331" w:rsidP="00F15282">
      <w:pPr>
        <w:pStyle w:val="Reference"/>
      </w:pPr>
      <w:proofErr w:type="spellStart"/>
      <w:r>
        <w:t>Faruqui</w:t>
      </w:r>
      <w:proofErr w:type="spellEnd"/>
      <w:r>
        <w:t xml:space="preserve">, A. and Palmer, J. 2011, ‘Dynamic pricing and Its Discontents’, </w:t>
      </w:r>
      <w:r w:rsidRPr="00F15282">
        <w:rPr>
          <w:i/>
        </w:rPr>
        <w:t>Regulation</w:t>
      </w:r>
      <w:r>
        <w:t>, Fall, pp. 16</w:t>
      </w:r>
      <w:r>
        <w:noBreakHyphen/>
        <w:t>22.</w:t>
      </w:r>
    </w:p>
    <w:p w:rsidR="00097D4F" w:rsidRPr="00A32F3B" w:rsidRDefault="00097D4F" w:rsidP="00F15282">
      <w:pPr>
        <w:pStyle w:val="Reference"/>
      </w:pPr>
      <w:proofErr w:type="spellStart"/>
      <w:r>
        <w:t>Futura</w:t>
      </w:r>
      <w:proofErr w:type="spellEnd"/>
      <w:r>
        <w:t xml:space="preserve"> </w:t>
      </w:r>
      <w:r w:rsidR="00EA31C4">
        <w:t xml:space="preserve">Consulting </w:t>
      </w:r>
      <w:r>
        <w:t>2009</w:t>
      </w:r>
      <w:r w:rsidR="00A32F3B">
        <w:t xml:space="preserve">, </w:t>
      </w:r>
      <w:r w:rsidR="00A32F3B" w:rsidRPr="00F15282">
        <w:rPr>
          <w:i/>
        </w:rPr>
        <w:t>Advanced metering infrastructure program — benefits realisation roadmap</w:t>
      </w:r>
      <w:r w:rsidR="00A32F3B">
        <w:t>, report prepared for the Department of Primary Industries.</w:t>
      </w:r>
    </w:p>
    <w:p w:rsidR="00564B14" w:rsidRDefault="00EA31C4" w:rsidP="00F15282">
      <w:pPr>
        <w:pStyle w:val="Reference"/>
      </w:pPr>
      <w:r>
        <w:t>——</w:t>
      </w:r>
      <w:r w:rsidR="00F15282">
        <w:t> </w:t>
      </w:r>
      <w:r>
        <w:t xml:space="preserve">2011, </w:t>
      </w:r>
      <w:r w:rsidR="00564B14" w:rsidRPr="00F15282">
        <w:rPr>
          <w:i/>
        </w:rPr>
        <w:t>Pow</w:t>
      </w:r>
      <w:r w:rsidRPr="00F15282">
        <w:rPr>
          <w:i/>
        </w:rPr>
        <w:t>er of choice</w:t>
      </w:r>
      <w:r w:rsidR="00F27F5F" w:rsidRPr="00F15282">
        <w:rPr>
          <w:i/>
        </w:rPr>
        <w:t xml:space="preserve"> — </w:t>
      </w:r>
      <w:r w:rsidRPr="00F15282">
        <w:rPr>
          <w:i/>
        </w:rPr>
        <w:t xml:space="preserve">giving consumers </w:t>
      </w:r>
      <w:r w:rsidR="00564B14" w:rsidRPr="00F15282">
        <w:rPr>
          <w:i/>
        </w:rPr>
        <w:t xml:space="preserve">options </w:t>
      </w:r>
      <w:r w:rsidRPr="00F15282">
        <w:rPr>
          <w:i/>
        </w:rPr>
        <w:t xml:space="preserve">in the way they use electricity, </w:t>
      </w:r>
      <w:r w:rsidR="00564B14" w:rsidRPr="00F15282">
        <w:rPr>
          <w:i/>
        </w:rPr>
        <w:t>Investigation o</w:t>
      </w:r>
      <w:r w:rsidRPr="00F15282">
        <w:rPr>
          <w:i/>
        </w:rPr>
        <w:t xml:space="preserve">f existing and plausible future </w:t>
      </w:r>
      <w:r w:rsidR="00564B14" w:rsidRPr="00F15282">
        <w:rPr>
          <w:i/>
        </w:rPr>
        <w:t>demand side participation in the electricity market</w:t>
      </w:r>
      <w:r>
        <w:t xml:space="preserve">, </w:t>
      </w:r>
      <w:r w:rsidRPr="00EA31C4">
        <w:t>Final Report for the Australian Energy Market Commission</w:t>
      </w:r>
      <w:r>
        <w:t>, December.</w:t>
      </w:r>
    </w:p>
    <w:p w:rsidR="009C289D" w:rsidRDefault="00F15282" w:rsidP="00F15282">
      <w:pPr>
        <w:pStyle w:val="Reference"/>
      </w:pPr>
      <w:r>
        <w:t>—— </w:t>
      </w:r>
      <w:r w:rsidR="009C289D">
        <w:t xml:space="preserve">2012, </w:t>
      </w:r>
      <w:r w:rsidR="009C289D" w:rsidRPr="00F15282">
        <w:rPr>
          <w:i/>
        </w:rPr>
        <w:t>Analysis of Initiatives to Lower Peak Demand</w:t>
      </w:r>
      <w:r w:rsidR="009C289D">
        <w:t>, Final Report to the Energy Supply Association of Australia, April.</w:t>
      </w:r>
    </w:p>
    <w:p w:rsidR="00EE6F27" w:rsidRDefault="00EE6F27" w:rsidP="00F15282">
      <w:pPr>
        <w:pStyle w:val="Reference"/>
      </w:pPr>
      <w:r>
        <w:t xml:space="preserve">Harrison, M. 2010, </w:t>
      </w:r>
      <w:r w:rsidRPr="00F15282">
        <w:rPr>
          <w:i/>
        </w:rPr>
        <w:t>Valuing the Future: the social discount rate in cost-benefit analysis</w:t>
      </w:r>
      <w:r>
        <w:t>, Visiting Researcher Paper, Productivity Commission, Canberra.</w:t>
      </w:r>
    </w:p>
    <w:p w:rsidR="00C178AE" w:rsidRDefault="00C178AE" w:rsidP="00C178AE">
      <w:pPr>
        <w:spacing w:before="120" w:line="320" w:lineRule="atLeast"/>
        <w:ind w:left="340" w:hanging="340"/>
        <w:jc w:val="both"/>
        <w:rPr>
          <w:rFonts w:ascii="Times New Roman" w:hAnsi="Times New Roman"/>
          <w:sz w:val="26"/>
          <w:szCs w:val="20"/>
          <w:lang w:eastAsia="en-AU"/>
        </w:rPr>
      </w:pPr>
      <w:proofErr w:type="spellStart"/>
      <w:r w:rsidRPr="0048786A">
        <w:rPr>
          <w:rFonts w:ascii="Times New Roman" w:hAnsi="Times New Roman"/>
          <w:sz w:val="26"/>
          <w:szCs w:val="20"/>
          <w:lang w:eastAsia="en-AU"/>
        </w:rPr>
        <w:t>Hierzinger</w:t>
      </w:r>
      <w:proofErr w:type="spellEnd"/>
      <w:r w:rsidRPr="0048786A">
        <w:rPr>
          <w:rFonts w:ascii="Times New Roman" w:hAnsi="Times New Roman"/>
          <w:sz w:val="26"/>
          <w:szCs w:val="20"/>
          <w:lang w:eastAsia="en-AU"/>
        </w:rPr>
        <w:t xml:space="preserve">, R., </w:t>
      </w:r>
      <w:proofErr w:type="spellStart"/>
      <w:r w:rsidRPr="0048786A">
        <w:rPr>
          <w:rFonts w:ascii="Times New Roman" w:hAnsi="Times New Roman"/>
          <w:sz w:val="26"/>
          <w:szCs w:val="20"/>
          <w:lang w:eastAsia="en-AU"/>
        </w:rPr>
        <w:t>Albu</w:t>
      </w:r>
      <w:proofErr w:type="spellEnd"/>
      <w:r w:rsidRPr="0048786A">
        <w:rPr>
          <w:rFonts w:ascii="Times New Roman" w:hAnsi="Times New Roman"/>
          <w:sz w:val="26"/>
          <w:szCs w:val="20"/>
          <w:lang w:eastAsia="en-AU"/>
        </w:rPr>
        <w:t xml:space="preserve">, M., van </w:t>
      </w:r>
      <w:proofErr w:type="spellStart"/>
      <w:r w:rsidRPr="0048786A">
        <w:rPr>
          <w:rFonts w:ascii="Times New Roman" w:hAnsi="Times New Roman"/>
          <w:sz w:val="26"/>
          <w:szCs w:val="20"/>
          <w:lang w:eastAsia="en-AU"/>
        </w:rPr>
        <w:t>Elburg</w:t>
      </w:r>
      <w:proofErr w:type="spellEnd"/>
      <w:r w:rsidRPr="0048786A">
        <w:rPr>
          <w:rFonts w:ascii="Times New Roman" w:hAnsi="Times New Roman"/>
          <w:sz w:val="26"/>
          <w:szCs w:val="20"/>
          <w:lang w:eastAsia="en-AU"/>
        </w:rPr>
        <w:t xml:space="preserve">, H., Scott, A., </w:t>
      </w:r>
      <w:proofErr w:type="spellStart"/>
      <w:r w:rsidRPr="0048786A">
        <w:rPr>
          <w:rFonts w:ascii="Times New Roman" w:hAnsi="Times New Roman"/>
          <w:sz w:val="26"/>
          <w:szCs w:val="20"/>
          <w:lang w:eastAsia="en-AU"/>
        </w:rPr>
        <w:t>Łazicki</w:t>
      </w:r>
      <w:proofErr w:type="spellEnd"/>
      <w:r w:rsidRPr="0048786A">
        <w:rPr>
          <w:rFonts w:ascii="Times New Roman" w:hAnsi="Times New Roman"/>
          <w:sz w:val="26"/>
          <w:szCs w:val="20"/>
          <w:lang w:eastAsia="en-AU"/>
        </w:rPr>
        <w:t xml:space="preserve">, A., </w:t>
      </w:r>
      <w:proofErr w:type="spellStart"/>
      <w:r w:rsidRPr="0048786A">
        <w:rPr>
          <w:rFonts w:ascii="Times New Roman" w:hAnsi="Times New Roman"/>
          <w:sz w:val="26"/>
          <w:szCs w:val="20"/>
          <w:lang w:eastAsia="en-AU"/>
        </w:rPr>
        <w:t>Penttinen</w:t>
      </w:r>
      <w:proofErr w:type="spellEnd"/>
      <w:r w:rsidRPr="0048786A">
        <w:rPr>
          <w:rFonts w:ascii="Times New Roman" w:hAnsi="Times New Roman"/>
          <w:sz w:val="26"/>
          <w:szCs w:val="20"/>
          <w:lang w:eastAsia="en-AU"/>
        </w:rPr>
        <w:t xml:space="preserve">, L., Puente, F., </w:t>
      </w:r>
      <w:proofErr w:type="spellStart"/>
      <w:r w:rsidRPr="0048786A">
        <w:rPr>
          <w:rFonts w:ascii="Times New Roman" w:hAnsi="Times New Roman"/>
          <w:sz w:val="26"/>
          <w:szCs w:val="20"/>
          <w:lang w:eastAsia="en-AU"/>
        </w:rPr>
        <w:t>Sæle</w:t>
      </w:r>
      <w:proofErr w:type="spellEnd"/>
      <w:r w:rsidRPr="0048786A">
        <w:rPr>
          <w:rFonts w:ascii="Times New Roman" w:hAnsi="Times New Roman"/>
          <w:sz w:val="26"/>
          <w:szCs w:val="20"/>
          <w:lang w:eastAsia="en-AU"/>
        </w:rPr>
        <w:t xml:space="preserve">, H. 2012, </w:t>
      </w:r>
      <w:r w:rsidRPr="0048786A">
        <w:rPr>
          <w:rFonts w:ascii="Times New Roman" w:hAnsi="Times New Roman"/>
          <w:i/>
          <w:sz w:val="26"/>
          <w:szCs w:val="20"/>
          <w:lang w:eastAsia="en-AU"/>
        </w:rPr>
        <w:t>European Smart Metering Landscape Report 2012</w:t>
      </w:r>
      <w:r w:rsidRPr="0048786A">
        <w:rPr>
          <w:rFonts w:ascii="Times New Roman" w:hAnsi="Times New Roman"/>
          <w:sz w:val="26"/>
          <w:szCs w:val="20"/>
          <w:lang w:eastAsia="en-AU"/>
        </w:rPr>
        <w:t xml:space="preserve">, </w:t>
      </w:r>
      <w:proofErr w:type="spellStart"/>
      <w:r w:rsidRPr="0048786A">
        <w:rPr>
          <w:rFonts w:ascii="Times New Roman" w:hAnsi="Times New Roman"/>
          <w:sz w:val="26"/>
          <w:szCs w:val="20"/>
          <w:lang w:eastAsia="en-AU"/>
        </w:rPr>
        <w:t>SmartRegions</w:t>
      </w:r>
      <w:proofErr w:type="spellEnd"/>
      <w:r w:rsidRPr="0048786A">
        <w:rPr>
          <w:rFonts w:ascii="Times New Roman" w:hAnsi="Times New Roman"/>
          <w:sz w:val="26"/>
          <w:szCs w:val="20"/>
          <w:lang w:eastAsia="en-AU"/>
        </w:rPr>
        <w:t xml:space="preserve"> Deliverable 2.1, </w:t>
      </w:r>
      <w:proofErr w:type="spellStart"/>
      <w:r w:rsidRPr="0048786A">
        <w:rPr>
          <w:rFonts w:ascii="Times New Roman" w:hAnsi="Times New Roman"/>
          <w:sz w:val="26"/>
          <w:szCs w:val="20"/>
          <w:lang w:eastAsia="en-AU"/>
        </w:rPr>
        <w:t>www.smartregions.net</w:t>
      </w:r>
      <w:proofErr w:type="spellEnd"/>
      <w:r w:rsidRPr="0048786A">
        <w:rPr>
          <w:rFonts w:ascii="Times New Roman" w:hAnsi="Times New Roman"/>
          <w:sz w:val="26"/>
          <w:szCs w:val="20"/>
          <w:lang w:eastAsia="en-AU"/>
        </w:rPr>
        <w:t xml:space="preserve">, October, Vienna. </w:t>
      </w:r>
    </w:p>
    <w:p w:rsidR="007A6364" w:rsidRDefault="007A6364" w:rsidP="00F15282">
      <w:pPr>
        <w:pStyle w:val="Reference"/>
      </w:pPr>
      <w:r>
        <w:t xml:space="preserve">KPMG 2008, </w:t>
      </w:r>
      <w:r w:rsidRPr="00F15282">
        <w:rPr>
          <w:i/>
        </w:rPr>
        <w:t>Cost benefit analysis of smart metering and direct load control</w:t>
      </w:r>
      <w:r>
        <w:t>, Report to the Ministerial Council on Energy, Work stream 3: Retailer impacts.</w:t>
      </w:r>
    </w:p>
    <w:p w:rsidR="007A6364" w:rsidRDefault="007A6364" w:rsidP="00F15282">
      <w:pPr>
        <w:pStyle w:val="Reference"/>
      </w:pPr>
      <w:proofErr w:type="spellStart"/>
      <w:r>
        <w:t>Langmore</w:t>
      </w:r>
      <w:proofErr w:type="spellEnd"/>
      <w:r>
        <w:t xml:space="preserve">, M. and Duffy, G. 2004, </w:t>
      </w:r>
      <w:r w:rsidRPr="00F15282">
        <w:rPr>
          <w:i/>
        </w:rPr>
        <w:t xml:space="preserve">Domestic electricity demand </w:t>
      </w:r>
      <w:proofErr w:type="spellStart"/>
      <w:r w:rsidRPr="00F15282">
        <w:rPr>
          <w:i/>
        </w:rPr>
        <w:t>elasticities</w:t>
      </w:r>
      <w:proofErr w:type="spellEnd"/>
      <w:r w:rsidRPr="00F15282">
        <w:rPr>
          <w:i/>
        </w:rPr>
        <w:t>, Issues for the Victorian Energy Market</w:t>
      </w:r>
      <w:r>
        <w:t>, paper for the St Vincent de Paul Society.</w:t>
      </w:r>
    </w:p>
    <w:p w:rsidR="007A6364" w:rsidRPr="00AF760A" w:rsidRDefault="007A6364" w:rsidP="00F15282">
      <w:pPr>
        <w:pStyle w:val="Reference"/>
      </w:pPr>
      <w:r>
        <w:t xml:space="preserve">McGowan, S, 2009, ‘Hot in the city’, </w:t>
      </w:r>
      <w:proofErr w:type="spellStart"/>
      <w:r w:rsidRPr="00F15282">
        <w:rPr>
          <w:i/>
        </w:rPr>
        <w:t>Ecolibrium</w:t>
      </w:r>
      <w:proofErr w:type="spellEnd"/>
      <w:r>
        <w:t>, February 2009, pp. 14</w:t>
      </w:r>
      <w:r>
        <w:noBreakHyphen/>
        <w:t>17.</w:t>
      </w:r>
    </w:p>
    <w:p w:rsidR="007A6364" w:rsidRDefault="007A6364" w:rsidP="00F15282">
      <w:pPr>
        <w:pStyle w:val="Reference"/>
      </w:pPr>
      <w:r>
        <w:t xml:space="preserve">Oakley Greenwood </w:t>
      </w:r>
      <w:proofErr w:type="spellStart"/>
      <w:r>
        <w:t>2010a</w:t>
      </w:r>
      <w:proofErr w:type="spellEnd"/>
      <w:r>
        <w:t xml:space="preserve">, </w:t>
      </w:r>
      <w:r w:rsidRPr="00F15282">
        <w:rPr>
          <w:i/>
        </w:rPr>
        <w:t>Review of AMI benefits</w:t>
      </w:r>
      <w:r>
        <w:t>, report prepared for the Victorian Department of Primary Industries, July.</w:t>
      </w:r>
    </w:p>
    <w:p w:rsidR="004732C4" w:rsidRDefault="00F15282" w:rsidP="00F15282">
      <w:pPr>
        <w:pStyle w:val="Reference"/>
      </w:pPr>
      <w:r>
        <w:lastRenderedPageBreak/>
        <w:t>—— </w:t>
      </w:r>
      <w:proofErr w:type="spellStart"/>
      <w:r w:rsidR="004732C4">
        <w:t>2010b</w:t>
      </w:r>
      <w:proofErr w:type="spellEnd"/>
      <w:r w:rsidR="004732C4">
        <w:t xml:space="preserve">, </w:t>
      </w:r>
      <w:r w:rsidR="004732C4" w:rsidRPr="00F15282">
        <w:rPr>
          <w:i/>
        </w:rPr>
        <w:t>Benefits and Costs of the Victorian AMI Program</w:t>
      </w:r>
      <w:r w:rsidR="004732C4">
        <w:t>, report prepared for the Victorian Department of Primary Industries, August.</w:t>
      </w:r>
    </w:p>
    <w:p w:rsidR="00A32F3B" w:rsidRPr="00A32F3B" w:rsidRDefault="00A32F3B" w:rsidP="00F15282">
      <w:pPr>
        <w:pStyle w:val="Reference"/>
      </w:pPr>
      <w:r>
        <w:t xml:space="preserve">NERA </w:t>
      </w:r>
      <w:r w:rsidR="00827E3E">
        <w:t>(</w:t>
      </w:r>
      <w:proofErr w:type="spellStart"/>
      <w:r w:rsidR="00827E3E">
        <w:t>NERA</w:t>
      </w:r>
      <w:proofErr w:type="spellEnd"/>
      <w:r w:rsidR="00827E3E">
        <w:t xml:space="preserve"> Economic Consulting) </w:t>
      </w:r>
      <w:proofErr w:type="spellStart"/>
      <w:r>
        <w:t>2008a</w:t>
      </w:r>
      <w:proofErr w:type="spellEnd"/>
      <w:r>
        <w:t xml:space="preserve">, </w:t>
      </w:r>
      <w:r w:rsidRPr="00F15282">
        <w:rPr>
          <w:i/>
        </w:rPr>
        <w:t>Cost benefit analysis of smart metering and direct load control</w:t>
      </w:r>
      <w:r>
        <w:t>, Report to the Ministerial Council on Energy, Overview report for consultation.</w:t>
      </w:r>
    </w:p>
    <w:p w:rsidR="00A32F3B" w:rsidRDefault="00F15282" w:rsidP="00F15282">
      <w:pPr>
        <w:pStyle w:val="Reference"/>
      </w:pPr>
      <w:r>
        <w:t>—— </w:t>
      </w:r>
      <w:proofErr w:type="spellStart"/>
      <w:r w:rsidR="00A32F3B">
        <w:t>2008b</w:t>
      </w:r>
      <w:proofErr w:type="spellEnd"/>
      <w:r w:rsidR="00A32F3B">
        <w:t>,</w:t>
      </w:r>
      <w:r w:rsidR="00A32F3B" w:rsidRPr="00A32F3B">
        <w:t xml:space="preserve"> </w:t>
      </w:r>
      <w:r w:rsidR="00A32F3B" w:rsidRPr="00F15282">
        <w:rPr>
          <w:i/>
        </w:rPr>
        <w:t>Cost benefit analysis of smart metering and direct load control</w:t>
      </w:r>
      <w:r w:rsidR="00A32F3B">
        <w:t>, Report to the Ministerial Council on Energy, Work stream 4: Consumer impacts.</w:t>
      </w:r>
    </w:p>
    <w:p w:rsidR="0091083F" w:rsidRDefault="0091083F" w:rsidP="00F15282">
      <w:pPr>
        <w:pStyle w:val="Reference"/>
      </w:pPr>
      <w:r>
        <w:t xml:space="preserve">Origin Energy 2012, </w:t>
      </w:r>
      <w:r w:rsidRPr="00F15282">
        <w:rPr>
          <w:i/>
        </w:rPr>
        <w:t>NSW Pricing Tariffs</w:t>
      </w:r>
      <w:r>
        <w:t xml:space="preserve">, accessed in March 2013 from </w:t>
      </w:r>
      <w:proofErr w:type="spellStart"/>
      <w:r w:rsidR="009C5E92" w:rsidRPr="0091083F">
        <w:t>www.originenergy.com.au</w:t>
      </w:r>
      <w:proofErr w:type="spellEnd"/>
      <w:r>
        <w:t>.</w:t>
      </w:r>
    </w:p>
    <w:p w:rsidR="0091083F" w:rsidRDefault="0091083F" w:rsidP="00F15282">
      <w:pPr>
        <w:pStyle w:val="Reference"/>
      </w:pPr>
      <w:r>
        <w:t>——</w:t>
      </w:r>
      <w:r w:rsidR="00F15282">
        <w:t> </w:t>
      </w:r>
      <w:r>
        <w:t xml:space="preserve">2013, </w:t>
      </w:r>
      <w:r w:rsidRPr="00F15282">
        <w:rPr>
          <w:i/>
        </w:rPr>
        <w:t>Tariff details for Smart Time of Use Explained and Dynamic Saver Explained</w:t>
      </w:r>
      <w:r>
        <w:t xml:space="preserve">, accessed 30 March from </w:t>
      </w:r>
      <w:proofErr w:type="spellStart"/>
      <w:r w:rsidRPr="0091083F">
        <w:t>www.originenergy.com.au</w:t>
      </w:r>
      <w:proofErr w:type="spellEnd"/>
      <w:r>
        <w:t>.</w:t>
      </w:r>
    </w:p>
    <w:p w:rsidR="00CA0ECC" w:rsidRDefault="00CA0ECC" w:rsidP="00F15282">
      <w:pPr>
        <w:pStyle w:val="Reference"/>
      </w:pPr>
      <w:r w:rsidRPr="00CA0ECC">
        <w:t>Queensland Department of Employment, Economic Development and Innovation 2011</w:t>
      </w:r>
      <w:r>
        <w:t xml:space="preserve">, </w:t>
      </w:r>
      <w:r w:rsidRPr="00F15282">
        <w:rPr>
          <w:i/>
        </w:rPr>
        <w:t>Queensland Energy Management Plan</w:t>
      </w:r>
      <w:r>
        <w:t>, May.</w:t>
      </w:r>
    </w:p>
    <w:p w:rsidR="00A32F3B" w:rsidRDefault="00A32F3B" w:rsidP="00F15282">
      <w:pPr>
        <w:pStyle w:val="Reference"/>
      </w:pPr>
      <w:r>
        <w:t xml:space="preserve">Victorian Auditor-General, 2009, </w:t>
      </w:r>
      <w:r w:rsidRPr="00F15282">
        <w:rPr>
          <w:i/>
        </w:rPr>
        <w:t>Toward a ‘smart grid’ — the roll out of advanced metering infrastructure</w:t>
      </w:r>
      <w:r>
        <w:t>, Report 2009</w:t>
      </w:r>
      <w:r w:rsidR="0016366A">
        <w:noBreakHyphen/>
      </w:r>
      <w:r>
        <w:t>10:3, Melbourne.</w:t>
      </w:r>
    </w:p>
    <w:p w:rsidR="00934C1F" w:rsidRPr="00BE11B4" w:rsidRDefault="00934C1F" w:rsidP="00F15282">
      <w:pPr>
        <w:pStyle w:val="Reference"/>
      </w:pPr>
      <w:proofErr w:type="spellStart"/>
      <w:r>
        <w:t>Wilkenfeld</w:t>
      </w:r>
      <w:proofErr w:type="spellEnd"/>
      <w:r w:rsidR="00BE11B4">
        <w:t>, G.</w:t>
      </w:r>
      <w:r>
        <w:t xml:space="preserve"> 201</w:t>
      </w:r>
      <w:r w:rsidR="00640D41">
        <w:t xml:space="preserve">1, </w:t>
      </w:r>
      <w:r w:rsidR="00BE11B4" w:rsidRPr="00F15282">
        <w:rPr>
          <w:i/>
        </w:rPr>
        <w:t>Demand Response Standard AS/</w:t>
      </w:r>
      <w:proofErr w:type="spellStart"/>
      <w:r w:rsidR="00BE11B4" w:rsidRPr="00F15282">
        <w:rPr>
          <w:i/>
        </w:rPr>
        <w:t>NZS</w:t>
      </w:r>
      <w:proofErr w:type="spellEnd"/>
      <w:r w:rsidR="00BE11B4" w:rsidRPr="00F15282">
        <w:rPr>
          <w:i/>
        </w:rPr>
        <w:t xml:space="preserve"> 4755</w:t>
      </w:r>
      <w:r w:rsidR="00BE11B4">
        <w:t xml:space="preserve">, </w:t>
      </w:r>
      <w:r w:rsidR="00BE11B4" w:rsidRPr="00BE11B4">
        <w:t>Consultant to Equipment Energy Efficiency (</w:t>
      </w:r>
      <w:proofErr w:type="spellStart"/>
      <w:r w:rsidR="00BE11B4" w:rsidRPr="00BE11B4">
        <w:t>E3</w:t>
      </w:r>
      <w:proofErr w:type="spellEnd"/>
      <w:r w:rsidR="00BE11B4" w:rsidRPr="00BE11B4">
        <w:t>) Program, Australia. Presentation to APEC Workshop, Seoul, November 2011.</w:t>
      </w:r>
    </w:p>
    <w:sectPr w:rsidR="00934C1F" w:rsidRPr="00BE11B4" w:rsidSect="001A7694">
      <w:headerReference w:type="even" r:id="rId14"/>
      <w:headerReference w:type="default" r:id="rId15"/>
      <w:footerReference w:type="even" r:id="rId16"/>
      <w:footerReference w:type="default" r:id="rId17"/>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BD" w:rsidRDefault="006D3EBD">
      <w:r>
        <w:separator/>
      </w:r>
    </w:p>
  </w:endnote>
  <w:endnote w:type="continuationSeparator" w:id="0">
    <w:p w:rsidR="006D3EBD" w:rsidRDefault="006D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260A98">
      <w:trPr>
        <w:trHeight w:hRule="exact" w:val="740"/>
      </w:trPr>
      <w:tc>
        <w:tcPr>
          <w:tcW w:w="510" w:type="dxa"/>
          <w:tcBorders>
            <w:top w:val="single" w:sz="6" w:space="0" w:color="auto"/>
          </w:tcBorders>
        </w:tcPr>
        <w:p w:rsidR="00260A98" w:rsidRDefault="00260A98"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1638B1">
            <w:rPr>
              <w:rStyle w:val="PageNumber"/>
              <w:noProof/>
            </w:rPr>
            <w:t>32</w:t>
          </w:r>
          <w:r>
            <w:rPr>
              <w:rStyle w:val="PageNumber"/>
            </w:rPr>
            <w:fldChar w:fldCharType="end"/>
          </w:r>
        </w:p>
      </w:tc>
      <w:tc>
        <w:tcPr>
          <w:tcW w:w="1644" w:type="dxa"/>
          <w:tcBorders>
            <w:top w:val="single" w:sz="6" w:space="0" w:color="auto"/>
          </w:tcBorders>
        </w:tcPr>
        <w:p w:rsidR="00260A98" w:rsidRDefault="00976252" w:rsidP="00112833">
          <w:pPr>
            <w:pStyle w:val="Footer"/>
          </w:pPr>
          <w:r>
            <w:fldChar w:fldCharType="begin"/>
          </w:r>
          <w:r>
            <w:instrText xml:space="preserve"> SUBJECT  \* MERGEFORMAT </w:instrText>
          </w:r>
          <w:r>
            <w:fldChar w:fldCharType="separate"/>
          </w:r>
          <w:r w:rsidR="00A71173">
            <w:t xml:space="preserve">Electricity </w:t>
          </w:r>
          <w:proofErr w:type="spellStart"/>
          <w:r w:rsidR="00A71173">
            <w:t>newtork</w:t>
          </w:r>
          <w:proofErr w:type="spellEnd"/>
          <w:r w:rsidR="00A71173">
            <w:t xml:space="preserve"> regulation</w:t>
          </w:r>
          <w:r>
            <w:fldChar w:fldCharType="end"/>
          </w:r>
        </w:p>
      </w:tc>
      <w:tc>
        <w:tcPr>
          <w:tcW w:w="6634" w:type="dxa"/>
        </w:tcPr>
        <w:p w:rsidR="00260A98" w:rsidRDefault="00260A98" w:rsidP="0019293B">
          <w:pPr>
            <w:pStyle w:val="Footer"/>
          </w:pPr>
        </w:p>
      </w:tc>
    </w:tr>
  </w:tbl>
  <w:p w:rsidR="00260A98" w:rsidRDefault="00260A98"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260A98">
      <w:trPr>
        <w:trHeight w:hRule="exact" w:val="740"/>
      </w:trPr>
      <w:tc>
        <w:tcPr>
          <w:tcW w:w="6634" w:type="dxa"/>
        </w:tcPr>
        <w:p w:rsidR="00260A98" w:rsidRDefault="00260A98">
          <w:pPr>
            <w:pStyle w:val="Footer"/>
            <w:ind w:right="360" w:firstLine="360"/>
          </w:pPr>
        </w:p>
      </w:tc>
      <w:tc>
        <w:tcPr>
          <w:tcW w:w="1644" w:type="dxa"/>
          <w:tcBorders>
            <w:top w:val="single" w:sz="6" w:space="0" w:color="auto"/>
          </w:tcBorders>
        </w:tcPr>
        <w:p w:rsidR="00260A98" w:rsidRDefault="00C3619A">
          <w:pPr>
            <w:pStyle w:val="Footer"/>
          </w:pPr>
          <w:fldSimple w:instr=" TITLE  \* MERGEFORMAT ">
            <w:r w:rsidR="00A71173">
              <w:t>Demand management</w:t>
            </w:r>
          </w:fldSimple>
        </w:p>
      </w:tc>
      <w:tc>
        <w:tcPr>
          <w:tcW w:w="510" w:type="dxa"/>
          <w:tcBorders>
            <w:top w:val="single" w:sz="6" w:space="0" w:color="auto"/>
          </w:tcBorders>
        </w:tcPr>
        <w:p w:rsidR="00260A98" w:rsidRDefault="00260A98">
          <w:pPr>
            <w:pStyle w:val="Footer"/>
            <w:jc w:val="right"/>
          </w:pPr>
          <w:r>
            <w:rPr>
              <w:rStyle w:val="PageNumber"/>
            </w:rPr>
            <w:fldChar w:fldCharType="begin"/>
          </w:r>
          <w:r>
            <w:rPr>
              <w:rStyle w:val="PageNumber"/>
            </w:rPr>
            <w:instrText xml:space="preserve">PAGE  </w:instrText>
          </w:r>
          <w:r>
            <w:rPr>
              <w:rStyle w:val="PageNumber"/>
            </w:rPr>
            <w:fldChar w:fldCharType="separate"/>
          </w:r>
          <w:r w:rsidR="001638B1">
            <w:rPr>
              <w:rStyle w:val="PageNumber"/>
              <w:noProof/>
            </w:rPr>
            <w:t>33</w:t>
          </w:r>
          <w:r>
            <w:rPr>
              <w:rStyle w:val="PageNumber"/>
            </w:rPr>
            <w:fldChar w:fldCharType="end"/>
          </w:r>
        </w:p>
      </w:tc>
    </w:tr>
  </w:tbl>
  <w:p w:rsidR="00260A98" w:rsidRDefault="00260A98">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BD" w:rsidRDefault="006D3EBD">
      <w:r>
        <w:separator/>
      </w:r>
    </w:p>
  </w:footnote>
  <w:footnote w:type="continuationSeparator" w:id="0">
    <w:p w:rsidR="006D3EBD" w:rsidRDefault="006D3EBD">
      <w:r>
        <w:continuationSeparator/>
      </w:r>
    </w:p>
  </w:footnote>
  <w:footnote w:id="1">
    <w:p w:rsidR="006D3EBD" w:rsidRDefault="006D3EBD" w:rsidP="009C783C">
      <w:pPr>
        <w:pStyle w:val="FootnoteText"/>
      </w:pPr>
      <w:r>
        <w:rPr>
          <w:rStyle w:val="FootnoteReference"/>
        </w:rPr>
        <w:footnoteRef/>
      </w:r>
      <w:r>
        <w:t xml:space="preserve"> </w:t>
      </w:r>
      <w:r>
        <w:tab/>
      </w:r>
      <w:r w:rsidRPr="00FE6D67">
        <w:t xml:space="preserve">Power factor describes how efficiently generation of electricity is converted into useful work. A power factor below the maximum of </w:t>
      </w:r>
      <w:r>
        <w:t>one</w:t>
      </w:r>
      <w:r w:rsidRPr="00FE6D67">
        <w:t xml:space="preserve"> indicates that the network and generators must supply more than the minimum volt-amperes of ‘reactive power’ necessary for a given amount of ‘real power’ provided to the consumer.</w:t>
      </w:r>
      <w:r>
        <w:t xml:space="preserve"> P</w:t>
      </w:r>
      <w:r w:rsidRPr="00FE6D67">
        <w:t xml:space="preserve">oor power factor is </w:t>
      </w:r>
      <w:r>
        <w:t>addressed</w:t>
      </w:r>
      <w:r w:rsidRPr="00FE6D67">
        <w:t xml:space="preserve"> by installing capacitor banks </w:t>
      </w:r>
      <w:r>
        <w:t xml:space="preserve">operating </w:t>
      </w:r>
      <w:r w:rsidRPr="00FE6D67">
        <w:t xml:space="preserve">at low voltage </w:t>
      </w:r>
      <w:r>
        <w:t>to reduce</w:t>
      </w:r>
      <w:r w:rsidRPr="00FE6D67">
        <w:t xml:space="preserve"> </w:t>
      </w:r>
      <w:r>
        <w:t xml:space="preserve">the </w:t>
      </w:r>
      <w:r w:rsidRPr="00FE6D67">
        <w:t>total power supplied to a customer’s premises</w:t>
      </w:r>
      <w:r>
        <w:t xml:space="preserve"> (</w:t>
      </w:r>
      <w:proofErr w:type="spellStart"/>
      <w:r>
        <w:t>Futura</w:t>
      </w:r>
      <w:proofErr w:type="spellEnd"/>
      <w:r>
        <w:t xml:space="preserve"> 2011, p. 6), with benefits for </w:t>
      </w:r>
      <w:r w:rsidRPr="00FE6D67">
        <w:t>upstream network</w:t>
      </w:r>
      <w:r>
        <w:t xml:space="preserve"> infrastructure</w:t>
      </w:r>
      <w:r w:rsidRPr="00FE6D67">
        <w:t>.</w:t>
      </w:r>
    </w:p>
  </w:footnote>
  <w:footnote w:id="2">
    <w:p w:rsidR="006D3EBD" w:rsidRDefault="006D3EBD" w:rsidP="00CE0F24">
      <w:pPr>
        <w:pStyle w:val="FootnoteText"/>
      </w:pPr>
      <w:r>
        <w:rPr>
          <w:rStyle w:val="FootnoteReference"/>
        </w:rPr>
        <w:footnoteRef/>
      </w:r>
      <w:r>
        <w:t xml:space="preserve"> </w:t>
      </w:r>
      <w:r>
        <w:tab/>
      </w:r>
      <w:r>
        <w:rPr>
          <w:lang w:eastAsia="en-US"/>
        </w:rPr>
        <w:t xml:space="preserve">The number of customers participating in the various demand management options and the amount of critical peak electricity demand at stake differs substantially across the scenarios. As such, the magnitude of the costs and benefits also differs substantially. The assumed number of customers for most scenarios has been based on trial participation rates. </w:t>
      </w:r>
    </w:p>
  </w:footnote>
  <w:footnote w:id="3">
    <w:p w:rsidR="006D3EBD" w:rsidRDefault="006D3EBD">
      <w:pPr>
        <w:pStyle w:val="FootnoteText"/>
      </w:pPr>
      <w:r>
        <w:rPr>
          <w:rStyle w:val="FootnoteReference"/>
        </w:rPr>
        <w:footnoteRef/>
      </w:r>
      <w:r>
        <w:t xml:space="preserve"> </w:t>
      </w:r>
      <w:r>
        <w:tab/>
        <w:t>In the literature on the demand response of customers, this is sometimes referred to as seasonal time of use (</w:t>
      </w:r>
      <w:proofErr w:type="spellStart"/>
      <w:r>
        <w:t>TOU</w:t>
      </w:r>
      <w:proofErr w:type="spellEnd"/>
      <w:r>
        <w:t xml:space="preserve">) pricing or </w:t>
      </w:r>
      <w:proofErr w:type="spellStart"/>
      <w:r>
        <w:t>STOU</w:t>
      </w:r>
      <w:proofErr w:type="spellEnd"/>
      <w:r>
        <w:t xml:space="preserve"> pricing.</w:t>
      </w:r>
    </w:p>
  </w:footnote>
  <w:footnote w:id="4">
    <w:p w:rsidR="006D3EBD" w:rsidRDefault="006D3EBD" w:rsidP="008A4881">
      <w:pPr>
        <w:pStyle w:val="FootnoteText"/>
      </w:pPr>
      <w:r>
        <w:rPr>
          <w:rStyle w:val="FootnoteReference"/>
        </w:rPr>
        <w:footnoteRef/>
      </w:r>
      <w:r>
        <w:t xml:space="preserve"> </w:t>
      </w:r>
      <w:r>
        <w:tab/>
      </w:r>
      <w:proofErr w:type="spellStart"/>
      <w:r>
        <w:t>Ausgrid</w:t>
      </w:r>
      <w:proofErr w:type="spellEnd"/>
      <w:r>
        <w:t xml:space="preserve"> noted that there were opportunities to improve the design of its time of use tariffs, highlighting the broad definition of its tariff. Its definition for time of use (peak, shoulder and off-peak) covers both the evening winter and summer peak across the whole network. </w:t>
      </w:r>
      <w:proofErr w:type="spellStart"/>
      <w:r>
        <w:t>Ausgrid</w:t>
      </w:r>
      <w:proofErr w:type="spellEnd"/>
      <w:r>
        <w:t xml:space="preserve"> argued that such a broad definition ‘has the potential to undermine economic efficiency even if peak energy charges are set reflective of </w:t>
      </w:r>
      <w:proofErr w:type="spellStart"/>
      <w:r>
        <w:t>LRMC</w:t>
      </w:r>
      <w:proofErr w:type="spellEnd"/>
      <w:r>
        <w:t xml:space="preserve"> because the network is not congested on all business days’ (2012, p. 31).</w:t>
      </w:r>
    </w:p>
  </w:footnote>
  <w:footnote w:id="5">
    <w:p w:rsidR="006D3EBD" w:rsidRDefault="006D3EBD">
      <w:pPr>
        <w:pStyle w:val="FootnoteText"/>
      </w:pPr>
      <w:r>
        <w:rPr>
          <w:rStyle w:val="FootnoteReference"/>
        </w:rPr>
        <w:footnoteRef/>
      </w:r>
      <w:r>
        <w:t xml:space="preserve"> </w:t>
      </w:r>
      <w:r>
        <w:tab/>
        <w:t xml:space="preserve">Even these charges are at the upper end of the variations in retail </w:t>
      </w:r>
      <w:proofErr w:type="spellStart"/>
      <w:r>
        <w:t>TOU</w:t>
      </w:r>
      <w:proofErr w:type="spellEnd"/>
      <w:r>
        <w:t xml:space="preserve"> charges for various electricity retailers in Australia.</w:t>
      </w:r>
    </w:p>
  </w:footnote>
  <w:footnote w:id="6">
    <w:p w:rsidR="006D3EBD" w:rsidRDefault="006D3EBD">
      <w:pPr>
        <w:pStyle w:val="FootnoteText"/>
      </w:pPr>
      <w:r>
        <w:rPr>
          <w:rStyle w:val="FootnoteReference"/>
        </w:rPr>
        <w:footnoteRef/>
      </w:r>
      <w:r>
        <w:t xml:space="preserve"> The </w:t>
      </w:r>
      <w:proofErr w:type="spellStart"/>
      <w:r>
        <w:t>AER</w:t>
      </w:r>
      <w:proofErr w:type="spellEnd"/>
      <w:r>
        <w:t xml:space="preserve"> (2012, p. 11) approved a charge for </w:t>
      </w:r>
      <w:proofErr w:type="spellStart"/>
      <w:r>
        <w:t>SP</w:t>
      </w:r>
      <w:proofErr w:type="spellEnd"/>
      <w:r>
        <w:t xml:space="preserve"> </w:t>
      </w:r>
      <w:proofErr w:type="spellStart"/>
      <w:r>
        <w:t>AusNet’s</w:t>
      </w:r>
      <w:proofErr w:type="spellEnd"/>
      <w:r>
        <w:t xml:space="preserve"> ‘single phase single’ meter charges of around $130 per customer, while the allowed charges for its meter with ‘</w:t>
      </w:r>
      <w:r w:rsidRPr="008D213E">
        <w:t>Multi phase current transformer connected</w:t>
      </w:r>
      <w:r>
        <w:t>’ was around $260.</w:t>
      </w:r>
    </w:p>
  </w:footnote>
  <w:footnote w:id="7">
    <w:p w:rsidR="006D3EBD" w:rsidRDefault="006D3EBD" w:rsidP="00B46CE6">
      <w:pPr>
        <w:pStyle w:val="FootnoteText"/>
      </w:pPr>
      <w:r>
        <w:rPr>
          <w:rStyle w:val="FootnoteReference"/>
        </w:rPr>
        <w:footnoteRef/>
      </w:r>
      <w:r>
        <w:tab/>
      </w:r>
      <w:r w:rsidRPr="00F54044">
        <w:t>For example, if a smart meter is accompanied by an in-home display, consumers can then make more informed decisions about energy conservation or realise the potential for lowering their costs during peak periods.</w:t>
      </w:r>
      <w:r>
        <w:t xml:space="preserve"> </w:t>
      </w:r>
      <w:r w:rsidRPr="00946D27">
        <w:t>The Commission has not included any benefits or costs from in-home displays, given uncertain evidence about their benefits (</w:t>
      </w:r>
      <w:proofErr w:type="spellStart"/>
      <w:r w:rsidRPr="00946D27">
        <w:t>Futura</w:t>
      </w:r>
      <w:proofErr w:type="spellEnd"/>
      <w:r w:rsidRPr="00946D27">
        <w:t xml:space="preserve"> 2011, p. 14) and the fact that they are an optional feature of smart meters.</w:t>
      </w:r>
    </w:p>
  </w:footnote>
  <w:footnote w:id="8">
    <w:p w:rsidR="006D3EBD" w:rsidRDefault="006D3EBD" w:rsidP="00B46CE6">
      <w:pPr>
        <w:pStyle w:val="FootnoteText"/>
      </w:pPr>
      <w:r>
        <w:rPr>
          <w:rStyle w:val="FootnoteReference"/>
        </w:rPr>
        <w:footnoteRef/>
      </w:r>
      <w:r>
        <w:t xml:space="preserve"> </w:t>
      </w:r>
      <w:r>
        <w:tab/>
        <w:t>Mechanical accumulation meters have an expected life of 40 years and electronic ones a life of 15 years.</w:t>
      </w:r>
    </w:p>
  </w:footnote>
  <w:footnote w:id="9">
    <w:p w:rsidR="006D3EBD" w:rsidRDefault="006D3EBD">
      <w:pPr>
        <w:pStyle w:val="FootnoteText"/>
      </w:pPr>
      <w:r>
        <w:rPr>
          <w:rStyle w:val="FootnoteReference"/>
        </w:rPr>
        <w:footnoteRef/>
      </w:r>
      <w:r>
        <w:t xml:space="preserve"> </w:t>
      </w:r>
      <w:r>
        <w:tab/>
        <w:t>The estimates from Deloitte required conversion of a net present value of benefits into an estimated annual cost per meter over its life. An eight per cent discount rate was used.</w:t>
      </w:r>
    </w:p>
  </w:footnote>
  <w:footnote w:id="10">
    <w:p w:rsidR="006D3EBD" w:rsidRDefault="006D3EBD" w:rsidP="00F637D1">
      <w:pPr>
        <w:pStyle w:val="FootnoteText"/>
      </w:pPr>
      <w:r>
        <w:rPr>
          <w:rStyle w:val="FootnoteReference"/>
        </w:rPr>
        <w:footnoteRef/>
      </w:r>
      <w:r>
        <w:t xml:space="preserve"> </w:t>
      </w:r>
      <w:r>
        <w:tab/>
        <w:t>Accordingly, $1500 may underestimate the true costs of retrofitting the overall stock of air conditioners (though the costs of retrofitting may change with innovation).</w:t>
      </w:r>
    </w:p>
  </w:footnote>
  <w:footnote w:id="11">
    <w:p w:rsidR="006D3EBD" w:rsidRDefault="006D3EBD" w:rsidP="00F637D1">
      <w:pPr>
        <w:pStyle w:val="FootnoteText"/>
      </w:pPr>
      <w:r>
        <w:rPr>
          <w:rStyle w:val="FootnoteReference"/>
        </w:rPr>
        <w:footnoteRef/>
      </w:r>
      <w:r>
        <w:t xml:space="preserve"> </w:t>
      </w:r>
      <w:r>
        <w:tab/>
        <w:t>If the component could be installed to a unit outside the house.</w:t>
      </w:r>
    </w:p>
  </w:footnote>
  <w:footnote w:id="12">
    <w:p w:rsidR="006D3EBD" w:rsidRDefault="006D3EBD">
      <w:pPr>
        <w:pStyle w:val="FootnoteText"/>
      </w:pPr>
      <w:r>
        <w:rPr>
          <w:rStyle w:val="FootnoteReference"/>
        </w:rPr>
        <w:footnoteRef/>
      </w:r>
      <w:r>
        <w:t xml:space="preserve"> </w:t>
      </w:r>
      <w:r>
        <w:tab/>
        <w:t xml:space="preserve">In South-East Queensland, Energex provides incentives for households to install so-called </w:t>
      </w:r>
      <w:proofErr w:type="spellStart"/>
      <w:r>
        <w:t>PeakSmart</w:t>
      </w:r>
      <w:proofErr w:type="spellEnd"/>
      <w:r>
        <w:t xml:space="preserve"> compatible air conditioners (and letting the network use them to control peak demand). A </w:t>
      </w:r>
      <w:r w:rsidRPr="006572AD">
        <w:t>small de</w:t>
      </w:r>
      <w:r>
        <w:t xml:space="preserve">vice installed in </w:t>
      </w:r>
      <w:proofErr w:type="spellStart"/>
      <w:r>
        <w:t>PeakSmart</w:t>
      </w:r>
      <w:proofErr w:type="spellEnd"/>
      <w:r>
        <w:t xml:space="preserve"> air </w:t>
      </w:r>
      <w:r w:rsidRPr="006572AD">
        <w:t xml:space="preserve">conditioners </w:t>
      </w:r>
      <w:r>
        <w:t xml:space="preserve">receives remote </w:t>
      </w:r>
      <w:r w:rsidRPr="006572AD">
        <w:t>signal</w:t>
      </w:r>
      <w:r>
        <w:t>s that cap the energy consumption of the air </w:t>
      </w:r>
      <w:r w:rsidRPr="006572AD">
        <w:t>conditioner</w:t>
      </w:r>
      <w:r>
        <w:t>s</w:t>
      </w:r>
      <w:r w:rsidRPr="006572AD">
        <w:t xml:space="preserve"> when the electricity network reaches peak demand.</w:t>
      </w:r>
      <w:r>
        <w:t xml:space="preserve"> Households receive an incentive of $250 in gift vouchers for purchasing and installing a split inverter </w:t>
      </w:r>
      <w:proofErr w:type="spellStart"/>
      <w:r>
        <w:t>PeakSmart</w:t>
      </w:r>
      <w:proofErr w:type="spellEnd"/>
      <w:r>
        <w:t xml:space="preserve"> compatible air conditioner and a $500 in gift vouchers for purchasing and installing a </w:t>
      </w:r>
      <w:proofErr w:type="spellStart"/>
      <w:r>
        <w:t>PeakSmart</w:t>
      </w:r>
      <w:proofErr w:type="spellEnd"/>
      <w:r>
        <w:t xml:space="preserve"> compatible ducted system. (Energex offers similar incentives for people signing up to pool pumps timed to operate outside of peak hours.)</w:t>
      </w:r>
    </w:p>
  </w:footnote>
  <w:footnote w:id="13">
    <w:p w:rsidR="006D3EBD" w:rsidRDefault="006D3EBD" w:rsidP="00582AE1">
      <w:pPr>
        <w:pStyle w:val="FootnoteText"/>
      </w:pPr>
      <w:r>
        <w:rPr>
          <w:rStyle w:val="FootnoteReference"/>
        </w:rPr>
        <w:footnoteRef/>
      </w:r>
      <w:r>
        <w:tab/>
        <w:t xml:space="preserve">For example, Ernst and Young (2011) undertook a thorough examination of the rationales and drivers for demand side participation in the </w:t>
      </w:r>
      <w:proofErr w:type="spellStart"/>
      <w:r>
        <w:t>NEM</w:t>
      </w:r>
      <w:proofErr w:type="spellEnd"/>
      <w:r>
        <w:t xml:space="preserve">, including estimates of the value of deferring investment. They estimated that the deferral value for distribution networks lay between $50 and $300 per kVA per annum, but were puzzled by the gap between these estimates and </w:t>
      </w:r>
      <w:proofErr w:type="spellStart"/>
      <w:r>
        <w:t>Ausgrid’s</w:t>
      </w:r>
      <w:proofErr w:type="spellEnd"/>
      <w:r>
        <w:t xml:space="preserve"> estimate of $1,600/kW to $5,100/kW </w:t>
      </w:r>
      <w:r w:rsidRPr="00582AE1">
        <w:t>for distribution and transmission combined</w:t>
      </w:r>
      <w:r>
        <w:t xml:space="preserve"> (ibid, p. 89</w:t>
      </w:r>
      <w:r w:rsidRPr="00582AE1">
        <w:t>)</w:t>
      </w:r>
      <w:r>
        <w:t xml:space="preserve">. The distinction is that the former measure is the long-run marginal costs, and the latter the full upfront investment cost for expanding the network by a kW for the life of the investment (the short-run marginal cost when a system is constrained). </w:t>
      </w:r>
    </w:p>
  </w:footnote>
  <w:footnote w:id="14">
    <w:p w:rsidR="006D3EBD" w:rsidRDefault="006D3EBD" w:rsidP="00AD0240">
      <w:pPr>
        <w:pStyle w:val="FootnoteText"/>
      </w:pPr>
      <w:r>
        <w:rPr>
          <w:rStyle w:val="FootnoteReference"/>
        </w:rPr>
        <w:footnoteRef/>
      </w:r>
      <w:r>
        <w:tab/>
      </w:r>
      <w:r w:rsidRPr="00796E42">
        <w:t>Subsequently, the short-run marginal cost would be low (reflecting operational costs alone).</w:t>
      </w:r>
    </w:p>
  </w:footnote>
  <w:footnote w:id="15">
    <w:p w:rsidR="006D3EBD" w:rsidRDefault="006D3EBD" w:rsidP="00AD0240">
      <w:pPr>
        <w:pStyle w:val="FootnoteText"/>
      </w:pPr>
      <w:r>
        <w:rPr>
          <w:rStyle w:val="FootnoteReference"/>
        </w:rPr>
        <w:footnoteRef/>
      </w:r>
      <w:r>
        <w:t xml:space="preserve"> The information was obtained from personal communications with various network businesses; network business pricing proposals; </w:t>
      </w:r>
      <w:proofErr w:type="spellStart"/>
      <w:r>
        <w:t>Futura</w:t>
      </w:r>
      <w:proofErr w:type="spellEnd"/>
      <w:r>
        <w:t xml:space="preserve"> (2009, p. 70); Oakley Greenwood (</w:t>
      </w:r>
      <w:proofErr w:type="spellStart"/>
      <w:r>
        <w:t>2010a</w:t>
      </w:r>
      <w:proofErr w:type="spellEnd"/>
      <w:r>
        <w:t>, p. 39, p. 41); Deloitte (2012, pp. 20</w:t>
      </w:r>
      <w:r>
        <w:noBreakHyphen/>
        <w:t xml:space="preserve">23), the Queensland </w:t>
      </w:r>
      <w:r w:rsidRPr="00170E85">
        <w:t xml:space="preserve">Department of Employment, Economic </w:t>
      </w:r>
      <w:r>
        <w:t>D</w:t>
      </w:r>
      <w:r w:rsidRPr="00170E85">
        <w:t>evelopment and Innovation</w:t>
      </w:r>
      <w:r>
        <w:t xml:space="preserve"> (2011, p. 1) and AECOM (2012, pp. </w:t>
      </w:r>
      <w:proofErr w:type="spellStart"/>
      <w:r>
        <w:t>57ff</w:t>
      </w:r>
      <w:proofErr w:type="spellEnd"/>
      <w:r>
        <w:t>).</w:t>
      </w:r>
    </w:p>
  </w:footnote>
  <w:footnote w:id="16">
    <w:p w:rsidR="006D3EBD" w:rsidRDefault="006D3EBD" w:rsidP="00B614A8">
      <w:pPr>
        <w:pStyle w:val="FootnoteText"/>
      </w:pPr>
      <w:r>
        <w:rPr>
          <w:rStyle w:val="FootnoteReference"/>
        </w:rPr>
        <w:footnoteRef/>
      </w:r>
      <w:r>
        <w:tab/>
        <w:t>These figures were revised from the draft technical paper following inclusion of data from AECOM (2012), which was recommended as a useful data source by a major distribution business.</w:t>
      </w:r>
    </w:p>
  </w:footnote>
  <w:footnote w:id="17">
    <w:p w:rsidR="006D3EBD" w:rsidRDefault="006D3EBD">
      <w:pPr>
        <w:pStyle w:val="FootnoteText"/>
      </w:pPr>
      <w:r>
        <w:rPr>
          <w:rStyle w:val="FootnoteReference"/>
        </w:rPr>
        <w:footnoteRef/>
      </w:r>
      <w:r>
        <w:t xml:space="preserve"> Where the deferral is for just one year, the deferral value of an investment is around </w:t>
      </w:r>
      <w:proofErr w:type="spellStart"/>
      <w:r>
        <w:t>I×r</w:t>
      </w:r>
      <w:proofErr w:type="spellEnd"/>
      <w:r>
        <w:t>/(</w:t>
      </w:r>
      <w:proofErr w:type="spellStart"/>
      <w:r>
        <w:t>1+r</w:t>
      </w:r>
      <w:proofErr w:type="spellEnd"/>
      <w:r>
        <w:t xml:space="preserve">), where r is the discount rate and I is the value of the lumpy investment. This also approximately equal to the </w:t>
      </w:r>
      <w:proofErr w:type="spellStart"/>
      <w:r>
        <w:t>LRMC</w:t>
      </w:r>
      <w:proofErr w:type="spellEnd"/>
      <w:r>
        <w:t xml:space="preserve">, which provides a link between the two measures. </w:t>
      </w:r>
    </w:p>
  </w:footnote>
  <w:footnote w:id="18">
    <w:p w:rsidR="006D3EBD" w:rsidRDefault="006D3EBD">
      <w:pPr>
        <w:pStyle w:val="FootnoteText"/>
      </w:pPr>
      <w:r>
        <w:rPr>
          <w:rStyle w:val="FootnoteReference"/>
        </w:rPr>
        <w:footnoteRef/>
      </w:r>
      <w:r>
        <w:tab/>
        <w:t>However, in one variation of scenario 1, the Commission also considers the benefits of a one</w:t>
      </w:r>
      <w:r>
        <w:noBreakHyphen/>
        <w:t xml:space="preserve">year deferral of a lumpy distribution network investment. This variation is shown in the accompanying </w:t>
      </w:r>
      <w:proofErr w:type="spellStart"/>
      <w:r>
        <w:t>spreadsheet</w:t>
      </w:r>
      <w:proofErr w:type="spellEnd"/>
      <w:r>
        <w:t xml:space="preserve"> (in the ‘Constrained peaky networks (</w:t>
      </w:r>
      <w:proofErr w:type="spellStart"/>
      <w:r>
        <w:t>v2</w:t>
      </w:r>
      <w:proofErr w:type="spellEnd"/>
      <w:r>
        <w:t xml:space="preserve">)’ tab), but not in the results of this paper or the main report. </w:t>
      </w:r>
    </w:p>
  </w:footnote>
  <w:footnote w:id="19">
    <w:p w:rsidR="006D3EBD" w:rsidRDefault="006D3EBD">
      <w:pPr>
        <w:pStyle w:val="FootnoteText"/>
      </w:pPr>
      <w:r>
        <w:rPr>
          <w:rStyle w:val="FootnoteReference"/>
        </w:rPr>
        <w:footnoteRef/>
      </w:r>
      <w:r>
        <w:t xml:space="preserve"> Determining the ‘right’ discount rate for cost-benefit analysis is very difficult. In undertaking this indicative analysis, the Commission has adopted 8 per cent, in line with the findings of Harrison (2010, p. viii). </w:t>
      </w:r>
    </w:p>
  </w:footnote>
  <w:footnote w:id="20">
    <w:p w:rsidR="006D3EBD" w:rsidRPr="00F1528F" w:rsidRDefault="006D3EBD">
      <w:pPr>
        <w:pStyle w:val="FootnoteText"/>
      </w:pPr>
      <w:r>
        <w:rPr>
          <w:rStyle w:val="FootnoteReference"/>
        </w:rPr>
        <w:footnoteRef/>
      </w:r>
      <w:r>
        <w:t xml:space="preserve"> </w:t>
      </w:r>
      <w:r>
        <w:tab/>
        <w:t>All models assume a discount rate of 8 per 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60A98">
      <w:tc>
        <w:tcPr>
          <w:tcW w:w="2155" w:type="dxa"/>
          <w:tcBorders>
            <w:top w:val="single" w:sz="24" w:space="0" w:color="auto"/>
          </w:tcBorders>
        </w:tcPr>
        <w:p w:rsidR="00260A98" w:rsidRDefault="00260A98" w:rsidP="0019293B">
          <w:pPr>
            <w:pStyle w:val="HeaderEven"/>
          </w:pPr>
        </w:p>
      </w:tc>
      <w:tc>
        <w:tcPr>
          <w:tcW w:w="6634" w:type="dxa"/>
          <w:tcBorders>
            <w:top w:val="single" w:sz="6" w:space="0" w:color="auto"/>
          </w:tcBorders>
        </w:tcPr>
        <w:p w:rsidR="00260A98" w:rsidRDefault="00260A98" w:rsidP="0019293B">
          <w:pPr>
            <w:pStyle w:val="HeaderEven"/>
          </w:pPr>
        </w:p>
      </w:tc>
    </w:tr>
  </w:tbl>
  <w:p w:rsidR="00260A98" w:rsidRDefault="00260A98"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60A98">
      <w:tc>
        <w:tcPr>
          <w:tcW w:w="6634" w:type="dxa"/>
          <w:tcBorders>
            <w:top w:val="single" w:sz="6" w:space="0" w:color="auto"/>
          </w:tcBorders>
        </w:tcPr>
        <w:p w:rsidR="00260A98" w:rsidRDefault="00260A98" w:rsidP="00E669E2">
          <w:pPr>
            <w:pStyle w:val="HeaderOdd"/>
          </w:pPr>
        </w:p>
      </w:tc>
      <w:tc>
        <w:tcPr>
          <w:tcW w:w="2155" w:type="dxa"/>
          <w:tcBorders>
            <w:top w:val="single" w:sz="24" w:space="0" w:color="auto"/>
          </w:tcBorders>
        </w:tcPr>
        <w:p w:rsidR="00260A98" w:rsidRDefault="00260A98" w:rsidP="00E669E2">
          <w:pPr>
            <w:pStyle w:val="HeaderOdd"/>
          </w:pPr>
        </w:p>
      </w:tc>
    </w:tr>
  </w:tbl>
  <w:p w:rsidR="00260A98" w:rsidRDefault="00260A98"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B5AF1CA"/>
    <w:lvl w:ilvl="0">
      <w:start w:val="1"/>
      <w:numFmt w:val="decimal"/>
      <w:lvlText w:val="%1."/>
      <w:lvlJc w:val="left"/>
      <w:pPr>
        <w:tabs>
          <w:tab w:val="num" w:pos="360"/>
        </w:tabs>
        <w:ind w:left="360" w:hanging="360"/>
      </w:pPr>
    </w:lvl>
  </w:abstractNum>
  <w:abstractNum w:abstractNumId="1">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3092611"/>
    <w:multiLevelType w:val="hybridMultilevel"/>
    <w:tmpl w:val="531E16F6"/>
    <w:lvl w:ilvl="0" w:tplc="59A0D8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8">
    <w:nsid w:val="701F1AE3"/>
    <w:multiLevelType w:val="hybridMultilevel"/>
    <w:tmpl w:val="777668E6"/>
    <w:lvl w:ilvl="0" w:tplc="E1E216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5"/>
  </w:num>
  <w:num w:numId="3">
    <w:abstractNumId w:val="19"/>
  </w:num>
  <w:num w:numId="4">
    <w:abstractNumId w:val="2"/>
  </w:num>
  <w:num w:numId="5">
    <w:abstractNumId w:val="13"/>
  </w:num>
  <w:num w:numId="6">
    <w:abstractNumId w:val="4"/>
  </w:num>
  <w:num w:numId="7">
    <w:abstractNumId w:val="17"/>
  </w:num>
  <w:num w:numId="8">
    <w:abstractNumId w:val="15"/>
  </w:num>
  <w:num w:numId="9">
    <w:abstractNumId w:val="20"/>
  </w:num>
  <w:num w:numId="10">
    <w:abstractNumId w:val="8"/>
  </w:num>
  <w:num w:numId="11">
    <w:abstractNumId w:val="14"/>
  </w:num>
  <w:num w:numId="12">
    <w:abstractNumId w:val="7"/>
  </w:num>
  <w:num w:numId="13">
    <w:abstractNumId w:val="6"/>
  </w:num>
  <w:num w:numId="14">
    <w:abstractNumId w:val="9"/>
  </w:num>
  <w:num w:numId="15">
    <w:abstractNumId w:val="10"/>
  </w:num>
  <w:num w:numId="16">
    <w:abstractNumId w:val="12"/>
  </w:num>
  <w:num w:numId="17">
    <w:abstractNumId w:val="5"/>
  </w:num>
  <w:num w:numId="18">
    <w:abstractNumId w:val="16"/>
  </w:num>
  <w:num w:numId="19">
    <w:abstractNumId w:val="1"/>
  </w:num>
  <w:num w:numId="20">
    <w:abstractNumId w:val="5"/>
  </w:num>
  <w:num w:numId="21">
    <w:abstractNumId w:val="0"/>
  </w:num>
  <w:num w:numId="22">
    <w:abstractNumId w:val="3"/>
  </w:num>
  <w:num w:numId="23">
    <w:abstractNumId w:val="13"/>
  </w:num>
  <w:num w:numId="24">
    <w:abstractNumId w:val="18"/>
  </w:num>
  <w:num w:numId="2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AU" w:vendorID="64" w:dllVersion="131078" w:nlCheck="1" w:checkStyle="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1"/>
    <w:docVar w:name="FindingOptions" w:val="1"/>
    <w:docVar w:name="RecOptions" w:val="111"/>
    <w:docVar w:name="ShortChapterTitle" w:val="Demand management"/>
    <w:docVar w:name="ShortReportTitle" w:val="Electricity newtork regulation"/>
  </w:docVars>
  <w:rsids>
    <w:rsidRoot w:val="007D2BAB"/>
    <w:rsid w:val="000000B8"/>
    <w:rsid w:val="00000FE9"/>
    <w:rsid w:val="000024B5"/>
    <w:rsid w:val="00006103"/>
    <w:rsid w:val="00006906"/>
    <w:rsid w:val="00007631"/>
    <w:rsid w:val="0001007F"/>
    <w:rsid w:val="00011B1C"/>
    <w:rsid w:val="00014682"/>
    <w:rsid w:val="00014B2B"/>
    <w:rsid w:val="00017300"/>
    <w:rsid w:val="00017EF4"/>
    <w:rsid w:val="000218F6"/>
    <w:rsid w:val="000227D5"/>
    <w:rsid w:val="00022F30"/>
    <w:rsid w:val="000245AA"/>
    <w:rsid w:val="00031AB0"/>
    <w:rsid w:val="00032989"/>
    <w:rsid w:val="0003498E"/>
    <w:rsid w:val="00035CB9"/>
    <w:rsid w:val="0003664B"/>
    <w:rsid w:val="0003717D"/>
    <w:rsid w:val="0004111F"/>
    <w:rsid w:val="00047E00"/>
    <w:rsid w:val="0005165D"/>
    <w:rsid w:val="00054915"/>
    <w:rsid w:val="0005569F"/>
    <w:rsid w:val="00055922"/>
    <w:rsid w:val="00055ACD"/>
    <w:rsid w:val="000565B3"/>
    <w:rsid w:val="00056712"/>
    <w:rsid w:val="00060D89"/>
    <w:rsid w:val="0007150B"/>
    <w:rsid w:val="000738BA"/>
    <w:rsid w:val="00076A79"/>
    <w:rsid w:val="00077CED"/>
    <w:rsid w:val="00082016"/>
    <w:rsid w:val="00082E45"/>
    <w:rsid w:val="00083308"/>
    <w:rsid w:val="0008577C"/>
    <w:rsid w:val="00092837"/>
    <w:rsid w:val="000928C9"/>
    <w:rsid w:val="000938F5"/>
    <w:rsid w:val="00093AC4"/>
    <w:rsid w:val="00093C22"/>
    <w:rsid w:val="000943C7"/>
    <w:rsid w:val="00094476"/>
    <w:rsid w:val="000950BF"/>
    <w:rsid w:val="00095C1B"/>
    <w:rsid w:val="00095F7B"/>
    <w:rsid w:val="000960CE"/>
    <w:rsid w:val="00096668"/>
    <w:rsid w:val="00096E55"/>
    <w:rsid w:val="00097D4F"/>
    <w:rsid w:val="000A199F"/>
    <w:rsid w:val="000A2E88"/>
    <w:rsid w:val="000B07BE"/>
    <w:rsid w:val="000B440A"/>
    <w:rsid w:val="000B52F2"/>
    <w:rsid w:val="000B601B"/>
    <w:rsid w:val="000C0819"/>
    <w:rsid w:val="000C0A10"/>
    <w:rsid w:val="000C207E"/>
    <w:rsid w:val="000C23F9"/>
    <w:rsid w:val="000C242C"/>
    <w:rsid w:val="000C2D59"/>
    <w:rsid w:val="000C50D7"/>
    <w:rsid w:val="000C7ABE"/>
    <w:rsid w:val="000C7AF5"/>
    <w:rsid w:val="000D08B1"/>
    <w:rsid w:val="000D0AB7"/>
    <w:rsid w:val="000D1858"/>
    <w:rsid w:val="000D1FB7"/>
    <w:rsid w:val="000E4C07"/>
    <w:rsid w:val="000E5ED7"/>
    <w:rsid w:val="000F0035"/>
    <w:rsid w:val="000F420B"/>
    <w:rsid w:val="000F4721"/>
    <w:rsid w:val="000F57D6"/>
    <w:rsid w:val="000F58F0"/>
    <w:rsid w:val="001004E9"/>
    <w:rsid w:val="00104577"/>
    <w:rsid w:val="001050E9"/>
    <w:rsid w:val="00107577"/>
    <w:rsid w:val="00110116"/>
    <w:rsid w:val="00111305"/>
    <w:rsid w:val="001114C0"/>
    <w:rsid w:val="00111CFA"/>
    <w:rsid w:val="00112833"/>
    <w:rsid w:val="001130D0"/>
    <w:rsid w:val="00113B56"/>
    <w:rsid w:val="00114972"/>
    <w:rsid w:val="00120072"/>
    <w:rsid w:val="0012289B"/>
    <w:rsid w:val="00124DAE"/>
    <w:rsid w:val="00125C68"/>
    <w:rsid w:val="00126331"/>
    <w:rsid w:val="00126EB8"/>
    <w:rsid w:val="001274D4"/>
    <w:rsid w:val="00127D43"/>
    <w:rsid w:val="00132CE5"/>
    <w:rsid w:val="00134328"/>
    <w:rsid w:val="001350B7"/>
    <w:rsid w:val="001363AA"/>
    <w:rsid w:val="00137A00"/>
    <w:rsid w:val="0014304C"/>
    <w:rsid w:val="00143989"/>
    <w:rsid w:val="0014612E"/>
    <w:rsid w:val="001472E0"/>
    <w:rsid w:val="00147568"/>
    <w:rsid w:val="00150280"/>
    <w:rsid w:val="001519A7"/>
    <w:rsid w:val="00152BA9"/>
    <w:rsid w:val="00153F01"/>
    <w:rsid w:val="00160B06"/>
    <w:rsid w:val="001623FF"/>
    <w:rsid w:val="001630EA"/>
    <w:rsid w:val="001632BB"/>
    <w:rsid w:val="0016366A"/>
    <w:rsid w:val="001638B1"/>
    <w:rsid w:val="00170E85"/>
    <w:rsid w:val="001714CE"/>
    <w:rsid w:val="001732F1"/>
    <w:rsid w:val="00173402"/>
    <w:rsid w:val="00176DDF"/>
    <w:rsid w:val="0018028C"/>
    <w:rsid w:val="00181DBB"/>
    <w:rsid w:val="00182721"/>
    <w:rsid w:val="00183E82"/>
    <w:rsid w:val="001848AD"/>
    <w:rsid w:val="00184AC5"/>
    <w:rsid w:val="001878BB"/>
    <w:rsid w:val="0019051C"/>
    <w:rsid w:val="00191AE0"/>
    <w:rsid w:val="0019293B"/>
    <w:rsid w:val="00193AB9"/>
    <w:rsid w:val="00197628"/>
    <w:rsid w:val="001A0820"/>
    <w:rsid w:val="001A41B0"/>
    <w:rsid w:val="001A4E62"/>
    <w:rsid w:val="001A5528"/>
    <w:rsid w:val="001A6164"/>
    <w:rsid w:val="001A7694"/>
    <w:rsid w:val="001B0B7E"/>
    <w:rsid w:val="001B30FF"/>
    <w:rsid w:val="001B44DC"/>
    <w:rsid w:val="001B4980"/>
    <w:rsid w:val="001B7304"/>
    <w:rsid w:val="001C0865"/>
    <w:rsid w:val="001C0D35"/>
    <w:rsid w:val="001C1738"/>
    <w:rsid w:val="001C17C0"/>
    <w:rsid w:val="001C24C5"/>
    <w:rsid w:val="001C3ABA"/>
    <w:rsid w:val="001D1C07"/>
    <w:rsid w:val="001D2814"/>
    <w:rsid w:val="001D439B"/>
    <w:rsid w:val="001D5503"/>
    <w:rsid w:val="001D5DF5"/>
    <w:rsid w:val="001D5F3D"/>
    <w:rsid w:val="001D601B"/>
    <w:rsid w:val="001E0C18"/>
    <w:rsid w:val="001E3200"/>
    <w:rsid w:val="001E7459"/>
    <w:rsid w:val="001E7BE8"/>
    <w:rsid w:val="001F0248"/>
    <w:rsid w:val="001F1D02"/>
    <w:rsid w:val="001F1DD7"/>
    <w:rsid w:val="001F2510"/>
    <w:rsid w:val="001F3CFE"/>
    <w:rsid w:val="001F3EB3"/>
    <w:rsid w:val="001F4F86"/>
    <w:rsid w:val="001F564A"/>
    <w:rsid w:val="001F6035"/>
    <w:rsid w:val="002007C3"/>
    <w:rsid w:val="002026EA"/>
    <w:rsid w:val="00202C2C"/>
    <w:rsid w:val="00203C13"/>
    <w:rsid w:val="00204677"/>
    <w:rsid w:val="00204C00"/>
    <w:rsid w:val="00211306"/>
    <w:rsid w:val="00211893"/>
    <w:rsid w:val="002124D6"/>
    <w:rsid w:val="002135AB"/>
    <w:rsid w:val="00213C65"/>
    <w:rsid w:val="002144BE"/>
    <w:rsid w:val="0021486F"/>
    <w:rsid w:val="0021709E"/>
    <w:rsid w:val="00220EFF"/>
    <w:rsid w:val="002224B0"/>
    <w:rsid w:val="00222D77"/>
    <w:rsid w:val="00225194"/>
    <w:rsid w:val="002268AF"/>
    <w:rsid w:val="002314AE"/>
    <w:rsid w:val="00233873"/>
    <w:rsid w:val="00233B0E"/>
    <w:rsid w:val="00234A16"/>
    <w:rsid w:val="00235518"/>
    <w:rsid w:val="00235ED8"/>
    <w:rsid w:val="002405A6"/>
    <w:rsid w:val="00241BFF"/>
    <w:rsid w:val="00242279"/>
    <w:rsid w:val="00245C82"/>
    <w:rsid w:val="00247955"/>
    <w:rsid w:val="00252C42"/>
    <w:rsid w:val="0025522E"/>
    <w:rsid w:val="00257261"/>
    <w:rsid w:val="00260A98"/>
    <w:rsid w:val="0026226F"/>
    <w:rsid w:val="00263B59"/>
    <w:rsid w:val="0026401F"/>
    <w:rsid w:val="00271E3D"/>
    <w:rsid w:val="002805E9"/>
    <w:rsid w:val="00287434"/>
    <w:rsid w:val="00291B40"/>
    <w:rsid w:val="00296B48"/>
    <w:rsid w:val="00297886"/>
    <w:rsid w:val="002A1B41"/>
    <w:rsid w:val="002B043D"/>
    <w:rsid w:val="002B11A2"/>
    <w:rsid w:val="002B1FBB"/>
    <w:rsid w:val="002B4008"/>
    <w:rsid w:val="002B4D4D"/>
    <w:rsid w:val="002B5709"/>
    <w:rsid w:val="002B59DA"/>
    <w:rsid w:val="002B5E6A"/>
    <w:rsid w:val="002C13AD"/>
    <w:rsid w:val="002C245B"/>
    <w:rsid w:val="002C2AFF"/>
    <w:rsid w:val="002C3764"/>
    <w:rsid w:val="002C39AD"/>
    <w:rsid w:val="002C59C7"/>
    <w:rsid w:val="002C73B4"/>
    <w:rsid w:val="002C78E0"/>
    <w:rsid w:val="002D025B"/>
    <w:rsid w:val="002D0884"/>
    <w:rsid w:val="002D0E8E"/>
    <w:rsid w:val="002D199C"/>
    <w:rsid w:val="002D523A"/>
    <w:rsid w:val="002D58A6"/>
    <w:rsid w:val="002D663B"/>
    <w:rsid w:val="002D7093"/>
    <w:rsid w:val="002E3A61"/>
    <w:rsid w:val="002E49B6"/>
    <w:rsid w:val="002F5912"/>
    <w:rsid w:val="002F6B7A"/>
    <w:rsid w:val="002F6C4A"/>
    <w:rsid w:val="002F7097"/>
    <w:rsid w:val="00301189"/>
    <w:rsid w:val="003016DF"/>
    <w:rsid w:val="003033A6"/>
    <w:rsid w:val="0030574B"/>
    <w:rsid w:val="003068AE"/>
    <w:rsid w:val="00307CA6"/>
    <w:rsid w:val="00315520"/>
    <w:rsid w:val="0031554E"/>
    <w:rsid w:val="00316F26"/>
    <w:rsid w:val="003232E9"/>
    <w:rsid w:val="00323E04"/>
    <w:rsid w:val="00323E09"/>
    <w:rsid w:val="0032563E"/>
    <w:rsid w:val="00325DBD"/>
    <w:rsid w:val="00333836"/>
    <w:rsid w:val="00333932"/>
    <w:rsid w:val="00334BFE"/>
    <w:rsid w:val="00335D57"/>
    <w:rsid w:val="0034208C"/>
    <w:rsid w:val="00343268"/>
    <w:rsid w:val="003439B6"/>
    <w:rsid w:val="00343B8E"/>
    <w:rsid w:val="003518AA"/>
    <w:rsid w:val="00352165"/>
    <w:rsid w:val="00353182"/>
    <w:rsid w:val="003543E9"/>
    <w:rsid w:val="00355DC4"/>
    <w:rsid w:val="00355F4D"/>
    <w:rsid w:val="003565D9"/>
    <w:rsid w:val="003602E1"/>
    <w:rsid w:val="00362DA1"/>
    <w:rsid w:val="00363413"/>
    <w:rsid w:val="00363A50"/>
    <w:rsid w:val="00365B3A"/>
    <w:rsid w:val="0036700D"/>
    <w:rsid w:val="00367EF3"/>
    <w:rsid w:val="0037026F"/>
    <w:rsid w:val="00371240"/>
    <w:rsid w:val="003720AA"/>
    <w:rsid w:val="003736A3"/>
    <w:rsid w:val="00374731"/>
    <w:rsid w:val="00376AE2"/>
    <w:rsid w:val="00376E59"/>
    <w:rsid w:val="0037756C"/>
    <w:rsid w:val="0037763F"/>
    <w:rsid w:val="00380F6F"/>
    <w:rsid w:val="00381A89"/>
    <w:rsid w:val="003824A2"/>
    <w:rsid w:val="003832B6"/>
    <w:rsid w:val="003840E8"/>
    <w:rsid w:val="003919F9"/>
    <w:rsid w:val="003923C0"/>
    <w:rsid w:val="0039259E"/>
    <w:rsid w:val="003937D5"/>
    <w:rsid w:val="003956F7"/>
    <w:rsid w:val="003978B1"/>
    <w:rsid w:val="003A31A3"/>
    <w:rsid w:val="003A3C9B"/>
    <w:rsid w:val="003A4447"/>
    <w:rsid w:val="003A5535"/>
    <w:rsid w:val="003A7A8B"/>
    <w:rsid w:val="003B0BA7"/>
    <w:rsid w:val="003B11A8"/>
    <w:rsid w:val="003B59B7"/>
    <w:rsid w:val="003B6A48"/>
    <w:rsid w:val="003B7454"/>
    <w:rsid w:val="003B7FEA"/>
    <w:rsid w:val="003C123D"/>
    <w:rsid w:val="003C38B5"/>
    <w:rsid w:val="003C51FE"/>
    <w:rsid w:val="003C5D99"/>
    <w:rsid w:val="003C7A34"/>
    <w:rsid w:val="003C7DAB"/>
    <w:rsid w:val="003D4264"/>
    <w:rsid w:val="003D6807"/>
    <w:rsid w:val="003D732F"/>
    <w:rsid w:val="003D7D4E"/>
    <w:rsid w:val="003E252E"/>
    <w:rsid w:val="003E2F59"/>
    <w:rsid w:val="003E4FA4"/>
    <w:rsid w:val="003E7877"/>
    <w:rsid w:val="003F0789"/>
    <w:rsid w:val="003F0C36"/>
    <w:rsid w:val="003F12BA"/>
    <w:rsid w:val="003F153F"/>
    <w:rsid w:val="003F1CCB"/>
    <w:rsid w:val="003F24A0"/>
    <w:rsid w:val="003F4365"/>
    <w:rsid w:val="003F7CBD"/>
    <w:rsid w:val="004008A6"/>
    <w:rsid w:val="00401882"/>
    <w:rsid w:val="004021B0"/>
    <w:rsid w:val="00406B5B"/>
    <w:rsid w:val="00406DE6"/>
    <w:rsid w:val="0040700C"/>
    <w:rsid w:val="004100C8"/>
    <w:rsid w:val="00410EAD"/>
    <w:rsid w:val="00411DBD"/>
    <w:rsid w:val="00412ACE"/>
    <w:rsid w:val="004136CB"/>
    <w:rsid w:val="00415E96"/>
    <w:rsid w:val="004211E2"/>
    <w:rsid w:val="00422801"/>
    <w:rsid w:val="0042650E"/>
    <w:rsid w:val="00427BD9"/>
    <w:rsid w:val="00431249"/>
    <w:rsid w:val="00432B78"/>
    <w:rsid w:val="00434C19"/>
    <w:rsid w:val="00437B0A"/>
    <w:rsid w:val="00437B18"/>
    <w:rsid w:val="0044216A"/>
    <w:rsid w:val="00442768"/>
    <w:rsid w:val="00443315"/>
    <w:rsid w:val="004443C2"/>
    <w:rsid w:val="0044570B"/>
    <w:rsid w:val="004500A7"/>
    <w:rsid w:val="004506BD"/>
    <w:rsid w:val="00450810"/>
    <w:rsid w:val="00453CAF"/>
    <w:rsid w:val="0045500D"/>
    <w:rsid w:val="00456127"/>
    <w:rsid w:val="00462423"/>
    <w:rsid w:val="00464F54"/>
    <w:rsid w:val="0046663D"/>
    <w:rsid w:val="0047079E"/>
    <w:rsid w:val="004717DE"/>
    <w:rsid w:val="004732C4"/>
    <w:rsid w:val="00476831"/>
    <w:rsid w:val="0047683E"/>
    <w:rsid w:val="00477144"/>
    <w:rsid w:val="00481334"/>
    <w:rsid w:val="00482CDF"/>
    <w:rsid w:val="00483A02"/>
    <w:rsid w:val="00483D51"/>
    <w:rsid w:val="00491380"/>
    <w:rsid w:val="0049204A"/>
    <w:rsid w:val="004930C7"/>
    <w:rsid w:val="0049459F"/>
    <w:rsid w:val="00495F4A"/>
    <w:rsid w:val="004A2098"/>
    <w:rsid w:val="004A37CA"/>
    <w:rsid w:val="004A38DD"/>
    <w:rsid w:val="004A5B4C"/>
    <w:rsid w:val="004A6710"/>
    <w:rsid w:val="004B1E42"/>
    <w:rsid w:val="004B3398"/>
    <w:rsid w:val="004B401F"/>
    <w:rsid w:val="004B43AE"/>
    <w:rsid w:val="004B765A"/>
    <w:rsid w:val="004C04E5"/>
    <w:rsid w:val="004C30ED"/>
    <w:rsid w:val="004D1716"/>
    <w:rsid w:val="004D3049"/>
    <w:rsid w:val="004D42F7"/>
    <w:rsid w:val="004D5675"/>
    <w:rsid w:val="004D5C15"/>
    <w:rsid w:val="004D778E"/>
    <w:rsid w:val="004D7EC8"/>
    <w:rsid w:val="004E14B1"/>
    <w:rsid w:val="004E2638"/>
    <w:rsid w:val="004E30EE"/>
    <w:rsid w:val="004E31B0"/>
    <w:rsid w:val="004E4B83"/>
    <w:rsid w:val="004E5DC4"/>
    <w:rsid w:val="004E6ACC"/>
    <w:rsid w:val="004E6FC7"/>
    <w:rsid w:val="004E744B"/>
    <w:rsid w:val="004F0019"/>
    <w:rsid w:val="004F663B"/>
    <w:rsid w:val="004F6897"/>
    <w:rsid w:val="005130AF"/>
    <w:rsid w:val="00513CAC"/>
    <w:rsid w:val="0051540A"/>
    <w:rsid w:val="005158F0"/>
    <w:rsid w:val="00517829"/>
    <w:rsid w:val="005205A3"/>
    <w:rsid w:val="00523639"/>
    <w:rsid w:val="005246B0"/>
    <w:rsid w:val="00524EDD"/>
    <w:rsid w:val="00531165"/>
    <w:rsid w:val="00531F80"/>
    <w:rsid w:val="00531FE5"/>
    <w:rsid w:val="0053404C"/>
    <w:rsid w:val="0054027B"/>
    <w:rsid w:val="00541AB4"/>
    <w:rsid w:val="00543F88"/>
    <w:rsid w:val="005444DF"/>
    <w:rsid w:val="00544DE5"/>
    <w:rsid w:val="005464FE"/>
    <w:rsid w:val="005507BF"/>
    <w:rsid w:val="00550E45"/>
    <w:rsid w:val="0056105B"/>
    <w:rsid w:val="00561FFF"/>
    <w:rsid w:val="00564B14"/>
    <w:rsid w:val="0056737B"/>
    <w:rsid w:val="00573AB8"/>
    <w:rsid w:val="005761DF"/>
    <w:rsid w:val="0058089C"/>
    <w:rsid w:val="005813A4"/>
    <w:rsid w:val="00582AE1"/>
    <w:rsid w:val="00583C39"/>
    <w:rsid w:val="005850BE"/>
    <w:rsid w:val="0058559B"/>
    <w:rsid w:val="005875D5"/>
    <w:rsid w:val="00587F28"/>
    <w:rsid w:val="005903FA"/>
    <w:rsid w:val="005909CF"/>
    <w:rsid w:val="00591E71"/>
    <w:rsid w:val="005A0D41"/>
    <w:rsid w:val="005A4584"/>
    <w:rsid w:val="005B11F1"/>
    <w:rsid w:val="005B12E6"/>
    <w:rsid w:val="005B701F"/>
    <w:rsid w:val="005C079A"/>
    <w:rsid w:val="005C258A"/>
    <w:rsid w:val="005C31A2"/>
    <w:rsid w:val="005C4A35"/>
    <w:rsid w:val="005D10D9"/>
    <w:rsid w:val="005D4388"/>
    <w:rsid w:val="005D789A"/>
    <w:rsid w:val="005E4FBA"/>
    <w:rsid w:val="005E535E"/>
    <w:rsid w:val="005E56BD"/>
    <w:rsid w:val="005E7A6C"/>
    <w:rsid w:val="005F00A1"/>
    <w:rsid w:val="005F3464"/>
    <w:rsid w:val="005F37E1"/>
    <w:rsid w:val="005F5500"/>
    <w:rsid w:val="005F7B93"/>
    <w:rsid w:val="00601F11"/>
    <w:rsid w:val="0060386E"/>
    <w:rsid w:val="00604D6E"/>
    <w:rsid w:val="00604E3F"/>
    <w:rsid w:val="0060655D"/>
    <w:rsid w:val="00607BF1"/>
    <w:rsid w:val="006110CB"/>
    <w:rsid w:val="006122A0"/>
    <w:rsid w:val="00613E30"/>
    <w:rsid w:val="006167EB"/>
    <w:rsid w:val="00616950"/>
    <w:rsid w:val="00622CE8"/>
    <w:rsid w:val="006242BB"/>
    <w:rsid w:val="00624786"/>
    <w:rsid w:val="00624F0D"/>
    <w:rsid w:val="006309B5"/>
    <w:rsid w:val="00630D4D"/>
    <w:rsid w:val="00632A74"/>
    <w:rsid w:val="0063510C"/>
    <w:rsid w:val="00636234"/>
    <w:rsid w:val="00636F45"/>
    <w:rsid w:val="00640D41"/>
    <w:rsid w:val="00643BC6"/>
    <w:rsid w:val="00643FAF"/>
    <w:rsid w:val="00647B02"/>
    <w:rsid w:val="006572AD"/>
    <w:rsid w:val="0066162F"/>
    <w:rsid w:val="00661A57"/>
    <w:rsid w:val="00666AEA"/>
    <w:rsid w:val="00673656"/>
    <w:rsid w:val="00674A07"/>
    <w:rsid w:val="00682A14"/>
    <w:rsid w:val="006838C6"/>
    <w:rsid w:val="00684C10"/>
    <w:rsid w:val="00687126"/>
    <w:rsid w:val="006876C5"/>
    <w:rsid w:val="00692673"/>
    <w:rsid w:val="00696E8E"/>
    <w:rsid w:val="00697374"/>
    <w:rsid w:val="006A0641"/>
    <w:rsid w:val="006A2E05"/>
    <w:rsid w:val="006A360F"/>
    <w:rsid w:val="006A4655"/>
    <w:rsid w:val="006A540C"/>
    <w:rsid w:val="006A7D1B"/>
    <w:rsid w:val="006B2B3C"/>
    <w:rsid w:val="006B66AC"/>
    <w:rsid w:val="006C1D81"/>
    <w:rsid w:val="006C3B45"/>
    <w:rsid w:val="006C56AD"/>
    <w:rsid w:val="006C7038"/>
    <w:rsid w:val="006D3EBD"/>
    <w:rsid w:val="006D48B7"/>
    <w:rsid w:val="006D48C2"/>
    <w:rsid w:val="006D7673"/>
    <w:rsid w:val="006E04FD"/>
    <w:rsid w:val="006E2075"/>
    <w:rsid w:val="006E45EE"/>
    <w:rsid w:val="006E73EF"/>
    <w:rsid w:val="006F2541"/>
    <w:rsid w:val="006F2FD5"/>
    <w:rsid w:val="006F398B"/>
    <w:rsid w:val="006F4956"/>
    <w:rsid w:val="006F553F"/>
    <w:rsid w:val="006F5BDD"/>
    <w:rsid w:val="006F6789"/>
    <w:rsid w:val="006F6BA8"/>
    <w:rsid w:val="006F720E"/>
    <w:rsid w:val="00701161"/>
    <w:rsid w:val="00705880"/>
    <w:rsid w:val="00706D31"/>
    <w:rsid w:val="00707AFA"/>
    <w:rsid w:val="00710990"/>
    <w:rsid w:val="00714D4D"/>
    <w:rsid w:val="007175AF"/>
    <w:rsid w:val="00717F3A"/>
    <w:rsid w:val="00724DE4"/>
    <w:rsid w:val="00725A1D"/>
    <w:rsid w:val="0072638B"/>
    <w:rsid w:val="00727886"/>
    <w:rsid w:val="0073400F"/>
    <w:rsid w:val="00734A53"/>
    <w:rsid w:val="00734CA7"/>
    <w:rsid w:val="00736DA9"/>
    <w:rsid w:val="00740C24"/>
    <w:rsid w:val="00743A85"/>
    <w:rsid w:val="007456BE"/>
    <w:rsid w:val="00747B09"/>
    <w:rsid w:val="00747D53"/>
    <w:rsid w:val="00752306"/>
    <w:rsid w:val="007529CE"/>
    <w:rsid w:val="00754440"/>
    <w:rsid w:val="0075477C"/>
    <w:rsid w:val="00755F2F"/>
    <w:rsid w:val="0075665D"/>
    <w:rsid w:val="007604BB"/>
    <w:rsid w:val="00762A79"/>
    <w:rsid w:val="00765A13"/>
    <w:rsid w:val="00767CCE"/>
    <w:rsid w:val="007701B9"/>
    <w:rsid w:val="00770276"/>
    <w:rsid w:val="00771792"/>
    <w:rsid w:val="00772401"/>
    <w:rsid w:val="00774732"/>
    <w:rsid w:val="007765A5"/>
    <w:rsid w:val="00776642"/>
    <w:rsid w:val="00777DEC"/>
    <w:rsid w:val="00780250"/>
    <w:rsid w:val="00785232"/>
    <w:rsid w:val="00786E50"/>
    <w:rsid w:val="007873D1"/>
    <w:rsid w:val="00787B11"/>
    <w:rsid w:val="00787EBF"/>
    <w:rsid w:val="00793311"/>
    <w:rsid w:val="0079697D"/>
    <w:rsid w:val="00796E42"/>
    <w:rsid w:val="00796F3F"/>
    <w:rsid w:val="00797E99"/>
    <w:rsid w:val="007A21EB"/>
    <w:rsid w:val="007A2AD6"/>
    <w:rsid w:val="007A5DA9"/>
    <w:rsid w:val="007A6364"/>
    <w:rsid w:val="007A690C"/>
    <w:rsid w:val="007A71EB"/>
    <w:rsid w:val="007B08A9"/>
    <w:rsid w:val="007B1A93"/>
    <w:rsid w:val="007B2D86"/>
    <w:rsid w:val="007B40C8"/>
    <w:rsid w:val="007B6B6F"/>
    <w:rsid w:val="007C36C9"/>
    <w:rsid w:val="007D017E"/>
    <w:rsid w:val="007D1D00"/>
    <w:rsid w:val="007D1F26"/>
    <w:rsid w:val="007D2BAB"/>
    <w:rsid w:val="007D5128"/>
    <w:rsid w:val="007D6401"/>
    <w:rsid w:val="007E01E4"/>
    <w:rsid w:val="007E1EE7"/>
    <w:rsid w:val="007E3B3F"/>
    <w:rsid w:val="007E4BE8"/>
    <w:rsid w:val="007E57A6"/>
    <w:rsid w:val="007E5D20"/>
    <w:rsid w:val="007E7C83"/>
    <w:rsid w:val="007F00C9"/>
    <w:rsid w:val="007F1CF0"/>
    <w:rsid w:val="007F26D0"/>
    <w:rsid w:val="007F4534"/>
    <w:rsid w:val="007F6AFC"/>
    <w:rsid w:val="007F7107"/>
    <w:rsid w:val="00800C3B"/>
    <w:rsid w:val="00800D4C"/>
    <w:rsid w:val="008039A2"/>
    <w:rsid w:val="008049CD"/>
    <w:rsid w:val="00806613"/>
    <w:rsid w:val="0080697D"/>
    <w:rsid w:val="0081009B"/>
    <w:rsid w:val="0081030F"/>
    <w:rsid w:val="00811FF2"/>
    <w:rsid w:val="0081301B"/>
    <w:rsid w:val="00813841"/>
    <w:rsid w:val="00814DE1"/>
    <w:rsid w:val="00814F1C"/>
    <w:rsid w:val="0082087D"/>
    <w:rsid w:val="00820F44"/>
    <w:rsid w:val="00827E3E"/>
    <w:rsid w:val="008315FD"/>
    <w:rsid w:val="00832644"/>
    <w:rsid w:val="00834EE1"/>
    <w:rsid w:val="0083551B"/>
    <w:rsid w:val="00835771"/>
    <w:rsid w:val="008415E0"/>
    <w:rsid w:val="00841B54"/>
    <w:rsid w:val="00842933"/>
    <w:rsid w:val="008518E0"/>
    <w:rsid w:val="00854C6D"/>
    <w:rsid w:val="0086023E"/>
    <w:rsid w:val="0086082C"/>
    <w:rsid w:val="00862AED"/>
    <w:rsid w:val="008632B1"/>
    <w:rsid w:val="00863354"/>
    <w:rsid w:val="008640A2"/>
    <w:rsid w:val="00864ADC"/>
    <w:rsid w:val="0086637F"/>
    <w:rsid w:val="008720AA"/>
    <w:rsid w:val="00874A67"/>
    <w:rsid w:val="00880080"/>
    <w:rsid w:val="00880153"/>
    <w:rsid w:val="00880F97"/>
    <w:rsid w:val="0088133A"/>
    <w:rsid w:val="00882967"/>
    <w:rsid w:val="00884EE9"/>
    <w:rsid w:val="00886D6C"/>
    <w:rsid w:val="00890FE9"/>
    <w:rsid w:val="0089285E"/>
    <w:rsid w:val="00893DD0"/>
    <w:rsid w:val="0089436C"/>
    <w:rsid w:val="00894A4B"/>
    <w:rsid w:val="00896EB3"/>
    <w:rsid w:val="008A30F1"/>
    <w:rsid w:val="008A3EF5"/>
    <w:rsid w:val="008A4881"/>
    <w:rsid w:val="008A715A"/>
    <w:rsid w:val="008A78A6"/>
    <w:rsid w:val="008B0B13"/>
    <w:rsid w:val="008B2ABC"/>
    <w:rsid w:val="008B36F3"/>
    <w:rsid w:val="008B430A"/>
    <w:rsid w:val="008C3616"/>
    <w:rsid w:val="008C7F9F"/>
    <w:rsid w:val="008D365C"/>
    <w:rsid w:val="008D39F9"/>
    <w:rsid w:val="008D5A4B"/>
    <w:rsid w:val="008D60E4"/>
    <w:rsid w:val="008D6316"/>
    <w:rsid w:val="008D792E"/>
    <w:rsid w:val="008D7BD5"/>
    <w:rsid w:val="008D7CBB"/>
    <w:rsid w:val="008E1290"/>
    <w:rsid w:val="008E129B"/>
    <w:rsid w:val="008E218C"/>
    <w:rsid w:val="008E735A"/>
    <w:rsid w:val="008F1FB8"/>
    <w:rsid w:val="008F406F"/>
    <w:rsid w:val="009030BF"/>
    <w:rsid w:val="009064FA"/>
    <w:rsid w:val="009068A2"/>
    <w:rsid w:val="009100FA"/>
    <w:rsid w:val="0091032F"/>
    <w:rsid w:val="0091083F"/>
    <w:rsid w:val="00911AA1"/>
    <w:rsid w:val="00914368"/>
    <w:rsid w:val="00920A91"/>
    <w:rsid w:val="009210EC"/>
    <w:rsid w:val="009222B6"/>
    <w:rsid w:val="00923680"/>
    <w:rsid w:val="0092772E"/>
    <w:rsid w:val="00930D8B"/>
    <w:rsid w:val="00931076"/>
    <w:rsid w:val="00933323"/>
    <w:rsid w:val="009345D9"/>
    <w:rsid w:val="00934B15"/>
    <w:rsid w:val="00934C1F"/>
    <w:rsid w:val="0093780D"/>
    <w:rsid w:val="0094131A"/>
    <w:rsid w:val="0094160F"/>
    <w:rsid w:val="00941D0F"/>
    <w:rsid w:val="00941F4B"/>
    <w:rsid w:val="00942B62"/>
    <w:rsid w:val="00945114"/>
    <w:rsid w:val="00945D81"/>
    <w:rsid w:val="00946D27"/>
    <w:rsid w:val="00950BE8"/>
    <w:rsid w:val="00952DB0"/>
    <w:rsid w:val="00953141"/>
    <w:rsid w:val="0095376B"/>
    <w:rsid w:val="00955522"/>
    <w:rsid w:val="00955F55"/>
    <w:rsid w:val="00956A0C"/>
    <w:rsid w:val="00956BD9"/>
    <w:rsid w:val="00962489"/>
    <w:rsid w:val="00962FA4"/>
    <w:rsid w:val="00963F5F"/>
    <w:rsid w:val="00964C6E"/>
    <w:rsid w:val="009678FC"/>
    <w:rsid w:val="00967A34"/>
    <w:rsid w:val="00970511"/>
    <w:rsid w:val="00970728"/>
    <w:rsid w:val="00971271"/>
    <w:rsid w:val="009724EE"/>
    <w:rsid w:val="00975E59"/>
    <w:rsid w:val="00976252"/>
    <w:rsid w:val="009849BA"/>
    <w:rsid w:val="00986482"/>
    <w:rsid w:val="009875C8"/>
    <w:rsid w:val="0098792D"/>
    <w:rsid w:val="00990C2C"/>
    <w:rsid w:val="0099327E"/>
    <w:rsid w:val="00997EC6"/>
    <w:rsid w:val="009A23F5"/>
    <w:rsid w:val="009A2836"/>
    <w:rsid w:val="009A5D5B"/>
    <w:rsid w:val="009A6D12"/>
    <w:rsid w:val="009B14A4"/>
    <w:rsid w:val="009B1A9D"/>
    <w:rsid w:val="009B363F"/>
    <w:rsid w:val="009B4DA2"/>
    <w:rsid w:val="009C103C"/>
    <w:rsid w:val="009C289D"/>
    <w:rsid w:val="009C2C9C"/>
    <w:rsid w:val="009C43FF"/>
    <w:rsid w:val="009C48CB"/>
    <w:rsid w:val="009C5E92"/>
    <w:rsid w:val="009C7471"/>
    <w:rsid w:val="009C783C"/>
    <w:rsid w:val="009D2B7B"/>
    <w:rsid w:val="009D4296"/>
    <w:rsid w:val="009D6432"/>
    <w:rsid w:val="009D67FD"/>
    <w:rsid w:val="009E34CF"/>
    <w:rsid w:val="009E4B53"/>
    <w:rsid w:val="009E4CCC"/>
    <w:rsid w:val="009F003F"/>
    <w:rsid w:val="009F0635"/>
    <w:rsid w:val="009F0688"/>
    <w:rsid w:val="009F0D1B"/>
    <w:rsid w:val="009F1717"/>
    <w:rsid w:val="009F2ADF"/>
    <w:rsid w:val="009F3B17"/>
    <w:rsid w:val="009F5D83"/>
    <w:rsid w:val="009F696D"/>
    <w:rsid w:val="009F6BC6"/>
    <w:rsid w:val="009F72D3"/>
    <w:rsid w:val="009F7E57"/>
    <w:rsid w:val="00A000CE"/>
    <w:rsid w:val="00A10C6C"/>
    <w:rsid w:val="00A11006"/>
    <w:rsid w:val="00A11B59"/>
    <w:rsid w:val="00A12B46"/>
    <w:rsid w:val="00A12CFC"/>
    <w:rsid w:val="00A13423"/>
    <w:rsid w:val="00A15767"/>
    <w:rsid w:val="00A16B08"/>
    <w:rsid w:val="00A17328"/>
    <w:rsid w:val="00A23A20"/>
    <w:rsid w:val="00A26322"/>
    <w:rsid w:val="00A2676E"/>
    <w:rsid w:val="00A268B9"/>
    <w:rsid w:val="00A26DA8"/>
    <w:rsid w:val="00A2703A"/>
    <w:rsid w:val="00A30EB6"/>
    <w:rsid w:val="00A324E2"/>
    <w:rsid w:val="00A32F3B"/>
    <w:rsid w:val="00A330DC"/>
    <w:rsid w:val="00A33DFF"/>
    <w:rsid w:val="00A35115"/>
    <w:rsid w:val="00A36D9A"/>
    <w:rsid w:val="00A40654"/>
    <w:rsid w:val="00A428E3"/>
    <w:rsid w:val="00A4328D"/>
    <w:rsid w:val="00A44935"/>
    <w:rsid w:val="00A50622"/>
    <w:rsid w:val="00A5149D"/>
    <w:rsid w:val="00A51F1A"/>
    <w:rsid w:val="00A548A5"/>
    <w:rsid w:val="00A554AB"/>
    <w:rsid w:val="00A55634"/>
    <w:rsid w:val="00A55F97"/>
    <w:rsid w:val="00A57062"/>
    <w:rsid w:val="00A61072"/>
    <w:rsid w:val="00A61B09"/>
    <w:rsid w:val="00A63590"/>
    <w:rsid w:val="00A65100"/>
    <w:rsid w:val="00A654DE"/>
    <w:rsid w:val="00A67328"/>
    <w:rsid w:val="00A673DF"/>
    <w:rsid w:val="00A71173"/>
    <w:rsid w:val="00A7183F"/>
    <w:rsid w:val="00A73BA9"/>
    <w:rsid w:val="00A7468D"/>
    <w:rsid w:val="00A80ED6"/>
    <w:rsid w:val="00A8116B"/>
    <w:rsid w:val="00A820B3"/>
    <w:rsid w:val="00A821B3"/>
    <w:rsid w:val="00A84B9D"/>
    <w:rsid w:val="00A85666"/>
    <w:rsid w:val="00A87133"/>
    <w:rsid w:val="00A90B0B"/>
    <w:rsid w:val="00A92B53"/>
    <w:rsid w:val="00A945FC"/>
    <w:rsid w:val="00A94FA6"/>
    <w:rsid w:val="00A969AA"/>
    <w:rsid w:val="00A96CF9"/>
    <w:rsid w:val="00AA017B"/>
    <w:rsid w:val="00AA1269"/>
    <w:rsid w:val="00AA1523"/>
    <w:rsid w:val="00AA1B36"/>
    <w:rsid w:val="00AA1C77"/>
    <w:rsid w:val="00AA1EB3"/>
    <w:rsid w:val="00AA2395"/>
    <w:rsid w:val="00AA2946"/>
    <w:rsid w:val="00AA30B3"/>
    <w:rsid w:val="00AA3184"/>
    <w:rsid w:val="00AA49A0"/>
    <w:rsid w:val="00AA6710"/>
    <w:rsid w:val="00AA7AA3"/>
    <w:rsid w:val="00AB02FF"/>
    <w:rsid w:val="00AB0681"/>
    <w:rsid w:val="00AB2A11"/>
    <w:rsid w:val="00AB6D06"/>
    <w:rsid w:val="00AC06D0"/>
    <w:rsid w:val="00AC3CA5"/>
    <w:rsid w:val="00AC3DB1"/>
    <w:rsid w:val="00AC5882"/>
    <w:rsid w:val="00AC71DD"/>
    <w:rsid w:val="00AD0240"/>
    <w:rsid w:val="00AD0507"/>
    <w:rsid w:val="00AD35D3"/>
    <w:rsid w:val="00AD520B"/>
    <w:rsid w:val="00AE5A4B"/>
    <w:rsid w:val="00AE64E4"/>
    <w:rsid w:val="00AE6C72"/>
    <w:rsid w:val="00AE746B"/>
    <w:rsid w:val="00AE79C2"/>
    <w:rsid w:val="00AF029B"/>
    <w:rsid w:val="00AF4A60"/>
    <w:rsid w:val="00AF576F"/>
    <w:rsid w:val="00AF5AD6"/>
    <w:rsid w:val="00AF6F9F"/>
    <w:rsid w:val="00AF760A"/>
    <w:rsid w:val="00AF7E58"/>
    <w:rsid w:val="00B1072A"/>
    <w:rsid w:val="00B120E7"/>
    <w:rsid w:val="00B15A88"/>
    <w:rsid w:val="00B16709"/>
    <w:rsid w:val="00B16C98"/>
    <w:rsid w:val="00B17EB2"/>
    <w:rsid w:val="00B2012B"/>
    <w:rsid w:val="00B22079"/>
    <w:rsid w:val="00B233B3"/>
    <w:rsid w:val="00B23BC9"/>
    <w:rsid w:val="00B25FEE"/>
    <w:rsid w:val="00B31681"/>
    <w:rsid w:val="00B31A96"/>
    <w:rsid w:val="00B323E3"/>
    <w:rsid w:val="00B344BF"/>
    <w:rsid w:val="00B35215"/>
    <w:rsid w:val="00B40BA3"/>
    <w:rsid w:val="00B425C3"/>
    <w:rsid w:val="00B42AD9"/>
    <w:rsid w:val="00B435CE"/>
    <w:rsid w:val="00B440AD"/>
    <w:rsid w:val="00B46CE6"/>
    <w:rsid w:val="00B47D9D"/>
    <w:rsid w:val="00B501CD"/>
    <w:rsid w:val="00B502CB"/>
    <w:rsid w:val="00B53E7E"/>
    <w:rsid w:val="00B54B66"/>
    <w:rsid w:val="00B55359"/>
    <w:rsid w:val="00B611B8"/>
    <w:rsid w:val="00B614A8"/>
    <w:rsid w:val="00B6342E"/>
    <w:rsid w:val="00B7113F"/>
    <w:rsid w:val="00B71884"/>
    <w:rsid w:val="00B728F8"/>
    <w:rsid w:val="00B75461"/>
    <w:rsid w:val="00B7602B"/>
    <w:rsid w:val="00B80C30"/>
    <w:rsid w:val="00B813C9"/>
    <w:rsid w:val="00B835EF"/>
    <w:rsid w:val="00B83848"/>
    <w:rsid w:val="00B8520E"/>
    <w:rsid w:val="00B9035A"/>
    <w:rsid w:val="00B914D7"/>
    <w:rsid w:val="00B942B5"/>
    <w:rsid w:val="00B951B1"/>
    <w:rsid w:val="00B965F0"/>
    <w:rsid w:val="00BA3E08"/>
    <w:rsid w:val="00BA5394"/>
    <w:rsid w:val="00BA73B6"/>
    <w:rsid w:val="00BA7570"/>
    <w:rsid w:val="00BA78BE"/>
    <w:rsid w:val="00BA7E27"/>
    <w:rsid w:val="00BB066D"/>
    <w:rsid w:val="00BB1845"/>
    <w:rsid w:val="00BB1B70"/>
    <w:rsid w:val="00BB220D"/>
    <w:rsid w:val="00BB2603"/>
    <w:rsid w:val="00BB46FC"/>
    <w:rsid w:val="00BB4FCD"/>
    <w:rsid w:val="00BB6293"/>
    <w:rsid w:val="00BB6DB8"/>
    <w:rsid w:val="00BB7ECF"/>
    <w:rsid w:val="00BC2DC5"/>
    <w:rsid w:val="00BC40DC"/>
    <w:rsid w:val="00BC4738"/>
    <w:rsid w:val="00BC5565"/>
    <w:rsid w:val="00BC7048"/>
    <w:rsid w:val="00BC78DB"/>
    <w:rsid w:val="00BD0AEE"/>
    <w:rsid w:val="00BD13EA"/>
    <w:rsid w:val="00BD14BC"/>
    <w:rsid w:val="00BD4783"/>
    <w:rsid w:val="00BD4E72"/>
    <w:rsid w:val="00BD5DAB"/>
    <w:rsid w:val="00BD5FFF"/>
    <w:rsid w:val="00BE0066"/>
    <w:rsid w:val="00BE11B4"/>
    <w:rsid w:val="00BE3808"/>
    <w:rsid w:val="00BE5638"/>
    <w:rsid w:val="00BF1C2A"/>
    <w:rsid w:val="00BF20FF"/>
    <w:rsid w:val="00BF6EBF"/>
    <w:rsid w:val="00BF716E"/>
    <w:rsid w:val="00C00C9B"/>
    <w:rsid w:val="00C04850"/>
    <w:rsid w:val="00C05ACB"/>
    <w:rsid w:val="00C05C75"/>
    <w:rsid w:val="00C062E9"/>
    <w:rsid w:val="00C07B64"/>
    <w:rsid w:val="00C13721"/>
    <w:rsid w:val="00C14A80"/>
    <w:rsid w:val="00C14FE4"/>
    <w:rsid w:val="00C178AE"/>
    <w:rsid w:val="00C23DF2"/>
    <w:rsid w:val="00C24572"/>
    <w:rsid w:val="00C3066D"/>
    <w:rsid w:val="00C33F87"/>
    <w:rsid w:val="00C3619A"/>
    <w:rsid w:val="00C40BC2"/>
    <w:rsid w:val="00C4273E"/>
    <w:rsid w:val="00C44F91"/>
    <w:rsid w:val="00C501BB"/>
    <w:rsid w:val="00C5092D"/>
    <w:rsid w:val="00C53E13"/>
    <w:rsid w:val="00C543F4"/>
    <w:rsid w:val="00C60E4D"/>
    <w:rsid w:val="00C6291C"/>
    <w:rsid w:val="00C62E87"/>
    <w:rsid w:val="00C633CB"/>
    <w:rsid w:val="00C64812"/>
    <w:rsid w:val="00C652F7"/>
    <w:rsid w:val="00C65317"/>
    <w:rsid w:val="00C67914"/>
    <w:rsid w:val="00C702B4"/>
    <w:rsid w:val="00C75B22"/>
    <w:rsid w:val="00C81D4A"/>
    <w:rsid w:val="00C82115"/>
    <w:rsid w:val="00C83815"/>
    <w:rsid w:val="00C85689"/>
    <w:rsid w:val="00C86D9D"/>
    <w:rsid w:val="00C8762C"/>
    <w:rsid w:val="00C90802"/>
    <w:rsid w:val="00C940D8"/>
    <w:rsid w:val="00C94419"/>
    <w:rsid w:val="00C946AD"/>
    <w:rsid w:val="00C97A9A"/>
    <w:rsid w:val="00CA00F9"/>
    <w:rsid w:val="00CA0DA5"/>
    <w:rsid w:val="00CA0ECC"/>
    <w:rsid w:val="00CA2961"/>
    <w:rsid w:val="00CA2CE8"/>
    <w:rsid w:val="00CA5BB0"/>
    <w:rsid w:val="00CA5D84"/>
    <w:rsid w:val="00CA7226"/>
    <w:rsid w:val="00CB0079"/>
    <w:rsid w:val="00CB143F"/>
    <w:rsid w:val="00CB3DC3"/>
    <w:rsid w:val="00CB50D7"/>
    <w:rsid w:val="00CB7177"/>
    <w:rsid w:val="00CB71F5"/>
    <w:rsid w:val="00CC04C6"/>
    <w:rsid w:val="00CC1278"/>
    <w:rsid w:val="00CC1998"/>
    <w:rsid w:val="00CC2336"/>
    <w:rsid w:val="00CC2982"/>
    <w:rsid w:val="00CC4946"/>
    <w:rsid w:val="00CC5ABA"/>
    <w:rsid w:val="00CC6C20"/>
    <w:rsid w:val="00CD3724"/>
    <w:rsid w:val="00CD3BC2"/>
    <w:rsid w:val="00CD5DF7"/>
    <w:rsid w:val="00CD7CC5"/>
    <w:rsid w:val="00CE0F24"/>
    <w:rsid w:val="00CE1776"/>
    <w:rsid w:val="00CE3A91"/>
    <w:rsid w:val="00CE41CC"/>
    <w:rsid w:val="00CE5DB4"/>
    <w:rsid w:val="00CE5F5B"/>
    <w:rsid w:val="00CE6E03"/>
    <w:rsid w:val="00CF2E43"/>
    <w:rsid w:val="00CF37A4"/>
    <w:rsid w:val="00CF5763"/>
    <w:rsid w:val="00CF7F02"/>
    <w:rsid w:val="00D01F72"/>
    <w:rsid w:val="00D044A2"/>
    <w:rsid w:val="00D12EFA"/>
    <w:rsid w:val="00D1552D"/>
    <w:rsid w:val="00D22986"/>
    <w:rsid w:val="00D24977"/>
    <w:rsid w:val="00D270A4"/>
    <w:rsid w:val="00D2758A"/>
    <w:rsid w:val="00D31FE9"/>
    <w:rsid w:val="00D329B2"/>
    <w:rsid w:val="00D3402D"/>
    <w:rsid w:val="00D34D7A"/>
    <w:rsid w:val="00D34E1B"/>
    <w:rsid w:val="00D35559"/>
    <w:rsid w:val="00D36169"/>
    <w:rsid w:val="00D36A40"/>
    <w:rsid w:val="00D376BA"/>
    <w:rsid w:val="00D37923"/>
    <w:rsid w:val="00D45634"/>
    <w:rsid w:val="00D47911"/>
    <w:rsid w:val="00D5165F"/>
    <w:rsid w:val="00D5568A"/>
    <w:rsid w:val="00D60534"/>
    <w:rsid w:val="00D60F52"/>
    <w:rsid w:val="00D63D73"/>
    <w:rsid w:val="00D64452"/>
    <w:rsid w:val="00D64F47"/>
    <w:rsid w:val="00D66E1E"/>
    <w:rsid w:val="00D702AF"/>
    <w:rsid w:val="00D7126D"/>
    <w:rsid w:val="00D7174A"/>
    <w:rsid w:val="00D723A7"/>
    <w:rsid w:val="00D75722"/>
    <w:rsid w:val="00D76978"/>
    <w:rsid w:val="00D76E13"/>
    <w:rsid w:val="00D80CF5"/>
    <w:rsid w:val="00D91208"/>
    <w:rsid w:val="00D955A2"/>
    <w:rsid w:val="00D96BA8"/>
    <w:rsid w:val="00DA0A62"/>
    <w:rsid w:val="00DA1400"/>
    <w:rsid w:val="00DA19B8"/>
    <w:rsid w:val="00DA20B9"/>
    <w:rsid w:val="00DA4270"/>
    <w:rsid w:val="00DA5A89"/>
    <w:rsid w:val="00DA5BBA"/>
    <w:rsid w:val="00DA633F"/>
    <w:rsid w:val="00DA7770"/>
    <w:rsid w:val="00DA7D87"/>
    <w:rsid w:val="00DB0AE5"/>
    <w:rsid w:val="00DB1618"/>
    <w:rsid w:val="00DB26D2"/>
    <w:rsid w:val="00DB5305"/>
    <w:rsid w:val="00DB67C9"/>
    <w:rsid w:val="00DB6A70"/>
    <w:rsid w:val="00DC0C95"/>
    <w:rsid w:val="00DC0CD1"/>
    <w:rsid w:val="00DC1C0C"/>
    <w:rsid w:val="00DC391F"/>
    <w:rsid w:val="00DC3D17"/>
    <w:rsid w:val="00DC73B3"/>
    <w:rsid w:val="00DD3A67"/>
    <w:rsid w:val="00DD5EBE"/>
    <w:rsid w:val="00DD632F"/>
    <w:rsid w:val="00DD6580"/>
    <w:rsid w:val="00DD67C4"/>
    <w:rsid w:val="00DE05B1"/>
    <w:rsid w:val="00DE0707"/>
    <w:rsid w:val="00DE132C"/>
    <w:rsid w:val="00DE1F31"/>
    <w:rsid w:val="00DE2655"/>
    <w:rsid w:val="00DE64AE"/>
    <w:rsid w:val="00DF0833"/>
    <w:rsid w:val="00DF149F"/>
    <w:rsid w:val="00DF4DF0"/>
    <w:rsid w:val="00DF5F40"/>
    <w:rsid w:val="00DF6A72"/>
    <w:rsid w:val="00E0001B"/>
    <w:rsid w:val="00E01962"/>
    <w:rsid w:val="00E022A7"/>
    <w:rsid w:val="00E04210"/>
    <w:rsid w:val="00E05C81"/>
    <w:rsid w:val="00E11AED"/>
    <w:rsid w:val="00E13852"/>
    <w:rsid w:val="00E14B5E"/>
    <w:rsid w:val="00E17A2C"/>
    <w:rsid w:val="00E17C72"/>
    <w:rsid w:val="00E21ED5"/>
    <w:rsid w:val="00E21FC6"/>
    <w:rsid w:val="00E231D9"/>
    <w:rsid w:val="00E24261"/>
    <w:rsid w:val="00E24CFB"/>
    <w:rsid w:val="00E26D33"/>
    <w:rsid w:val="00E27534"/>
    <w:rsid w:val="00E332B0"/>
    <w:rsid w:val="00E34D85"/>
    <w:rsid w:val="00E411B0"/>
    <w:rsid w:val="00E431A9"/>
    <w:rsid w:val="00E4352B"/>
    <w:rsid w:val="00E44426"/>
    <w:rsid w:val="00E475EA"/>
    <w:rsid w:val="00E5049F"/>
    <w:rsid w:val="00E53341"/>
    <w:rsid w:val="00E555BC"/>
    <w:rsid w:val="00E5598A"/>
    <w:rsid w:val="00E60344"/>
    <w:rsid w:val="00E6250F"/>
    <w:rsid w:val="00E629BC"/>
    <w:rsid w:val="00E64E35"/>
    <w:rsid w:val="00E669E2"/>
    <w:rsid w:val="00E728EF"/>
    <w:rsid w:val="00E76135"/>
    <w:rsid w:val="00E8130F"/>
    <w:rsid w:val="00E8277C"/>
    <w:rsid w:val="00E82EEA"/>
    <w:rsid w:val="00E82F4F"/>
    <w:rsid w:val="00E85593"/>
    <w:rsid w:val="00E8674D"/>
    <w:rsid w:val="00E86E71"/>
    <w:rsid w:val="00E97401"/>
    <w:rsid w:val="00EA01A6"/>
    <w:rsid w:val="00EA103F"/>
    <w:rsid w:val="00EA1657"/>
    <w:rsid w:val="00EA2042"/>
    <w:rsid w:val="00EA31C4"/>
    <w:rsid w:val="00EA47FF"/>
    <w:rsid w:val="00EA5CD9"/>
    <w:rsid w:val="00EB209B"/>
    <w:rsid w:val="00EB3B3A"/>
    <w:rsid w:val="00EB680C"/>
    <w:rsid w:val="00EB7F42"/>
    <w:rsid w:val="00EC2844"/>
    <w:rsid w:val="00EC2ABC"/>
    <w:rsid w:val="00EC34F1"/>
    <w:rsid w:val="00EC3CBE"/>
    <w:rsid w:val="00EC5500"/>
    <w:rsid w:val="00ED12FA"/>
    <w:rsid w:val="00ED302D"/>
    <w:rsid w:val="00ED3ED9"/>
    <w:rsid w:val="00ED594E"/>
    <w:rsid w:val="00EE090A"/>
    <w:rsid w:val="00EE15FF"/>
    <w:rsid w:val="00EE1B9E"/>
    <w:rsid w:val="00EE441E"/>
    <w:rsid w:val="00EE4845"/>
    <w:rsid w:val="00EE66A9"/>
    <w:rsid w:val="00EE66FE"/>
    <w:rsid w:val="00EE6F27"/>
    <w:rsid w:val="00EE78D5"/>
    <w:rsid w:val="00EF0526"/>
    <w:rsid w:val="00EF4B16"/>
    <w:rsid w:val="00EF5708"/>
    <w:rsid w:val="00EF6C6C"/>
    <w:rsid w:val="00EF6EE5"/>
    <w:rsid w:val="00F007F8"/>
    <w:rsid w:val="00F028B4"/>
    <w:rsid w:val="00F03ECC"/>
    <w:rsid w:val="00F056FC"/>
    <w:rsid w:val="00F077D9"/>
    <w:rsid w:val="00F10476"/>
    <w:rsid w:val="00F11E24"/>
    <w:rsid w:val="00F1257B"/>
    <w:rsid w:val="00F12A68"/>
    <w:rsid w:val="00F12C6C"/>
    <w:rsid w:val="00F135D8"/>
    <w:rsid w:val="00F14598"/>
    <w:rsid w:val="00F15282"/>
    <w:rsid w:val="00F1528F"/>
    <w:rsid w:val="00F164D4"/>
    <w:rsid w:val="00F16ADC"/>
    <w:rsid w:val="00F2151A"/>
    <w:rsid w:val="00F230B2"/>
    <w:rsid w:val="00F23AE0"/>
    <w:rsid w:val="00F25077"/>
    <w:rsid w:val="00F27F5F"/>
    <w:rsid w:val="00F31299"/>
    <w:rsid w:val="00F34009"/>
    <w:rsid w:val="00F3534A"/>
    <w:rsid w:val="00F35B97"/>
    <w:rsid w:val="00F4212C"/>
    <w:rsid w:val="00F42DA5"/>
    <w:rsid w:val="00F43363"/>
    <w:rsid w:val="00F510CF"/>
    <w:rsid w:val="00F51609"/>
    <w:rsid w:val="00F51E46"/>
    <w:rsid w:val="00F54044"/>
    <w:rsid w:val="00F541D4"/>
    <w:rsid w:val="00F559FD"/>
    <w:rsid w:val="00F55E1E"/>
    <w:rsid w:val="00F6152C"/>
    <w:rsid w:val="00F61AF7"/>
    <w:rsid w:val="00F637D1"/>
    <w:rsid w:val="00F65D75"/>
    <w:rsid w:val="00F66904"/>
    <w:rsid w:val="00F66D83"/>
    <w:rsid w:val="00F66E14"/>
    <w:rsid w:val="00F67793"/>
    <w:rsid w:val="00F67DA3"/>
    <w:rsid w:val="00F726A5"/>
    <w:rsid w:val="00F72B29"/>
    <w:rsid w:val="00F73C57"/>
    <w:rsid w:val="00F76694"/>
    <w:rsid w:val="00F81713"/>
    <w:rsid w:val="00F85251"/>
    <w:rsid w:val="00F85325"/>
    <w:rsid w:val="00F86104"/>
    <w:rsid w:val="00F90B41"/>
    <w:rsid w:val="00F912F9"/>
    <w:rsid w:val="00F955AE"/>
    <w:rsid w:val="00F95913"/>
    <w:rsid w:val="00F974C9"/>
    <w:rsid w:val="00FA2C5F"/>
    <w:rsid w:val="00FA364B"/>
    <w:rsid w:val="00FA3738"/>
    <w:rsid w:val="00FA46FB"/>
    <w:rsid w:val="00FA48B9"/>
    <w:rsid w:val="00FA73BD"/>
    <w:rsid w:val="00FB42CA"/>
    <w:rsid w:val="00FB71D4"/>
    <w:rsid w:val="00FB7449"/>
    <w:rsid w:val="00FC0307"/>
    <w:rsid w:val="00FC0EA8"/>
    <w:rsid w:val="00FC102A"/>
    <w:rsid w:val="00FC3151"/>
    <w:rsid w:val="00FD0BAD"/>
    <w:rsid w:val="00FD1495"/>
    <w:rsid w:val="00FD14D8"/>
    <w:rsid w:val="00FD22B1"/>
    <w:rsid w:val="00FD2590"/>
    <w:rsid w:val="00FD32B7"/>
    <w:rsid w:val="00FD4DCF"/>
    <w:rsid w:val="00FD53DB"/>
    <w:rsid w:val="00FD5E50"/>
    <w:rsid w:val="00FD628B"/>
    <w:rsid w:val="00FD66A6"/>
    <w:rsid w:val="00FE07B1"/>
    <w:rsid w:val="00FE6D67"/>
    <w:rsid w:val="00FF3542"/>
    <w:rsid w:val="00FF3DC3"/>
    <w:rsid w:val="00FF4934"/>
    <w:rsid w:val="00FF4AE6"/>
    <w:rsid w:val="00FF62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footnote text" w:uiPriority="99"/>
    <w:lsdException w:name="annotation text" w:uiPriority="99"/>
    <w:lsdException w:name="footnote reference" w:uiPriority="99"/>
    <w:lsdException w:name="annotation reference" w:uiPriority="99"/>
    <w:lsdException w:name="List Bullet"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D2BAB"/>
    <w:rPr>
      <w:rFonts w:ascii="Calibri" w:hAnsi="Calibri"/>
      <w:sz w:val="22"/>
      <w:szCs w:val="22"/>
      <w:lang w:eastAsia="en-US"/>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1"/>
    <w:link w:val="BodyTextChar"/>
    <w:qFormat/>
    <w:rsid w:val="00EE15FF"/>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7"/>
      </w:numPr>
      <w:spacing w:before="60" w:line="280" w:lineRule="atLeast"/>
    </w:pPr>
    <w:rPr>
      <w:rFonts w:ascii="Arial" w:hAnsi="Arial"/>
      <w:sz w:val="22"/>
    </w:rPr>
  </w:style>
  <w:style w:type="paragraph" w:customStyle="1" w:styleId="BoxListNumber">
    <w:name w:val="Box List Number"/>
    <w:basedOn w:val="BodyText"/>
    <w:rsid w:val="00376E59"/>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link w:val="SourceChar"/>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uiPriority w:val="99"/>
    <w:semiHidden/>
    <w:rsid w:val="00A17328"/>
    <w:rPr>
      <w:rFonts w:ascii="Times New Roman" w:hAnsi="Times New Roman"/>
      <w:position w:val="6"/>
      <w:sz w:val="22"/>
      <w:vertAlign w:val="baseline"/>
    </w:rPr>
  </w:style>
  <w:style w:type="paragraph" w:styleId="FootnoteText">
    <w:name w:val="footnote text"/>
    <w:basedOn w:val="BodyText"/>
    <w:link w:val="FootnoteTextChar"/>
    <w:uiPriority w:val="99"/>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uiPriority w:val="99"/>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14FE4"/>
    <w:pPr>
      <w:numPr>
        <w:ilvl w:val="2"/>
      </w:numPr>
      <w:ind w:left="1248" w:hanging="454"/>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4"/>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9F0D1B"/>
    <w:pPr>
      <w:numPr>
        <w:numId w:val="18"/>
      </w:numPr>
      <w:tabs>
        <w:tab w:val="left" w:pos="1021"/>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5"/>
      </w:numPr>
      <w:ind w:left="568" w:hanging="284"/>
    </w:pPr>
  </w:style>
  <w:style w:type="paragraph" w:customStyle="1" w:styleId="InformationRequestBullet">
    <w:name w:val="Information Request Bullet"/>
    <w:basedOn w:val="ListBullet"/>
    <w:next w:val="BodyText"/>
    <w:rsid w:val="00BA7E27"/>
    <w:pPr>
      <w:numPr>
        <w:numId w:val="16"/>
      </w:numPr>
      <w:ind w:left="340" w:hanging="340"/>
    </w:pPr>
    <w:rPr>
      <w:rFonts w:ascii="Arial" w:hAnsi="Arial"/>
      <w:i/>
      <w:sz w:val="24"/>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1 Char"/>
    <w:link w:val="BodyText"/>
    <w:rsid w:val="00EE15FF"/>
    <w:rPr>
      <w:sz w:val="26"/>
    </w:rPr>
  </w:style>
  <w:style w:type="character" w:customStyle="1" w:styleId="CommentTextChar">
    <w:name w:val="Comment Text Char"/>
    <w:basedOn w:val="DefaultParagraphFont"/>
    <w:link w:val="CommentText"/>
    <w:uiPriority w:val="99"/>
    <w:semiHidden/>
    <w:rsid w:val="007D2BAB"/>
    <w:rPr>
      <w:szCs w:val="24"/>
    </w:rPr>
  </w:style>
  <w:style w:type="character" w:customStyle="1" w:styleId="FootnoteTextChar">
    <w:name w:val="Footnote Text Char"/>
    <w:basedOn w:val="DefaultParagraphFont"/>
    <w:link w:val="FootnoteText"/>
    <w:uiPriority w:val="99"/>
    <w:rsid w:val="007D2BAB"/>
    <w:rPr>
      <w:sz w:val="22"/>
    </w:rPr>
  </w:style>
  <w:style w:type="character" w:customStyle="1" w:styleId="QuoteChar">
    <w:name w:val="Quote Char"/>
    <w:basedOn w:val="DefaultParagraphFont"/>
    <w:link w:val="Quote"/>
    <w:rsid w:val="007D2BAB"/>
    <w:rPr>
      <w:sz w:val="24"/>
    </w:rPr>
  </w:style>
  <w:style w:type="character" w:customStyle="1" w:styleId="SourceChar">
    <w:name w:val="Source Char"/>
    <w:basedOn w:val="DefaultParagraphFont"/>
    <w:link w:val="Source"/>
    <w:rsid w:val="007D2BAB"/>
    <w:rPr>
      <w:rFonts w:ascii="Arial" w:hAnsi="Arial"/>
      <w:sz w:val="18"/>
    </w:rPr>
  </w:style>
  <w:style w:type="paragraph" w:styleId="CommentSubject">
    <w:name w:val="annotation subject"/>
    <w:basedOn w:val="CommentText"/>
    <w:next w:val="CommentText"/>
    <w:link w:val="CommentSubjectChar"/>
    <w:rsid w:val="005D4388"/>
    <w:pPr>
      <w:spacing w:before="0" w:line="240" w:lineRule="auto"/>
      <w:ind w:left="0" w:firstLine="0"/>
    </w:pPr>
    <w:rPr>
      <w:b/>
      <w:bCs/>
      <w:szCs w:val="20"/>
    </w:rPr>
  </w:style>
  <w:style w:type="character" w:customStyle="1" w:styleId="CommentSubjectChar">
    <w:name w:val="Comment Subject Char"/>
    <w:basedOn w:val="CommentTextChar"/>
    <w:link w:val="CommentSubject"/>
    <w:rsid w:val="005D4388"/>
    <w:rPr>
      <w:rFonts w:ascii="Calibri" w:hAnsi="Calibri"/>
      <w:b/>
      <w:bCs/>
      <w:szCs w:val="24"/>
      <w:lang w:eastAsia="en-US"/>
    </w:rPr>
  </w:style>
  <w:style w:type="paragraph" w:styleId="Revision">
    <w:name w:val="Revision"/>
    <w:hidden/>
    <w:uiPriority w:val="99"/>
    <w:semiHidden/>
    <w:rsid w:val="002C2AFF"/>
    <w:rPr>
      <w:rFonts w:ascii="Calibri" w:hAnsi="Calibri"/>
      <w:sz w:val="22"/>
      <w:szCs w:val="22"/>
      <w:lang w:eastAsia="en-US"/>
    </w:rPr>
  </w:style>
  <w:style w:type="character" w:styleId="Hyperlink">
    <w:name w:val="Hyperlink"/>
    <w:basedOn w:val="DefaultParagraphFont"/>
    <w:rsid w:val="00604D6E"/>
    <w:rPr>
      <w:color w:val="0000FF" w:themeColor="hyperlink"/>
      <w:u w:val="single"/>
    </w:rPr>
  </w:style>
  <w:style w:type="paragraph" w:customStyle="1" w:styleId="BoxSpaceAbove">
    <w:name w:val="Box Space Above"/>
    <w:basedOn w:val="BodyText"/>
    <w:rsid w:val="00DC391F"/>
    <w:pPr>
      <w:keepNext/>
      <w:spacing w:before="360" w:line="80" w:lineRule="exact"/>
      <w:jc w:val="left"/>
    </w:pPr>
  </w:style>
  <w:style w:type="paragraph" w:customStyle="1" w:styleId="BoxSpaceBelow">
    <w:name w:val="Box Space Below"/>
    <w:basedOn w:val="Box"/>
    <w:rsid w:val="00DC391F"/>
    <w:pPr>
      <w:keepNext w:val="0"/>
      <w:spacing w:before="60" w:after="60" w:line="80" w:lineRule="exact"/>
    </w:pPr>
    <w:rPr>
      <w:sz w:val="14"/>
    </w:rPr>
  </w:style>
  <w:style w:type="table" w:styleId="TableGrid">
    <w:name w:val="Table Grid"/>
    <w:basedOn w:val="TableNormal"/>
    <w:rsid w:val="008A7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BoxHeading">
    <w:name w:val="PC Box Heading"/>
    <w:basedOn w:val="BodyText"/>
    <w:link w:val="PCBoxHeadingChar"/>
    <w:qFormat/>
    <w:rsid w:val="00260A98"/>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260A98"/>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260A98"/>
    <w:rPr>
      <w:b/>
      <w:i/>
      <w:sz w:val="24"/>
      <w:szCs w:val="24"/>
      <w:lang w:eastAsia="en-US"/>
    </w:rPr>
  </w:style>
  <w:style w:type="character" w:customStyle="1" w:styleId="PCBoxtextChar">
    <w:name w:val="PC Box text Char"/>
    <w:basedOn w:val="BodyTextChar"/>
    <w:link w:val="PCBoxtext"/>
    <w:rsid w:val="00260A9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footnote text" w:uiPriority="99"/>
    <w:lsdException w:name="annotation text" w:uiPriority="99"/>
    <w:lsdException w:name="footnote reference" w:uiPriority="99"/>
    <w:lsdException w:name="annotation reference" w:uiPriority="99"/>
    <w:lsdException w:name="List Bullet"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D2BAB"/>
    <w:rPr>
      <w:rFonts w:ascii="Calibri" w:hAnsi="Calibri"/>
      <w:sz w:val="22"/>
      <w:szCs w:val="22"/>
      <w:lang w:eastAsia="en-US"/>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1"/>
    <w:link w:val="BodyTextChar"/>
    <w:qFormat/>
    <w:rsid w:val="00EE15FF"/>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7"/>
      </w:numPr>
      <w:spacing w:before="60" w:line="280" w:lineRule="atLeast"/>
    </w:pPr>
    <w:rPr>
      <w:rFonts w:ascii="Arial" w:hAnsi="Arial"/>
      <w:sz w:val="22"/>
    </w:rPr>
  </w:style>
  <w:style w:type="paragraph" w:customStyle="1" w:styleId="BoxListNumber">
    <w:name w:val="Box List Number"/>
    <w:basedOn w:val="BodyText"/>
    <w:rsid w:val="00376E59"/>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link w:val="SourceChar"/>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uiPriority w:val="99"/>
    <w:semiHidden/>
    <w:rsid w:val="00A17328"/>
    <w:rPr>
      <w:rFonts w:ascii="Times New Roman" w:hAnsi="Times New Roman"/>
      <w:position w:val="6"/>
      <w:sz w:val="22"/>
      <w:vertAlign w:val="baseline"/>
    </w:rPr>
  </w:style>
  <w:style w:type="paragraph" w:styleId="FootnoteText">
    <w:name w:val="footnote text"/>
    <w:basedOn w:val="BodyText"/>
    <w:link w:val="FootnoteTextChar"/>
    <w:uiPriority w:val="99"/>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uiPriority w:val="99"/>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14FE4"/>
    <w:pPr>
      <w:numPr>
        <w:ilvl w:val="2"/>
      </w:numPr>
      <w:ind w:left="1248" w:hanging="454"/>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4"/>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9F0D1B"/>
    <w:pPr>
      <w:numPr>
        <w:numId w:val="18"/>
      </w:numPr>
      <w:tabs>
        <w:tab w:val="left" w:pos="1021"/>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5"/>
      </w:numPr>
      <w:ind w:left="568" w:hanging="284"/>
    </w:pPr>
  </w:style>
  <w:style w:type="paragraph" w:customStyle="1" w:styleId="InformationRequestBullet">
    <w:name w:val="Information Request Bullet"/>
    <w:basedOn w:val="ListBullet"/>
    <w:next w:val="BodyText"/>
    <w:rsid w:val="00BA7E27"/>
    <w:pPr>
      <w:numPr>
        <w:numId w:val="16"/>
      </w:numPr>
      <w:ind w:left="340" w:hanging="340"/>
    </w:pPr>
    <w:rPr>
      <w:rFonts w:ascii="Arial" w:hAnsi="Arial"/>
      <w:i/>
      <w:sz w:val="24"/>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1 Char"/>
    <w:link w:val="BodyText"/>
    <w:rsid w:val="00EE15FF"/>
    <w:rPr>
      <w:sz w:val="26"/>
    </w:rPr>
  </w:style>
  <w:style w:type="character" w:customStyle="1" w:styleId="CommentTextChar">
    <w:name w:val="Comment Text Char"/>
    <w:basedOn w:val="DefaultParagraphFont"/>
    <w:link w:val="CommentText"/>
    <w:uiPriority w:val="99"/>
    <w:semiHidden/>
    <w:rsid w:val="007D2BAB"/>
    <w:rPr>
      <w:szCs w:val="24"/>
    </w:rPr>
  </w:style>
  <w:style w:type="character" w:customStyle="1" w:styleId="FootnoteTextChar">
    <w:name w:val="Footnote Text Char"/>
    <w:basedOn w:val="DefaultParagraphFont"/>
    <w:link w:val="FootnoteText"/>
    <w:uiPriority w:val="99"/>
    <w:rsid w:val="007D2BAB"/>
    <w:rPr>
      <w:sz w:val="22"/>
    </w:rPr>
  </w:style>
  <w:style w:type="character" w:customStyle="1" w:styleId="QuoteChar">
    <w:name w:val="Quote Char"/>
    <w:basedOn w:val="DefaultParagraphFont"/>
    <w:link w:val="Quote"/>
    <w:rsid w:val="007D2BAB"/>
    <w:rPr>
      <w:sz w:val="24"/>
    </w:rPr>
  </w:style>
  <w:style w:type="character" w:customStyle="1" w:styleId="SourceChar">
    <w:name w:val="Source Char"/>
    <w:basedOn w:val="DefaultParagraphFont"/>
    <w:link w:val="Source"/>
    <w:rsid w:val="007D2BAB"/>
    <w:rPr>
      <w:rFonts w:ascii="Arial" w:hAnsi="Arial"/>
      <w:sz w:val="18"/>
    </w:rPr>
  </w:style>
  <w:style w:type="paragraph" w:styleId="CommentSubject">
    <w:name w:val="annotation subject"/>
    <w:basedOn w:val="CommentText"/>
    <w:next w:val="CommentText"/>
    <w:link w:val="CommentSubjectChar"/>
    <w:rsid w:val="005D4388"/>
    <w:pPr>
      <w:spacing w:before="0" w:line="240" w:lineRule="auto"/>
      <w:ind w:left="0" w:firstLine="0"/>
    </w:pPr>
    <w:rPr>
      <w:b/>
      <w:bCs/>
      <w:szCs w:val="20"/>
    </w:rPr>
  </w:style>
  <w:style w:type="character" w:customStyle="1" w:styleId="CommentSubjectChar">
    <w:name w:val="Comment Subject Char"/>
    <w:basedOn w:val="CommentTextChar"/>
    <w:link w:val="CommentSubject"/>
    <w:rsid w:val="005D4388"/>
    <w:rPr>
      <w:rFonts w:ascii="Calibri" w:hAnsi="Calibri"/>
      <w:b/>
      <w:bCs/>
      <w:szCs w:val="24"/>
      <w:lang w:eastAsia="en-US"/>
    </w:rPr>
  </w:style>
  <w:style w:type="paragraph" w:styleId="Revision">
    <w:name w:val="Revision"/>
    <w:hidden/>
    <w:uiPriority w:val="99"/>
    <w:semiHidden/>
    <w:rsid w:val="002C2AFF"/>
    <w:rPr>
      <w:rFonts w:ascii="Calibri" w:hAnsi="Calibri"/>
      <w:sz w:val="22"/>
      <w:szCs w:val="22"/>
      <w:lang w:eastAsia="en-US"/>
    </w:rPr>
  </w:style>
  <w:style w:type="character" w:styleId="Hyperlink">
    <w:name w:val="Hyperlink"/>
    <w:basedOn w:val="DefaultParagraphFont"/>
    <w:rsid w:val="00604D6E"/>
    <w:rPr>
      <w:color w:val="0000FF" w:themeColor="hyperlink"/>
      <w:u w:val="single"/>
    </w:rPr>
  </w:style>
  <w:style w:type="paragraph" w:customStyle="1" w:styleId="BoxSpaceAbove">
    <w:name w:val="Box Space Above"/>
    <w:basedOn w:val="BodyText"/>
    <w:rsid w:val="00DC391F"/>
    <w:pPr>
      <w:keepNext/>
      <w:spacing w:before="360" w:line="80" w:lineRule="exact"/>
      <w:jc w:val="left"/>
    </w:pPr>
  </w:style>
  <w:style w:type="paragraph" w:customStyle="1" w:styleId="BoxSpaceBelow">
    <w:name w:val="Box Space Below"/>
    <w:basedOn w:val="Box"/>
    <w:rsid w:val="00DC391F"/>
    <w:pPr>
      <w:keepNext w:val="0"/>
      <w:spacing w:before="60" w:after="60" w:line="80" w:lineRule="exact"/>
    </w:pPr>
    <w:rPr>
      <w:sz w:val="14"/>
    </w:rPr>
  </w:style>
  <w:style w:type="table" w:styleId="TableGrid">
    <w:name w:val="Table Grid"/>
    <w:basedOn w:val="TableNormal"/>
    <w:rsid w:val="008A7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BoxHeading">
    <w:name w:val="PC Box Heading"/>
    <w:basedOn w:val="BodyText"/>
    <w:link w:val="PCBoxHeadingChar"/>
    <w:qFormat/>
    <w:rsid w:val="00260A98"/>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260A98"/>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260A98"/>
    <w:rPr>
      <w:b/>
      <w:i/>
      <w:sz w:val="24"/>
      <w:szCs w:val="24"/>
      <w:lang w:eastAsia="en-US"/>
    </w:rPr>
  </w:style>
  <w:style w:type="character" w:customStyle="1" w:styleId="PCBoxtextChar">
    <w:name w:val="PC Box text Char"/>
    <w:basedOn w:val="BodyTextChar"/>
    <w:link w:val="PCBoxtext"/>
    <w:rsid w:val="00260A9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48615">
      <w:bodyDiv w:val="1"/>
      <w:marLeft w:val="0"/>
      <w:marRight w:val="0"/>
      <w:marTop w:val="0"/>
      <w:marBottom w:val="0"/>
      <w:divBdr>
        <w:top w:val="none" w:sz="0" w:space="0" w:color="auto"/>
        <w:left w:val="none" w:sz="0" w:space="0" w:color="auto"/>
        <w:bottom w:val="none" w:sz="0" w:space="0" w:color="auto"/>
        <w:right w:val="none" w:sz="0" w:space="0" w:color="auto"/>
      </w:divBdr>
    </w:div>
    <w:div w:id="351807107">
      <w:bodyDiv w:val="1"/>
      <w:marLeft w:val="0"/>
      <w:marRight w:val="0"/>
      <w:marTop w:val="0"/>
      <w:marBottom w:val="0"/>
      <w:divBdr>
        <w:top w:val="none" w:sz="0" w:space="0" w:color="auto"/>
        <w:left w:val="none" w:sz="0" w:space="0" w:color="auto"/>
        <w:bottom w:val="none" w:sz="0" w:space="0" w:color="auto"/>
        <w:right w:val="none" w:sz="0" w:space="0" w:color="auto"/>
      </w:divBdr>
      <w:divsChild>
        <w:div w:id="604070119">
          <w:marLeft w:val="0"/>
          <w:marRight w:val="0"/>
          <w:marTop w:val="0"/>
          <w:marBottom w:val="0"/>
          <w:divBdr>
            <w:top w:val="none" w:sz="0" w:space="0" w:color="auto"/>
            <w:left w:val="none" w:sz="0" w:space="0" w:color="auto"/>
            <w:bottom w:val="none" w:sz="0" w:space="0" w:color="auto"/>
            <w:right w:val="none" w:sz="0" w:space="0" w:color="auto"/>
          </w:divBdr>
          <w:divsChild>
            <w:div w:id="1802966255">
              <w:marLeft w:val="0"/>
              <w:marRight w:val="0"/>
              <w:marTop w:val="0"/>
              <w:marBottom w:val="0"/>
              <w:divBdr>
                <w:top w:val="none" w:sz="0" w:space="0" w:color="auto"/>
                <w:left w:val="none" w:sz="0" w:space="0" w:color="auto"/>
                <w:bottom w:val="none" w:sz="0" w:space="0" w:color="auto"/>
                <w:right w:val="none" w:sz="0" w:space="0" w:color="auto"/>
              </w:divBdr>
              <w:divsChild>
                <w:div w:id="963926882">
                  <w:marLeft w:val="0"/>
                  <w:marRight w:val="0"/>
                  <w:marTop w:val="0"/>
                  <w:marBottom w:val="0"/>
                  <w:divBdr>
                    <w:top w:val="none" w:sz="0" w:space="0" w:color="auto"/>
                    <w:left w:val="none" w:sz="0" w:space="0" w:color="auto"/>
                    <w:bottom w:val="none" w:sz="0" w:space="0" w:color="auto"/>
                    <w:right w:val="none" w:sz="0" w:space="0" w:color="auto"/>
                  </w:divBdr>
                  <w:divsChild>
                    <w:div w:id="1540512856">
                      <w:marLeft w:val="0"/>
                      <w:marRight w:val="0"/>
                      <w:marTop w:val="0"/>
                      <w:marBottom w:val="0"/>
                      <w:divBdr>
                        <w:top w:val="none" w:sz="0" w:space="0" w:color="auto"/>
                        <w:left w:val="none" w:sz="0" w:space="0" w:color="auto"/>
                        <w:bottom w:val="none" w:sz="0" w:space="0" w:color="auto"/>
                        <w:right w:val="none" w:sz="0" w:space="0" w:color="auto"/>
                      </w:divBdr>
                      <w:divsChild>
                        <w:div w:id="950554151">
                          <w:marLeft w:val="0"/>
                          <w:marRight w:val="0"/>
                          <w:marTop w:val="315"/>
                          <w:marBottom w:val="0"/>
                          <w:divBdr>
                            <w:top w:val="none" w:sz="0" w:space="0" w:color="auto"/>
                            <w:left w:val="none" w:sz="0" w:space="0" w:color="auto"/>
                            <w:bottom w:val="none" w:sz="0" w:space="0" w:color="auto"/>
                            <w:right w:val="none" w:sz="0" w:space="0" w:color="auto"/>
                          </w:divBdr>
                          <w:divsChild>
                            <w:div w:id="1944265989">
                              <w:marLeft w:val="1980"/>
                              <w:marRight w:val="3810"/>
                              <w:marTop w:val="0"/>
                              <w:marBottom w:val="0"/>
                              <w:divBdr>
                                <w:top w:val="none" w:sz="0" w:space="0" w:color="auto"/>
                                <w:left w:val="none" w:sz="0" w:space="0" w:color="auto"/>
                                <w:bottom w:val="none" w:sz="0" w:space="0" w:color="auto"/>
                                <w:right w:val="none" w:sz="0" w:space="0" w:color="auto"/>
                              </w:divBdr>
                              <w:divsChild>
                                <w:div w:id="1449274427">
                                  <w:marLeft w:val="0"/>
                                  <w:marRight w:val="0"/>
                                  <w:marTop w:val="0"/>
                                  <w:marBottom w:val="0"/>
                                  <w:divBdr>
                                    <w:top w:val="none" w:sz="0" w:space="0" w:color="auto"/>
                                    <w:left w:val="none" w:sz="0" w:space="0" w:color="auto"/>
                                    <w:bottom w:val="none" w:sz="0" w:space="0" w:color="auto"/>
                                    <w:right w:val="none" w:sz="0" w:space="0" w:color="auto"/>
                                  </w:divBdr>
                                  <w:divsChild>
                                    <w:div w:id="2102020997">
                                      <w:marLeft w:val="0"/>
                                      <w:marRight w:val="0"/>
                                      <w:marTop w:val="0"/>
                                      <w:marBottom w:val="0"/>
                                      <w:divBdr>
                                        <w:top w:val="none" w:sz="0" w:space="0" w:color="auto"/>
                                        <w:left w:val="none" w:sz="0" w:space="0" w:color="auto"/>
                                        <w:bottom w:val="none" w:sz="0" w:space="0" w:color="auto"/>
                                        <w:right w:val="none" w:sz="0" w:space="0" w:color="auto"/>
                                      </w:divBdr>
                                      <w:divsChild>
                                        <w:div w:id="1754933364">
                                          <w:marLeft w:val="0"/>
                                          <w:marRight w:val="0"/>
                                          <w:marTop w:val="0"/>
                                          <w:marBottom w:val="0"/>
                                          <w:divBdr>
                                            <w:top w:val="none" w:sz="0" w:space="0" w:color="auto"/>
                                            <w:left w:val="none" w:sz="0" w:space="0" w:color="auto"/>
                                            <w:bottom w:val="none" w:sz="0" w:space="0" w:color="auto"/>
                                            <w:right w:val="none" w:sz="0" w:space="0" w:color="auto"/>
                                          </w:divBdr>
                                          <w:divsChild>
                                            <w:div w:id="1972055706">
                                              <w:marLeft w:val="0"/>
                                              <w:marRight w:val="0"/>
                                              <w:marTop w:val="0"/>
                                              <w:marBottom w:val="0"/>
                                              <w:divBdr>
                                                <w:top w:val="none" w:sz="0" w:space="0" w:color="auto"/>
                                                <w:left w:val="none" w:sz="0" w:space="0" w:color="auto"/>
                                                <w:bottom w:val="none" w:sz="0" w:space="0" w:color="auto"/>
                                                <w:right w:val="none" w:sz="0" w:space="0" w:color="auto"/>
                                              </w:divBdr>
                                              <w:divsChild>
                                                <w:div w:id="60451997">
                                                  <w:marLeft w:val="0"/>
                                                  <w:marRight w:val="0"/>
                                                  <w:marTop w:val="0"/>
                                                  <w:marBottom w:val="0"/>
                                                  <w:divBdr>
                                                    <w:top w:val="none" w:sz="0" w:space="0" w:color="auto"/>
                                                    <w:left w:val="none" w:sz="0" w:space="0" w:color="auto"/>
                                                    <w:bottom w:val="none" w:sz="0" w:space="0" w:color="auto"/>
                                                    <w:right w:val="none" w:sz="0" w:space="0" w:color="auto"/>
                                                  </w:divBdr>
                                                  <w:divsChild>
                                                    <w:div w:id="11848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3945850">
      <w:bodyDiv w:val="1"/>
      <w:marLeft w:val="0"/>
      <w:marRight w:val="0"/>
      <w:marTop w:val="0"/>
      <w:marBottom w:val="0"/>
      <w:divBdr>
        <w:top w:val="none" w:sz="0" w:space="0" w:color="auto"/>
        <w:left w:val="none" w:sz="0" w:space="0" w:color="auto"/>
        <w:bottom w:val="none" w:sz="0" w:space="0" w:color="auto"/>
        <w:right w:val="none" w:sz="0" w:space="0" w:color="auto"/>
      </w:divBdr>
    </w:div>
    <w:div w:id="545796782">
      <w:bodyDiv w:val="1"/>
      <w:marLeft w:val="0"/>
      <w:marRight w:val="0"/>
      <w:marTop w:val="0"/>
      <w:marBottom w:val="0"/>
      <w:divBdr>
        <w:top w:val="none" w:sz="0" w:space="0" w:color="auto"/>
        <w:left w:val="none" w:sz="0" w:space="0" w:color="auto"/>
        <w:bottom w:val="none" w:sz="0" w:space="0" w:color="auto"/>
        <w:right w:val="none" w:sz="0" w:space="0" w:color="auto"/>
      </w:divBdr>
    </w:div>
    <w:div w:id="967784820">
      <w:bodyDiv w:val="1"/>
      <w:marLeft w:val="0"/>
      <w:marRight w:val="0"/>
      <w:marTop w:val="0"/>
      <w:marBottom w:val="0"/>
      <w:divBdr>
        <w:top w:val="none" w:sz="0" w:space="0" w:color="auto"/>
        <w:left w:val="none" w:sz="0" w:space="0" w:color="auto"/>
        <w:bottom w:val="none" w:sz="0" w:space="0" w:color="auto"/>
        <w:right w:val="none" w:sz="0" w:space="0" w:color="auto"/>
      </w:divBdr>
    </w:div>
    <w:div w:id="1184902300">
      <w:bodyDiv w:val="1"/>
      <w:marLeft w:val="0"/>
      <w:marRight w:val="0"/>
      <w:marTop w:val="0"/>
      <w:marBottom w:val="0"/>
      <w:divBdr>
        <w:top w:val="none" w:sz="0" w:space="0" w:color="auto"/>
        <w:left w:val="none" w:sz="0" w:space="0" w:color="auto"/>
        <w:bottom w:val="none" w:sz="0" w:space="0" w:color="auto"/>
        <w:right w:val="none" w:sz="0" w:space="0" w:color="auto"/>
      </w:divBdr>
    </w:div>
    <w:div w:id="1192955242">
      <w:bodyDiv w:val="1"/>
      <w:marLeft w:val="0"/>
      <w:marRight w:val="0"/>
      <w:marTop w:val="0"/>
      <w:marBottom w:val="0"/>
      <w:divBdr>
        <w:top w:val="none" w:sz="0" w:space="0" w:color="auto"/>
        <w:left w:val="none" w:sz="0" w:space="0" w:color="auto"/>
        <w:bottom w:val="none" w:sz="0" w:space="0" w:color="auto"/>
        <w:right w:val="none" w:sz="0" w:space="0" w:color="auto"/>
      </w:divBdr>
    </w:div>
    <w:div w:id="187924513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01655243526768"/>
          <c:y val="3.6512859076864433E-2"/>
          <c:w val="0.87293503399399053"/>
          <c:h val="0.79871497275298908"/>
        </c:manualLayout>
      </c:layout>
      <c:scatterChart>
        <c:scatterStyle val="lineMarker"/>
        <c:varyColors val="0"/>
        <c:ser>
          <c:idx val="0"/>
          <c:order val="0"/>
          <c:spPr>
            <a:ln w="28575">
              <a:noFill/>
            </a:ln>
          </c:spPr>
          <c:marker>
            <c:symbol val="circle"/>
            <c:size val="7"/>
            <c:spPr>
              <a:solidFill>
                <a:schemeClr val="tx1"/>
              </a:solidFill>
              <a:ln>
                <a:noFill/>
              </a:ln>
            </c:spPr>
          </c:marker>
          <c:xVal>
            <c:strRef>
              <c:f>Sheet1!$A$79:$D$79</c:f>
              <c:strCache>
                <c:ptCount val="4"/>
                <c:pt idx="0">
                  <c:v>Time of use</c:v>
                </c:pt>
                <c:pt idx="1">
                  <c:v>Rebates</c:v>
                </c:pt>
                <c:pt idx="2">
                  <c:v>Critical peak pricing</c:v>
                </c:pt>
                <c:pt idx="3">
                  <c:v>Direct load</c:v>
                </c:pt>
              </c:strCache>
            </c:strRef>
          </c:xVal>
          <c:yVal>
            <c:numRef>
              <c:f>Sheet1!$A$80:$D$80</c:f>
              <c:numCache>
                <c:formatCode>General</c:formatCode>
                <c:ptCount val="4"/>
                <c:pt idx="0">
                  <c:v>4</c:v>
                </c:pt>
                <c:pt idx="1">
                  <c:v>28.999999999999996</c:v>
                </c:pt>
                <c:pt idx="2">
                  <c:v>30</c:v>
                </c:pt>
                <c:pt idx="3">
                  <c:v>19</c:v>
                </c:pt>
              </c:numCache>
            </c:numRef>
          </c:yVal>
          <c:smooth val="0"/>
        </c:ser>
        <c:ser>
          <c:idx val="1"/>
          <c:order val="1"/>
          <c:spPr>
            <a:ln w="28575">
              <a:noFill/>
            </a:ln>
          </c:spPr>
          <c:marker>
            <c:symbol val="circle"/>
            <c:size val="7"/>
            <c:spPr>
              <a:solidFill>
                <a:schemeClr val="tx1"/>
              </a:solidFill>
              <a:ln>
                <a:noFill/>
              </a:ln>
            </c:spPr>
          </c:marker>
          <c:xVal>
            <c:strRef>
              <c:f>Sheet1!$A$79:$D$79</c:f>
              <c:strCache>
                <c:ptCount val="4"/>
                <c:pt idx="0">
                  <c:v>Time of use</c:v>
                </c:pt>
                <c:pt idx="1">
                  <c:v>Rebates</c:v>
                </c:pt>
                <c:pt idx="2">
                  <c:v>Critical peak pricing</c:v>
                </c:pt>
                <c:pt idx="3">
                  <c:v>Direct load</c:v>
                </c:pt>
              </c:strCache>
            </c:strRef>
          </c:xVal>
          <c:yVal>
            <c:numRef>
              <c:f>Sheet1!$A$81:$D$81</c:f>
              <c:numCache>
                <c:formatCode>General</c:formatCode>
                <c:ptCount val="4"/>
                <c:pt idx="0">
                  <c:v>1</c:v>
                </c:pt>
                <c:pt idx="1">
                  <c:v>51</c:v>
                </c:pt>
                <c:pt idx="2">
                  <c:v>21</c:v>
                </c:pt>
                <c:pt idx="3">
                  <c:v>27</c:v>
                </c:pt>
              </c:numCache>
            </c:numRef>
          </c:yVal>
          <c:smooth val="0"/>
        </c:ser>
        <c:ser>
          <c:idx val="2"/>
          <c:order val="2"/>
          <c:spPr>
            <a:ln w="28575">
              <a:noFill/>
            </a:ln>
          </c:spPr>
          <c:marker>
            <c:symbol val="circle"/>
            <c:size val="7"/>
            <c:spPr>
              <a:solidFill>
                <a:schemeClr val="tx1"/>
              </a:solidFill>
            </c:spPr>
          </c:marker>
          <c:xVal>
            <c:strRef>
              <c:f>Sheet1!$A$79:$D$79</c:f>
              <c:strCache>
                <c:ptCount val="4"/>
                <c:pt idx="0">
                  <c:v>Time of use</c:v>
                </c:pt>
                <c:pt idx="1">
                  <c:v>Rebates</c:v>
                </c:pt>
                <c:pt idx="2">
                  <c:v>Critical peak pricing</c:v>
                </c:pt>
                <c:pt idx="3">
                  <c:v>Direct load</c:v>
                </c:pt>
              </c:strCache>
            </c:strRef>
          </c:xVal>
          <c:yVal>
            <c:numRef>
              <c:f>Sheet1!$A$82:$D$82</c:f>
              <c:numCache>
                <c:formatCode>General</c:formatCode>
                <c:ptCount val="4"/>
                <c:pt idx="0">
                  <c:v>3</c:v>
                </c:pt>
                <c:pt idx="1">
                  <c:v>23</c:v>
                </c:pt>
                <c:pt idx="2">
                  <c:v>30</c:v>
                </c:pt>
                <c:pt idx="3">
                  <c:v>32</c:v>
                </c:pt>
              </c:numCache>
            </c:numRef>
          </c:yVal>
          <c:smooth val="0"/>
        </c:ser>
        <c:ser>
          <c:idx val="3"/>
          <c:order val="3"/>
          <c:spPr>
            <a:ln w="28575">
              <a:noFill/>
            </a:ln>
          </c:spPr>
          <c:marker>
            <c:symbol val="circle"/>
            <c:size val="7"/>
            <c:spPr>
              <a:solidFill>
                <a:schemeClr val="tx1"/>
              </a:solidFill>
            </c:spPr>
          </c:marker>
          <c:xVal>
            <c:strRef>
              <c:f>Sheet1!$A$79:$D$79</c:f>
              <c:strCache>
                <c:ptCount val="4"/>
                <c:pt idx="0">
                  <c:v>Time of use</c:v>
                </c:pt>
                <c:pt idx="1">
                  <c:v>Rebates</c:v>
                </c:pt>
                <c:pt idx="2">
                  <c:v>Critical peak pricing</c:v>
                </c:pt>
                <c:pt idx="3">
                  <c:v>Direct load</c:v>
                </c:pt>
              </c:strCache>
            </c:strRef>
          </c:xVal>
          <c:yVal>
            <c:numRef>
              <c:f>Sheet1!$A$83:$D$83</c:f>
              <c:numCache>
                <c:formatCode>General</c:formatCode>
                <c:ptCount val="4"/>
                <c:pt idx="0">
                  <c:v>13</c:v>
                </c:pt>
                <c:pt idx="2">
                  <c:v>40</c:v>
                </c:pt>
                <c:pt idx="3">
                  <c:v>20</c:v>
                </c:pt>
              </c:numCache>
            </c:numRef>
          </c:yVal>
          <c:smooth val="0"/>
        </c:ser>
        <c:ser>
          <c:idx val="4"/>
          <c:order val="4"/>
          <c:spPr>
            <a:ln w="28575">
              <a:noFill/>
            </a:ln>
          </c:spPr>
          <c:marker>
            <c:symbol val="circle"/>
            <c:size val="7"/>
            <c:spPr>
              <a:solidFill>
                <a:schemeClr val="tx1"/>
              </a:solidFill>
              <a:ln>
                <a:noFill/>
              </a:ln>
            </c:spPr>
          </c:marker>
          <c:xVal>
            <c:strRef>
              <c:f>Sheet1!$A$79:$D$79</c:f>
              <c:strCache>
                <c:ptCount val="4"/>
                <c:pt idx="0">
                  <c:v>Time of use</c:v>
                </c:pt>
                <c:pt idx="1">
                  <c:v>Rebates</c:v>
                </c:pt>
                <c:pt idx="2">
                  <c:v>Critical peak pricing</c:v>
                </c:pt>
                <c:pt idx="3">
                  <c:v>Direct load</c:v>
                </c:pt>
              </c:strCache>
            </c:strRef>
          </c:xVal>
          <c:yVal>
            <c:numRef>
              <c:f>Sheet1!$A$84:$D$84</c:f>
              <c:numCache>
                <c:formatCode>General</c:formatCode>
                <c:ptCount val="4"/>
                <c:pt idx="0">
                  <c:v>5</c:v>
                </c:pt>
                <c:pt idx="2">
                  <c:v>36</c:v>
                </c:pt>
                <c:pt idx="3">
                  <c:v>17</c:v>
                </c:pt>
              </c:numCache>
            </c:numRef>
          </c:yVal>
          <c:smooth val="0"/>
        </c:ser>
        <c:ser>
          <c:idx val="5"/>
          <c:order val="5"/>
          <c:spPr>
            <a:ln w="28575">
              <a:noFill/>
            </a:ln>
          </c:spPr>
          <c:marker>
            <c:symbol val="circle"/>
            <c:size val="7"/>
            <c:spPr>
              <a:solidFill>
                <a:schemeClr val="tx1"/>
              </a:solidFill>
              <a:ln>
                <a:noFill/>
              </a:ln>
            </c:spPr>
          </c:marker>
          <c:xVal>
            <c:strRef>
              <c:f>Sheet1!$A$79:$D$79</c:f>
              <c:strCache>
                <c:ptCount val="4"/>
                <c:pt idx="0">
                  <c:v>Time of use</c:v>
                </c:pt>
                <c:pt idx="1">
                  <c:v>Rebates</c:v>
                </c:pt>
                <c:pt idx="2">
                  <c:v>Critical peak pricing</c:v>
                </c:pt>
                <c:pt idx="3">
                  <c:v>Direct load</c:v>
                </c:pt>
              </c:strCache>
            </c:strRef>
          </c:xVal>
          <c:yVal>
            <c:numRef>
              <c:f>Sheet1!$A$85:$D$85</c:f>
              <c:numCache>
                <c:formatCode>General</c:formatCode>
                <c:ptCount val="4"/>
                <c:pt idx="2">
                  <c:v>30</c:v>
                </c:pt>
              </c:numCache>
            </c:numRef>
          </c:yVal>
          <c:smooth val="0"/>
        </c:ser>
        <c:dLbls>
          <c:showLegendKey val="0"/>
          <c:showVal val="0"/>
          <c:showCatName val="0"/>
          <c:showSerName val="0"/>
          <c:showPercent val="0"/>
          <c:showBubbleSize val="0"/>
        </c:dLbls>
        <c:axId val="163198848"/>
        <c:axId val="163200384"/>
      </c:scatterChart>
      <c:valAx>
        <c:axId val="163198848"/>
        <c:scaling>
          <c:orientation val="minMax"/>
        </c:scaling>
        <c:delete val="1"/>
        <c:axPos val="b"/>
        <c:numFmt formatCode="General" sourceLinked="1"/>
        <c:majorTickMark val="none"/>
        <c:minorTickMark val="none"/>
        <c:tickLblPos val="nextTo"/>
        <c:crossAx val="163200384"/>
        <c:crosses val="autoZero"/>
        <c:crossBetween val="midCat"/>
        <c:majorUnit val="1"/>
      </c:valAx>
      <c:valAx>
        <c:axId val="163200384"/>
        <c:scaling>
          <c:orientation val="minMax"/>
        </c:scaling>
        <c:delete val="0"/>
        <c:axPos val="l"/>
        <c:majorGridlines>
          <c:spPr>
            <a:ln w="6350"/>
          </c:spPr>
        </c:majorGridlines>
        <c:title>
          <c:tx>
            <c:rich>
              <a:bodyPr/>
              <a:lstStyle/>
              <a:p>
                <a:pPr>
                  <a:defRPr/>
                </a:pPr>
                <a:r>
                  <a:rPr lang="en-AU"/>
                  <a:t>Reduction in peak electricity use (%)</a:t>
                </a:r>
              </a:p>
            </c:rich>
          </c:tx>
          <c:overlay val="0"/>
        </c:title>
        <c:numFmt formatCode="General" sourceLinked="1"/>
        <c:majorTickMark val="none"/>
        <c:minorTickMark val="none"/>
        <c:tickLblPos val="nextTo"/>
        <c:crossAx val="163198848"/>
        <c:crosses val="autoZero"/>
        <c:crossBetween val="midCat"/>
      </c:valAx>
      <c:spPr>
        <a:ln>
          <a:solidFill>
            <a:schemeClr val="tx1"/>
          </a:solidFill>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0.15909</cdr:x>
      <cdr:y>0.8432</cdr:y>
    </cdr:from>
    <cdr:to>
      <cdr:x>0.38317</cdr:x>
      <cdr:y>0.97328</cdr:y>
    </cdr:to>
    <cdr:sp macro="" textlink="">
      <cdr:nvSpPr>
        <cdr:cNvPr id="2" name="TextBox 1"/>
        <cdr:cNvSpPr txBox="1"/>
      </cdr:nvSpPr>
      <cdr:spPr>
        <a:xfrm xmlns:a="http://schemas.openxmlformats.org/drawingml/2006/main">
          <a:off x="924151" y="3256191"/>
          <a:ext cx="1301750" cy="50233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0.20691</cdr:x>
      <cdr:y>0.84338</cdr:y>
    </cdr:from>
    <cdr:to>
      <cdr:x>0.36432</cdr:x>
      <cdr:y>0.92953</cdr:y>
    </cdr:to>
    <cdr:sp macro="" textlink="">
      <cdr:nvSpPr>
        <cdr:cNvPr id="3" name="TextBox 2"/>
        <cdr:cNvSpPr txBox="1"/>
      </cdr:nvSpPr>
      <cdr:spPr>
        <a:xfrm xmlns:a="http://schemas.openxmlformats.org/drawingml/2006/main">
          <a:off x="1201964" y="3256870"/>
          <a:ext cx="914400" cy="33269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AU" sz="1000"/>
            <a:t>Time of use</a:t>
          </a:r>
        </a:p>
      </cdr:txBody>
    </cdr:sp>
  </cdr:relSizeAnchor>
  <cdr:relSizeAnchor xmlns:cdr="http://schemas.openxmlformats.org/drawingml/2006/chartDrawing">
    <cdr:from>
      <cdr:x>0.36401</cdr:x>
      <cdr:y>0.83739</cdr:y>
    </cdr:from>
    <cdr:to>
      <cdr:x>0.52141</cdr:x>
      <cdr:y>0.92354</cdr:y>
    </cdr:to>
    <cdr:sp macro="" textlink="">
      <cdr:nvSpPr>
        <cdr:cNvPr id="4" name="TextBox 1"/>
        <cdr:cNvSpPr txBox="1"/>
      </cdr:nvSpPr>
      <cdr:spPr>
        <a:xfrm xmlns:a="http://schemas.openxmlformats.org/drawingml/2006/main">
          <a:off x="2114550" y="3233738"/>
          <a:ext cx="914400" cy="33269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t>Rebates</a:t>
          </a:r>
        </a:p>
      </cdr:txBody>
    </cdr:sp>
  </cdr:relSizeAnchor>
  <cdr:relSizeAnchor xmlns:cdr="http://schemas.openxmlformats.org/drawingml/2006/chartDrawing">
    <cdr:from>
      <cdr:x>0.543</cdr:x>
      <cdr:y>0.83739</cdr:y>
    </cdr:from>
    <cdr:to>
      <cdr:x>0.70041</cdr:x>
      <cdr:y>0.92354</cdr:y>
    </cdr:to>
    <cdr:sp macro="" textlink="">
      <cdr:nvSpPr>
        <cdr:cNvPr id="5" name="TextBox 1"/>
        <cdr:cNvSpPr txBox="1"/>
      </cdr:nvSpPr>
      <cdr:spPr>
        <a:xfrm xmlns:a="http://schemas.openxmlformats.org/drawingml/2006/main">
          <a:off x="3154362" y="3233737"/>
          <a:ext cx="914400" cy="33269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t>Critical peak</a:t>
          </a:r>
        </a:p>
        <a:p xmlns:a="http://schemas.openxmlformats.org/drawingml/2006/main">
          <a:pPr algn="ctr"/>
          <a:r>
            <a:rPr lang="en-AU" sz="1000"/>
            <a:t>pricing</a:t>
          </a:r>
        </a:p>
      </cdr:txBody>
    </cdr:sp>
  </cdr:relSizeAnchor>
  <cdr:relSizeAnchor xmlns:cdr="http://schemas.openxmlformats.org/drawingml/2006/chartDrawing">
    <cdr:from>
      <cdr:x>0.72746</cdr:x>
      <cdr:y>0.83739</cdr:y>
    </cdr:from>
    <cdr:to>
      <cdr:x>0.88487</cdr:x>
      <cdr:y>0.92354</cdr:y>
    </cdr:to>
    <cdr:sp macro="" textlink="">
      <cdr:nvSpPr>
        <cdr:cNvPr id="6" name="TextBox 1"/>
        <cdr:cNvSpPr txBox="1"/>
      </cdr:nvSpPr>
      <cdr:spPr>
        <a:xfrm xmlns:a="http://schemas.openxmlformats.org/drawingml/2006/main">
          <a:off x="4225925" y="3233737"/>
          <a:ext cx="914400" cy="33269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a:t>Air</a:t>
          </a:r>
          <a:r>
            <a:rPr lang="en-AU" sz="1000" baseline="0"/>
            <a:t> </a:t>
          </a:r>
          <a:r>
            <a:rPr lang="en-AU" sz="1000"/>
            <a:t>conditioner</a:t>
          </a:r>
        </a:p>
        <a:p xmlns:a="http://schemas.openxmlformats.org/drawingml/2006/main">
          <a:pPr algn="ctr"/>
          <a:r>
            <a:rPr lang="en-AU" sz="1000"/>
            <a:t>DLC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24F7-A60A-4B4B-8687-C25D2FB4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35</Pages>
  <Words>10809</Words>
  <Characters>59663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Demand management</vt:lpstr>
    </vt:vector>
  </TitlesOfParts>
  <Company>Productivity Commission</Company>
  <LinksUpToDate>false</LinksUpToDate>
  <CharactersWithSpaces>70332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management</dc:title>
  <dc:subject>Electricity newtork regulation</dc:subject>
  <dc:creator>Productivity Commission</dc:creator>
  <dc:description>1.</dc:description>
  <cp:lastModifiedBy>Productivity Commission</cp:lastModifiedBy>
  <cp:revision>2</cp:revision>
  <cp:lastPrinted>2013-04-05T01:46:00Z</cp:lastPrinted>
  <dcterms:created xsi:type="dcterms:W3CDTF">2013-04-22T00:46:00Z</dcterms:created>
  <dcterms:modified xsi:type="dcterms:W3CDTF">2013-04-22T00:46:00Z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-984744873</vt:i4>
  </property>
  <property fmtid="{D5CDD505-2E9C-101B-9397-08002B2CF9AE}" pid="3" name="_NewReviewCycle">
    <vt:lpwstr/>
  </property>
  <property fmtid="{D5CDD505-2E9C-101B-9397-08002B2CF9AE}" pid="4" name="_EmailSubject">
    <vt:lpwstr>web files - Electricity final report</vt:lpwstr>
  </property>
  <property fmtid="{D5CDD505-2E9C-101B-9397-08002B2CF9AE}" pid="5" name="_AuthorEmail">
    <vt:lpwstr>Louise.Jordan@pc.gov.au</vt:lpwstr>
  </property>
  <property fmtid="{D5CDD505-2E9C-101B-9397-08002B2CF9AE}" pid="6" name="_AuthorEmailDisplayName">
    <vt:lpwstr>Jordan, Louise</vt:lpwstr>
  </property>
  <property fmtid="{D5CDD505-2E9C-101B-9397-08002B2CF9AE}" pid="7" name="_ReviewingToolsShownOnce">
    <vt:lpwstr/>
  </property>
</Properties>
</file>