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117B54" w:rsidP="00DC7775">
      <w:pPr>
        <w:pStyle w:val="Heading1"/>
        <w:spacing w:before="0"/>
      </w:pPr>
      <w:bookmarkStart w:id="0" w:name="ChapterTitle"/>
      <w:r>
        <w:t>References</w:t>
      </w:r>
      <w:bookmarkEnd w:id="0"/>
    </w:p>
    <w:p w:rsidR="00DC7775" w:rsidRPr="00901113" w:rsidRDefault="00DC7775" w:rsidP="00DC7775">
      <w:pPr>
        <w:pStyle w:val="Reference"/>
      </w:pPr>
      <w:bookmarkStart w:id="1" w:name="begin"/>
      <w:bookmarkEnd w:id="1"/>
      <w:r w:rsidRPr="00901113">
        <w:t xml:space="preserve">ABS (Australian Bureau of Statistics) 2013, </w:t>
      </w:r>
      <w:r w:rsidRPr="00901113">
        <w:rPr>
          <w:i/>
          <w:iCs/>
        </w:rPr>
        <w:t>Austral</w:t>
      </w:r>
      <w:r w:rsidR="00C53E18">
        <w:rPr>
          <w:i/>
          <w:iCs/>
        </w:rPr>
        <w:t>ian Demographic Statistics, Dec </w:t>
      </w:r>
      <w:r w:rsidRPr="00901113">
        <w:rPr>
          <w:i/>
          <w:iCs/>
        </w:rPr>
        <w:t>2012, Cat. no. 3101.0</w:t>
      </w:r>
      <w:r w:rsidR="005476AF">
        <w:t xml:space="preserve">, </w:t>
      </w:r>
      <w:r w:rsidRPr="00901113">
        <w:t>www.abs.gov.au/ausstats/abs@.nsf/mf/3101.0 (accessed 28 August 2013).</w:t>
      </w:r>
    </w:p>
    <w:p w:rsidR="00DC7775" w:rsidRPr="00901113" w:rsidRDefault="00DC7775" w:rsidP="00DC7775">
      <w:pPr>
        <w:pStyle w:val="Reference"/>
      </w:pPr>
      <w:r w:rsidRPr="00901113">
        <w:t xml:space="preserve">ACCC (Australian Competition and Consumer Commission) 2008, </w:t>
      </w:r>
      <w:r w:rsidRPr="00901113">
        <w:rPr>
          <w:i/>
          <w:iCs/>
        </w:rPr>
        <w:t>Report of the ACCC Inquiry into the Competitiveness of Retail Prices for Standard Groceries</w:t>
      </w:r>
      <w:r w:rsidRPr="00901113">
        <w:t>, Canberra.</w:t>
      </w:r>
    </w:p>
    <w:p w:rsidR="00C52E23" w:rsidRDefault="00C52E23" w:rsidP="00DC7775">
      <w:pPr>
        <w:pStyle w:val="Reference"/>
      </w:pPr>
      <w:r>
        <w:t xml:space="preserve">ALDI 2013, </w:t>
      </w:r>
      <w:r w:rsidR="004C2FDD" w:rsidRPr="004C2FDD">
        <w:rPr>
          <w:i/>
        </w:rPr>
        <w:t>ALDI Supports Aussie Businesses</w:t>
      </w:r>
      <w:r w:rsidR="004C2FDD">
        <w:t xml:space="preserve">, </w:t>
      </w:r>
      <w:r w:rsidR="0068144A" w:rsidRPr="0068144A">
        <w:t>https://www.aldi.com.au/en/</w:t>
      </w:r>
      <w:r w:rsidR="0068144A">
        <w:t xml:space="preserve"> </w:t>
      </w:r>
      <w:r w:rsidR="0068144A" w:rsidRPr="0068144A">
        <w:t>shopping-at-aldi/aldi-initiatives/supporting-aussie-businesses/</w:t>
      </w:r>
      <w:r w:rsidR="000A00EC">
        <w:t xml:space="preserve"> (accessed 29 </w:t>
      </w:r>
      <w:r w:rsidR="0068144A">
        <w:t>October 2013).</w:t>
      </w:r>
    </w:p>
    <w:p w:rsidR="00DF3432" w:rsidRDefault="00DC7775" w:rsidP="00DC7775">
      <w:pPr>
        <w:pStyle w:val="Reference"/>
      </w:pPr>
      <w:r w:rsidRPr="00901113">
        <w:t>Anti-Dumping Commission 2013</w:t>
      </w:r>
      <w:r w:rsidR="00DF3432">
        <w:t>a</w:t>
      </w:r>
      <w:r w:rsidRPr="00901113">
        <w:t xml:space="preserve">, </w:t>
      </w:r>
      <w:r w:rsidR="006203BC">
        <w:rPr>
          <w:i/>
          <w:iCs/>
          <w:szCs w:val="26"/>
        </w:rPr>
        <w:t>Application for a Dumping Duty Notice: Prepared or Preserved Peach Products Exported from South Africa</w:t>
      </w:r>
      <w:r w:rsidR="006203BC">
        <w:rPr>
          <w:szCs w:val="26"/>
        </w:rPr>
        <w:t>, Consideration Report no. 216, Melbourne.</w:t>
      </w:r>
    </w:p>
    <w:p w:rsidR="00DC7775" w:rsidRPr="00901113" w:rsidRDefault="00DF3432" w:rsidP="00DC7775">
      <w:pPr>
        <w:pStyle w:val="Reference"/>
      </w:pPr>
      <w:r>
        <w:t xml:space="preserve">—— 2013b, </w:t>
      </w:r>
      <w:r w:rsidR="002A48F5">
        <w:rPr>
          <w:i/>
          <w:iCs/>
        </w:rPr>
        <w:t>Statement of Essential Facts</w:t>
      </w:r>
      <w:r w:rsidR="00DC7775" w:rsidRPr="00901113">
        <w:rPr>
          <w:i/>
          <w:iCs/>
        </w:rPr>
        <w:t>:</w:t>
      </w:r>
      <w:r w:rsidR="002A48F5">
        <w:rPr>
          <w:i/>
          <w:iCs/>
        </w:rPr>
        <w:t xml:space="preserve"> Alleged Dumping of</w:t>
      </w:r>
      <w:r w:rsidR="00DC7775" w:rsidRPr="00901113">
        <w:rPr>
          <w:i/>
          <w:iCs/>
        </w:rPr>
        <w:t xml:space="preserve"> Prepared or Preserved Peach Products Exported from South Africa</w:t>
      </w:r>
      <w:r w:rsidR="00DC7775" w:rsidRPr="00901113">
        <w:t>, Report no. 216, Melbourne.</w:t>
      </w:r>
    </w:p>
    <w:p w:rsidR="00DC7775" w:rsidRPr="00901113" w:rsidRDefault="00DC7775" w:rsidP="00DC7775">
      <w:pPr>
        <w:pStyle w:val="Reference"/>
      </w:pPr>
      <w:r w:rsidRPr="00901113">
        <w:t xml:space="preserve">Australian Customs Service 1996, </w:t>
      </w:r>
      <w:r w:rsidRPr="00901113">
        <w:rPr>
          <w:i/>
          <w:iCs/>
        </w:rPr>
        <w:t>Expiry of Dumping Duties on Canned Pears from China</w:t>
      </w:r>
      <w:r w:rsidRPr="00901113">
        <w:t>, Australian Customs Dumping Notice no. 1996/58, Canberra.</w:t>
      </w:r>
    </w:p>
    <w:p w:rsidR="00DC7775" w:rsidRPr="00901113" w:rsidRDefault="00DC7775" w:rsidP="00DC7775">
      <w:pPr>
        <w:pStyle w:val="Reference"/>
      </w:pPr>
      <w:r w:rsidRPr="00901113">
        <w:t xml:space="preserve">BAE (Bureau of Agricultural Economics) 1986, </w:t>
      </w:r>
      <w:r w:rsidRPr="00901113">
        <w:rPr>
          <w:i/>
          <w:iCs/>
        </w:rPr>
        <w:t>Deciduous Canning Fruit Industry</w:t>
      </w:r>
      <w:r w:rsidRPr="00901113">
        <w:t>, Submission to the IAC, Canberra.</w:t>
      </w:r>
    </w:p>
    <w:p w:rsidR="00DC7775" w:rsidRDefault="00DC7775" w:rsidP="00DC7775">
      <w:pPr>
        <w:pStyle w:val="Reference"/>
      </w:pPr>
      <w:r w:rsidRPr="00901113">
        <w:t xml:space="preserve">Bank of England 2013, </w:t>
      </w:r>
      <w:r w:rsidRPr="00901113">
        <w:rPr>
          <w:i/>
          <w:iCs/>
        </w:rPr>
        <w:t>Statistical Interactive Database – Interest &amp; Exchange Rates</w:t>
      </w:r>
      <w:r w:rsidR="005476AF">
        <w:t xml:space="preserve">, </w:t>
      </w:r>
      <w:r w:rsidRPr="00901113">
        <w:t>www.bankofengland.co.uk/boeapps/iadb/NewInterMed.asp (accessed 10</w:t>
      </w:r>
      <w:r w:rsidR="00627995">
        <w:t> </w:t>
      </w:r>
      <w:r w:rsidRPr="00901113">
        <w:t>July 2013).</w:t>
      </w:r>
    </w:p>
    <w:p w:rsidR="006B0FF0" w:rsidRPr="00901113" w:rsidRDefault="006B0FF0" w:rsidP="00DC7775">
      <w:pPr>
        <w:pStyle w:val="Reference"/>
      </w:pPr>
      <w:r>
        <w:t xml:space="preserve">Best, D. 2012, </w:t>
      </w:r>
      <w:r w:rsidR="001226BB">
        <w:rPr>
          <w:i/>
        </w:rPr>
        <w:t>Talking S</w:t>
      </w:r>
      <w:r w:rsidRPr="006B0FF0">
        <w:rPr>
          <w:i/>
        </w:rPr>
        <w:t>hop — McLeod’s Coles Turnaround</w:t>
      </w:r>
      <w:r>
        <w:t xml:space="preserve">, </w:t>
      </w:r>
      <w:r w:rsidR="00DB7DA3" w:rsidRPr="00DB7DA3">
        <w:t>http://www.just-food.com/analysis/talking-shop-mcleods-coles-turnaround_id120597.aspx</w:t>
      </w:r>
      <w:r w:rsidR="00DB7DA3">
        <w:t xml:space="preserve"> (accessed 29 October 2013).</w:t>
      </w:r>
    </w:p>
    <w:p w:rsidR="00DC7775" w:rsidRPr="00901113" w:rsidRDefault="00DC7775" w:rsidP="00DC7775">
      <w:pPr>
        <w:pStyle w:val="Reference"/>
      </w:pPr>
      <w:r w:rsidRPr="00901113">
        <w:t>CCA (Coca-Cola Amatil) various</w:t>
      </w:r>
      <w:r w:rsidR="00C55291">
        <w:t xml:space="preserve"> years</w:t>
      </w:r>
      <w:r w:rsidRPr="00901113">
        <w:t xml:space="preserve">, </w:t>
      </w:r>
      <w:r w:rsidRPr="00901113">
        <w:rPr>
          <w:i/>
          <w:iCs/>
        </w:rPr>
        <w:t>CCA Factbooks</w:t>
      </w:r>
      <w:r w:rsidRPr="00901113">
        <w:t>, Sydney.</w:t>
      </w:r>
    </w:p>
    <w:p w:rsidR="00DC7775" w:rsidRPr="00901113" w:rsidRDefault="00DC7775" w:rsidP="00DC7775">
      <w:pPr>
        <w:pStyle w:val="Reference"/>
      </w:pPr>
      <w:r w:rsidRPr="00901113">
        <w:t>——</w:t>
      </w:r>
      <w:r w:rsidR="005476AF">
        <w:t xml:space="preserve"> </w:t>
      </w:r>
      <w:r w:rsidRPr="00901113">
        <w:t xml:space="preserve">2011, </w:t>
      </w:r>
      <w:r w:rsidRPr="00901113">
        <w:rPr>
          <w:i/>
          <w:iCs/>
        </w:rPr>
        <w:t xml:space="preserve">Media </w:t>
      </w:r>
      <w:r w:rsidR="00627995">
        <w:rPr>
          <w:i/>
          <w:iCs/>
        </w:rPr>
        <w:t>R</w:t>
      </w:r>
      <w:r w:rsidRPr="00901113">
        <w:rPr>
          <w:i/>
          <w:iCs/>
        </w:rPr>
        <w:t>elease</w:t>
      </w:r>
      <w:r w:rsidRPr="00901113">
        <w:t>, 9 August, Sydney.</w:t>
      </w:r>
    </w:p>
    <w:p w:rsidR="00DC7775" w:rsidRPr="00901113" w:rsidRDefault="00DC7775" w:rsidP="00DC7775">
      <w:pPr>
        <w:pStyle w:val="Reference"/>
      </w:pPr>
      <w:r w:rsidRPr="00901113">
        <w:t xml:space="preserve">—— 2013, </w:t>
      </w:r>
      <w:r w:rsidRPr="00901113">
        <w:rPr>
          <w:i/>
          <w:iCs/>
        </w:rPr>
        <w:t xml:space="preserve">2013 Financial Results: For the </w:t>
      </w:r>
      <w:r w:rsidR="001226BB">
        <w:rPr>
          <w:i/>
          <w:iCs/>
        </w:rPr>
        <w:t>H</w:t>
      </w:r>
      <w:r w:rsidRPr="00901113">
        <w:rPr>
          <w:i/>
          <w:iCs/>
        </w:rPr>
        <w:t xml:space="preserve">alf </w:t>
      </w:r>
      <w:r w:rsidR="001226BB">
        <w:rPr>
          <w:i/>
          <w:iCs/>
        </w:rPr>
        <w:t>Y</w:t>
      </w:r>
      <w:r w:rsidRPr="00901113">
        <w:rPr>
          <w:i/>
          <w:iCs/>
        </w:rPr>
        <w:t xml:space="preserve">ear </w:t>
      </w:r>
      <w:r w:rsidR="001226BB">
        <w:rPr>
          <w:i/>
          <w:iCs/>
        </w:rPr>
        <w:t>E</w:t>
      </w:r>
      <w:r w:rsidRPr="00901113">
        <w:rPr>
          <w:i/>
          <w:iCs/>
        </w:rPr>
        <w:t>nded 30 June 2013</w:t>
      </w:r>
      <w:r w:rsidRPr="00901113">
        <w:t>, Sydney.</w:t>
      </w:r>
    </w:p>
    <w:p w:rsidR="000C62E5" w:rsidRDefault="00DC7775" w:rsidP="00DC7775">
      <w:pPr>
        <w:pStyle w:val="Reference"/>
      </w:pPr>
      <w:r w:rsidRPr="00901113">
        <w:t xml:space="preserve">CFICA (Canned Fruits Industry Council of Australia) </w:t>
      </w:r>
      <w:r w:rsidR="000C62E5">
        <w:t xml:space="preserve">2004, </w:t>
      </w:r>
      <w:r w:rsidR="00991A91" w:rsidRPr="00991A91">
        <w:rPr>
          <w:i/>
        </w:rPr>
        <w:t>Canned Fruits Industry Strategic Plan 2004–2009</w:t>
      </w:r>
      <w:r w:rsidR="00991A91">
        <w:t xml:space="preserve">, report prepared by RMCG, Bendigo, June. </w:t>
      </w:r>
    </w:p>
    <w:p w:rsidR="00DC7775" w:rsidRPr="00901113" w:rsidRDefault="000C62E5" w:rsidP="000C62E5">
      <w:pPr>
        <w:pStyle w:val="Reference"/>
      </w:pPr>
      <w:r w:rsidRPr="000C62E5">
        <w:lastRenderedPageBreak/>
        <w:t>—</w:t>
      </w:r>
      <w:r>
        <w:t xml:space="preserve">— </w:t>
      </w:r>
      <w:r w:rsidR="00DC7775" w:rsidRPr="00901113">
        <w:t xml:space="preserve">2009, </w:t>
      </w:r>
      <w:r w:rsidR="00DC7775" w:rsidRPr="00901113">
        <w:rPr>
          <w:i/>
          <w:iCs/>
        </w:rPr>
        <w:t>CANCON09 Australia: Country Report, Presentation to the 9th World Canned Deciduous Fruit Conference</w:t>
      </w:r>
      <w:r w:rsidR="00DC7775" w:rsidRPr="00901113">
        <w:t>, 29 March, Shepparton.</w:t>
      </w:r>
    </w:p>
    <w:p w:rsidR="00DC7775" w:rsidRPr="00901113" w:rsidRDefault="00AC6F98" w:rsidP="00DC7775">
      <w:pPr>
        <w:pStyle w:val="Reference"/>
      </w:pPr>
      <w:r>
        <w:t xml:space="preserve">—— </w:t>
      </w:r>
      <w:r w:rsidR="00DC7775" w:rsidRPr="00901113">
        <w:t xml:space="preserve">2010, </w:t>
      </w:r>
      <w:r w:rsidR="00DC7775" w:rsidRPr="00901113">
        <w:rPr>
          <w:i/>
          <w:iCs/>
        </w:rPr>
        <w:t>Presentation to the 10th World Canned Deciduous Fruit Conference</w:t>
      </w:r>
      <w:r w:rsidR="00C41D17">
        <w:t>, 24 </w:t>
      </w:r>
      <w:r w:rsidR="00DC7775" w:rsidRPr="00901113">
        <w:t>August, Xuzhou, China.</w:t>
      </w:r>
    </w:p>
    <w:p w:rsidR="00DC7775" w:rsidRPr="00901113" w:rsidRDefault="00AC6F98" w:rsidP="00DC7775">
      <w:pPr>
        <w:pStyle w:val="Reference"/>
      </w:pPr>
      <w:r>
        <w:t xml:space="preserve">—— </w:t>
      </w:r>
      <w:r w:rsidR="00DC7775" w:rsidRPr="00901113">
        <w:t xml:space="preserve">2012, </w:t>
      </w:r>
      <w:r w:rsidR="00DC7775" w:rsidRPr="00901113">
        <w:rPr>
          <w:i/>
          <w:iCs/>
        </w:rPr>
        <w:t>Presentation to the 11th World Canned Deciduous Fruit Conference</w:t>
      </w:r>
      <w:r w:rsidR="00DC7775" w:rsidRPr="00901113">
        <w:t>, 30</w:t>
      </w:r>
      <w:r w:rsidR="00C41D17">
        <w:t> </w:t>
      </w:r>
      <w:r w:rsidR="00DC7775" w:rsidRPr="00901113">
        <w:t>June, Litochoro, Greece.</w:t>
      </w:r>
    </w:p>
    <w:p w:rsidR="00165A67" w:rsidRDefault="00165A67" w:rsidP="00DC7775">
      <w:pPr>
        <w:pStyle w:val="Reference"/>
      </w:pPr>
      <w:r>
        <w:t xml:space="preserve">Coles 2013, </w:t>
      </w:r>
      <w:r w:rsidR="001226BB">
        <w:rPr>
          <w:i/>
        </w:rPr>
        <w:t>New C</w:t>
      </w:r>
      <w:r w:rsidRPr="00165A67">
        <w:rPr>
          <w:i/>
        </w:rPr>
        <w:t>ontract with SPC Ardmona</w:t>
      </w:r>
      <w:r>
        <w:t xml:space="preserve">, </w:t>
      </w:r>
      <w:r w:rsidR="001349DC">
        <w:t xml:space="preserve">http://www.coles.com.au/about-coles/news/2013/10/30/new-contract-with-spc-ardmona (accessed </w:t>
      </w:r>
      <w:r w:rsidR="00E065CC">
        <w:t>30 October 2013</w:t>
      </w:r>
      <w:r w:rsidR="001349DC">
        <w:t>).</w:t>
      </w:r>
    </w:p>
    <w:p w:rsidR="0000169C" w:rsidRDefault="0000169C" w:rsidP="00DC7775">
      <w:pPr>
        <w:pStyle w:val="Reference"/>
      </w:pPr>
      <w:r>
        <w:t xml:space="preserve">Deloitte Access Economics 2012, </w:t>
      </w:r>
      <w:r w:rsidR="00F02FBC" w:rsidRPr="00F02FBC">
        <w:rPr>
          <w:i/>
        </w:rPr>
        <w:t>Analysis of the Grocery Industry</w:t>
      </w:r>
      <w:r w:rsidR="00F02FBC">
        <w:t xml:space="preserve">, Report prepared for Coles Supermarkets Australia, October. </w:t>
      </w:r>
    </w:p>
    <w:p w:rsidR="003D3086" w:rsidRPr="00901113" w:rsidRDefault="00C55291" w:rsidP="00DC7775">
      <w:pPr>
        <w:pStyle w:val="Reference"/>
      </w:pPr>
      <w:r>
        <w:t>DRALGAS (</w:t>
      </w:r>
      <w:r w:rsidR="00DC7775" w:rsidRPr="00901113">
        <w:t>Department of Regional Australia, Local Government</w:t>
      </w:r>
      <w:r>
        <w:t>)</w:t>
      </w:r>
      <w:r w:rsidR="00DC7775" w:rsidRPr="00901113">
        <w:t xml:space="preserve">, Arts and Sport 2012, </w:t>
      </w:r>
      <w:r w:rsidR="00DC7775" w:rsidRPr="00901113">
        <w:rPr>
          <w:i/>
          <w:iCs/>
        </w:rPr>
        <w:t xml:space="preserve">Assistance for Murray-Darling Basin </w:t>
      </w:r>
      <w:r w:rsidR="00627995">
        <w:rPr>
          <w:i/>
          <w:iCs/>
        </w:rPr>
        <w:t>C</w:t>
      </w:r>
      <w:r w:rsidR="00DC7775" w:rsidRPr="00901113">
        <w:rPr>
          <w:i/>
          <w:iCs/>
        </w:rPr>
        <w:t>ommunities</w:t>
      </w:r>
      <w:r w:rsidR="00DC7775" w:rsidRPr="00901113">
        <w:t>, www.regional.gov.au/</w:t>
      </w:r>
      <w:r w:rsidR="00E74BFF">
        <w:br/>
      </w:r>
      <w:r w:rsidR="00DC7775" w:rsidRPr="00901113">
        <w:t>department/news_archive/2012/045</w:t>
      </w:r>
      <w:r w:rsidR="003D3086">
        <w:t>.aspx (accessed 28 August 2013).</w:t>
      </w:r>
    </w:p>
    <w:p w:rsidR="00DC7775" w:rsidRPr="00901113" w:rsidRDefault="00DC7775" w:rsidP="00DC7775">
      <w:pPr>
        <w:pStyle w:val="Reference"/>
      </w:pPr>
      <w:r w:rsidRPr="00901113">
        <w:t xml:space="preserve">Export Victoria 2013, </w:t>
      </w:r>
      <w:r w:rsidRPr="00901113">
        <w:rPr>
          <w:i/>
          <w:iCs/>
        </w:rPr>
        <w:t xml:space="preserve">Victorian Government </w:t>
      </w:r>
      <w:r w:rsidR="00627995">
        <w:rPr>
          <w:i/>
          <w:iCs/>
        </w:rPr>
        <w:t>I</w:t>
      </w:r>
      <w:r w:rsidRPr="00901113">
        <w:rPr>
          <w:i/>
          <w:iCs/>
        </w:rPr>
        <w:t xml:space="preserve">nvests in </w:t>
      </w:r>
      <w:r w:rsidR="00627995">
        <w:rPr>
          <w:i/>
          <w:iCs/>
        </w:rPr>
        <w:t>L</w:t>
      </w:r>
      <w:r w:rsidRPr="00901113">
        <w:rPr>
          <w:i/>
          <w:iCs/>
        </w:rPr>
        <w:t xml:space="preserve">ong-term Goulburn Valley </w:t>
      </w:r>
      <w:r w:rsidR="00627995">
        <w:rPr>
          <w:i/>
          <w:iCs/>
        </w:rPr>
        <w:t>G</w:t>
      </w:r>
      <w:r w:rsidRPr="00901113">
        <w:rPr>
          <w:i/>
          <w:iCs/>
        </w:rPr>
        <w:t>rowth</w:t>
      </w:r>
      <w:r w:rsidRPr="00901113">
        <w:t>, http://export.business.vic.gov.au/news/news/victorian-government-invests-in-long-term-goulburn-valley-growth (accessed 28 August 2013).</w:t>
      </w:r>
    </w:p>
    <w:p w:rsidR="00DC7775" w:rsidRPr="00901113" w:rsidRDefault="00DC7775" w:rsidP="00DC7775">
      <w:pPr>
        <w:pStyle w:val="Reference"/>
      </w:pPr>
      <w:r w:rsidRPr="00901113">
        <w:t xml:space="preserve">HAL (Horticulture Australia Limited) 2009, </w:t>
      </w:r>
      <w:r w:rsidRPr="00901113">
        <w:rPr>
          <w:i/>
          <w:iCs/>
        </w:rPr>
        <w:t>Canned Fruit Industry Annual Report 2008/09</w:t>
      </w:r>
      <w:r w:rsidRPr="00901113">
        <w:t>, Sydney.</w:t>
      </w:r>
    </w:p>
    <w:p w:rsidR="00DC7775" w:rsidRPr="00901113" w:rsidRDefault="00E74BFF" w:rsidP="00DC7775">
      <w:pPr>
        <w:pStyle w:val="Reference"/>
      </w:pPr>
      <w:r>
        <w:t xml:space="preserve">—— </w:t>
      </w:r>
      <w:r w:rsidR="00DC7775" w:rsidRPr="00901113">
        <w:t xml:space="preserve">2010, </w:t>
      </w:r>
      <w:r w:rsidR="00DC7775" w:rsidRPr="00901113">
        <w:rPr>
          <w:i/>
          <w:iCs/>
        </w:rPr>
        <w:t>Canned Fruit Industry Annual Report 2009/10</w:t>
      </w:r>
      <w:r w:rsidR="00DC7775" w:rsidRPr="00901113">
        <w:t>, Sydney.</w:t>
      </w:r>
      <w:bookmarkStart w:id="2" w:name="_GoBack"/>
      <w:bookmarkEnd w:id="2"/>
    </w:p>
    <w:p w:rsidR="00DC7775" w:rsidRPr="00901113" w:rsidRDefault="00E74BFF" w:rsidP="00DC7775">
      <w:pPr>
        <w:pStyle w:val="Reference"/>
      </w:pPr>
      <w:r>
        <w:t xml:space="preserve">—— </w:t>
      </w:r>
      <w:r w:rsidR="00DC7775" w:rsidRPr="00901113">
        <w:t xml:space="preserve">2011, </w:t>
      </w:r>
      <w:r w:rsidR="00DC7775" w:rsidRPr="00901113">
        <w:rPr>
          <w:i/>
          <w:iCs/>
        </w:rPr>
        <w:t>Canned Fruit Industry Annual Report 2010/11</w:t>
      </w:r>
      <w:r w:rsidR="00DC7775" w:rsidRPr="00901113">
        <w:t>, Sydney.</w:t>
      </w:r>
    </w:p>
    <w:p w:rsidR="00DC7775" w:rsidRPr="00901113" w:rsidRDefault="00DC7775" w:rsidP="00DC7775">
      <w:pPr>
        <w:pStyle w:val="Reference"/>
      </w:pPr>
      <w:r w:rsidRPr="00901113">
        <w:t xml:space="preserve">Hattersley, L., Isaacs, B. and Burch, D. 2013, ‘Supermarket power, own-labels, and manufacturer counterstrategies: </w:t>
      </w:r>
      <w:r w:rsidR="00627995">
        <w:t>i</w:t>
      </w:r>
      <w:r w:rsidRPr="00901113">
        <w:t xml:space="preserve">nternational relations of cooperation and competition in the fruit canning industry’, </w:t>
      </w:r>
      <w:r w:rsidRPr="00901113">
        <w:rPr>
          <w:i/>
          <w:iCs/>
        </w:rPr>
        <w:t>Agriculture and Human Values</w:t>
      </w:r>
      <w:r w:rsidRPr="00901113">
        <w:t xml:space="preserve">, </w:t>
      </w:r>
      <w:r w:rsidR="00A0050A">
        <w:t>vol. 30, no. 2, pp. 225–</w:t>
      </w:r>
      <w:r w:rsidRPr="00901113">
        <w:t>33.</w:t>
      </w:r>
    </w:p>
    <w:p w:rsidR="00DC7775" w:rsidRPr="00901113" w:rsidRDefault="00DC7775" w:rsidP="00DC7775">
      <w:pPr>
        <w:pStyle w:val="Reference"/>
      </w:pPr>
      <w:r w:rsidRPr="00901113">
        <w:t xml:space="preserve">IBISWorld 2013, </w:t>
      </w:r>
      <w:r w:rsidRPr="00901113">
        <w:rPr>
          <w:i/>
          <w:iCs/>
        </w:rPr>
        <w:t>Fruit and Vegetable Processing in Australia</w:t>
      </w:r>
      <w:r w:rsidRPr="00901113">
        <w:t>, IBISWorld Industry Report C1140, Melbourne.</w:t>
      </w:r>
    </w:p>
    <w:p w:rsidR="00DC7775" w:rsidRPr="00901113" w:rsidRDefault="00DC7775" w:rsidP="00DC7775">
      <w:pPr>
        <w:pStyle w:val="Reference"/>
      </w:pPr>
      <w:r w:rsidRPr="00901113">
        <w:t xml:space="preserve">Murray, N. 2011, </w:t>
      </w:r>
      <w:r w:rsidRPr="00901113">
        <w:rPr>
          <w:i/>
          <w:iCs/>
        </w:rPr>
        <w:t xml:space="preserve">Australian </w:t>
      </w:r>
      <w:r w:rsidR="00627995">
        <w:rPr>
          <w:i/>
          <w:iCs/>
        </w:rPr>
        <w:t>P</w:t>
      </w:r>
      <w:r w:rsidRPr="00901113">
        <w:rPr>
          <w:i/>
          <w:iCs/>
        </w:rPr>
        <w:t xml:space="preserve">rocessor </w:t>
      </w:r>
      <w:r w:rsidR="00627995">
        <w:rPr>
          <w:i/>
          <w:iCs/>
        </w:rPr>
        <w:t>A</w:t>
      </w:r>
      <w:r w:rsidRPr="00901113">
        <w:rPr>
          <w:i/>
          <w:iCs/>
        </w:rPr>
        <w:t xml:space="preserve">nnounces </w:t>
      </w:r>
      <w:r w:rsidR="00627995">
        <w:rPr>
          <w:i/>
          <w:iCs/>
        </w:rPr>
        <w:t>S</w:t>
      </w:r>
      <w:r w:rsidRPr="00901113">
        <w:rPr>
          <w:i/>
          <w:iCs/>
        </w:rPr>
        <w:t xml:space="preserve">hutdown of </w:t>
      </w:r>
      <w:r w:rsidR="00627995">
        <w:rPr>
          <w:i/>
          <w:iCs/>
        </w:rPr>
        <w:t>T</w:t>
      </w:r>
      <w:r w:rsidRPr="00901113">
        <w:rPr>
          <w:i/>
          <w:iCs/>
        </w:rPr>
        <w:t xml:space="preserve">omato </w:t>
      </w:r>
      <w:r w:rsidR="00627995">
        <w:rPr>
          <w:i/>
          <w:iCs/>
        </w:rPr>
        <w:t>P</w:t>
      </w:r>
      <w:r w:rsidRPr="00901113">
        <w:rPr>
          <w:i/>
          <w:iCs/>
        </w:rPr>
        <w:t xml:space="preserve">aste </w:t>
      </w:r>
      <w:r w:rsidR="00627995">
        <w:rPr>
          <w:i/>
          <w:iCs/>
        </w:rPr>
        <w:t>F</w:t>
      </w:r>
      <w:r w:rsidRPr="00901113">
        <w:rPr>
          <w:i/>
          <w:iCs/>
        </w:rPr>
        <w:t>actor</w:t>
      </w:r>
      <w:r w:rsidRPr="00901113">
        <w:t>, FOODNEWS, http://foodnews.agra-net.com/blog/2011/08/11/australian-processor-announces-shutdown-of-tom</w:t>
      </w:r>
      <w:r w:rsidR="00627995">
        <w:t>ato-paste-factory/ (accessed 28 </w:t>
      </w:r>
      <w:r w:rsidRPr="00901113">
        <w:t>August 2013).</w:t>
      </w:r>
    </w:p>
    <w:p w:rsidR="00DC7775" w:rsidRPr="00901113" w:rsidRDefault="00DC7775" w:rsidP="00DC7775">
      <w:pPr>
        <w:pStyle w:val="Reference"/>
      </w:pPr>
      <w:r w:rsidRPr="00901113">
        <w:t xml:space="preserve">Napthine, D. 2013a, </w:t>
      </w:r>
      <w:r w:rsidRPr="00901113">
        <w:rPr>
          <w:i/>
          <w:iCs/>
        </w:rPr>
        <w:t xml:space="preserve">Applications </w:t>
      </w:r>
      <w:r w:rsidR="00627995">
        <w:rPr>
          <w:i/>
          <w:iCs/>
        </w:rPr>
        <w:t>O</w:t>
      </w:r>
      <w:r w:rsidRPr="00901113">
        <w:rPr>
          <w:i/>
          <w:iCs/>
        </w:rPr>
        <w:t xml:space="preserve">pen for $2m </w:t>
      </w:r>
      <w:r w:rsidR="00627995">
        <w:rPr>
          <w:i/>
          <w:iCs/>
        </w:rPr>
        <w:t>F</w:t>
      </w:r>
      <w:r w:rsidRPr="00901113">
        <w:rPr>
          <w:i/>
          <w:iCs/>
        </w:rPr>
        <w:t xml:space="preserve">ruit </w:t>
      </w:r>
      <w:r w:rsidR="00627995">
        <w:rPr>
          <w:i/>
          <w:iCs/>
        </w:rPr>
        <w:t>I</w:t>
      </w:r>
      <w:r w:rsidRPr="00901113">
        <w:rPr>
          <w:i/>
          <w:iCs/>
        </w:rPr>
        <w:t xml:space="preserve">ndustry </w:t>
      </w:r>
      <w:r w:rsidR="00627995">
        <w:rPr>
          <w:i/>
          <w:iCs/>
        </w:rPr>
        <w:t>J</w:t>
      </w:r>
      <w:r w:rsidRPr="00901113">
        <w:rPr>
          <w:i/>
          <w:iCs/>
        </w:rPr>
        <w:t xml:space="preserve">obs </w:t>
      </w:r>
      <w:r w:rsidR="00627995">
        <w:rPr>
          <w:i/>
          <w:iCs/>
        </w:rPr>
        <w:t>P</w:t>
      </w:r>
      <w:r w:rsidRPr="00901113">
        <w:rPr>
          <w:i/>
          <w:iCs/>
        </w:rPr>
        <w:t>rogram: Premier of Victoria</w:t>
      </w:r>
      <w:r w:rsidRPr="00901113">
        <w:t>, www.premier.vic.gov.au/media-centre/media-releases/</w:t>
      </w:r>
      <w:r w:rsidR="0052117C">
        <w:br/>
      </w:r>
      <w:r w:rsidRPr="00901113">
        <w:t>7493-applications-open-for-2m-fruit-industry-jobs-program.html (accessed 28</w:t>
      </w:r>
      <w:r w:rsidR="001226BB">
        <w:t> </w:t>
      </w:r>
      <w:r w:rsidRPr="00901113">
        <w:t>August 2013).</w:t>
      </w:r>
    </w:p>
    <w:p w:rsidR="00DC7775" w:rsidRPr="00901113" w:rsidRDefault="00DC7775" w:rsidP="00DC7775">
      <w:pPr>
        <w:pStyle w:val="Reference"/>
      </w:pPr>
      <w:r w:rsidRPr="00901113">
        <w:lastRenderedPageBreak/>
        <w:t xml:space="preserve">—— 2013b, </w:t>
      </w:r>
      <w:r w:rsidRPr="00901113">
        <w:rPr>
          <w:i/>
          <w:iCs/>
        </w:rPr>
        <w:t xml:space="preserve">Victorian </w:t>
      </w:r>
      <w:r w:rsidR="00627995">
        <w:rPr>
          <w:i/>
          <w:iCs/>
        </w:rPr>
        <w:t>F</w:t>
      </w:r>
      <w:r w:rsidRPr="00901113">
        <w:rPr>
          <w:i/>
          <w:iCs/>
        </w:rPr>
        <w:t xml:space="preserve">armers </w:t>
      </w:r>
      <w:r w:rsidR="00627995">
        <w:rPr>
          <w:i/>
          <w:iCs/>
        </w:rPr>
        <w:t>G</w:t>
      </w:r>
      <w:r w:rsidRPr="00901113">
        <w:rPr>
          <w:i/>
          <w:iCs/>
        </w:rPr>
        <w:t xml:space="preserve">et </w:t>
      </w:r>
      <w:r w:rsidR="00627995">
        <w:rPr>
          <w:i/>
          <w:iCs/>
        </w:rPr>
        <w:t>A</w:t>
      </w:r>
      <w:r w:rsidRPr="00901113">
        <w:rPr>
          <w:i/>
          <w:iCs/>
        </w:rPr>
        <w:t>ccess to Farm Finance: Premier of Victoria</w:t>
      </w:r>
      <w:r w:rsidRPr="00901113">
        <w:t>, www.premier.vic.gov.au/media-centre/media-releases/7326-victorian-farmers-get-access-to-farm-finance.html (accessed 28 August 2013).</w:t>
      </w:r>
    </w:p>
    <w:p w:rsidR="00DC7775" w:rsidRPr="00901113" w:rsidRDefault="00DC7775" w:rsidP="00DC7775">
      <w:pPr>
        <w:pStyle w:val="Reference"/>
      </w:pPr>
      <w:r w:rsidRPr="00901113">
        <w:t xml:space="preserve">RBA (Reserve Bank of Australia) 2013, </w:t>
      </w:r>
      <w:r w:rsidRPr="00901113">
        <w:rPr>
          <w:i/>
          <w:iCs/>
        </w:rPr>
        <w:t>Exchange Rate Data</w:t>
      </w:r>
      <w:r w:rsidRPr="00901113">
        <w:t>, Sydney, www.rba.gov.au/statistics/hist-exchange-rates/index.html (accessed 11 July 2013).</w:t>
      </w:r>
    </w:p>
    <w:p w:rsidR="00DC7775" w:rsidRPr="00901113" w:rsidRDefault="00DC7775" w:rsidP="00DC7775">
      <w:pPr>
        <w:pStyle w:val="Reference"/>
      </w:pPr>
      <w:r w:rsidRPr="00901113">
        <w:t xml:space="preserve">SPC Ardmona 2012a, </w:t>
      </w:r>
      <w:r w:rsidRPr="00901113">
        <w:rPr>
          <w:i/>
          <w:iCs/>
        </w:rPr>
        <w:t>SPC Ardmona 2013 Season Update</w:t>
      </w:r>
      <w:r w:rsidRPr="00901113">
        <w:t xml:space="preserve">, </w:t>
      </w:r>
      <w:hyperlink r:id="rId9" w:history="1">
        <w:r w:rsidR="009E513C" w:rsidRPr="009E513C">
          <w:t>http://spcardmona.</w:t>
        </w:r>
        <w:r w:rsidR="009E513C" w:rsidRPr="009E513C">
          <w:br/>
          <w:t>com.au/en/media-room/whats-new?article=/SPC-ARD</w:t>
        </w:r>
      </w:hyperlink>
      <w:r w:rsidR="00627995" w:rsidRPr="00901113">
        <w:t>MONA</w:t>
      </w:r>
      <w:r w:rsidRPr="00901113">
        <w:t>-2013-SEASON-UPDATE (accessed 28 August 2013).</w:t>
      </w:r>
    </w:p>
    <w:p w:rsidR="00DC7775" w:rsidRPr="00901113" w:rsidRDefault="00852F5C" w:rsidP="00DC7775">
      <w:pPr>
        <w:pStyle w:val="Reference"/>
      </w:pPr>
      <w:r>
        <w:t xml:space="preserve">—— </w:t>
      </w:r>
      <w:r w:rsidR="00DC7775" w:rsidRPr="00901113">
        <w:t xml:space="preserve">2012b, </w:t>
      </w:r>
      <w:r w:rsidR="00DC7775" w:rsidRPr="00901113">
        <w:rPr>
          <w:i/>
          <w:iCs/>
        </w:rPr>
        <w:t>SPC Ardmona Receives Government Grant</w:t>
      </w:r>
      <w:r w:rsidR="00DC7775" w:rsidRPr="00901113">
        <w:t xml:space="preserve">, Media </w:t>
      </w:r>
      <w:r w:rsidR="0094695C">
        <w:t>R</w:t>
      </w:r>
      <w:r w:rsidR="00DC7775" w:rsidRPr="00901113">
        <w:t>elease, http://spcardmona.com.au/media-room/whats-new?article=/SPCA-Govt-Grant-article (accessed 28 August 2013).</w:t>
      </w:r>
    </w:p>
    <w:p w:rsidR="00DC7775" w:rsidRPr="00901113" w:rsidRDefault="00DC7775" w:rsidP="00DC7775">
      <w:pPr>
        <w:pStyle w:val="Reference"/>
      </w:pPr>
      <w:r w:rsidRPr="00901113">
        <w:t xml:space="preserve">Sykes, A.O. 2003, ‘The safeguards mess: a critique of WTO jurisprudence’, </w:t>
      </w:r>
      <w:r w:rsidRPr="00901113">
        <w:rPr>
          <w:i/>
          <w:iCs/>
        </w:rPr>
        <w:t>World Trade Review</w:t>
      </w:r>
      <w:r w:rsidRPr="00901113">
        <w:t>, vol. 2, no. 3, pp. 261–95.</w:t>
      </w:r>
    </w:p>
    <w:p w:rsidR="00DC7775" w:rsidRPr="00901113" w:rsidRDefault="00DC7775" w:rsidP="00DC7775">
      <w:pPr>
        <w:pStyle w:val="Reference"/>
      </w:pPr>
      <w:r w:rsidRPr="00901113">
        <w:t xml:space="preserve">USDA (United States Department of Agriculture) 2013, </w:t>
      </w:r>
      <w:r w:rsidRPr="00901113">
        <w:rPr>
          <w:i/>
          <w:iCs/>
        </w:rPr>
        <w:t>Production, Supply and Distribution Online</w:t>
      </w:r>
      <w:r w:rsidRPr="00901113">
        <w:t>, www.fas.usda.gov/psdonline/psdQuery.aspx (accessed 28</w:t>
      </w:r>
      <w:r w:rsidR="005740C9">
        <w:t> </w:t>
      </w:r>
      <w:r w:rsidRPr="00901113">
        <w:t>August 2013).</w:t>
      </w:r>
    </w:p>
    <w:p w:rsidR="00DC7775" w:rsidRPr="00901113" w:rsidRDefault="00DC7775" w:rsidP="00DC7775">
      <w:pPr>
        <w:pStyle w:val="Reference"/>
      </w:pPr>
      <w:r w:rsidRPr="00901113">
        <w:t xml:space="preserve">USITC (United States International Trade Commission) 2007, </w:t>
      </w:r>
      <w:r w:rsidRPr="00901113">
        <w:rPr>
          <w:i/>
          <w:iCs/>
        </w:rPr>
        <w:t>Canned Peaches, Pears, and Fruit Mixtures: Conditions of Competition Between U.S. and Principal Foreign Supplier Industries</w:t>
      </w:r>
      <w:r w:rsidRPr="00901113">
        <w:t>, USITC Publication, December, 3972, Washington.</w:t>
      </w:r>
    </w:p>
    <w:p w:rsidR="00B81D4D" w:rsidRDefault="00B81D4D" w:rsidP="00B81D4D">
      <w:pPr>
        <w:pStyle w:val="Reference"/>
      </w:pPr>
      <w:r>
        <w:t>Woolworths Limited 2013,</w:t>
      </w:r>
      <w:r w:rsidR="00045556">
        <w:t xml:space="preserve"> </w:t>
      </w:r>
      <w:r w:rsidR="00045556" w:rsidRPr="00045556">
        <w:rPr>
          <w:i/>
        </w:rPr>
        <w:t xml:space="preserve">Woolworths to </w:t>
      </w:r>
      <w:r w:rsidR="00EE2A91">
        <w:rPr>
          <w:i/>
        </w:rPr>
        <w:t>I</w:t>
      </w:r>
      <w:r w:rsidR="00045556" w:rsidRPr="00045556">
        <w:rPr>
          <w:i/>
        </w:rPr>
        <w:t xml:space="preserve">nvest a </w:t>
      </w:r>
      <w:r w:rsidR="00EE2A91">
        <w:rPr>
          <w:i/>
        </w:rPr>
        <w:t>F</w:t>
      </w:r>
      <w:r w:rsidR="00045556" w:rsidRPr="00045556">
        <w:rPr>
          <w:i/>
        </w:rPr>
        <w:t xml:space="preserve">urther $3 </w:t>
      </w:r>
      <w:r w:rsidR="00EE2A91">
        <w:rPr>
          <w:i/>
        </w:rPr>
        <w:t>M</w:t>
      </w:r>
      <w:r w:rsidR="00045556" w:rsidRPr="00045556">
        <w:rPr>
          <w:i/>
        </w:rPr>
        <w:t xml:space="preserve">illion to </w:t>
      </w:r>
      <w:r w:rsidR="00EE2A91">
        <w:rPr>
          <w:i/>
        </w:rPr>
        <w:t>S</w:t>
      </w:r>
      <w:r w:rsidR="00045556" w:rsidRPr="00045556">
        <w:rPr>
          <w:i/>
        </w:rPr>
        <w:t xml:space="preserve">ource all </w:t>
      </w:r>
      <w:r w:rsidR="00EE2A91">
        <w:rPr>
          <w:i/>
        </w:rPr>
        <w:t>D</w:t>
      </w:r>
      <w:r w:rsidR="00045556" w:rsidRPr="00045556">
        <w:rPr>
          <w:i/>
        </w:rPr>
        <w:t xml:space="preserve">eciduous </w:t>
      </w:r>
      <w:r w:rsidR="00EE2A91">
        <w:rPr>
          <w:i/>
        </w:rPr>
        <w:t>C</w:t>
      </w:r>
      <w:r w:rsidR="00045556" w:rsidRPr="00045556">
        <w:rPr>
          <w:i/>
        </w:rPr>
        <w:t xml:space="preserve">anned </w:t>
      </w:r>
      <w:r w:rsidR="00EE2A91">
        <w:rPr>
          <w:i/>
        </w:rPr>
        <w:t>F</w:t>
      </w:r>
      <w:r w:rsidR="00045556" w:rsidRPr="00045556">
        <w:rPr>
          <w:i/>
        </w:rPr>
        <w:t>ruit from Australia</w:t>
      </w:r>
      <w:r w:rsidR="00045556">
        <w:t xml:space="preserve">, Sydney, </w:t>
      </w:r>
      <w:hyperlink r:id="rId10" w:history="1">
        <w:r w:rsidR="00045556" w:rsidRPr="00045556">
          <w:t>www.woolworthslimited.</w:t>
        </w:r>
        <w:r w:rsidR="00045556" w:rsidRPr="00045556">
          <w:br/>
          <w:t>com.au/page/The_Newsroom/Latest_News/Woolworths_to_invest_a_further_3_million_to_source_all_deciduous_canned_fruit_from_Australia/</w:t>
        </w:r>
      </w:hyperlink>
      <w:r w:rsidR="00045556">
        <w:t xml:space="preserve"> (accessed 4 September 2013).</w:t>
      </w:r>
    </w:p>
    <w:p w:rsidR="00F056FC" w:rsidRDefault="00F056FC" w:rsidP="00DC7775">
      <w:pPr>
        <w:pStyle w:val="Reference"/>
      </w:pPr>
    </w:p>
    <w:sectPr w:rsidR="00F056FC" w:rsidSect="00484CBF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1985" w:right="1304" w:bottom="1418" w:left="1814" w:header="1701" w:footer="567" w:gutter="0"/>
      <w:pgNumType w:start="103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775" w:rsidRDefault="00DC7775">
      <w:r>
        <w:separator/>
      </w:r>
    </w:p>
  </w:endnote>
  <w:endnote w:type="continuationSeparator" w:id="0">
    <w:p w:rsidR="00DC7775" w:rsidRDefault="00DC7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096E55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096E55" w:rsidRDefault="00096E55" w:rsidP="0094635F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5C18A6">
            <w:rPr>
              <w:rStyle w:val="PageNumber"/>
              <w:noProof/>
            </w:rPr>
            <w:t>104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096E55" w:rsidRDefault="00857F36" w:rsidP="0019293B">
          <w:pPr>
            <w:pStyle w:val="Footer"/>
          </w:pPr>
          <w:r>
            <w:t>Processed Fruit Safeguards</w:t>
          </w:r>
        </w:p>
      </w:tc>
      <w:tc>
        <w:tcPr>
          <w:tcW w:w="6634" w:type="dxa"/>
        </w:tcPr>
        <w:p w:rsidR="00096E55" w:rsidRDefault="00096E55" w:rsidP="0019293B">
          <w:pPr>
            <w:pStyle w:val="Footer"/>
          </w:pPr>
        </w:p>
      </w:tc>
    </w:tr>
  </w:tbl>
  <w:p w:rsidR="00096E55" w:rsidRDefault="00096E55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096E55">
      <w:trPr>
        <w:trHeight w:hRule="exact" w:val="740"/>
      </w:trPr>
      <w:tc>
        <w:tcPr>
          <w:tcW w:w="6634" w:type="dxa"/>
        </w:tcPr>
        <w:p w:rsidR="00096E55" w:rsidRDefault="00096E55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096E55" w:rsidRDefault="00270694">
          <w:pPr>
            <w:pStyle w:val="Footer"/>
          </w:pPr>
          <w:fldSimple w:instr=" TITLE  \* MERGEFORMAT ">
            <w:r>
              <w:t>References</w:t>
            </w:r>
          </w:fldSimple>
        </w:p>
      </w:tc>
      <w:tc>
        <w:tcPr>
          <w:tcW w:w="510" w:type="dxa"/>
          <w:tcBorders>
            <w:top w:val="single" w:sz="6" w:space="0" w:color="auto"/>
          </w:tcBorders>
        </w:tcPr>
        <w:p w:rsidR="00096E55" w:rsidRDefault="00096E55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102511">
            <w:rPr>
              <w:rStyle w:val="PageNumber"/>
              <w:noProof/>
            </w:rPr>
            <w:t>105</w:t>
          </w:r>
          <w:r>
            <w:rPr>
              <w:rStyle w:val="PageNumber"/>
            </w:rPr>
            <w:fldChar w:fldCharType="end"/>
          </w:r>
        </w:p>
      </w:tc>
    </w:tr>
  </w:tbl>
  <w:p w:rsidR="00096E55" w:rsidRDefault="00096E55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775" w:rsidRDefault="00DC7775">
      <w:r>
        <w:separator/>
      </w:r>
    </w:p>
  </w:footnote>
  <w:footnote w:type="continuationSeparator" w:id="0">
    <w:p w:rsidR="00DC7775" w:rsidRDefault="00DC77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096E55">
      <w:tc>
        <w:tcPr>
          <w:tcW w:w="2155" w:type="dxa"/>
          <w:tcBorders>
            <w:top w:val="single" w:sz="24" w:space="0" w:color="auto"/>
          </w:tcBorders>
        </w:tcPr>
        <w:p w:rsidR="00096E55" w:rsidRDefault="00096E55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096E55" w:rsidRDefault="00096E55" w:rsidP="0019293B">
          <w:pPr>
            <w:pStyle w:val="HeaderEven"/>
          </w:pPr>
        </w:p>
      </w:tc>
    </w:tr>
  </w:tbl>
  <w:p w:rsidR="00096E55" w:rsidRDefault="00096E55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096E55">
      <w:tc>
        <w:tcPr>
          <w:tcW w:w="6634" w:type="dxa"/>
          <w:tcBorders>
            <w:top w:val="single" w:sz="6" w:space="0" w:color="auto"/>
          </w:tcBorders>
        </w:tcPr>
        <w:p w:rsidR="00096E55" w:rsidRDefault="00096E55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096E55" w:rsidRDefault="00096E55" w:rsidP="00E669E2">
          <w:pPr>
            <w:pStyle w:val="HeaderOdd"/>
          </w:pPr>
        </w:p>
      </w:tc>
    </w:tr>
  </w:tbl>
  <w:p w:rsidR="00096E55" w:rsidRDefault="00096E55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CF54631"/>
    <w:multiLevelType w:val="hybridMultilevel"/>
    <w:tmpl w:val="5360E296"/>
    <w:lvl w:ilvl="0" w:tplc="74DCAD1A">
      <w:numFmt w:val="bullet"/>
      <w:lvlText w:val="—"/>
      <w:lvlJc w:val="left"/>
      <w:pPr>
        <w:ind w:left="870" w:hanging="51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8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9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2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3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6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7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8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9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30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1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3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6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7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8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9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0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1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3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5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10"/>
  </w:num>
  <w:num w:numId="3">
    <w:abstractNumId w:val="43"/>
  </w:num>
  <w:num w:numId="4">
    <w:abstractNumId w:val="7"/>
  </w:num>
  <w:num w:numId="5">
    <w:abstractNumId w:val="5"/>
  </w:num>
  <w:num w:numId="6">
    <w:abstractNumId w:val="26"/>
  </w:num>
  <w:num w:numId="7">
    <w:abstractNumId w:val="3"/>
  </w:num>
  <w:num w:numId="8">
    <w:abstractNumId w:val="9"/>
  </w:num>
  <w:num w:numId="9">
    <w:abstractNumId w:val="2"/>
  </w:num>
  <w:num w:numId="10">
    <w:abstractNumId w:val="38"/>
  </w:num>
  <w:num w:numId="11">
    <w:abstractNumId w:val="4"/>
  </w:num>
  <w:num w:numId="12">
    <w:abstractNumId w:val="1"/>
  </w:num>
  <w:num w:numId="13">
    <w:abstractNumId w:val="0"/>
  </w:num>
  <w:num w:numId="14">
    <w:abstractNumId w:val="29"/>
  </w:num>
  <w:num w:numId="15">
    <w:abstractNumId w:val="44"/>
  </w:num>
  <w:num w:numId="16">
    <w:abstractNumId w:val="18"/>
  </w:num>
  <w:num w:numId="17">
    <w:abstractNumId w:val="17"/>
  </w:num>
  <w:num w:numId="18">
    <w:abstractNumId w:val="27"/>
  </w:num>
  <w:num w:numId="19">
    <w:abstractNumId w:val="12"/>
  </w:num>
  <w:num w:numId="20">
    <w:abstractNumId w:val="35"/>
  </w:num>
  <w:num w:numId="21">
    <w:abstractNumId w:val="37"/>
  </w:num>
  <w:num w:numId="22">
    <w:abstractNumId w:val="25"/>
  </w:num>
  <w:num w:numId="23">
    <w:abstractNumId w:val="28"/>
  </w:num>
  <w:num w:numId="24">
    <w:abstractNumId w:val="30"/>
  </w:num>
  <w:num w:numId="25">
    <w:abstractNumId w:val="42"/>
  </w:num>
  <w:num w:numId="26">
    <w:abstractNumId w:val="34"/>
  </w:num>
  <w:num w:numId="27">
    <w:abstractNumId w:val="39"/>
  </w:num>
  <w:num w:numId="28">
    <w:abstractNumId w:val="40"/>
  </w:num>
  <w:num w:numId="29">
    <w:abstractNumId w:val="32"/>
  </w:num>
  <w:num w:numId="30">
    <w:abstractNumId w:val="22"/>
  </w:num>
  <w:num w:numId="31">
    <w:abstractNumId w:val="45"/>
  </w:num>
  <w:num w:numId="32">
    <w:abstractNumId w:val="16"/>
  </w:num>
  <w:num w:numId="33">
    <w:abstractNumId w:val="8"/>
  </w:num>
  <w:num w:numId="34">
    <w:abstractNumId w:val="19"/>
  </w:num>
  <w:num w:numId="35">
    <w:abstractNumId w:val="41"/>
  </w:num>
  <w:num w:numId="36">
    <w:abstractNumId w:val="33"/>
  </w:num>
  <w:num w:numId="37">
    <w:abstractNumId w:val="13"/>
  </w:num>
  <w:num w:numId="38">
    <w:abstractNumId w:val="36"/>
  </w:num>
  <w:num w:numId="39">
    <w:abstractNumId w:val="15"/>
  </w:num>
  <w:num w:numId="40">
    <w:abstractNumId w:val="18"/>
  </w:num>
  <w:num w:numId="41">
    <w:abstractNumId w:val="9"/>
  </w:num>
  <w:num w:numId="42">
    <w:abstractNumId w:val="24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20"/>
  </w:num>
  <w:num w:numId="46">
    <w:abstractNumId w:val="23"/>
  </w:num>
  <w:num w:numId="47">
    <w:abstractNumId w:val="10"/>
  </w:num>
  <w:num w:numId="48">
    <w:abstractNumId w:val="31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attachedTemplate r:id="rId1"/>
  <w:linkStyle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References"/>
    <w:docVar w:name="ShortReportTitle" w:val="Fruit Provisional Safeguards"/>
  </w:docVars>
  <w:rsids>
    <w:rsidRoot w:val="00DC7775"/>
    <w:rsid w:val="0000169C"/>
    <w:rsid w:val="000227D5"/>
    <w:rsid w:val="000245AA"/>
    <w:rsid w:val="0003664B"/>
    <w:rsid w:val="0004111F"/>
    <w:rsid w:val="00045556"/>
    <w:rsid w:val="000565B3"/>
    <w:rsid w:val="0007150B"/>
    <w:rsid w:val="000938F5"/>
    <w:rsid w:val="00096E55"/>
    <w:rsid w:val="000A00EC"/>
    <w:rsid w:val="000B601B"/>
    <w:rsid w:val="000C207E"/>
    <w:rsid w:val="000C62E5"/>
    <w:rsid w:val="000F0035"/>
    <w:rsid w:val="000F420B"/>
    <w:rsid w:val="00102511"/>
    <w:rsid w:val="00110116"/>
    <w:rsid w:val="00117B54"/>
    <w:rsid w:val="00120072"/>
    <w:rsid w:val="001226BB"/>
    <w:rsid w:val="00126EB8"/>
    <w:rsid w:val="001274D4"/>
    <w:rsid w:val="001349DC"/>
    <w:rsid w:val="001363AA"/>
    <w:rsid w:val="00165A67"/>
    <w:rsid w:val="00183E82"/>
    <w:rsid w:val="001878BB"/>
    <w:rsid w:val="00191AE0"/>
    <w:rsid w:val="0019293B"/>
    <w:rsid w:val="0019426B"/>
    <w:rsid w:val="001C0865"/>
    <w:rsid w:val="001C3ABA"/>
    <w:rsid w:val="001E453C"/>
    <w:rsid w:val="001E7BE8"/>
    <w:rsid w:val="001F0248"/>
    <w:rsid w:val="001F3EB3"/>
    <w:rsid w:val="001F4F86"/>
    <w:rsid w:val="00202C2C"/>
    <w:rsid w:val="0021264A"/>
    <w:rsid w:val="002135AB"/>
    <w:rsid w:val="002144BE"/>
    <w:rsid w:val="00242279"/>
    <w:rsid w:val="00245C82"/>
    <w:rsid w:val="00270694"/>
    <w:rsid w:val="0027146E"/>
    <w:rsid w:val="002815D4"/>
    <w:rsid w:val="00291B40"/>
    <w:rsid w:val="002A48F5"/>
    <w:rsid w:val="002B4008"/>
    <w:rsid w:val="002D0E8E"/>
    <w:rsid w:val="002D5743"/>
    <w:rsid w:val="002F113D"/>
    <w:rsid w:val="00301189"/>
    <w:rsid w:val="00323E09"/>
    <w:rsid w:val="00333932"/>
    <w:rsid w:val="003518AA"/>
    <w:rsid w:val="00352165"/>
    <w:rsid w:val="00353182"/>
    <w:rsid w:val="003565D9"/>
    <w:rsid w:val="003602E1"/>
    <w:rsid w:val="0037026F"/>
    <w:rsid w:val="00371240"/>
    <w:rsid w:val="00374731"/>
    <w:rsid w:val="00376E59"/>
    <w:rsid w:val="003919F9"/>
    <w:rsid w:val="003C38B5"/>
    <w:rsid w:val="003C5D99"/>
    <w:rsid w:val="003D3086"/>
    <w:rsid w:val="003E2F59"/>
    <w:rsid w:val="003F0789"/>
    <w:rsid w:val="00401882"/>
    <w:rsid w:val="004100C8"/>
    <w:rsid w:val="00411DBD"/>
    <w:rsid w:val="00412ACE"/>
    <w:rsid w:val="00431249"/>
    <w:rsid w:val="00434C19"/>
    <w:rsid w:val="00436570"/>
    <w:rsid w:val="00442E1E"/>
    <w:rsid w:val="00450810"/>
    <w:rsid w:val="00454D70"/>
    <w:rsid w:val="00477144"/>
    <w:rsid w:val="00484CBF"/>
    <w:rsid w:val="00491380"/>
    <w:rsid w:val="0049459F"/>
    <w:rsid w:val="004A38DD"/>
    <w:rsid w:val="004B43AE"/>
    <w:rsid w:val="004C2FDD"/>
    <w:rsid w:val="004C30ED"/>
    <w:rsid w:val="004D5675"/>
    <w:rsid w:val="0052117C"/>
    <w:rsid w:val="00523639"/>
    <w:rsid w:val="00531FE5"/>
    <w:rsid w:val="005402FA"/>
    <w:rsid w:val="005476AF"/>
    <w:rsid w:val="005740C9"/>
    <w:rsid w:val="00583C39"/>
    <w:rsid w:val="00587F28"/>
    <w:rsid w:val="005909CF"/>
    <w:rsid w:val="00591E71"/>
    <w:rsid w:val="005A0D41"/>
    <w:rsid w:val="005C18A6"/>
    <w:rsid w:val="00607BF1"/>
    <w:rsid w:val="006203BC"/>
    <w:rsid w:val="00627995"/>
    <w:rsid w:val="00630D4D"/>
    <w:rsid w:val="00632A74"/>
    <w:rsid w:val="0068144A"/>
    <w:rsid w:val="006A4655"/>
    <w:rsid w:val="006B0FF0"/>
    <w:rsid w:val="006B2B3C"/>
    <w:rsid w:val="006C1D81"/>
    <w:rsid w:val="006C7038"/>
    <w:rsid w:val="006E73EF"/>
    <w:rsid w:val="00714D4D"/>
    <w:rsid w:val="007604BB"/>
    <w:rsid w:val="00785232"/>
    <w:rsid w:val="007A21EB"/>
    <w:rsid w:val="007B1A93"/>
    <w:rsid w:val="007C36C9"/>
    <w:rsid w:val="007D6401"/>
    <w:rsid w:val="007E01E4"/>
    <w:rsid w:val="007F7107"/>
    <w:rsid w:val="00800D4C"/>
    <w:rsid w:val="0081030F"/>
    <w:rsid w:val="0082087D"/>
    <w:rsid w:val="00835771"/>
    <w:rsid w:val="00842933"/>
    <w:rsid w:val="00843851"/>
    <w:rsid w:val="00852F5C"/>
    <w:rsid w:val="00857F36"/>
    <w:rsid w:val="0086082C"/>
    <w:rsid w:val="00864ADC"/>
    <w:rsid w:val="00880153"/>
    <w:rsid w:val="00880F97"/>
    <w:rsid w:val="0088133A"/>
    <w:rsid w:val="0089285E"/>
    <w:rsid w:val="0089436C"/>
    <w:rsid w:val="008D365C"/>
    <w:rsid w:val="009030BF"/>
    <w:rsid w:val="0091032F"/>
    <w:rsid w:val="00914368"/>
    <w:rsid w:val="00931076"/>
    <w:rsid w:val="009345D9"/>
    <w:rsid w:val="00934B15"/>
    <w:rsid w:val="00940C87"/>
    <w:rsid w:val="00942B62"/>
    <w:rsid w:val="0094635F"/>
    <w:rsid w:val="0094695C"/>
    <w:rsid w:val="0095323B"/>
    <w:rsid w:val="00956A0C"/>
    <w:rsid w:val="00956BD9"/>
    <w:rsid w:val="00962489"/>
    <w:rsid w:val="00990C2C"/>
    <w:rsid w:val="00991A91"/>
    <w:rsid w:val="00995B5C"/>
    <w:rsid w:val="009E1844"/>
    <w:rsid w:val="009E513C"/>
    <w:rsid w:val="009F0D1B"/>
    <w:rsid w:val="009F696D"/>
    <w:rsid w:val="009F6BC6"/>
    <w:rsid w:val="00A0050A"/>
    <w:rsid w:val="00A17328"/>
    <w:rsid w:val="00A23A20"/>
    <w:rsid w:val="00A268B9"/>
    <w:rsid w:val="00A2703A"/>
    <w:rsid w:val="00A33DFF"/>
    <w:rsid w:val="00A35115"/>
    <w:rsid w:val="00A36D9A"/>
    <w:rsid w:val="00A554AB"/>
    <w:rsid w:val="00A57062"/>
    <w:rsid w:val="00A845A1"/>
    <w:rsid w:val="00A92B53"/>
    <w:rsid w:val="00A94FA6"/>
    <w:rsid w:val="00AA49A0"/>
    <w:rsid w:val="00AA6710"/>
    <w:rsid w:val="00AB0681"/>
    <w:rsid w:val="00AC6F98"/>
    <w:rsid w:val="00AD520B"/>
    <w:rsid w:val="00B425C3"/>
    <w:rsid w:val="00B440AD"/>
    <w:rsid w:val="00B479BB"/>
    <w:rsid w:val="00B53E7E"/>
    <w:rsid w:val="00B6342E"/>
    <w:rsid w:val="00B7113F"/>
    <w:rsid w:val="00B81D4D"/>
    <w:rsid w:val="00BA73B6"/>
    <w:rsid w:val="00BA7E27"/>
    <w:rsid w:val="00BB2603"/>
    <w:rsid w:val="00BB4FCD"/>
    <w:rsid w:val="00BC04E9"/>
    <w:rsid w:val="00BD13EA"/>
    <w:rsid w:val="00BE3808"/>
    <w:rsid w:val="00C062E9"/>
    <w:rsid w:val="00C07B64"/>
    <w:rsid w:val="00C13721"/>
    <w:rsid w:val="00C14FE4"/>
    <w:rsid w:val="00C3066D"/>
    <w:rsid w:val="00C41D17"/>
    <w:rsid w:val="00C52416"/>
    <w:rsid w:val="00C52E23"/>
    <w:rsid w:val="00C53E18"/>
    <w:rsid w:val="00C543F4"/>
    <w:rsid w:val="00C55291"/>
    <w:rsid w:val="00C6291C"/>
    <w:rsid w:val="00C633CB"/>
    <w:rsid w:val="00C736B7"/>
    <w:rsid w:val="00C81D4A"/>
    <w:rsid w:val="00C8762C"/>
    <w:rsid w:val="00CA00F9"/>
    <w:rsid w:val="00CA2961"/>
    <w:rsid w:val="00CB50D7"/>
    <w:rsid w:val="00CB7177"/>
    <w:rsid w:val="00CB7289"/>
    <w:rsid w:val="00CC1998"/>
    <w:rsid w:val="00CC4946"/>
    <w:rsid w:val="00CD07FC"/>
    <w:rsid w:val="00D270A4"/>
    <w:rsid w:val="00D31FE9"/>
    <w:rsid w:val="00D34E1B"/>
    <w:rsid w:val="00D376BA"/>
    <w:rsid w:val="00D45634"/>
    <w:rsid w:val="00D5568A"/>
    <w:rsid w:val="00D63D73"/>
    <w:rsid w:val="00D64452"/>
    <w:rsid w:val="00D66E1E"/>
    <w:rsid w:val="00D75722"/>
    <w:rsid w:val="00D80CF5"/>
    <w:rsid w:val="00DA5BBA"/>
    <w:rsid w:val="00DB26D2"/>
    <w:rsid w:val="00DB67C9"/>
    <w:rsid w:val="00DB7DA3"/>
    <w:rsid w:val="00DC0C95"/>
    <w:rsid w:val="00DC7775"/>
    <w:rsid w:val="00DD6580"/>
    <w:rsid w:val="00DF3432"/>
    <w:rsid w:val="00E065CC"/>
    <w:rsid w:val="00E132FE"/>
    <w:rsid w:val="00E134AD"/>
    <w:rsid w:val="00E17C72"/>
    <w:rsid w:val="00E21FC6"/>
    <w:rsid w:val="00E431A9"/>
    <w:rsid w:val="00E669E2"/>
    <w:rsid w:val="00E74BFF"/>
    <w:rsid w:val="00E76135"/>
    <w:rsid w:val="00E82F4F"/>
    <w:rsid w:val="00EA0F8B"/>
    <w:rsid w:val="00EC2844"/>
    <w:rsid w:val="00EC5500"/>
    <w:rsid w:val="00ED18F8"/>
    <w:rsid w:val="00EE2A91"/>
    <w:rsid w:val="00EF6C6C"/>
    <w:rsid w:val="00F02FBC"/>
    <w:rsid w:val="00F056FC"/>
    <w:rsid w:val="00F10476"/>
    <w:rsid w:val="00F11DB1"/>
    <w:rsid w:val="00F135D8"/>
    <w:rsid w:val="00F31299"/>
    <w:rsid w:val="00F3534A"/>
    <w:rsid w:val="00F51609"/>
    <w:rsid w:val="00F81006"/>
    <w:rsid w:val="00F85325"/>
    <w:rsid w:val="00F968B0"/>
    <w:rsid w:val="00FA2DBB"/>
    <w:rsid w:val="00FD22B1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Default Paragraph Font" w:uiPriority="1"/>
    <w:lsdException w:name="Body Text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5C18A6"/>
    <w:rPr>
      <w:sz w:val="26"/>
      <w:szCs w:val="24"/>
    </w:rPr>
  </w:style>
  <w:style w:type="paragraph" w:styleId="Heading1">
    <w:name w:val="heading 1"/>
    <w:basedOn w:val="BodyText"/>
    <w:next w:val="BodyText"/>
    <w:rsid w:val="005C18A6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5C18A6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5C18A6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5C18A6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5C18A6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5C18A6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5C18A6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5C18A6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5C18A6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5C18A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C18A6"/>
  </w:style>
  <w:style w:type="paragraph" w:styleId="BodyText">
    <w:name w:val="Body Text"/>
    <w:link w:val="BodyTextChar"/>
    <w:qFormat/>
    <w:rsid w:val="005C18A6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5C18A6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5C18A6"/>
    <w:pPr>
      <w:spacing w:before="0" w:line="20" w:lineRule="exact"/>
    </w:pPr>
  </w:style>
  <w:style w:type="paragraph" w:styleId="Header">
    <w:name w:val="header"/>
    <w:basedOn w:val="BodyText"/>
    <w:rsid w:val="005C18A6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5C18A6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5C18A6"/>
  </w:style>
  <w:style w:type="paragraph" w:customStyle="1" w:styleId="HeaderOdd">
    <w:name w:val="Header Odd"/>
    <w:basedOn w:val="Header"/>
    <w:semiHidden/>
    <w:rsid w:val="005C18A6"/>
  </w:style>
  <w:style w:type="character" w:styleId="PageNumber">
    <w:name w:val="page number"/>
    <w:basedOn w:val="DefaultParagraphFont"/>
    <w:rsid w:val="005C18A6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5C18A6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5C18A6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5C18A6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5C18A6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5C18A6"/>
    <w:rPr>
      <w:b w:val="0"/>
      <w:i/>
    </w:rPr>
  </w:style>
  <w:style w:type="paragraph" w:customStyle="1" w:styleId="BoxListBullet">
    <w:name w:val="Box List Bullet"/>
    <w:basedOn w:val="BodyText"/>
    <w:rsid w:val="005C18A6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5C18A6"/>
    <w:pPr>
      <w:keepNext/>
      <w:numPr>
        <w:numId w:val="2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5C18A6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5C18A6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5C18A6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5C18A6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5C18A6"/>
    <w:pPr>
      <w:spacing w:after="120"/>
    </w:pPr>
  </w:style>
  <w:style w:type="paragraph" w:customStyle="1" w:styleId="BoxSource">
    <w:name w:val="Box Source"/>
    <w:basedOn w:val="Source"/>
    <w:next w:val="BodyText"/>
    <w:rsid w:val="005C18A6"/>
    <w:pPr>
      <w:spacing w:before="180" w:after="0"/>
    </w:pPr>
  </w:style>
  <w:style w:type="paragraph" w:customStyle="1" w:styleId="BoxSpaceAbove">
    <w:name w:val="Box Space Above"/>
    <w:basedOn w:val="BodyText"/>
    <w:rsid w:val="005C18A6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5C18A6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5C18A6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5C18A6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5C18A6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C18A6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5C18A6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5C18A6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C18A6"/>
  </w:style>
  <w:style w:type="character" w:customStyle="1" w:styleId="DocumentInfo">
    <w:name w:val="Document Info"/>
    <w:basedOn w:val="DefaultParagraphFont"/>
    <w:semiHidden/>
    <w:rsid w:val="005C18A6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5C18A6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5C18A6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5C18A6"/>
    <w:rPr>
      <w:sz w:val="24"/>
    </w:rPr>
  </w:style>
  <w:style w:type="paragraph" w:styleId="Subtitle">
    <w:name w:val="Subtitle"/>
    <w:basedOn w:val="Caption"/>
    <w:link w:val="SubtitleChar"/>
    <w:rsid w:val="005C18A6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5C18A6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5C18A6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5C18A6"/>
    <w:pPr>
      <w:spacing w:before="240"/>
    </w:pPr>
  </w:style>
  <w:style w:type="paragraph" w:customStyle="1" w:styleId="RecTitle">
    <w:name w:val="Rec Title"/>
    <w:basedOn w:val="BodyText"/>
    <w:next w:val="Normal"/>
    <w:rsid w:val="005C18A6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5C18A6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5C18A6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5C18A6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5C18A6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5C18A6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5C18A6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5C18A6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5C18A6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5C18A6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5C18A6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5C18A6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5C18A6"/>
    <w:pPr>
      <w:numPr>
        <w:ilvl w:val="1"/>
      </w:numPr>
    </w:pPr>
  </w:style>
  <w:style w:type="paragraph" w:styleId="ListNumber3">
    <w:name w:val="List Number 3"/>
    <w:basedOn w:val="ListNumber2"/>
    <w:rsid w:val="005C18A6"/>
    <w:pPr>
      <w:numPr>
        <w:ilvl w:val="2"/>
      </w:numPr>
    </w:pPr>
  </w:style>
  <w:style w:type="character" w:customStyle="1" w:styleId="NoteLabel">
    <w:name w:val="Note Label"/>
    <w:basedOn w:val="DefaultParagraphFont"/>
    <w:rsid w:val="005C18A6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5C18A6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5C18A6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5C18A6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5C18A6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5C18A6"/>
    <w:pPr>
      <w:numPr>
        <w:numId w:val="14"/>
      </w:numPr>
    </w:pPr>
  </w:style>
  <w:style w:type="paragraph" w:customStyle="1" w:styleId="Rec">
    <w:name w:val="Rec"/>
    <w:basedOn w:val="BodyText"/>
    <w:rsid w:val="005C18A6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5C18A6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5C18A6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5C18A6"/>
    <w:pPr>
      <w:numPr>
        <w:numId w:val="16"/>
      </w:numPr>
      <w:spacing w:before="80"/>
    </w:pPr>
  </w:style>
  <w:style w:type="paragraph" w:customStyle="1" w:styleId="RecBNoTitle">
    <w:name w:val="RecB NoTitle"/>
    <w:basedOn w:val="RecB"/>
    <w:semiHidden/>
    <w:rsid w:val="005C18A6"/>
    <w:pPr>
      <w:spacing w:before="240"/>
    </w:pPr>
  </w:style>
  <w:style w:type="paragraph" w:customStyle="1" w:styleId="Reference">
    <w:name w:val="Reference"/>
    <w:basedOn w:val="BodyText"/>
    <w:rsid w:val="005C18A6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5C18A6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5C18A6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5C18A6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5C18A6"/>
    <w:pPr>
      <w:framePr w:wrap="around"/>
    </w:pPr>
  </w:style>
  <w:style w:type="paragraph" w:customStyle="1" w:styleId="TableBodyText">
    <w:name w:val="Table Body Text"/>
    <w:basedOn w:val="BodyText"/>
    <w:rsid w:val="005C18A6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5C18A6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5C18A6"/>
    <w:pPr>
      <w:spacing w:before="80" w:after="80"/>
    </w:pPr>
    <w:rPr>
      <w:i/>
    </w:rPr>
  </w:style>
  <w:style w:type="paragraph" w:styleId="TOC2">
    <w:name w:val="toc 2"/>
    <w:basedOn w:val="BodyText"/>
    <w:semiHidden/>
    <w:rsid w:val="005C18A6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5C18A6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5C18A6"/>
    <w:pPr>
      <w:ind w:left="737" w:hanging="737"/>
    </w:pPr>
  </w:style>
  <w:style w:type="paragraph" w:customStyle="1" w:styleId="TableTitle">
    <w:name w:val="Table Title"/>
    <w:basedOn w:val="Caption"/>
    <w:next w:val="Subtitle"/>
    <w:rsid w:val="005C18A6"/>
    <w:rPr>
      <w:sz w:val="24"/>
    </w:rPr>
  </w:style>
  <w:style w:type="paragraph" w:customStyle="1" w:styleId="TableUnitsRow">
    <w:name w:val="Table Units Row"/>
    <w:basedOn w:val="TableBodyText"/>
    <w:rsid w:val="005C18A6"/>
    <w:pPr>
      <w:spacing w:before="80" w:after="80"/>
    </w:pPr>
  </w:style>
  <w:style w:type="paragraph" w:styleId="TOC1">
    <w:name w:val="toc 1"/>
    <w:basedOn w:val="Normal"/>
    <w:next w:val="TOC2"/>
    <w:semiHidden/>
    <w:rsid w:val="005C18A6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5C18A6"/>
    <w:pPr>
      <w:ind w:left="1191" w:firstLine="0"/>
    </w:pPr>
  </w:style>
  <w:style w:type="paragraph" w:customStyle="1" w:styleId="RecBBullet2">
    <w:name w:val="RecB Bullet 2"/>
    <w:basedOn w:val="ListBullet2"/>
    <w:semiHidden/>
    <w:rsid w:val="005C18A6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5C18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18A6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5C18A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C18A6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5C18A6"/>
    <w:rPr>
      <w:i/>
      <w:iCs/>
    </w:rPr>
  </w:style>
  <w:style w:type="paragraph" w:customStyle="1" w:styleId="BoxQuoteBullet">
    <w:name w:val="Box Quote Bullet"/>
    <w:basedOn w:val="BoxQuote"/>
    <w:next w:val="Box"/>
    <w:rsid w:val="005C18A6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5C18A6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5C18A6"/>
    <w:pPr>
      <w:keepNext w:val="0"/>
      <w:spacing w:before="60" w:after="60" w:line="80" w:lineRule="exact"/>
    </w:pPr>
    <w:rPr>
      <w:sz w:val="14"/>
    </w:rPr>
  </w:style>
  <w:style w:type="character" w:customStyle="1" w:styleId="BodyTextChar">
    <w:name w:val="Body Text Char"/>
    <w:basedOn w:val="DefaultParagraphFont"/>
    <w:link w:val="BodyText"/>
    <w:locked/>
    <w:rsid w:val="00DC7775"/>
    <w:rPr>
      <w:sz w:val="26"/>
    </w:rPr>
  </w:style>
  <w:style w:type="character" w:styleId="Hyperlink">
    <w:name w:val="Hyperlink"/>
    <w:basedOn w:val="DefaultParagraphFont"/>
    <w:rsid w:val="0062799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81D4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Default Paragraph Font" w:uiPriority="1"/>
    <w:lsdException w:name="Body Text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5C18A6"/>
    <w:rPr>
      <w:sz w:val="26"/>
      <w:szCs w:val="24"/>
    </w:rPr>
  </w:style>
  <w:style w:type="paragraph" w:styleId="Heading1">
    <w:name w:val="heading 1"/>
    <w:basedOn w:val="BodyText"/>
    <w:next w:val="BodyText"/>
    <w:rsid w:val="005C18A6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5C18A6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5C18A6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5C18A6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5C18A6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5C18A6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5C18A6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5C18A6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5C18A6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5C18A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C18A6"/>
  </w:style>
  <w:style w:type="paragraph" w:styleId="BodyText">
    <w:name w:val="Body Text"/>
    <w:link w:val="BodyTextChar"/>
    <w:qFormat/>
    <w:rsid w:val="005C18A6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5C18A6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5C18A6"/>
    <w:pPr>
      <w:spacing w:before="0" w:line="20" w:lineRule="exact"/>
    </w:pPr>
  </w:style>
  <w:style w:type="paragraph" w:styleId="Header">
    <w:name w:val="header"/>
    <w:basedOn w:val="BodyText"/>
    <w:rsid w:val="005C18A6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5C18A6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5C18A6"/>
  </w:style>
  <w:style w:type="paragraph" w:customStyle="1" w:styleId="HeaderOdd">
    <w:name w:val="Header Odd"/>
    <w:basedOn w:val="Header"/>
    <w:semiHidden/>
    <w:rsid w:val="005C18A6"/>
  </w:style>
  <w:style w:type="character" w:styleId="PageNumber">
    <w:name w:val="page number"/>
    <w:basedOn w:val="DefaultParagraphFont"/>
    <w:rsid w:val="005C18A6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5C18A6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5C18A6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5C18A6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5C18A6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5C18A6"/>
    <w:rPr>
      <w:b w:val="0"/>
      <w:i/>
    </w:rPr>
  </w:style>
  <w:style w:type="paragraph" w:customStyle="1" w:styleId="BoxListBullet">
    <w:name w:val="Box List Bullet"/>
    <w:basedOn w:val="BodyText"/>
    <w:rsid w:val="005C18A6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5C18A6"/>
    <w:pPr>
      <w:keepNext/>
      <w:numPr>
        <w:numId w:val="2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5C18A6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5C18A6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5C18A6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5C18A6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5C18A6"/>
    <w:pPr>
      <w:spacing w:after="120"/>
    </w:pPr>
  </w:style>
  <w:style w:type="paragraph" w:customStyle="1" w:styleId="BoxSource">
    <w:name w:val="Box Source"/>
    <w:basedOn w:val="Source"/>
    <w:next w:val="BodyText"/>
    <w:rsid w:val="005C18A6"/>
    <w:pPr>
      <w:spacing w:before="180" w:after="0"/>
    </w:pPr>
  </w:style>
  <w:style w:type="paragraph" w:customStyle="1" w:styleId="BoxSpaceAbove">
    <w:name w:val="Box Space Above"/>
    <w:basedOn w:val="BodyText"/>
    <w:rsid w:val="005C18A6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5C18A6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5C18A6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5C18A6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5C18A6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C18A6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5C18A6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5C18A6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C18A6"/>
  </w:style>
  <w:style w:type="character" w:customStyle="1" w:styleId="DocumentInfo">
    <w:name w:val="Document Info"/>
    <w:basedOn w:val="DefaultParagraphFont"/>
    <w:semiHidden/>
    <w:rsid w:val="005C18A6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5C18A6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5C18A6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5C18A6"/>
    <w:rPr>
      <w:sz w:val="24"/>
    </w:rPr>
  </w:style>
  <w:style w:type="paragraph" w:styleId="Subtitle">
    <w:name w:val="Subtitle"/>
    <w:basedOn w:val="Caption"/>
    <w:link w:val="SubtitleChar"/>
    <w:rsid w:val="005C18A6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5C18A6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5C18A6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5C18A6"/>
    <w:pPr>
      <w:spacing w:before="240"/>
    </w:pPr>
  </w:style>
  <w:style w:type="paragraph" w:customStyle="1" w:styleId="RecTitle">
    <w:name w:val="Rec Title"/>
    <w:basedOn w:val="BodyText"/>
    <w:next w:val="Normal"/>
    <w:rsid w:val="005C18A6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5C18A6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5C18A6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5C18A6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5C18A6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5C18A6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5C18A6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5C18A6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5C18A6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5C18A6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5C18A6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5C18A6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5C18A6"/>
    <w:pPr>
      <w:numPr>
        <w:ilvl w:val="1"/>
      </w:numPr>
    </w:pPr>
  </w:style>
  <w:style w:type="paragraph" w:styleId="ListNumber3">
    <w:name w:val="List Number 3"/>
    <w:basedOn w:val="ListNumber2"/>
    <w:rsid w:val="005C18A6"/>
    <w:pPr>
      <w:numPr>
        <w:ilvl w:val="2"/>
      </w:numPr>
    </w:pPr>
  </w:style>
  <w:style w:type="character" w:customStyle="1" w:styleId="NoteLabel">
    <w:name w:val="Note Label"/>
    <w:basedOn w:val="DefaultParagraphFont"/>
    <w:rsid w:val="005C18A6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5C18A6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5C18A6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5C18A6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5C18A6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5C18A6"/>
    <w:pPr>
      <w:numPr>
        <w:numId w:val="14"/>
      </w:numPr>
    </w:pPr>
  </w:style>
  <w:style w:type="paragraph" w:customStyle="1" w:styleId="Rec">
    <w:name w:val="Rec"/>
    <w:basedOn w:val="BodyText"/>
    <w:rsid w:val="005C18A6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5C18A6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5C18A6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5C18A6"/>
    <w:pPr>
      <w:numPr>
        <w:numId w:val="16"/>
      </w:numPr>
      <w:spacing w:before="80"/>
    </w:pPr>
  </w:style>
  <w:style w:type="paragraph" w:customStyle="1" w:styleId="RecBNoTitle">
    <w:name w:val="RecB NoTitle"/>
    <w:basedOn w:val="RecB"/>
    <w:semiHidden/>
    <w:rsid w:val="005C18A6"/>
    <w:pPr>
      <w:spacing w:before="240"/>
    </w:pPr>
  </w:style>
  <w:style w:type="paragraph" w:customStyle="1" w:styleId="Reference">
    <w:name w:val="Reference"/>
    <w:basedOn w:val="BodyText"/>
    <w:rsid w:val="005C18A6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5C18A6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5C18A6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5C18A6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5C18A6"/>
    <w:pPr>
      <w:framePr w:wrap="around"/>
    </w:pPr>
  </w:style>
  <w:style w:type="paragraph" w:customStyle="1" w:styleId="TableBodyText">
    <w:name w:val="Table Body Text"/>
    <w:basedOn w:val="BodyText"/>
    <w:rsid w:val="005C18A6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5C18A6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5C18A6"/>
    <w:pPr>
      <w:spacing w:before="80" w:after="80"/>
    </w:pPr>
    <w:rPr>
      <w:i/>
    </w:rPr>
  </w:style>
  <w:style w:type="paragraph" w:styleId="TOC2">
    <w:name w:val="toc 2"/>
    <w:basedOn w:val="BodyText"/>
    <w:semiHidden/>
    <w:rsid w:val="005C18A6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5C18A6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5C18A6"/>
    <w:pPr>
      <w:ind w:left="737" w:hanging="737"/>
    </w:pPr>
  </w:style>
  <w:style w:type="paragraph" w:customStyle="1" w:styleId="TableTitle">
    <w:name w:val="Table Title"/>
    <w:basedOn w:val="Caption"/>
    <w:next w:val="Subtitle"/>
    <w:rsid w:val="005C18A6"/>
    <w:rPr>
      <w:sz w:val="24"/>
    </w:rPr>
  </w:style>
  <w:style w:type="paragraph" w:customStyle="1" w:styleId="TableUnitsRow">
    <w:name w:val="Table Units Row"/>
    <w:basedOn w:val="TableBodyText"/>
    <w:rsid w:val="005C18A6"/>
    <w:pPr>
      <w:spacing w:before="80" w:after="80"/>
    </w:pPr>
  </w:style>
  <w:style w:type="paragraph" w:styleId="TOC1">
    <w:name w:val="toc 1"/>
    <w:basedOn w:val="Normal"/>
    <w:next w:val="TOC2"/>
    <w:semiHidden/>
    <w:rsid w:val="005C18A6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5C18A6"/>
    <w:pPr>
      <w:ind w:left="1191" w:firstLine="0"/>
    </w:pPr>
  </w:style>
  <w:style w:type="paragraph" w:customStyle="1" w:styleId="RecBBullet2">
    <w:name w:val="RecB Bullet 2"/>
    <w:basedOn w:val="ListBullet2"/>
    <w:semiHidden/>
    <w:rsid w:val="005C18A6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5C18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18A6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5C18A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C18A6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5C18A6"/>
    <w:rPr>
      <w:i/>
      <w:iCs/>
    </w:rPr>
  </w:style>
  <w:style w:type="paragraph" w:customStyle="1" w:styleId="BoxQuoteBullet">
    <w:name w:val="Box Quote Bullet"/>
    <w:basedOn w:val="BoxQuote"/>
    <w:next w:val="Box"/>
    <w:rsid w:val="005C18A6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5C18A6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5C18A6"/>
    <w:pPr>
      <w:keepNext w:val="0"/>
      <w:spacing w:before="60" w:after="60" w:line="80" w:lineRule="exact"/>
    </w:pPr>
    <w:rPr>
      <w:sz w:val="14"/>
    </w:rPr>
  </w:style>
  <w:style w:type="character" w:customStyle="1" w:styleId="BodyTextChar">
    <w:name w:val="Body Text Char"/>
    <w:basedOn w:val="DefaultParagraphFont"/>
    <w:link w:val="BodyText"/>
    <w:locked/>
    <w:rsid w:val="00DC7775"/>
    <w:rPr>
      <w:sz w:val="26"/>
    </w:rPr>
  </w:style>
  <w:style w:type="character" w:styleId="Hyperlink">
    <w:name w:val="Hyperlink"/>
    <w:basedOn w:val="DefaultParagraphFont"/>
    <w:rsid w:val="0062799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81D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3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0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2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87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44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woolworthslimited.com.au/page/The_Newsroom/Latest_News/Woolworths_to_invest_a_further_3_million_to_source_all_deciduous_canned_fruit_from_Australi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pcardmona.com.au/en/media-room/whats-new?article=/SPC-ARD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BCC4E-FDF6-4A26-8039-B1ECA3442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1</TotalTime>
  <Pages>3</Pages>
  <Words>584</Words>
  <Characters>4796</Characters>
  <Application>Microsoft Office Word</Application>
  <DocSecurity>0</DocSecurity>
  <Lines>93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Productivity Commission</Company>
  <LinksUpToDate>false</LinksUpToDate>
  <CharactersWithSpaces>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>Fruit Provisional Safeguards</dc:subject>
  <dc:creator>Productivity Commission</dc:creator>
  <dc:description>1.</dc:description>
  <cp:lastModifiedBy>Productivity Commission</cp:lastModifiedBy>
  <cp:revision>2</cp:revision>
  <dcterms:created xsi:type="dcterms:W3CDTF">2013-12-16T01:03:00Z</dcterms:created>
  <dcterms:modified xsi:type="dcterms:W3CDTF">2013-12-16T01:03:00Z</dcterms:modified>
</cp:coreProperties>
</file>