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8721"/>
      </w:tblGrid>
      <w:tr w:rsidR="002D0A01" w:rsidRPr="00842B3F">
        <w:trPr>
          <w:trHeight w:val="2410"/>
        </w:trPr>
        <w:tc>
          <w:tcPr>
            <w:tcW w:w="8721" w:type="dxa"/>
            <w:vAlign w:val="center"/>
          </w:tcPr>
          <w:p w:rsidR="0088128A" w:rsidRPr="009F5C1F" w:rsidRDefault="00234654" w:rsidP="009F5C1F">
            <w:pPr>
              <w:pStyle w:val="CoverTitle"/>
              <w:rPr>
                <w:rFonts w:asciiTheme="majorHAnsi" w:hAnsiTheme="majorHAnsi" w:cstheme="majorHAnsi"/>
                <w:sz w:val="36"/>
                <w:szCs w:val="36"/>
              </w:rPr>
            </w:pPr>
            <w:bookmarkStart w:id="0" w:name="_GoBack"/>
            <w:bookmarkEnd w:id="0"/>
            <w:r w:rsidRPr="009F5C1F">
              <w:rPr>
                <w:rFonts w:asciiTheme="majorHAnsi" w:hAnsiTheme="majorHAnsi" w:cstheme="majorHAnsi"/>
                <w:sz w:val="36"/>
                <w:szCs w:val="36"/>
              </w:rPr>
              <w:t xml:space="preserve">Economic Impact </w:t>
            </w:r>
            <w:r w:rsidR="009F5C1F" w:rsidRPr="009F5C1F">
              <w:rPr>
                <w:rFonts w:asciiTheme="majorHAnsi" w:hAnsiTheme="majorHAnsi" w:cstheme="majorHAnsi"/>
                <w:sz w:val="36"/>
                <w:szCs w:val="36"/>
              </w:rPr>
              <w:t xml:space="preserve">of the </w:t>
            </w:r>
            <w:r w:rsidR="001C47B5">
              <w:rPr>
                <w:rFonts w:asciiTheme="majorHAnsi" w:hAnsiTheme="majorHAnsi" w:cstheme="majorHAnsi"/>
                <w:sz w:val="36"/>
                <w:szCs w:val="36"/>
              </w:rPr>
              <w:t xml:space="preserve">Potential </w:t>
            </w:r>
            <w:r w:rsidRPr="009F5C1F">
              <w:rPr>
                <w:rFonts w:asciiTheme="majorHAnsi" w:hAnsiTheme="majorHAnsi" w:cstheme="majorHAnsi"/>
                <w:sz w:val="36"/>
                <w:szCs w:val="36"/>
              </w:rPr>
              <w:t xml:space="preserve">Withdrawal </w:t>
            </w:r>
            <w:r w:rsidR="001C47B5">
              <w:rPr>
                <w:rFonts w:asciiTheme="majorHAnsi" w:hAnsiTheme="majorHAnsi" w:cstheme="majorHAnsi"/>
                <w:sz w:val="36"/>
                <w:szCs w:val="36"/>
              </w:rPr>
              <w:t xml:space="preserve">     </w:t>
            </w:r>
            <w:r w:rsidRPr="009F5C1F">
              <w:rPr>
                <w:rFonts w:asciiTheme="majorHAnsi" w:hAnsiTheme="majorHAnsi" w:cstheme="majorHAnsi"/>
                <w:sz w:val="36"/>
                <w:szCs w:val="36"/>
              </w:rPr>
              <w:t xml:space="preserve">of SPC Ardmona from </w:t>
            </w:r>
            <w:r w:rsidR="009F5C1F" w:rsidRPr="009F5C1F">
              <w:rPr>
                <w:rFonts w:asciiTheme="majorHAnsi" w:hAnsiTheme="majorHAnsi" w:cstheme="majorHAnsi"/>
                <w:sz w:val="36"/>
                <w:szCs w:val="36"/>
              </w:rPr>
              <w:t xml:space="preserve">the </w:t>
            </w:r>
            <w:r w:rsidR="001C47B5">
              <w:rPr>
                <w:rFonts w:asciiTheme="majorHAnsi" w:hAnsiTheme="majorHAnsi" w:cstheme="majorHAnsi"/>
                <w:sz w:val="36"/>
                <w:szCs w:val="36"/>
              </w:rPr>
              <w:t xml:space="preserve">                                      </w:t>
            </w:r>
            <w:r w:rsidRPr="009F5C1F">
              <w:rPr>
                <w:rFonts w:asciiTheme="majorHAnsi" w:hAnsiTheme="majorHAnsi" w:cstheme="majorHAnsi"/>
                <w:sz w:val="36"/>
                <w:szCs w:val="36"/>
              </w:rPr>
              <w:t>Greater Shepparton</w:t>
            </w:r>
            <w:r w:rsidR="009F5C1F" w:rsidRPr="009F5C1F">
              <w:rPr>
                <w:rFonts w:asciiTheme="majorHAnsi" w:hAnsiTheme="majorHAnsi" w:cstheme="majorHAnsi"/>
                <w:sz w:val="36"/>
                <w:szCs w:val="36"/>
              </w:rPr>
              <w:t xml:space="preserve"> Region</w:t>
            </w:r>
          </w:p>
        </w:tc>
      </w:tr>
      <w:tr w:rsidR="002D0A01" w:rsidRPr="00842B3F">
        <w:trPr>
          <w:trHeight w:val="3187"/>
        </w:trPr>
        <w:tc>
          <w:tcPr>
            <w:tcW w:w="8721" w:type="dxa"/>
          </w:tcPr>
          <w:p w:rsidR="00F052CD" w:rsidRPr="00842B3F" w:rsidRDefault="00F052CD" w:rsidP="003E0816">
            <w:pPr>
              <w:pStyle w:val="Coversub-title"/>
              <w:rPr>
                <w:rFonts w:asciiTheme="majorHAnsi" w:hAnsiTheme="majorHAnsi" w:cstheme="majorHAnsi"/>
              </w:rPr>
            </w:pPr>
          </w:p>
          <w:p w:rsidR="00F052CD" w:rsidRPr="00842B3F" w:rsidRDefault="00F052CD" w:rsidP="00234654">
            <w:pPr>
              <w:pStyle w:val="Drafttextforcover"/>
              <w:rPr>
                <w:rFonts w:asciiTheme="majorHAnsi" w:hAnsiTheme="majorHAnsi" w:cstheme="majorHAnsi"/>
              </w:rPr>
            </w:pPr>
          </w:p>
        </w:tc>
      </w:tr>
      <w:tr w:rsidR="002D0A01" w:rsidRPr="00842B3F">
        <w:trPr>
          <w:trHeight w:val="500"/>
        </w:trPr>
        <w:tc>
          <w:tcPr>
            <w:tcW w:w="8721" w:type="dxa"/>
          </w:tcPr>
          <w:p w:rsidR="002D0A01" w:rsidRPr="00842B3F" w:rsidRDefault="002D0A01" w:rsidP="003E0816">
            <w:pPr>
              <w:pStyle w:val="Covernormaltext"/>
              <w:rPr>
                <w:rFonts w:asciiTheme="minorHAnsi" w:hAnsiTheme="minorHAnsi" w:cstheme="minorHAnsi"/>
              </w:rPr>
            </w:pPr>
            <w:r w:rsidRPr="00842B3F">
              <w:rPr>
                <w:rFonts w:asciiTheme="minorHAnsi" w:hAnsiTheme="minorHAnsi" w:cstheme="minorHAnsi"/>
              </w:rPr>
              <w:t>Prepared for</w:t>
            </w:r>
          </w:p>
        </w:tc>
      </w:tr>
      <w:tr w:rsidR="002D0A01" w:rsidRPr="00842B3F">
        <w:trPr>
          <w:trHeight w:val="1314"/>
        </w:trPr>
        <w:tc>
          <w:tcPr>
            <w:tcW w:w="8721" w:type="dxa"/>
          </w:tcPr>
          <w:p w:rsidR="002D0A01" w:rsidRPr="00842B3F" w:rsidRDefault="00234654" w:rsidP="003E0816">
            <w:pPr>
              <w:pStyle w:val="Covernormaltext"/>
              <w:rPr>
                <w:rFonts w:asciiTheme="minorHAnsi" w:hAnsiTheme="minorHAnsi" w:cstheme="minorHAnsi"/>
              </w:rPr>
            </w:pPr>
            <w:r>
              <w:rPr>
                <w:rFonts w:asciiTheme="minorHAnsi" w:hAnsiTheme="minorHAnsi" w:cstheme="minorHAnsi"/>
              </w:rPr>
              <w:t>Greater Shepparton City Council</w:t>
            </w:r>
          </w:p>
        </w:tc>
      </w:tr>
      <w:tr w:rsidR="002D0A01" w:rsidRPr="00842B3F">
        <w:trPr>
          <w:trHeight w:val="500"/>
        </w:trPr>
        <w:tc>
          <w:tcPr>
            <w:tcW w:w="8721" w:type="dxa"/>
          </w:tcPr>
          <w:p w:rsidR="002D0A01" w:rsidRPr="00842B3F" w:rsidRDefault="002D0A01" w:rsidP="003E0816">
            <w:pPr>
              <w:pStyle w:val="Covernormaltext"/>
              <w:rPr>
                <w:rFonts w:asciiTheme="minorHAnsi" w:hAnsiTheme="minorHAnsi" w:cstheme="minorHAnsi"/>
              </w:rPr>
            </w:pPr>
            <w:r w:rsidRPr="00842B3F">
              <w:rPr>
                <w:rFonts w:asciiTheme="minorHAnsi" w:hAnsiTheme="minorHAnsi" w:cstheme="minorHAnsi"/>
              </w:rPr>
              <w:t>by</w:t>
            </w:r>
          </w:p>
        </w:tc>
      </w:tr>
      <w:tr w:rsidR="002D0A01" w:rsidRPr="00842B3F">
        <w:trPr>
          <w:trHeight w:val="557"/>
        </w:trPr>
        <w:tc>
          <w:tcPr>
            <w:tcW w:w="8721" w:type="dxa"/>
          </w:tcPr>
          <w:p w:rsidR="0030798C" w:rsidRPr="00842B3F" w:rsidRDefault="002D0A01" w:rsidP="0009358C">
            <w:pPr>
              <w:pStyle w:val="Covernormaltext"/>
              <w:rPr>
                <w:rFonts w:asciiTheme="minorHAnsi" w:hAnsiTheme="minorHAnsi" w:cstheme="minorHAnsi"/>
              </w:rPr>
            </w:pPr>
            <w:r w:rsidRPr="00842B3F">
              <w:rPr>
                <w:rFonts w:asciiTheme="minorHAnsi" w:hAnsiTheme="minorHAnsi" w:cstheme="minorHAnsi"/>
              </w:rPr>
              <w:t>Essential Economics Pty Ltd</w:t>
            </w:r>
          </w:p>
        </w:tc>
      </w:tr>
    </w:tbl>
    <w:p w:rsidR="00A609B9" w:rsidRPr="00842B3F" w:rsidRDefault="00A609B9" w:rsidP="0088128A">
      <w:pPr>
        <w:pStyle w:val="Coverdate"/>
        <w:rPr>
          <w:rFonts w:asciiTheme="minorHAnsi" w:hAnsiTheme="minorHAnsi" w:cstheme="minorHAnsi"/>
        </w:rPr>
        <w:sectPr w:rsidR="00A609B9" w:rsidRPr="00842B3F" w:rsidSect="00A609B9">
          <w:headerReference w:type="default" r:id="rId9"/>
          <w:footerReference w:type="default" r:id="rId10"/>
          <w:pgSz w:w="11907" w:h="16840" w:code="9"/>
          <w:pgMar w:top="3402" w:right="1701" w:bottom="2268" w:left="1701" w:header="567" w:footer="1134" w:gutter="0"/>
          <w:cols w:space="720"/>
          <w:vAlign w:val="center"/>
        </w:sectPr>
      </w:pPr>
    </w:p>
    <w:p w:rsidR="00A609B9" w:rsidRPr="00842B3F" w:rsidRDefault="00A609B9" w:rsidP="009942B0">
      <w:pPr>
        <w:pStyle w:val="Insidecoverheadings"/>
      </w:pPr>
      <w:r w:rsidRPr="00842B3F">
        <w:lastRenderedPageBreak/>
        <w:t xml:space="preserve">Authorship </w:t>
      </w:r>
    </w:p>
    <w:p w:rsidR="00A609B9" w:rsidRPr="00842B3F" w:rsidRDefault="00A609B9" w:rsidP="00CD6CC4">
      <w:pPr>
        <w:pStyle w:val="Table"/>
      </w:pPr>
    </w:p>
    <w:tbl>
      <w:tblPr>
        <w:tblW w:w="5000" w:type="pct"/>
        <w:tblBorders>
          <w:top w:val="single" w:sz="12" w:space="0" w:color="C40B06"/>
          <w:bottom w:val="single" w:sz="12" w:space="0" w:color="C40B06"/>
        </w:tblBorders>
        <w:tblLayout w:type="fixed"/>
        <w:tblCellMar>
          <w:top w:w="57" w:type="dxa"/>
          <w:left w:w="57" w:type="dxa"/>
          <w:bottom w:w="57" w:type="dxa"/>
          <w:right w:w="57" w:type="dxa"/>
        </w:tblCellMar>
        <w:tblLook w:val="01A0" w:firstRow="1" w:lastRow="0" w:firstColumn="1" w:lastColumn="1" w:noHBand="0" w:noVBand="0"/>
      </w:tblPr>
      <w:tblGrid>
        <w:gridCol w:w="1723"/>
        <w:gridCol w:w="1723"/>
        <w:gridCol w:w="1724"/>
        <w:gridCol w:w="1724"/>
        <w:gridCol w:w="1725"/>
      </w:tblGrid>
      <w:tr w:rsidR="00A609B9" w:rsidRPr="00842B3F" w:rsidTr="003E0816">
        <w:trPr>
          <w:cantSplit/>
        </w:trPr>
        <w:tc>
          <w:tcPr>
            <w:tcW w:w="1723" w:type="dxa"/>
            <w:tcBorders>
              <w:bottom w:val="single" w:sz="6" w:space="0" w:color="C40B06"/>
            </w:tcBorders>
            <w:shd w:val="clear" w:color="auto" w:fill="auto"/>
            <w:vAlign w:val="center"/>
          </w:tcPr>
          <w:p w:rsidR="00A609B9" w:rsidRPr="00842B3F" w:rsidRDefault="00A609B9" w:rsidP="00A609B9">
            <w:pPr>
              <w:pStyle w:val="Table"/>
              <w:rPr>
                <w:rFonts w:asciiTheme="minorHAnsi" w:hAnsiTheme="minorHAnsi" w:cstheme="minorHAnsi"/>
                <w:b/>
                <w:szCs w:val="16"/>
              </w:rPr>
            </w:pPr>
            <w:r w:rsidRPr="00842B3F">
              <w:rPr>
                <w:rFonts w:asciiTheme="minorHAnsi" w:hAnsiTheme="minorHAnsi" w:cstheme="minorHAnsi"/>
                <w:b/>
                <w:szCs w:val="16"/>
              </w:rPr>
              <w:t>Report</w:t>
            </w:r>
            <w:r w:rsidR="003F493F" w:rsidRPr="00842B3F">
              <w:rPr>
                <w:rFonts w:asciiTheme="minorHAnsi" w:hAnsiTheme="minorHAnsi" w:cstheme="minorHAnsi"/>
                <w:b/>
                <w:szCs w:val="16"/>
              </w:rPr>
              <w:t xml:space="preserve"> stage</w:t>
            </w:r>
          </w:p>
        </w:tc>
        <w:tc>
          <w:tcPr>
            <w:tcW w:w="1723" w:type="dxa"/>
            <w:tcBorders>
              <w:bottom w:val="single" w:sz="6" w:space="0" w:color="C40B06"/>
            </w:tcBorders>
            <w:shd w:val="clear" w:color="auto" w:fill="auto"/>
            <w:vAlign w:val="center"/>
          </w:tcPr>
          <w:p w:rsidR="00A609B9" w:rsidRPr="00842B3F" w:rsidRDefault="00A609B9" w:rsidP="00F20965">
            <w:pPr>
              <w:pStyle w:val="Table"/>
              <w:jc w:val="center"/>
              <w:rPr>
                <w:rFonts w:asciiTheme="minorHAnsi" w:hAnsiTheme="minorHAnsi" w:cstheme="minorHAnsi"/>
                <w:b/>
                <w:szCs w:val="16"/>
              </w:rPr>
            </w:pPr>
            <w:r w:rsidRPr="00842B3F">
              <w:rPr>
                <w:rFonts w:asciiTheme="minorHAnsi" w:hAnsiTheme="minorHAnsi" w:cstheme="minorHAnsi"/>
                <w:b/>
                <w:szCs w:val="16"/>
              </w:rPr>
              <w:t>Author</w:t>
            </w:r>
          </w:p>
        </w:tc>
        <w:tc>
          <w:tcPr>
            <w:tcW w:w="1724" w:type="dxa"/>
            <w:tcBorders>
              <w:bottom w:val="single" w:sz="6" w:space="0" w:color="C40B06"/>
            </w:tcBorders>
            <w:shd w:val="clear" w:color="auto" w:fill="auto"/>
            <w:vAlign w:val="center"/>
          </w:tcPr>
          <w:p w:rsidR="00A609B9" w:rsidRPr="00842B3F" w:rsidRDefault="00A609B9" w:rsidP="00F20965">
            <w:pPr>
              <w:pStyle w:val="Table"/>
              <w:jc w:val="center"/>
              <w:rPr>
                <w:rFonts w:asciiTheme="minorHAnsi" w:hAnsiTheme="minorHAnsi" w:cstheme="minorHAnsi"/>
                <w:b/>
                <w:szCs w:val="16"/>
              </w:rPr>
            </w:pPr>
            <w:r w:rsidRPr="00842B3F">
              <w:rPr>
                <w:rFonts w:asciiTheme="minorHAnsi" w:hAnsiTheme="minorHAnsi" w:cstheme="minorHAnsi"/>
                <w:b/>
                <w:szCs w:val="16"/>
              </w:rPr>
              <w:t>Date</w:t>
            </w:r>
          </w:p>
        </w:tc>
        <w:tc>
          <w:tcPr>
            <w:tcW w:w="1724" w:type="dxa"/>
            <w:tcBorders>
              <w:bottom w:val="single" w:sz="6" w:space="0" w:color="C40B06"/>
            </w:tcBorders>
            <w:shd w:val="clear" w:color="auto" w:fill="auto"/>
            <w:vAlign w:val="center"/>
          </w:tcPr>
          <w:p w:rsidR="00A609B9" w:rsidRPr="00842B3F" w:rsidRDefault="00A609B9" w:rsidP="00F20965">
            <w:pPr>
              <w:pStyle w:val="Table"/>
              <w:jc w:val="center"/>
              <w:rPr>
                <w:rFonts w:asciiTheme="minorHAnsi" w:hAnsiTheme="minorHAnsi" w:cstheme="minorHAnsi"/>
                <w:b/>
                <w:szCs w:val="16"/>
              </w:rPr>
            </w:pPr>
            <w:r w:rsidRPr="00842B3F">
              <w:rPr>
                <w:rFonts w:asciiTheme="minorHAnsi" w:hAnsiTheme="minorHAnsi" w:cstheme="minorHAnsi"/>
                <w:b/>
                <w:szCs w:val="16"/>
              </w:rPr>
              <w:t>Review</w:t>
            </w:r>
          </w:p>
        </w:tc>
        <w:tc>
          <w:tcPr>
            <w:tcW w:w="1725" w:type="dxa"/>
            <w:tcBorders>
              <w:bottom w:val="single" w:sz="6" w:space="0" w:color="C40B06"/>
            </w:tcBorders>
            <w:shd w:val="clear" w:color="auto" w:fill="auto"/>
            <w:vAlign w:val="center"/>
          </w:tcPr>
          <w:p w:rsidR="00A609B9" w:rsidRPr="00842B3F" w:rsidRDefault="00A609B9" w:rsidP="00F20965">
            <w:pPr>
              <w:pStyle w:val="Table"/>
              <w:jc w:val="center"/>
              <w:rPr>
                <w:rFonts w:asciiTheme="minorHAnsi" w:hAnsiTheme="minorHAnsi" w:cstheme="minorHAnsi"/>
                <w:b/>
                <w:szCs w:val="16"/>
              </w:rPr>
            </w:pPr>
            <w:r w:rsidRPr="00842B3F">
              <w:rPr>
                <w:rFonts w:asciiTheme="minorHAnsi" w:hAnsiTheme="minorHAnsi" w:cstheme="minorHAnsi"/>
                <w:b/>
                <w:szCs w:val="16"/>
              </w:rPr>
              <w:t>Date</w:t>
            </w:r>
          </w:p>
        </w:tc>
      </w:tr>
      <w:tr w:rsidR="00A609B9" w:rsidRPr="00842B3F" w:rsidTr="003E0816">
        <w:trPr>
          <w:cantSplit/>
        </w:trPr>
        <w:tc>
          <w:tcPr>
            <w:tcW w:w="1723" w:type="dxa"/>
            <w:shd w:val="clear" w:color="auto" w:fill="auto"/>
            <w:vAlign w:val="center"/>
          </w:tcPr>
          <w:p w:rsidR="00A609B9" w:rsidRPr="00842B3F" w:rsidRDefault="00A609B9" w:rsidP="00A609B9">
            <w:pPr>
              <w:pStyle w:val="Table"/>
              <w:rPr>
                <w:rFonts w:asciiTheme="minorHAnsi" w:hAnsiTheme="minorHAnsi" w:cstheme="minorHAnsi"/>
                <w:szCs w:val="16"/>
              </w:rPr>
            </w:pPr>
            <w:r w:rsidRPr="00842B3F">
              <w:rPr>
                <w:rFonts w:asciiTheme="minorHAnsi" w:hAnsiTheme="minorHAnsi" w:cstheme="minorHAnsi"/>
                <w:szCs w:val="16"/>
              </w:rPr>
              <w:t>Draft report</w:t>
            </w:r>
          </w:p>
        </w:tc>
        <w:tc>
          <w:tcPr>
            <w:tcW w:w="1723" w:type="dxa"/>
            <w:shd w:val="clear" w:color="auto" w:fill="auto"/>
            <w:vAlign w:val="center"/>
          </w:tcPr>
          <w:p w:rsidR="00A609B9" w:rsidRPr="00842B3F" w:rsidRDefault="00234654" w:rsidP="00F20965">
            <w:pPr>
              <w:pStyle w:val="Table"/>
              <w:jc w:val="center"/>
              <w:rPr>
                <w:rFonts w:asciiTheme="minorHAnsi" w:hAnsiTheme="minorHAnsi" w:cstheme="minorHAnsi"/>
                <w:szCs w:val="16"/>
              </w:rPr>
            </w:pPr>
            <w:r>
              <w:rPr>
                <w:rFonts w:asciiTheme="minorHAnsi" w:hAnsiTheme="minorHAnsi" w:cstheme="minorHAnsi"/>
                <w:szCs w:val="16"/>
              </w:rPr>
              <w:t>John Noronha</w:t>
            </w:r>
          </w:p>
        </w:tc>
        <w:tc>
          <w:tcPr>
            <w:tcW w:w="1724" w:type="dxa"/>
            <w:shd w:val="clear" w:color="auto" w:fill="auto"/>
            <w:vAlign w:val="center"/>
          </w:tcPr>
          <w:p w:rsidR="00A609B9" w:rsidRPr="00842B3F" w:rsidRDefault="00AF0C5A" w:rsidP="00AF0C5A">
            <w:pPr>
              <w:pStyle w:val="Table"/>
              <w:jc w:val="center"/>
              <w:rPr>
                <w:rFonts w:asciiTheme="minorHAnsi" w:hAnsiTheme="minorHAnsi" w:cstheme="minorHAnsi"/>
                <w:szCs w:val="16"/>
              </w:rPr>
            </w:pPr>
            <w:r>
              <w:rPr>
                <w:rFonts w:asciiTheme="minorHAnsi" w:hAnsiTheme="minorHAnsi" w:cstheme="minorHAnsi"/>
                <w:szCs w:val="16"/>
              </w:rPr>
              <w:t>5</w:t>
            </w:r>
            <w:r w:rsidR="00234654">
              <w:rPr>
                <w:rFonts w:asciiTheme="minorHAnsi" w:hAnsiTheme="minorHAnsi" w:cstheme="minorHAnsi"/>
                <w:szCs w:val="16"/>
              </w:rPr>
              <w:t xml:space="preserve"> </w:t>
            </w:r>
            <w:r>
              <w:rPr>
                <w:rFonts w:asciiTheme="minorHAnsi" w:hAnsiTheme="minorHAnsi" w:cstheme="minorHAnsi"/>
                <w:szCs w:val="16"/>
              </w:rPr>
              <w:t>June</w:t>
            </w:r>
            <w:r w:rsidR="00234654">
              <w:rPr>
                <w:rFonts w:asciiTheme="minorHAnsi" w:hAnsiTheme="minorHAnsi" w:cstheme="minorHAnsi"/>
                <w:szCs w:val="16"/>
              </w:rPr>
              <w:t xml:space="preserve"> 2013</w:t>
            </w:r>
          </w:p>
        </w:tc>
        <w:tc>
          <w:tcPr>
            <w:tcW w:w="1724" w:type="dxa"/>
            <w:shd w:val="clear" w:color="auto" w:fill="auto"/>
            <w:vAlign w:val="center"/>
          </w:tcPr>
          <w:p w:rsidR="00A609B9" w:rsidRPr="00842B3F" w:rsidRDefault="00234654" w:rsidP="00F20965">
            <w:pPr>
              <w:pStyle w:val="Table"/>
              <w:jc w:val="center"/>
              <w:rPr>
                <w:rFonts w:asciiTheme="minorHAnsi" w:hAnsiTheme="minorHAnsi" w:cstheme="minorHAnsi"/>
                <w:szCs w:val="16"/>
              </w:rPr>
            </w:pPr>
            <w:r>
              <w:rPr>
                <w:rFonts w:asciiTheme="minorHAnsi" w:hAnsiTheme="minorHAnsi" w:cstheme="minorHAnsi"/>
                <w:szCs w:val="16"/>
              </w:rPr>
              <w:t xml:space="preserve">John  </w:t>
            </w:r>
            <w:proofErr w:type="spellStart"/>
            <w:r>
              <w:rPr>
                <w:rFonts w:asciiTheme="minorHAnsi" w:hAnsiTheme="minorHAnsi" w:cstheme="minorHAnsi"/>
                <w:szCs w:val="16"/>
              </w:rPr>
              <w:t>Henshall</w:t>
            </w:r>
            <w:proofErr w:type="spellEnd"/>
          </w:p>
        </w:tc>
        <w:tc>
          <w:tcPr>
            <w:tcW w:w="1725" w:type="dxa"/>
            <w:shd w:val="clear" w:color="auto" w:fill="auto"/>
            <w:vAlign w:val="center"/>
          </w:tcPr>
          <w:p w:rsidR="00A609B9" w:rsidRPr="00842B3F" w:rsidRDefault="00AF0C5A" w:rsidP="00F20965">
            <w:pPr>
              <w:pStyle w:val="Table"/>
              <w:jc w:val="center"/>
              <w:rPr>
                <w:rFonts w:asciiTheme="minorHAnsi" w:hAnsiTheme="minorHAnsi" w:cstheme="minorHAnsi"/>
                <w:szCs w:val="16"/>
              </w:rPr>
            </w:pPr>
            <w:r>
              <w:rPr>
                <w:rFonts w:asciiTheme="minorHAnsi" w:hAnsiTheme="minorHAnsi" w:cstheme="minorHAnsi"/>
                <w:szCs w:val="16"/>
              </w:rPr>
              <w:t>6 June 2013</w:t>
            </w:r>
          </w:p>
        </w:tc>
      </w:tr>
      <w:tr w:rsidR="00A609B9" w:rsidRPr="00842B3F" w:rsidTr="003E0816">
        <w:trPr>
          <w:cantSplit/>
        </w:trPr>
        <w:tc>
          <w:tcPr>
            <w:tcW w:w="1723" w:type="dxa"/>
            <w:shd w:val="clear" w:color="auto" w:fill="auto"/>
            <w:vAlign w:val="center"/>
          </w:tcPr>
          <w:p w:rsidR="00A609B9" w:rsidRPr="00842B3F" w:rsidRDefault="00A609B9" w:rsidP="00A609B9">
            <w:pPr>
              <w:pStyle w:val="Table"/>
              <w:rPr>
                <w:rFonts w:asciiTheme="minorHAnsi" w:hAnsiTheme="minorHAnsi" w:cstheme="minorHAnsi"/>
                <w:szCs w:val="16"/>
              </w:rPr>
            </w:pPr>
            <w:r w:rsidRPr="00842B3F">
              <w:rPr>
                <w:rFonts w:asciiTheme="minorHAnsi" w:hAnsiTheme="minorHAnsi" w:cstheme="minorHAnsi"/>
                <w:szCs w:val="16"/>
              </w:rPr>
              <w:t>Final report</w:t>
            </w:r>
          </w:p>
        </w:tc>
        <w:tc>
          <w:tcPr>
            <w:tcW w:w="1723" w:type="dxa"/>
            <w:shd w:val="clear" w:color="auto" w:fill="auto"/>
            <w:vAlign w:val="center"/>
          </w:tcPr>
          <w:p w:rsidR="00A609B9" w:rsidRPr="00842B3F" w:rsidRDefault="00841DB5" w:rsidP="00F20965">
            <w:pPr>
              <w:pStyle w:val="Table"/>
              <w:jc w:val="center"/>
              <w:rPr>
                <w:rFonts w:asciiTheme="minorHAnsi" w:hAnsiTheme="minorHAnsi" w:cstheme="minorHAnsi"/>
                <w:szCs w:val="16"/>
              </w:rPr>
            </w:pPr>
            <w:r>
              <w:rPr>
                <w:rFonts w:asciiTheme="minorHAnsi" w:hAnsiTheme="minorHAnsi" w:cstheme="minorHAnsi"/>
                <w:szCs w:val="16"/>
              </w:rPr>
              <w:t>John  Noronha</w:t>
            </w:r>
          </w:p>
        </w:tc>
        <w:tc>
          <w:tcPr>
            <w:tcW w:w="1724" w:type="dxa"/>
            <w:shd w:val="clear" w:color="auto" w:fill="auto"/>
            <w:vAlign w:val="center"/>
          </w:tcPr>
          <w:p w:rsidR="00A609B9" w:rsidRPr="00842B3F" w:rsidRDefault="00841DB5" w:rsidP="00F20965">
            <w:pPr>
              <w:pStyle w:val="Table"/>
              <w:jc w:val="center"/>
              <w:rPr>
                <w:rFonts w:asciiTheme="minorHAnsi" w:hAnsiTheme="minorHAnsi" w:cstheme="minorHAnsi"/>
                <w:szCs w:val="16"/>
              </w:rPr>
            </w:pPr>
            <w:r>
              <w:rPr>
                <w:rFonts w:asciiTheme="minorHAnsi" w:hAnsiTheme="minorHAnsi" w:cstheme="minorHAnsi"/>
                <w:szCs w:val="16"/>
              </w:rPr>
              <w:t>12 June 2013</w:t>
            </w:r>
          </w:p>
        </w:tc>
        <w:tc>
          <w:tcPr>
            <w:tcW w:w="1724" w:type="dxa"/>
            <w:shd w:val="clear" w:color="auto" w:fill="auto"/>
            <w:vAlign w:val="center"/>
          </w:tcPr>
          <w:p w:rsidR="00A609B9" w:rsidRPr="00842B3F" w:rsidRDefault="00A609B9" w:rsidP="00F20965">
            <w:pPr>
              <w:pStyle w:val="Table"/>
              <w:jc w:val="center"/>
              <w:rPr>
                <w:rFonts w:asciiTheme="minorHAnsi" w:hAnsiTheme="minorHAnsi" w:cstheme="minorHAnsi"/>
                <w:szCs w:val="16"/>
              </w:rPr>
            </w:pPr>
          </w:p>
        </w:tc>
        <w:tc>
          <w:tcPr>
            <w:tcW w:w="1725" w:type="dxa"/>
            <w:shd w:val="clear" w:color="auto" w:fill="auto"/>
            <w:vAlign w:val="center"/>
          </w:tcPr>
          <w:p w:rsidR="00A609B9" w:rsidRPr="00842B3F" w:rsidRDefault="00A609B9" w:rsidP="00F20965">
            <w:pPr>
              <w:pStyle w:val="Table"/>
              <w:jc w:val="center"/>
              <w:rPr>
                <w:rFonts w:asciiTheme="minorHAnsi" w:hAnsiTheme="minorHAnsi" w:cstheme="minorHAnsi"/>
                <w:szCs w:val="16"/>
              </w:rPr>
            </w:pPr>
          </w:p>
        </w:tc>
      </w:tr>
    </w:tbl>
    <w:p w:rsidR="00A609B9" w:rsidRPr="00842B3F" w:rsidRDefault="00A609B9" w:rsidP="009942B0">
      <w:pPr>
        <w:pStyle w:val="Insidecoverheadings"/>
      </w:pPr>
      <w:r w:rsidRPr="00842B3F">
        <w:t xml:space="preserve">Disclaimer </w:t>
      </w:r>
    </w:p>
    <w:p w:rsidR="00A609B9" w:rsidRPr="00842B3F" w:rsidRDefault="00A609B9" w:rsidP="00A609B9">
      <w:pPr>
        <w:rPr>
          <w:rFonts w:asciiTheme="minorHAnsi" w:hAnsiTheme="minorHAnsi" w:cstheme="minorHAnsi"/>
        </w:rPr>
      </w:pPr>
      <w:r w:rsidRPr="00842B3F">
        <w:rPr>
          <w:rFonts w:asciiTheme="minorHAnsi" w:hAnsiTheme="minorHAnsi" w:cstheme="minorHAnsi"/>
        </w:rPr>
        <w:t>Although every effort has been made to ensure the accuracy of the material and the integrity of the analysis presented herein</w:t>
      </w:r>
      <w:r w:rsidR="003F493F" w:rsidRPr="00842B3F">
        <w:rPr>
          <w:rFonts w:asciiTheme="minorHAnsi" w:hAnsiTheme="minorHAnsi" w:cstheme="minorHAnsi"/>
        </w:rPr>
        <w:t>,</w:t>
      </w:r>
      <w:r w:rsidRPr="00842B3F">
        <w:rPr>
          <w:rFonts w:asciiTheme="minorHAnsi" w:hAnsiTheme="minorHAnsi" w:cstheme="minorHAnsi"/>
        </w:rPr>
        <w:t xml:space="preserve"> Essential Economics Pty Ltd accepts no liability for any actions taken on the basis of </w:t>
      </w:r>
      <w:r w:rsidR="008A2330" w:rsidRPr="00842B3F">
        <w:rPr>
          <w:rFonts w:asciiTheme="minorHAnsi" w:hAnsiTheme="minorHAnsi" w:cstheme="minorHAnsi"/>
        </w:rPr>
        <w:t>the</w:t>
      </w:r>
      <w:r w:rsidRPr="00842B3F">
        <w:rPr>
          <w:rFonts w:asciiTheme="minorHAnsi" w:hAnsiTheme="minorHAnsi" w:cstheme="minorHAnsi"/>
        </w:rPr>
        <w:t xml:space="preserve"> contents</w:t>
      </w:r>
      <w:r w:rsidR="008A2330" w:rsidRPr="00842B3F">
        <w:rPr>
          <w:rFonts w:asciiTheme="minorHAnsi" w:hAnsiTheme="minorHAnsi" w:cstheme="minorHAnsi"/>
        </w:rPr>
        <w:t xml:space="preserve"> of this report</w:t>
      </w:r>
      <w:r w:rsidRPr="00842B3F">
        <w:rPr>
          <w:rFonts w:asciiTheme="minorHAnsi" w:hAnsiTheme="minorHAnsi" w:cstheme="minorHAnsi"/>
        </w:rPr>
        <w:t>.</w:t>
      </w:r>
    </w:p>
    <w:p w:rsidR="00A609B9" w:rsidRPr="00842B3F" w:rsidRDefault="00A609B9" w:rsidP="00A609B9">
      <w:pPr>
        <w:rPr>
          <w:rFonts w:asciiTheme="minorHAnsi" w:hAnsiTheme="minorHAnsi" w:cstheme="minorHAnsi"/>
        </w:rPr>
      </w:pPr>
    </w:p>
    <w:p w:rsidR="00A609B9" w:rsidRPr="00842B3F" w:rsidRDefault="00A609B9" w:rsidP="009942B0">
      <w:pPr>
        <w:pStyle w:val="Insidecoverheadings"/>
      </w:pPr>
      <w:r w:rsidRPr="00842B3F">
        <w:t>Contact details</w:t>
      </w:r>
    </w:p>
    <w:p w:rsidR="00A609B9" w:rsidRPr="00842B3F" w:rsidRDefault="00A609B9" w:rsidP="00A609B9">
      <w:pPr>
        <w:rPr>
          <w:rFonts w:asciiTheme="minorHAnsi" w:hAnsiTheme="minorHAnsi" w:cstheme="minorHAnsi"/>
        </w:rPr>
      </w:pPr>
      <w:r w:rsidRPr="00842B3F">
        <w:rPr>
          <w:rFonts w:asciiTheme="minorHAnsi" w:hAnsiTheme="minorHAnsi" w:cstheme="minorHAnsi"/>
        </w:rPr>
        <w:t>For further details please contact:</w:t>
      </w:r>
    </w:p>
    <w:p w:rsidR="00A609B9" w:rsidRPr="00842B3F" w:rsidRDefault="00A609B9" w:rsidP="00A609B9">
      <w:pPr>
        <w:rPr>
          <w:rFonts w:asciiTheme="minorHAnsi" w:hAnsiTheme="minorHAnsi" w:cstheme="minorHAnsi"/>
        </w:rPr>
      </w:pPr>
      <w:r w:rsidRPr="00842B3F">
        <w:rPr>
          <w:rFonts w:asciiTheme="minorHAnsi" w:hAnsiTheme="minorHAnsi" w:cstheme="minorHAnsi"/>
        </w:rPr>
        <w:t xml:space="preserve">Essential Economics Pty Ltd </w:t>
      </w:r>
      <w:r w:rsidRPr="00842B3F">
        <w:rPr>
          <w:rFonts w:asciiTheme="minorHAnsi" w:hAnsiTheme="minorHAnsi" w:cstheme="minorHAnsi"/>
        </w:rPr>
        <w:br/>
        <w:t xml:space="preserve">96 Pelham Street </w:t>
      </w:r>
      <w:r w:rsidRPr="00842B3F">
        <w:rPr>
          <w:rFonts w:asciiTheme="minorHAnsi" w:hAnsiTheme="minorHAnsi" w:cstheme="minorHAnsi"/>
        </w:rPr>
        <w:br/>
        <w:t xml:space="preserve">Carlton </w:t>
      </w:r>
      <w:r w:rsidRPr="00842B3F">
        <w:rPr>
          <w:rFonts w:asciiTheme="minorHAnsi" w:hAnsiTheme="minorHAnsi" w:cstheme="minorHAnsi"/>
        </w:rPr>
        <w:br/>
        <w:t xml:space="preserve">Victoria 3053 </w:t>
      </w:r>
      <w:r w:rsidRPr="00842B3F">
        <w:rPr>
          <w:rFonts w:asciiTheme="minorHAnsi" w:hAnsiTheme="minorHAnsi" w:cstheme="minorHAnsi"/>
        </w:rPr>
        <w:br/>
        <w:t>Australia</w:t>
      </w:r>
      <w:r w:rsidRPr="00842B3F">
        <w:rPr>
          <w:rFonts w:asciiTheme="minorHAnsi" w:hAnsiTheme="minorHAnsi" w:cstheme="minorHAnsi"/>
        </w:rPr>
        <w:br/>
        <w:t xml:space="preserve">PH 61 3 9347 5255 </w:t>
      </w:r>
      <w:r w:rsidRPr="00842B3F">
        <w:rPr>
          <w:rFonts w:asciiTheme="minorHAnsi" w:hAnsiTheme="minorHAnsi" w:cstheme="minorHAnsi"/>
        </w:rPr>
        <w:br/>
        <w:t xml:space="preserve">FAX 61 3 9347 5355 </w:t>
      </w:r>
      <w:r w:rsidRPr="00842B3F">
        <w:rPr>
          <w:rFonts w:asciiTheme="minorHAnsi" w:hAnsiTheme="minorHAnsi" w:cstheme="minorHAnsi"/>
        </w:rPr>
        <w:br/>
        <w:t>EMAIL mail@essentialeconomics.com</w:t>
      </w:r>
      <w:r w:rsidRPr="00842B3F">
        <w:rPr>
          <w:rFonts w:asciiTheme="minorHAnsi" w:hAnsiTheme="minorHAnsi" w:cstheme="minorHAnsi"/>
        </w:rPr>
        <w:br/>
        <w:t>WEB  www.essentialeconomics.com</w:t>
      </w:r>
    </w:p>
    <w:p w:rsidR="00A609B9" w:rsidRPr="00842B3F" w:rsidRDefault="0059296A" w:rsidP="00A609B9">
      <w:pPr>
        <w:rPr>
          <w:rFonts w:asciiTheme="minorHAnsi" w:hAnsiTheme="minorHAnsi" w:cstheme="minorHAnsi"/>
        </w:rPr>
      </w:pPr>
      <w:r>
        <w:rPr>
          <w:rFonts w:asciiTheme="minorHAnsi" w:hAnsiTheme="minorHAnsi" w:cstheme="minorHAnsi"/>
        </w:rPr>
        <w:t>ABN 92 079 850 427</w:t>
      </w:r>
    </w:p>
    <w:p w:rsidR="0009358C" w:rsidRPr="00842B3F" w:rsidRDefault="0009358C" w:rsidP="00A609B9">
      <w:pPr>
        <w:rPr>
          <w:rFonts w:asciiTheme="minorHAnsi" w:hAnsiTheme="minorHAnsi" w:cstheme="minorHAnsi"/>
        </w:rPr>
      </w:pPr>
    </w:p>
    <w:p w:rsidR="0088128A" w:rsidRPr="00CD6CC4" w:rsidRDefault="00CD6CC4" w:rsidP="0009358C">
      <w:pPr>
        <w:pStyle w:val="Coverdate"/>
        <w:jc w:val="left"/>
        <w:rPr>
          <w:rFonts w:asciiTheme="minorHAnsi" w:hAnsiTheme="minorHAnsi" w:cstheme="minorHAnsi"/>
          <w:color w:val="808080"/>
          <w:spacing w:val="0"/>
          <w:sz w:val="22"/>
          <w:szCs w:val="22"/>
        </w:rPr>
        <w:sectPr w:rsidR="0088128A" w:rsidRPr="00CD6CC4" w:rsidSect="00A609B9">
          <w:headerReference w:type="default" r:id="rId11"/>
          <w:footerReference w:type="default" r:id="rId12"/>
          <w:pgSz w:w="11907" w:h="16840" w:code="9"/>
          <w:pgMar w:top="2268" w:right="1701" w:bottom="1701" w:left="1701" w:header="567" w:footer="567" w:gutter="0"/>
          <w:cols w:space="720"/>
        </w:sectPr>
      </w:pPr>
      <w:r>
        <w:rPr>
          <w:rFonts w:asciiTheme="minorHAnsi" w:hAnsiTheme="minorHAnsi" w:cstheme="minorHAnsi"/>
          <w:color w:val="808080"/>
          <w:spacing w:val="0"/>
          <w:sz w:val="22"/>
          <w:szCs w:val="22"/>
        </w:rPr>
        <w:t>Our Reference</w:t>
      </w:r>
      <w:r w:rsidR="0009358C" w:rsidRPr="00CD6CC4">
        <w:rPr>
          <w:rFonts w:asciiTheme="minorHAnsi" w:hAnsiTheme="minorHAnsi" w:cstheme="minorHAnsi"/>
          <w:color w:val="808080"/>
          <w:spacing w:val="0"/>
          <w:sz w:val="22"/>
          <w:szCs w:val="22"/>
        </w:rPr>
        <w:t xml:space="preserve">: </w:t>
      </w:r>
      <w:r w:rsidR="00234654">
        <w:rPr>
          <w:rFonts w:asciiTheme="minorHAnsi" w:hAnsiTheme="minorHAnsi" w:cstheme="minorHAnsi"/>
          <w:color w:val="808080"/>
          <w:spacing w:val="0"/>
          <w:sz w:val="22"/>
          <w:szCs w:val="22"/>
        </w:rPr>
        <w:t>13092</w:t>
      </w:r>
    </w:p>
    <w:p w:rsidR="002D0A01" w:rsidRPr="00842B3F" w:rsidRDefault="002D0A01" w:rsidP="00A23053">
      <w:pPr>
        <w:pStyle w:val="Contents"/>
        <w:spacing w:before="0"/>
        <w:rPr>
          <w:rFonts w:asciiTheme="majorHAnsi" w:hAnsiTheme="majorHAnsi" w:cstheme="majorHAnsi"/>
        </w:rPr>
      </w:pPr>
      <w:r w:rsidRPr="00842B3F">
        <w:rPr>
          <w:rFonts w:asciiTheme="majorHAnsi" w:hAnsiTheme="majorHAnsi" w:cstheme="majorHAnsi"/>
        </w:rPr>
        <w:lastRenderedPageBreak/>
        <w:t>Contents</w:t>
      </w:r>
    </w:p>
    <w:p w:rsidR="0088128A" w:rsidRPr="00842B3F" w:rsidRDefault="0088128A" w:rsidP="00467E91">
      <w:pPr>
        <w:spacing w:before="0"/>
        <w:rPr>
          <w:rFonts w:asciiTheme="minorHAnsi" w:hAnsiTheme="minorHAnsi" w:cstheme="minorHAnsi"/>
        </w:rPr>
      </w:pPr>
    </w:p>
    <w:p w:rsidR="00841DB5" w:rsidRDefault="009A5B0F">
      <w:pPr>
        <w:pStyle w:val="TOC1"/>
        <w:rPr>
          <w:rFonts w:asciiTheme="minorHAnsi" w:eastAsiaTheme="minorEastAsia" w:hAnsiTheme="minorHAnsi" w:cstheme="minorBidi"/>
          <w:b w:val="0"/>
          <w:lang w:eastAsia="en-AU"/>
        </w:rPr>
      </w:pPr>
      <w:r w:rsidRPr="00842B3F">
        <w:rPr>
          <w:rFonts w:cstheme="majorHAnsi"/>
        </w:rPr>
        <w:fldChar w:fldCharType="begin"/>
      </w:r>
      <w:r w:rsidR="0088128A" w:rsidRPr="00CD6CC4">
        <w:instrText xml:space="preserve"> TOC \o "1-1" \t "Heading 2,2" </w:instrText>
      </w:r>
      <w:r w:rsidRPr="00842B3F">
        <w:rPr>
          <w:rFonts w:cstheme="majorHAnsi"/>
        </w:rPr>
        <w:fldChar w:fldCharType="separate"/>
      </w:r>
      <w:r w:rsidR="00841DB5">
        <w:t>Introduction</w:t>
      </w:r>
      <w:r w:rsidR="00841DB5">
        <w:tab/>
      </w:r>
      <w:r w:rsidR="00841DB5">
        <w:fldChar w:fldCharType="begin"/>
      </w:r>
      <w:r w:rsidR="00841DB5">
        <w:instrText xml:space="preserve"> PAGEREF _Toc358806188 \h </w:instrText>
      </w:r>
      <w:r w:rsidR="00841DB5">
        <w:fldChar w:fldCharType="separate"/>
      </w:r>
      <w:r w:rsidR="00841DB5">
        <w:t>1</w:t>
      </w:r>
      <w:r w:rsidR="00841DB5">
        <w:fldChar w:fldCharType="end"/>
      </w:r>
    </w:p>
    <w:p w:rsidR="00841DB5" w:rsidRDefault="00841DB5">
      <w:pPr>
        <w:pStyle w:val="TOC1"/>
        <w:rPr>
          <w:rFonts w:asciiTheme="minorHAnsi" w:eastAsiaTheme="minorEastAsia" w:hAnsiTheme="minorHAnsi" w:cstheme="minorBidi"/>
          <w:b w:val="0"/>
          <w:lang w:eastAsia="en-AU"/>
        </w:rPr>
      </w:pPr>
      <w:r>
        <w:t>1</w:t>
      </w:r>
      <w:r>
        <w:rPr>
          <w:rFonts w:asciiTheme="minorHAnsi" w:eastAsiaTheme="minorEastAsia" w:hAnsiTheme="minorHAnsi" w:cstheme="minorBidi"/>
          <w:b w:val="0"/>
          <w:lang w:eastAsia="en-AU"/>
        </w:rPr>
        <w:tab/>
      </w:r>
      <w:r>
        <w:t>Background</w:t>
      </w:r>
      <w:r>
        <w:tab/>
      </w:r>
      <w:r>
        <w:fldChar w:fldCharType="begin"/>
      </w:r>
      <w:r>
        <w:instrText xml:space="preserve"> PAGEREF _Toc358806189 \h </w:instrText>
      </w:r>
      <w:r>
        <w:fldChar w:fldCharType="separate"/>
      </w:r>
      <w:r>
        <w:t>3</w:t>
      </w:r>
      <w:r>
        <w:fldChar w:fldCharType="end"/>
      </w:r>
    </w:p>
    <w:p w:rsidR="00841DB5" w:rsidRDefault="00841DB5">
      <w:pPr>
        <w:pStyle w:val="TOC2"/>
        <w:rPr>
          <w:rFonts w:asciiTheme="minorHAnsi" w:eastAsiaTheme="minorEastAsia" w:hAnsiTheme="minorHAnsi" w:cstheme="minorBidi"/>
          <w:noProof/>
          <w:sz w:val="22"/>
          <w:lang w:eastAsia="en-AU"/>
        </w:rPr>
      </w:pPr>
      <w:r>
        <w:rPr>
          <w:noProof/>
        </w:rPr>
        <w:t>1.1</w:t>
      </w:r>
      <w:r>
        <w:rPr>
          <w:rFonts w:asciiTheme="minorHAnsi" w:eastAsiaTheme="minorEastAsia" w:hAnsiTheme="minorHAnsi" w:cstheme="minorBidi"/>
          <w:noProof/>
          <w:sz w:val="22"/>
          <w:lang w:eastAsia="en-AU"/>
        </w:rPr>
        <w:tab/>
      </w:r>
      <w:r>
        <w:rPr>
          <w:noProof/>
        </w:rPr>
        <w:t>SPCA History in Shepparton</w:t>
      </w:r>
      <w:r>
        <w:rPr>
          <w:noProof/>
        </w:rPr>
        <w:tab/>
      </w:r>
      <w:r>
        <w:rPr>
          <w:noProof/>
        </w:rPr>
        <w:fldChar w:fldCharType="begin"/>
      </w:r>
      <w:r>
        <w:rPr>
          <w:noProof/>
        </w:rPr>
        <w:instrText xml:space="preserve"> PAGEREF _Toc358806190 \h </w:instrText>
      </w:r>
      <w:r>
        <w:rPr>
          <w:noProof/>
        </w:rPr>
      </w:r>
      <w:r>
        <w:rPr>
          <w:noProof/>
        </w:rPr>
        <w:fldChar w:fldCharType="separate"/>
      </w:r>
      <w:r>
        <w:rPr>
          <w:noProof/>
        </w:rPr>
        <w:t>3</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1.2</w:t>
      </w:r>
      <w:r>
        <w:rPr>
          <w:rFonts w:asciiTheme="minorHAnsi" w:eastAsiaTheme="minorEastAsia" w:hAnsiTheme="minorHAnsi" w:cstheme="minorBidi"/>
          <w:noProof/>
          <w:sz w:val="22"/>
          <w:lang w:eastAsia="en-AU"/>
        </w:rPr>
        <w:tab/>
      </w:r>
      <w:r>
        <w:rPr>
          <w:noProof/>
        </w:rPr>
        <w:t>Brands</w:t>
      </w:r>
      <w:r>
        <w:rPr>
          <w:noProof/>
        </w:rPr>
        <w:tab/>
      </w:r>
      <w:r>
        <w:rPr>
          <w:noProof/>
        </w:rPr>
        <w:fldChar w:fldCharType="begin"/>
      </w:r>
      <w:r>
        <w:rPr>
          <w:noProof/>
        </w:rPr>
        <w:instrText xml:space="preserve"> PAGEREF _Toc358806191 \h </w:instrText>
      </w:r>
      <w:r>
        <w:rPr>
          <w:noProof/>
        </w:rPr>
      </w:r>
      <w:r>
        <w:rPr>
          <w:noProof/>
        </w:rPr>
        <w:fldChar w:fldCharType="separate"/>
      </w:r>
      <w:r>
        <w:rPr>
          <w:noProof/>
        </w:rPr>
        <w:t>3</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1.3</w:t>
      </w:r>
      <w:r>
        <w:rPr>
          <w:rFonts w:asciiTheme="minorHAnsi" w:eastAsiaTheme="minorEastAsia" w:hAnsiTheme="minorHAnsi" w:cstheme="minorBidi"/>
          <w:noProof/>
          <w:sz w:val="22"/>
          <w:lang w:eastAsia="en-AU"/>
        </w:rPr>
        <w:tab/>
      </w:r>
      <w:r>
        <w:rPr>
          <w:noProof/>
        </w:rPr>
        <w:t>Regional Linkages</w:t>
      </w:r>
      <w:r>
        <w:rPr>
          <w:noProof/>
        </w:rPr>
        <w:tab/>
      </w:r>
      <w:r>
        <w:rPr>
          <w:noProof/>
        </w:rPr>
        <w:fldChar w:fldCharType="begin"/>
      </w:r>
      <w:r>
        <w:rPr>
          <w:noProof/>
        </w:rPr>
        <w:instrText xml:space="preserve"> PAGEREF _Toc358806192 \h </w:instrText>
      </w:r>
      <w:r>
        <w:rPr>
          <w:noProof/>
        </w:rPr>
      </w:r>
      <w:r>
        <w:rPr>
          <w:noProof/>
        </w:rPr>
        <w:fldChar w:fldCharType="separate"/>
      </w:r>
      <w:r>
        <w:rPr>
          <w:noProof/>
        </w:rPr>
        <w:t>4</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1.4</w:t>
      </w:r>
      <w:r>
        <w:rPr>
          <w:rFonts w:asciiTheme="minorHAnsi" w:eastAsiaTheme="minorEastAsia" w:hAnsiTheme="minorHAnsi" w:cstheme="minorBidi"/>
          <w:noProof/>
          <w:sz w:val="22"/>
          <w:lang w:eastAsia="en-AU"/>
        </w:rPr>
        <w:tab/>
      </w:r>
      <w:r>
        <w:rPr>
          <w:noProof/>
        </w:rPr>
        <w:t>Growers</w:t>
      </w:r>
      <w:r>
        <w:rPr>
          <w:noProof/>
        </w:rPr>
        <w:tab/>
      </w:r>
      <w:r>
        <w:rPr>
          <w:noProof/>
        </w:rPr>
        <w:fldChar w:fldCharType="begin"/>
      </w:r>
      <w:r>
        <w:rPr>
          <w:noProof/>
        </w:rPr>
        <w:instrText xml:space="preserve"> PAGEREF _Toc358806193 \h </w:instrText>
      </w:r>
      <w:r>
        <w:rPr>
          <w:noProof/>
        </w:rPr>
      </w:r>
      <w:r>
        <w:rPr>
          <w:noProof/>
        </w:rPr>
        <w:fldChar w:fldCharType="separate"/>
      </w:r>
      <w:r>
        <w:rPr>
          <w:noProof/>
        </w:rPr>
        <w:t>4</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1.5</w:t>
      </w:r>
      <w:r>
        <w:rPr>
          <w:rFonts w:asciiTheme="minorHAnsi" w:eastAsiaTheme="minorEastAsia" w:hAnsiTheme="minorHAnsi" w:cstheme="minorBidi"/>
          <w:noProof/>
          <w:sz w:val="22"/>
          <w:lang w:eastAsia="en-AU"/>
        </w:rPr>
        <w:tab/>
      </w:r>
      <w:r>
        <w:rPr>
          <w:noProof/>
        </w:rPr>
        <w:t>Summary</w:t>
      </w:r>
      <w:r>
        <w:rPr>
          <w:noProof/>
        </w:rPr>
        <w:tab/>
      </w:r>
      <w:r>
        <w:rPr>
          <w:noProof/>
        </w:rPr>
        <w:fldChar w:fldCharType="begin"/>
      </w:r>
      <w:r>
        <w:rPr>
          <w:noProof/>
        </w:rPr>
        <w:instrText xml:space="preserve"> PAGEREF _Toc358806194 \h </w:instrText>
      </w:r>
      <w:r>
        <w:rPr>
          <w:noProof/>
        </w:rPr>
      </w:r>
      <w:r>
        <w:rPr>
          <w:noProof/>
        </w:rPr>
        <w:fldChar w:fldCharType="separate"/>
      </w:r>
      <w:r>
        <w:rPr>
          <w:noProof/>
        </w:rPr>
        <w:t>4</w:t>
      </w:r>
      <w:r>
        <w:rPr>
          <w:noProof/>
        </w:rPr>
        <w:fldChar w:fldCharType="end"/>
      </w:r>
    </w:p>
    <w:p w:rsidR="00841DB5" w:rsidRDefault="00841DB5">
      <w:pPr>
        <w:pStyle w:val="TOC1"/>
        <w:rPr>
          <w:rFonts w:asciiTheme="minorHAnsi" w:eastAsiaTheme="minorEastAsia" w:hAnsiTheme="minorHAnsi" w:cstheme="minorBidi"/>
          <w:b w:val="0"/>
          <w:lang w:eastAsia="en-AU"/>
        </w:rPr>
      </w:pPr>
      <w:r>
        <w:t>2</w:t>
      </w:r>
      <w:r>
        <w:rPr>
          <w:rFonts w:asciiTheme="minorHAnsi" w:eastAsiaTheme="minorEastAsia" w:hAnsiTheme="minorHAnsi" w:cstheme="minorBidi"/>
          <w:b w:val="0"/>
          <w:lang w:eastAsia="en-AU"/>
        </w:rPr>
        <w:tab/>
      </w:r>
      <w:r>
        <w:t>Existing SPCA Operations and Commercial Challenges</w:t>
      </w:r>
      <w:r>
        <w:tab/>
      </w:r>
      <w:r>
        <w:fldChar w:fldCharType="begin"/>
      </w:r>
      <w:r>
        <w:instrText xml:space="preserve"> PAGEREF _Toc358806195 \h </w:instrText>
      </w:r>
      <w:r>
        <w:fldChar w:fldCharType="separate"/>
      </w:r>
      <w:r>
        <w:t>5</w:t>
      </w:r>
      <w:r>
        <w:fldChar w:fldCharType="end"/>
      </w:r>
    </w:p>
    <w:p w:rsidR="00841DB5" w:rsidRDefault="00841DB5">
      <w:pPr>
        <w:pStyle w:val="TOC2"/>
        <w:rPr>
          <w:rFonts w:asciiTheme="minorHAnsi" w:eastAsiaTheme="minorEastAsia" w:hAnsiTheme="minorHAnsi" w:cstheme="minorBidi"/>
          <w:noProof/>
          <w:sz w:val="22"/>
          <w:lang w:eastAsia="en-AU"/>
        </w:rPr>
      </w:pPr>
      <w:r>
        <w:rPr>
          <w:noProof/>
        </w:rPr>
        <w:t>2.1</w:t>
      </w:r>
      <w:r>
        <w:rPr>
          <w:rFonts w:asciiTheme="minorHAnsi" w:eastAsiaTheme="minorEastAsia" w:hAnsiTheme="minorHAnsi" w:cstheme="minorBidi"/>
          <w:noProof/>
          <w:sz w:val="22"/>
          <w:lang w:eastAsia="en-AU"/>
        </w:rPr>
        <w:tab/>
      </w:r>
      <w:r>
        <w:rPr>
          <w:noProof/>
        </w:rPr>
        <w:t>Existing Operations</w:t>
      </w:r>
      <w:r>
        <w:rPr>
          <w:noProof/>
        </w:rPr>
        <w:tab/>
      </w:r>
      <w:r>
        <w:rPr>
          <w:noProof/>
        </w:rPr>
        <w:fldChar w:fldCharType="begin"/>
      </w:r>
      <w:r>
        <w:rPr>
          <w:noProof/>
        </w:rPr>
        <w:instrText xml:space="preserve"> PAGEREF _Toc358806196 \h </w:instrText>
      </w:r>
      <w:r>
        <w:rPr>
          <w:noProof/>
        </w:rPr>
      </w:r>
      <w:r>
        <w:rPr>
          <w:noProof/>
        </w:rPr>
        <w:fldChar w:fldCharType="separate"/>
      </w:r>
      <w:r>
        <w:rPr>
          <w:noProof/>
        </w:rPr>
        <w:t>5</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2.2</w:t>
      </w:r>
      <w:r>
        <w:rPr>
          <w:rFonts w:asciiTheme="minorHAnsi" w:eastAsiaTheme="minorEastAsia" w:hAnsiTheme="minorHAnsi" w:cstheme="minorBidi"/>
          <w:noProof/>
          <w:sz w:val="22"/>
          <w:lang w:eastAsia="en-AU"/>
        </w:rPr>
        <w:tab/>
      </w:r>
      <w:r>
        <w:rPr>
          <w:noProof/>
        </w:rPr>
        <w:t>Recent Operational Changes and Outlook</w:t>
      </w:r>
      <w:r>
        <w:rPr>
          <w:noProof/>
        </w:rPr>
        <w:tab/>
      </w:r>
      <w:r>
        <w:rPr>
          <w:noProof/>
        </w:rPr>
        <w:fldChar w:fldCharType="begin"/>
      </w:r>
      <w:r>
        <w:rPr>
          <w:noProof/>
        </w:rPr>
        <w:instrText xml:space="preserve"> PAGEREF _Toc358806197 \h </w:instrText>
      </w:r>
      <w:r>
        <w:rPr>
          <w:noProof/>
        </w:rPr>
      </w:r>
      <w:r>
        <w:rPr>
          <w:noProof/>
        </w:rPr>
        <w:fldChar w:fldCharType="separate"/>
      </w:r>
      <w:r>
        <w:rPr>
          <w:noProof/>
        </w:rPr>
        <w:t>5</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2.3</w:t>
      </w:r>
      <w:r>
        <w:rPr>
          <w:rFonts w:asciiTheme="minorHAnsi" w:eastAsiaTheme="minorEastAsia" w:hAnsiTheme="minorHAnsi" w:cstheme="minorBidi"/>
          <w:noProof/>
          <w:sz w:val="22"/>
          <w:lang w:eastAsia="en-AU"/>
        </w:rPr>
        <w:tab/>
      </w:r>
      <w:r>
        <w:rPr>
          <w:noProof/>
        </w:rPr>
        <w:t>Summary</w:t>
      </w:r>
      <w:r>
        <w:rPr>
          <w:noProof/>
        </w:rPr>
        <w:tab/>
      </w:r>
      <w:r>
        <w:rPr>
          <w:noProof/>
        </w:rPr>
        <w:fldChar w:fldCharType="begin"/>
      </w:r>
      <w:r>
        <w:rPr>
          <w:noProof/>
        </w:rPr>
        <w:instrText xml:space="preserve"> PAGEREF _Toc358806198 \h </w:instrText>
      </w:r>
      <w:r>
        <w:rPr>
          <w:noProof/>
        </w:rPr>
      </w:r>
      <w:r>
        <w:rPr>
          <w:noProof/>
        </w:rPr>
        <w:fldChar w:fldCharType="separate"/>
      </w:r>
      <w:r>
        <w:rPr>
          <w:noProof/>
        </w:rPr>
        <w:t>8</w:t>
      </w:r>
      <w:r>
        <w:rPr>
          <w:noProof/>
        </w:rPr>
        <w:fldChar w:fldCharType="end"/>
      </w:r>
    </w:p>
    <w:p w:rsidR="00841DB5" w:rsidRDefault="00841DB5">
      <w:pPr>
        <w:pStyle w:val="TOC1"/>
        <w:rPr>
          <w:rFonts w:asciiTheme="minorHAnsi" w:eastAsiaTheme="minorEastAsia" w:hAnsiTheme="minorHAnsi" w:cstheme="minorBidi"/>
          <w:b w:val="0"/>
          <w:lang w:eastAsia="en-AU"/>
        </w:rPr>
      </w:pPr>
      <w:r>
        <w:t>3</w:t>
      </w:r>
      <w:r>
        <w:rPr>
          <w:rFonts w:asciiTheme="minorHAnsi" w:eastAsiaTheme="minorEastAsia" w:hAnsiTheme="minorHAnsi" w:cstheme="minorBidi"/>
          <w:b w:val="0"/>
          <w:lang w:eastAsia="en-AU"/>
        </w:rPr>
        <w:tab/>
      </w:r>
      <w:r>
        <w:t>Economic Impact Assessment</w:t>
      </w:r>
      <w:r>
        <w:tab/>
      </w:r>
      <w:r>
        <w:fldChar w:fldCharType="begin"/>
      </w:r>
      <w:r>
        <w:instrText xml:space="preserve"> PAGEREF _Toc358806199 \h </w:instrText>
      </w:r>
      <w:r>
        <w:fldChar w:fldCharType="separate"/>
      </w:r>
      <w:r>
        <w:t>9</w:t>
      </w:r>
      <w:r>
        <w:fldChar w:fldCharType="end"/>
      </w:r>
    </w:p>
    <w:p w:rsidR="00841DB5" w:rsidRDefault="00841DB5">
      <w:pPr>
        <w:pStyle w:val="TOC2"/>
        <w:rPr>
          <w:rFonts w:asciiTheme="minorHAnsi" w:eastAsiaTheme="minorEastAsia" w:hAnsiTheme="minorHAnsi" w:cstheme="minorBidi"/>
          <w:noProof/>
          <w:sz w:val="22"/>
          <w:lang w:eastAsia="en-AU"/>
        </w:rPr>
      </w:pPr>
      <w:r>
        <w:rPr>
          <w:noProof/>
        </w:rPr>
        <w:t>3.1</w:t>
      </w:r>
      <w:r>
        <w:rPr>
          <w:rFonts w:asciiTheme="minorHAnsi" w:eastAsiaTheme="minorEastAsia" w:hAnsiTheme="minorHAnsi" w:cstheme="minorBidi"/>
          <w:noProof/>
          <w:sz w:val="22"/>
          <w:lang w:eastAsia="en-AU"/>
        </w:rPr>
        <w:tab/>
      </w:r>
      <w:r>
        <w:rPr>
          <w:noProof/>
        </w:rPr>
        <w:t>Business and Industry Impacts</w:t>
      </w:r>
      <w:r>
        <w:rPr>
          <w:noProof/>
        </w:rPr>
        <w:tab/>
      </w:r>
      <w:r>
        <w:rPr>
          <w:noProof/>
        </w:rPr>
        <w:fldChar w:fldCharType="begin"/>
      </w:r>
      <w:r>
        <w:rPr>
          <w:noProof/>
        </w:rPr>
        <w:instrText xml:space="preserve"> PAGEREF _Toc358806200 \h </w:instrText>
      </w:r>
      <w:r>
        <w:rPr>
          <w:noProof/>
        </w:rPr>
      </w:r>
      <w:r>
        <w:rPr>
          <w:noProof/>
        </w:rPr>
        <w:fldChar w:fldCharType="separate"/>
      </w:r>
      <w:r>
        <w:rPr>
          <w:noProof/>
        </w:rPr>
        <w:t>9</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3.2</w:t>
      </w:r>
      <w:r>
        <w:rPr>
          <w:rFonts w:asciiTheme="minorHAnsi" w:eastAsiaTheme="minorEastAsia" w:hAnsiTheme="minorHAnsi" w:cstheme="minorBidi"/>
          <w:noProof/>
          <w:sz w:val="22"/>
          <w:lang w:eastAsia="en-AU"/>
        </w:rPr>
        <w:tab/>
      </w:r>
      <w:r>
        <w:rPr>
          <w:noProof/>
        </w:rPr>
        <w:t>Impact on Gross Regional Product</w:t>
      </w:r>
      <w:r>
        <w:rPr>
          <w:noProof/>
        </w:rPr>
        <w:tab/>
      </w:r>
      <w:r>
        <w:rPr>
          <w:noProof/>
        </w:rPr>
        <w:fldChar w:fldCharType="begin"/>
      </w:r>
      <w:r>
        <w:rPr>
          <w:noProof/>
        </w:rPr>
        <w:instrText xml:space="preserve"> PAGEREF _Toc358806201 \h </w:instrText>
      </w:r>
      <w:r>
        <w:rPr>
          <w:noProof/>
        </w:rPr>
      </w:r>
      <w:r>
        <w:rPr>
          <w:noProof/>
        </w:rPr>
        <w:fldChar w:fldCharType="separate"/>
      </w:r>
      <w:r>
        <w:rPr>
          <w:noProof/>
        </w:rPr>
        <w:t>10</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3.3</w:t>
      </w:r>
      <w:r>
        <w:rPr>
          <w:rFonts w:asciiTheme="minorHAnsi" w:eastAsiaTheme="minorEastAsia" w:hAnsiTheme="minorHAnsi" w:cstheme="minorBidi"/>
          <w:noProof/>
          <w:sz w:val="22"/>
          <w:lang w:eastAsia="en-AU"/>
        </w:rPr>
        <w:tab/>
      </w:r>
      <w:r>
        <w:rPr>
          <w:noProof/>
        </w:rPr>
        <w:t>Labour Markets Impacts</w:t>
      </w:r>
      <w:r>
        <w:rPr>
          <w:noProof/>
        </w:rPr>
        <w:tab/>
      </w:r>
      <w:r>
        <w:rPr>
          <w:noProof/>
        </w:rPr>
        <w:fldChar w:fldCharType="begin"/>
      </w:r>
      <w:r>
        <w:rPr>
          <w:noProof/>
        </w:rPr>
        <w:instrText xml:space="preserve"> PAGEREF _Toc358806202 \h </w:instrText>
      </w:r>
      <w:r>
        <w:rPr>
          <w:noProof/>
        </w:rPr>
      </w:r>
      <w:r>
        <w:rPr>
          <w:noProof/>
        </w:rPr>
        <w:fldChar w:fldCharType="separate"/>
      </w:r>
      <w:r>
        <w:rPr>
          <w:noProof/>
        </w:rPr>
        <w:t>10</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3.4</w:t>
      </w:r>
      <w:r>
        <w:rPr>
          <w:rFonts w:asciiTheme="minorHAnsi" w:eastAsiaTheme="minorEastAsia" w:hAnsiTheme="minorHAnsi" w:cstheme="minorBidi"/>
          <w:noProof/>
          <w:sz w:val="22"/>
          <w:lang w:eastAsia="en-AU"/>
        </w:rPr>
        <w:tab/>
      </w:r>
      <w:r>
        <w:rPr>
          <w:noProof/>
        </w:rPr>
        <w:t>Impacts on Industry Training</w:t>
      </w:r>
      <w:r>
        <w:rPr>
          <w:noProof/>
        </w:rPr>
        <w:tab/>
      </w:r>
      <w:r>
        <w:rPr>
          <w:noProof/>
        </w:rPr>
        <w:fldChar w:fldCharType="begin"/>
      </w:r>
      <w:r>
        <w:rPr>
          <w:noProof/>
        </w:rPr>
        <w:instrText xml:space="preserve"> PAGEREF _Toc358806203 \h </w:instrText>
      </w:r>
      <w:r>
        <w:rPr>
          <w:noProof/>
        </w:rPr>
      </w:r>
      <w:r>
        <w:rPr>
          <w:noProof/>
        </w:rPr>
        <w:fldChar w:fldCharType="separate"/>
      </w:r>
      <w:r>
        <w:rPr>
          <w:noProof/>
        </w:rPr>
        <w:t>11</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3.5</w:t>
      </w:r>
      <w:r>
        <w:rPr>
          <w:rFonts w:asciiTheme="minorHAnsi" w:eastAsiaTheme="minorEastAsia" w:hAnsiTheme="minorHAnsi" w:cstheme="minorBidi"/>
          <w:noProof/>
          <w:sz w:val="22"/>
          <w:lang w:eastAsia="en-AU"/>
        </w:rPr>
        <w:tab/>
      </w:r>
      <w:r>
        <w:rPr>
          <w:noProof/>
        </w:rPr>
        <w:t>Reduced SPCA Investment and Related Construction Investment</w:t>
      </w:r>
      <w:r>
        <w:rPr>
          <w:noProof/>
        </w:rPr>
        <w:tab/>
      </w:r>
      <w:r>
        <w:rPr>
          <w:noProof/>
        </w:rPr>
        <w:fldChar w:fldCharType="begin"/>
      </w:r>
      <w:r>
        <w:rPr>
          <w:noProof/>
        </w:rPr>
        <w:instrText xml:space="preserve"> PAGEREF _Toc358806204 \h </w:instrText>
      </w:r>
      <w:r>
        <w:rPr>
          <w:noProof/>
        </w:rPr>
      </w:r>
      <w:r>
        <w:rPr>
          <w:noProof/>
        </w:rPr>
        <w:fldChar w:fldCharType="separate"/>
      </w:r>
      <w:r>
        <w:rPr>
          <w:noProof/>
        </w:rPr>
        <w:t>12</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3.6</w:t>
      </w:r>
      <w:r>
        <w:rPr>
          <w:rFonts w:asciiTheme="minorHAnsi" w:eastAsiaTheme="minorEastAsia" w:hAnsiTheme="minorHAnsi" w:cstheme="minorBidi"/>
          <w:noProof/>
          <w:sz w:val="22"/>
          <w:lang w:eastAsia="en-AU"/>
        </w:rPr>
        <w:tab/>
      </w:r>
      <w:r>
        <w:rPr>
          <w:noProof/>
        </w:rPr>
        <w:t>Land Use Implications</w:t>
      </w:r>
      <w:r>
        <w:rPr>
          <w:noProof/>
        </w:rPr>
        <w:tab/>
      </w:r>
      <w:r>
        <w:rPr>
          <w:noProof/>
        </w:rPr>
        <w:fldChar w:fldCharType="begin"/>
      </w:r>
      <w:r>
        <w:rPr>
          <w:noProof/>
        </w:rPr>
        <w:instrText xml:space="preserve"> PAGEREF _Toc358806205 \h </w:instrText>
      </w:r>
      <w:r>
        <w:rPr>
          <w:noProof/>
        </w:rPr>
      </w:r>
      <w:r>
        <w:rPr>
          <w:noProof/>
        </w:rPr>
        <w:fldChar w:fldCharType="separate"/>
      </w:r>
      <w:r>
        <w:rPr>
          <w:noProof/>
        </w:rPr>
        <w:t>14</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3.7</w:t>
      </w:r>
      <w:r>
        <w:rPr>
          <w:rFonts w:asciiTheme="minorHAnsi" w:eastAsiaTheme="minorEastAsia" w:hAnsiTheme="minorHAnsi" w:cstheme="minorBidi"/>
          <w:noProof/>
          <w:sz w:val="22"/>
          <w:lang w:eastAsia="en-AU"/>
        </w:rPr>
        <w:tab/>
      </w:r>
      <w:r>
        <w:rPr>
          <w:noProof/>
        </w:rPr>
        <w:t>Impacts on Council and Revenue and Community Contributions</w:t>
      </w:r>
      <w:r>
        <w:rPr>
          <w:noProof/>
        </w:rPr>
        <w:tab/>
      </w:r>
      <w:r>
        <w:rPr>
          <w:noProof/>
        </w:rPr>
        <w:fldChar w:fldCharType="begin"/>
      </w:r>
      <w:r>
        <w:rPr>
          <w:noProof/>
        </w:rPr>
        <w:instrText xml:space="preserve"> PAGEREF _Toc358806206 \h </w:instrText>
      </w:r>
      <w:r>
        <w:rPr>
          <w:noProof/>
        </w:rPr>
      </w:r>
      <w:r>
        <w:rPr>
          <w:noProof/>
        </w:rPr>
        <w:fldChar w:fldCharType="separate"/>
      </w:r>
      <w:r>
        <w:rPr>
          <w:noProof/>
        </w:rPr>
        <w:t>15</w:t>
      </w:r>
      <w:r>
        <w:rPr>
          <w:noProof/>
        </w:rPr>
        <w:fldChar w:fldCharType="end"/>
      </w:r>
    </w:p>
    <w:p w:rsidR="00841DB5" w:rsidRDefault="00841DB5">
      <w:pPr>
        <w:pStyle w:val="TOC2"/>
        <w:rPr>
          <w:rFonts w:asciiTheme="minorHAnsi" w:eastAsiaTheme="minorEastAsia" w:hAnsiTheme="minorHAnsi" w:cstheme="minorBidi"/>
          <w:noProof/>
          <w:sz w:val="22"/>
          <w:lang w:eastAsia="en-AU"/>
        </w:rPr>
      </w:pPr>
      <w:r>
        <w:rPr>
          <w:noProof/>
        </w:rPr>
        <w:t>3.8</w:t>
      </w:r>
      <w:r>
        <w:rPr>
          <w:rFonts w:asciiTheme="minorHAnsi" w:eastAsiaTheme="minorEastAsia" w:hAnsiTheme="minorHAnsi" w:cstheme="minorBidi"/>
          <w:noProof/>
          <w:sz w:val="22"/>
          <w:lang w:eastAsia="en-AU"/>
        </w:rPr>
        <w:tab/>
      </w:r>
      <w:r>
        <w:rPr>
          <w:noProof/>
        </w:rPr>
        <w:t>Conclusions</w:t>
      </w:r>
      <w:r>
        <w:rPr>
          <w:noProof/>
        </w:rPr>
        <w:tab/>
      </w:r>
      <w:r>
        <w:rPr>
          <w:noProof/>
        </w:rPr>
        <w:fldChar w:fldCharType="begin"/>
      </w:r>
      <w:r>
        <w:rPr>
          <w:noProof/>
        </w:rPr>
        <w:instrText xml:space="preserve"> PAGEREF _Toc358806207 \h </w:instrText>
      </w:r>
      <w:r>
        <w:rPr>
          <w:noProof/>
        </w:rPr>
      </w:r>
      <w:r>
        <w:rPr>
          <w:noProof/>
        </w:rPr>
        <w:fldChar w:fldCharType="separate"/>
      </w:r>
      <w:r>
        <w:rPr>
          <w:noProof/>
        </w:rPr>
        <w:t>16</w:t>
      </w:r>
      <w:r>
        <w:rPr>
          <w:noProof/>
        </w:rPr>
        <w:fldChar w:fldCharType="end"/>
      </w:r>
    </w:p>
    <w:p w:rsidR="00841DB5" w:rsidRDefault="00841DB5">
      <w:pPr>
        <w:pStyle w:val="TOC1"/>
        <w:rPr>
          <w:rFonts w:asciiTheme="minorHAnsi" w:eastAsiaTheme="minorEastAsia" w:hAnsiTheme="minorHAnsi" w:cstheme="minorBidi"/>
          <w:b w:val="0"/>
          <w:lang w:eastAsia="en-AU"/>
        </w:rPr>
      </w:pPr>
      <w:r>
        <w:t>4</w:t>
      </w:r>
      <w:r>
        <w:rPr>
          <w:rFonts w:asciiTheme="minorHAnsi" w:eastAsiaTheme="minorEastAsia" w:hAnsiTheme="minorHAnsi" w:cstheme="minorBidi"/>
          <w:b w:val="0"/>
          <w:lang w:eastAsia="en-AU"/>
        </w:rPr>
        <w:tab/>
      </w:r>
      <w:r>
        <w:t>Key Findings</w:t>
      </w:r>
      <w:r>
        <w:tab/>
      </w:r>
      <w:r>
        <w:fldChar w:fldCharType="begin"/>
      </w:r>
      <w:r>
        <w:instrText xml:space="preserve"> PAGEREF _Toc358806208 \h </w:instrText>
      </w:r>
      <w:r>
        <w:fldChar w:fldCharType="separate"/>
      </w:r>
      <w:r>
        <w:t>17</w:t>
      </w:r>
      <w:r>
        <w:fldChar w:fldCharType="end"/>
      </w:r>
    </w:p>
    <w:p w:rsidR="002D0A01" w:rsidRPr="00842B3F" w:rsidRDefault="009A5B0F" w:rsidP="00467E91">
      <w:pPr>
        <w:pStyle w:val="TOC2"/>
        <w:rPr>
          <w:rFonts w:asciiTheme="minorHAnsi" w:hAnsiTheme="minorHAnsi" w:cstheme="minorHAnsi"/>
        </w:rPr>
        <w:sectPr w:rsidR="002D0A01" w:rsidRPr="00842B3F" w:rsidSect="00A23053">
          <w:headerReference w:type="even" r:id="rId13"/>
          <w:headerReference w:type="default" r:id="rId14"/>
          <w:footerReference w:type="default" r:id="rId15"/>
          <w:headerReference w:type="first" r:id="rId16"/>
          <w:pgSz w:w="11907" w:h="16840" w:code="9"/>
          <w:pgMar w:top="2268" w:right="1701" w:bottom="1560" w:left="1701" w:header="851" w:footer="851" w:gutter="0"/>
          <w:cols w:space="720"/>
        </w:sectPr>
      </w:pPr>
      <w:r w:rsidRPr="00842B3F">
        <w:rPr>
          <w:rFonts w:asciiTheme="minorHAnsi" w:hAnsiTheme="minorHAnsi" w:cstheme="minorHAnsi"/>
        </w:rPr>
        <w:fldChar w:fldCharType="end"/>
      </w:r>
    </w:p>
    <w:p w:rsidR="002D0A01" w:rsidRPr="00842B3F" w:rsidRDefault="002D0A01" w:rsidP="007E2421">
      <w:pPr>
        <w:pStyle w:val="Heading1notnumbered"/>
      </w:pPr>
      <w:bookmarkStart w:id="1" w:name="_Toc358806188"/>
      <w:r w:rsidRPr="007E2421">
        <w:lastRenderedPageBreak/>
        <w:t>Introduction</w:t>
      </w:r>
      <w:bookmarkEnd w:id="1"/>
    </w:p>
    <w:p w:rsidR="002D0A01" w:rsidRPr="00842B3F" w:rsidRDefault="007B187A" w:rsidP="007E2421">
      <w:pPr>
        <w:pStyle w:val="Heading2notnumbered"/>
      </w:pPr>
      <w:r w:rsidRPr="007E2421">
        <w:t>Background</w:t>
      </w:r>
    </w:p>
    <w:p w:rsidR="007F51EE" w:rsidRDefault="007F51EE" w:rsidP="00BB79E1">
      <w:pPr>
        <w:rPr>
          <w:rFonts w:asciiTheme="minorHAnsi" w:hAnsiTheme="minorHAnsi" w:cstheme="minorHAnsi"/>
        </w:rPr>
      </w:pPr>
      <w:r>
        <w:rPr>
          <w:shd w:val="clear" w:color="auto" w:fill="FFFFFF"/>
        </w:rPr>
        <w:t xml:space="preserve">SPC Ardmona (SPCA) is one of </w:t>
      </w:r>
      <w:r w:rsidR="001C47B5">
        <w:rPr>
          <w:shd w:val="clear" w:color="auto" w:fill="FFFFFF"/>
        </w:rPr>
        <w:t xml:space="preserve">the </w:t>
      </w:r>
      <w:r w:rsidR="001C47B5" w:rsidRPr="00AF0C5A">
        <w:rPr>
          <w:shd w:val="clear" w:color="auto" w:fill="FFFFFF"/>
        </w:rPr>
        <w:t xml:space="preserve">most established and </w:t>
      </w:r>
      <w:r w:rsidR="001C47B5">
        <w:rPr>
          <w:shd w:val="clear" w:color="auto" w:fill="FFFFFF"/>
        </w:rPr>
        <w:t xml:space="preserve">important food manufacturers in </w:t>
      </w:r>
      <w:r w:rsidRPr="00AF0C5A">
        <w:rPr>
          <w:shd w:val="clear" w:color="auto" w:fill="FFFFFF"/>
        </w:rPr>
        <w:t>Shepparton</w:t>
      </w:r>
      <w:r>
        <w:rPr>
          <w:shd w:val="clear" w:color="auto" w:fill="FFFFFF"/>
        </w:rPr>
        <w:t xml:space="preserve"> and the Goulburn Valley (GV)</w:t>
      </w:r>
      <w:r w:rsidRPr="00AF0C5A">
        <w:rPr>
          <w:shd w:val="clear" w:color="auto" w:fill="FFFFFF"/>
        </w:rPr>
        <w:t xml:space="preserve"> </w:t>
      </w:r>
      <w:r>
        <w:rPr>
          <w:shd w:val="clear" w:color="auto" w:fill="FFFFFF"/>
        </w:rPr>
        <w:t xml:space="preserve">in terms of output, </w:t>
      </w:r>
      <w:r w:rsidRPr="00AF0C5A">
        <w:rPr>
          <w:shd w:val="clear" w:color="auto" w:fill="FFFFFF"/>
        </w:rPr>
        <w:t xml:space="preserve">employment and </w:t>
      </w:r>
      <w:r>
        <w:rPr>
          <w:shd w:val="clear" w:color="auto" w:fill="FFFFFF"/>
        </w:rPr>
        <w:t>business linkages</w:t>
      </w:r>
      <w:r w:rsidR="001C47B5">
        <w:rPr>
          <w:shd w:val="clear" w:color="auto" w:fill="FFFFFF"/>
        </w:rPr>
        <w:t>,</w:t>
      </w:r>
      <w:r>
        <w:rPr>
          <w:shd w:val="clear" w:color="auto" w:fill="FFFFFF"/>
        </w:rPr>
        <w:t xml:space="preserve"> including many supply contracts to fruit farmers. In recent times, however, challenging economic conditions have led to a contraction in output at SPCA</w:t>
      </w:r>
      <w:r w:rsidR="001C47B5">
        <w:rPr>
          <w:shd w:val="clear" w:color="auto" w:fill="FFFFFF"/>
        </w:rPr>
        <w:t>,</w:t>
      </w:r>
      <w:r>
        <w:rPr>
          <w:shd w:val="clear" w:color="auto" w:fill="FFFFFF"/>
        </w:rPr>
        <w:t xml:space="preserve"> resulting in the </w:t>
      </w:r>
      <w:r w:rsidR="0038035B">
        <w:rPr>
          <w:shd w:val="clear" w:color="auto" w:fill="FFFFFF"/>
        </w:rPr>
        <w:t>downgrading of</w:t>
      </w:r>
      <w:r>
        <w:rPr>
          <w:shd w:val="clear" w:color="auto" w:fill="FFFFFF"/>
        </w:rPr>
        <w:t xml:space="preserve"> the Mooroopna plant and a significant reduction in </w:t>
      </w:r>
      <w:r w:rsidR="001C47B5">
        <w:rPr>
          <w:shd w:val="clear" w:color="auto" w:fill="FFFFFF"/>
        </w:rPr>
        <w:t xml:space="preserve">the </w:t>
      </w:r>
      <w:r>
        <w:rPr>
          <w:shd w:val="clear" w:color="auto" w:fill="FFFFFF"/>
        </w:rPr>
        <w:t xml:space="preserve">amount of fruit sourced from regional growers. </w:t>
      </w:r>
      <w:r w:rsidR="001C47B5">
        <w:rPr>
          <w:shd w:val="clear" w:color="auto" w:fill="FFFFFF"/>
        </w:rPr>
        <w:t>C</w:t>
      </w:r>
      <w:r>
        <w:rPr>
          <w:shd w:val="clear" w:color="auto" w:fill="FFFFFF"/>
        </w:rPr>
        <w:t xml:space="preserve">oncern </w:t>
      </w:r>
      <w:r w:rsidR="001C47B5">
        <w:rPr>
          <w:shd w:val="clear" w:color="auto" w:fill="FFFFFF"/>
        </w:rPr>
        <w:t xml:space="preserve">exists </w:t>
      </w:r>
      <w:r>
        <w:rPr>
          <w:shd w:val="clear" w:color="auto" w:fill="FFFFFF"/>
        </w:rPr>
        <w:t>within the industry and community that these operational decisions are the precursor to a much larger contraction of SPCA operations in the region</w:t>
      </w:r>
      <w:r w:rsidR="005750AF">
        <w:rPr>
          <w:shd w:val="clear" w:color="auto" w:fill="FFFFFF"/>
        </w:rPr>
        <w:t>,</w:t>
      </w:r>
      <w:r>
        <w:rPr>
          <w:shd w:val="clear" w:color="auto" w:fill="FFFFFF"/>
        </w:rPr>
        <w:t xml:space="preserve"> </w:t>
      </w:r>
      <w:r w:rsidR="001C47B5">
        <w:rPr>
          <w:shd w:val="clear" w:color="auto" w:fill="FFFFFF"/>
        </w:rPr>
        <w:t xml:space="preserve">and </w:t>
      </w:r>
      <w:r>
        <w:rPr>
          <w:shd w:val="clear" w:color="auto" w:fill="FFFFFF"/>
        </w:rPr>
        <w:t xml:space="preserve">which </w:t>
      </w:r>
      <w:r w:rsidR="001C47B5">
        <w:rPr>
          <w:shd w:val="clear" w:color="auto" w:fill="FFFFFF"/>
        </w:rPr>
        <w:t xml:space="preserve">would be </w:t>
      </w:r>
      <w:r>
        <w:rPr>
          <w:shd w:val="clear" w:color="auto" w:fill="FFFFFF"/>
        </w:rPr>
        <w:t xml:space="preserve">likely to have a significant impact on </w:t>
      </w:r>
      <w:r w:rsidR="00936BEB">
        <w:rPr>
          <w:shd w:val="clear" w:color="auto" w:fill="FFFFFF"/>
        </w:rPr>
        <w:t>the regional economy in terms of labour markets, business closures and flow on impacts in the services sector.</w:t>
      </w:r>
    </w:p>
    <w:p w:rsidR="00BB79E1" w:rsidRPr="00842B3F" w:rsidRDefault="007F51EE" w:rsidP="00BB79E1">
      <w:pPr>
        <w:rPr>
          <w:rFonts w:asciiTheme="minorHAnsi" w:hAnsiTheme="minorHAnsi" w:cstheme="minorHAnsi"/>
        </w:rPr>
      </w:pPr>
      <w:r>
        <w:rPr>
          <w:rFonts w:asciiTheme="minorHAnsi" w:hAnsiTheme="minorHAnsi" w:cstheme="minorHAnsi"/>
        </w:rPr>
        <w:t xml:space="preserve">In view of </w:t>
      </w:r>
      <w:r w:rsidR="00936BEB">
        <w:rPr>
          <w:rFonts w:asciiTheme="minorHAnsi" w:hAnsiTheme="minorHAnsi" w:cstheme="minorHAnsi"/>
        </w:rPr>
        <w:t xml:space="preserve">this situation, </w:t>
      </w:r>
      <w:r w:rsidR="00BB4653">
        <w:rPr>
          <w:rFonts w:asciiTheme="minorHAnsi" w:hAnsiTheme="minorHAnsi" w:cstheme="minorHAnsi"/>
        </w:rPr>
        <w:t xml:space="preserve">Greater Shepparton City Council has commissioned Essential Economics Pty Ltd to assess the economic implications of a </w:t>
      </w:r>
      <w:r w:rsidR="00936BEB">
        <w:rPr>
          <w:rFonts w:asciiTheme="minorHAnsi" w:hAnsiTheme="minorHAnsi" w:cstheme="minorHAnsi"/>
        </w:rPr>
        <w:t xml:space="preserve">scenario where </w:t>
      </w:r>
      <w:r w:rsidR="00BB4653">
        <w:rPr>
          <w:rFonts w:asciiTheme="minorHAnsi" w:hAnsiTheme="minorHAnsi" w:cstheme="minorHAnsi"/>
        </w:rPr>
        <w:t xml:space="preserve">SPC Ardmona </w:t>
      </w:r>
      <w:r w:rsidR="005750AF">
        <w:rPr>
          <w:rFonts w:asciiTheme="minorHAnsi" w:hAnsiTheme="minorHAnsi" w:cstheme="minorHAnsi"/>
        </w:rPr>
        <w:t xml:space="preserve">ceases all operations in the </w:t>
      </w:r>
      <w:r w:rsidR="00936BEB">
        <w:rPr>
          <w:rFonts w:asciiTheme="minorHAnsi" w:hAnsiTheme="minorHAnsi" w:cstheme="minorHAnsi"/>
        </w:rPr>
        <w:t>r</w:t>
      </w:r>
      <w:r w:rsidR="00BB4653">
        <w:rPr>
          <w:rFonts w:asciiTheme="minorHAnsi" w:hAnsiTheme="minorHAnsi" w:cstheme="minorHAnsi"/>
        </w:rPr>
        <w:t>egion.</w:t>
      </w:r>
      <w:r w:rsidR="00936BEB">
        <w:rPr>
          <w:rFonts w:asciiTheme="minorHAnsi" w:hAnsiTheme="minorHAnsi" w:cstheme="minorHAnsi"/>
        </w:rPr>
        <w:t xml:space="preserve"> For the purposes of this study the main affected area is considered to be the municipality of Greater Shepparton (where most of SPCA’s production and distribution occurs), while the municipality of Moira is considered the main area impacted in the broader Goulburn Valley as this are</w:t>
      </w:r>
      <w:r w:rsidR="005750AF">
        <w:rPr>
          <w:rFonts w:asciiTheme="minorHAnsi" w:hAnsiTheme="minorHAnsi" w:cstheme="minorHAnsi"/>
        </w:rPr>
        <w:t>a</w:t>
      </w:r>
      <w:r w:rsidR="00936BEB">
        <w:rPr>
          <w:rFonts w:asciiTheme="minorHAnsi" w:hAnsiTheme="minorHAnsi" w:cstheme="minorHAnsi"/>
        </w:rPr>
        <w:t xml:space="preserve"> accommodates many of the region</w:t>
      </w:r>
      <w:r w:rsidR="001C47B5">
        <w:rPr>
          <w:rFonts w:asciiTheme="minorHAnsi" w:hAnsiTheme="minorHAnsi" w:cstheme="minorHAnsi"/>
        </w:rPr>
        <w:t>’</w:t>
      </w:r>
      <w:r w:rsidR="00936BEB">
        <w:rPr>
          <w:rFonts w:asciiTheme="minorHAnsi" w:hAnsiTheme="minorHAnsi" w:cstheme="minorHAnsi"/>
        </w:rPr>
        <w:t xml:space="preserve">s fruit growers. </w:t>
      </w:r>
      <w:r w:rsidR="00BB79E1" w:rsidRPr="00842B3F">
        <w:rPr>
          <w:rFonts w:asciiTheme="minorHAnsi" w:hAnsiTheme="minorHAnsi" w:cstheme="minorHAnsi"/>
        </w:rPr>
        <w:t xml:space="preserve"> </w:t>
      </w:r>
    </w:p>
    <w:p w:rsidR="007B187A" w:rsidRPr="00842B3F" w:rsidRDefault="007B187A" w:rsidP="007E2421">
      <w:pPr>
        <w:pStyle w:val="Heading2notnumbered"/>
      </w:pPr>
      <w:r w:rsidRPr="00842B3F">
        <w:t>Objective</w:t>
      </w:r>
    </w:p>
    <w:p w:rsidR="008B4E78" w:rsidRDefault="00BB4653" w:rsidP="008B4E78">
      <w:pPr>
        <w:rPr>
          <w:rFonts w:asciiTheme="minorHAnsi" w:hAnsiTheme="minorHAnsi" w:cstheme="minorHAnsi"/>
        </w:rPr>
      </w:pPr>
      <w:r>
        <w:rPr>
          <w:rFonts w:asciiTheme="minorHAnsi" w:hAnsiTheme="minorHAnsi" w:cstheme="minorHAnsi"/>
        </w:rPr>
        <w:t>The objectives of this report are</w:t>
      </w:r>
      <w:r w:rsidR="00936BEB">
        <w:rPr>
          <w:rFonts w:asciiTheme="minorHAnsi" w:hAnsiTheme="minorHAnsi" w:cstheme="minorHAnsi"/>
        </w:rPr>
        <w:t>:</w:t>
      </w:r>
    </w:p>
    <w:p w:rsidR="00BB4653" w:rsidRDefault="00BB4653" w:rsidP="00BB4653">
      <w:pPr>
        <w:pStyle w:val="Bullet"/>
      </w:pPr>
      <w:r>
        <w:t>To</w:t>
      </w:r>
      <w:r w:rsidR="007F51EE">
        <w:t xml:space="preserve"> describe challenges facing the region’s food processing sector</w:t>
      </w:r>
    </w:p>
    <w:p w:rsidR="00102756" w:rsidRDefault="00102756" w:rsidP="00BB4653">
      <w:pPr>
        <w:pStyle w:val="Bullet"/>
      </w:pPr>
      <w:r>
        <w:t>To</w:t>
      </w:r>
      <w:r w:rsidR="007F51EE">
        <w:t xml:space="preserve"> analyse economic impacts on the local and regional economies should SPCA withdraw all operations from the Goulburn Valley</w:t>
      </w:r>
    </w:p>
    <w:p w:rsidR="007F51EE" w:rsidRPr="00842B3F" w:rsidRDefault="007F51EE" w:rsidP="00BB4653">
      <w:pPr>
        <w:pStyle w:val="Bullet"/>
      </w:pPr>
      <w:r>
        <w:t>To highlight flow</w:t>
      </w:r>
      <w:r w:rsidR="001C47B5">
        <w:t>-</w:t>
      </w:r>
      <w:r>
        <w:t xml:space="preserve">on impacts on existing and proposed major regional projects if SPCA </w:t>
      </w:r>
      <w:r w:rsidR="005750AF">
        <w:t xml:space="preserve">were to cease all operations in </w:t>
      </w:r>
      <w:r>
        <w:t>the region</w:t>
      </w:r>
      <w:r w:rsidR="005750AF">
        <w:t>.</w:t>
      </w:r>
      <w:r>
        <w:t xml:space="preserve"> </w:t>
      </w:r>
    </w:p>
    <w:p w:rsidR="007B187A" w:rsidRPr="00842B3F" w:rsidRDefault="007B187A" w:rsidP="007E2421">
      <w:pPr>
        <w:pStyle w:val="Heading2notnumbered"/>
      </w:pPr>
      <w:r w:rsidRPr="00842B3F">
        <w:t>This Report</w:t>
      </w:r>
    </w:p>
    <w:p w:rsidR="00840F47" w:rsidRDefault="00840F47" w:rsidP="00840F47">
      <w:pPr>
        <w:rPr>
          <w:rFonts w:asciiTheme="minorHAnsi" w:hAnsiTheme="minorHAnsi" w:cstheme="minorHAnsi"/>
        </w:rPr>
      </w:pPr>
      <w:r w:rsidRPr="00842B3F">
        <w:rPr>
          <w:rFonts w:asciiTheme="minorHAnsi" w:hAnsiTheme="minorHAnsi" w:cstheme="minorHAnsi"/>
        </w:rPr>
        <w:t>This report contains the following chapters:</w:t>
      </w:r>
    </w:p>
    <w:p w:rsidR="00102756" w:rsidRPr="007C067A" w:rsidRDefault="00102756" w:rsidP="00102756">
      <w:pPr>
        <w:pStyle w:val="ListNumber"/>
        <w:numPr>
          <w:ilvl w:val="0"/>
          <w:numId w:val="0"/>
        </w:numPr>
        <w:ind w:left="1418" w:hanging="1418"/>
      </w:pPr>
      <w:r w:rsidRPr="007C067A">
        <w:rPr>
          <w:b/>
        </w:rPr>
        <w:t>Chapter 1:</w:t>
      </w:r>
      <w:r w:rsidRPr="007C067A">
        <w:rPr>
          <w:b/>
        </w:rPr>
        <w:tab/>
      </w:r>
      <w:r>
        <w:rPr>
          <w:b/>
        </w:rPr>
        <w:t xml:space="preserve">Background </w:t>
      </w:r>
      <w:r w:rsidRPr="007C067A">
        <w:t>– Provides a</w:t>
      </w:r>
      <w:r>
        <w:t xml:space="preserve"> summary of </w:t>
      </w:r>
      <w:r w:rsidR="00362E88">
        <w:t xml:space="preserve">SPCA’s operational history in the region, current products, and supply chain linkages. </w:t>
      </w:r>
      <w:r>
        <w:t xml:space="preserve"> </w:t>
      </w:r>
      <w:r w:rsidRPr="007C067A">
        <w:t xml:space="preserve">  </w:t>
      </w:r>
    </w:p>
    <w:p w:rsidR="00102756" w:rsidRPr="007C067A" w:rsidRDefault="00102756" w:rsidP="00102756">
      <w:pPr>
        <w:pStyle w:val="ListNumber"/>
        <w:numPr>
          <w:ilvl w:val="0"/>
          <w:numId w:val="0"/>
        </w:numPr>
        <w:ind w:left="1418" w:hanging="1418"/>
      </w:pPr>
      <w:r w:rsidRPr="007C067A">
        <w:rPr>
          <w:b/>
        </w:rPr>
        <w:t>Chapter 2:</w:t>
      </w:r>
      <w:r w:rsidRPr="007C067A">
        <w:tab/>
      </w:r>
      <w:r w:rsidRPr="00102756">
        <w:rPr>
          <w:b/>
        </w:rPr>
        <w:t>Existing SPCA Operations</w:t>
      </w:r>
      <w:r>
        <w:t xml:space="preserve"> </w:t>
      </w:r>
      <w:r w:rsidRPr="00102756">
        <w:rPr>
          <w:b/>
        </w:rPr>
        <w:t xml:space="preserve">and </w:t>
      </w:r>
      <w:r w:rsidR="00C41FF2">
        <w:rPr>
          <w:b/>
        </w:rPr>
        <w:t xml:space="preserve">Commercial </w:t>
      </w:r>
      <w:r w:rsidRPr="00102756">
        <w:rPr>
          <w:b/>
        </w:rPr>
        <w:t>Challenges</w:t>
      </w:r>
      <w:r w:rsidR="001C47B5">
        <w:rPr>
          <w:b/>
        </w:rPr>
        <w:t xml:space="preserve"> </w:t>
      </w:r>
      <w:r w:rsidRPr="007C067A">
        <w:t xml:space="preserve">– Presents </w:t>
      </w:r>
      <w:r w:rsidR="00362E88">
        <w:t xml:space="preserve">an overview of the current operational environment for food processors </w:t>
      </w:r>
      <w:r w:rsidR="005750AF">
        <w:t xml:space="preserve">in the region with respect to </w:t>
      </w:r>
      <w:r w:rsidR="00362E88">
        <w:t>macroeconomic and other challenges</w:t>
      </w:r>
      <w:r w:rsidR="005750AF">
        <w:t>,</w:t>
      </w:r>
      <w:r w:rsidR="00362E88">
        <w:t xml:space="preserve"> and outlines specific impacts arising for SPCA.</w:t>
      </w:r>
    </w:p>
    <w:p w:rsidR="00102756" w:rsidRPr="007C067A" w:rsidRDefault="00102756" w:rsidP="00102756">
      <w:pPr>
        <w:pStyle w:val="ListNumber"/>
        <w:numPr>
          <w:ilvl w:val="0"/>
          <w:numId w:val="0"/>
        </w:numPr>
        <w:ind w:left="1418" w:hanging="1418"/>
      </w:pPr>
      <w:r w:rsidRPr="007C067A">
        <w:rPr>
          <w:b/>
        </w:rPr>
        <w:t>Chapter 3:</w:t>
      </w:r>
      <w:r w:rsidRPr="007C067A">
        <w:tab/>
      </w:r>
      <w:r w:rsidRPr="00102756">
        <w:rPr>
          <w:b/>
        </w:rPr>
        <w:t>Economic Impact Assessment</w:t>
      </w:r>
      <w:r>
        <w:t xml:space="preserve"> </w:t>
      </w:r>
      <w:r w:rsidRPr="007C067A">
        <w:t>–</w:t>
      </w:r>
      <w:r w:rsidRPr="007C067A">
        <w:rPr>
          <w:b/>
        </w:rPr>
        <w:t xml:space="preserve"> </w:t>
      </w:r>
      <w:r w:rsidRPr="00706FAE">
        <w:t>P</w:t>
      </w:r>
      <w:r w:rsidRPr="007C067A">
        <w:t>rovid</w:t>
      </w:r>
      <w:r>
        <w:t xml:space="preserve">es an assessment of </w:t>
      </w:r>
      <w:r w:rsidR="00362E88">
        <w:t xml:space="preserve">likely regional economic impacts should SPCA withdraw completely from the GV region, </w:t>
      </w:r>
      <w:r w:rsidR="00362E88">
        <w:lastRenderedPageBreak/>
        <w:t xml:space="preserve">including impacts on employment, businesses, economic output </w:t>
      </w:r>
      <w:proofErr w:type="spellStart"/>
      <w:r w:rsidR="00362E88">
        <w:t>etc</w:t>
      </w:r>
      <w:proofErr w:type="spellEnd"/>
      <w:r w:rsidR="00362E88">
        <w:t xml:space="preserve">, as well as strategic impacts on proposed major projects. </w:t>
      </w:r>
      <w:r w:rsidRPr="007C067A">
        <w:t xml:space="preserve">  </w:t>
      </w:r>
    </w:p>
    <w:p w:rsidR="00102756" w:rsidRPr="007C067A" w:rsidRDefault="00102756" w:rsidP="00102756">
      <w:pPr>
        <w:pStyle w:val="ListNumber"/>
        <w:numPr>
          <w:ilvl w:val="0"/>
          <w:numId w:val="0"/>
        </w:numPr>
        <w:ind w:left="1418" w:hanging="1418"/>
        <w:rPr>
          <w:b/>
        </w:rPr>
      </w:pPr>
      <w:r w:rsidRPr="007C067A">
        <w:rPr>
          <w:b/>
        </w:rPr>
        <w:t xml:space="preserve">Chapter </w:t>
      </w:r>
      <w:r>
        <w:rPr>
          <w:b/>
        </w:rPr>
        <w:t>4</w:t>
      </w:r>
      <w:r w:rsidRPr="007C067A">
        <w:rPr>
          <w:b/>
        </w:rPr>
        <w:t>:</w:t>
      </w:r>
      <w:r w:rsidRPr="007C067A">
        <w:tab/>
      </w:r>
      <w:r w:rsidRPr="007C067A">
        <w:rPr>
          <w:b/>
        </w:rPr>
        <w:t>Key Findings</w:t>
      </w:r>
      <w:r w:rsidRPr="007C067A">
        <w:t xml:space="preserve"> – Presents a summary of the main findings of this study.</w:t>
      </w:r>
    </w:p>
    <w:p w:rsidR="00102756" w:rsidRPr="00842B3F" w:rsidRDefault="00102756" w:rsidP="00840F47">
      <w:pPr>
        <w:rPr>
          <w:rFonts w:asciiTheme="minorHAnsi" w:hAnsiTheme="minorHAnsi" w:cstheme="minorHAnsi"/>
        </w:rPr>
      </w:pPr>
    </w:p>
    <w:p w:rsidR="002D0A01" w:rsidRPr="007E2421" w:rsidRDefault="00F86090" w:rsidP="007E2421">
      <w:pPr>
        <w:pStyle w:val="Heading1"/>
      </w:pPr>
      <w:bookmarkStart w:id="2" w:name="_Toc358806189"/>
      <w:r>
        <w:lastRenderedPageBreak/>
        <w:t>Background</w:t>
      </w:r>
      <w:bookmarkEnd w:id="2"/>
    </w:p>
    <w:p w:rsidR="00330A3B" w:rsidRDefault="00F86090" w:rsidP="007E2421">
      <w:pPr>
        <w:pStyle w:val="Heading2"/>
      </w:pPr>
      <w:bookmarkStart w:id="3" w:name="_Toc358806190"/>
      <w:r>
        <w:t>SPCA History in Shepparton</w:t>
      </w:r>
      <w:bookmarkEnd w:id="3"/>
    </w:p>
    <w:p w:rsidR="00AF0C5A" w:rsidRPr="00AF0C5A" w:rsidRDefault="00AF0C5A" w:rsidP="00AF0C5A">
      <w:pPr>
        <w:rPr>
          <w:shd w:val="clear" w:color="auto" w:fill="FFFFFF"/>
        </w:rPr>
      </w:pPr>
      <w:r w:rsidRPr="00AF0C5A">
        <w:rPr>
          <w:shd w:val="clear" w:color="auto" w:fill="FFFFFF"/>
        </w:rPr>
        <w:t xml:space="preserve">The Goulburn Valley forms an integral part of the Goulburn Murray Irrigation District which is one of the most important agricultural areas in Australia, as highlighted by its reputation as Victoria's Food Bowl. With access to water from river systems, in addition to valuable groundwater resources, the region can support a large number of irrigation-based industries, </w:t>
      </w:r>
      <w:r w:rsidR="001C47B5">
        <w:rPr>
          <w:shd w:val="clear" w:color="auto" w:fill="FFFFFF"/>
        </w:rPr>
        <w:t xml:space="preserve">including </w:t>
      </w:r>
      <w:r w:rsidRPr="00AF0C5A">
        <w:rPr>
          <w:shd w:val="clear" w:color="auto" w:fill="FFFFFF"/>
        </w:rPr>
        <w:t xml:space="preserve">dairy, horticulture and viticulture, while also supporting large areas of </w:t>
      </w:r>
      <w:proofErr w:type="spellStart"/>
      <w:r w:rsidRPr="00AF0C5A">
        <w:rPr>
          <w:shd w:val="clear" w:color="auto" w:fill="FFFFFF"/>
        </w:rPr>
        <w:t>dryland</w:t>
      </w:r>
      <w:proofErr w:type="spellEnd"/>
      <w:r w:rsidRPr="00AF0C5A">
        <w:rPr>
          <w:shd w:val="clear" w:color="auto" w:fill="FFFFFF"/>
        </w:rPr>
        <w:t xml:space="preserve"> farming.</w:t>
      </w:r>
    </w:p>
    <w:p w:rsidR="00AF0C5A" w:rsidRPr="00AF0C5A" w:rsidRDefault="00AF0C5A" w:rsidP="00AF0C5A">
      <w:pPr>
        <w:rPr>
          <w:shd w:val="clear" w:color="auto" w:fill="FFFFFF"/>
        </w:rPr>
      </w:pPr>
      <w:r w:rsidRPr="00AF0C5A">
        <w:rPr>
          <w:shd w:val="clear" w:color="auto" w:fill="FFFFFF"/>
        </w:rPr>
        <w:t>The importance of the region to the State’s economy is evidenced by the significant infrastructure investment made in the sector over recent times, most notably the $2.2 billion Northern Victorian Irrigation Renewal Project for large</w:t>
      </w:r>
      <w:r w:rsidR="001C47B5">
        <w:rPr>
          <w:shd w:val="clear" w:color="auto" w:fill="FFFFFF"/>
        </w:rPr>
        <w:t>-</w:t>
      </w:r>
      <w:r w:rsidRPr="00AF0C5A">
        <w:rPr>
          <w:shd w:val="clear" w:color="auto" w:fill="FFFFFF"/>
        </w:rPr>
        <w:t>scale modernisation works in the Goulburn-Murray Irrigation District</w:t>
      </w:r>
      <w:r w:rsidR="001C47B5">
        <w:rPr>
          <w:shd w:val="clear" w:color="auto" w:fill="FFFFFF"/>
        </w:rPr>
        <w:t xml:space="preserve">. That project </w:t>
      </w:r>
      <w:r w:rsidRPr="00AF0C5A">
        <w:rPr>
          <w:shd w:val="clear" w:color="auto" w:fill="FFFFFF"/>
        </w:rPr>
        <w:t xml:space="preserve">was jointly funded by the Victorian and Federal governments. </w:t>
      </w:r>
    </w:p>
    <w:p w:rsidR="000E18F4" w:rsidRDefault="000E18F4" w:rsidP="000E18F4">
      <w:pPr>
        <w:rPr>
          <w:shd w:val="clear" w:color="auto" w:fill="FFFFFF"/>
        </w:rPr>
      </w:pPr>
      <w:r w:rsidRPr="000E18F4">
        <w:rPr>
          <w:shd w:val="clear" w:color="auto" w:fill="FFFFFF"/>
        </w:rPr>
        <w:t>The Shepparton Preserving Company (SPC) and Ardmona brands were first established by growers in the early 1900s to process locally</w:t>
      </w:r>
      <w:r w:rsidR="001C47B5">
        <w:rPr>
          <w:shd w:val="clear" w:color="auto" w:fill="FFFFFF"/>
        </w:rPr>
        <w:t>-</w:t>
      </w:r>
      <w:r w:rsidRPr="000E18F4">
        <w:rPr>
          <w:shd w:val="clear" w:color="auto" w:fill="FFFFFF"/>
        </w:rPr>
        <w:t xml:space="preserve">grown fruit from Victoria’s Goulburn Valley region. In 2002 the two companies </w:t>
      </w:r>
      <w:r>
        <w:rPr>
          <w:shd w:val="clear" w:color="auto" w:fill="FFFFFF"/>
        </w:rPr>
        <w:t xml:space="preserve">merged </w:t>
      </w:r>
      <w:r w:rsidRPr="000E18F4">
        <w:rPr>
          <w:shd w:val="clear" w:color="auto" w:fill="FFFFFF"/>
        </w:rPr>
        <w:t xml:space="preserve">their resources and expertise to present a stronger, united Australian presence against low cost and subsidised international competitors. This move created SPC Ardmona, the largest producer of packed fruit and vegetables in Australia. </w:t>
      </w:r>
      <w:r>
        <w:rPr>
          <w:shd w:val="clear" w:color="auto" w:fill="FFFFFF"/>
        </w:rPr>
        <w:t xml:space="preserve">In 2004, </w:t>
      </w:r>
      <w:r w:rsidRPr="000E18F4">
        <w:rPr>
          <w:shd w:val="clear" w:color="auto" w:fill="FFFFFF"/>
        </w:rPr>
        <w:t>SPC Ardmona acquired Henry Jones IXL</w:t>
      </w:r>
      <w:r>
        <w:rPr>
          <w:shd w:val="clear" w:color="auto" w:fill="FFFFFF"/>
        </w:rPr>
        <w:t>.</w:t>
      </w:r>
    </w:p>
    <w:p w:rsidR="000E18F4" w:rsidRDefault="000E18F4" w:rsidP="000E18F4">
      <w:pPr>
        <w:rPr>
          <w:shd w:val="clear" w:color="auto" w:fill="FFFFFF"/>
        </w:rPr>
      </w:pPr>
      <w:r>
        <w:rPr>
          <w:shd w:val="clear" w:color="auto" w:fill="FFFFFF"/>
        </w:rPr>
        <w:t xml:space="preserve">In 2005 </w:t>
      </w:r>
      <w:r w:rsidRPr="000E18F4">
        <w:rPr>
          <w:shd w:val="clear" w:color="auto" w:fill="FFFFFF"/>
        </w:rPr>
        <w:t xml:space="preserve">SPC Ardmona </w:t>
      </w:r>
      <w:r>
        <w:rPr>
          <w:shd w:val="clear" w:color="auto" w:fill="FFFFFF"/>
        </w:rPr>
        <w:t xml:space="preserve">was acquired by </w:t>
      </w:r>
      <w:r w:rsidRPr="000E18F4">
        <w:rPr>
          <w:shd w:val="clear" w:color="auto" w:fill="FFFFFF"/>
        </w:rPr>
        <w:t xml:space="preserve">Coca-Cola </w:t>
      </w:r>
      <w:proofErr w:type="spellStart"/>
      <w:r w:rsidRPr="000E18F4">
        <w:rPr>
          <w:shd w:val="clear" w:color="auto" w:fill="FFFFFF"/>
        </w:rPr>
        <w:t>Amatil</w:t>
      </w:r>
      <w:proofErr w:type="spellEnd"/>
      <w:r w:rsidRPr="000E18F4">
        <w:rPr>
          <w:shd w:val="clear" w:color="auto" w:fill="FFFFFF"/>
        </w:rPr>
        <w:t xml:space="preserve"> </w:t>
      </w:r>
      <w:r>
        <w:rPr>
          <w:shd w:val="clear" w:color="auto" w:fill="FFFFFF"/>
        </w:rPr>
        <w:t xml:space="preserve">and this led to the development </w:t>
      </w:r>
      <w:r w:rsidRPr="000E18F4">
        <w:rPr>
          <w:shd w:val="clear" w:color="auto" w:fill="FFFFFF"/>
        </w:rPr>
        <w:t>of two modern distribution centres in Shepparton and Kyabram.</w:t>
      </w:r>
      <w:r>
        <w:rPr>
          <w:shd w:val="clear" w:color="auto" w:fill="FFFFFF"/>
        </w:rPr>
        <w:t xml:space="preserve"> Investment in the Shepparton Distribution Centre, which opened in 2006, is estimated at $15 million.</w:t>
      </w:r>
    </w:p>
    <w:p w:rsidR="00AF0C5A" w:rsidRPr="00AF0C5A" w:rsidRDefault="00AF0C5A" w:rsidP="00AF0C5A">
      <w:pPr>
        <w:rPr>
          <w:shd w:val="clear" w:color="auto" w:fill="FFFFFF"/>
        </w:rPr>
      </w:pPr>
      <w:r>
        <w:rPr>
          <w:shd w:val="clear" w:color="auto" w:fill="FFFFFF"/>
        </w:rPr>
        <w:t>Today</w:t>
      </w:r>
      <w:r w:rsidR="00C92BB4">
        <w:rPr>
          <w:shd w:val="clear" w:color="auto" w:fill="FFFFFF"/>
        </w:rPr>
        <w:t>,</w:t>
      </w:r>
      <w:r>
        <w:rPr>
          <w:shd w:val="clear" w:color="auto" w:fill="FFFFFF"/>
        </w:rPr>
        <w:t xml:space="preserve"> </w:t>
      </w:r>
      <w:r w:rsidRPr="00AF0C5A">
        <w:rPr>
          <w:shd w:val="clear" w:color="auto" w:fill="FFFFFF"/>
        </w:rPr>
        <w:t>SPC Ardmona (SPCA) is one of Shepparton’s most established and significant operators in terms of manufacturing output</w:t>
      </w:r>
      <w:r w:rsidR="00C92BB4">
        <w:rPr>
          <w:shd w:val="clear" w:color="auto" w:fill="FFFFFF"/>
        </w:rPr>
        <w:t xml:space="preserve"> and</w:t>
      </w:r>
      <w:r w:rsidRPr="00AF0C5A">
        <w:rPr>
          <w:shd w:val="clear" w:color="auto" w:fill="FFFFFF"/>
        </w:rPr>
        <w:t xml:space="preserve"> employment</w:t>
      </w:r>
      <w:r w:rsidR="00C92BB4">
        <w:rPr>
          <w:shd w:val="clear" w:color="auto" w:fill="FFFFFF"/>
        </w:rPr>
        <w:t>,</w:t>
      </w:r>
      <w:r w:rsidRPr="00AF0C5A">
        <w:rPr>
          <w:shd w:val="clear" w:color="auto" w:fill="FFFFFF"/>
        </w:rPr>
        <w:t xml:space="preserve"> and </w:t>
      </w:r>
      <w:r w:rsidR="00C92BB4">
        <w:rPr>
          <w:shd w:val="clear" w:color="auto" w:fill="FFFFFF"/>
        </w:rPr>
        <w:t xml:space="preserve">in terms of the </w:t>
      </w:r>
      <w:r w:rsidRPr="00AF0C5A">
        <w:rPr>
          <w:shd w:val="clear" w:color="auto" w:fill="FFFFFF"/>
        </w:rPr>
        <w:t>supply contracts it provides to a wide variety of businesses in Greater Shepparton and the Goulburn Valley (GV) region.</w:t>
      </w:r>
    </w:p>
    <w:p w:rsidR="000E18F4" w:rsidRPr="005049CA" w:rsidRDefault="000E18F4" w:rsidP="005049CA">
      <w:pPr>
        <w:pStyle w:val="Heading2"/>
      </w:pPr>
      <w:bookmarkStart w:id="4" w:name="_Toc358806191"/>
      <w:r w:rsidRPr="005049CA">
        <w:t>Brands</w:t>
      </w:r>
      <w:bookmarkEnd w:id="4"/>
    </w:p>
    <w:p w:rsidR="000E18F4" w:rsidRDefault="000E18F4" w:rsidP="000E18F4">
      <w:pPr>
        <w:rPr>
          <w:shd w:val="clear" w:color="auto" w:fill="FFFFFF"/>
        </w:rPr>
      </w:pPr>
      <w:r>
        <w:rPr>
          <w:shd w:val="clear" w:color="auto" w:fill="FFFFFF"/>
        </w:rPr>
        <w:t xml:space="preserve">SPCA </w:t>
      </w:r>
      <w:r w:rsidR="007A11FF">
        <w:rPr>
          <w:shd w:val="clear" w:color="auto" w:fill="FFFFFF"/>
        </w:rPr>
        <w:t xml:space="preserve">domestic </w:t>
      </w:r>
      <w:r>
        <w:rPr>
          <w:shd w:val="clear" w:color="auto" w:fill="FFFFFF"/>
        </w:rPr>
        <w:t>brands include the following:</w:t>
      </w:r>
    </w:p>
    <w:p w:rsidR="000E18F4" w:rsidRDefault="000E18F4" w:rsidP="000E18F4">
      <w:pPr>
        <w:pStyle w:val="Bullet"/>
        <w:rPr>
          <w:shd w:val="clear" w:color="auto" w:fill="FFFFFF"/>
        </w:rPr>
      </w:pPr>
      <w:r>
        <w:rPr>
          <w:shd w:val="clear" w:color="auto" w:fill="FFFFFF"/>
        </w:rPr>
        <w:t xml:space="preserve">Ardmona (tinned tomatoes, tomato products, deserts </w:t>
      </w:r>
      <w:proofErr w:type="spellStart"/>
      <w:r>
        <w:rPr>
          <w:shd w:val="clear" w:color="auto" w:fill="FFFFFF"/>
        </w:rPr>
        <w:t>etc</w:t>
      </w:r>
      <w:proofErr w:type="spellEnd"/>
      <w:r>
        <w:rPr>
          <w:shd w:val="clear" w:color="auto" w:fill="FFFFFF"/>
        </w:rPr>
        <w:t>)</w:t>
      </w:r>
    </w:p>
    <w:p w:rsidR="000E18F4" w:rsidRDefault="009357FE" w:rsidP="000E18F4">
      <w:pPr>
        <w:pStyle w:val="Bullet"/>
        <w:rPr>
          <w:shd w:val="clear" w:color="auto" w:fill="FFFFFF"/>
        </w:rPr>
      </w:pPr>
      <w:r>
        <w:rPr>
          <w:shd w:val="clear" w:color="auto" w:fill="FFFFFF"/>
        </w:rPr>
        <w:t>Go</w:t>
      </w:r>
      <w:r w:rsidR="00D07357">
        <w:rPr>
          <w:shd w:val="clear" w:color="auto" w:fill="FFFFFF"/>
        </w:rPr>
        <w:t>ulburn</w:t>
      </w:r>
      <w:r>
        <w:rPr>
          <w:shd w:val="clear" w:color="auto" w:fill="FFFFFF"/>
        </w:rPr>
        <w:t xml:space="preserve"> Valley (packaged fruit)</w:t>
      </w:r>
    </w:p>
    <w:p w:rsidR="000E18F4" w:rsidRDefault="000E18F4" w:rsidP="000E18F4">
      <w:pPr>
        <w:pStyle w:val="Bullet"/>
        <w:rPr>
          <w:shd w:val="clear" w:color="auto" w:fill="FFFFFF"/>
        </w:rPr>
      </w:pPr>
      <w:r>
        <w:rPr>
          <w:shd w:val="clear" w:color="auto" w:fill="FFFFFF"/>
        </w:rPr>
        <w:t>IXL</w:t>
      </w:r>
      <w:r w:rsidR="00E07E82">
        <w:rPr>
          <w:shd w:val="clear" w:color="auto" w:fill="FFFFFF"/>
        </w:rPr>
        <w:t xml:space="preserve"> (jams)</w:t>
      </w:r>
    </w:p>
    <w:p w:rsidR="000E18F4" w:rsidRDefault="000E18F4" w:rsidP="000E18F4">
      <w:pPr>
        <w:pStyle w:val="Bullet"/>
        <w:rPr>
          <w:shd w:val="clear" w:color="auto" w:fill="FFFFFF"/>
        </w:rPr>
      </w:pPr>
      <w:r>
        <w:rPr>
          <w:shd w:val="clear" w:color="auto" w:fill="FFFFFF"/>
        </w:rPr>
        <w:t>SPC</w:t>
      </w:r>
      <w:r w:rsidR="00E07E82">
        <w:rPr>
          <w:shd w:val="clear" w:color="auto" w:fill="FFFFFF"/>
        </w:rPr>
        <w:t xml:space="preserve"> (canned tomatoes, baked beans and spaghetti; nutritional snacks, fruit sauces)</w:t>
      </w:r>
    </w:p>
    <w:p w:rsidR="000E18F4" w:rsidRDefault="000E18F4" w:rsidP="000E18F4">
      <w:pPr>
        <w:pStyle w:val="Bullet"/>
        <w:rPr>
          <w:shd w:val="clear" w:color="auto" w:fill="FFFFFF"/>
        </w:rPr>
      </w:pPr>
      <w:r>
        <w:rPr>
          <w:shd w:val="clear" w:color="auto" w:fill="FFFFFF"/>
        </w:rPr>
        <w:t>Taylors</w:t>
      </w:r>
      <w:r w:rsidR="00E07E82">
        <w:rPr>
          <w:shd w:val="clear" w:color="auto" w:fill="FFFFFF"/>
        </w:rPr>
        <w:t xml:space="preserve"> (sauces and condiments)</w:t>
      </w:r>
    </w:p>
    <w:p w:rsidR="000E18F4" w:rsidRDefault="000E18F4" w:rsidP="000E18F4">
      <w:pPr>
        <w:pStyle w:val="Bullet"/>
        <w:rPr>
          <w:shd w:val="clear" w:color="auto" w:fill="FFFFFF"/>
        </w:rPr>
      </w:pPr>
      <w:r>
        <w:rPr>
          <w:shd w:val="clear" w:color="auto" w:fill="FFFFFF"/>
        </w:rPr>
        <w:t>Weight Watchers</w:t>
      </w:r>
      <w:r w:rsidR="00E07E82">
        <w:rPr>
          <w:shd w:val="clear" w:color="auto" w:fill="FFFFFF"/>
        </w:rPr>
        <w:t xml:space="preserve"> (fruits and spreads)</w:t>
      </w:r>
    </w:p>
    <w:p w:rsidR="007A11FF" w:rsidRDefault="007A11FF" w:rsidP="007A11FF">
      <w:pPr>
        <w:rPr>
          <w:shd w:val="clear" w:color="auto" w:fill="FFFFFF"/>
        </w:rPr>
      </w:pPr>
      <w:r>
        <w:rPr>
          <w:shd w:val="clear" w:color="auto" w:fill="FFFFFF"/>
        </w:rPr>
        <w:lastRenderedPageBreak/>
        <w:t>SPCA international brands include:</w:t>
      </w:r>
    </w:p>
    <w:p w:rsidR="009357FE" w:rsidRDefault="009357FE" w:rsidP="000E18F4">
      <w:pPr>
        <w:pStyle w:val="Bullet"/>
        <w:rPr>
          <w:shd w:val="clear" w:color="auto" w:fill="FFFFFF"/>
        </w:rPr>
      </w:pPr>
      <w:r>
        <w:rPr>
          <w:shd w:val="clear" w:color="auto" w:fill="FFFFFF"/>
        </w:rPr>
        <w:t>Natures Finest</w:t>
      </w:r>
    </w:p>
    <w:p w:rsidR="009357FE" w:rsidRDefault="009357FE" w:rsidP="000E18F4">
      <w:pPr>
        <w:pStyle w:val="Bullet"/>
        <w:rPr>
          <w:shd w:val="clear" w:color="auto" w:fill="FFFFFF"/>
        </w:rPr>
      </w:pPr>
      <w:r>
        <w:rPr>
          <w:shd w:val="clear" w:color="auto" w:fill="FFFFFF"/>
        </w:rPr>
        <w:t>Healthy Options</w:t>
      </w:r>
    </w:p>
    <w:p w:rsidR="005049CA" w:rsidRPr="005049CA" w:rsidRDefault="005049CA" w:rsidP="005049CA">
      <w:pPr>
        <w:pStyle w:val="Heading2"/>
      </w:pPr>
      <w:bookmarkStart w:id="5" w:name="_Toc358806192"/>
      <w:r w:rsidRPr="005049CA">
        <w:t>Regional Linkages</w:t>
      </w:r>
      <w:bookmarkEnd w:id="5"/>
    </w:p>
    <w:p w:rsidR="005049CA" w:rsidRPr="00DC5C4C" w:rsidRDefault="005049CA" w:rsidP="005049CA">
      <w:r>
        <w:t xml:space="preserve">SPCA </w:t>
      </w:r>
      <w:r w:rsidR="00841DB5">
        <w:t>has</w:t>
      </w:r>
      <w:r>
        <w:t xml:space="preserve"> significant supply chain linkages within the region, but principally with businesses located in the Greater Shepparton and Moira municipalities. Information provided by SPCA shows the company currently has supply contracts with 560 or so regional businesses</w:t>
      </w:r>
      <w:r w:rsidR="00C92BB4">
        <w:t>,</w:t>
      </w:r>
      <w:r>
        <w:t xml:space="preserve"> including approximately 230 fruit growers </w:t>
      </w:r>
      <w:r w:rsidR="00AB347C">
        <w:t>and pack</w:t>
      </w:r>
      <w:r>
        <w:t xml:space="preserve"> houses</w:t>
      </w:r>
      <w:r w:rsidR="00C92BB4">
        <w:t>, and</w:t>
      </w:r>
      <w:r>
        <w:t xml:space="preserve"> with the value of supply contracts in excess of $100 million on an annual basis. </w:t>
      </w:r>
    </w:p>
    <w:p w:rsidR="009357FE" w:rsidRPr="005049CA" w:rsidRDefault="009357FE" w:rsidP="005049CA">
      <w:pPr>
        <w:pStyle w:val="Heading2"/>
      </w:pPr>
      <w:bookmarkStart w:id="6" w:name="_Toc358806193"/>
      <w:r w:rsidRPr="005049CA">
        <w:t>Growers</w:t>
      </w:r>
      <w:bookmarkEnd w:id="6"/>
    </w:p>
    <w:p w:rsidR="009357FE" w:rsidRPr="009357FE" w:rsidRDefault="00C92BB4" w:rsidP="009357FE">
      <w:pPr>
        <w:rPr>
          <w:shd w:val="clear" w:color="auto" w:fill="FFFFFF"/>
        </w:rPr>
      </w:pPr>
      <w:r>
        <w:rPr>
          <w:shd w:val="clear" w:color="auto" w:fill="FFFFFF"/>
        </w:rPr>
        <w:t>T</w:t>
      </w:r>
      <w:r w:rsidR="009357FE" w:rsidRPr="009357FE">
        <w:rPr>
          <w:shd w:val="clear" w:color="auto" w:fill="FFFFFF"/>
        </w:rPr>
        <w:t xml:space="preserve">he majority of permanent planting </w:t>
      </w:r>
      <w:r>
        <w:rPr>
          <w:shd w:val="clear" w:color="auto" w:fill="FFFFFF"/>
        </w:rPr>
        <w:t xml:space="preserve">in the GV Region </w:t>
      </w:r>
      <w:r w:rsidR="009357FE" w:rsidRPr="009357FE">
        <w:rPr>
          <w:shd w:val="clear" w:color="auto" w:fill="FFFFFF"/>
        </w:rPr>
        <w:t xml:space="preserve">is devoted to apples, pears, peaches, nectarines, plums and apricots. </w:t>
      </w:r>
      <w:r>
        <w:rPr>
          <w:shd w:val="clear" w:color="auto" w:fill="FFFFFF"/>
        </w:rPr>
        <w:t>T</w:t>
      </w:r>
      <w:r w:rsidRPr="009357FE">
        <w:rPr>
          <w:shd w:val="clear" w:color="auto" w:fill="FFFFFF"/>
        </w:rPr>
        <w:t>he remainder of the G</w:t>
      </w:r>
      <w:r>
        <w:rPr>
          <w:shd w:val="clear" w:color="auto" w:fill="FFFFFF"/>
        </w:rPr>
        <w:t xml:space="preserve">V Region’s </w:t>
      </w:r>
      <w:r w:rsidRPr="009357FE">
        <w:rPr>
          <w:shd w:val="clear" w:color="auto" w:fill="FFFFFF"/>
        </w:rPr>
        <w:t xml:space="preserve">crops </w:t>
      </w:r>
      <w:r>
        <w:rPr>
          <w:shd w:val="clear" w:color="auto" w:fill="FFFFFF"/>
        </w:rPr>
        <w:t>comprise c</w:t>
      </w:r>
      <w:r w:rsidR="009357FE" w:rsidRPr="009357FE">
        <w:rPr>
          <w:shd w:val="clear" w:color="auto" w:fill="FFFFFF"/>
        </w:rPr>
        <w:t>herries, citrus, gra</w:t>
      </w:r>
      <w:r w:rsidR="00D40953">
        <w:rPr>
          <w:shd w:val="clear" w:color="auto" w:fill="FFFFFF"/>
        </w:rPr>
        <w:t>pes, kiwifruit and other fruits</w:t>
      </w:r>
      <w:r w:rsidR="009357FE" w:rsidRPr="009357FE">
        <w:rPr>
          <w:shd w:val="clear" w:color="auto" w:fill="FFFFFF"/>
        </w:rPr>
        <w:t>. </w:t>
      </w:r>
      <w:r>
        <w:rPr>
          <w:shd w:val="clear" w:color="auto" w:fill="FFFFFF"/>
        </w:rPr>
        <w:t xml:space="preserve">In addition, the </w:t>
      </w:r>
      <w:r w:rsidR="009357FE" w:rsidRPr="009357FE">
        <w:rPr>
          <w:shd w:val="clear" w:color="auto" w:fill="FFFFFF"/>
        </w:rPr>
        <w:t xml:space="preserve">annual crop of processing tomatoes </w:t>
      </w:r>
      <w:r>
        <w:rPr>
          <w:shd w:val="clear" w:color="auto" w:fill="FFFFFF"/>
        </w:rPr>
        <w:t xml:space="preserve">is </w:t>
      </w:r>
      <w:r w:rsidR="009357FE" w:rsidRPr="009357FE">
        <w:rPr>
          <w:shd w:val="clear" w:color="auto" w:fill="FFFFFF"/>
        </w:rPr>
        <w:t>in excess of 2,500 hectares.</w:t>
      </w:r>
    </w:p>
    <w:p w:rsidR="009357FE" w:rsidRDefault="009357FE" w:rsidP="009357FE">
      <w:pPr>
        <w:rPr>
          <w:shd w:val="clear" w:color="auto" w:fill="FFFFFF"/>
        </w:rPr>
      </w:pPr>
      <w:r w:rsidRPr="009357FE">
        <w:rPr>
          <w:shd w:val="clear" w:color="auto" w:fill="FFFFFF"/>
        </w:rPr>
        <w:t xml:space="preserve">The main growing areas </w:t>
      </w:r>
      <w:r w:rsidR="00C92BB4">
        <w:rPr>
          <w:shd w:val="clear" w:color="auto" w:fill="FFFFFF"/>
        </w:rPr>
        <w:t xml:space="preserve">from which </w:t>
      </w:r>
      <w:r>
        <w:rPr>
          <w:shd w:val="clear" w:color="auto" w:fill="FFFFFF"/>
        </w:rPr>
        <w:t>SPCA source</w:t>
      </w:r>
      <w:r w:rsidR="00C92BB4">
        <w:rPr>
          <w:shd w:val="clear" w:color="auto" w:fill="FFFFFF"/>
        </w:rPr>
        <w:t>s</w:t>
      </w:r>
      <w:r>
        <w:rPr>
          <w:shd w:val="clear" w:color="auto" w:fill="FFFFFF"/>
        </w:rPr>
        <w:t xml:space="preserve"> </w:t>
      </w:r>
      <w:r w:rsidRPr="009357FE">
        <w:rPr>
          <w:shd w:val="clear" w:color="auto" w:fill="FFFFFF"/>
        </w:rPr>
        <w:t xml:space="preserve">fruit </w:t>
      </w:r>
      <w:r>
        <w:rPr>
          <w:shd w:val="clear" w:color="auto" w:fill="FFFFFF"/>
        </w:rPr>
        <w:t xml:space="preserve">in the GV Region are </w:t>
      </w:r>
      <w:r w:rsidRPr="009357FE">
        <w:rPr>
          <w:shd w:val="clear" w:color="auto" w:fill="FFFFFF"/>
        </w:rPr>
        <w:t xml:space="preserve">Shepparton, Cobram, Invergordon, Bunbartha, Ardmona, Tatura and Kyabram, all of which are </w:t>
      </w:r>
      <w:r w:rsidR="00C92BB4">
        <w:rPr>
          <w:shd w:val="clear" w:color="auto" w:fill="FFFFFF"/>
        </w:rPr>
        <w:t xml:space="preserve">located </w:t>
      </w:r>
      <w:r w:rsidRPr="009357FE">
        <w:rPr>
          <w:shd w:val="clear" w:color="auto" w:fill="FFFFFF"/>
        </w:rPr>
        <w:t xml:space="preserve">within one hour of </w:t>
      </w:r>
      <w:r>
        <w:rPr>
          <w:shd w:val="clear" w:color="auto" w:fill="FFFFFF"/>
        </w:rPr>
        <w:t xml:space="preserve">SPCA’s main </w:t>
      </w:r>
      <w:r w:rsidRPr="009357FE">
        <w:rPr>
          <w:shd w:val="clear" w:color="auto" w:fill="FFFFFF"/>
        </w:rPr>
        <w:t xml:space="preserve">processing </w:t>
      </w:r>
      <w:r>
        <w:rPr>
          <w:shd w:val="clear" w:color="auto" w:fill="FFFFFF"/>
        </w:rPr>
        <w:t xml:space="preserve">and distribution </w:t>
      </w:r>
      <w:r w:rsidRPr="009357FE">
        <w:rPr>
          <w:shd w:val="clear" w:color="auto" w:fill="FFFFFF"/>
        </w:rPr>
        <w:t>facilities.</w:t>
      </w:r>
    </w:p>
    <w:p w:rsidR="00F86090" w:rsidRDefault="00F86090" w:rsidP="00F86090">
      <w:pPr>
        <w:pStyle w:val="Heading2"/>
      </w:pPr>
      <w:bookmarkStart w:id="7" w:name="_Toc358806194"/>
      <w:r>
        <w:t>Summary</w:t>
      </w:r>
      <w:bookmarkEnd w:id="7"/>
    </w:p>
    <w:p w:rsidR="00EF2DC0" w:rsidRPr="00EF2DC0" w:rsidRDefault="00EF2DC0" w:rsidP="00EF2DC0">
      <w:r>
        <w:t>SPCA</w:t>
      </w:r>
      <w:r w:rsidR="007A11FF">
        <w:t xml:space="preserve"> is one of Greater Shepparton’s largest and most established operators and </w:t>
      </w:r>
      <w:r w:rsidR="00C92BB4">
        <w:t xml:space="preserve">has </w:t>
      </w:r>
      <w:r w:rsidR="007A11FF">
        <w:t>an important presence in Victoria’s Food Bowl. The company play</w:t>
      </w:r>
      <w:r w:rsidR="00C92BB4">
        <w:t>s</w:t>
      </w:r>
      <w:r w:rsidR="007A11FF">
        <w:t xml:space="preserve"> </w:t>
      </w:r>
      <w:r>
        <w:t>a vital role in the Goulburn Valley</w:t>
      </w:r>
      <w:r w:rsidR="007A11FF">
        <w:t xml:space="preserve"> economy through direct employment at its sites, significant production of major food brands, its many supply contracts to fruit growers and other businesses, and sunk investment in its facilities </w:t>
      </w:r>
      <w:r w:rsidR="00AB347C">
        <w:t>across the</w:t>
      </w:r>
      <w:r w:rsidR="007A11FF">
        <w:t xml:space="preserve"> region.   </w:t>
      </w:r>
    </w:p>
    <w:p w:rsidR="00F86090" w:rsidRPr="00F86090" w:rsidRDefault="00BC4468" w:rsidP="00F86090">
      <w:pPr>
        <w:pStyle w:val="Heading1"/>
      </w:pPr>
      <w:bookmarkStart w:id="8" w:name="_Toc358806195"/>
      <w:r>
        <w:lastRenderedPageBreak/>
        <w:t xml:space="preserve">Existing </w:t>
      </w:r>
      <w:r w:rsidR="00102756">
        <w:t>SPCA</w:t>
      </w:r>
      <w:r>
        <w:t xml:space="preserve"> Operations</w:t>
      </w:r>
      <w:r w:rsidR="00102756">
        <w:t xml:space="preserve"> and</w:t>
      </w:r>
      <w:r w:rsidR="00C41FF2">
        <w:t xml:space="preserve"> Commercial</w:t>
      </w:r>
      <w:r w:rsidR="00102756">
        <w:t xml:space="preserve"> Chall</w:t>
      </w:r>
      <w:r w:rsidR="00C973CD">
        <w:t>e</w:t>
      </w:r>
      <w:r w:rsidR="00102756">
        <w:t>nges</w:t>
      </w:r>
      <w:bookmarkEnd w:id="8"/>
    </w:p>
    <w:p w:rsidR="00616313" w:rsidRDefault="00616313" w:rsidP="00616313">
      <w:pPr>
        <w:pStyle w:val="Heading2"/>
      </w:pPr>
      <w:bookmarkStart w:id="9" w:name="_Toc358806196"/>
      <w:r>
        <w:t>Existing Operations</w:t>
      </w:r>
      <w:bookmarkEnd w:id="9"/>
    </w:p>
    <w:p w:rsidR="005049CA" w:rsidRDefault="00102756" w:rsidP="00102756">
      <w:r>
        <w:t xml:space="preserve">SPCA currently </w:t>
      </w:r>
      <w:r w:rsidR="00841DB5">
        <w:t>operates</w:t>
      </w:r>
      <w:r>
        <w:t xml:space="preserve"> out of the following facilities:</w:t>
      </w:r>
    </w:p>
    <w:p w:rsidR="007A11FF" w:rsidRPr="007A11FF" w:rsidRDefault="007A11FF" w:rsidP="007A11FF">
      <w:pPr>
        <w:pStyle w:val="Bullet"/>
        <w:rPr>
          <w:shd w:val="clear" w:color="auto" w:fill="FFFFFF"/>
        </w:rPr>
      </w:pPr>
      <w:r w:rsidRPr="007A11FF">
        <w:rPr>
          <w:shd w:val="clear" w:color="auto" w:fill="FFFFFF"/>
        </w:rPr>
        <w:t>Andrew Fairly Avenue, Shepparton</w:t>
      </w:r>
    </w:p>
    <w:p w:rsidR="007A11FF" w:rsidRPr="007A11FF" w:rsidRDefault="00C908F5" w:rsidP="007A11FF">
      <w:pPr>
        <w:pStyle w:val="Bullet"/>
        <w:rPr>
          <w:shd w:val="clear" w:color="auto" w:fill="FFFFFF"/>
        </w:rPr>
      </w:pPr>
      <w:r>
        <w:rPr>
          <w:shd w:val="clear" w:color="auto" w:fill="FFFFFF"/>
        </w:rPr>
        <w:t xml:space="preserve">765 </w:t>
      </w:r>
      <w:proofErr w:type="spellStart"/>
      <w:r w:rsidR="007A11FF" w:rsidRPr="007A11FF">
        <w:rPr>
          <w:shd w:val="clear" w:color="auto" w:fill="FFFFFF"/>
        </w:rPr>
        <w:t>Dougan</w:t>
      </w:r>
      <w:proofErr w:type="spellEnd"/>
      <w:r w:rsidR="007A11FF" w:rsidRPr="007A11FF">
        <w:rPr>
          <w:shd w:val="clear" w:color="auto" w:fill="FFFFFF"/>
        </w:rPr>
        <w:t xml:space="preserve"> Road, Coomboona</w:t>
      </w:r>
    </w:p>
    <w:p w:rsidR="00102756" w:rsidRDefault="00C908F5" w:rsidP="007A11FF">
      <w:pPr>
        <w:pStyle w:val="Bullet"/>
        <w:rPr>
          <w:shd w:val="clear" w:color="auto" w:fill="FFFFFF"/>
        </w:rPr>
      </w:pPr>
      <w:r>
        <w:rPr>
          <w:shd w:val="clear" w:color="auto" w:fill="FFFFFF"/>
        </w:rPr>
        <w:t xml:space="preserve">65 </w:t>
      </w:r>
      <w:r w:rsidR="007A11FF" w:rsidRPr="007A11FF">
        <w:rPr>
          <w:shd w:val="clear" w:color="auto" w:fill="FFFFFF"/>
        </w:rPr>
        <w:t>Young Street</w:t>
      </w:r>
      <w:r>
        <w:rPr>
          <w:shd w:val="clear" w:color="auto" w:fill="FFFFFF"/>
        </w:rPr>
        <w:t>,</w:t>
      </w:r>
      <w:r w:rsidR="007A11FF" w:rsidRPr="007A11FF">
        <w:rPr>
          <w:shd w:val="clear" w:color="auto" w:fill="FFFFFF"/>
        </w:rPr>
        <w:t xml:space="preserve"> Mooroopna</w:t>
      </w:r>
    </w:p>
    <w:p w:rsidR="00C908F5" w:rsidRDefault="00C908F5" w:rsidP="007A11FF">
      <w:pPr>
        <w:pStyle w:val="Bullet"/>
        <w:rPr>
          <w:shd w:val="clear" w:color="auto" w:fill="FFFFFF"/>
        </w:rPr>
      </w:pPr>
      <w:r>
        <w:rPr>
          <w:shd w:val="clear" w:color="auto" w:fill="FFFFFF"/>
        </w:rPr>
        <w:t>30 Young Street, Mooroopna</w:t>
      </w:r>
    </w:p>
    <w:p w:rsidR="00E34EF5" w:rsidRPr="007A11FF" w:rsidRDefault="00AC2BA4" w:rsidP="007A11FF">
      <w:pPr>
        <w:pStyle w:val="Bullet"/>
        <w:rPr>
          <w:shd w:val="clear" w:color="auto" w:fill="FFFFFF"/>
        </w:rPr>
      </w:pPr>
      <w:r>
        <w:rPr>
          <w:shd w:val="clear" w:color="auto" w:fill="FFFFFF"/>
        </w:rPr>
        <w:t xml:space="preserve">Church Street, </w:t>
      </w:r>
      <w:r w:rsidR="00E34EF5">
        <w:rPr>
          <w:shd w:val="clear" w:color="auto" w:fill="FFFFFF"/>
        </w:rPr>
        <w:t>Kyabram</w:t>
      </w:r>
    </w:p>
    <w:p w:rsidR="00102756" w:rsidRPr="00102756" w:rsidRDefault="00C908F5" w:rsidP="00102756">
      <w:r>
        <w:t xml:space="preserve">In 2012, SPCA produced approximately 135,000 tonnes of product and employed </w:t>
      </w:r>
      <w:r w:rsidR="00C73347">
        <w:t>360</w:t>
      </w:r>
      <w:r>
        <w:t xml:space="preserve"> Full Time Equivalent (FTE) staff</w:t>
      </w:r>
      <w:r w:rsidR="00C73347">
        <w:t xml:space="preserve"> in the GV Region</w:t>
      </w:r>
      <w:r>
        <w:t xml:space="preserve">, as well as </w:t>
      </w:r>
      <w:r w:rsidR="00C92BB4">
        <w:t xml:space="preserve">more than </w:t>
      </w:r>
      <w:r w:rsidR="00C73347">
        <w:t xml:space="preserve">1,000 </w:t>
      </w:r>
      <w:r>
        <w:t>casual seasonal workers.</w:t>
      </w:r>
    </w:p>
    <w:p w:rsidR="00616313" w:rsidRDefault="00616313" w:rsidP="00616313">
      <w:pPr>
        <w:pStyle w:val="Heading2"/>
      </w:pPr>
      <w:bookmarkStart w:id="10" w:name="_Toc358806197"/>
      <w:r>
        <w:t xml:space="preserve">Recent </w:t>
      </w:r>
      <w:r w:rsidR="00BC4468">
        <w:t>Operational Changes and Outlook</w:t>
      </w:r>
      <w:bookmarkEnd w:id="10"/>
    </w:p>
    <w:p w:rsidR="00DD481D" w:rsidRDefault="00DD481D" w:rsidP="00DD481D">
      <w:pPr>
        <w:pStyle w:val="Heading4"/>
      </w:pPr>
      <w:r>
        <w:t>Strong Australian Dollar</w:t>
      </w:r>
    </w:p>
    <w:p w:rsidR="0034510E" w:rsidRDefault="0034510E" w:rsidP="0034510E">
      <w:pPr>
        <w:rPr>
          <w:shd w:val="clear" w:color="auto" w:fill="FFFFFF"/>
        </w:rPr>
      </w:pPr>
      <w:r>
        <w:rPr>
          <w:shd w:val="clear" w:color="auto" w:fill="FFFFFF"/>
        </w:rPr>
        <w:t>The Trade Weighted Index (TWI) is a weighted average of a basket of currencies that reflects the importance of the sum of Australia's exports and imports of goods by country. The TWI is often used as one indicator of Australia's international competitiveness and is a useful gauge of the value of the Australian dollar when bilateral exchange rates exhibit diverging trends. As Figure 2.</w:t>
      </w:r>
      <w:r w:rsidR="00AC2BA4">
        <w:rPr>
          <w:shd w:val="clear" w:color="auto" w:fill="FFFFFF"/>
        </w:rPr>
        <w:t>1</w:t>
      </w:r>
      <w:r>
        <w:rPr>
          <w:shd w:val="clear" w:color="auto" w:fill="FFFFFF"/>
        </w:rPr>
        <w:t xml:space="preserve"> highlights, the TWI has risen sharply since the initial impacts of the GFC, with the period from mid-2009 to 2013 putting the TWI at near record levels</w:t>
      </w:r>
      <w:r w:rsidR="001530DF">
        <w:rPr>
          <w:shd w:val="clear" w:color="auto" w:fill="FFFFFF"/>
        </w:rPr>
        <w:t xml:space="preserve"> (although levels have fallen back recently)</w:t>
      </w:r>
      <w:r>
        <w:rPr>
          <w:shd w:val="clear" w:color="auto" w:fill="FFFFFF"/>
        </w:rPr>
        <w:t>.</w:t>
      </w:r>
    </w:p>
    <w:p w:rsidR="00AC2BA4" w:rsidRDefault="0034510E" w:rsidP="0034510E">
      <w:r>
        <w:t xml:space="preserve">Australia’s high currency rate has impacted adversely on the competitiveness of many industry sectors, especially those exposed to overseas competition. In the Goulburn Valley, manufacturing, dairy and food processing have been negatively impacted by the high exchange rate, leading to cheaper goods and services being sourced overseas. </w:t>
      </w:r>
      <w:r w:rsidR="00AC2BA4">
        <w:t>In the past few years significant regional job losses have occurred in the food processing sector</w:t>
      </w:r>
      <w:r w:rsidR="007A2997">
        <w:t>,</w:t>
      </w:r>
      <w:r w:rsidR="00AC2BA4">
        <w:t xml:space="preserve"> including at </w:t>
      </w:r>
      <w:r>
        <w:t>SPC Ardmona</w:t>
      </w:r>
      <w:r w:rsidR="00AC2BA4">
        <w:t xml:space="preserve">, Heinz, Nestle and </w:t>
      </w:r>
      <w:proofErr w:type="spellStart"/>
      <w:r w:rsidR="00AC2BA4">
        <w:t>Campbells</w:t>
      </w:r>
      <w:proofErr w:type="spellEnd"/>
      <w:r w:rsidR="00AC2BA4">
        <w:t xml:space="preserve"> Soups. </w:t>
      </w:r>
      <w:r>
        <w:t xml:space="preserve"> </w:t>
      </w:r>
    </w:p>
    <w:p w:rsidR="0034510E" w:rsidRDefault="0034510E" w:rsidP="0034510E">
      <w:r>
        <w:t xml:space="preserve">The high dollar (leading to increased purchasing power for buyers, including major supermarket chains) is principally responsible for a sharp increase in imported cheap canned fruit from North America and Europe, impacting adversely on the competitiveness of the local fruit processing sector.  </w:t>
      </w:r>
      <w:r w:rsidR="00AC2BA4">
        <w:t xml:space="preserve">Additionally, the high dollar has reduced processed food </w:t>
      </w:r>
      <w:r>
        <w:t xml:space="preserve">exports </w:t>
      </w:r>
      <w:r w:rsidR="00AC2BA4">
        <w:t>s</w:t>
      </w:r>
      <w:r>
        <w:t>ignificantly.</w:t>
      </w:r>
    </w:p>
    <w:p w:rsidR="006859E9" w:rsidRDefault="006859E9">
      <w:pPr>
        <w:spacing w:before="0" w:after="200" w:line="276" w:lineRule="auto"/>
        <w:rPr>
          <w:rFonts w:cs="Calibri"/>
          <w:b/>
          <w:bCs/>
          <w:lang w:eastAsia="en-AU"/>
        </w:rPr>
      </w:pPr>
      <w:r>
        <w:rPr>
          <w:rFonts w:cs="Calibri"/>
          <w:b/>
          <w:bCs/>
          <w:lang w:eastAsia="en-AU"/>
        </w:rPr>
        <w:br w:type="page"/>
      </w:r>
    </w:p>
    <w:p w:rsidR="00DD481D" w:rsidRPr="00DD481D" w:rsidRDefault="00DD481D" w:rsidP="00DD481D">
      <w:pPr>
        <w:widowControl w:val="0"/>
        <w:autoSpaceDE w:val="0"/>
        <w:autoSpaceDN w:val="0"/>
        <w:adjustRightInd w:val="0"/>
        <w:spacing w:before="120" w:after="120" w:line="240" w:lineRule="exact"/>
        <w:ind w:left="851" w:hanging="851"/>
      </w:pPr>
      <w:r>
        <w:rPr>
          <w:rFonts w:cs="Calibri"/>
          <w:b/>
          <w:bCs/>
          <w:lang w:eastAsia="en-AU"/>
        </w:rPr>
        <w:lastRenderedPageBreak/>
        <w:t>Figure 2.1</w:t>
      </w:r>
      <w:r w:rsidRPr="00363790">
        <w:rPr>
          <w:rFonts w:cs="Calibri"/>
          <w:b/>
          <w:bCs/>
          <w:lang w:eastAsia="en-AU"/>
        </w:rPr>
        <w:t>:</w:t>
      </w:r>
      <w:r w:rsidRPr="00363790">
        <w:rPr>
          <w:rFonts w:cs="Calibri"/>
          <w:b/>
          <w:bCs/>
          <w:lang w:eastAsia="en-AU"/>
        </w:rPr>
        <w:tab/>
      </w:r>
      <w:r>
        <w:rPr>
          <w:rFonts w:cs="Calibri"/>
          <w:b/>
          <w:bCs/>
          <w:lang w:eastAsia="en-AU"/>
        </w:rPr>
        <w:t>Australian Trade Weighted Index (Fe</w:t>
      </w:r>
      <w:r w:rsidR="007A2997">
        <w:rPr>
          <w:rFonts w:cs="Calibri"/>
          <w:b/>
          <w:bCs/>
          <w:lang w:eastAsia="en-AU"/>
        </w:rPr>
        <w:t>bruary</w:t>
      </w:r>
      <w:r>
        <w:rPr>
          <w:rFonts w:cs="Calibri"/>
          <w:b/>
          <w:bCs/>
          <w:lang w:eastAsia="en-AU"/>
        </w:rPr>
        <w:t xml:space="preserve"> 1984 to May 2013)</w:t>
      </w:r>
    </w:p>
    <w:p w:rsidR="00DD481D" w:rsidRPr="00DD481D" w:rsidRDefault="00DD481D" w:rsidP="002E7540">
      <w:pPr>
        <w:spacing w:after="120"/>
      </w:pPr>
      <w:r>
        <w:rPr>
          <w:noProof/>
          <w:lang w:eastAsia="en-AU"/>
        </w:rPr>
        <w:drawing>
          <wp:inline distT="0" distB="0" distL="0" distR="0" wp14:anchorId="473ACDBA" wp14:editId="35F3387B">
            <wp:extent cx="5399316" cy="2828925"/>
            <wp:effectExtent l="19050" t="19050" r="11430" b="9525"/>
            <wp:docPr id="1" name="Picture 1" descr="C:\Users\jnoronha\Downloads\AU Trade Weighted Inde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noronha\Downloads\AU Trade Weighted Index (2).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14074" b="12592"/>
                    <a:stretch/>
                  </pic:blipFill>
                  <pic:spPr bwMode="auto">
                    <a:xfrm>
                      <a:off x="0" y="0"/>
                      <a:ext cx="5400675" cy="2829637"/>
                    </a:xfrm>
                    <a:prstGeom prst="rect">
                      <a:avLst/>
                    </a:prstGeom>
                    <a:solidFill>
                      <a:schemeClr val="accent1"/>
                    </a:solidFill>
                    <a:ln w="15875" cap="flat" cmpd="sng" algn="ctr">
                      <a:solidFill>
                        <a:srgbClr val="C40B06"/>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D481D" w:rsidRDefault="00DD481D" w:rsidP="00DD481D">
      <w:pPr>
        <w:pStyle w:val="Source"/>
      </w:pPr>
      <w:r>
        <w:t>S</w:t>
      </w:r>
      <w:r>
        <w:rPr>
          <w:spacing w:val="-1"/>
        </w:rPr>
        <w:t>o</w:t>
      </w:r>
      <w:r>
        <w:t>u</w:t>
      </w:r>
      <w:r>
        <w:rPr>
          <w:spacing w:val="-1"/>
        </w:rPr>
        <w:t>rce</w:t>
      </w:r>
      <w:r>
        <w:t>:                 Reserve Bank of Australia</w:t>
      </w:r>
    </w:p>
    <w:p w:rsidR="00DD481D" w:rsidRDefault="00272A98" w:rsidP="00DD481D">
      <w:pPr>
        <w:pStyle w:val="Source"/>
      </w:pPr>
      <w:hyperlink r:id="rId18" w:history="1">
        <w:r w:rsidR="00DD481D" w:rsidRPr="00DD481D">
          <w:t>http://fxtrade.oanda.com/analysis/economic-indicators/australia/indices/trade-weighted-index</w:t>
        </w:r>
      </w:hyperlink>
    </w:p>
    <w:p w:rsidR="00AF0C5A" w:rsidRDefault="00E51535" w:rsidP="00AF0C5A">
      <w:pPr>
        <w:pStyle w:val="Heading4"/>
      </w:pPr>
      <w:r>
        <w:t>Chan</w:t>
      </w:r>
      <w:r w:rsidR="007A2997">
        <w:t>g</w:t>
      </w:r>
      <w:r>
        <w:t xml:space="preserve">ing </w:t>
      </w:r>
      <w:r w:rsidR="00AF0C5A">
        <w:t>Import and Export</w:t>
      </w:r>
      <w:r>
        <w:t xml:space="preserve"> Trends</w:t>
      </w:r>
    </w:p>
    <w:p w:rsidR="00E51535" w:rsidRDefault="007A2997" w:rsidP="00E51535">
      <w:pPr>
        <w:rPr>
          <w:shd w:val="clear" w:color="auto" w:fill="FFFFFF"/>
        </w:rPr>
      </w:pPr>
      <w:r>
        <w:rPr>
          <w:shd w:val="clear" w:color="auto" w:fill="FFFFFF"/>
        </w:rPr>
        <w:t>A significant change in import and export patterns for processed fruit and vegetables over recent years</w:t>
      </w:r>
      <w:r w:rsidRPr="00E51535">
        <w:rPr>
          <w:shd w:val="clear" w:color="auto" w:fill="FFFFFF"/>
        </w:rPr>
        <w:t xml:space="preserve"> </w:t>
      </w:r>
      <w:r>
        <w:rPr>
          <w:shd w:val="clear" w:color="auto" w:fill="FFFFFF"/>
        </w:rPr>
        <w:t xml:space="preserve">is evident in data published by the </w:t>
      </w:r>
      <w:r w:rsidR="00E51535" w:rsidRPr="00E51535">
        <w:rPr>
          <w:shd w:val="clear" w:color="auto" w:fill="FFFFFF"/>
        </w:rPr>
        <w:t xml:space="preserve">Department of Foreign Affairs and Trade </w:t>
      </w:r>
      <w:r w:rsidR="001530DF">
        <w:rPr>
          <w:shd w:val="clear" w:color="auto" w:fill="FFFFFF"/>
        </w:rPr>
        <w:t>(DFAT</w:t>
      </w:r>
      <w:r>
        <w:rPr>
          <w:shd w:val="clear" w:color="auto" w:fill="FFFFFF"/>
        </w:rPr>
        <w:t xml:space="preserve">, </w:t>
      </w:r>
      <w:r w:rsidR="00E51535" w:rsidRPr="001530DF">
        <w:rPr>
          <w:i/>
          <w:shd w:val="clear" w:color="auto" w:fill="FFFFFF"/>
        </w:rPr>
        <w:t>Composition of Trade 2011-12</w:t>
      </w:r>
      <w:r w:rsidR="00E51535">
        <w:rPr>
          <w:shd w:val="clear" w:color="auto" w:fill="FFFFFF"/>
        </w:rPr>
        <w:t>)</w:t>
      </w:r>
      <w:r w:rsidR="00D40953">
        <w:rPr>
          <w:shd w:val="clear" w:color="auto" w:fill="FFFFFF"/>
        </w:rPr>
        <w:t>.</w:t>
      </w:r>
      <w:r w:rsidR="00E51535">
        <w:rPr>
          <w:shd w:val="clear" w:color="auto" w:fill="FFFFFF"/>
        </w:rPr>
        <w:t xml:space="preserve"> </w:t>
      </w:r>
      <w:r>
        <w:rPr>
          <w:shd w:val="clear" w:color="auto" w:fill="FFFFFF"/>
        </w:rPr>
        <w:t>I</w:t>
      </w:r>
      <w:r w:rsidR="00E51535">
        <w:rPr>
          <w:shd w:val="clear" w:color="auto" w:fill="FFFFFF"/>
        </w:rPr>
        <w:t>nitially</w:t>
      </w:r>
      <w:r>
        <w:rPr>
          <w:shd w:val="clear" w:color="auto" w:fill="FFFFFF"/>
        </w:rPr>
        <w:t>,</w:t>
      </w:r>
      <w:r w:rsidR="00E51535">
        <w:rPr>
          <w:shd w:val="clear" w:color="auto" w:fill="FFFFFF"/>
        </w:rPr>
        <w:t xml:space="preserve"> import levels increased due to the implications of the drought (</w:t>
      </w:r>
      <w:proofErr w:type="spellStart"/>
      <w:r w:rsidR="00E51535">
        <w:rPr>
          <w:shd w:val="clear" w:color="auto" w:fill="FFFFFF"/>
        </w:rPr>
        <w:t>ie</w:t>
      </w:r>
      <w:proofErr w:type="spellEnd"/>
      <w:r w:rsidR="00E51535">
        <w:rPr>
          <w:shd w:val="clear" w:color="auto" w:fill="FFFFFF"/>
        </w:rPr>
        <w:t xml:space="preserve"> local producers could not supply sufficient product</w:t>
      </w:r>
      <w:r w:rsidR="001530DF">
        <w:rPr>
          <w:shd w:val="clear" w:color="auto" w:fill="FFFFFF"/>
        </w:rPr>
        <w:t xml:space="preserve"> during these periods</w:t>
      </w:r>
      <w:r w:rsidR="00E51535">
        <w:rPr>
          <w:shd w:val="clear" w:color="auto" w:fill="FFFFFF"/>
        </w:rPr>
        <w:t>)</w:t>
      </w:r>
      <w:r>
        <w:rPr>
          <w:shd w:val="clear" w:color="auto" w:fill="FFFFFF"/>
        </w:rPr>
        <w:t xml:space="preserve">; however, </w:t>
      </w:r>
      <w:r w:rsidR="00E51535">
        <w:rPr>
          <w:shd w:val="clear" w:color="auto" w:fill="FFFFFF"/>
        </w:rPr>
        <w:t xml:space="preserve">more recently Australia’s terms of trade have played an important role is determining the trade balance. </w:t>
      </w:r>
    </w:p>
    <w:p w:rsidR="00C46FCC" w:rsidRDefault="00E51535" w:rsidP="00E51535">
      <w:pPr>
        <w:rPr>
          <w:shd w:val="clear" w:color="auto" w:fill="FFFFFF"/>
        </w:rPr>
      </w:pPr>
      <w:r>
        <w:rPr>
          <w:shd w:val="clear" w:color="auto" w:fill="FFFFFF"/>
        </w:rPr>
        <w:t>For example, o</w:t>
      </w:r>
      <w:r w:rsidRPr="00E51535">
        <w:rPr>
          <w:shd w:val="clear" w:color="auto" w:fill="FFFFFF"/>
        </w:rPr>
        <w:t>ver the period 200</w:t>
      </w:r>
      <w:r w:rsidR="00C46FCC">
        <w:rPr>
          <w:shd w:val="clear" w:color="auto" w:fill="FFFFFF"/>
        </w:rPr>
        <w:t>6</w:t>
      </w:r>
      <w:r w:rsidRPr="00E51535">
        <w:rPr>
          <w:shd w:val="clear" w:color="auto" w:fill="FFFFFF"/>
        </w:rPr>
        <w:t>-2012</w:t>
      </w:r>
      <w:r w:rsidR="00C73347">
        <w:rPr>
          <w:shd w:val="clear" w:color="auto" w:fill="FFFFFF"/>
        </w:rPr>
        <w:t xml:space="preserve"> (where the value of the dollar has been at generally very high levels in historic – excepting a short period around the GFC)</w:t>
      </w:r>
      <w:r w:rsidRPr="00E51535">
        <w:rPr>
          <w:shd w:val="clear" w:color="auto" w:fill="FFFFFF"/>
        </w:rPr>
        <w:t xml:space="preserve">, </w:t>
      </w:r>
      <w:r>
        <w:rPr>
          <w:shd w:val="clear" w:color="auto" w:fill="FFFFFF"/>
        </w:rPr>
        <w:t xml:space="preserve">DFAT data shows </w:t>
      </w:r>
      <w:r w:rsidRPr="00E51535">
        <w:rPr>
          <w:shd w:val="clear" w:color="auto" w:fill="FFFFFF"/>
        </w:rPr>
        <w:t>the value of imported processed fruit and vegetables in Australia has increased by approximately $</w:t>
      </w:r>
      <w:r w:rsidR="00C46FCC">
        <w:rPr>
          <w:shd w:val="clear" w:color="auto" w:fill="FFFFFF"/>
        </w:rPr>
        <w:t>402</w:t>
      </w:r>
      <w:r w:rsidRPr="00E51535">
        <w:rPr>
          <w:shd w:val="clear" w:color="auto" w:fill="FFFFFF"/>
        </w:rPr>
        <w:t xml:space="preserve"> million pa</w:t>
      </w:r>
      <w:r w:rsidR="00C46FCC">
        <w:rPr>
          <w:shd w:val="clear" w:color="auto" w:fill="FFFFFF"/>
        </w:rPr>
        <w:t xml:space="preserve"> (from </w:t>
      </w:r>
      <w:r w:rsidR="001530DF">
        <w:rPr>
          <w:shd w:val="clear" w:color="auto" w:fill="FFFFFF"/>
        </w:rPr>
        <w:t>$421 million</w:t>
      </w:r>
      <w:r w:rsidR="00C46FCC">
        <w:rPr>
          <w:shd w:val="clear" w:color="auto" w:fill="FFFFFF"/>
        </w:rPr>
        <w:t xml:space="preserve"> in 2006 to </w:t>
      </w:r>
      <w:r w:rsidR="001530DF">
        <w:rPr>
          <w:shd w:val="clear" w:color="auto" w:fill="FFFFFF"/>
        </w:rPr>
        <w:t>$</w:t>
      </w:r>
      <w:r w:rsidR="00C46FCC">
        <w:rPr>
          <w:shd w:val="clear" w:color="auto" w:fill="FFFFFF"/>
        </w:rPr>
        <w:t>823</w:t>
      </w:r>
      <w:r w:rsidR="00566627">
        <w:rPr>
          <w:shd w:val="clear" w:color="auto" w:fill="FFFFFF"/>
        </w:rPr>
        <w:t xml:space="preserve"> </w:t>
      </w:r>
      <w:r w:rsidR="00C46FCC">
        <w:rPr>
          <w:shd w:val="clear" w:color="auto" w:fill="FFFFFF"/>
        </w:rPr>
        <w:t>m</w:t>
      </w:r>
      <w:r w:rsidR="00566627">
        <w:rPr>
          <w:shd w:val="clear" w:color="auto" w:fill="FFFFFF"/>
        </w:rPr>
        <w:t>illion</w:t>
      </w:r>
      <w:r w:rsidR="00C46FCC">
        <w:rPr>
          <w:shd w:val="clear" w:color="auto" w:fill="FFFFFF"/>
        </w:rPr>
        <w:t xml:space="preserve"> in 2012)</w:t>
      </w:r>
      <w:r w:rsidRPr="00E51535">
        <w:rPr>
          <w:shd w:val="clear" w:color="auto" w:fill="FFFFFF"/>
        </w:rPr>
        <w:t>, while exports have declined by approximately $</w:t>
      </w:r>
      <w:r w:rsidR="00C46FCC">
        <w:rPr>
          <w:shd w:val="clear" w:color="auto" w:fill="FFFFFF"/>
        </w:rPr>
        <w:t>37</w:t>
      </w:r>
      <w:r w:rsidRPr="00E51535">
        <w:rPr>
          <w:shd w:val="clear" w:color="auto" w:fill="FFFFFF"/>
        </w:rPr>
        <w:t xml:space="preserve"> million pa</w:t>
      </w:r>
      <w:r>
        <w:rPr>
          <w:shd w:val="clear" w:color="auto" w:fill="FFFFFF"/>
        </w:rPr>
        <w:t xml:space="preserve"> over the same period</w:t>
      </w:r>
      <w:r w:rsidR="00C46FCC">
        <w:rPr>
          <w:shd w:val="clear" w:color="auto" w:fill="FFFFFF"/>
        </w:rPr>
        <w:t xml:space="preserve"> (from $135</w:t>
      </w:r>
      <w:r w:rsidR="00566627">
        <w:rPr>
          <w:shd w:val="clear" w:color="auto" w:fill="FFFFFF"/>
        </w:rPr>
        <w:t xml:space="preserve"> </w:t>
      </w:r>
      <w:r w:rsidR="00C46FCC">
        <w:rPr>
          <w:shd w:val="clear" w:color="auto" w:fill="FFFFFF"/>
        </w:rPr>
        <w:t>m</w:t>
      </w:r>
      <w:r w:rsidR="00566627">
        <w:rPr>
          <w:shd w:val="clear" w:color="auto" w:fill="FFFFFF"/>
        </w:rPr>
        <w:t>illion</w:t>
      </w:r>
      <w:r w:rsidR="00C46FCC">
        <w:rPr>
          <w:shd w:val="clear" w:color="auto" w:fill="FFFFFF"/>
        </w:rPr>
        <w:t xml:space="preserve"> in 2006 to $98</w:t>
      </w:r>
      <w:r w:rsidR="00566627">
        <w:rPr>
          <w:shd w:val="clear" w:color="auto" w:fill="FFFFFF"/>
        </w:rPr>
        <w:t xml:space="preserve"> million</w:t>
      </w:r>
      <w:r w:rsidR="00C46FCC">
        <w:rPr>
          <w:shd w:val="clear" w:color="auto" w:fill="FFFFFF"/>
        </w:rPr>
        <w:t xml:space="preserve"> in 2012)</w:t>
      </w:r>
      <w:r w:rsidRPr="00E51535">
        <w:rPr>
          <w:shd w:val="clear" w:color="auto" w:fill="FFFFFF"/>
        </w:rPr>
        <w:t>.</w:t>
      </w:r>
      <w:r>
        <w:rPr>
          <w:shd w:val="clear" w:color="auto" w:fill="FFFFFF"/>
        </w:rPr>
        <w:t xml:space="preserve"> </w:t>
      </w:r>
    </w:p>
    <w:p w:rsidR="00C46FCC" w:rsidRDefault="00C46FCC" w:rsidP="00E51535">
      <w:pPr>
        <w:rPr>
          <w:shd w:val="clear" w:color="auto" w:fill="FFFFFF"/>
        </w:rPr>
      </w:pPr>
      <w:r>
        <w:rPr>
          <w:shd w:val="clear" w:color="auto" w:fill="FFFFFF"/>
        </w:rPr>
        <w:t xml:space="preserve">As Table 2.1 shows, in annual average growth terms imports have </w:t>
      </w:r>
      <w:r w:rsidR="007A2997">
        <w:rPr>
          <w:shd w:val="clear" w:color="auto" w:fill="FFFFFF"/>
        </w:rPr>
        <w:t xml:space="preserve">increased </w:t>
      </w:r>
      <w:r>
        <w:rPr>
          <w:shd w:val="clear" w:color="auto" w:fill="FFFFFF"/>
        </w:rPr>
        <w:t xml:space="preserve">by 12% pa and exports declined by -5% pa over the period, with the balance of imports to exports increasing by 17% </w:t>
      </w:r>
      <w:proofErr w:type="spellStart"/>
      <w:r>
        <w:rPr>
          <w:shd w:val="clear" w:color="auto" w:fill="FFFFFF"/>
        </w:rPr>
        <w:t>pa</w:t>
      </w:r>
      <w:proofErr w:type="spellEnd"/>
      <w:r>
        <w:rPr>
          <w:shd w:val="clear" w:color="auto" w:fill="FFFFFF"/>
        </w:rPr>
        <w:t xml:space="preserve"> </w:t>
      </w:r>
      <w:r w:rsidR="00566627">
        <w:rPr>
          <w:shd w:val="clear" w:color="auto" w:fill="FFFFFF"/>
        </w:rPr>
        <w:t xml:space="preserve">between </w:t>
      </w:r>
      <w:r>
        <w:rPr>
          <w:shd w:val="clear" w:color="auto" w:fill="FFFFFF"/>
        </w:rPr>
        <w:t>2006</w:t>
      </w:r>
      <w:r w:rsidR="00566627">
        <w:rPr>
          <w:shd w:val="clear" w:color="auto" w:fill="FFFFFF"/>
        </w:rPr>
        <w:t xml:space="preserve"> and 2012</w:t>
      </w:r>
      <w:r>
        <w:rPr>
          <w:shd w:val="clear" w:color="auto" w:fill="FFFFFF"/>
        </w:rPr>
        <w:t>.</w:t>
      </w:r>
    </w:p>
    <w:p w:rsidR="00E51535" w:rsidRDefault="00E51535" w:rsidP="00E51535">
      <w:r>
        <w:rPr>
          <w:shd w:val="clear" w:color="auto" w:fill="FFFFFF"/>
        </w:rPr>
        <w:t>Underpinning the growth in imports are major supermarket chains seeking cheaper product which is often sourced from</w:t>
      </w:r>
      <w:r>
        <w:t xml:space="preserve"> countries such as </w:t>
      </w:r>
      <w:r w:rsidRPr="000926CA">
        <w:t>South Africa, Argentina and China</w:t>
      </w:r>
      <w:r>
        <w:t>, where the Australian dollar’s purchasing power is strong and labour costs are generally much lower compared to costs in Australia.</w:t>
      </w:r>
    </w:p>
    <w:p w:rsidR="00683D94" w:rsidRDefault="00683D94" w:rsidP="00683D94">
      <w:pPr>
        <w:pStyle w:val="Caption"/>
        <w:spacing w:before="240"/>
      </w:pPr>
      <w:r w:rsidRPr="000A5AB7">
        <w:lastRenderedPageBreak/>
        <w:t xml:space="preserve">Table </w:t>
      </w:r>
      <w:r>
        <w:t>2</w:t>
      </w:r>
      <w:r w:rsidRPr="000A5AB7">
        <w:t>.1</w:t>
      </w:r>
      <w:r w:rsidRPr="000A5AB7">
        <w:tab/>
      </w:r>
      <w:r w:rsidR="005E7195">
        <w:t xml:space="preserve">Value of Australian Prepared or Preserved Fruit and Vegetable Imports and Exports, 2006-2012 </w:t>
      </w:r>
    </w:p>
    <w:tbl>
      <w:tblPr>
        <w:tblStyle w:val="TableEE"/>
        <w:tblW w:w="9149" w:type="dxa"/>
        <w:tblLook w:val="04A0" w:firstRow="1" w:lastRow="0" w:firstColumn="1" w:lastColumn="0" w:noHBand="0" w:noVBand="1"/>
      </w:tblPr>
      <w:tblGrid>
        <w:gridCol w:w="1871"/>
        <w:gridCol w:w="917"/>
        <w:gridCol w:w="924"/>
        <w:gridCol w:w="922"/>
        <w:gridCol w:w="879"/>
        <w:gridCol w:w="765"/>
        <w:gridCol w:w="739"/>
        <w:gridCol w:w="739"/>
        <w:gridCol w:w="776"/>
        <w:gridCol w:w="617"/>
      </w:tblGrid>
      <w:tr w:rsidR="005E7195" w:rsidRPr="000613E2" w:rsidTr="00C46FCC">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1871" w:type="dxa"/>
          </w:tcPr>
          <w:p w:rsidR="005E7195" w:rsidRPr="000613E2" w:rsidRDefault="00457AF2" w:rsidP="00C46FCC">
            <w:pPr>
              <w:spacing w:before="0"/>
              <w:rPr>
                <w:sz w:val="18"/>
                <w:szCs w:val="18"/>
              </w:rPr>
            </w:pPr>
            <w:r>
              <w:rPr>
                <w:sz w:val="18"/>
                <w:szCs w:val="18"/>
              </w:rPr>
              <w:t>Products</w:t>
            </w:r>
          </w:p>
        </w:tc>
        <w:tc>
          <w:tcPr>
            <w:tcW w:w="917" w:type="dxa"/>
          </w:tcPr>
          <w:p w:rsidR="005E7195" w:rsidRPr="000613E2" w:rsidRDefault="005E7195" w:rsidP="00C46FCC">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2006</w:t>
            </w:r>
          </w:p>
        </w:tc>
        <w:tc>
          <w:tcPr>
            <w:tcW w:w="924" w:type="dxa"/>
          </w:tcPr>
          <w:p w:rsidR="005E7195" w:rsidRPr="000613E2" w:rsidRDefault="005E7195" w:rsidP="00C46FCC">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2007</w:t>
            </w:r>
          </w:p>
        </w:tc>
        <w:tc>
          <w:tcPr>
            <w:tcW w:w="922" w:type="dxa"/>
          </w:tcPr>
          <w:p w:rsidR="005E7195" w:rsidRPr="000613E2" w:rsidRDefault="005E7195" w:rsidP="00C46FCC">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2008</w:t>
            </w:r>
          </w:p>
        </w:tc>
        <w:tc>
          <w:tcPr>
            <w:tcW w:w="879" w:type="dxa"/>
          </w:tcPr>
          <w:p w:rsidR="005E7195" w:rsidRPr="000613E2" w:rsidRDefault="005E7195" w:rsidP="00C46FCC">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2009</w:t>
            </w:r>
          </w:p>
        </w:tc>
        <w:tc>
          <w:tcPr>
            <w:tcW w:w="765" w:type="dxa"/>
          </w:tcPr>
          <w:p w:rsidR="005E7195" w:rsidRDefault="005E7195" w:rsidP="00C46FCC">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2010</w:t>
            </w:r>
          </w:p>
        </w:tc>
        <w:tc>
          <w:tcPr>
            <w:tcW w:w="739" w:type="dxa"/>
          </w:tcPr>
          <w:p w:rsidR="005E7195" w:rsidRDefault="005E7195" w:rsidP="00C46FCC">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2011</w:t>
            </w:r>
          </w:p>
        </w:tc>
        <w:tc>
          <w:tcPr>
            <w:tcW w:w="739" w:type="dxa"/>
            <w:tcBorders>
              <w:right w:val="single" w:sz="2" w:space="0" w:color="C40B06"/>
            </w:tcBorders>
          </w:tcPr>
          <w:p w:rsidR="005E7195" w:rsidRDefault="005E7195" w:rsidP="00C46FCC">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2012</w:t>
            </w:r>
          </w:p>
        </w:tc>
        <w:tc>
          <w:tcPr>
            <w:tcW w:w="776" w:type="dxa"/>
            <w:tcBorders>
              <w:top w:val="single" w:sz="12" w:space="0" w:color="C40B06"/>
              <w:left w:val="single" w:sz="2" w:space="0" w:color="C40B06"/>
            </w:tcBorders>
          </w:tcPr>
          <w:p w:rsidR="005E7195" w:rsidRDefault="005E7195" w:rsidP="00C46FCC">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Change</w:t>
            </w:r>
          </w:p>
          <w:p w:rsidR="005E7195" w:rsidRDefault="005E7195" w:rsidP="00C46FCC">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2006-</w:t>
            </w:r>
            <w:r w:rsidR="00457AF2">
              <w:rPr>
                <w:sz w:val="18"/>
                <w:szCs w:val="18"/>
              </w:rPr>
              <w:t>20</w:t>
            </w:r>
            <w:r>
              <w:rPr>
                <w:sz w:val="18"/>
                <w:szCs w:val="18"/>
              </w:rPr>
              <w:t>12</w:t>
            </w:r>
          </w:p>
        </w:tc>
        <w:tc>
          <w:tcPr>
            <w:tcW w:w="617" w:type="dxa"/>
            <w:tcBorders>
              <w:top w:val="single" w:sz="12" w:space="0" w:color="C40B06"/>
            </w:tcBorders>
          </w:tcPr>
          <w:p w:rsidR="005E7195" w:rsidRDefault="005E7195" w:rsidP="00C46FCC">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AAGR</w:t>
            </w:r>
          </w:p>
          <w:p w:rsidR="005E7195" w:rsidRDefault="005E7195" w:rsidP="00C46FCC">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2006-</w:t>
            </w:r>
            <w:r w:rsidR="00457AF2">
              <w:rPr>
                <w:sz w:val="18"/>
                <w:szCs w:val="18"/>
              </w:rPr>
              <w:t>20</w:t>
            </w:r>
            <w:r>
              <w:rPr>
                <w:sz w:val="18"/>
                <w:szCs w:val="18"/>
              </w:rPr>
              <w:t>12</w:t>
            </w:r>
          </w:p>
        </w:tc>
      </w:tr>
      <w:tr w:rsidR="00C46FCC" w:rsidRPr="00683D94" w:rsidTr="009F5C1F">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9149" w:type="dxa"/>
            <w:gridSpan w:val="10"/>
            <w:tcBorders>
              <w:top w:val="single" w:sz="6" w:space="0" w:color="C40B06"/>
              <w:bottom w:val="single" w:sz="6" w:space="0" w:color="C40B06"/>
            </w:tcBorders>
            <w:vAlign w:val="top"/>
          </w:tcPr>
          <w:p w:rsidR="00C46FCC" w:rsidRPr="00683D94" w:rsidRDefault="00C46FCC" w:rsidP="00C46FCC">
            <w:pPr>
              <w:spacing w:before="0"/>
              <w:jc w:val="center"/>
              <w:rPr>
                <w:b/>
                <w:sz w:val="18"/>
                <w:szCs w:val="18"/>
              </w:rPr>
            </w:pPr>
            <w:r w:rsidRPr="00683D94">
              <w:rPr>
                <w:rFonts w:cs="Calibri"/>
                <w:b/>
                <w:color w:val="000000"/>
                <w:sz w:val="18"/>
                <w:szCs w:val="18"/>
              </w:rPr>
              <w:t>Imports</w:t>
            </w:r>
          </w:p>
        </w:tc>
      </w:tr>
      <w:tr w:rsidR="00C46FCC" w:rsidRPr="00683D94" w:rsidTr="00C46FCC">
        <w:trPr>
          <w:cnfStyle w:val="000000010000" w:firstRow="0" w:lastRow="0" w:firstColumn="0" w:lastColumn="0" w:oddVBand="0" w:evenVBand="0" w:oddHBand="0" w:evenHBand="1"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871" w:type="dxa"/>
            <w:tcBorders>
              <w:top w:val="single" w:sz="6" w:space="0" w:color="C40B06"/>
            </w:tcBorders>
            <w:vAlign w:val="top"/>
          </w:tcPr>
          <w:p w:rsidR="00C46FCC" w:rsidRPr="00683D94" w:rsidRDefault="00C46FCC" w:rsidP="00C46FCC">
            <w:pPr>
              <w:spacing w:before="0"/>
              <w:rPr>
                <w:rFonts w:cs="Calibri"/>
                <w:color w:val="000000"/>
                <w:sz w:val="18"/>
                <w:szCs w:val="18"/>
              </w:rPr>
            </w:pPr>
          </w:p>
        </w:tc>
        <w:tc>
          <w:tcPr>
            <w:tcW w:w="917" w:type="dxa"/>
            <w:tcBorders>
              <w:top w:val="single" w:sz="6" w:space="0" w:color="C40B06"/>
            </w:tcBorders>
            <w:vAlign w:val="top"/>
          </w:tcPr>
          <w:p w:rsidR="00C46FCC" w:rsidRDefault="00C46FCC" w:rsidP="00457AF2">
            <w:pPr>
              <w:spacing w:before="0"/>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$000s</w:t>
            </w:r>
          </w:p>
        </w:tc>
        <w:tc>
          <w:tcPr>
            <w:tcW w:w="924" w:type="dxa"/>
            <w:tcBorders>
              <w:top w:val="single" w:sz="6" w:space="0" w:color="C40B06"/>
            </w:tcBorders>
            <w:vAlign w:val="top"/>
          </w:tcPr>
          <w:p w:rsidR="00C46FCC" w:rsidRDefault="00C46FCC" w:rsidP="00457AF2">
            <w:pPr>
              <w:spacing w:before="0"/>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$000s</w:t>
            </w:r>
          </w:p>
        </w:tc>
        <w:tc>
          <w:tcPr>
            <w:tcW w:w="922" w:type="dxa"/>
            <w:tcBorders>
              <w:top w:val="single" w:sz="6" w:space="0" w:color="C40B06"/>
            </w:tcBorders>
            <w:vAlign w:val="top"/>
          </w:tcPr>
          <w:p w:rsidR="00C46FCC" w:rsidRDefault="00C46FCC" w:rsidP="00457AF2">
            <w:pPr>
              <w:spacing w:before="0"/>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$000s</w:t>
            </w:r>
          </w:p>
        </w:tc>
        <w:tc>
          <w:tcPr>
            <w:tcW w:w="879" w:type="dxa"/>
            <w:tcBorders>
              <w:top w:val="single" w:sz="6" w:space="0" w:color="C40B06"/>
            </w:tcBorders>
            <w:vAlign w:val="top"/>
          </w:tcPr>
          <w:p w:rsidR="00C46FCC" w:rsidRDefault="00C46FCC" w:rsidP="00457AF2">
            <w:pPr>
              <w:spacing w:before="0"/>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$000s</w:t>
            </w:r>
          </w:p>
        </w:tc>
        <w:tc>
          <w:tcPr>
            <w:tcW w:w="765" w:type="dxa"/>
            <w:tcBorders>
              <w:top w:val="single" w:sz="6" w:space="0" w:color="C40B06"/>
            </w:tcBorders>
            <w:vAlign w:val="top"/>
          </w:tcPr>
          <w:p w:rsidR="00C46FCC" w:rsidRDefault="00C46FCC" w:rsidP="00457AF2">
            <w:pPr>
              <w:spacing w:before="0"/>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$000s</w:t>
            </w:r>
          </w:p>
        </w:tc>
        <w:tc>
          <w:tcPr>
            <w:tcW w:w="739" w:type="dxa"/>
            <w:tcBorders>
              <w:top w:val="single" w:sz="6" w:space="0" w:color="C40B06"/>
            </w:tcBorders>
            <w:vAlign w:val="top"/>
          </w:tcPr>
          <w:p w:rsidR="00C46FCC" w:rsidRDefault="00C46FCC" w:rsidP="00457AF2">
            <w:pPr>
              <w:spacing w:before="0"/>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$000s</w:t>
            </w:r>
          </w:p>
        </w:tc>
        <w:tc>
          <w:tcPr>
            <w:tcW w:w="739" w:type="dxa"/>
            <w:tcBorders>
              <w:top w:val="single" w:sz="6" w:space="0" w:color="C40B06"/>
              <w:right w:val="single" w:sz="2" w:space="0" w:color="C40B06"/>
            </w:tcBorders>
            <w:vAlign w:val="top"/>
          </w:tcPr>
          <w:p w:rsidR="00C46FCC" w:rsidRDefault="00C46FCC" w:rsidP="00457AF2">
            <w:pPr>
              <w:spacing w:before="0"/>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$000s</w:t>
            </w:r>
          </w:p>
        </w:tc>
        <w:tc>
          <w:tcPr>
            <w:tcW w:w="776" w:type="dxa"/>
            <w:tcBorders>
              <w:top w:val="single" w:sz="6" w:space="0" w:color="C40B06"/>
              <w:left w:val="single" w:sz="2" w:space="0" w:color="C40B06"/>
            </w:tcBorders>
            <w:vAlign w:val="top"/>
          </w:tcPr>
          <w:p w:rsid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$000’s</w:t>
            </w:r>
          </w:p>
        </w:tc>
        <w:tc>
          <w:tcPr>
            <w:tcW w:w="617" w:type="dxa"/>
            <w:tcBorders>
              <w:top w:val="single" w:sz="6" w:space="0" w:color="C40B06"/>
            </w:tcBorders>
            <w:vAlign w:val="top"/>
          </w:tcPr>
          <w:p w:rsid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p>
        </w:tc>
      </w:tr>
      <w:tr w:rsidR="005E7195" w:rsidRPr="00683D94" w:rsidTr="00C46FCC">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871" w:type="dxa"/>
            <w:tcBorders>
              <w:top w:val="single" w:sz="6" w:space="0" w:color="C40B06"/>
            </w:tcBorders>
            <w:vAlign w:val="top"/>
          </w:tcPr>
          <w:p w:rsidR="005E7195" w:rsidRPr="00683D94" w:rsidRDefault="005E7195" w:rsidP="00C46FCC">
            <w:pPr>
              <w:spacing w:before="0"/>
              <w:rPr>
                <w:rFonts w:ascii="Calibri" w:hAnsi="Calibri" w:cs="Calibri"/>
                <w:color w:val="000000"/>
                <w:sz w:val="18"/>
                <w:szCs w:val="18"/>
              </w:rPr>
            </w:pPr>
            <w:r w:rsidRPr="00683D94">
              <w:rPr>
                <w:rFonts w:ascii="Calibri" w:hAnsi="Calibri" w:cs="Calibri"/>
                <w:color w:val="000000"/>
                <w:sz w:val="18"/>
                <w:szCs w:val="18"/>
              </w:rPr>
              <w:t>Vegetables, prepared or preserved</w:t>
            </w:r>
          </w:p>
        </w:tc>
        <w:tc>
          <w:tcPr>
            <w:tcW w:w="917" w:type="dxa"/>
            <w:tcBorders>
              <w:top w:val="single" w:sz="6" w:space="0" w:color="C40B06"/>
            </w:tcBorders>
            <w:vAlign w:val="top"/>
          </w:tcPr>
          <w:p w:rsidR="005E7195"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247,790</w:t>
            </w:r>
          </w:p>
        </w:tc>
        <w:tc>
          <w:tcPr>
            <w:tcW w:w="924" w:type="dxa"/>
            <w:tcBorders>
              <w:top w:val="single" w:sz="6" w:space="0" w:color="C40B06"/>
            </w:tcBorders>
            <w:vAlign w:val="top"/>
          </w:tcPr>
          <w:p w:rsidR="005E7195"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317,090</w:t>
            </w:r>
          </w:p>
        </w:tc>
        <w:tc>
          <w:tcPr>
            <w:tcW w:w="922" w:type="dxa"/>
            <w:tcBorders>
              <w:top w:val="single" w:sz="6" w:space="0" w:color="C40B06"/>
            </w:tcBorders>
            <w:vAlign w:val="top"/>
          </w:tcPr>
          <w:p w:rsidR="005E7195"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382,420</w:t>
            </w:r>
          </w:p>
        </w:tc>
        <w:tc>
          <w:tcPr>
            <w:tcW w:w="879" w:type="dxa"/>
            <w:tcBorders>
              <w:top w:val="single" w:sz="6" w:space="0" w:color="C40B06"/>
            </w:tcBorders>
            <w:vAlign w:val="top"/>
          </w:tcPr>
          <w:p w:rsidR="005E7195"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495,460</w:t>
            </w:r>
          </w:p>
        </w:tc>
        <w:tc>
          <w:tcPr>
            <w:tcW w:w="765" w:type="dxa"/>
            <w:tcBorders>
              <w:top w:val="single" w:sz="6" w:space="0" w:color="C40B06"/>
            </w:tcBorders>
            <w:vAlign w:val="top"/>
          </w:tcPr>
          <w:p w:rsidR="005E7195"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415,900</w:t>
            </w:r>
          </w:p>
        </w:tc>
        <w:tc>
          <w:tcPr>
            <w:tcW w:w="739" w:type="dxa"/>
            <w:tcBorders>
              <w:top w:val="single" w:sz="6" w:space="0" w:color="C40B06"/>
            </w:tcBorders>
            <w:vAlign w:val="top"/>
          </w:tcPr>
          <w:p w:rsidR="005E7195"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428,890</w:t>
            </w:r>
          </w:p>
        </w:tc>
        <w:tc>
          <w:tcPr>
            <w:tcW w:w="739" w:type="dxa"/>
            <w:tcBorders>
              <w:top w:val="single" w:sz="6" w:space="0" w:color="C40B06"/>
              <w:right w:val="single" w:sz="2" w:space="0" w:color="C40B06"/>
            </w:tcBorders>
            <w:vAlign w:val="top"/>
          </w:tcPr>
          <w:p w:rsidR="005E7195"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495,200</w:t>
            </w:r>
          </w:p>
        </w:tc>
        <w:tc>
          <w:tcPr>
            <w:tcW w:w="776" w:type="dxa"/>
            <w:tcBorders>
              <w:top w:val="single" w:sz="6" w:space="0" w:color="C40B06"/>
              <w:left w:val="single" w:sz="2" w:space="0" w:color="C40B06"/>
            </w:tcBorders>
            <w:vAlign w:val="top"/>
          </w:tcPr>
          <w:p w:rsidR="005E7195"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247,410</w:t>
            </w:r>
          </w:p>
        </w:tc>
        <w:tc>
          <w:tcPr>
            <w:tcW w:w="617" w:type="dxa"/>
            <w:tcBorders>
              <w:top w:val="single" w:sz="6" w:space="0" w:color="C40B06"/>
            </w:tcBorders>
            <w:vAlign w:val="top"/>
          </w:tcPr>
          <w:p w:rsidR="005E7195"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w:t>
            </w:r>
            <w:r w:rsidR="005E7195">
              <w:rPr>
                <w:rFonts w:ascii="Calibri" w:hAnsi="Calibri" w:cs="Calibri"/>
                <w:color w:val="000000"/>
                <w:sz w:val="18"/>
                <w:szCs w:val="18"/>
              </w:rPr>
              <w:t>12%</w:t>
            </w:r>
          </w:p>
        </w:tc>
      </w:tr>
      <w:tr w:rsidR="005E7195" w:rsidRPr="00683D94" w:rsidTr="00C46FCC">
        <w:trPr>
          <w:cnfStyle w:val="000000010000" w:firstRow="0" w:lastRow="0" w:firstColumn="0" w:lastColumn="0" w:oddVBand="0" w:evenVBand="0" w:oddHBand="0" w:evenHBand="1"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871" w:type="dxa"/>
            <w:vAlign w:val="top"/>
          </w:tcPr>
          <w:p w:rsidR="005E7195" w:rsidRPr="00683D94" w:rsidRDefault="005E7195" w:rsidP="00C46FCC">
            <w:pPr>
              <w:spacing w:before="0"/>
              <w:rPr>
                <w:rFonts w:ascii="Calibri" w:hAnsi="Calibri" w:cs="Calibri"/>
                <w:color w:val="000000"/>
                <w:sz w:val="18"/>
                <w:szCs w:val="18"/>
              </w:rPr>
            </w:pPr>
            <w:r w:rsidRPr="00683D94">
              <w:rPr>
                <w:rFonts w:ascii="Calibri" w:hAnsi="Calibri" w:cs="Calibri"/>
                <w:color w:val="000000"/>
                <w:sz w:val="18"/>
                <w:szCs w:val="18"/>
              </w:rPr>
              <w:t>Fruit, prepared or preserved</w:t>
            </w:r>
          </w:p>
        </w:tc>
        <w:tc>
          <w:tcPr>
            <w:tcW w:w="917" w:type="dxa"/>
            <w:vAlign w:val="top"/>
          </w:tcPr>
          <w:p w:rsidR="005E7195" w:rsidRDefault="005E7195"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173,260</w:t>
            </w:r>
          </w:p>
        </w:tc>
        <w:tc>
          <w:tcPr>
            <w:tcW w:w="924" w:type="dxa"/>
            <w:vAlign w:val="top"/>
          </w:tcPr>
          <w:p w:rsidR="005E7195" w:rsidRDefault="005E7195"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206,140</w:t>
            </w:r>
          </w:p>
        </w:tc>
        <w:tc>
          <w:tcPr>
            <w:tcW w:w="922" w:type="dxa"/>
            <w:vAlign w:val="top"/>
          </w:tcPr>
          <w:p w:rsidR="005E7195" w:rsidRDefault="005E7195"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217,110</w:t>
            </w:r>
          </w:p>
        </w:tc>
        <w:tc>
          <w:tcPr>
            <w:tcW w:w="879" w:type="dxa"/>
            <w:vAlign w:val="top"/>
          </w:tcPr>
          <w:p w:rsidR="005E7195" w:rsidRDefault="005E7195"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244,790</w:t>
            </w:r>
          </w:p>
        </w:tc>
        <w:tc>
          <w:tcPr>
            <w:tcW w:w="765" w:type="dxa"/>
            <w:vAlign w:val="top"/>
          </w:tcPr>
          <w:p w:rsidR="005E7195" w:rsidRDefault="005E7195"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239,780</w:t>
            </w:r>
          </w:p>
        </w:tc>
        <w:tc>
          <w:tcPr>
            <w:tcW w:w="739" w:type="dxa"/>
            <w:vAlign w:val="top"/>
          </w:tcPr>
          <w:p w:rsidR="005E7195" w:rsidRDefault="005E7195"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289,640</w:t>
            </w:r>
          </w:p>
        </w:tc>
        <w:tc>
          <w:tcPr>
            <w:tcW w:w="739" w:type="dxa"/>
            <w:tcBorders>
              <w:right w:val="single" w:sz="2" w:space="0" w:color="C40B06"/>
            </w:tcBorders>
            <w:vAlign w:val="top"/>
          </w:tcPr>
          <w:p w:rsidR="005E7195" w:rsidRDefault="005E7195"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328,220</w:t>
            </w:r>
          </w:p>
        </w:tc>
        <w:tc>
          <w:tcPr>
            <w:tcW w:w="776" w:type="dxa"/>
            <w:tcBorders>
              <w:left w:val="single" w:sz="2" w:space="0" w:color="C40B06"/>
            </w:tcBorders>
            <w:vAlign w:val="top"/>
          </w:tcPr>
          <w:p w:rsidR="005E7195" w:rsidRDefault="005E7195"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154,960</w:t>
            </w:r>
          </w:p>
        </w:tc>
        <w:tc>
          <w:tcPr>
            <w:tcW w:w="617" w:type="dxa"/>
            <w:vAlign w:val="top"/>
          </w:tcPr>
          <w:p w:rsidR="005E7195"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w:t>
            </w:r>
            <w:r w:rsidR="005E7195">
              <w:rPr>
                <w:rFonts w:ascii="Calibri" w:hAnsi="Calibri" w:cs="Calibri"/>
                <w:color w:val="000000"/>
                <w:sz w:val="18"/>
                <w:szCs w:val="18"/>
              </w:rPr>
              <w:t>11%</w:t>
            </w:r>
          </w:p>
        </w:tc>
      </w:tr>
      <w:tr w:rsidR="005E7195" w:rsidRPr="00C46FCC" w:rsidTr="00C46FCC">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871" w:type="dxa"/>
            <w:tcBorders>
              <w:bottom w:val="single" w:sz="6" w:space="0" w:color="C40B06"/>
            </w:tcBorders>
            <w:vAlign w:val="top"/>
          </w:tcPr>
          <w:p w:rsidR="005E7195" w:rsidRPr="00C46FCC" w:rsidRDefault="005E7195" w:rsidP="00C46FCC">
            <w:pPr>
              <w:spacing w:before="0"/>
              <w:rPr>
                <w:rFonts w:ascii="Calibri" w:hAnsi="Calibri" w:cs="Calibri"/>
                <w:i/>
                <w:color w:val="000000"/>
                <w:sz w:val="18"/>
                <w:szCs w:val="18"/>
              </w:rPr>
            </w:pPr>
            <w:r w:rsidRPr="00C46FCC">
              <w:rPr>
                <w:rFonts w:ascii="Calibri" w:hAnsi="Calibri" w:cs="Calibri"/>
                <w:i/>
                <w:color w:val="000000"/>
                <w:sz w:val="18"/>
                <w:szCs w:val="18"/>
              </w:rPr>
              <w:t>Total  Imports</w:t>
            </w:r>
          </w:p>
        </w:tc>
        <w:tc>
          <w:tcPr>
            <w:tcW w:w="917" w:type="dxa"/>
            <w:tcBorders>
              <w:bottom w:val="single" w:sz="6" w:space="0" w:color="C40B06"/>
            </w:tcBorders>
            <w:vAlign w:val="top"/>
          </w:tcPr>
          <w:p w:rsidR="005E7195" w:rsidRPr="00C46FCC"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421,050</w:t>
            </w:r>
          </w:p>
        </w:tc>
        <w:tc>
          <w:tcPr>
            <w:tcW w:w="924" w:type="dxa"/>
            <w:tcBorders>
              <w:bottom w:val="single" w:sz="6" w:space="0" w:color="C40B06"/>
            </w:tcBorders>
            <w:vAlign w:val="top"/>
          </w:tcPr>
          <w:p w:rsidR="005E7195" w:rsidRPr="00C46FCC"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523,230</w:t>
            </w:r>
          </w:p>
        </w:tc>
        <w:tc>
          <w:tcPr>
            <w:tcW w:w="922" w:type="dxa"/>
            <w:tcBorders>
              <w:bottom w:val="single" w:sz="6" w:space="0" w:color="C40B06"/>
            </w:tcBorders>
            <w:vAlign w:val="top"/>
          </w:tcPr>
          <w:p w:rsidR="005E7195" w:rsidRPr="00C46FCC"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599,530</w:t>
            </w:r>
          </w:p>
        </w:tc>
        <w:tc>
          <w:tcPr>
            <w:tcW w:w="879" w:type="dxa"/>
            <w:tcBorders>
              <w:bottom w:val="single" w:sz="6" w:space="0" w:color="C40B06"/>
            </w:tcBorders>
            <w:vAlign w:val="top"/>
          </w:tcPr>
          <w:p w:rsidR="005E7195" w:rsidRPr="00C46FCC"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740,250</w:t>
            </w:r>
          </w:p>
        </w:tc>
        <w:tc>
          <w:tcPr>
            <w:tcW w:w="765" w:type="dxa"/>
            <w:tcBorders>
              <w:bottom w:val="single" w:sz="6" w:space="0" w:color="C40B06"/>
            </w:tcBorders>
            <w:vAlign w:val="top"/>
          </w:tcPr>
          <w:p w:rsidR="005E7195" w:rsidRPr="00C46FCC"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655,680</w:t>
            </w:r>
          </w:p>
        </w:tc>
        <w:tc>
          <w:tcPr>
            <w:tcW w:w="739" w:type="dxa"/>
            <w:tcBorders>
              <w:bottom w:val="single" w:sz="6" w:space="0" w:color="C40B06"/>
            </w:tcBorders>
            <w:vAlign w:val="top"/>
          </w:tcPr>
          <w:p w:rsidR="005E7195" w:rsidRPr="00C46FCC"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718,530</w:t>
            </w:r>
          </w:p>
        </w:tc>
        <w:tc>
          <w:tcPr>
            <w:tcW w:w="739" w:type="dxa"/>
            <w:tcBorders>
              <w:bottom w:val="single" w:sz="6" w:space="0" w:color="C40B06"/>
              <w:right w:val="single" w:sz="2" w:space="0" w:color="C40B06"/>
            </w:tcBorders>
            <w:vAlign w:val="top"/>
          </w:tcPr>
          <w:p w:rsidR="005E7195" w:rsidRPr="00C46FCC"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823,420</w:t>
            </w:r>
          </w:p>
        </w:tc>
        <w:tc>
          <w:tcPr>
            <w:tcW w:w="776" w:type="dxa"/>
            <w:tcBorders>
              <w:left w:val="single" w:sz="2" w:space="0" w:color="C40B06"/>
              <w:bottom w:val="single" w:sz="6" w:space="0" w:color="C40B06"/>
            </w:tcBorders>
            <w:vAlign w:val="top"/>
          </w:tcPr>
          <w:p w:rsidR="005E7195" w:rsidRPr="00C46FCC" w:rsidRDefault="005E7195"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402,370</w:t>
            </w:r>
          </w:p>
        </w:tc>
        <w:tc>
          <w:tcPr>
            <w:tcW w:w="617" w:type="dxa"/>
            <w:tcBorders>
              <w:bottom w:val="single" w:sz="6" w:space="0" w:color="C40B06"/>
            </w:tcBorders>
            <w:vAlign w:val="top"/>
          </w:tcPr>
          <w:p w:rsidR="005E7195" w:rsidRP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18"/>
                <w:szCs w:val="18"/>
              </w:rPr>
            </w:pPr>
            <w:r>
              <w:rPr>
                <w:rFonts w:ascii="Calibri" w:hAnsi="Calibri" w:cs="Calibri"/>
                <w:i/>
                <w:color w:val="000000"/>
                <w:sz w:val="18"/>
                <w:szCs w:val="18"/>
              </w:rPr>
              <w:t>+</w:t>
            </w:r>
            <w:r w:rsidR="005E7195" w:rsidRPr="00C46FCC">
              <w:rPr>
                <w:rFonts w:ascii="Calibri" w:hAnsi="Calibri" w:cs="Calibri"/>
                <w:i/>
                <w:color w:val="000000"/>
                <w:sz w:val="18"/>
                <w:szCs w:val="18"/>
              </w:rPr>
              <w:t>12%</w:t>
            </w:r>
          </w:p>
        </w:tc>
      </w:tr>
      <w:tr w:rsidR="00C46FCC" w:rsidRPr="00C46FCC" w:rsidTr="009F5C1F">
        <w:trPr>
          <w:cnfStyle w:val="000000010000" w:firstRow="0" w:lastRow="0" w:firstColumn="0" w:lastColumn="0" w:oddVBand="0" w:evenVBand="0" w:oddHBand="0" w:evenHBand="1"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9149" w:type="dxa"/>
            <w:gridSpan w:val="10"/>
            <w:tcBorders>
              <w:top w:val="single" w:sz="6" w:space="0" w:color="C40B06"/>
              <w:bottom w:val="single" w:sz="6" w:space="0" w:color="C40B06"/>
            </w:tcBorders>
            <w:vAlign w:val="top"/>
          </w:tcPr>
          <w:p w:rsidR="00C46FCC" w:rsidRPr="00C46FCC" w:rsidRDefault="00C46FCC" w:rsidP="00C46FCC">
            <w:pPr>
              <w:spacing w:before="0"/>
              <w:jc w:val="center"/>
              <w:rPr>
                <w:rFonts w:cs="Calibri"/>
                <w:b/>
                <w:color w:val="000000"/>
                <w:sz w:val="18"/>
                <w:szCs w:val="18"/>
              </w:rPr>
            </w:pPr>
            <w:r w:rsidRPr="00C46FCC">
              <w:rPr>
                <w:rFonts w:cs="Calibri"/>
                <w:b/>
                <w:color w:val="000000"/>
                <w:sz w:val="18"/>
                <w:szCs w:val="18"/>
              </w:rPr>
              <w:t>Exports</w:t>
            </w:r>
          </w:p>
        </w:tc>
      </w:tr>
      <w:tr w:rsidR="00C46FCC" w:rsidRPr="00683D94" w:rsidTr="00C46FCC">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871" w:type="dxa"/>
            <w:tcBorders>
              <w:top w:val="single" w:sz="6" w:space="0" w:color="C40B06"/>
            </w:tcBorders>
            <w:vAlign w:val="top"/>
          </w:tcPr>
          <w:p w:rsidR="00C46FCC" w:rsidRPr="00683D94" w:rsidRDefault="00C46FCC" w:rsidP="00C46FCC">
            <w:pPr>
              <w:spacing w:before="0"/>
              <w:rPr>
                <w:rFonts w:cs="Calibri"/>
                <w:color w:val="000000"/>
                <w:sz w:val="18"/>
                <w:szCs w:val="18"/>
              </w:rPr>
            </w:pPr>
          </w:p>
        </w:tc>
        <w:tc>
          <w:tcPr>
            <w:tcW w:w="917" w:type="dxa"/>
            <w:tcBorders>
              <w:top w:val="single" w:sz="6" w:space="0" w:color="C40B06"/>
            </w:tcBorders>
            <w:vAlign w:val="top"/>
          </w:tcPr>
          <w:p w:rsidR="00C46FCC" w:rsidRDefault="00C46FCC" w:rsidP="00457AF2">
            <w:pPr>
              <w:spacing w:before="0"/>
              <w:cnfStyle w:val="000000100000" w:firstRow="0" w:lastRow="0" w:firstColumn="0" w:lastColumn="0" w:oddVBand="0" w:evenVBand="0" w:oddHBand="1" w:evenHBand="0" w:firstRowFirstColumn="0" w:firstRowLastColumn="0" w:lastRowFirstColumn="0" w:lastRowLastColumn="0"/>
            </w:pPr>
            <w:r w:rsidRPr="000D2ED2">
              <w:rPr>
                <w:rFonts w:cs="Calibri"/>
                <w:color w:val="000000"/>
                <w:sz w:val="18"/>
                <w:szCs w:val="18"/>
              </w:rPr>
              <w:t>$000s</w:t>
            </w:r>
          </w:p>
        </w:tc>
        <w:tc>
          <w:tcPr>
            <w:tcW w:w="924" w:type="dxa"/>
            <w:tcBorders>
              <w:top w:val="single" w:sz="6" w:space="0" w:color="C40B06"/>
            </w:tcBorders>
            <w:vAlign w:val="top"/>
          </w:tcPr>
          <w:p w:rsidR="00C46FCC" w:rsidRDefault="00C46FCC" w:rsidP="00457AF2">
            <w:pPr>
              <w:spacing w:before="0"/>
              <w:cnfStyle w:val="000000100000" w:firstRow="0" w:lastRow="0" w:firstColumn="0" w:lastColumn="0" w:oddVBand="0" w:evenVBand="0" w:oddHBand="1" w:evenHBand="0" w:firstRowFirstColumn="0" w:firstRowLastColumn="0" w:lastRowFirstColumn="0" w:lastRowLastColumn="0"/>
            </w:pPr>
            <w:r w:rsidRPr="000D2ED2">
              <w:rPr>
                <w:rFonts w:cs="Calibri"/>
                <w:color w:val="000000"/>
                <w:sz w:val="18"/>
                <w:szCs w:val="18"/>
              </w:rPr>
              <w:t>$000s</w:t>
            </w:r>
          </w:p>
        </w:tc>
        <w:tc>
          <w:tcPr>
            <w:tcW w:w="922" w:type="dxa"/>
            <w:tcBorders>
              <w:top w:val="single" w:sz="6" w:space="0" w:color="C40B06"/>
            </w:tcBorders>
            <w:vAlign w:val="top"/>
          </w:tcPr>
          <w:p w:rsidR="00C46FCC" w:rsidRDefault="00C46FCC" w:rsidP="00457AF2">
            <w:pPr>
              <w:spacing w:before="0"/>
              <w:cnfStyle w:val="000000100000" w:firstRow="0" w:lastRow="0" w:firstColumn="0" w:lastColumn="0" w:oddVBand="0" w:evenVBand="0" w:oddHBand="1" w:evenHBand="0" w:firstRowFirstColumn="0" w:firstRowLastColumn="0" w:lastRowFirstColumn="0" w:lastRowLastColumn="0"/>
            </w:pPr>
            <w:r w:rsidRPr="000D2ED2">
              <w:rPr>
                <w:rFonts w:cs="Calibri"/>
                <w:color w:val="000000"/>
                <w:sz w:val="18"/>
                <w:szCs w:val="18"/>
              </w:rPr>
              <w:t>$000s</w:t>
            </w:r>
          </w:p>
        </w:tc>
        <w:tc>
          <w:tcPr>
            <w:tcW w:w="879" w:type="dxa"/>
            <w:tcBorders>
              <w:top w:val="single" w:sz="6" w:space="0" w:color="C40B06"/>
            </w:tcBorders>
            <w:vAlign w:val="top"/>
          </w:tcPr>
          <w:p w:rsidR="00C46FCC" w:rsidRDefault="00C46FCC" w:rsidP="00457AF2">
            <w:pPr>
              <w:spacing w:before="0"/>
              <w:cnfStyle w:val="000000100000" w:firstRow="0" w:lastRow="0" w:firstColumn="0" w:lastColumn="0" w:oddVBand="0" w:evenVBand="0" w:oddHBand="1" w:evenHBand="0" w:firstRowFirstColumn="0" w:firstRowLastColumn="0" w:lastRowFirstColumn="0" w:lastRowLastColumn="0"/>
            </w:pPr>
            <w:r w:rsidRPr="000D2ED2">
              <w:rPr>
                <w:rFonts w:cs="Calibri"/>
                <w:color w:val="000000"/>
                <w:sz w:val="18"/>
                <w:szCs w:val="18"/>
              </w:rPr>
              <w:t>$000s</w:t>
            </w:r>
          </w:p>
        </w:tc>
        <w:tc>
          <w:tcPr>
            <w:tcW w:w="765" w:type="dxa"/>
            <w:tcBorders>
              <w:top w:val="single" w:sz="6" w:space="0" w:color="C40B06"/>
            </w:tcBorders>
            <w:vAlign w:val="top"/>
          </w:tcPr>
          <w:p w:rsidR="00C46FCC" w:rsidRDefault="00C46FCC" w:rsidP="00457AF2">
            <w:pPr>
              <w:spacing w:before="0"/>
              <w:cnfStyle w:val="000000100000" w:firstRow="0" w:lastRow="0" w:firstColumn="0" w:lastColumn="0" w:oddVBand="0" w:evenVBand="0" w:oddHBand="1" w:evenHBand="0" w:firstRowFirstColumn="0" w:firstRowLastColumn="0" w:lastRowFirstColumn="0" w:lastRowLastColumn="0"/>
            </w:pPr>
            <w:r w:rsidRPr="000D2ED2">
              <w:rPr>
                <w:rFonts w:cs="Calibri"/>
                <w:color w:val="000000"/>
                <w:sz w:val="18"/>
                <w:szCs w:val="18"/>
              </w:rPr>
              <w:t>$000s</w:t>
            </w:r>
          </w:p>
        </w:tc>
        <w:tc>
          <w:tcPr>
            <w:tcW w:w="739" w:type="dxa"/>
            <w:tcBorders>
              <w:top w:val="single" w:sz="6" w:space="0" w:color="C40B06"/>
            </w:tcBorders>
            <w:vAlign w:val="top"/>
          </w:tcPr>
          <w:p w:rsidR="00C46FCC" w:rsidRDefault="00C46FCC" w:rsidP="00457AF2">
            <w:pPr>
              <w:spacing w:before="0"/>
              <w:cnfStyle w:val="000000100000" w:firstRow="0" w:lastRow="0" w:firstColumn="0" w:lastColumn="0" w:oddVBand="0" w:evenVBand="0" w:oddHBand="1" w:evenHBand="0" w:firstRowFirstColumn="0" w:firstRowLastColumn="0" w:lastRowFirstColumn="0" w:lastRowLastColumn="0"/>
            </w:pPr>
            <w:r w:rsidRPr="000D2ED2">
              <w:rPr>
                <w:rFonts w:cs="Calibri"/>
                <w:color w:val="000000"/>
                <w:sz w:val="18"/>
                <w:szCs w:val="18"/>
              </w:rPr>
              <w:t>$000s</w:t>
            </w:r>
          </w:p>
        </w:tc>
        <w:tc>
          <w:tcPr>
            <w:tcW w:w="739" w:type="dxa"/>
            <w:tcBorders>
              <w:top w:val="single" w:sz="6" w:space="0" w:color="C40B06"/>
              <w:right w:val="single" w:sz="2" w:space="0" w:color="C40B06"/>
            </w:tcBorders>
            <w:vAlign w:val="top"/>
          </w:tcPr>
          <w:p w:rsidR="00C46FCC" w:rsidRDefault="00C46FCC" w:rsidP="00457AF2">
            <w:pPr>
              <w:spacing w:before="0"/>
              <w:cnfStyle w:val="000000100000" w:firstRow="0" w:lastRow="0" w:firstColumn="0" w:lastColumn="0" w:oddVBand="0" w:evenVBand="0" w:oddHBand="1" w:evenHBand="0" w:firstRowFirstColumn="0" w:firstRowLastColumn="0" w:lastRowFirstColumn="0" w:lastRowLastColumn="0"/>
            </w:pPr>
            <w:r w:rsidRPr="000D2ED2">
              <w:rPr>
                <w:rFonts w:cs="Calibri"/>
                <w:color w:val="000000"/>
                <w:sz w:val="18"/>
                <w:szCs w:val="18"/>
              </w:rPr>
              <w:t>$000s</w:t>
            </w:r>
          </w:p>
        </w:tc>
        <w:tc>
          <w:tcPr>
            <w:tcW w:w="776" w:type="dxa"/>
            <w:tcBorders>
              <w:top w:val="single" w:sz="6" w:space="0" w:color="C40B06"/>
              <w:left w:val="single" w:sz="2" w:space="0" w:color="C40B06"/>
            </w:tcBorders>
            <w:vAlign w:val="top"/>
          </w:tcPr>
          <w:p w:rsidR="00C46FCC" w:rsidRDefault="00C46FCC" w:rsidP="00C46FCC">
            <w:pPr>
              <w:spacing w:before="0"/>
              <w:cnfStyle w:val="000000100000" w:firstRow="0" w:lastRow="0" w:firstColumn="0" w:lastColumn="0" w:oddVBand="0" w:evenVBand="0" w:oddHBand="1" w:evenHBand="0" w:firstRowFirstColumn="0" w:firstRowLastColumn="0" w:lastRowFirstColumn="0" w:lastRowLastColumn="0"/>
            </w:pPr>
            <w:r w:rsidRPr="000D2ED2">
              <w:rPr>
                <w:rFonts w:cs="Calibri"/>
                <w:color w:val="000000"/>
                <w:sz w:val="18"/>
                <w:szCs w:val="18"/>
              </w:rPr>
              <w:t>$000’s</w:t>
            </w:r>
          </w:p>
        </w:tc>
        <w:tc>
          <w:tcPr>
            <w:tcW w:w="617" w:type="dxa"/>
            <w:tcBorders>
              <w:top w:val="single" w:sz="6" w:space="0" w:color="C40B06"/>
            </w:tcBorders>
            <w:vAlign w:val="top"/>
          </w:tcPr>
          <w:p w:rsid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p>
        </w:tc>
      </w:tr>
      <w:tr w:rsidR="00C46FCC" w:rsidRPr="00683D94" w:rsidTr="00C46FCC">
        <w:trPr>
          <w:cnfStyle w:val="000000010000" w:firstRow="0" w:lastRow="0" w:firstColumn="0" w:lastColumn="0" w:oddVBand="0" w:evenVBand="0" w:oddHBand="0" w:evenHBand="1"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871" w:type="dxa"/>
            <w:tcBorders>
              <w:top w:val="single" w:sz="6" w:space="0" w:color="C40B06"/>
            </w:tcBorders>
            <w:vAlign w:val="top"/>
          </w:tcPr>
          <w:p w:rsidR="00C46FCC" w:rsidRPr="00683D94" w:rsidRDefault="00C46FCC" w:rsidP="00C46FCC">
            <w:pPr>
              <w:spacing w:before="0"/>
              <w:rPr>
                <w:rFonts w:ascii="Calibri" w:hAnsi="Calibri" w:cs="Calibri"/>
                <w:color w:val="000000"/>
                <w:sz w:val="18"/>
                <w:szCs w:val="18"/>
              </w:rPr>
            </w:pPr>
            <w:r w:rsidRPr="00683D94">
              <w:rPr>
                <w:rFonts w:ascii="Calibri" w:hAnsi="Calibri" w:cs="Calibri"/>
                <w:color w:val="000000"/>
                <w:sz w:val="18"/>
                <w:szCs w:val="18"/>
              </w:rPr>
              <w:t>Vegetables, prepared or preserved</w:t>
            </w:r>
          </w:p>
        </w:tc>
        <w:tc>
          <w:tcPr>
            <w:tcW w:w="917" w:type="dxa"/>
            <w:tcBorders>
              <w:top w:val="single" w:sz="6" w:space="0" w:color="C40B06"/>
            </w:tcBorders>
            <w:vAlign w:val="top"/>
          </w:tcPr>
          <w:p w:rsid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41,360</w:t>
            </w:r>
          </w:p>
        </w:tc>
        <w:tc>
          <w:tcPr>
            <w:tcW w:w="924" w:type="dxa"/>
            <w:tcBorders>
              <w:top w:val="single" w:sz="6" w:space="0" w:color="C40B06"/>
            </w:tcBorders>
            <w:vAlign w:val="top"/>
          </w:tcPr>
          <w:p w:rsid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48,000</w:t>
            </w:r>
          </w:p>
        </w:tc>
        <w:tc>
          <w:tcPr>
            <w:tcW w:w="922" w:type="dxa"/>
            <w:tcBorders>
              <w:top w:val="single" w:sz="6" w:space="0" w:color="C40B06"/>
            </w:tcBorders>
            <w:vAlign w:val="top"/>
          </w:tcPr>
          <w:p w:rsid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47,630</w:t>
            </w:r>
          </w:p>
        </w:tc>
        <w:tc>
          <w:tcPr>
            <w:tcW w:w="879" w:type="dxa"/>
            <w:tcBorders>
              <w:top w:val="single" w:sz="6" w:space="0" w:color="C40B06"/>
            </w:tcBorders>
            <w:vAlign w:val="top"/>
          </w:tcPr>
          <w:p w:rsid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42,620</w:t>
            </w:r>
          </w:p>
        </w:tc>
        <w:tc>
          <w:tcPr>
            <w:tcW w:w="765" w:type="dxa"/>
            <w:tcBorders>
              <w:top w:val="single" w:sz="6" w:space="0" w:color="C40B06"/>
            </w:tcBorders>
            <w:vAlign w:val="top"/>
          </w:tcPr>
          <w:p w:rsid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50,620</w:t>
            </w:r>
          </w:p>
        </w:tc>
        <w:tc>
          <w:tcPr>
            <w:tcW w:w="739" w:type="dxa"/>
            <w:tcBorders>
              <w:top w:val="single" w:sz="6" w:space="0" w:color="C40B06"/>
            </w:tcBorders>
            <w:vAlign w:val="top"/>
          </w:tcPr>
          <w:p w:rsid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46,990</w:t>
            </w:r>
          </w:p>
        </w:tc>
        <w:tc>
          <w:tcPr>
            <w:tcW w:w="739" w:type="dxa"/>
            <w:tcBorders>
              <w:top w:val="single" w:sz="6" w:space="0" w:color="C40B06"/>
              <w:right w:val="single" w:sz="2" w:space="0" w:color="C40B06"/>
            </w:tcBorders>
            <w:vAlign w:val="top"/>
          </w:tcPr>
          <w:p w:rsid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44,700</w:t>
            </w:r>
          </w:p>
        </w:tc>
        <w:tc>
          <w:tcPr>
            <w:tcW w:w="776" w:type="dxa"/>
            <w:tcBorders>
              <w:top w:val="single" w:sz="6" w:space="0" w:color="C40B06"/>
              <w:left w:val="single" w:sz="2" w:space="0" w:color="C40B06"/>
            </w:tcBorders>
            <w:vAlign w:val="top"/>
          </w:tcPr>
          <w:p w:rsid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3,340</w:t>
            </w:r>
          </w:p>
        </w:tc>
        <w:tc>
          <w:tcPr>
            <w:tcW w:w="617" w:type="dxa"/>
            <w:tcBorders>
              <w:top w:val="single" w:sz="6" w:space="0" w:color="C40B06"/>
            </w:tcBorders>
            <w:vAlign w:val="top"/>
          </w:tcPr>
          <w:p w:rsid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w:t>
            </w:r>
          </w:p>
        </w:tc>
      </w:tr>
      <w:tr w:rsidR="00C46FCC" w:rsidRPr="00683D94" w:rsidTr="00C46FCC">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871" w:type="dxa"/>
            <w:vAlign w:val="top"/>
          </w:tcPr>
          <w:p w:rsidR="00C46FCC" w:rsidRPr="00683D94" w:rsidRDefault="00C46FCC" w:rsidP="00C46FCC">
            <w:pPr>
              <w:spacing w:before="0"/>
              <w:rPr>
                <w:rFonts w:ascii="Calibri" w:hAnsi="Calibri" w:cs="Calibri"/>
                <w:color w:val="000000"/>
                <w:sz w:val="18"/>
                <w:szCs w:val="18"/>
              </w:rPr>
            </w:pPr>
            <w:r w:rsidRPr="00683D94">
              <w:rPr>
                <w:rFonts w:ascii="Calibri" w:hAnsi="Calibri" w:cs="Calibri"/>
                <w:color w:val="000000"/>
                <w:sz w:val="18"/>
                <w:szCs w:val="18"/>
              </w:rPr>
              <w:t>Fruit, prepared or preserved</w:t>
            </w:r>
          </w:p>
        </w:tc>
        <w:tc>
          <w:tcPr>
            <w:tcW w:w="917" w:type="dxa"/>
            <w:vAlign w:val="top"/>
          </w:tcPr>
          <w:p w:rsid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93,990</w:t>
            </w:r>
          </w:p>
        </w:tc>
        <w:tc>
          <w:tcPr>
            <w:tcW w:w="924" w:type="dxa"/>
            <w:vAlign w:val="top"/>
          </w:tcPr>
          <w:p w:rsid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95,250</w:t>
            </w:r>
          </w:p>
        </w:tc>
        <w:tc>
          <w:tcPr>
            <w:tcW w:w="922" w:type="dxa"/>
            <w:vAlign w:val="top"/>
          </w:tcPr>
          <w:p w:rsid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80,990</w:t>
            </w:r>
          </w:p>
        </w:tc>
        <w:tc>
          <w:tcPr>
            <w:tcW w:w="879" w:type="dxa"/>
            <w:vAlign w:val="top"/>
          </w:tcPr>
          <w:p w:rsid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74,400</w:t>
            </w:r>
          </w:p>
        </w:tc>
        <w:tc>
          <w:tcPr>
            <w:tcW w:w="765" w:type="dxa"/>
            <w:vAlign w:val="top"/>
          </w:tcPr>
          <w:p w:rsid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81,540</w:t>
            </w:r>
          </w:p>
        </w:tc>
        <w:tc>
          <w:tcPr>
            <w:tcW w:w="739" w:type="dxa"/>
            <w:vAlign w:val="top"/>
          </w:tcPr>
          <w:p w:rsid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54,310</w:t>
            </w:r>
          </w:p>
        </w:tc>
        <w:tc>
          <w:tcPr>
            <w:tcW w:w="739" w:type="dxa"/>
            <w:tcBorders>
              <w:right w:val="single" w:sz="2" w:space="0" w:color="C40B06"/>
            </w:tcBorders>
            <w:vAlign w:val="top"/>
          </w:tcPr>
          <w:p w:rsid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53,040</w:t>
            </w:r>
          </w:p>
        </w:tc>
        <w:tc>
          <w:tcPr>
            <w:tcW w:w="776" w:type="dxa"/>
            <w:tcBorders>
              <w:left w:val="single" w:sz="2" w:space="0" w:color="C40B06"/>
            </w:tcBorders>
            <w:vAlign w:val="top"/>
          </w:tcPr>
          <w:p w:rsid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-40,950</w:t>
            </w:r>
          </w:p>
        </w:tc>
        <w:tc>
          <w:tcPr>
            <w:tcW w:w="617" w:type="dxa"/>
            <w:vAlign w:val="top"/>
          </w:tcPr>
          <w:p w:rsid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-9%</w:t>
            </w:r>
          </w:p>
        </w:tc>
      </w:tr>
      <w:tr w:rsidR="00C46FCC" w:rsidRPr="00C46FCC" w:rsidTr="00C46FCC">
        <w:trPr>
          <w:cnfStyle w:val="000000010000" w:firstRow="0" w:lastRow="0" w:firstColumn="0" w:lastColumn="0" w:oddVBand="0" w:evenVBand="0" w:oddHBand="0" w:evenHBand="1"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871" w:type="dxa"/>
            <w:vAlign w:val="top"/>
          </w:tcPr>
          <w:p w:rsidR="00C46FCC" w:rsidRPr="00C46FCC" w:rsidRDefault="00C46FCC" w:rsidP="00C46FCC">
            <w:pPr>
              <w:spacing w:before="0"/>
              <w:rPr>
                <w:rFonts w:ascii="Calibri" w:hAnsi="Calibri" w:cs="Calibri"/>
                <w:i/>
                <w:color w:val="000000"/>
                <w:sz w:val="18"/>
                <w:szCs w:val="18"/>
              </w:rPr>
            </w:pPr>
            <w:r w:rsidRPr="00C46FCC">
              <w:rPr>
                <w:rFonts w:ascii="Calibri" w:hAnsi="Calibri" w:cs="Calibri"/>
                <w:i/>
                <w:color w:val="000000"/>
                <w:sz w:val="18"/>
                <w:szCs w:val="18"/>
              </w:rPr>
              <w:t>Total  Exports</w:t>
            </w:r>
          </w:p>
        </w:tc>
        <w:tc>
          <w:tcPr>
            <w:tcW w:w="917" w:type="dxa"/>
            <w:vAlign w:val="top"/>
          </w:tcPr>
          <w:p w:rsidR="00C46FCC" w:rsidRP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135,350</w:t>
            </w:r>
          </w:p>
        </w:tc>
        <w:tc>
          <w:tcPr>
            <w:tcW w:w="924" w:type="dxa"/>
            <w:vAlign w:val="top"/>
          </w:tcPr>
          <w:p w:rsidR="00C46FCC" w:rsidRP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143,250</w:t>
            </w:r>
          </w:p>
        </w:tc>
        <w:tc>
          <w:tcPr>
            <w:tcW w:w="922" w:type="dxa"/>
            <w:vAlign w:val="top"/>
          </w:tcPr>
          <w:p w:rsidR="00C46FCC" w:rsidRP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128,620</w:t>
            </w:r>
          </w:p>
        </w:tc>
        <w:tc>
          <w:tcPr>
            <w:tcW w:w="879" w:type="dxa"/>
            <w:vAlign w:val="top"/>
          </w:tcPr>
          <w:p w:rsidR="00C46FCC" w:rsidRP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117,020</w:t>
            </w:r>
          </w:p>
        </w:tc>
        <w:tc>
          <w:tcPr>
            <w:tcW w:w="765" w:type="dxa"/>
            <w:vAlign w:val="top"/>
          </w:tcPr>
          <w:p w:rsidR="00C46FCC" w:rsidRP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132,160</w:t>
            </w:r>
          </w:p>
        </w:tc>
        <w:tc>
          <w:tcPr>
            <w:tcW w:w="739" w:type="dxa"/>
            <w:vAlign w:val="top"/>
          </w:tcPr>
          <w:p w:rsidR="00C46FCC" w:rsidRP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101,300</w:t>
            </w:r>
          </w:p>
        </w:tc>
        <w:tc>
          <w:tcPr>
            <w:tcW w:w="739" w:type="dxa"/>
            <w:tcBorders>
              <w:right w:val="single" w:sz="2" w:space="0" w:color="C40B06"/>
            </w:tcBorders>
            <w:vAlign w:val="top"/>
          </w:tcPr>
          <w:p w:rsidR="00C46FCC" w:rsidRP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97,740</w:t>
            </w:r>
          </w:p>
        </w:tc>
        <w:tc>
          <w:tcPr>
            <w:tcW w:w="776" w:type="dxa"/>
            <w:tcBorders>
              <w:left w:val="single" w:sz="2" w:space="0" w:color="C40B06"/>
            </w:tcBorders>
            <w:vAlign w:val="top"/>
          </w:tcPr>
          <w:p w:rsidR="00C46FCC" w:rsidRP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-37,610</w:t>
            </w:r>
          </w:p>
        </w:tc>
        <w:tc>
          <w:tcPr>
            <w:tcW w:w="617" w:type="dxa"/>
            <w:vAlign w:val="top"/>
          </w:tcPr>
          <w:p w:rsidR="00C46FCC" w:rsidRPr="00C46FCC" w:rsidRDefault="00C46FCC" w:rsidP="00C46FCC">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i/>
                <w:color w:val="000000"/>
                <w:sz w:val="18"/>
                <w:szCs w:val="18"/>
              </w:rPr>
            </w:pPr>
            <w:r w:rsidRPr="00C46FCC">
              <w:rPr>
                <w:rFonts w:ascii="Calibri" w:hAnsi="Calibri" w:cs="Calibri"/>
                <w:i/>
                <w:color w:val="000000"/>
                <w:sz w:val="18"/>
                <w:szCs w:val="18"/>
              </w:rPr>
              <w:t>-5%</w:t>
            </w:r>
          </w:p>
        </w:tc>
      </w:tr>
      <w:tr w:rsidR="00C46FCC" w:rsidRPr="00C46FCC" w:rsidTr="00C46FCC">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871" w:type="dxa"/>
            <w:tcBorders>
              <w:top w:val="single" w:sz="2" w:space="0" w:color="C40B06"/>
              <w:bottom w:val="single" w:sz="12" w:space="0" w:color="C40B06"/>
            </w:tcBorders>
            <w:vAlign w:val="top"/>
          </w:tcPr>
          <w:p w:rsidR="00C46FCC" w:rsidRPr="00C46FCC" w:rsidRDefault="00C46FCC" w:rsidP="00C46FCC">
            <w:pPr>
              <w:spacing w:before="0"/>
              <w:rPr>
                <w:b/>
                <w:sz w:val="18"/>
                <w:szCs w:val="18"/>
              </w:rPr>
            </w:pPr>
            <w:r w:rsidRPr="00C46FCC">
              <w:rPr>
                <w:b/>
                <w:sz w:val="18"/>
                <w:szCs w:val="18"/>
              </w:rPr>
              <w:t>Imports/Exports</w:t>
            </w:r>
          </w:p>
        </w:tc>
        <w:tc>
          <w:tcPr>
            <w:tcW w:w="917" w:type="dxa"/>
            <w:tcBorders>
              <w:top w:val="single" w:sz="2" w:space="0" w:color="C40B06"/>
              <w:bottom w:val="single" w:sz="12" w:space="0" w:color="C40B06"/>
            </w:tcBorders>
            <w:vAlign w:val="top"/>
          </w:tcPr>
          <w:p w:rsidR="00C46FCC" w:rsidRP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C46FCC">
              <w:rPr>
                <w:rFonts w:ascii="Calibri" w:hAnsi="Calibri" w:cs="Calibri"/>
                <w:b/>
                <w:bCs/>
                <w:color w:val="000000"/>
                <w:sz w:val="18"/>
                <w:szCs w:val="18"/>
              </w:rPr>
              <w:t>285,700</w:t>
            </w:r>
          </w:p>
        </w:tc>
        <w:tc>
          <w:tcPr>
            <w:tcW w:w="924" w:type="dxa"/>
            <w:tcBorders>
              <w:top w:val="single" w:sz="2" w:space="0" w:color="C40B06"/>
              <w:bottom w:val="single" w:sz="12" w:space="0" w:color="C40B06"/>
            </w:tcBorders>
            <w:vAlign w:val="top"/>
          </w:tcPr>
          <w:p w:rsidR="00C46FCC" w:rsidRP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C46FCC">
              <w:rPr>
                <w:rFonts w:ascii="Calibri" w:hAnsi="Calibri" w:cs="Calibri"/>
                <w:b/>
                <w:bCs/>
                <w:color w:val="000000"/>
                <w:sz w:val="18"/>
                <w:szCs w:val="18"/>
              </w:rPr>
              <w:t>379,980</w:t>
            </w:r>
          </w:p>
        </w:tc>
        <w:tc>
          <w:tcPr>
            <w:tcW w:w="922" w:type="dxa"/>
            <w:tcBorders>
              <w:top w:val="single" w:sz="2" w:space="0" w:color="C40B06"/>
              <w:bottom w:val="single" w:sz="12" w:space="0" w:color="C40B06"/>
            </w:tcBorders>
            <w:vAlign w:val="top"/>
          </w:tcPr>
          <w:p w:rsidR="00C46FCC" w:rsidRP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C46FCC">
              <w:rPr>
                <w:rFonts w:ascii="Calibri" w:hAnsi="Calibri" w:cs="Calibri"/>
                <w:b/>
                <w:bCs/>
                <w:color w:val="000000"/>
                <w:sz w:val="18"/>
                <w:szCs w:val="18"/>
              </w:rPr>
              <w:t>470,910</w:t>
            </w:r>
          </w:p>
        </w:tc>
        <w:tc>
          <w:tcPr>
            <w:tcW w:w="879" w:type="dxa"/>
            <w:tcBorders>
              <w:top w:val="single" w:sz="2" w:space="0" w:color="C40B06"/>
              <w:bottom w:val="single" w:sz="12" w:space="0" w:color="C40B06"/>
            </w:tcBorders>
            <w:vAlign w:val="top"/>
          </w:tcPr>
          <w:p w:rsidR="00C46FCC" w:rsidRP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C46FCC">
              <w:rPr>
                <w:rFonts w:ascii="Calibri" w:hAnsi="Calibri" w:cs="Calibri"/>
                <w:b/>
                <w:bCs/>
                <w:color w:val="000000"/>
                <w:sz w:val="18"/>
                <w:szCs w:val="18"/>
              </w:rPr>
              <w:t>623,230</w:t>
            </w:r>
          </w:p>
        </w:tc>
        <w:tc>
          <w:tcPr>
            <w:tcW w:w="765" w:type="dxa"/>
            <w:tcBorders>
              <w:top w:val="single" w:sz="2" w:space="0" w:color="C40B06"/>
              <w:bottom w:val="single" w:sz="12" w:space="0" w:color="C40B06"/>
            </w:tcBorders>
            <w:vAlign w:val="top"/>
          </w:tcPr>
          <w:p w:rsidR="00C46FCC" w:rsidRP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C46FCC">
              <w:rPr>
                <w:rFonts w:ascii="Calibri" w:hAnsi="Calibri" w:cs="Calibri"/>
                <w:b/>
                <w:bCs/>
                <w:color w:val="000000"/>
                <w:sz w:val="18"/>
                <w:szCs w:val="18"/>
              </w:rPr>
              <w:t>523,520</w:t>
            </w:r>
          </w:p>
        </w:tc>
        <w:tc>
          <w:tcPr>
            <w:tcW w:w="739" w:type="dxa"/>
            <w:tcBorders>
              <w:top w:val="single" w:sz="2" w:space="0" w:color="C40B06"/>
              <w:bottom w:val="single" w:sz="12" w:space="0" w:color="C40B06"/>
            </w:tcBorders>
            <w:vAlign w:val="top"/>
          </w:tcPr>
          <w:p w:rsidR="00C46FCC" w:rsidRP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C46FCC">
              <w:rPr>
                <w:rFonts w:ascii="Calibri" w:hAnsi="Calibri" w:cs="Calibri"/>
                <w:b/>
                <w:bCs/>
                <w:color w:val="000000"/>
                <w:sz w:val="18"/>
                <w:szCs w:val="18"/>
              </w:rPr>
              <w:t>617,230</w:t>
            </w:r>
          </w:p>
        </w:tc>
        <w:tc>
          <w:tcPr>
            <w:tcW w:w="739" w:type="dxa"/>
            <w:tcBorders>
              <w:top w:val="single" w:sz="2" w:space="0" w:color="C40B06"/>
              <w:bottom w:val="single" w:sz="12" w:space="0" w:color="C40B06"/>
              <w:right w:val="single" w:sz="2" w:space="0" w:color="C40B06"/>
            </w:tcBorders>
            <w:vAlign w:val="top"/>
          </w:tcPr>
          <w:p w:rsidR="00C46FCC" w:rsidRP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C46FCC">
              <w:rPr>
                <w:rFonts w:ascii="Calibri" w:hAnsi="Calibri" w:cs="Calibri"/>
                <w:b/>
                <w:bCs/>
                <w:color w:val="000000"/>
                <w:sz w:val="18"/>
                <w:szCs w:val="18"/>
              </w:rPr>
              <w:t>725,680</w:t>
            </w:r>
          </w:p>
        </w:tc>
        <w:tc>
          <w:tcPr>
            <w:tcW w:w="776" w:type="dxa"/>
            <w:tcBorders>
              <w:top w:val="single" w:sz="2" w:space="0" w:color="C40B06"/>
              <w:left w:val="single" w:sz="2" w:space="0" w:color="C40B06"/>
              <w:bottom w:val="single" w:sz="12" w:space="0" w:color="C40B06"/>
            </w:tcBorders>
            <w:vAlign w:val="top"/>
          </w:tcPr>
          <w:p w:rsidR="00C46FCC" w:rsidRP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C46FCC">
              <w:rPr>
                <w:rFonts w:ascii="Calibri" w:hAnsi="Calibri" w:cs="Calibri"/>
                <w:b/>
                <w:bCs/>
                <w:color w:val="000000"/>
                <w:sz w:val="18"/>
                <w:szCs w:val="18"/>
              </w:rPr>
              <w:t>439,980</w:t>
            </w:r>
          </w:p>
        </w:tc>
        <w:tc>
          <w:tcPr>
            <w:tcW w:w="617" w:type="dxa"/>
            <w:tcBorders>
              <w:top w:val="single" w:sz="2" w:space="0" w:color="C40B06"/>
              <w:bottom w:val="single" w:sz="12" w:space="0" w:color="C40B06"/>
            </w:tcBorders>
            <w:vAlign w:val="top"/>
          </w:tcPr>
          <w:p w:rsidR="00C46FCC" w:rsidRPr="00C46FCC" w:rsidRDefault="00C46FCC" w:rsidP="00C46FC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C46FCC">
              <w:rPr>
                <w:rFonts w:ascii="Calibri" w:hAnsi="Calibri" w:cs="Calibri"/>
                <w:b/>
                <w:color w:val="000000"/>
                <w:sz w:val="18"/>
                <w:szCs w:val="18"/>
              </w:rPr>
              <w:t>+17%</w:t>
            </w:r>
          </w:p>
        </w:tc>
      </w:tr>
    </w:tbl>
    <w:p w:rsidR="00683D94" w:rsidRPr="000A5AB7" w:rsidRDefault="00683D94" w:rsidP="00683D94">
      <w:pPr>
        <w:pStyle w:val="Source"/>
      </w:pPr>
      <w:r w:rsidRPr="000A5AB7">
        <w:t>Source:</w:t>
      </w:r>
      <w:r w:rsidRPr="000A5AB7">
        <w:tab/>
      </w:r>
      <w:r w:rsidR="005E7195">
        <w:t>Department of Foreign Affairs and Trade – Composition of Trade 2011-12</w:t>
      </w:r>
    </w:p>
    <w:p w:rsidR="00E07E82" w:rsidRDefault="00E07E82" w:rsidP="00E07E82">
      <w:pPr>
        <w:pStyle w:val="Heading4"/>
      </w:pPr>
      <w:r>
        <w:t>Operational Impacts</w:t>
      </w:r>
    </w:p>
    <w:p w:rsidR="006859E9" w:rsidRDefault="006859E9" w:rsidP="006859E9">
      <w:pPr>
        <w:rPr>
          <w:shd w:val="clear" w:color="auto" w:fill="FFFFFF"/>
        </w:rPr>
      </w:pPr>
      <w:r>
        <w:rPr>
          <w:shd w:val="clear" w:color="auto" w:fill="FFFFFF"/>
        </w:rPr>
        <w:t xml:space="preserve">Over the past five years the </w:t>
      </w:r>
      <w:r w:rsidR="00566627">
        <w:rPr>
          <w:shd w:val="clear" w:color="auto" w:fill="FFFFFF"/>
        </w:rPr>
        <w:t xml:space="preserve">domestic </w:t>
      </w:r>
      <w:r>
        <w:rPr>
          <w:shd w:val="clear" w:color="auto" w:fill="FFFFFF"/>
        </w:rPr>
        <w:t>m</w:t>
      </w:r>
      <w:r w:rsidRPr="00E34EF5">
        <w:rPr>
          <w:shd w:val="clear" w:color="auto" w:fill="FFFFFF"/>
        </w:rPr>
        <w:t xml:space="preserve">arket share of imported private label canned fruit has </w:t>
      </w:r>
      <w:r w:rsidR="00457AF2">
        <w:rPr>
          <w:shd w:val="clear" w:color="auto" w:fill="FFFFFF"/>
        </w:rPr>
        <w:t xml:space="preserve">increased </w:t>
      </w:r>
      <w:r w:rsidRPr="00E34EF5">
        <w:rPr>
          <w:shd w:val="clear" w:color="auto" w:fill="FFFFFF"/>
        </w:rPr>
        <w:t xml:space="preserve">to 58%, </w:t>
      </w:r>
      <w:r>
        <w:rPr>
          <w:shd w:val="clear" w:color="auto" w:fill="FFFFFF"/>
        </w:rPr>
        <w:t xml:space="preserve">while </w:t>
      </w:r>
      <w:r w:rsidRPr="00E34EF5">
        <w:rPr>
          <w:shd w:val="clear" w:color="auto" w:fill="FFFFFF"/>
        </w:rPr>
        <w:t>SPCA</w:t>
      </w:r>
      <w:r>
        <w:rPr>
          <w:shd w:val="clear" w:color="auto" w:fill="FFFFFF"/>
        </w:rPr>
        <w:t>’s</w:t>
      </w:r>
      <w:r w:rsidRPr="00E34EF5">
        <w:rPr>
          <w:shd w:val="clear" w:color="auto" w:fill="FFFFFF"/>
        </w:rPr>
        <w:t xml:space="preserve"> canned fruit share has declined to 33%. </w:t>
      </w:r>
      <w:r>
        <w:rPr>
          <w:shd w:val="clear" w:color="auto" w:fill="FFFFFF"/>
        </w:rPr>
        <w:t xml:space="preserve">Additionally, </w:t>
      </w:r>
      <w:r w:rsidRPr="00E34EF5">
        <w:rPr>
          <w:shd w:val="clear" w:color="auto" w:fill="FFFFFF"/>
        </w:rPr>
        <w:t xml:space="preserve">SPC Ardmona export market volumes have declined by 90% </w:t>
      </w:r>
      <w:r w:rsidR="00566627">
        <w:rPr>
          <w:shd w:val="clear" w:color="auto" w:fill="FFFFFF"/>
        </w:rPr>
        <w:t>over this period.</w:t>
      </w:r>
    </w:p>
    <w:p w:rsidR="00E34EF5" w:rsidRDefault="00E34EF5" w:rsidP="00E34EF5">
      <w:pPr>
        <w:rPr>
          <w:shd w:val="clear" w:color="auto" w:fill="FFFFFF"/>
        </w:rPr>
      </w:pPr>
      <w:r>
        <w:rPr>
          <w:shd w:val="clear" w:color="auto" w:fill="FFFFFF"/>
        </w:rPr>
        <w:t>Due to falling domestic and international demand for its products, SPCA has reported stock write</w:t>
      </w:r>
      <w:r w:rsidR="006D229C">
        <w:rPr>
          <w:shd w:val="clear" w:color="auto" w:fill="FFFFFF"/>
        </w:rPr>
        <w:t>-</w:t>
      </w:r>
      <w:r>
        <w:rPr>
          <w:shd w:val="clear" w:color="auto" w:fill="FFFFFF"/>
        </w:rPr>
        <w:t xml:space="preserve">offs of </w:t>
      </w:r>
      <w:r w:rsidRPr="00E07E82">
        <w:rPr>
          <w:shd w:val="clear" w:color="auto" w:fill="FFFFFF"/>
        </w:rPr>
        <w:t>$108</w:t>
      </w:r>
      <w:r w:rsidR="006859E9">
        <w:rPr>
          <w:shd w:val="clear" w:color="auto" w:fill="FFFFFF"/>
        </w:rPr>
        <w:t xml:space="preserve"> </w:t>
      </w:r>
      <w:r w:rsidRPr="00E07E82">
        <w:rPr>
          <w:shd w:val="clear" w:color="auto" w:fill="FFFFFF"/>
        </w:rPr>
        <w:t>million in 2011 and $100million</w:t>
      </w:r>
      <w:r>
        <w:rPr>
          <w:shd w:val="clear" w:color="auto" w:fill="FFFFFF"/>
        </w:rPr>
        <w:t xml:space="preserve"> in 2012</w:t>
      </w:r>
      <w:r w:rsidRPr="00E07E82">
        <w:rPr>
          <w:shd w:val="clear" w:color="auto" w:fill="FFFFFF"/>
        </w:rPr>
        <w:t>.</w:t>
      </w:r>
      <w:r>
        <w:rPr>
          <w:shd w:val="clear" w:color="auto" w:fill="FFFFFF"/>
        </w:rPr>
        <w:t xml:space="preserve"> </w:t>
      </w:r>
    </w:p>
    <w:p w:rsidR="00C908F5" w:rsidRDefault="006859E9" w:rsidP="00E51535">
      <w:pPr>
        <w:rPr>
          <w:shd w:val="clear" w:color="auto" w:fill="FFFFFF"/>
        </w:rPr>
      </w:pPr>
      <w:r>
        <w:rPr>
          <w:shd w:val="clear" w:color="auto" w:fill="FFFFFF"/>
        </w:rPr>
        <w:t xml:space="preserve">In response to these changing circumstances, </w:t>
      </w:r>
      <w:r w:rsidR="00E34EF5">
        <w:rPr>
          <w:shd w:val="clear" w:color="auto" w:fill="FFFFFF"/>
        </w:rPr>
        <w:t xml:space="preserve">SPCA </w:t>
      </w:r>
      <w:r w:rsidR="005049CA">
        <w:rPr>
          <w:shd w:val="clear" w:color="auto" w:fill="FFFFFF"/>
        </w:rPr>
        <w:t xml:space="preserve">production has </w:t>
      </w:r>
      <w:r>
        <w:rPr>
          <w:shd w:val="clear" w:color="auto" w:fill="FFFFFF"/>
        </w:rPr>
        <w:t xml:space="preserve">been reduced </w:t>
      </w:r>
      <w:r w:rsidR="006D229C">
        <w:rPr>
          <w:shd w:val="clear" w:color="auto" w:fill="FFFFFF"/>
        </w:rPr>
        <w:t xml:space="preserve">significantly </w:t>
      </w:r>
      <w:r w:rsidR="005049CA">
        <w:rPr>
          <w:shd w:val="clear" w:color="auto" w:fill="FFFFFF"/>
        </w:rPr>
        <w:t xml:space="preserve">from an estimated 180,000 tonnes in </w:t>
      </w:r>
      <w:r w:rsidR="00C908F5">
        <w:rPr>
          <w:shd w:val="clear" w:color="auto" w:fill="FFFFFF"/>
        </w:rPr>
        <w:t xml:space="preserve">2009 to 135,000 tonnes in 2012. </w:t>
      </w:r>
    </w:p>
    <w:p w:rsidR="00AA1B6A" w:rsidRDefault="00C908F5" w:rsidP="00E51535">
      <w:pPr>
        <w:rPr>
          <w:shd w:val="clear" w:color="auto" w:fill="FFFFFF"/>
        </w:rPr>
      </w:pPr>
      <w:r>
        <w:rPr>
          <w:shd w:val="clear" w:color="auto" w:fill="FFFFFF"/>
        </w:rPr>
        <w:t xml:space="preserve">These impacts have led to the </w:t>
      </w:r>
      <w:r w:rsidR="0038035B">
        <w:rPr>
          <w:shd w:val="clear" w:color="auto" w:fill="FFFFFF"/>
        </w:rPr>
        <w:t xml:space="preserve">downgrading </w:t>
      </w:r>
      <w:r>
        <w:rPr>
          <w:shd w:val="clear" w:color="auto" w:fill="FFFFFF"/>
        </w:rPr>
        <w:t>of the Mooroopna fruit and vegetable cannery in 2011</w:t>
      </w:r>
      <w:r w:rsidR="00566627">
        <w:rPr>
          <w:shd w:val="clear" w:color="auto" w:fill="FFFFFF"/>
        </w:rPr>
        <w:t>,</w:t>
      </w:r>
      <w:r w:rsidR="00AA1B6A">
        <w:rPr>
          <w:shd w:val="clear" w:color="auto" w:fill="FFFFFF"/>
        </w:rPr>
        <w:t xml:space="preserve"> with manufacturing operations consolidated at the Shepparton and Kyabram processing plants. This restructure resulted in the loss </w:t>
      </w:r>
      <w:r>
        <w:rPr>
          <w:shd w:val="clear" w:color="auto" w:fill="FFFFFF"/>
        </w:rPr>
        <w:t>of approximately 150 jobs</w:t>
      </w:r>
      <w:r w:rsidR="00566627">
        <w:rPr>
          <w:shd w:val="clear" w:color="auto" w:fill="FFFFFF"/>
        </w:rPr>
        <w:t xml:space="preserve"> directly</w:t>
      </w:r>
      <w:r w:rsidR="006D229C">
        <w:rPr>
          <w:shd w:val="clear" w:color="auto" w:fill="FFFFFF"/>
        </w:rPr>
        <w:t>,</w:t>
      </w:r>
      <w:r w:rsidR="00566627">
        <w:rPr>
          <w:shd w:val="clear" w:color="auto" w:fill="FFFFFF"/>
        </w:rPr>
        <w:t xml:space="preserve"> and many more indirectly in the GV Region</w:t>
      </w:r>
      <w:r w:rsidR="00E34EF5">
        <w:rPr>
          <w:shd w:val="clear" w:color="auto" w:fill="FFFFFF"/>
        </w:rPr>
        <w:t xml:space="preserve">. </w:t>
      </w:r>
    </w:p>
    <w:p w:rsidR="00E07E82" w:rsidRDefault="00E34EF5" w:rsidP="00E51535">
      <w:pPr>
        <w:rPr>
          <w:shd w:val="clear" w:color="auto" w:fill="FFFFFF"/>
        </w:rPr>
      </w:pPr>
      <w:r>
        <w:rPr>
          <w:shd w:val="clear" w:color="auto" w:fill="FFFFFF"/>
        </w:rPr>
        <w:t xml:space="preserve">In April 2013, SPCA announced </w:t>
      </w:r>
      <w:r w:rsidR="00C908F5">
        <w:rPr>
          <w:shd w:val="clear" w:color="auto" w:fill="FFFFFF"/>
        </w:rPr>
        <w:t xml:space="preserve">a significant reduction in supply contracts for </w:t>
      </w:r>
      <w:r>
        <w:rPr>
          <w:shd w:val="clear" w:color="auto" w:fill="FFFFFF"/>
        </w:rPr>
        <w:t>regional fruit growers,</w:t>
      </w:r>
      <w:r w:rsidR="00C908F5">
        <w:rPr>
          <w:shd w:val="clear" w:color="auto" w:fill="FFFFFF"/>
        </w:rPr>
        <w:t xml:space="preserve"> </w:t>
      </w:r>
      <w:r>
        <w:rPr>
          <w:shd w:val="clear" w:color="auto" w:fill="FFFFFF"/>
        </w:rPr>
        <w:t xml:space="preserve">with overall fruit intake reduced by approximately 50% </w:t>
      </w:r>
      <w:r w:rsidR="006D229C">
        <w:rPr>
          <w:shd w:val="clear" w:color="auto" w:fill="FFFFFF"/>
        </w:rPr>
        <w:t xml:space="preserve">in </w:t>
      </w:r>
      <w:r>
        <w:rPr>
          <w:shd w:val="clear" w:color="auto" w:fill="FFFFFF"/>
        </w:rPr>
        <w:t>some fruit categories</w:t>
      </w:r>
      <w:r w:rsidR="00AA1B6A">
        <w:rPr>
          <w:shd w:val="clear" w:color="auto" w:fill="FFFFFF"/>
        </w:rPr>
        <w:t xml:space="preserve"> (peach and pear)</w:t>
      </w:r>
      <w:r w:rsidR="006D229C">
        <w:rPr>
          <w:shd w:val="clear" w:color="auto" w:fill="FFFFFF"/>
        </w:rPr>
        <w:t xml:space="preserve">; this has </w:t>
      </w:r>
      <w:r>
        <w:rPr>
          <w:shd w:val="clear" w:color="auto" w:fill="FFFFFF"/>
        </w:rPr>
        <w:t>directly impact</w:t>
      </w:r>
      <w:r w:rsidR="006D229C">
        <w:rPr>
          <w:shd w:val="clear" w:color="auto" w:fill="FFFFFF"/>
        </w:rPr>
        <w:t xml:space="preserve">ed </w:t>
      </w:r>
      <w:r>
        <w:rPr>
          <w:shd w:val="clear" w:color="auto" w:fill="FFFFFF"/>
        </w:rPr>
        <w:t>up to 170 growers</w:t>
      </w:r>
      <w:r w:rsidR="006859E9">
        <w:rPr>
          <w:shd w:val="clear" w:color="auto" w:fill="FFFFFF"/>
        </w:rPr>
        <w:t xml:space="preserve">, </w:t>
      </w:r>
      <w:r w:rsidR="006D229C">
        <w:rPr>
          <w:shd w:val="clear" w:color="auto" w:fill="FFFFFF"/>
        </w:rPr>
        <w:t xml:space="preserve">including </w:t>
      </w:r>
      <w:r w:rsidR="006859E9">
        <w:rPr>
          <w:shd w:val="clear" w:color="auto" w:fill="FFFFFF"/>
        </w:rPr>
        <w:t>60 or so contracts cancelled completely.</w:t>
      </w:r>
      <w:r w:rsidR="005049CA">
        <w:rPr>
          <w:shd w:val="clear" w:color="auto" w:fill="FFFFFF"/>
        </w:rPr>
        <w:t xml:space="preserve"> </w:t>
      </w:r>
    </w:p>
    <w:p w:rsidR="00C46FCC" w:rsidRPr="00E51535" w:rsidRDefault="00C46FCC" w:rsidP="00E51535">
      <w:pPr>
        <w:rPr>
          <w:shd w:val="clear" w:color="auto" w:fill="FFFFFF"/>
        </w:rPr>
      </w:pPr>
    </w:p>
    <w:p w:rsidR="00BC4468" w:rsidRDefault="00BC4468" w:rsidP="00BC4468">
      <w:pPr>
        <w:pStyle w:val="Heading2"/>
      </w:pPr>
      <w:bookmarkStart w:id="11" w:name="_Toc358806198"/>
      <w:r>
        <w:lastRenderedPageBreak/>
        <w:t>Summary</w:t>
      </w:r>
      <w:bookmarkEnd w:id="11"/>
    </w:p>
    <w:p w:rsidR="006859E9" w:rsidRDefault="006859E9" w:rsidP="006859E9">
      <w:r>
        <w:t xml:space="preserve">While SPCA remains a strong manufacturing presence in the GV Region, the scale of </w:t>
      </w:r>
      <w:r w:rsidR="00566627">
        <w:t xml:space="preserve">its </w:t>
      </w:r>
      <w:r>
        <w:t>operations has been reduced significantly over recent year</w:t>
      </w:r>
      <w:r w:rsidR="00566627">
        <w:t>s</w:t>
      </w:r>
      <w:r>
        <w:t xml:space="preserve">. </w:t>
      </w:r>
    </w:p>
    <w:p w:rsidR="006859E9" w:rsidRDefault="006859E9" w:rsidP="006859E9">
      <w:r>
        <w:t>Key factors behind this contraction include drought, the strong and sustained appreciation of the Australian dollar, increased imports of cheaper product (especially by major supermarket chains)</w:t>
      </w:r>
      <w:r w:rsidR="006D229C">
        <w:t>,</w:t>
      </w:r>
      <w:r>
        <w:t xml:space="preserve"> and a loss of export market share. </w:t>
      </w:r>
    </w:p>
    <w:p w:rsidR="006859E9" w:rsidRPr="006859E9" w:rsidRDefault="006859E9" w:rsidP="006859E9">
      <w:r>
        <w:t>Due to these challenging commercial conditions, SPCA has incurred significant stock write</w:t>
      </w:r>
      <w:r w:rsidR="006D229C">
        <w:t>-</w:t>
      </w:r>
      <w:r>
        <w:t>offs in recent years</w:t>
      </w:r>
      <w:r w:rsidR="006D229C">
        <w:t>,</w:t>
      </w:r>
      <w:r>
        <w:t xml:space="preserve"> and has responded to falling demand levels by </w:t>
      </w:r>
      <w:r w:rsidR="0038035B">
        <w:t xml:space="preserve">downgrading </w:t>
      </w:r>
      <w:r>
        <w:t>one of its major processing plants (Mooroopna) and significantly reducing its fruit intake levels from regional fruit growers.</w:t>
      </w:r>
    </w:p>
    <w:p w:rsidR="00BC4468" w:rsidRPr="00BC4468" w:rsidRDefault="00BC4468" w:rsidP="00BC4468"/>
    <w:p w:rsidR="00F86090" w:rsidRPr="00F86090" w:rsidRDefault="00F86090" w:rsidP="00F86090"/>
    <w:p w:rsidR="00F86090" w:rsidRDefault="00F86090" w:rsidP="00F86090">
      <w:pPr>
        <w:pStyle w:val="Heading1"/>
      </w:pPr>
      <w:bookmarkStart w:id="12" w:name="_Toc358806199"/>
      <w:r>
        <w:lastRenderedPageBreak/>
        <w:t>Economic Impact Assessment</w:t>
      </w:r>
      <w:bookmarkEnd w:id="12"/>
    </w:p>
    <w:p w:rsidR="005B28EF" w:rsidRDefault="00EE3C24" w:rsidP="00EE3C24">
      <w:r>
        <w:t>This Chapter presents an economic impact assessment based on a scenario where SPCA operations cease in the GV Region.</w:t>
      </w:r>
    </w:p>
    <w:p w:rsidR="00EE3C24" w:rsidRDefault="00EE3C24" w:rsidP="00EE3C24">
      <w:r>
        <w:t>The analysis is based on impacts on business and industry,  economic output,</w:t>
      </w:r>
      <w:r w:rsidRPr="00EE3C24">
        <w:t xml:space="preserve"> </w:t>
      </w:r>
      <w:r>
        <w:t xml:space="preserve">labour markets, </w:t>
      </w:r>
      <w:r w:rsidR="00AA1B6A">
        <w:t xml:space="preserve">training, </w:t>
      </w:r>
      <w:r>
        <w:t>viability of major projects, strategic planning/land use, and  Council and community revenues.</w:t>
      </w:r>
    </w:p>
    <w:p w:rsidR="00650DE5" w:rsidRDefault="00650DE5" w:rsidP="00650DE5">
      <w:pPr>
        <w:pStyle w:val="Heading2"/>
      </w:pPr>
      <w:bookmarkStart w:id="13" w:name="_Toc358806200"/>
      <w:r>
        <w:t>Business and Industry Impacts</w:t>
      </w:r>
      <w:bookmarkEnd w:id="13"/>
    </w:p>
    <w:p w:rsidR="00650DE5" w:rsidRDefault="00650DE5" w:rsidP="00650DE5">
      <w:r>
        <w:t xml:space="preserve">SPCA </w:t>
      </w:r>
      <w:r w:rsidR="005B28EF">
        <w:t xml:space="preserve">currently </w:t>
      </w:r>
      <w:r>
        <w:t xml:space="preserve">has 331 </w:t>
      </w:r>
      <w:r w:rsidR="005B28EF">
        <w:t xml:space="preserve">non-fruit </w:t>
      </w:r>
      <w:r>
        <w:t xml:space="preserve">suppliers who are based in the GV </w:t>
      </w:r>
      <w:r w:rsidR="006D229C">
        <w:t>R</w:t>
      </w:r>
      <w:r>
        <w:t xml:space="preserve">egion, </w:t>
      </w:r>
      <w:r w:rsidR="006D229C">
        <w:t xml:space="preserve">and </w:t>
      </w:r>
      <w:r>
        <w:t>SPCA spend</w:t>
      </w:r>
      <w:r w:rsidR="006D229C">
        <w:t>s</w:t>
      </w:r>
      <w:r>
        <w:t xml:space="preserve"> approximately $67.6m </w:t>
      </w:r>
      <w:r w:rsidR="006D229C">
        <w:t xml:space="preserve">annually </w:t>
      </w:r>
      <w:r>
        <w:t>for their services.</w:t>
      </w:r>
    </w:p>
    <w:p w:rsidR="009357FE" w:rsidRDefault="00650DE5" w:rsidP="009357FE">
      <w:r>
        <w:t xml:space="preserve">Additionally, SPCA </w:t>
      </w:r>
      <w:r w:rsidR="00C973CD">
        <w:t>h</w:t>
      </w:r>
      <w:r>
        <w:t xml:space="preserve">as a further 232 contracts with fruit growers and pack houses in the GV Region </w:t>
      </w:r>
      <w:r w:rsidR="006D229C">
        <w:t xml:space="preserve">which </w:t>
      </w:r>
      <w:r>
        <w:t>generat</w:t>
      </w:r>
      <w:r w:rsidR="006D229C">
        <w:t>e</w:t>
      </w:r>
      <w:r>
        <w:t xml:space="preserve"> an annual spend of approximately $36.1 million.</w:t>
      </w:r>
      <w:r w:rsidR="009357FE">
        <w:t xml:space="preserve"> Many </w:t>
      </w:r>
      <w:r w:rsidR="009357FE" w:rsidRPr="009357FE">
        <w:t>growers in the GV</w:t>
      </w:r>
      <w:r w:rsidR="009357FE">
        <w:t xml:space="preserve"> Region </w:t>
      </w:r>
      <w:r w:rsidR="009357FE" w:rsidRPr="009357FE">
        <w:t>rely on SPCA for either all or a portion of their business and livelihood.</w:t>
      </w:r>
    </w:p>
    <w:p w:rsidR="00650DE5" w:rsidRDefault="00650DE5" w:rsidP="00650DE5">
      <w:r>
        <w:t>I</w:t>
      </w:r>
      <w:r w:rsidR="007A3295">
        <w:t>n</w:t>
      </w:r>
      <w:r>
        <w:t xml:space="preserve"> total</w:t>
      </w:r>
      <w:r w:rsidR="007A3295">
        <w:t>,</w:t>
      </w:r>
      <w:r>
        <w:t xml:space="preserve"> SPCA spends approximately $105 million </w:t>
      </w:r>
      <w:r w:rsidR="005B28EF">
        <w:t xml:space="preserve">(rounded) </w:t>
      </w:r>
      <w:r>
        <w:t xml:space="preserve">in the GV Region </w:t>
      </w:r>
      <w:r w:rsidR="00C973CD">
        <w:t xml:space="preserve">pa </w:t>
      </w:r>
      <w:r>
        <w:t>in relation to its regional suppliers, fruit pickers and pack houses. The importance of SPCA’s GV operations is highlighted by the fact that</w:t>
      </w:r>
      <w:r w:rsidR="00C973CD">
        <w:t xml:space="preserve">, on an annual basis, </w:t>
      </w:r>
      <w:r>
        <w:t>the GV Region represents approximately 50% of the company’s Victorian supply contracts, 34% of national contracts</w:t>
      </w:r>
      <w:r w:rsidR="007A3295">
        <w:t>,</w:t>
      </w:r>
      <w:r>
        <w:t xml:space="preserve"> and 30% of all supply total contracts including international markets</w:t>
      </w:r>
      <w:r w:rsidR="005B28EF">
        <w:t>, as shown in Table 3.1</w:t>
      </w:r>
      <w:r>
        <w:t xml:space="preserve">.  </w:t>
      </w:r>
    </w:p>
    <w:p w:rsidR="00650DE5" w:rsidRDefault="00650DE5" w:rsidP="00650DE5">
      <w:pPr>
        <w:pStyle w:val="Caption"/>
        <w:spacing w:before="240"/>
      </w:pPr>
      <w:r w:rsidRPr="000A5AB7">
        <w:t xml:space="preserve">Table </w:t>
      </w:r>
      <w:r>
        <w:t>3</w:t>
      </w:r>
      <w:r w:rsidRPr="000A5AB7">
        <w:t>.1</w:t>
      </w:r>
      <w:r w:rsidRPr="000A5AB7">
        <w:tab/>
      </w:r>
      <w:r>
        <w:t>SPC Ardmona</w:t>
      </w:r>
      <w:r w:rsidR="00D40953">
        <w:t>,</w:t>
      </w:r>
      <w:r>
        <w:t xml:space="preserve"> N</w:t>
      </w:r>
      <w:r w:rsidR="00D40953">
        <w:t xml:space="preserve">umber </w:t>
      </w:r>
      <w:r>
        <w:t>of Suppliers and Value of Contracts, by Region 2012/13</w:t>
      </w:r>
    </w:p>
    <w:tbl>
      <w:tblPr>
        <w:tblStyle w:val="TableEE"/>
        <w:tblW w:w="0" w:type="auto"/>
        <w:tblLook w:val="04A0" w:firstRow="1" w:lastRow="0" w:firstColumn="1" w:lastColumn="0" w:noHBand="0" w:noVBand="1"/>
      </w:tblPr>
      <w:tblGrid>
        <w:gridCol w:w="1715"/>
        <w:gridCol w:w="1738"/>
        <w:gridCol w:w="1760"/>
        <w:gridCol w:w="1752"/>
        <w:gridCol w:w="1596"/>
      </w:tblGrid>
      <w:tr w:rsidR="00650DE5" w:rsidRPr="000613E2" w:rsidTr="00E07E82">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1715" w:type="dxa"/>
          </w:tcPr>
          <w:p w:rsidR="00650DE5" w:rsidRPr="000613E2" w:rsidRDefault="00650DE5" w:rsidP="00E07E82">
            <w:pPr>
              <w:spacing w:before="0"/>
              <w:rPr>
                <w:sz w:val="18"/>
                <w:szCs w:val="18"/>
              </w:rPr>
            </w:pPr>
            <w:r w:rsidRPr="000613E2">
              <w:rPr>
                <w:sz w:val="18"/>
                <w:szCs w:val="18"/>
              </w:rPr>
              <w:t>Region</w:t>
            </w:r>
          </w:p>
        </w:tc>
        <w:tc>
          <w:tcPr>
            <w:tcW w:w="1738" w:type="dxa"/>
          </w:tcPr>
          <w:p w:rsidR="00650DE5" w:rsidRDefault="00650DE5" w:rsidP="00E07E82">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0613E2">
              <w:rPr>
                <w:sz w:val="18"/>
                <w:szCs w:val="18"/>
              </w:rPr>
              <w:t xml:space="preserve">Number of </w:t>
            </w:r>
          </w:p>
          <w:p w:rsidR="00650DE5" w:rsidRPr="000613E2" w:rsidRDefault="00650DE5" w:rsidP="00E07E82">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0613E2">
              <w:rPr>
                <w:sz w:val="18"/>
                <w:szCs w:val="18"/>
              </w:rPr>
              <w:t>Supplier</w:t>
            </w:r>
            <w:r>
              <w:rPr>
                <w:sz w:val="18"/>
                <w:szCs w:val="18"/>
              </w:rPr>
              <w:t>s</w:t>
            </w:r>
          </w:p>
        </w:tc>
        <w:tc>
          <w:tcPr>
            <w:tcW w:w="1760" w:type="dxa"/>
          </w:tcPr>
          <w:p w:rsidR="00650DE5" w:rsidRDefault="00650DE5" w:rsidP="00E07E82">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0613E2">
              <w:rPr>
                <w:sz w:val="18"/>
                <w:szCs w:val="18"/>
              </w:rPr>
              <w:t xml:space="preserve">Value of </w:t>
            </w:r>
          </w:p>
          <w:p w:rsidR="00650DE5" w:rsidRPr="000613E2" w:rsidRDefault="00650DE5" w:rsidP="00E07E82">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0613E2">
              <w:rPr>
                <w:sz w:val="18"/>
                <w:szCs w:val="18"/>
              </w:rPr>
              <w:t>Contracts</w:t>
            </w:r>
          </w:p>
        </w:tc>
        <w:tc>
          <w:tcPr>
            <w:tcW w:w="1752" w:type="dxa"/>
          </w:tcPr>
          <w:p w:rsidR="00650DE5" w:rsidRDefault="007A3295" w:rsidP="00E07E82">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Share </w:t>
            </w:r>
            <w:r w:rsidR="00650DE5" w:rsidRPr="000613E2">
              <w:rPr>
                <w:sz w:val="18"/>
                <w:szCs w:val="18"/>
              </w:rPr>
              <w:t xml:space="preserve">of </w:t>
            </w:r>
          </w:p>
          <w:p w:rsidR="00650DE5" w:rsidRPr="000613E2" w:rsidRDefault="00650DE5" w:rsidP="00E07E82">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w:t>
            </w:r>
            <w:r w:rsidRPr="000613E2">
              <w:rPr>
                <w:sz w:val="18"/>
                <w:szCs w:val="18"/>
              </w:rPr>
              <w:t>uppliers</w:t>
            </w:r>
          </w:p>
        </w:tc>
        <w:tc>
          <w:tcPr>
            <w:tcW w:w="1596" w:type="dxa"/>
          </w:tcPr>
          <w:p w:rsidR="00650DE5" w:rsidRDefault="007A3295" w:rsidP="00E07E82">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Share </w:t>
            </w:r>
            <w:r w:rsidR="00650DE5" w:rsidRPr="000613E2">
              <w:rPr>
                <w:sz w:val="18"/>
                <w:szCs w:val="18"/>
              </w:rPr>
              <w:t xml:space="preserve">of </w:t>
            </w:r>
          </w:p>
          <w:p w:rsidR="00650DE5" w:rsidRPr="000613E2" w:rsidRDefault="00650DE5" w:rsidP="00E07E82">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w:t>
            </w:r>
            <w:r w:rsidRPr="000613E2">
              <w:rPr>
                <w:sz w:val="18"/>
                <w:szCs w:val="18"/>
              </w:rPr>
              <w:t xml:space="preserve">ontract </w:t>
            </w:r>
            <w:r>
              <w:rPr>
                <w:sz w:val="18"/>
                <w:szCs w:val="18"/>
              </w:rPr>
              <w:t>V</w:t>
            </w:r>
            <w:r w:rsidRPr="000613E2">
              <w:rPr>
                <w:sz w:val="18"/>
                <w:szCs w:val="18"/>
              </w:rPr>
              <w:t>alue</w:t>
            </w:r>
          </w:p>
        </w:tc>
      </w:tr>
      <w:tr w:rsidR="00650DE5" w:rsidRPr="000613E2" w:rsidTr="00E07E82">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715" w:type="dxa"/>
            <w:vAlign w:val="top"/>
          </w:tcPr>
          <w:p w:rsidR="00650DE5" w:rsidRPr="000613E2" w:rsidRDefault="00650DE5" w:rsidP="00E07E82">
            <w:pPr>
              <w:spacing w:before="0"/>
              <w:rPr>
                <w:sz w:val="18"/>
                <w:szCs w:val="18"/>
              </w:rPr>
            </w:pPr>
            <w:r w:rsidRPr="000613E2">
              <w:rPr>
                <w:sz w:val="18"/>
                <w:szCs w:val="18"/>
              </w:rPr>
              <w:t>Goulburn Valley</w:t>
            </w:r>
          </w:p>
        </w:tc>
        <w:tc>
          <w:tcPr>
            <w:tcW w:w="1738" w:type="dxa"/>
            <w:vAlign w:val="top"/>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563</w:t>
            </w:r>
          </w:p>
        </w:tc>
        <w:tc>
          <w:tcPr>
            <w:tcW w:w="1760" w:type="dxa"/>
            <w:vAlign w:val="top"/>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$103.7 million</w:t>
            </w:r>
          </w:p>
        </w:tc>
        <w:tc>
          <w:tcPr>
            <w:tcW w:w="1752" w:type="dxa"/>
            <w:vAlign w:val="top"/>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28.9%</w:t>
            </w:r>
          </w:p>
        </w:tc>
        <w:tc>
          <w:tcPr>
            <w:tcW w:w="1596" w:type="dxa"/>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29.7%</w:t>
            </w:r>
          </w:p>
        </w:tc>
      </w:tr>
      <w:tr w:rsidR="00650DE5" w:rsidRPr="000613E2" w:rsidTr="00E07E82">
        <w:trPr>
          <w:cnfStyle w:val="000000010000" w:firstRow="0" w:lastRow="0" w:firstColumn="0" w:lastColumn="0" w:oddVBand="0" w:evenVBand="0" w:oddHBand="0" w:evenHBand="1"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715" w:type="dxa"/>
            <w:vAlign w:val="top"/>
          </w:tcPr>
          <w:p w:rsidR="00650DE5" w:rsidRPr="000613E2" w:rsidRDefault="00650DE5" w:rsidP="00E07E82">
            <w:pPr>
              <w:spacing w:before="0"/>
              <w:rPr>
                <w:sz w:val="18"/>
                <w:szCs w:val="18"/>
              </w:rPr>
            </w:pPr>
            <w:r w:rsidRPr="000613E2">
              <w:rPr>
                <w:sz w:val="18"/>
                <w:szCs w:val="18"/>
              </w:rPr>
              <w:t>Victoria</w:t>
            </w:r>
          </w:p>
        </w:tc>
        <w:tc>
          <w:tcPr>
            <w:tcW w:w="1738" w:type="dxa"/>
            <w:vAlign w:val="top"/>
          </w:tcPr>
          <w:p w:rsidR="00650DE5" w:rsidRPr="000613E2" w:rsidRDefault="00650DE5" w:rsidP="00E07E82">
            <w:pPr>
              <w:spacing w:before="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615</w:t>
            </w:r>
          </w:p>
        </w:tc>
        <w:tc>
          <w:tcPr>
            <w:tcW w:w="1760" w:type="dxa"/>
            <w:vAlign w:val="top"/>
          </w:tcPr>
          <w:p w:rsidR="00650DE5" w:rsidRPr="000613E2" w:rsidRDefault="00650DE5" w:rsidP="00E07E82">
            <w:pPr>
              <w:spacing w:before="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$105.0 million</w:t>
            </w:r>
          </w:p>
        </w:tc>
        <w:tc>
          <w:tcPr>
            <w:tcW w:w="1752" w:type="dxa"/>
            <w:vAlign w:val="top"/>
          </w:tcPr>
          <w:p w:rsidR="00650DE5" w:rsidRPr="000613E2" w:rsidRDefault="00650DE5" w:rsidP="00E07E82">
            <w:pPr>
              <w:spacing w:before="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31.6%</w:t>
            </w:r>
          </w:p>
        </w:tc>
        <w:tc>
          <w:tcPr>
            <w:tcW w:w="1596" w:type="dxa"/>
          </w:tcPr>
          <w:p w:rsidR="00650DE5" w:rsidRPr="000613E2" w:rsidRDefault="00650DE5" w:rsidP="00E07E82">
            <w:pPr>
              <w:spacing w:before="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30.1%</w:t>
            </w:r>
          </w:p>
        </w:tc>
      </w:tr>
      <w:tr w:rsidR="00650DE5" w:rsidRPr="000613E2" w:rsidTr="00E07E82">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715" w:type="dxa"/>
            <w:vAlign w:val="top"/>
          </w:tcPr>
          <w:p w:rsidR="00650DE5" w:rsidRPr="000613E2" w:rsidRDefault="00650DE5" w:rsidP="00E07E82">
            <w:pPr>
              <w:spacing w:before="0"/>
              <w:rPr>
                <w:sz w:val="18"/>
                <w:szCs w:val="18"/>
              </w:rPr>
            </w:pPr>
            <w:r w:rsidRPr="000613E2">
              <w:rPr>
                <w:sz w:val="18"/>
                <w:szCs w:val="18"/>
              </w:rPr>
              <w:t>Australia</w:t>
            </w:r>
            <w:r>
              <w:rPr>
                <w:sz w:val="18"/>
                <w:szCs w:val="18"/>
              </w:rPr>
              <w:t xml:space="preserve"> (interstate)</w:t>
            </w:r>
          </w:p>
        </w:tc>
        <w:tc>
          <w:tcPr>
            <w:tcW w:w="1738" w:type="dxa"/>
            <w:vAlign w:val="top"/>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432</w:t>
            </w:r>
          </w:p>
        </w:tc>
        <w:tc>
          <w:tcPr>
            <w:tcW w:w="1760" w:type="dxa"/>
            <w:vAlign w:val="top"/>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$98.8 million</w:t>
            </w:r>
          </w:p>
        </w:tc>
        <w:tc>
          <w:tcPr>
            <w:tcW w:w="1752" w:type="dxa"/>
            <w:vAlign w:val="top"/>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22.2%</w:t>
            </w:r>
          </w:p>
        </w:tc>
        <w:tc>
          <w:tcPr>
            <w:tcW w:w="1596" w:type="dxa"/>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28.3%</w:t>
            </w:r>
          </w:p>
        </w:tc>
      </w:tr>
      <w:tr w:rsidR="00650DE5" w:rsidRPr="000613E2" w:rsidTr="00E07E82">
        <w:trPr>
          <w:cnfStyle w:val="000000010000" w:firstRow="0" w:lastRow="0" w:firstColumn="0" w:lastColumn="0" w:oddVBand="0" w:evenVBand="0" w:oddHBand="0" w:evenHBand="1"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715" w:type="dxa"/>
            <w:tcBorders>
              <w:bottom w:val="single" w:sz="2" w:space="0" w:color="C40B06"/>
            </w:tcBorders>
            <w:vAlign w:val="top"/>
          </w:tcPr>
          <w:p w:rsidR="00650DE5" w:rsidRPr="000613E2" w:rsidRDefault="00650DE5" w:rsidP="00E07E82">
            <w:pPr>
              <w:spacing w:before="0"/>
              <w:rPr>
                <w:sz w:val="18"/>
                <w:szCs w:val="18"/>
              </w:rPr>
            </w:pPr>
            <w:r w:rsidRPr="000613E2">
              <w:rPr>
                <w:sz w:val="18"/>
                <w:szCs w:val="18"/>
              </w:rPr>
              <w:t>International</w:t>
            </w:r>
          </w:p>
        </w:tc>
        <w:tc>
          <w:tcPr>
            <w:tcW w:w="1738" w:type="dxa"/>
            <w:tcBorders>
              <w:bottom w:val="single" w:sz="2" w:space="0" w:color="C40B06"/>
            </w:tcBorders>
            <w:vAlign w:val="top"/>
          </w:tcPr>
          <w:p w:rsidR="00650DE5" w:rsidRPr="000613E2" w:rsidRDefault="00650DE5" w:rsidP="00E07E82">
            <w:pPr>
              <w:spacing w:before="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336</w:t>
            </w:r>
          </w:p>
        </w:tc>
        <w:tc>
          <w:tcPr>
            <w:tcW w:w="1760" w:type="dxa"/>
            <w:tcBorders>
              <w:bottom w:val="single" w:sz="2" w:space="0" w:color="C40B06"/>
            </w:tcBorders>
            <w:vAlign w:val="top"/>
          </w:tcPr>
          <w:p w:rsidR="00650DE5" w:rsidRPr="000613E2" w:rsidRDefault="00650DE5" w:rsidP="00E07E82">
            <w:pPr>
              <w:spacing w:before="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$41.1 million</w:t>
            </w:r>
          </w:p>
        </w:tc>
        <w:tc>
          <w:tcPr>
            <w:tcW w:w="1752" w:type="dxa"/>
            <w:tcBorders>
              <w:bottom w:val="single" w:sz="2" w:space="0" w:color="C40B06"/>
            </w:tcBorders>
            <w:vAlign w:val="top"/>
          </w:tcPr>
          <w:p w:rsidR="00650DE5" w:rsidRPr="000613E2" w:rsidRDefault="00650DE5" w:rsidP="00E07E82">
            <w:pPr>
              <w:spacing w:before="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17.3%</w:t>
            </w:r>
          </w:p>
        </w:tc>
        <w:tc>
          <w:tcPr>
            <w:tcW w:w="1596" w:type="dxa"/>
            <w:tcBorders>
              <w:bottom w:val="single" w:sz="2" w:space="0" w:color="C40B06"/>
            </w:tcBorders>
          </w:tcPr>
          <w:p w:rsidR="00650DE5" w:rsidRPr="000613E2" w:rsidRDefault="00650DE5" w:rsidP="00E07E82">
            <w:pPr>
              <w:spacing w:before="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11.8%</w:t>
            </w:r>
          </w:p>
        </w:tc>
      </w:tr>
      <w:tr w:rsidR="00650DE5" w:rsidRPr="000613E2" w:rsidTr="00E07E82">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1715" w:type="dxa"/>
            <w:tcBorders>
              <w:top w:val="single" w:sz="2" w:space="0" w:color="C40B06"/>
              <w:bottom w:val="single" w:sz="12" w:space="0" w:color="C40B06"/>
            </w:tcBorders>
            <w:vAlign w:val="top"/>
          </w:tcPr>
          <w:p w:rsidR="00650DE5" w:rsidRPr="000613E2" w:rsidRDefault="00650DE5" w:rsidP="00E07E82">
            <w:pPr>
              <w:spacing w:before="0"/>
              <w:rPr>
                <w:b/>
                <w:sz w:val="18"/>
                <w:szCs w:val="18"/>
              </w:rPr>
            </w:pPr>
            <w:r w:rsidRPr="000613E2">
              <w:rPr>
                <w:b/>
                <w:sz w:val="18"/>
                <w:szCs w:val="18"/>
              </w:rPr>
              <w:t>Total</w:t>
            </w:r>
          </w:p>
        </w:tc>
        <w:tc>
          <w:tcPr>
            <w:tcW w:w="1738" w:type="dxa"/>
            <w:tcBorders>
              <w:top w:val="single" w:sz="2" w:space="0" w:color="C40B06"/>
              <w:bottom w:val="single" w:sz="12" w:space="0" w:color="C40B06"/>
            </w:tcBorders>
            <w:vAlign w:val="top"/>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1,946</w:t>
            </w:r>
          </w:p>
        </w:tc>
        <w:tc>
          <w:tcPr>
            <w:tcW w:w="1760" w:type="dxa"/>
            <w:tcBorders>
              <w:top w:val="single" w:sz="2" w:space="0" w:color="C40B06"/>
              <w:bottom w:val="single" w:sz="12" w:space="0" w:color="C40B06"/>
            </w:tcBorders>
            <w:vAlign w:val="top"/>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$348.6 million</w:t>
            </w:r>
          </w:p>
        </w:tc>
        <w:tc>
          <w:tcPr>
            <w:tcW w:w="1752" w:type="dxa"/>
            <w:tcBorders>
              <w:top w:val="single" w:sz="2" w:space="0" w:color="C40B06"/>
              <w:bottom w:val="single" w:sz="12" w:space="0" w:color="C40B06"/>
            </w:tcBorders>
            <w:vAlign w:val="top"/>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100.0%</w:t>
            </w:r>
          </w:p>
        </w:tc>
        <w:tc>
          <w:tcPr>
            <w:tcW w:w="1596" w:type="dxa"/>
            <w:tcBorders>
              <w:top w:val="single" w:sz="2" w:space="0" w:color="C40B06"/>
              <w:bottom w:val="single" w:sz="12" w:space="0" w:color="C40B06"/>
            </w:tcBorders>
          </w:tcPr>
          <w:p w:rsidR="00650DE5" w:rsidRPr="000613E2" w:rsidRDefault="00650DE5" w:rsidP="00E07E82">
            <w:pPr>
              <w:spacing w:before="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100.0%</w:t>
            </w:r>
          </w:p>
        </w:tc>
      </w:tr>
    </w:tbl>
    <w:p w:rsidR="00650DE5" w:rsidRPr="000A5AB7" w:rsidRDefault="00650DE5" w:rsidP="00650DE5">
      <w:pPr>
        <w:pStyle w:val="Source"/>
      </w:pPr>
      <w:r w:rsidRPr="000A5AB7">
        <w:t>Source:</w:t>
      </w:r>
      <w:r w:rsidRPr="000A5AB7">
        <w:tab/>
      </w:r>
      <w:r>
        <w:t>SPC Ardmona</w:t>
      </w:r>
    </w:p>
    <w:p w:rsidR="00650DE5" w:rsidRPr="000A5AB7" w:rsidRDefault="00650DE5" w:rsidP="00650DE5">
      <w:pPr>
        <w:pStyle w:val="Source"/>
      </w:pPr>
      <w:r w:rsidRPr="000A5AB7">
        <w:t xml:space="preserve">Note: </w:t>
      </w:r>
      <w:r w:rsidRPr="000A5AB7">
        <w:tab/>
      </w:r>
      <w:r>
        <w:t>Figures rounded</w:t>
      </w:r>
    </w:p>
    <w:p w:rsidR="005B28EF" w:rsidRDefault="00650DE5" w:rsidP="00650DE5">
      <w:r>
        <w:t>If SPCA were to withdraw from the GV Region</w:t>
      </w:r>
      <w:r w:rsidR="005B28EF">
        <w:t>,</w:t>
      </w:r>
      <w:r>
        <w:t xml:space="preserve"> then approximately 560 businesses would be directly impacted on through lost contracts</w:t>
      </w:r>
      <w:r w:rsidR="005B28EF">
        <w:t xml:space="preserve"> and this </w:t>
      </w:r>
      <w:r w:rsidR="0057649C">
        <w:t xml:space="preserve">represents </w:t>
      </w:r>
      <w:r w:rsidR="00BB4653">
        <w:t xml:space="preserve">approximately 6% of the </w:t>
      </w:r>
      <w:r w:rsidR="0057649C">
        <w:t>9</w:t>
      </w:r>
      <w:r w:rsidR="00BB4653">
        <w:t>,</w:t>
      </w:r>
      <w:r w:rsidR="0057649C">
        <w:t>430</w:t>
      </w:r>
      <w:r w:rsidR="00BB4653">
        <w:t xml:space="preserve"> business located in the Greater Shepparton and Moira municipalities (</w:t>
      </w:r>
      <w:r w:rsidR="007A3295">
        <w:t xml:space="preserve">source: </w:t>
      </w:r>
      <w:r w:rsidR="00BB4653">
        <w:t xml:space="preserve">id National Economic Indicators).  </w:t>
      </w:r>
      <w:r w:rsidR="005B28EF">
        <w:t xml:space="preserve">Many more business would be impacted indirectly through </w:t>
      </w:r>
      <w:r w:rsidR="007A3295">
        <w:t xml:space="preserve">multiplier (or flow-on) effects associated with </w:t>
      </w:r>
      <w:r w:rsidR="005B28EF">
        <w:t>the supply chain.</w:t>
      </w:r>
    </w:p>
    <w:p w:rsidR="0057649C" w:rsidRDefault="00BB4653" w:rsidP="00650DE5">
      <w:r>
        <w:t>Importantly, the vast majority of operators currently holding supply contracts with SPCA are small businesses</w:t>
      </w:r>
      <w:r w:rsidR="007A3295">
        <w:t>,</w:t>
      </w:r>
      <w:r>
        <w:t xml:space="preserve"> including many family-based fruit growing operat</w:t>
      </w:r>
      <w:r w:rsidR="005B28EF">
        <w:t>ions</w:t>
      </w:r>
      <w:r>
        <w:t>.</w:t>
      </w:r>
      <w:r w:rsidR="005B28EF">
        <w:t xml:space="preserve"> For example, a survey undertaken by Fruit Growers Victoria indicates approximately </w:t>
      </w:r>
      <w:r w:rsidR="00E475BE">
        <w:t>80</w:t>
      </w:r>
      <w:r w:rsidR="005B28EF">
        <w:t xml:space="preserve">% of </w:t>
      </w:r>
      <w:r w:rsidR="00E475BE">
        <w:t xml:space="preserve">SPCA‘s peach and pear </w:t>
      </w:r>
      <w:r w:rsidR="005B28EF">
        <w:lastRenderedPageBreak/>
        <w:t>fruit growers have an annual turnover of less than $1 million</w:t>
      </w:r>
      <w:r w:rsidR="00E475BE">
        <w:t xml:space="preserve"> and </w:t>
      </w:r>
      <w:r w:rsidR="005B28EF">
        <w:t>approximately 5</w:t>
      </w:r>
      <w:r w:rsidR="00E475BE">
        <w:t>0</w:t>
      </w:r>
      <w:r w:rsidR="005B28EF">
        <w:t xml:space="preserve">% of </w:t>
      </w:r>
      <w:r w:rsidR="00E475BE">
        <w:t>these growers have a turnover of less than $250,000 per year.</w:t>
      </w:r>
    </w:p>
    <w:p w:rsidR="00EE3C24" w:rsidRDefault="00EE3C24" w:rsidP="00EE3C24">
      <w:pPr>
        <w:pStyle w:val="Heading2"/>
      </w:pPr>
      <w:bookmarkStart w:id="14" w:name="_Toc358806201"/>
      <w:r>
        <w:t>Impact on Gross Regional Product</w:t>
      </w:r>
      <w:bookmarkEnd w:id="14"/>
    </w:p>
    <w:p w:rsidR="00650DE5" w:rsidRDefault="005B28EF" w:rsidP="00650DE5">
      <w:r>
        <w:t>As noted, a</w:t>
      </w:r>
      <w:r w:rsidR="0057649C">
        <w:t xml:space="preserve">pproximately </w:t>
      </w:r>
      <w:r w:rsidR="00650DE5">
        <w:t>$105 million pa would be lost from the regional economy in direct spending by the company</w:t>
      </w:r>
      <w:r>
        <w:t xml:space="preserve"> </w:t>
      </w:r>
      <w:r w:rsidR="007A3295">
        <w:t xml:space="preserve">should it withdraw from </w:t>
      </w:r>
      <w:r>
        <w:t>the GV Region</w:t>
      </w:r>
      <w:r w:rsidR="00650DE5">
        <w:t>.</w:t>
      </w:r>
      <w:r w:rsidR="0057649C">
        <w:t xml:space="preserve">   </w:t>
      </w:r>
    </w:p>
    <w:p w:rsidR="00650DE5" w:rsidRDefault="00650DE5" w:rsidP="00650DE5">
      <w:r>
        <w:t xml:space="preserve">Economic modelling through REMPLAN shows that a further $60 million pa would be lost from the regional economy through the industrial and consumption multiplier effects. That is, for every $1 lost in supply contract values, a further $0.60 would be lost through the supply chain and through the consumption impact of reduced wages in the economy.  </w:t>
      </w:r>
    </w:p>
    <w:p w:rsidR="00650DE5" w:rsidRDefault="00650DE5" w:rsidP="00650DE5">
      <w:r>
        <w:t>In total, the regional economy would contract by approximately $165 million pa if SPCA were to cease its existing operations</w:t>
      </w:r>
      <w:r w:rsidR="005B28EF">
        <w:t xml:space="preserve"> in the GV Region</w:t>
      </w:r>
      <w:r>
        <w:t>.</w:t>
      </w:r>
    </w:p>
    <w:p w:rsidR="0057649C" w:rsidRPr="0057649C" w:rsidRDefault="0057649C" w:rsidP="0057649C">
      <w:r>
        <w:t>In total</w:t>
      </w:r>
      <w:r w:rsidR="005B28EF">
        <w:t>,</w:t>
      </w:r>
      <w:r>
        <w:t xml:space="preserve"> Gross Regional Product will be reduced by $165 million pa through the withdrawal of SPCA from the GV Region. This represents a contraction of GSP of approximately 5% from the combined annual output of Greater Shepparton and Moira municipalities estimated at $3.5 billion in 2011/12 (</w:t>
      </w:r>
      <w:r w:rsidR="007A3295">
        <w:t xml:space="preserve">source: </w:t>
      </w:r>
      <w:r>
        <w:t>id National Economic Indicators).</w:t>
      </w:r>
    </w:p>
    <w:p w:rsidR="00F86090" w:rsidRDefault="00F86090" w:rsidP="00F86090">
      <w:pPr>
        <w:pStyle w:val="Heading2"/>
      </w:pPr>
      <w:bookmarkStart w:id="15" w:name="_Toc358806202"/>
      <w:r>
        <w:t>Labour Markets</w:t>
      </w:r>
      <w:r w:rsidR="00616313">
        <w:t xml:space="preserve"> Impacts</w:t>
      </w:r>
      <w:bookmarkEnd w:id="15"/>
    </w:p>
    <w:p w:rsidR="003B5E77" w:rsidRDefault="003B5E77" w:rsidP="003B5E77">
      <w:pPr>
        <w:pStyle w:val="Heading4"/>
      </w:pPr>
      <w:r>
        <w:t>Direct Jobs</w:t>
      </w:r>
      <w:r w:rsidR="00637D56">
        <w:t xml:space="preserve"> Losses</w:t>
      </w:r>
    </w:p>
    <w:p w:rsidR="009B0FE5" w:rsidRDefault="003B5E77" w:rsidP="003B5E77">
      <w:r>
        <w:t xml:space="preserve">SPC Ardmona currently </w:t>
      </w:r>
      <w:r w:rsidR="00841DB5">
        <w:t>employs</w:t>
      </w:r>
      <w:r>
        <w:t xml:space="preserve"> </w:t>
      </w:r>
      <w:r w:rsidR="00C73347">
        <w:t>360</w:t>
      </w:r>
      <w:r w:rsidR="009B0FE5">
        <w:t xml:space="preserve"> Full Time Equivalent (FTE) staff in the GV Region, with most staff located in </w:t>
      </w:r>
      <w:r>
        <w:t>Shepparton</w:t>
      </w:r>
      <w:r w:rsidR="009B0FE5">
        <w:t xml:space="preserve">.  Additionally, approximately </w:t>
      </w:r>
      <w:r w:rsidR="00C73347">
        <w:t xml:space="preserve">1,050 </w:t>
      </w:r>
      <w:r w:rsidR="007A3295">
        <w:t xml:space="preserve">or so </w:t>
      </w:r>
      <w:r w:rsidR="009B0FE5">
        <w:t>seasonal workers are employed on a temporary basis during the peak processing period.</w:t>
      </w:r>
    </w:p>
    <w:p w:rsidR="00CA775E" w:rsidRDefault="00CA775E" w:rsidP="003B5E77">
      <w:r>
        <w:t>In reality</w:t>
      </w:r>
      <w:r w:rsidR="007A3295">
        <w:t>,</w:t>
      </w:r>
      <w:r>
        <w:t xml:space="preserve"> more than </w:t>
      </w:r>
      <w:r w:rsidR="007A3295">
        <w:t xml:space="preserve">the </w:t>
      </w:r>
      <w:r w:rsidR="00C73347">
        <w:t xml:space="preserve">360 </w:t>
      </w:r>
      <w:r>
        <w:t xml:space="preserve">jobs would be lost as some of these FTE positions are likely to involve </w:t>
      </w:r>
      <w:r w:rsidR="003C5849">
        <w:t xml:space="preserve">some </w:t>
      </w:r>
      <w:r>
        <w:t xml:space="preserve">part-time staff. </w:t>
      </w:r>
      <w:r w:rsidR="00C73347">
        <w:t xml:space="preserve"> </w:t>
      </w:r>
      <w:r w:rsidR="007A3295">
        <w:t>By comparison</w:t>
      </w:r>
      <w:r w:rsidR="00E475BE">
        <w:t xml:space="preserve">, recent direct job losses announced at the Geelong Ford site </w:t>
      </w:r>
      <w:r w:rsidR="007A3295">
        <w:t xml:space="preserve">total </w:t>
      </w:r>
      <w:r w:rsidR="00E475BE">
        <w:t>approximately 5</w:t>
      </w:r>
      <w:r w:rsidR="00C73347">
        <w:t>1</w:t>
      </w:r>
      <w:r w:rsidR="00E475BE">
        <w:t>0 positions</w:t>
      </w:r>
      <w:r w:rsidR="007A3295">
        <w:t>, w</w:t>
      </w:r>
      <w:r w:rsidR="00C73347">
        <w:t xml:space="preserve">ith the </w:t>
      </w:r>
      <w:r w:rsidR="007A3295">
        <w:t xml:space="preserve">SPCA figure </w:t>
      </w:r>
      <w:r w:rsidR="00C73347">
        <w:t>70% of the Ford losses but within a much smaller labour market.</w:t>
      </w:r>
    </w:p>
    <w:p w:rsidR="003B5E77" w:rsidRDefault="00637D56" w:rsidP="003B5E77">
      <w:pPr>
        <w:pStyle w:val="Heading4"/>
      </w:pPr>
      <w:r>
        <w:t>Multiplier Job Losses</w:t>
      </w:r>
    </w:p>
    <w:p w:rsidR="00E916FD" w:rsidRDefault="003C5849" w:rsidP="003B5E77">
      <w:r>
        <w:t xml:space="preserve">At a regional level, economic modelling </w:t>
      </w:r>
      <w:r w:rsidR="007A3295">
        <w:t xml:space="preserve">by </w:t>
      </w:r>
      <w:r>
        <w:t xml:space="preserve">REMPLAN shows </w:t>
      </w:r>
      <w:r w:rsidR="007A3295">
        <w:t xml:space="preserve">a further loss of </w:t>
      </w:r>
      <w:r>
        <w:t>approximately 640 FTE jobs through the employment multiplier effect</w:t>
      </w:r>
      <w:r w:rsidR="00E916FD">
        <w:t xml:space="preserve"> (</w:t>
      </w:r>
      <w:proofErr w:type="spellStart"/>
      <w:r w:rsidR="007A3295">
        <w:t>ie</w:t>
      </w:r>
      <w:proofErr w:type="spellEnd"/>
      <w:r w:rsidR="007A3295">
        <w:t xml:space="preserve">, </w:t>
      </w:r>
      <w:r w:rsidR="00E916FD">
        <w:t>industrial and consumption effects)</w:t>
      </w:r>
      <w:r>
        <w:t>.</w:t>
      </w:r>
    </w:p>
    <w:p w:rsidR="003B5E77" w:rsidRDefault="003B5E77" w:rsidP="003B5E77">
      <w:r>
        <w:t xml:space="preserve">These job losses would </w:t>
      </w:r>
      <w:r w:rsidR="007A3295">
        <w:t xml:space="preserve">be expected to lead to further </w:t>
      </w:r>
      <w:r w:rsidR="003C5849">
        <w:t xml:space="preserve">employment </w:t>
      </w:r>
      <w:r w:rsidR="007A3295">
        <w:t xml:space="preserve">losses </w:t>
      </w:r>
      <w:r w:rsidR="003C5849">
        <w:t xml:space="preserve">in </w:t>
      </w:r>
      <w:r w:rsidR="00E916FD">
        <w:t xml:space="preserve">regional </w:t>
      </w:r>
      <w:r w:rsidR="003C5849">
        <w:t>businesses associated with</w:t>
      </w:r>
      <w:r>
        <w:t>:</w:t>
      </w:r>
    </w:p>
    <w:p w:rsidR="003B5E77" w:rsidRDefault="003B5E77" w:rsidP="00E952E5">
      <w:pPr>
        <w:pStyle w:val="Bullet"/>
      </w:pPr>
      <w:r>
        <w:t>Fruit growing</w:t>
      </w:r>
    </w:p>
    <w:p w:rsidR="003C5849" w:rsidRDefault="003C5849" w:rsidP="00E952E5">
      <w:pPr>
        <w:pStyle w:val="Bullet"/>
      </w:pPr>
      <w:r>
        <w:t>Packaging</w:t>
      </w:r>
    </w:p>
    <w:p w:rsidR="00E952E5" w:rsidRDefault="00E952E5" w:rsidP="00E952E5">
      <w:pPr>
        <w:pStyle w:val="Bullet"/>
      </w:pPr>
      <w:r>
        <w:t>Agricultural supplies (</w:t>
      </w:r>
      <w:proofErr w:type="spellStart"/>
      <w:r>
        <w:t>fertilizer</w:t>
      </w:r>
      <w:proofErr w:type="spellEnd"/>
      <w:r>
        <w:t xml:space="preserve">, fencing </w:t>
      </w:r>
      <w:proofErr w:type="spellStart"/>
      <w:r>
        <w:t>etc</w:t>
      </w:r>
      <w:proofErr w:type="spellEnd"/>
      <w:r>
        <w:t>)</w:t>
      </w:r>
    </w:p>
    <w:p w:rsidR="003B5E77" w:rsidRDefault="003B5E77" w:rsidP="00E952E5">
      <w:pPr>
        <w:pStyle w:val="Bullet"/>
      </w:pPr>
      <w:r>
        <w:lastRenderedPageBreak/>
        <w:t>Transport and logistics</w:t>
      </w:r>
    </w:p>
    <w:p w:rsidR="00E952E5" w:rsidRDefault="00E952E5" w:rsidP="00E952E5">
      <w:pPr>
        <w:pStyle w:val="Bullet"/>
      </w:pPr>
      <w:r>
        <w:t>Vehicle and machinery maintenance</w:t>
      </w:r>
    </w:p>
    <w:p w:rsidR="003C5849" w:rsidRDefault="003C5849" w:rsidP="00E952E5">
      <w:pPr>
        <w:pStyle w:val="Bullet"/>
      </w:pPr>
      <w:r>
        <w:t xml:space="preserve">Services (retail, finance, cafes/restaurants </w:t>
      </w:r>
      <w:proofErr w:type="spellStart"/>
      <w:r>
        <w:t>etc</w:t>
      </w:r>
      <w:proofErr w:type="spellEnd"/>
      <w:r>
        <w:t xml:space="preserve">)  </w:t>
      </w:r>
    </w:p>
    <w:p w:rsidR="003B5E77" w:rsidRDefault="00637D56" w:rsidP="00637D56">
      <w:pPr>
        <w:pStyle w:val="Heading4"/>
      </w:pPr>
      <w:r>
        <w:t>Total Job Losses</w:t>
      </w:r>
    </w:p>
    <w:p w:rsidR="003C5849" w:rsidRPr="003C5849" w:rsidRDefault="003C5849" w:rsidP="003C5849">
      <w:r>
        <w:t>In total, 1,</w:t>
      </w:r>
      <w:r w:rsidR="00C73347">
        <w:t>000</w:t>
      </w:r>
      <w:r>
        <w:t xml:space="preserve"> direct and indirect FTE jobs would be lost in the region if SPCA were to cease existing operations. </w:t>
      </w:r>
      <w:r w:rsidR="007A3295">
        <w:t>T</w:t>
      </w:r>
      <w:r w:rsidR="00E916FD">
        <w:t xml:space="preserve">he actual number of jobs lost would likely be higher than this as not all employment will be full time (FTE), with some positions </w:t>
      </w:r>
      <w:r w:rsidR="00C73347">
        <w:t xml:space="preserve">being </w:t>
      </w:r>
      <w:r w:rsidR="00E916FD">
        <w:t xml:space="preserve">part-time and casual. </w:t>
      </w:r>
    </w:p>
    <w:p w:rsidR="00637D56" w:rsidRPr="00637D56" w:rsidRDefault="00637D56" w:rsidP="00637D56">
      <w:pPr>
        <w:pStyle w:val="Heading4"/>
      </w:pPr>
      <w:r>
        <w:t>Impact on the Unemployment Rate</w:t>
      </w:r>
    </w:p>
    <w:p w:rsidR="00637D56" w:rsidRDefault="00637D56" w:rsidP="00637D56">
      <w:r>
        <w:t xml:space="preserve">The loss of </w:t>
      </w:r>
      <w:r w:rsidR="00C73347">
        <w:t>360</w:t>
      </w:r>
      <w:r>
        <w:t xml:space="preserve"> FTE jobs </w:t>
      </w:r>
      <w:r w:rsidR="00091AA7">
        <w:t xml:space="preserve">would </w:t>
      </w:r>
      <w:r>
        <w:t xml:space="preserve">represent a major </w:t>
      </w:r>
      <w:r w:rsidR="00091AA7">
        <w:t xml:space="preserve">adverse </w:t>
      </w:r>
      <w:r>
        <w:t xml:space="preserve">impact for the labour market in </w:t>
      </w:r>
      <w:r w:rsidR="00091AA7">
        <w:t>the GV R</w:t>
      </w:r>
      <w:r>
        <w:t xml:space="preserve">egion </w:t>
      </w:r>
      <w:r w:rsidR="00091AA7">
        <w:t xml:space="preserve">where </w:t>
      </w:r>
      <w:r>
        <w:t>significantly high unemployment levels</w:t>
      </w:r>
      <w:r w:rsidR="00091AA7">
        <w:t xml:space="preserve"> prevail</w:t>
      </w:r>
      <w:r>
        <w:t>.  As Table 3.</w:t>
      </w:r>
      <w:r w:rsidR="00E475BE">
        <w:t>2</w:t>
      </w:r>
      <w:r>
        <w:t xml:space="preserve"> shows, in December 2012 Greater Shepparton had an unemployment rate of 8.6%</w:t>
      </w:r>
      <w:r w:rsidR="00091AA7">
        <w:t xml:space="preserve">, with 7.1% unemployment in the </w:t>
      </w:r>
      <w:r>
        <w:t>region</w:t>
      </w:r>
      <w:r w:rsidR="00091AA7">
        <w:t>.</w:t>
      </w:r>
      <w:r>
        <w:t xml:space="preserve"> </w:t>
      </w:r>
      <w:r w:rsidR="00091AA7">
        <w:t xml:space="preserve">These rates </w:t>
      </w:r>
      <w:r>
        <w:t xml:space="preserve">are considerably </w:t>
      </w:r>
      <w:r w:rsidR="00091AA7">
        <w:t xml:space="preserve">higher </w:t>
      </w:r>
      <w:r>
        <w:t>th</w:t>
      </w:r>
      <w:r w:rsidR="00091AA7">
        <w:t>an</w:t>
      </w:r>
      <w:r>
        <w:t xml:space="preserve"> unemployment rates for Regional Victoria (5.7%), Metropolitan Melbourne (5.4%) and Victoria (5.5%). </w:t>
      </w:r>
    </w:p>
    <w:p w:rsidR="00637D56" w:rsidRDefault="00637D56" w:rsidP="00637D56">
      <w:pPr>
        <w:pStyle w:val="Caption"/>
      </w:pPr>
      <w:r>
        <w:t>Table 3.</w:t>
      </w:r>
      <w:r w:rsidR="00E475BE">
        <w:t>2</w:t>
      </w:r>
      <w:r w:rsidRPr="00E36C27">
        <w:tab/>
      </w:r>
      <w:r w:rsidR="00091AA7">
        <w:t>Unemployment Rates</w:t>
      </w:r>
      <w:r>
        <w:t>, Selected Locations, December Quarter 2012</w:t>
      </w:r>
      <w:r w:rsidR="00091AA7">
        <w:t xml:space="preserve"> (Persons)</w:t>
      </w:r>
    </w:p>
    <w:tbl>
      <w:tblPr>
        <w:tblStyle w:val="TableEE"/>
        <w:tblW w:w="5000" w:type="pct"/>
        <w:tblLook w:val="04A0" w:firstRow="1" w:lastRow="0" w:firstColumn="1" w:lastColumn="0" w:noHBand="0" w:noVBand="1"/>
      </w:tblPr>
      <w:tblGrid>
        <w:gridCol w:w="3913"/>
        <w:gridCol w:w="1507"/>
        <w:gridCol w:w="1507"/>
        <w:gridCol w:w="1634"/>
      </w:tblGrid>
      <w:tr w:rsidR="00637D56" w:rsidRPr="00C83E0F" w:rsidTr="00E07E82">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2304" w:type="pct"/>
            <w:noWrap/>
            <w:hideMark/>
          </w:tcPr>
          <w:p w:rsidR="00637D56" w:rsidRPr="00C83E0F" w:rsidRDefault="00637D56" w:rsidP="00E07E82">
            <w:pPr>
              <w:spacing w:before="0"/>
              <w:rPr>
                <w:rFonts w:cs="Calibri"/>
                <w:color w:val="000000"/>
                <w:sz w:val="18"/>
                <w:szCs w:val="18"/>
                <w:lang w:eastAsia="en-AU"/>
              </w:rPr>
            </w:pPr>
          </w:p>
        </w:tc>
        <w:tc>
          <w:tcPr>
            <w:tcW w:w="899" w:type="pct"/>
          </w:tcPr>
          <w:p w:rsidR="00637D56" w:rsidRPr="00C83E0F" w:rsidRDefault="00637D56" w:rsidP="00E07E82">
            <w:pPr>
              <w:spacing w:before="0"/>
              <w:cnfStyle w:val="100000000000" w:firstRow="1" w:lastRow="0" w:firstColumn="0" w:lastColumn="0" w:oddVBand="0" w:evenVBand="0" w:oddHBand="0" w:evenHBand="0" w:firstRowFirstColumn="0" w:firstRowLastColumn="0" w:lastRowFirstColumn="0" w:lastRowLastColumn="0"/>
              <w:rPr>
                <w:rFonts w:cs="Calibri"/>
                <w:color w:val="000000"/>
                <w:sz w:val="18"/>
                <w:szCs w:val="18"/>
                <w:lang w:eastAsia="en-AU"/>
              </w:rPr>
            </w:pPr>
            <w:r>
              <w:rPr>
                <w:rFonts w:cs="Calibri"/>
                <w:color w:val="000000"/>
                <w:sz w:val="18"/>
                <w:szCs w:val="18"/>
                <w:lang w:eastAsia="en-AU"/>
              </w:rPr>
              <w:t>Labour Force</w:t>
            </w:r>
          </w:p>
        </w:tc>
        <w:tc>
          <w:tcPr>
            <w:tcW w:w="899" w:type="pct"/>
          </w:tcPr>
          <w:p w:rsidR="00637D56" w:rsidRPr="00C83E0F" w:rsidRDefault="00637D56" w:rsidP="00E07E82">
            <w:pPr>
              <w:spacing w:before="0"/>
              <w:cnfStyle w:val="100000000000" w:firstRow="1" w:lastRow="0" w:firstColumn="0" w:lastColumn="0" w:oddVBand="0" w:evenVBand="0" w:oddHBand="0" w:evenHBand="0" w:firstRowFirstColumn="0" w:firstRowLastColumn="0" w:lastRowFirstColumn="0" w:lastRowLastColumn="0"/>
              <w:rPr>
                <w:rFonts w:cs="Calibri"/>
                <w:color w:val="000000"/>
                <w:sz w:val="18"/>
                <w:szCs w:val="18"/>
                <w:lang w:eastAsia="en-AU"/>
              </w:rPr>
            </w:pPr>
            <w:r>
              <w:rPr>
                <w:rFonts w:cs="Calibri"/>
                <w:color w:val="000000"/>
                <w:sz w:val="18"/>
                <w:szCs w:val="18"/>
                <w:lang w:eastAsia="en-AU"/>
              </w:rPr>
              <w:t>Unemployed</w:t>
            </w:r>
          </w:p>
        </w:tc>
        <w:tc>
          <w:tcPr>
            <w:tcW w:w="898" w:type="pct"/>
            <w:noWrap/>
            <w:hideMark/>
          </w:tcPr>
          <w:p w:rsidR="00637D56" w:rsidRPr="00C83E0F" w:rsidRDefault="00091AA7" w:rsidP="00E07E82">
            <w:pPr>
              <w:spacing w:before="0"/>
              <w:cnfStyle w:val="100000000000" w:firstRow="1" w:lastRow="0" w:firstColumn="0" w:lastColumn="0" w:oddVBand="0" w:evenVBand="0" w:oddHBand="0" w:evenHBand="0" w:firstRowFirstColumn="0" w:firstRowLastColumn="0" w:lastRowFirstColumn="0" w:lastRowLastColumn="0"/>
              <w:rPr>
                <w:rFonts w:cs="Calibri"/>
                <w:color w:val="000000"/>
                <w:sz w:val="18"/>
                <w:szCs w:val="18"/>
                <w:lang w:eastAsia="en-AU"/>
              </w:rPr>
            </w:pPr>
            <w:proofErr w:type="spellStart"/>
            <w:r>
              <w:rPr>
                <w:rFonts w:cs="Calibri"/>
                <w:color w:val="000000"/>
                <w:sz w:val="18"/>
                <w:szCs w:val="18"/>
                <w:lang w:eastAsia="en-AU"/>
              </w:rPr>
              <w:t>Percent</w:t>
            </w:r>
            <w:proofErr w:type="spellEnd"/>
            <w:r>
              <w:rPr>
                <w:rFonts w:cs="Calibri"/>
                <w:color w:val="000000"/>
                <w:sz w:val="18"/>
                <w:szCs w:val="18"/>
                <w:lang w:eastAsia="en-AU"/>
              </w:rPr>
              <w:t xml:space="preserve"> </w:t>
            </w:r>
            <w:r w:rsidR="00637D56" w:rsidRPr="00C83E0F">
              <w:rPr>
                <w:rFonts w:cs="Calibri"/>
                <w:color w:val="000000"/>
                <w:sz w:val="18"/>
                <w:szCs w:val="18"/>
                <w:lang w:eastAsia="en-AU"/>
              </w:rPr>
              <w:t>Unemployed</w:t>
            </w:r>
          </w:p>
        </w:tc>
      </w:tr>
      <w:tr w:rsidR="00637D56" w:rsidRPr="00CA775E" w:rsidTr="00E07E82">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2304" w:type="pct"/>
            <w:tcBorders>
              <w:top w:val="single" w:sz="6" w:space="0" w:color="C40B06"/>
              <w:bottom w:val="single" w:sz="6" w:space="0" w:color="C40B06"/>
            </w:tcBorders>
            <w:noWrap/>
            <w:vAlign w:val="top"/>
            <w:hideMark/>
          </w:tcPr>
          <w:p w:rsidR="00637D56" w:rsidRPr="00CA775E" w:rsidRDefault="00637D56" w:rsidP="00E07E82">
            <w:pPr>
              <w:spacing w:before="0"/>
              <w:rPr>
                <w:rFonts w:cs="Calibri"/>
                <w:b/>
                <w:i/>
                <w:color w:val="000000"/>
                <w:sz w:val="18"/>
                <w:szCs w:val="18"/>
                <w:lang w:eastAsia="en-AU"/>
              </w:rPr>
            </w:pPr>
            <w:r w:rsidRPr="00CA775E">
              <w:rPr>
                <w:rFonts w:cs="Calibri"/>
                <w:b/>
                <w:i/>
                <w:color w:val="000000"/>
                <w:sz w:val="18"/>
                <w:szCs w:val="18"/>
                <w:lang w:eastAsia="en-AU"/>
              </w:rPr>
              <w:t>Greater Shepparton</w:t>
            </w:r>
          </w:p>
        </w:tc>
        <w:tc>
          <w:tcPr>
            <w:tcW w:w="899" w:type="pct"/>
            <w:tcBorders>
              <w:top w:val="single" w:sz="6" w:space="0" w:color="C40B06"/>
              <w:bottom w:val="single" w:sz="6" w:space="0" w:color="C40B06"/>
            </w:tcBorders>
            <w:vAlign w:val="top"/>
          </w:tcPr>
          <w:p w:rsidR="00637D56" w:rsidRPr="00CA775E"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i/>
                <w:color w:val="000000"/>
                <w:sz w:val="18"/>
                <w:szCs w:val="18"/>
              </w:rPr>
            </w:pPr>
            <w:r w:rsidRPr="00CA775E">
              <w:rPr>
                <w:rFonts w:ascii="Calibri" w:hAnsi="Calibri" w:cs="Calibri"/>
                <w:b/>
                <w:i/>
                <w:color w:val="000000"/>
                <w:sz w:val="18"/>
                <w:szCs w:val="18"/>
              </w:rPr>
              <w:t>31,850</w:t>
            </w:r>
          </w:p>
        </w:tc>
        <w:tc>
          <w:tcPr>
            <w:tcW w:w="899" w:type="pct"/>
            <w:tcBorders>
              <w:top w:val="single" w:sz="6" w:space="0" w:color="C40B06"/>
              <w:bottom w:val="single" w:sz="6" w:space="0" w:color="C40B06"/>
            </w:tcBorders>
            <w:vAlign w:val="top"/>
          </w:tcPr>
          <w:p w:rsidR="00637D56" w:rsidRPr="00CA775E"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i/>
                <w:color w:val="000000"/>
                <w:sz w:val="18"/>
                <w:szCs w:val="18"/>
              </w:rPr>
            </w:pPr>
            <w:r w:rsidRPr="00CA775E">
              <w:rPr>
                <w:rFonts w:ascii="Calibri" w:hAnsi="Calibri" w:cs="Calibri"/>
                <w:b/>
                <w:i/>
                <w:color w:val="000000"/>
                <w:sz w:val="18"/>
                <w:szCs w:val="18"/>
              </w:rPr>
              <w:t>2,750</w:t>
            </w:r>
          </w:p>
        </w:tc>
        <w:tc>
          <w:tcPr>
            <w:tcW w:w="898" w:type="pct"/>
            <w:tcBorders>
              <w:top w:val="single" w:sz="6" w:space="0" w:color="C40B06"/>
              <w:bottom w:val="single" w:sz="6" w:space="0" w:color="C40B06"/>
            </w:tcBorders>
            <w:noWrap/>
            <w:vAlign w:val="top"/>
            <w:hideMark/>
          </w:tcPr>
          <w:p w:rsidR="00637D56" w:rsidRPr="00CA775E"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i/>
                <w:color w:val="000000"/>
                <w:sz w:val="18"/>
                <w:szCs w:val="18"/>
              </w:rPr>
            </w:pPr>
            <w:r w:rsidRPr="00CA775E">
              <w:rPr>
                <w:rFonts w:ascii="Calibri" w:hAnsi="Calibri" w:cs="Calibri"/>
                <w:b/>
                <w:i/>
                <w:color w:val="000000"/>
                <w:sz w:val="18"/>
                <w:szCs w:val="18"/>
              </w:rPr>
              <w:t>8.6%</w:t>
            </w:r>
          </w:p>
        </w:tc>
      </w:tr>
      <w:tr w:rsidR="00637D56" w:rsidRPr="00C83E0F" w:rsidTr="00E07E82">
        <w:trPr>
          <w:cnfStyle w:val="000000010000" w:firstRow="0" w:lastRow="0" w:firstColumn="0" w:lastColumn="0" w:oddVBand="0" w:evenVBand="0" w:oddHBand="0" w:evenHBand="1"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2304" w:type="pct"/>
            <w:tcBorders>
              <w:top w:val="single" w:sz="6" w:space="0" w:color="C40B06"/>
            </w:tcBorders>
            <w:noWrap/>
            <w:vAlign w:val="top"/>
            <w:hideMark/>
          </w:tcPr>
          <w:p w:rsidR="00637D56" w:rsidRPr="00C83E0F" w:rsidRDefault="00637D56" w:rsidP="00E07E82">
            <w:pPr>
              <w:spacing w:before="0"/>
              <w:rPr>
                <w:rFonts w:cs="Calibri"/>
                <w:color w:val="000000"/>
                <w:sz w:val="18"/>
                <w:szCs w:val="18"/>
                <w:lang w:eastAsia="en-AU"/>
              </w:rPr>
            </w:pPr>
            <w:r w:rsidRPr="00C83E0F">
              <w:rPr>
                <w:rFonts w:cs="Calibri"/>
                <w:color w:val="000000"/>
                <w:sz w:val="18"/>
                <w:szCs w:val="18"/>
                <w:lang w:eastAsia="en-AU"/>
              </w:rPr>
              <w:t>Benalla</w:t>
            </w:r>
          </w:p>
        </w:tc>
        <w:tc>
          <w:tcPr>
            <w:tcW w:w="899" w:type="pct"/>
            <w:tcBorders>
              <w:top w:val="single" w:sz="6" w:space="0" w:color="C40B06"/>
            </w:tcBorders>
            <w:vAlign w:val="top"/>
          </w:tcPr>
          <w:p w:rsidR="00637D56" w:rsidRPr="00C83E0F"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7,360</w:t>
            </w:r>
          </w:p>
        </w:tc>
        <w:tc>
          <w:tcPr>
            <w:tcW w:w="899" w:type="pct"/>
            <w:tcBorders>
              <w:top w:val="single" w:sz="6" w:space="0" w:color="C40B06"/>
            </w:tcBorders>
            <w:vAlign w:val="top"/>
          </w:tcPr>
          <w:p w:rsidR="00637D56" w:rsidRPr="00C83E0F"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510</w:t>
            </w:r>
          </w:p>
        </w:tc>
        <w:tc>
          <w:tcPr>
            <w:tcW w:w="898" w:type="pct"/>
            <w:tcBorders>
              <w:top w:val="single" w:sz="6" w:space="0" w:color="C40B06"/>
            </w:tcBorders>
            <w:noWrap/>
            <w:vAlign w:val="top"/>
            <w:hideMark/>
          </w:tcPr>
          <w:p w:rsidR="00637D56" w:rsidRPr="00C83E0F"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6.9%</w:t>
            </w:r>
          </w:p>
        </w:tc>
      </w:tr>
      <w:tr w:rsidR="00637D56" w:rsidRPr="00C83E0F" w:rsidTr="00E07E82">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2304" w:type="pct"/>
            <w:noWrap/>
            <w:vAlign w:val="top"/>
            <w:hideMark/>
          </w:tcPr>
          <w:p w:rsidR="00637D56" w:rsidRPr="00C83E0F" w:rsidRDefault="00637D56" w:rsidP="00E07E82">
            <w:pPr>
              <w:spacing w:before="0"/>
              <w:rPr>
                <w:rFonts w:cs="Calibri"/>
                <w:color w:val="000000"/>
                <w:sz w:val="18"/>
                <w:szCs w:val="18"/>
                <w:lang w:eastAsia="en-AU"/>
              </w:rPr>
            </w:pPr>
            <w:r w:rsidRPr="00C83E0F">
              <w:rPr>
                <w:rFonts w:cs="Calibri"/>
                <w:color w:val="000000"/>
                <w:sz w:val="18"/>
                <w:szCs w:val="18"/>
                <w:lang w:eastAsia="en-AU"/>
              </w:rPr>
              <w:t>Campaspe</w:t>
            </w:r>
          </w:p>
        </w:tc>
        <w:tc>
          <w:tcPr>
            <w:tcW w:w="899" w:type="pct"/>
            <w:vAlign w:val="top"/>
          </w:tcPr>
          <w:p w:rsidR="00637D56" w:rsidRPr="00C83E0F"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19,640</w:t>
            </w:r>
          </w:p>
        </w:tc>
        <w:tc>
          <w:tcPr>
            <w:tcW w:w="899" w:type="pct"/>
            <w:vAlign w:val="top"/>
          </w:tcPr>
          <w:p w:rsidR="00637D56" w:rsidRPr="00C83E0F"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1,100</w:t>
            </w:r>
          </w:p>
        </w:tc>
        <w:tc>
          <w:tcPr>
            <w:tcW w:w="898" w:type="pct"/>
            <w:noWrap/>
            <w:vAlign w:val="top"/>
            <w:hideMark/>
          </w:tcPr>
          <w:p w:rsidR="00637D56" w:rsidRPr="00C83E0F"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5.6%</w:t>
            </w:r>
          </w:p>
        </w:tc>
      </w:tr>
      <w:tr w:rsidR="00637D56" w:rsidRPr="00C83E0F" w:rsidTr="00E07E82">
        <w:trPr>
          <w:cnfStyle w:val="000000010000" w:firstRow="0" w:lastRow="0" w:firstColumn="0" w:lastColumn="0" w:oddVBand="0" w:evenVBand="0" w:oddHBand="0" w:evenHBand="1"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2304" w:type="pct"/>
            <w:noWrap/>
            <w:vAlign w:val="top"/>
            <w:hideMark/>
          </w:tcPr>
          <w:p w:rsidR="00637D56" w:rsidRPr="00C83E0F" w:rsidRDefault="00637D56" w:rsidP="00E07E82">
            <w:pPr>
              <w:spacing w:before="0"/>
              <w:rPr>
                <w:rFonts w:cs="Calibri"/>
                <w:color w:val="000000"/>
                <w:sz w:val="18"/>
                <w:szCs w:val="18"/>
                <w:lang w:eastAsia="en-AU"/>
              </w:rPr>
            </w:pPr>
            <w:r w:rsidRPr="00C83E0F">
              <w:rPr>
                <w:rFonts w:cs="Calibri"/>
                <w:color w:val="000000"/>
                <w:sz w:val="18"/>
                <w:szCs w:val="18"/>
                <w:lang w:eastAsia="en-AU"/>
              </w:rPr>
              <w:t>Moira</w:t>
            </w:r>
          </w:p>
        </w:tc>
        <w:tc>
          <w:tcPr>
            <w:tcW w:w="899" w:type="pct"/>
            <w:vAlign w:val="top"/>
          </w:tcPr>
          <w:p w:rsidR="00637D56" w:rsidRPr="00C83E0F"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14,240</w:t>
            </w:r>
          </w:p>
        </w:tc>
        <w:tc>
          <w:tcPr>
            <w:tcW w:w="899" w:type="pct"/>
            <w:vAlign w:val="top"/>
          </w:tcPr>
          <w:p w:rsidR="00637D56" w:rsidRPr="00C83E0F"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900</w:t>
            </w:r>
          </w:p>
        </w:tc>
        <w:tc>
          <w:tcPr>
            <w:tcW w:w="898" w:type="pct"/>
            <w:noWrap/>
            <w:vAlign w:val="top"/>
            <w:hideMark/>
          </w:tcPr>
          <w:p w:rsidR="00637D56" w:rsidRPr="00C83E0F"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6.3%</w:t>
            </w:r>
          </w:p>
        </w:tc>
      </w:tr>
      <w:tr w:rsidR="00637D56" w:rsidRPr="00C83E0F" w:rsidTr="00E07E82">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2304" w:type="pct"/>
            <w:tcBorders>
              <w:bottom w:val="single" w:sz="2" w:space="0" w:color="C40B06"/>
            </w:tcBorders>
            <w:noWrap/>
            <w:vAlign w:val="top"/>
            <w:hideMark/>
          </w:tcPr>
          <w:p w:rsidR="00637D56" w:rsidRPr="00C83E0F" w:rsidRDefault="00637D56" w:rsidP="00E07E82">
            <w:pPr>
              <w:spacing w:before="0"/>
              <w:rPr>
                <w:rFonts w:cs="Calibri"/>
                <w:color w:val="000000"/>
                <w:sz w:val="18"/>
                <w:szCs w:val="18"/>
                <w:lang w:eastAsia="en-AU"/>
              </w:rPr>
            </w:pPr>
            <w:r w:rsidRPr="00C83E0F">
              <w:rPr>
                <w:rFonts w:cs="Calibri"/>
                <w:color w:val="000000"/>
                <w:sz w:val="18"/>
                <w:szCs w:val="18"/>
                <w:lang w:eastAsia="en-AU"/>
              </w:rPr>
              <w:t>Strathbogie</w:t>
            </w:r>
          </w:p>
        </w:tc>
        <w:tc>
          <w:tcPr>
            <w:tcW w:w="899" w:type="pct"/>
            <w:tcBorders>
              <w:bottom w:val="single" w:sz="2" w:space="0" w:color="C40B06"/>
            </w:tcBorders>
            <w:vAlign w:val="top"/>
          </w:tcPr>
          <w:p w:rsidR="00637D56" w:rsidRPr="00C83E0F"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4,990</w:t>
            </w:r>
          </w:p>
        </w:tc>
        <w:tc>
          <w:tcPr>
            <w:tcW w:w="899" w:type="pct"/>
            <w:tcBorders>
              <w:bottom w:val="single" w:sz="2" w:space="0" w:color="C40B06"/>
            </w:tcBorders>
            <w:vAlign w:val="top"/>
          </w:tcPr>
          <w:p w:rsidR="00637D56" w:rsidRPr="00C83E0F"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270</w:t>
            </w:r>
          </w:p>
        </w:tc>
        <w:tc>
          <w:tcPr>
            <w:tcW w:w="898" w:type="pct"/>
            <w:tcBorders>
              <w:bottom w:val="single" w:sz="2" w:space="0" w:color="C40B06"/>
            </w:tcBorders>
            <w:noWrap/>
            <w:vAlign w:val="top"/>
            <w:hideMark/>
          </w:tcPr>
          <w:p w:rsidR="00637D56" w:rsidRPr="00C83E0F"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C83E0F">
              <w:rPr>
                <w:rFonts w:ascii="Calibri" w:hAnsi="Calibri" w:cs="Calibri"/>
                <w:color w:val="000000"/>
                <w:sz w:val="18"/>
                <w:szCs w:val="18"/>
              </w:rPr>
              <w:t>5.4%</w:t>
            </w:r>
          </w:p>
        </w:tc>
      </w:tr>
      <w:tr w:rsidR="00637D56" w:rsidRPr="00CA775E" w:rsidTr="00E07E82">
        <w:trPr>
          <w:cnfStyle w:val="000000010000" w:firstRow="0" w:lastRow="0" w:firstColumn="0" w:lastColumn="0" w:oddVBand="0" w:evenVBand="0" w:oddHBand="0" w:evenHBand="1"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2304" w:type="pct"/>
            <w:tcBorders>
              <w:top w:val="single" w:sz="2" w:space="0" w:color="C40B06"/>
              <w:bottom w:val="single" w:sz="2" w:space="0" w:color="C40B06"/>
            </w:tcBorders>
            <w:noWrap/>
            <w:vAlign w:val="top"/>
            <w:hideMark/>
          </w:tcPr>
          <w:p w:rsidR="00637D56" w:rsidRPr="00CA775E" w:rsidRDefault="00637D56" w:rsidP="00E07E82">
            <w:pPr>
              <w:spacing w:before="0"/>
              <w:rPr>
                <w:rFonts w:cs="Calibri"/>
                <w:b/>
                <w:i/>
                <w:color w:val="000000"/>
                <w:sz w:val="18"/>
                <w:szCs w:val="18"/>
                <w:lang w:eastAsia="en-AU"/>
              </w:rPr>
            </w:pPr>
            <w:r w:rsidRPr="00CA775E">
              <w:rPr>
                <w:rFonts w:cs="Calibri"/>
                <w:b/>
                <w:i/>
                <w:color w:val="000000"/>
                <w:sz w:val="18"/>
                <w:szCs w:val="18"/>
                <w:lang w:eastAsia="en-AU"/>
              </w:rPr>
              <w:t>Region</w:t>
            </w:r>
          </w:p>
        </w:tc>
        <w:tc>
          <w:tcPr>
            <w:tcW w:w="899" w:type="pct"/>
            <w:tcBorders>
              <w:top w:val="single" w:sz="2" w:space="0" w:color="C40B06"/>
              <w:bottom w:val="single" w:sz="2" w:space="0" w:color="C40B06"/>
            </w:tcBorders>
            <w:vAlign w:val="top"/>
          </w:tcPr>
          <w:p w:rsidR="00637D56" w:rsidRPr="00CA775E"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sz w:val="18"/>
                <w:szCs w:val="18"/>
              </w:rPr>
            </w:pPr>
            <w:r w:rsidRPr="00CA775E">
              <w:rPr>
                <w:rFonts w:ascii="Calibri" w:hAnsi="Calibri" w:cs="Calibri"/>
                <w:b/>
                <w:i/>
                <w:color w:val="000000"/>
                <w:sz w:val="18"/>
                <w:szCs w:val="18"/>
              </w:rPr>
              <w:t>78,080</w:t>
            </w:r>
          </w:p>
        </w:tc>
        <w:tc>
          <w:tcPr>
            <w:tcW w:w="899" w:type="pct"/>
            <w:tcBorders>
              <w:top w:val="single" w:sz="2" w:space="0" w:color="C40B06"/>
              <w:bottom w:val="single" w:sz="2" w:space="0" w:color="C40B06"/>
            </w:tcBorders>
            <w:vAlign w:val="top"/>
          </w:tcPr>
          <w:p w:rsidR="00637D56" w:rsidRPr="00CA775E"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sz w:val="18"/>
                <w:szCs w:val="18"/>
              </w:rPr>
            </w:pPr>
            <w:r w:rsidRPr="00CA775E">
              <w:rPr>
                <w:rFonts w:ascii="Calibri" w:hAnsi="Calibri" w:cs="Calibri"/>
                <w:b/>
                <w:i/>
                <w:color w:val="000000"/>
                <w:sz w:val="18"/>
                <w:szCs w:val="18"/>
              </w:rPr>
              <w:t>5,530</w:t>
            </w:r>
          </w:p>
        </w:tc>
        <w:tc>
          <w:tcPr>
            <w:tcW w:w="898" w:type="pct"/>
            <w:tcBorders>
              <w:top w:val="single" w:sz="2" w:space="0" w:color="C40B06"/>
              <w:bottom w:val="single" w:sz="2" w:space="0" w:color="C40B06"/>
            </w:tcBorders>
            <w:noWrap/>
            <w:vAlign w:val="top"/>
            <w:hideMark/>
          </w:tcPr>
          <w:p w:rsidR="00637D56" w:rsidRPr="00CA775E"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sz w:val="18"/>
                <w:szCs w:val="18"/>
              </w:rPr>
            </w:pPr>
            <w:r w:rsidRPr="00CA775E">
              <w:rPr>
                <w:rFonts w:ascii="Calibri" w:hAnsi="Calibri" w:cs="Calibri"/>
                <w:b/>
                <w:i/>
                <w:color w:val="000000"/>
                <w:sz w:val="18"/>
                <w:szCs w:val="18"/>
              </w:rPr>
              <w:t>7.1%</w:t>
            </w:r>
          </w:p>
        </w:tc>
      </w:tr>
      <w:tr w:rsidR="00637D56" w:rsidRPr="00361424" w:rsidTr="00E07E82">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2304" w:type="pct"/>
            <w:tcBorders>
              <w:top w:val="single" w:sz="2" w:space="0" w:color="C40B06"/>
              <w:bottom w:val="nil"/>
            </w:tcBorders>
            <w:noWrap/>
            <w:vAlign w:val="top"/>
            <w:hideMark/>
          </w:tcPr>
          <w:p w:rsidR="00637D56" w:rsidRPr="00361424" w:rsidRDefault="00637D56" w:rsidP="00E07E82">
            <w:pPr>
              <w:spacing w:before="0"/>
              <w:rPr>
                <w:rFonts w:cs="Calibri"/>
                <w:b/>
                <w:color w:val="000000"/>
                <w:sz w:val="18"/>
                <w:szCs w:val="18"/>
                <w:lang w:eastAsia="en-AU"/>
              </w:rPr>
            </w:pPr>
            <w:r w:rsidRPr="00361424">
              <w:rPr>
                <w:rFonts w:cs="Calibri"/>
                <w:b/>
                <w:color w:val="000000"/>
                <w:sz w:val="18"/>
                <w:szCs w:val="18"/>
                <w:lang w:eastAsia="en-AU"/>
              </w:rPr>
              <w:t>Regional Victoria</w:t>
            </w:r>
          </w:p>
        </w:tc>
        <w:tc>
          <w:tcPr>
            <w:tcW w:w="899" w:type="pct"/>
            <w:tcBorders>
              <w:top w:val="single" w:sz="2" w:space="0" w:color="C40B06"/>
              <w:bottom w:val="nil"/>
            </w:tcBorders>
            <w:vAlign w:val="top"/>
          </w:tcPr>
          <w:p w:rsidR="00637D56" w:rsidRPr="00361424"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361424">
              <w:rPr>
                <w:rFonts w:ascii="Calibri" w:hAnsi="Calibri" w:cs="Calibri"/>
                <w:b/>
                <w:color w:val="000000"/>
                <w:sz w:val="18"/>
                <w:szCs w:val="18"/>
              </w:rPr>
              <w:t>778,300</w:t>
            </w:r>
          </w:p>
        </w:tc>
        <w:tc>
          <w:tcPr>
            <w:tcW w:w="899" w:type="pct"/>
            <w:tcBorders>
              <w:top w:val="single" w:sz="2" w:space="0" w:color="C40B06"/>
              <w:bottom w:val="nil"/>
            </w:tcBorders>
            <w:vAlign w:val="top"/>
          </w:tcPr>
          <w:p w:rsidR="00637D56" w:rsidRPr="00361424"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361424">
              <w:rPr>
                <w:rFonts w:ascii="Calibri" w:hAnsi="Calibri" w:cs="Calibri"/>
                <w:b/>
                <w:color w:val="000000"/>
                <w:sz w:val="18"/>
                <w:szCs w:val="18"/>
              </w:rPr>
              <w:t>44,200</w:t>
            </w:r>
          </w:p>
        </w:tc>
        <w:tc>
          <w:tcPr>
            <w:tcW w:w="898" w:type="pct"/>
            <w:tcBorders>
              <w:top w:val="single" w:sz="2" w:space="0" w:color="C40B06"/>
              <w:bottom w:val="nil"/>
            </w:tcBorders>
            <w:noWrap/>
            <w:vAlign w:val="top"/>
            <w:hideMark/>
          </w:tcPr>
          <w:p w:rsidR="00637D56" w:rsidRPr="00361424"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361424">
              <w:rPr>
                <w:rFonts w:ascii="Calibri" w:hAnsi="Calibri" w:cs="Calibri"/>
                <w:b/>
                <w:color w:val="000000"/>
                <w:sz w:val="18"/>
                <w:szCs w:val="18"/>
              </w:rPr>
              <w:t>5.7%</w:t>
            </w:r>
          </w:p>
        </w:tc>
      </w:tr>
      <w:tr w:rsidR="00637D56" w:rsidRPr="00361424" w:rsidTr="00E07E82">
        <w:trPr>
          <w:cnfStyle w:val="000000010000" w:firstRow="0" w:lastRow="0" w:firstColumn="0" w:lastColumn="0" w:oddVBand="0" w:evenVBand="0" w:oddHBand="0" w:evenHBand="1"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2304" w:type="pct"/>
            <w:tcBorders>
              <w:top w:val="nil"/>
              <w:bottom w:val="nil"/>
            </w:tcBorders>
            <w:noWrap/>
            <w:vAlign w:val="top"/>
            <w:hideMark/>
          </w:tcPr>
          <w:p w:rsidR="00637D56" w:rsidRPr="00361424" w:rsidRDefault="00637D56" w:rsidP="00E07E82">
            <w:pPr>
              <w:spacing w:before="0"/>
              <w:rPr>
                <w:rFonts w:cs="Calibri"/>
                <w:b/>
                <w:color w:val="000000"/>
                <w:sz w:val="18"/>
                <w:szCs w:val="18"/>
                <w:lang w:eastAsia="en-AU"/>
              </w:rPr>
            </w:pPr>
            <w:r w:rsidRPr="00361424">
              <w:rPr>
                <w:rFonts w:cs="Calibri"/>
                <w:b/>
                <w:color w:val="000000"/>
                <w:sz w:val="18"/>
                <w:szCs w:val="18"/>
                <w:lang w:eastAsia="en-AU"/>
              </w:rPr>
              <w:t>Metropolitan Melbourne</w:t>
            </w:r>
          </w:p>
        </w:tc>
        <w:tc>
          <w:tcPr>
            <w:tcW w:w="899" w:type="pct"/>
            <w:tcBorders>
              <w:top w:val="nil"/>
              <w:bottom w:val="nil"/>
            </w:tcBorders>
            <w:vAlign w:val="top"/>
          </w:tcPr>
          <w:p w:rsidR="00637D56" w:rsidRPr="00361424"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361424">
              <w:rPr>
                <w:rFonts w:ascii="Calibri" w:hAnsi="Calibri" w:cs="Calibri"/>
                <w:b/>
                <w:color w:val="000000"/>
                <w:sz w:val="18"/>
                <w:szCs w:val="18"/>
              </w:rPr>
              <w:t>2,266,900</w:t>
            </w:r>
          </w:p>
        </w:tc>
        <w:tc>
          <w:tcPr>
            <w:tcW w:w="899" w:type="pct"/>
            <w:tcBorders>
              <w:top w:val="nil"/>
              <w:bottom w:val="nil"/>
            </w:tcBorders>
            <w:vAlign w:val="top"/>
          </w:tcPr>
          <w:p w:rsidR="00637D56" w:rsidRPr="00361424"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361424">
              <w:rPr>
                <w:rFonts w:ascii="Calibri" w:hAnsi="Calibri" w:cs="Calibri"/>
                <w:b/>
                <w:color w:val="000000"/>
                <w:sz w:val="18"/>
                <w:szCs w:val="18"/>
              </w:rPr>
              <w:t>122,600</w:t>
            </w:r>
          </w:p>
        </w:tc>
        <w:tc>
          <w:tcPr>
            <w:tcW w:w="898" w:type="pct"/>
            <w:tcBorders>
              <w:top w:val="nil"/>
              <w:bottom w:val="nil"/>
            </w:tcBorders>
            <w:noWrap/>
            <w:vAlign w:val="top"/>
            <w:hideMark/>
          </w:tcPr>
          <w:p w:rsidR="00637D56" w:rsidRPr="00361424" w:rsidRDefault="00637D56" w:rsidP="00E07E82">
            <w:pPr>
              <w:spacing w:before="0"/>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361424">
              <w:rPr>
                <w:rFonts w:ascii="Calibri" w:hAnsi="Calibri" w:cs="Calibri"/>
                <w:b/>
                <w:color w:val="000000"/>
                <w:sz w:val="18"/>
                <w:szCs w:val="18"/>
              </w:rPr>
              <w:t>5.4%</w:t>
            </w:r>
          </w:p>
        </w:tc>
      </w:tr>
      <w:tr w:rsidR="00637D56" w:rsidRPr="00361424" w:rsidTr="00E07E82">
        <w:trPr>
          <w:cnfStyle w:val="000000100000" w:firstRow="0" w:lastRow="0" w:firstColumn="0" w:lastColumn="0" w:oddVBand="0" w:evenVBand="0" w:oddHBand="1" w:evenHBand="0" w:firstRowFirstColumn="0" w:firstRowLastColumn="0" w:lastRowFirstColumn="0" w:lastRowLastColumn="0"/>
          <w:cantSplit w:val="0"/>
          <w:trHeight w:val="227"/>
        </w:trPr>
        <w:tc>
          <w:tcPr>
            <w:cnfStyle w:val="001000000000" w:firstRow="0" w:lastRow="0" w:firstColumn="1" w:lastColumn="0" w:oddVBand="0" w:evenVBand="0" w:oddHBand="0" w:evenHBand="0" w:firstRowFirstColumn="0" w:firstRowLastColumn="0" w:lastRowFirstColumn="0" w:lastRowLastColumn="0"/>
            <w:tcW w:w="2304" w:type="pct"/>
            <w:tcBorders>
              <w:top w:val="nil"/>
              <w:bottom w:val="single" w:sz="12" w:space="0" w:color="C40B06"/>
            </w:tcBorders>
            <w:noWrap/>
            <w:vAlign w:val="top"/>
            <w:hideMark/>
          </w:tcPr>
          <w:p w:rsidR="00637D56" w:rsidRPr="00361424" w:rsidRDefault="00637D56" w:rsidP="00E07E82">
            <w:pPr>
              <w:spacing w:before="0"/>
              <w:rPr>
                <w:rFonts w:cs="Calibri"/>
                <w:b/>
                <w:color w:val="000000"/>
                <w:sz w:val="18"/>
                <w:szCs w:val="18"/>
                <w:lang w:eastAsia="en-AU"/>
              </w:rPr>
            </w:pPr>
            <w:r w:rsidRPr="00361424">
              <w:rPr>
                <w:rFonts w:cs="Calibri"/>
                <w:b/>
                <w:color w:val="000000"/>
                <w:sz w:val="18"/>
                <w:szCs w:val="18"/>
                <w:lang w:eastAsia="en-AU"/>
              </w:rPr>
              <w:t>Victoria</w:t>
            </w:r>
          </w:p>
        </w:tc>
        <w:tc>
          <w:tcPr>
            <w:tcW w:w="899" w:type="pct"/>
            <w:tcBorders>
              <w:top w:val="nil"/>
              <w:bottom w:val="single" w:sz="12" w:space="0" w:color="C40B06"/>
            </w:tcBorders>
            <w:vAlign w:val="top"/>
          </w:tcPr>
          <w:p w:rsidR="00637D56" w:rsidRPr="00361424"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361424">
              <w:rPr>
                <w:rFonts w:ascii="Calibri" w:hAnsi="Calibri" w:cs="Calibri"/>
                <w:b/>
                <w:color w:val="000000"/>
                <w:sz w:val="18"/>
                <w:szCs w:val="18"/>
              </w:rPr>
              <w:t>3,045,200</w:t>
            </w:r>
          </w:p>
        </w:tc>
        <w:tc>
          <w:tcPr>
            <w:tcW w:w="899" w:type="pct"/>
            <w:tcBorders>
              <w:top w:val="nil"/>
              <w:bottom w:val="single" w:sz="12" w:space="0" w:color="C40B06"/>
            </w:tcBorders>
            <w:vAlign w:val="top"/>
          </w:tcPr>
          <w:p w:rsidR="00637D56" w:rsidRPr="00361424"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361424">
              <w:rPr>
                <w:rFonts w:ascii="Calibri" w:hAnsi="Calibri" w:cs="Calibri"/>
                <w:b/>
                <w:color w:val="000000"/>
                <w:sz w:val="18"/>
                <w:szCs w:val="18"/>
              </w:rPr>
              <w:t>166,800</w:t>
            </w:r>
          </w:p>
        </w:tc>
        <w:tc>
          <w:tcPr>
            <w:tcW w:w="898" w:type="pct"/>
            <w:tcBorders>
              <w:top w:val="nil"/>
              <w:bottom w:val="single" w:sz="12" w:space="0" w:color="C40B06"/>
            </w:tcBorders>
            <w:noWrap/>
            <w:vAlign w:val="top"/>
            <w:hideMark/>
          </w:tcPr>
          <w:p w:rsidR="00637D56" w:rsidRPr="00361424" w:rsidRDefault="00637D56" w:rsidP="00E07E82">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361424">
              <w:rPr>
                <w:rFonts w:ascii="Calibri" w:hAnsi="Calibri" w:cs="Calibri"/>
                <w:b/>
                <w:color w:val="000000"/>
                <w:sz w:val="18"/>
                <w:szCs w:val="18"/>
              </w:rPr>
              <w:t>5.5%</w:t>
            </w:r>
          </w:p>
        </w:tc>
      </w:tr>
    </w:tbl>
    <w:p w:rsidR="00637D56" w:rsidRDefault="00637D56" w:rsidP="00637D56">
      <w:pPr>
        <w:pStyle w:val="Source"/>
      </w:pPr>
      <w:r>
        <w:t>Source:</w:t>
      </w:r>
      <w:r>
        <w:tab/>
        <w:t>Department of Employment, Education and Workplace Relations – Small Area Labour Markets, December Quarter 2012.</w:t>
      </w:r>
    </w:p>
    <w:p w:rsidR="00DC5C4C" w:rsidRDefault="00DC5C4C" w:rsidP="00DC5C4C">
      <w:r>
        <w:t xml:space="preserve">Assuming no jobs (direct and indirect) were replaced, the loss of SPCA operations in the GV </w:t>
      </w:r>
      <w:r w:rsidR="00091AA7">
        <w:t xml:space="preserve">Region </w:t>
      </w:r>
      <w:r>
        <w:t xml:space="preserve">would result in Greater Shepparton’s unemployment rate </w:t>
      </w:r>
      <w:r w:rsidR="00091AA7">
        <w:t xml:space="preserve">increasing </w:t>
      </w:r>
      <w:r>
        <w:t>from 8.6% to 1</w:t>
      </w:r>
      <w:r w:rsidR="00C73347">
        <w:t>1</w:t>
      </w:r>
      <w:r>
        <w:t>.</w:t>
      </w:r>
      <w:r w:rsidR="00C73347">
        <w:t>0</w:t>
      </w:r>
      <w:r>
        <w:t xml:space="preserve">%, and </w:t>
      </w:r>
      <w:r w:rsidR="00091AA7">
        <w:t xml:space="preserve">with </w:t>
      </w:r>
      <w:r>
        <w:t xml:space="preserve">the region’s unemployment rate increasing from 7.1% to </w:t>
      </w:r>
      <w:r w:rsidR="00C73347">
        <w:t>7.4</w:t>
      </w:r>
      <w:r>
        <w:t>%. These calculations are based on existing labour market parameters and assume 75% of existing SPC</w:t>
      </w:r>
      <w:r w:rsidR="000877F4">
        <w:t>A</w:t>
      </w:r>
      <w:r>
        <w:t xml:space="preserve"> jobs (and indirect jobs) are taken by Greater Shepparton resident workers, and the remaining 25% of SPCA jobs (and indirect jobs) </w:t>
      </w:r>
      <w:r w:rsidR="00091AA7">
        <w:t xml:space="preserve">are taken by </w:t>
      </w:r>
      <w:r>
        <w:t>workers resident in the broader region.</w:t>
      </w:r>
    </w:p>
    <w:p w:rsidR="00AA1B6A" w:rsidRDefault="00AA1B6A" w:rsidP="00616313">
      <w:pPr>
        <w:pStyle w:val="Heading2"/>
      </w:pPr>
      <w:bookmarkStart w:id="16" w:name="_Toc358806203"/>
      <w:r>
        <w:t xml:space="preserve">Impacts on </w:t>
      </w:r>
      <w:r w:rsidR="00CA2E0B">
        <w:t xml:space="preserve">Industry </w:t>
      </w:r>
      <w:r>
        <w:t>Training</w:t>
      </w:r>
      <w:bookmarkEnd w:id="16"/>
    </w:p>
    <w:p w:rsidR="00AA1B6A" w:rsidRDefault="00AA1B6A" w:rsidP="00AA1B6A">
      <w:r w:rsidRPr="00AA1B6A">
        <w:t>SPC Ardmona and the Australian Manufacturing Workers Union (AMWU) have collaborated to develop an induction-to-leadership training program for more than 2,000 workers in the Goulburn Valley</w:t>
      </w:r>
      <w:r w:rsidR="00E475BE">
        <w:t>,</w:t>
      </w:r>
      <w:r w:rsidRPr="00AA1B6A">
        <w:t xml:space="preserve"> </w:t>
      </w:r>
      <w:r w:rsidR="00E475BE">
        <w:t xml:space="preserve">facilitated </w:t>
      </w:r>
      <w:r w:rsidRPr="00AA1B6A">
        <w:t xml:space="preserve">by the National Food Institute. </w:t>
      </w:r>
      <w:r>
        <w:t xml:space="preserve">The training program provides all </w:t>
      </w:r>
      <w:r w:rsidRPr="00AA1B6A">
        <w:lastRenderedPageBreak/>
        <w:t xml:space="preserve">employees </w:t>
      </w:r>
      <w:r w:rsidR="00CA2E0B">
        <w:t xml:space="preserve">(including seasonal workers) </w:t>
      </w:r>
      <w:r>
        <w:t xml:space="preserve">the </w:t>
      </w:r>
      <w:r w:rsidRPr="00AA1B6A">
        <w:t>opportunity to undertake Certificate I through to Certificate III courses, which lead to nationally</w:t>
      </w:r>
      <w:r w:rsidR="00091AA7">
        <w:t>-</w:t>
      </w:r>
      <w:r w:rsidRPr="00AA1B6A">
        <w:t>recognised training in the areas of food processing and transport competencies.</w:t>
      </w:r>
    </w:p>
    <w:p w:rsidR="00AA1B6A" w:rsidRDefault="00AA1B6A" w:rsidP="00AA1B6A">
      <w:r>
        <w:t xml:space="preserve">The program’s success </w:t>
      </w:r>
      <w:r w:rsidR="00E475BE">
        <w:t xml:space="preserve">has been </w:t>
      </w:r>
      <w:r>
        <w:t xml:space="preserve">acknowledged by </w:t>
      </w:r>
      <w:r w:rsidR="00E475BE">
        <w:t xml:space="preserve">receiving </w:t>
      </w:r>
      <w:r>
        <w:t xml:space="preserve">the </w:t>
      </w:r>
      <w:r w:rsidR="00CA2E0B">
        <w:t xml:space="preserve">Federal Government’s </w:t>
      </w:r>
      <w:r w:rsidRPr="00AA1B6A">
        <w:t>Industry Collaboration</w:t>
      </w:r>
      <w:r w:rsidR="00CA2E0B">
        <w:t xml:space="preserve"> Training</w:t>
      </w:r>
      <w:r w:rsidRPr="00AA1B6A">
        <w:t xml:space="preserve"> Awar</w:t>
      </w:r>
      <w:r>
        <w:t>d</w:t>
      </w:r>
      <w:r w:rsidR="00CA2E0B">
        <w:t>.</w:t>
      </w:r>
    </w:p>
    <w:p w:rsidR="00CA2E0B" w:rsidRDefault="00CA2E0B" w:rsidP="00AA1B6A">
      <w:r>
        <w:t xml:space="preserve">The withdrawal of SPCA from the GV Region would </w:t>
      </w:r>
      <w:r w:rsidR="00E475BE">
        <w:t xml:space="preserve">therefore inevitably </w:t>
      </w:r>
      <w:r>
        <w:t>reduce training opportunities for labour force participants in food processing and related sectors.</w:t>
      </w:r>
    </w:p>
    <w:p w:rsidR="003B1AB3" w:rsidRDefault="003B1AB3" w:rsidP="003B1AB3">
      <w:pPr>
        <w:pStyle w:val="Heading2"/>
      </w:pPr>
      <w:bookmarkStart w:id="17" w:name="_Toc358806204"/>
      <w:r>
        <w:t>Reduced SPCA</w:t>
      </w:r>
      <w:r w:rsidR="00A25840">
        <w:t xml:space="preserve"> Investment and </w:t>
      </w:r>
      <w:r>
        <w:t>Related Construction Investment</w:t>
      </w:r>
      <w:bookmarkEnd w:id="17"/>
    </w:p>
    <w:p w:rsidR="00091AA7" w:rsidRDefault="00091AA7" w:rsidP="00D40953">
      <w:pPr>
        <w:pStyle w:val="Heading4"/>
      </w:pPr>
      <w:r>
        <w:t>SPCA Investment</w:t>
      </w:r>
    </w:p>
    <w:p w:rsidR="003B1AB3" w:rsidRDefault="003B1AB3" w:rsidP="003B1AB3">
      <w:r>
        <w:t>SPCA has invest</w:t>
      </w:r>
      <w:r w:rsidR="00091AA7">
        <w:t xml:space="preserve">ed </w:t>
      </w:r>
      <w:r>
        <w:t>significant ca</w:t>
      </w:r>
      <w:r w:rsidR="001E2FB6">
        <w:t xml:space="preserve">pital in the development of its </w:t>
      </w:r>
      <w:r>
        <w:t xml:space="preserve">sites </w:t>
      </w:r>
      <w:r w:rsidR="001E2FB6">
        <w:t xml:space="preserve">in the GV Region </w:t>
      </w:r>
      <w:r>
        <w:t>over many decades.</w:t>
      </w:r>
      <w:r w:rsidR="001E2FB6">
        <w:t xml:space="preserve"> This </w:t>
      </w:r>
      <w:r w:rsidR="00091AA7">
        <w:t xml:space="preserve">investment </w:t>
      </w:r>
      <w:r w:rsidR="001E2FB6">
        <w:t>has supported many local construction-related businesses and created many construction jobs.</w:t>
      </w:r>
    </w:p>
    <w:p w:rsidR="001E2FB6" w:rsidRPr="00C30AB9" w:rsidRDefault="001E2FB6" w:rsidP="001E2FB6">
      <w:r>
        <w:t xml:space="preserve">For example, most recently SPCA has invested $25 million in the development of its National Distribution Centre in Shepparton and </w:t>
      </w:r>
      <w:r w:rsidR="00970BAE">
        <w:t xml:space="preserve">modernisation of </w:t>
      </w:r>
      <w:r w:rsidR="00091AA7">
        <w:t xml:space="preserve">its </w:t>
      </w:r>
      <w:r>
        <w:t>Mooroopna</w:t>
      </w:r>
      <w:r w:rsidR="00970BAE">
        <w:t xml:space="preserve"> plant</w:t>
      </w:r>
      <w:r>
        <w:t>. These two projects alone are estimated to have generated 200 FTE construction-related jobs</w:t>
      </w:r>
      <w:r w:rsidRPr="0028414E">
        <w:t>.</w:t>
      </w:r>
    </w:p>
    <w:p w:rsidR="001E2FB6" w:rsidRDefault="001E2FB6" w:rsidP="003B1AB3">
      <w:r>
        <w:t>If SPCA were to withdraw from the GV Region</w:t>
      </w:r>
      <w:r w:rsidR="00091AA7">
        <w:t>,</w:t>
      </w:r>
      <w:r>
        <w:t xml:space="preserve"> the business and employment benefits of ongoing and future investments would be lost fr</w:t>
      </w:r>
      <w:r w:rsidR="00091AA7">
        <w:t>om</w:t>
      </w:r>
      <w:r>
        <w:t xml:space="preserve"> the regional economy.</w:t>
      </w:r>
    </w:p>
    <w:p w:rsidR="00DD3873" w:rsidRDefault="00DD3873" w:rsidP="00DD3873">
      <w:pPr>
        <w:pStyle w:val="Heading4"/>
      </w:pPr>
      <w:r>
        <w:t>Food Bowl Modernisation Project</w:t>
      </w:r>
    </w:p>
    <w:p w:rsidR="00DD3873" w:rsidRDefault="00061FA5" w:rsidP="00061FA5">
      <w:pPr>
        <w:pStyle w:val="Bullet"/>
        <w:numPr>
          <w:ilvl w:val="0"/>
          <w:numId w:val="0"/>
        </w:numPr>
      </w:pPr>
      <w:r>
        <w:t>As described earlier, th</w:t>
      </w:r>
      <w:r w:rsidR="00DD3873">
        <w:t xml:space="preserve">e </w:t>
      </w:r>
      <w:r w:rsidR="00DD3873" w:rsidRPr="004C47F2">
        <w:t>$2.2 billion Northern Victorian</w:t>
      </w:r>
      <w:r w:rsidR="00DD3873">
        <w:t xml:space="preserve"> </w:t>
      </w:r>
      <w:r w:rsidR="00DD3873" w:rsidRPr="004C47F2">
        <w:t xml:space="preserve">Irrigation Renewal Project </w:t>
      </w:r>
      <w:r>
        <w:t xml:space="preserve">(or Food Bowl Modernisation Project) represents a significant commitment by State and Federal government </w:t>
      </w:r>
      <w:r w:rsidR="00DD3873" w:rsidRPr="004C47F2">
        <w:t>for large</w:t>
      </w:r>
      <w:r w:rsidR="00E475BE">
        <w:t>-</w:t>
      </w:r>
      <w:r w:rsidR="00DD3873" w:rsidRPr="004C47F2">
        <w:t>scale</w:t>
      </w:r>
      <w:r w:rsidR="00DD3873">
        <w:t xml:space="preserve"> </w:t>
      </w:r>
      <w:r w:rsidR="00DD3873" w:rsidRPr="004C47F2">
        <w:t>modernisation works in the Goulburn-Murray Irrigation District</w:t>
      </w:r>
      <w:r w:rsidR="00CE7158">
        <w:t>.</w:t>
      </w:r>
    </w:p>
    <w:p w:rsidR="00CE7158" w:rsidRDefault="00CE7158" w:rsidP="00CE7158">
      <w:pPr>
        <w:pStyle w:val="Bullet"/>
        <w:numPr>
          <w:ilvl w:val="0"/>
          <w:numId w:val="0"/>
        </w:numPr>
      </w:pPr>
      <w:r w:rsidRPr="00CE7158">
        <w:t>The</w:t>
      </w:r>
      <w:r>
        <w:t xml:space="preserve"> m</w:t>
      </w:r>
      <w:r w:rsidRPr="00CE7158">
        <w:t xml:space="preserve">odernisation of irrigation systems in northern Victoria’s food bowl </w:t>
      </w:r>
      <w:r>
        <w:t xml:space="preserve">included the </w:t>
      </w:r>
      <w:r w:rsidRPr="00CE7158">
        <w:t>r</w:t>
      </w:r>
      <w:r>
        <w:t xml:space="preserve">emoval of </w:t>
      </w:r>
      <w:r w:rsidRPr="00CE7158">
        <w:t>stranded assets</w:t>
      </w:r>
      <w:r>
        <w:t xml:space="preserve"> and </w:t>
      </w:r>
      <w:r w:rsidRPr="00CE7158">
        <w:t>inefficient system losses and</w:t>
      </w:r>
      <w:r w:rsidR="00A25840">
        <w:t>,</w:t>
      </w:r>
      <w:r w:rsidRPr="00CE7158">
        <w:t xml:space="preserve"> </w:t>
      </w:r>
      <w:r>
        <w:t>in doing so</w:t>
      </w:r>
      <w:r w:rsidR="00A25840">
        <w:t>,</w:t>
      </w:r>
      <w:r>
        <w:t xml:space="preserve"> has </w:t>
      </w:r>
      <w:r w:rsidRPr="00CE7158">
        <w:t>improved service levels required by modern on-farm irrigation technology.</w:t>
      </w:r>
      <w:r>
        <w:t xml:space="preserve">  </w:t>
      </w:r>
      <w:r w:rsidR="007C3E5D">
        <w:t>The Food Bowl Modernisation project has</w:t>
      </w:r>
      <w:r w:rsidRPr="00CE7158">
        <w:rPr>
          <w:highlight w:val="yellow"/>
        </w:rPr>
        <w:t xml:space="preserve"> </w:t>
      </w:r>
      <w:r w:rsidRPr="007C3E5D">
        <w:t xml:space="preserve">provided the capacity to deliver 214 GL of water savings, </w:t>
      </w:r>
      <w:r w:rsidR="00A25840">
        <w:t xml:space="preserve">thus </w:t>
      </w:r>
      <w:r w:rsidRPr="007C3E5D">
        <w:t>providing benefits to farmers in the region</w:t>
      </w:r>
      <w:r w:rsidR="00A25840">
        <w:t>,</w:t>
      </w:r>
      <w:r w:rsidRPr="007C3E5D">
        <w:t xml:space="preserve"> including fruit growers.</w:t>
      </w:r>
    </w:p>
    <w:p w:rsidR="007C3E5D" w:rsidRDefault="007C3E5D" w:rsidP="00CE7158">
      <w:pPr>
        <w:pStyle w:val="Bullet"/>
        <w:numPr>
          <w:ilvl w:val="0"/>
          <w:numId w:val="0"/>
        </w:numPr>
      </w:pPr>
      <w:r>
        <w:t>Th</w:t>
      </w:r>
      <w:r w:rsidR="00E475BE">
        <w:t>e</w:t>
      </w:r>
      <w:r>
        <w:t xml:space="preserve"> significant investment </w:t>
      </w:r>
      <w:r w:rsidR="00A25840">
        <w:t xml:space="preserve">undertaken </w:t>
      </w:r>
      <w:r>
        <w:t>in securing the long-term future of the food industry in the region would be undermined if major food processors such as SPCA ceased operations in the region and</w:t>
      </w:r>
      <w:r w:rsidR="00A25840">
        <w:t>,</w:t>
      </w:r>
      <w:r>
        <w:t xml:space="preserve"> in doing so</w:t>
      </w:r>
      <w:r w:rsidR="00A25840">
        <w:t>,</w:t>
      </w:r>
      <w:r>
        <w:t xml:space="preserve"> significantly reduced the viability of the region’s horticulture land users.  </w:t>
      </w:r>
    </w:p>
    <w:p w:rsidR="00DD3873" w:rsidRDefault="00DD3873" w:rsidP="00DD3873">
      <w:pPr>
        <w:pStyle w:val="Heading4"/>
      </w:pPr>
      <w:r>
        <w:t>Shepparton Bypass</w:t>
      </w:r>
    </w:p>
    <w:p w:rsidR="00D24504" w:rsidRDefault="00D24504" w:rsidP="00D24504">
      <w:r>
        <w:t xml:space="preserve">The Shepparton Bypass will provide a 33km new road link from </w:t>
      </w:r>
      <w:proofErr w:type="spellStart"/>
      <w:r>
        <w:t>Karramomus</w:t>
      </w:r>
      <w:proofErr w:type="spellEnd"/>
      <w:r>
        <w:t xml:space="preserve"> Road (south of Shepparton) to </w:t>
      </w:r>
      <w:proofErr w:type="spellStart"/>
      <w:r>
        <w:t>Zeerust</w:t>
      </w:r>
      <w:proofErr w:type="spellEnd"/>
      <w:r>
        <w:t xml:space="preserve"> Road (north of Shepparton)</w:t>
      </w:r>
      <w:r w:rsidR="00A25840">
        <w:t>,</w:t>
      </w:r>
      <w:r>
        <w:t xml:space="preserve"> and forms part of a broader upgrading of the Goulburn Valley Highway between Seymour (Victoria) and Strathmerton (NSW). The Shepparton Bypass is the next logical stage in the upgrade of this important Melbourne-</w:t>
      </w:r>
      <w:r>
        <w:lastRenderedPageBreak/>
        <w:t xml:space="preserve">Brisbane road link, with the </w:t>
      </w:r>
      <w:r w:rsidR="00E475BE">
        <w:t>recently</w:t>
      </w:r>
      <w:r w:rsidR="00A25840">
        <w:t>-</w:t>
      </w:r>
      <w:r w:rsidR="00E475BE">
        <w:t xml:space="preserve">opened </w:t>
      </w:r>
      <w:r>
        <w:t>Nagambie Bypass, to Shepparton’s south. The</w:t>
      </w:r>
      <w:r w:rsidR="00E475BE">
        <w:t xml:space="preserve"> Shepparton </w:t>
      </w:r>
      <w:r>
        <w:t xml:space="preserve">Bypass aims to greatly reduce the volume of commercial traffic travelling north-south through Shepparton along existing routes, namely the Goulburn Valley Freeway (which runs directly through Shepparton CBD), and the Shepparton Alternative Route (which is located to the east of the CBD). These existing routes are inefficient for commercial vehicles due to speed restrictions associated with urban congestion, traffic lights, roundabouts, etc. Additionally, traffic accident data highlights safety concerns associated with traffic conflict issues on both these routes, especially in relation to heavy commercial vehicles.  </w:t>
      </w:r>
    </w:p>
    <w:p w:rsidR="00D24504" w:rsidRDefault="00D24504" w:rsidP="00D24504">
      <w:r>
        <w:t xml:space="preserve">Shepparton City Council, in conjunction with </w:t>
      </w:r>
      <w:proofErr w:type="spellStart"/>
      <w:r>
        <w:t>VicRoads</w:t>
      </w:r>
      <w:proofErr w:type="spellEnd"/>
      <w:r>
        <w:t xml:space="preserve">, </w:t>
      </w:r>
      <w:r w:rsidR="00A25840">
        <w:t xml:space="preserve">is </w:t>
      </w:r>
      <w:r>
        <w:t>now seeking support for the project from the Federal Government through a funding submission to Infrastructure Australia.</w:t>
      </w:r>
    </w:p>
    <w:p w:rsidR="00D24504" w:rsidRDefault="00D24504" w:rsidP="00D24504">
      <w:r>
        <w:t xml:space="preserve">The withdrawal of SPC Ardmona from the GV Region </w:t>
      </w:r>
      <w:r w:rsidR="00A25840">
        <w:t xml:space="preserve">would </w:t>
      </w:r>
      <w:r>
        <w:t>directly reduce truck movements by 12,500 pa (</w:t>
      </w:r>
      <w:r w:rsidRPr="00D24504">
        <w:rPr>
          <w:i/>
        </w:rPr>
        <w:t>Goulburn Valley Manufacturing Audit</w:t>
      </w:r>
      <w:r>
        <w:t>, Essential Economics 2009) in relation to its sites</w:t>
      </w:r>
      <w:r w:rsidR="00EF2DC0">
        <w:t>, while further truck movement reductions w</w:t>
      </w:r>
      <w:r w:rsidR="00A25840">
        <w:t>ould</w:t>
      </w:r>
      <w:r w:rsidR="00EF2DC0">
        <w:t xml:space="preserve"> occur</w:t>
      </w:r>
      <w:r w:rsidR="00A25840">
        <w:t xml:space="preserve"> within the regional supply chain</w:t>
      </w:r>
      <w:r w:rsidR="00EF2DC0">
        <w:t xml:space="preserve">. Overall, this reduction in road freight might negatively affect the prioritisation of </w:t>
      </w:r>
      <w:r w:rsidR="00A25840">
        <w:t xml:space="preserve">the planned </w:t>
      </w:r>
      <w:r w:rsidR="00EF2DC0">
        <w:t>Shepparton Bypass in terms of infrastructure funding, especially if government decision</w:t>
      </w:r>
      <w:r w:rsidR="00A25840">
        <w:t>-</w:t>
      </w:r>
      <w:r w:rsidR="00EF2DC0">
        <w:t xml:space="preserve">makers perceive SPCA’s withdrawal </w:t>
      </w:r>
      <w:r w:rsidR="00A25840">
        <w:t xml:space="preserve">as foreshadowing </w:t>
      </w:r>
      <w:r w:rsidR="00EF2DC0">
        <w:t>a broader longer-term contraction of food processing and industrial activity in the region</w:t>
      </w:r>
      <w:r w:rsidR="00A25840">
        <w:t>,</w:t>
      </w:r>
      <w:r w:rsidR="00EF2DC0">
        <w:t xml:space="preserve"> more generally. </w:t>
      </w:r>
    </w:p>
    <w:p w:rsidR="00DD3873" w:rsidRDefault="00DD3873" w:rsidP="00DD3873">
      <w:pPr>
        <w:pStyle w:val="Heading4"/>
      </w:pPr>
      <w:r>
        <w:t>Goulburn  Valley Freight and Logistic Centre (GV Link)</w:t>
      </w:r>
    </w:p>
    <w:p w:rsidR="00DD3873" w:rsidRDefault="00DD3873" w:rsidP="00DD3873">
      <w:r w:rsidRPr="00685A20">
        <w:t xml:space="preserve">GV Link </w:t>
      </w:r>
      <w:r>
        <w:t xml:space="preserve">is planned for development </w:t>
      </w:r>
      <w:r w:rsidRPr="00685A20">
        <w:t>on 331</w:t>
      </w:r>
      <w:r>
        <w:t>ha</w:t>
      </w:r>
      <w:r w:rsidRPr="00685A20">
        <w:t xml:space="preserve"> </w:t>
      </w:r>
      <w:r>
        <w:t xml:space="preserve">of land </w:t>
      </w:r>
      <w:r w:rsidRPr="00685A20">
        <w:t xml:space="preserve">at 250 Toolamba Road, </w:t>
      </w:r>
      <w:r>
        <w:t xml:space="preserve">2km </w:t>
      </w:r>
      <w:r w:rsidRPr="00685A20">
        <w:t>south of the Midland Highway in Mooroopna. </w:t>
      </w:r>
      <w:r>
        <w:t xml:space="preserve">GV Link is strategically located at the junction of two major freight routes, Goulburn Valley Highway and Midland Highway, </w:t>
      </w:r>
      <w:r w:rsidR="00D40953">
        <w:t xml:space="preserve">which </w:t>
      </w:r>
      <w:r>
        <w:t xml:space="preserve">service Victoria’s Food Bowl and </w:t>
      </w:r>
      <w:r w:rsidR="00A25840">
        <w:t>s</w:t>
      </w:r>
      <w:r>
        <w:t xml:space="preserve">outhern NSW.  The </w:t>
      </w:r>
      <w:r w:rsidR="003B1AB3">
        <w:t xml:space="preserve">new </w:t>
      </w:r>
      <w:r>
        <w:t xml:space="preserve">Nagambie Bypass (located on the Goulburn Valley Highway) and the proposed Shepparton Bypass (the alignment of which runs through the GV Link site) will further boost access to markets for freight transporters in the longer-term. </w:t>
      </w:r>
    </w:p>
    <w:p w:rsidR="00DD3873" w:rsidRPr="00685A20" w:rsidRDefault="00DD3873" w:rsidP="00DD3873">
      <w:r>
        <w:t>The rail terminal at Mooroopna</w:t>
      </w:r>
      <w:r w:rsidR="00A25840">
        <w:t>,</w:t>
      </w:r>
      <w:r>
        <w:t xml:space="preserve"> located just 1km north of the </w:t>
      </w:r>
      <w:r w:rsidR="00A25840">
        <w:t xml:space="preserve">GV Link </w:t>
      </w:r>
      <w:r>
        <w:t xml:space="preserve">site, provides broad gauge </w:t>
      </w:r>
      <w:r w:rsidR="00A25840">
        <w:t xml:space="preserve">rail </w:t>
      </w:r>
      <w:r>
        <w:t>access for business in the area</w:t>
      </w:r>
      <w:r w:rsidR="00A25840">
        <w:t>,</w:t>
      </w:r>
      <w:r>
        <w:t xml:space="preserve"> and will support the development of a dedicated rail terminal at GV Link</w:t>
      </w:r>
      <w:r w:rsidR="00A25840">
        <w:t xml:space="preserve"> by</w:t>
      </w:r>
      <w:r>
        <w:t xml:space="preserve"> providing direct rail access to Melbourne and other major markets.</w:t>
      </w:r>
    </w:p>
    <w:p w:rsidR="00DD3873" w:rsidRDefault="00DD3873" w:rsidP="00DD3873">
      <w:r w:rsidRPr="00DB010D">
        <w:t xml:space="preserve">GV Link will consist of an intermodal </w:t>
      </w:r>
      <w:r>
        <w:t xml:space="preserve">rail-road </w:t>
      </w:r>
      <w:r w:rsidRPr="00DB010D">
        <w:t>terminal and general freight area that links producers/exporters to the Port of Melbourne by rail and road</w:t>
      </w:r>
      <w:r>
        <w:t>,</w:t>
      </w:r>
      <w:r w:rsidRPr="00DB010D">
        <w:t xml:space="preserve"> and provides opportunities for distribution centres, warehouses, a container park and trucking depots.</w:t>
      </w:r>
      <w:r>
        <w:t xml:space="preserve"> Once operational, the facility aims to i</w:t>
      </w:r>
      <w:r w:rsidRPr="005735D0">
        <w:t>mprove efficiency of the freight logistics task for industry and growers</w:t>
      </w:r>
      <w:r>
        <w:t>, including improved access to external markets, including port locations.</w:t>
      </w:r>
      <w:r w:rsidR="00061FA5">
        <w:t xml:space="preserve"> Key users are expected to be food processors and the dairy sector. </w:t>
      </w:r>
    </w:p>
    <w:p w:rsidR="00DD3873" w:rsidRPr="00DD3873" w:rsidRDefault="00DD3873" w:rsidP="00DD3873">
      <w:r>
        <w:t>To date</w:t>
      </w:r>
      <w:r w:rsidR="000C1936">
        <w:t>,</w:t>
      </w:r>
      <w:r>
        <w:t xml:space="preserve"> approximately $15 million of Council, State and Federal funding has been invested in planning for the facility</w:t>
      </w:r>
      <w:r w:rsidR="000C1936">
        <w:t>,</w:t>
      </w:r>
      <w:r>
        <w:t xml:space="preserve"> including land acquisitions and the preparation of a detailed master plan to guide the development.</w:t>
      </w:r>
    </w:p>
    <w:p w:rsidR="00DD3873" w:rsidRPr="00BB4653" w:rsidRDefault="00061FA5" w:rsidP="00BB4653">
      <w:r>
        <w:t>For GV Link to be viable</w:t>
      </w:r>
      <w:r w:rsidR="003B1AB3">
        <w:t>,</w:t>
      </w:r>
      <w:r>
        <w:t xml:space="preserve"> sufficient freight movements in and out of the GV Region will need to </w:t>
      </w:r>
      <w:r w:rsidR="003B1AB3">
        <w:t>be generated</w:t>
      </w:r>
      <w:r>
        <w:t xml:space="preserve"> on a sustainable basis </w:t>
      </w:r>
      <w:r w:rsidR="003B1AB3">
        <w:t xml:space="preserve">in order </w:t>
      </w:r>
      <w:r>
        <w:t xml:space="preserve">to secure investors and operators. The loss of the region’s most important food processer </w:t>
      </w:r>
      <w:r w:rsidR="000C1936">
        <w:t xml:space="preserve">would </w:t>
      </w:r>
      <w:r>
        <w:t xml:space="preserve">impact </w:t>
      </w:r>
      <w:r w:rsidR="000C1936">
        <w:t xml:space="preserve">adversely </w:t>
      </w:r>
      <w:r>
        <w:t>on long-term freight volumes in the region</w:t>
      </w:r>
      <w:r w:rsidR="000C1936">
        <w:t>,</w:t>
      </w:r>
      <w:r>
        <w:t xml:space="preserve"> both directly and through the regional supply chain. </w:t>
      </w:r>
      <w:r w:rsidR="00AB347C">
        <w:t xml:space="preserve">Additionally, investor </w:t>
      </w:r>
      <w:r w:rsidR="00AB347C">
        <w:lastRenderedPageBreak/>
        <w:t>confidence is likely to be reduced by the withdrawal of a major freight-reliant industrial operator</w:t>
      </w:r>
      <w:r w:rsidR="000C1936">
        <w:t>, thus</w:t>
      </w:r>
      <w:r w:rsidR="00AB347C">
        <w:t xml:space="preserve"> casting doubt on the long-term future of all food processing activities in the region</w:t>
      </w:r>
      <w:r w:rsidR="000C1936">
        <w:t xml:space="preserve"> and</w:t>
      </w:r>
      <w:r w:rsidR="00AB347C">
        <w:t xml:space="preserve"> further jeopardising potential land sales and investment in the site.</w:t>
      </w:r>
    </w:p>
    <w:p w:rsidR="00616313" w:rsidRDefault="00616313" w:rsidP="00616313">
      <w:pPr>
        <w:pStyle w:val="Heading2"/>
      </w:pPr>
      <w:bookmarkStart w:id="18" w:name="_Toc358806205"/>
      <w:r>
        <w:t>Land Use Implications</w:t>
      </w:r>
      <w:bookmarkEnd w:id="18"/>
    </w:p>
    <w:p w:rsidR="00FF55C0" w:rsidRDefault="00E33354" w:rsidP="00FF55C0">
      <w:r>
        <w:t xml:space="preserve">SPC Ardmona is a large consumer of industrial land in both Shepparton and the broader GV Region as outlined </w:t>
      </w:r>
      <w:r w:rsidR="003B1AB3">
        <w:t>below</w:t>
      </w:r>
      <w:r>
        <w:t>:</w:t>
      </w:r>
    </w:p>
    <w:p w:rsidR="00E33354" w:rsidRDefault="00E33354" w:rsidP="00C428A0">
      <w:pPr>
        <w:pStyle w:val="Bullet"/>
      </w:pPr>
      <w:r>
        <w:t>Shepparton Manufacturing Plant</w:t>
      </w:r>
      <w:r w:rsidR="000C1936">
        <w:t>:</w:t>
      </w:r>
      <w:r w:rsidR="000C1936">
        <w:tab/>
      </w:r>
      <w:r w:rsidR="000C1936">
        <w:tab/>
      </w:r>
      <w:r w:rsidR="000C1936">
        <w:tab/>
      </w:r>
      <w:r w:rsidR="00D40953">
        <w:tab/>
      </w:r>
      <w:r w:rsidR="000D5B64">
        <w:t>9.6</w:t>
      </w:r>
      <w:r>
        <w:t>ha</w:t>
      </w:r>
    </w:p>
    <w:p w:rsidR="00E33354" w:rsidRDefault="00E33354" w:rsidP="00C428A0">
      <w:pPr>
        <w:pStyle w:val="Bullet"/>
      </w:pPr>
      <w:r>
        <w:t>Shepparton National Distribution Centre</w:t>
      </w:r>
      <w:r w:rsidR="000C1936">
        <w:t>:</w:t>
      </w:r>
      <w:r w:rsidR="000C1936">
        <w:tab/>
      </w:r>
      <w:r w:rsidR="000C1936">
        <w:tab/>
      </w:r>
      <w:r w:rsidR="000C1936">
        <w:tab/>
      </w:r>
      <w:r>
        <w:t xml:space="preserve"> </w:t>
      </w:r>
      <w:r w:rsidR="00D40953">
        <w:tab/>
      </w:r>
      <w:r w:rsidR="000D5B64">
        <w:t>13.6</w:t>
      </w:r>
      <w:r w:rsidR="00605481">
        <w:t>ha</w:t>
      </w:r>
    </w:p>
    <w:p w:rsidR="00E33354" w:rsidRDefault="00E33354" w:rsidP="00C428A0">
      <w:pPr>
        <w:pStyle w:val="Bullet"/>
      </w:pPr>
      <w:r>
        <w:t>Mooroopna Processing Plant</w:t>
      </w:r>
      <w:r w:rsidR="000C1936">
        <w:t>:</w:t>
      </w:r>
      <w:r w:rsidR="00970BAE">
        <w:tab/>
      </w:r>
      <w:r w:rsidR="00970BAE">
        <w:tab/>
      </w:r>
      <w:r w:rsidR="00970BAE">
        <w:tab/>
      </w:r>
      <w:r w:rsidR="000C1936">
        <w:tab/>
      </w:r>
      <w:r w:rsidR="00D40953">
        <w:tab/>
      </w:r>
      <w:r w:rsidR="000D5B64">
        <w:t>12.8</w:t>
      </w:r>
      <w:r w:rsidR="00605481">
        <w:t>ha</w:t>
      </w:r>
    </w:p>
    <w:p w:rsidR="00C428A0" w:rsidRDefault="00C428A0" w:rsidP="00C428A0">
      <w:pPr>
        <w:pStyle w:val="Bullet"/>
      </w:pPr>
      <w:r>
        <w:t>Kyabram Processing Plant</w:t>
      </w:r>
      <w:r w:rsidR="00C73347">
        <w:t xml:space="preserve"> (Shire of Campaspe)</w:t>
      </w:r>
      <w:r w:rsidR="000C1936">
        <w:t>:</w:t>
      </w:r>
      <w:r w:rsidR="000C1936">
        <w:tab/>
      </w:r>
      <w:r w:rsidR="000C1936">
        <w:tab/>
      </w:r>
      <w:r w:rsidR="00D40953">
        <w:tab/>
      </w:r>
      <w:r>
        <w:t>8</w:t>
      </w:r>
      <w:r w:rsidR="000C1936">
        <w:t>.0</w:t>
      </w:r>
      <w:r>
        <w:t>ha</w:t>
      </w:r>
    </w:p>
    <w:p w:rsidR="000C1936" w:rsidRDefault="000C1936" w:rsidP="00C428A0">
      <w:pPr>
        <w:pStyle w:val="Bullet"/>
      </w:pPr>
      <w:r w:rsidRPr="00D40953">
        <w:rPr>
          <w:b/>
        </w:rPr>
        <w:t>Total SPCA Land:</w:t>
      </w:r>
      <w:r w:rsidRPr="00D40953">
        <w:rPr>
          <w:b/>
        </w:rPr>
        <w:tab/>
      </w:r>
      <w:r w:rsidRPr="00D40953">
        <w:rPr>
          <w:b/>
        </w:rPr>
        <w:tab/>
      </w:r>
      <w:r w:rsidRPr="00D40953">
        <w:rPr>
          <w:b/>
        </w:rPr>
        <w:tab/>
      </w:r>
      <w:r w:rsidRPr="00D40953">
        <w:rPr>
          <w:b/>
        </w:rPr>
        <w:tab/>
      </w:r>
      <w:r w:rsidRPr="00D40953">
        <w:rPr>
          <w:b/>
        </w:rPr>
        <w:tab/>
      </w:r>
      <w:r>
        <w:tab/>
      </w:r>
      <w:r w:rsidR="00D40953">
        <w:tab/>
      </w:r>
      <w:r w:rsidRPr="00D40953">
        <w:rPr>
          <w:b/>
          <w:u w:val="single"/>
        </w:rPr>
        <w:t>44.0ha</w:t>
      </w:r>
      <w:r>
        <w:t xml:space="preserve"> </w:t>
      </w:r>
    </w:p>
    <w:p w:rsidR="00605481" w:rsidRDefault="00605481" w:rsidP="00605481">
      <w:r>
        <w:t>The withdrawal of SPCA from the GV Region, and the vacating of existing sites, would lead to a significant increase in vacant industrial</w:t>
      </w:r>
      <w:r w:rsidR="000C1936">
        <w:t>,</w:t>
      </w:r>
      <w:r>
        <w:t xml:space="preserve"> particularly in the Greater Shepparton municipality.  </w:t>
      </w:r>
      <w:r w:rsidR="000C1936">
        <w:t>This would not be an ideal outcome f</w:t>
      </w:r>
      <w:r>
        <w:t xml:space="preserve">rom a commercial property perspective as it would create an ‘over supply’ of </w:t>
      </w:r>
      <w:r w:rsidR="000C1936">
        <w:t xml:space="preserve">vacant </w:t>
      </w:r>
      <w:r>
        <w:t xml:space="preserve">industrial land on the market. </w:t>
      </w:r>
    </w:p>
    <w:p w:rsidR="00C41932" w:rsidRDefault="00C41932" w:rsidP="00C41932">
      <w:r>
        <w:t>Greater Shepparton had a supply of 188ha of available industrial land in 2011, a</w:t>
      </w:r>
      <w:r w:rsidRPr="00755038">
        <w:t>ccording to the Urban Development Program (</w:t>
      </w:r>
      <w:r>
        <w:t xml:space="preserve">DPCD </w:t>
      </w:r>
      <w:r w:rsidRPr="00755038">
        <w:t xml:space="preserve">– </w:t>
      </w:r>
      <w:r w:rsidRPr="00D40953">
        <w:rPr>
          <w:i/>
        </w:rPr>
        <w:t>Regional Industrial Report</w:t>
      </w:r>
      <w:r w:rsidRPr="00755038">
        <w:t>, City of Greater Shepparton</w:t>
      </w:r>
      <w:r>
        <w:t>, September 2012</w:t>
      </w:r>
      <w:r w:rsidRPr="00755038">
        <w:t>)</w:t>
      </w:r>
      <w:r>
        <w:t xml:space="preserve">. </w:t>
      </w:r>
      <w:r w:rsidRPr="00755038">
        <w:t xml:space="preserve">This quantum of </w:t>
      </w:r>
      <w:r>
        <w:t xml:space="preserve">available </w:t>
      </w:r>
      <w:r w:rsidRPr="00755038">
        <w:t xml:space="preserve">industrial supply relative to </w:t>
      </w:r>
      <w:r>
        <w:t xml:space="preserve">total </w:t>
      </w:r>
      <w:r w:rsidRPr="00755038">
        <w:t>industrial land equates to a total vacancy rate of 32%</w:t>
      </w:r>
      <w:r>
        <w:t xml:space="preserve">, and this </w:t>
      </w:r>
      <w:r w:rsidRPr="00755038">
        <w:t xml:space="preserve">is considered sufficient to promote a competitive land supply market. </w:t>
      </w:r>
      <w:r w:rsidR="00220BE9">
        <w:t>An increase of 36ha of vacant land (associated with the SPC</w:t>
      </w:r>
      <w:r w:rsidR="000877F4">
        <w:t>A</w:t>
      </w:r>
      <w:r w:rsidR="00220BE9">
        <w:t xml:space="preserve"> sites) would push Greater Shepparton’s vacancy rate beyond 40%.</w:t>
      </w:r>
    </w:p>
    <w:p w:rsidR="00C41932" w:rsidRDefault="00220BE9" w:rsidP="00C41932">
      <w:r>
        <w:t xml:space="preserve">Importantly, a </w:t>
      </w:r>
      <w:r w:rsidR="00C41932">
        <w:t xml:space="preserve">large area of land </w:t>
      </w:r>
      <w:r>
        <w:t xml:space="preserve">has also been identified by Council </w:t>
      </w:r>
      <w:r w:rsidR="00C41932">
        <w:t xml:space="preserve">in Shepparton North for the purposed of providing </w:t>
      </w:r>
      <w:r>
        <w:t xml:space="preserve">a new </w:t>
      </w:r>
      <w:r w:rsidR="00C41932">
        <w:t xml:space="preserve">industrial </w:t>
      </w:r>
      <w:r>
        <w:t>precinct</w:t>
      </w:r>
      <w:r w:rsidR="00C41932">
        <w:t>, while approximately 170ha of developable industrial land is likely to become available at Shepparton’s proposed intermodal freight terminal (GV Link)</w:t>
      </w:r>
      <w:r>
        <w:t>, in Mooroopna.</w:t>
      </w:r>
      <w:r w:rsidR="00C41932">
        <w:t xml:space="preserve">  </w:t>
      </w:r>
    </w:p>
    <w:p w:rsidR="00C41932" w:rsidRDefault="00C41932" w:rsidP="00C41932">
      <w:r>
        <w:t>In a strategic planning sense</w:t>
      </w:r>
      <w:r w:rsidR="003B1AB3">
        <w:t>,</w:t>
      </w:r>
      <w:r>
        <w:t xml:space="preserve"> the development of the Shepparton North and GV Link industrial areas are important</w:t>
      </w:r>
      <w:r w:rsidR="003B1AB3">
        <w:t xml:space="preserve"> to Council</w:t>
      </w:r>
      <w:r w:rsidR="000C1936">
        <w:t>;</w:t>
      </w:r>
      <w:r>
        <w:t xml:space="preserve"> however, the potential availability of significant industrial land stocks in </w:t>
      </w:r>
      <w:r w:rsidR="000C1936">
        <w:t xml:space="preserve">well-located and </w:t>
      </w:r>
      <w:r>
        <w:t xml:space="preserve">established industrial nodes </w:t>
      </w:r>
      <w:r w:rsidR="00220BE9">
        <w:t xml:space="preserve">(especially in a market with a large volume of existing vacant land stocks) </w:t>
      </w:r>
      <w:r w:rsidR="000C1936">
        <w:t xml:space="preserve">could minimise </w:t>
      </w:r>
      <w:r>
        <w:t>demand for land at these new developments</w:t>
      </w:r>
      <w:r w:rsidR="003B1AB3">
        <w:t xml:space="preserve"> and also impact </w:t>
      </w:r>
      <w:r w:rsidR="000C1936">
        <w:t xml:space="preserve">adversely </w:t>
      </w:r>
      <w:r w:rsidR="003B1AB3">
        <w:t>on industrial property values.</w:t>
      </w:r>
    </w:p>
    <w:p w:rsidR="00605481" w:rsidRDefault="00605481" w:rsidP="00605481">
      <w:pPr>
        <w:pStyle w:val="Heading2"/>
      </w:pPr>
      <w:bookmarkStart w:id="19" w:name="_Toc358806206"/>
      <w:r>
        <w:lastRenderedPageBreak/>
        <w:t>Impacts on Council and Revenue and Community Contributions</w:t>
      </w:r>
      <w:bookmarkEnd w:id="19"/>
    </w:p>
    <w:p w:rsidR="00605481" w:rsidRDefault="00605481" w:rsidP="000D5B64">
      <w:pPr>
        <w:pStyle w:val="Heading4"/>
      </w:pPr>
      <w:r>
        <w:t>Rates Revenue</w:t>
      </w:r>
    </w:p>
    <w:p w:rsidR="000D5B64" w:rsidRDefault="00CE5437" w:rsidP="00605481">
      <w:r>
        <w:t xml:space="preserve">In 2011/12 </w:t>
      </w:r>
      <w:r w:rsidR="00605481">
        <w:t>SPCA contribute</w:t>
      </w:r>
      <w:r>
        <w:t>d</w:t>
      </w:r>
      <w:r w:rsidR="00605481">
        <w:t xml:space="preserve"> </w:t>
      </w:r>
      <w:r w:rsidR="00050687">
        <w:t>$700,000</w:t>
      </w:r>
      <w:r w:rsidR="003B1AB3">
        <w:t xml:space="preserve"> </w:t>
      </w:r>
      <w:r w:rsidR="00605481">
        <w:t xml:space="preserve">in rates </w:t>
      </w:r>
      <w:r w:rsidR="003B1AB3">
        <w:t xml:space="preserve">revenue </w:t>
      </w:r>
      <w:r w:rsidR="00605481">
        <w:t>to Greater Shepparton City Council</w:t>
      </w:r>
      <w:r w:rsidR="00050687">
        <w:t xml:space="preserve"> for its various sites</w:t>
      </w:r>
      <w:r>
        <w:t xml:space="preserve">. This represents </w:t>
      </w:r>
      <w:r w:rsidR="00050687">
        <w:t>approximately 15%</w:t>
      </w:r>
      <w:r>
        <w:t xml:space="preserve"> of Greater Shepparton’s </w:t>
      </w:r>
      <w:r w:rsidR="000D5B64">
        <w:t xml:space="preserve">industrial </w:t>
      </w:r>
      <w:r>
        <w:t>rates base for that year</w:t>
      </w:r>
      <w:r w:rsidR="000D5B64">
        <w:t xml:space="preserve"> ($5,111,167) or</w:t>
      </w:r>
      <w:r w:rsidR="00050687">
        <w:t xml:space="preserve"> 1.3</w:t>
      </w:r>
      <w:r w:rsidR="000D5B64">
        <w:t>% of Council</w:t>
      </w:r>
      <w:r w:rsidR="000C1936">
        <w:t>’</w:t>
      </w:r>
      <w:r w:rsidR="000D5B64">
        <w:t xml:space="preserve">s </w:t>
      </w:r>
      <w:r w:rsidR="00050687">
        <w:t xml:space="preserve">overall </w:t>
      </w:r>
      <w:r w:rsidR="000D5B64">
        <w:t>rates base of $54.1 million.</w:t>
      </w:r>
      <w:r>
        <w:t xml:space="preserve"> </w:t>
      </w:r>
      <w:r w:rsidR="003B1AB3">
        <w:t>Rates revenue payable to other municipalities (</w:t>
      </w:r>
      <w:proofErr w:type="spellStart"/>
      <w:r w:rsidR="003B1AB3">
        <w:t>eg</w:t>
      </w:r>
      <w:proofErr w:type="spellEnd"/>
      <w:r w:rsidR="003B1AB3">
        <w:t xml:space="preserve"> Shire of Campaspe in relation to the Kyabram site) by SPCA has not been included in this analysis.</w:t>
      </w:r>
    </w:p>
    <w:p w:rsidR="00605481" w:rsidRDefault="00C41FF2" w:rsidP="00605481">
      <w:r>
        <w:t>I</w:t>
      </w:r>
      <w:r w:rsidR="00CE5437">
        <w:t xml:space="preserve">t is recognised that new operators </w:t>
      </w:r>
      <w:r w:rsidR="000D5B64">
        <w:t>occupying</w:t>
      </w:r>
      <w:r w:rsidR="00CE5437">
        <w:t xml:space="preserve"> vacated </w:t>
      </w:r>
      <w:r w:rsidR="003B1AB3">
        <w:t xml:space="preserve">SPCA </w:t>
      </w:r>
      <w:r w:rsidR="00CE5437">
        <w:t xml:space="preserve">land would replace some of this </w:t>
      </w:r>
      <w:r w:rsidR="00C41B2A">
        <w:t xml:space="preserve">shortfall in </w:t>
      </w:r>
      <w:r w:rsidR="003B1AB3">
        <w:t xml:space="preserve">industrial rates </w:t>
      </w:r>
      <w:r w:rsidR="00CE5437">
        <w:t>over time.</w:t>
      </w:r>
    </w:p>
    <w:p w:rsidR="00936BEB" w:rsidRPr="00605481" w:rsidRDefault="00936BEB" w:rsidP="00936BEB">
      <w:pPr>
        <w:pStyle w:val="Heading4"/>
      </w:pPr>
      <w:r>
        <w:t>Community Support</w:t>
      </w:r>
    </w:p>
    <w:p w:rsidR="00605481" w:rsidRDefault="00936BEB" w:rsidP="00936BEB">
      <w:r w:rsidRPr="00936BEB">
        <w:t>SPCA</w:t>
      </w:r>
      <w:r>
        <w:t xml:space="preserve"> </w:t>
      </w:r>
      <w:r w:rsidRPr="00936BEB">
        <w:t xml:space="preserve">is the </w:t>
      </w:r>
      <w:r w:rsidR="00C41B2A">
        <w:t xml:space="preserve">largest </w:t>
      </w:r>
      <w:r w:rsidRPr="00936BEB">
        <w:t>donor to the United Way Goulburn Valley Community Fund which raises funds locally, to distribute locally. In 2010/2011, SPC Ardmona’s Workplace Giving Program included 275 employees who donated a total of $20,7</w:t>
      </w:r>
      <w:r>
        <w:t>70</w:t>
      </w:r>
      <w:r w:rsidRPr="00936BEB">
        <w:t xml:space="preserve"> </w:t>
      </w:r>
      <w:r w:rsidR="00C41B2A">
        <w:t xml:space="preserve">and this </w:t>
      </w:r>
      <w:r w:rsidRPr="00936BEB">
        <w:t>was supported by SPC Ardmona with a $15,000</w:t>
      </w:r>
      <w:r>
        <w:t xml:space="preserve"> </w:t>
      </w:r>
      <w:r w:rsidRPr="00936BEB">
        <w:t>community investment donation</w:t>
      </w:r>
      <w:r>
        <w:t xml:space="preserve"> (approximately $36,000 in total).</w:t>
      </w:r>
      <w:r w:rsidR="00C41B2A">
        <w:t xml:space="preserve"> </w:t>
      </w:r>
      <w:r w:rsidRPr="00936BEB">
        <w:t>United Way GV raises money and distributes the funds to local charities and health and care organisations.  All money raised stays in the region</w:t>
      </w:r>
      <w:r w:rsidR="00C41B2A">
        <w:t>,</w:t>
      </w:r>
      <w:r w:rsidRPr="00936BEB">
        <w:t xml:space="preserve"> and since 2001 more than $2.5 million has been distributed to over 100 local charities.</w:t>
      </w:r>
    </w:p>
    <w:p w:rsidR="00936BEB" w:rsidRDefault="00936BEB" w:rsidP="00936BEB">
      <w:r w:rsidRPr="00936BEB">
        <w:t xml:space="preserve">SPC Ardmona partnered with United Way Goulburn Valley to start a local breakfast program for thousands of </w:t>
      </w:r>
      <w:r w:rsidR="003B1AB3">
        <w:t xml:space="preserve">regional </w:t>
      </w:r>
      <w:r w:rsidRPr="00936BEB">
        <w:t xml:space="preserve">school children. The local school community sought </w:t>
      </w:r>
      <w:r w:rsidR="00C41B2A">
        <w:t xml:space="preserve">assistance in </w:t>
      </w:r>
      <w:r w:rsidRPr="00936BEB">
        <w:t>address</w:t>
      </w:r>
      <w:r w:rsidR="00C41B2A">
        <w:t>ing</w:t>
      </w:r>
      <w:r w:rsidRPr="00936BEB">
        <w:t xml:space="preserve"> the issue of students arriving on an empty stomach</w:t>
      </w:r>
      <w:r w:rsidR="00FD6C3D">
        <w:t>,</w:t>
      </w:r>
      <w:r w:rsidRPr="00936BEB">
        <w:t xml:space="preserve"> and </w:t>
      </w:r>
      <w:r w:rsidR="00FD6C3D">
        <w:t xml:space="preserve">the community was </w:t>
      </w:r>
      <w:r w:rsidRPr="00936BEB">
        <w:t>struggling to keep up with the demand for foo</w:t>
      </w:r>
      <w:r w:rsidR="004B4999">
        <w:t>d</w:t>
      </w:r>
      <w:r w:rsidRPr="00936BEB">
        <w:t xml:space="preserve">.  </w:t>
      </w:r>
      <w:r w:rsidR="00FD6C3D">
        <w:t>SPC Ardmona, a</w:t>
      </w:r>
      <w:r w:rsidRPr="00936BEB">
        <w:t xml:space="preserve">s a sponsor of the new annual breakfast program for schools in Shepparton and Mooroopna, provides ten primary and secondary schools with </w:t>
      </w:r>
      <w:r w:rsidR="004B4999">
        <w:t>supplies of</w:t>
      </w:r>
      <w:r w:rsidRPr="00936BEB">
        <w:t xml:space="preserve"> juice, jams, muesli bars, baked beans and spaghetti, </w:t>
      </w:r>
      <w:r w:rsidR="004B4999">
        <w:t>to assi</w:t>
      </w:r>
      <w:r w:rsidRPr="00936BEB">
        <w:t>s</w:t>
      </w:r>
      <w:r w:rsidR="004B4999">
        <w:t xml:space="preserve">t students </w:t>
      </w:r>
      <w:r w:rsidRPr="00936BEB">
        <w:t>start the day with a healthy, nutritious breakfast.</w:t>
      </w:r>
    </w:p>
    <w:p w:rsidR="004B4999" w:rsidRDefault="004B4999" w:rsidP="00936BEB">
      <w:proofErr w:type="spellStart"/>
      <w:r w:rsidRPr="004B4999">
        <w:t>Kidstow</w:t>
      </w:r>
      <w:r>
        <w:t>n</w:t>
      </w:r>
      <w:proofErr w:type="spellEnd"/>
      <w:r w:rsidRPr="004B4999">
        <w:t xml:space="preserve"> Adventure Playground is an innovative and fun community project located in the bushland between Shepparton and Mooroopna.  </w:t>
      </w:r>
      <w:r w:rsidR="00FD6C3D">
        <w:t xml:space="preserve">The project </w:t>
      </w:r>
      <w:r w:rsidRPr="004B4999">
        <w:t>relies on the support, donations and voluntary work of many local businesses, service clubs and individuals</w:t>
      </w:r>
      <w:r>
        <w:t>.</w:t>
      </w:r>
      <w:r w:rsidRPr="004B4999">
        <w:t xml:space="preserve"> SPC Ardmona </w:t>
      </w:r>
      <w:r>
        <w:t xml:space="preserve">has supported the initiative over the past 12 years </w:t>
      </w:r>
      <w:r w:rsidRPr="004B4999">
        <w:t>with approximately $350,000 donated over th</w:t>
      </w:r>
      <w:r>
        <w:t>is period</w:t>
      </w:r>
      <w:r w:rsidR="00D24504">
        <w:t xml:space="preserve"> (or an average of $29,000pa)</w:t>
      </w:r>
      <w:r>
        <w:t>.</w:t>
      </w:r>
    </w:p>
    <w:p w:rsidR="004B4999" w:rsidRDefault="004B4999" w:rsidP="00936BEB">
      <w:r w:rsidRPr="004B4999">
        <w:t xml:space="preserve">SPC Ardmona’s employees </w:t>
      </w:r>
      <w:r w:rsidR="00FD6C3D">
        <w:t xml:space="preserve">assist </w:t>
      </w:r>
      <w:r w:rsidRPr="004B4999">
        <w:t>Meals on Wheels by volunteering their time (during business hours), on the every second Tuesday of the month, to deliver meals to Goulburn Valley residents.</w:t>
      </w:r>
    </w:p>
    <w:p w:rsidR="004B4999" w:rsidRPr="00605481" w:rsidRDefault="004B4999" w:rsidP="00936BEB">
      <w:r>
        <w:t xml:space="preserve">In addition to these regional initiatives, SPCA also </w:t>
      </w:r>
      <w:r w:rsidR="00841DB5">
        <w:t>provides</w:t>
      </w:r>
      <w:r>
        <w:t xml:space="preserve"> donations to statewide programs such as the Murdoch Children’s Research Institute, </w:t>
      </w:r>
      <w:proofErr w:type="spellStart"/>
      <w:r w:rsidRPr="004B4999">
        <w:t>Avner</w:t>
      </w:r>
      <w:proofErr w:type="spellEnd"/>
      <w:r w:rsidRPr="004B4999">
        <w:t xml:space="preserve"> </w:t>
      </w:r>
      <w:proofErr w:type="spellStart"/>
      <w:r w:rsidRPr="004B4999">
        <w:t>Nahmani</w:t>
      </w:r>
      <w:proofErr w:type="spellEnd"/>
      <w:r w:rsidRPr="004B4999">
        <w:t xml:space="preserve"> Pancreatic Cancer Foundation</w:t>
      </w:r>
      <w:r w:rsidR="00FD6C3D">
        <w:t>,</w:t>
      </w:r>
      <w:r w:rsidRPr="004B4999">
        <w:t xml:space="preserve"> and </w:t>
      </w:r>
      <w:proofErr w:type="spellStart"/>
      <w:r w:rsidRPr="004B4999">
        <w:t>Foodbank</w:t>
      </w:r>
      <w:proofErr w:type="spellEnd"/>
      <w:r w:rsidRPr="004B4999">
        <w:t>.</w:t>
      </w:r>
    </w:p>
    <w:p w:rsidR="00BC4468" w:rsidRDefault="00BC4468" w:rsidP="00BC4468">
      <w:pPr>
        <w:pStyle w:val="Heading2"/>
      </w:pPr>
      <w:bookmarkStart w:id="20" w:name="_Toc358806207"/>
      <w:r>
        <w:lastRenderedPageBreak/>
        <w:t>Conclusions</w:t>
      </w:r>
      <w:bookmarkEnd w:id="20"/>
    </w:p>
    <w:p w:rsidR="00461AE1" w:rsidRPr="00461AE1" w:rsidRDefault="003217F9" w:rsidP="00461AE1">
      <w:r>
        <w:t xml:space="preserve">The main economic impacts arising </w:t>
      </w:r>
      <w:r w:rsidR="00FD6C3D">
        <w:t xml:space="preserve">should </w:t>
      </w:r>
      <w:r>
        <w:t>SPCA to cease operations in the GV Region are</w:t>
      </w:r>
      <w:r w:rsidR="00FD6C3D">
        <w:t xml:space="preserve"> as follows</w:t>
      </w:r>
      <w:r>
        <w:t>:</w:t>
      </w:r>
    </w:p>
    <w:p w:rsidR="003217F9" w:rsidRPr="003217F9" w:rsidRDefault="003217F9" w:rsidP="003217F9">
      <w:pPr>
        <w:pStyle w:val="Bullet"/>
      </w:pPr>
      <w:r w:rsidRPr="003217F9">
        <w:t xml:space="preserve">Job losses </w:t>
      </w:r>
      <w:r w:rsidR="00FD6C3D">
        <w:t xml:space="preserve">would involve </w:t>
      </w:r>
      <w:r w:rsidRPr="003217F9">
        <w:t>1,</w:t>
      </w:r>
      <w:r w:rsidR="00C73347">
        <w:t>000</w:t>
      </w:r>
      <w:r w:rsidRPr="003217F9">
        <w:t xml:space="preserve"> Full Time Equivalent (FTE) positions </w:t>
      </w:r>
      <w:r w:rsidR="00C73347">
        <w:t xml:space="preserve">(direct and flow-on) </w:t>
      </w:r>
      <w:r w:rsidRPr="003217F9">
        <w:t xml:space="preserve">and </w:t>
      </w:r>
      <w:r w:rsidR="00C73347">
        <w:t xml:space="preserve">1,050 </w:t>
      </w:r>
      <w:r w:rsidRPr="003217F9">
        <w:t>casual seasonal positions, with over 550 business directly affected.</w:t>
      </w:r>
    </w:p>
    <w:p w:rsidR="003217F9" w:rsidRPr="003217F9" w:rsidRDefault="003217F9" w:rsidP="003217F9">
      <w:pPr>
        <w:pStyle w:val="Bullet"/>
      </w:pPr>
      <w:r>
        <w:t>Significant i</w:t>
      </w:r>
      <w:r w:rsidRPr="003217F9">
        <w:t xml:space="preserve">ncrease in the unemployment rates for Greater Shepparton and the GV region from </w:t>
      </w:r>
      <w:r>
        <w:t>their already very high levels</w:t>
      </w:r>
      <w:r w:rsidR="00FD6C3D">
        <w:t xml:space="preserve"> compared with the State and metropolitan averages</w:t>
      </w:r>
      <w:r>
        <w:t>.</w:t>
      </w:r>
    </w:p>
    <w:p w:rsidR="003217F9" w:rsidRPr="003217F9" w:rsidRDefault="003217F9" w:rsidP="003217F9">
      <w:pPr>
        <w:pStyle w:val="Bullet"/>
      </w:pPr>
      <w:r w:rsidRPr="003217F9">
        <w:t>Reduction in industry training opportunities</w:t>
      </w:r>
      <w:r w:rsidR="003B1AB3">
        <w:t>.</w:t>
      </w:r>
    </w:p>
    <w:p w:rsidR="003217F9" w:rsidRPr="003217F9" w:rsidRDefault="003217F9" w:rsidP="003217F9">
      <w:pPr>
        <w:pStyle w:val="Bullet"/>
      </w:pPr>
      <w:r w:rsidRPr="003217F9">
        <w:t>Reduction in regional economic output of $165 million pa</w:t>
      </w:r>
      <w:r>
        <w:t xml:space="preserve"> (or 5% of regional GSP)</w:t>
      </w:r>
      <w:r w:rsidR="00FD6C3D">
        <w:t>.</w:t>
      </w:r>
      <w:r w:rsidRPr="003217F9">
        <w:t xml:space="preserve"> </w:t>
      </w:r>
    </w:p>
    <w:p w:rsidR="003217F9" w:rsidRPr="003217F9" w:rsidRDefault="003217F9" w:rsidP="003217F9">
      <w:pPr>
        <w:pStyle w:val="Bullet"/>
      </w:pPr>
      <w:r w:rsidRPr="003217F9">
        <w:t xml:space="preserve">Reduced viability for proposed major infrastructure projects </w:t>
      </w:r>
      <w:r>
        <w:t xml:space="preserve">(such as </w:t>
      </w:r>
      <w:r w:rsidRPr="003217F9">
        <w:t>Shepparton Bypass and GV Link Freight Node</w:t>
      </w:r>
      <w:r>
        <w:t>) due to a reduced regional freight task.</w:t>
      </w:r>
    </w:p>
    <w:p w:rsidR="003217F9" w:rsidRPr="003217F9" w:rsidRDefault="003217F9" w:rsidP="003217F9">
      <w:pPr>
        <w:pStyle w:val="Bullet"/>
      </w:pPr>
      <w:r>
        <w:t>Reduction in ongoing building i</w:t>
      </w:r>
      <w:r w:rsidRPr="003217F9">
        <w:t xml:space="preserve">nvestment </w:t>
      </w:r>
      <w:r>
        <w:t xml:space="preserve">in the GV Region, </w:t>
      </w:r>
      <w:r w:rsidRPr="003217F9">
        <w:t xml:space="preserve">noting SPCA has invested significantly in </w:t>
      </w:r>
      <w:r>
        <w:t>many sites over the years</w:t>
      </w:r>
      <w:r w:rsidR="00FD6C3D">
        <w:t>,</w:t>
      </w:r>
      <w:r>
        <w:t xml:space="preserve"> providing construction</w:t>
      </w:r>
      <w:r w:rsidR="00FD6C3D">
        <w:t>-</w:t>
      </w:r>
      <w:r>
        <w:t>related opportunities to local businesses and workers.</w:t>
      </w:r>
    </w:p>
    <w:p w:rsidR="003217F9" w:rsidRPr="003217F9" w:rsidRDefault="003217F9" w:rsidP="003217F9">
      <w:pPr>
        <w:pStyle w:val="Bullet"/>
      </w:pPr>
      <w:r w:rsidRPr="003217F9">
        <w:t xml:space="preserve">Reduced Council rates revenue of $700,000 </w:t>
      </w:r>
      <w:proofErr w:type="spellStart"/>
      <w:r w:rsidRPr="003217F9">
        <w:t>pa</w:t>
      </w:r>
      <w:proofErr w:type="spellEnd"/>
      <w:r>
        <w:t xml:space="preserve"> and </w:t>
      </w:r>
      <w:proofErr w:type="spellStart"/>
      <w:r>
        <w:t>SPCA</w:t>
      </w:r>
      <w:proofErr w:type="spellEnd"/>
      <w:r>
        <w:t xml:space="preserve"> </w:t>
      </w:r>
      <w:r w:rsidRPr="003217F9">
        <w:t>community donations of $65,000 pa.</w:t>
      </w:r>
    </w:p>
    <w:p w:rsidR="00616313" w:rsidRPr="00616313" w:rsidRDefault="003217F9" w:rsidP="00616313">
      <w:pPr>
        <w:pStyle w:val="Bullet"/>
      </w:pPr>
      <w:r>
        <w:t>Significant i</w:t>
      </w:r>
      <w:r w:rsidRPr="003217F9">
        <w:t xml:space="preserve">ncrease in vacant industrial land supplies </w:t>
      </w:r>
      <w:r>
        <w:t>in Greater Shepparton</w:t>
      </w:r>
      <w:r w:rsidR="00FD6C3D">
        <w:t>,</w:t>
      </w:r>
      <w:r>
        <w:t xml:space="preserve"> creating a considerable surplus of land which </w:t>
      </w:r>
      <w:r w:rsidR="00FD6C3D">
        <w:t xml:space="preserve">could </w:t>
      </w:r>
      <w:r>
        <w:t xml:space="preserve">impact </w:t>
      </w:r>
      <w:r w:rsidR="00FD6C3D">
        <w:t xml:space="preserve">adversely </w:t>
      </w:r>
      <w:r>
        <w:t>on Council’s long-term strategic planning for new industrial nodes</w:t>
      </w:r>
      <w:r w:rsidR="00FD6C3D">
        <w:t xml:space="preserve"> (where supply would likely be significantly greater than demand) and adversely affecting industrial land prices</w:t>
      </w:r>
      <w:r>
        <w:t>.</w:t>
      </w:r>
    </w:p>
    <w:p w:rsidR="00F86090" w:rsidRDefault="00F86090" w:rsidP="00F86090">
      <w:pPr>
        <w:pStyle w:val="Heading1"/>
      </w:pPr>
      <w:bookmarkStart w:id="21" w:name="_Toc358806208"/>
      <w:r>
        <w:lastRenderedPageBreak/>
        <w:t>Key Findings</w:t>
      </w:r>
      <w:bookmarkEnd w:id="21"/>
    </w:p>
    <w:p w:rsidR="00461AE1" w:rsidRDefault="00461AE1" w:rsidP="00461AE1">
      <w:pPr>
        <w:pStyle w:val="Heading4"/>
      </w:pPr>
      <w:r>
        <w:t>Background</w:t>
      </w:r>
    </w:p>
    <w:p w:rsidR="00461AE1" w:rsidRDefault="00461AE1" w:rsidP="00461AE1">
      <w:pPr>
        <w:pStyle w:val="ListNumber"/>
      </w:pPr>
      <w:r>
        <w:t xml:space="preserve">SPCA is one of Greater Shepparton’s largest and most established operators and an important presence in Victoria’s Food Bowl. The company continues to play a vital role in the Goulburn Valley economy through direct employment at its sites, significant production of major food brands, its many supply contracts to fruit growers and other businesses, and sunk investment in its facilities </w:t>
      </w:r>
      <w:r w:rsidR="000877F4">
        <w:t>across the</w:t>
      </w:r>
      <w:r>
        <w:t xml:space="preserve"> region.   </w:t>
      </w:r>
    </w:p>
    <w:p w:rsidR="00461AE1" w:rsidRPr="00EF2DC0" w:rsidRDefault="00461AE1" w:rsidP="00461AE1">
      <w:pPr>
        <w:pStyle w:val="Heading4"/>
      </w:pPr>
      <w:r>
        <w:t>Existing Operations and Challenges</w:t>
      </w:r>
    </w:p>
    <w:p w:rsidR="00461AE1" w:rsidRDefault="00461AE1" w:rsidP="00461AE1">
      <w:pPr>
        <w:pStyle w:val="ListNumber"/>
      </w:pPr>
      <w:r>
        <w:t>While SPCA remains a strong manufacturing presence in the GV Region, the scale of operations has been reduced significantly over recent year</w:t>
      </w:r>
      <w:r w:rsidR="00FD6C3D">
        <w:t>s</w:t>
      </w:r>
      <w:r>
        <w:t xml:space="preserve">. </w:t>
      </w:r>
    </w:p>
    <w:p w:rsidR="00461AE1" w:rsidRDefault="00461AE1" w:rsidP="00461AE1">
      <w:pPr>
        <w:pStyle w:val="ListNumber"/>
      </w:pPr>
      <w:r>
        <w:t>Key factors behind this contraction include drought, the strong and sustained appreciation of the Australian dollar, increased imports of cheaper product (especially by major supermarket chains)</w:t>
      </w:r>
      <w:r w:rsidR="00FD6C3D">
        <w:t>,</w:t>
      </w:r>
      <w:r>
        <w:t xml:space="preserve"> and a loss of export market share. </w:t>
      </w:r>
    </w:p>
    <w:p w:rsidR="00461AE1" w:rsidRDefault="00461AE1" w:rsidP="00461AE1">
      <w:pPr>
        <w:pStyle w:val="ListNumber"/>
      </w:pPr>
      <w:r>
        <w:t>Due to these challenging commercial conditions, SPCA has incurred significant stock write</w:t>
      </w:r>
      <w:r w:rsidR="00FD6C3D">
        <w:t>-</w:t>
      </w:r>
      <w:r>
        <w:t xml:space="preserve">offs in recent years and has responded to falling demand levels by </w:t>
      </w:r>
      <w:r w:rsidR="00970BAE">
        <w:t xml:space="preserve">downgrading </w:t>
      </w:r>
      <w:r>
        <w:t>one of its major processing plants (Mooroopna) and significantly reducing its fruit intake levels from regional fruit growers.</w:t>
      </w:r>
    </w:p>
    <w:p w:rsidR="00461AE1" w:rsidRDefault="00461AE1" w:rsidP="00461AE1">
      <w:pPr>
        <w:pStyle w:val="Heading4"/>
      </w:pPr>
      <w:r>
        <w:t>Economic Impacts</w:t>
      </w:r>
    </w:p>
    <w:p w:rsidR="00F038C5" w:rsidRDefault="00F038C5" w:rsidP="00461AE1">
      <w:pPr>
        <w:pStyle w:val="ListNumber"/>
      </w:pPr>
      <w:r>
        <w:t>If SPCA was to withdraw from Greater Shepparton (and the surrounding region), the following economic impacts are estimated:</w:t>
      </w:r>
    </w:p>
    <w:p w:rsidR="00F038C5" w:rsidRDefault="00F038C5" w:rsidP="00AC2BA4">
      <w:pPr>
        <w:pStyle w:val="ListNumber"/>
        <w:numPr>
          <w:ilvl w:val="0"/>
          <w:numId w:val="6"/>
        </w:numPr>
        <w:ind w:left="1134"/>
      </w:pPr>
      <w:r w:rsidRPr="00F038C5">
        <w:rPr>
          <w:u w:val="single"/>
        </w:rPr>
        <w:t>Job losses</w:t>
      </w:r>
      <w:r>
        <w:t xml:space="preserve"> of 1,</w:t>
      </w:r>
      <w:r w:rsidR="00C73347">
        <w:t>00</w:t>
      </w:r>
      <w:r>
        <w:t xml:space="preserve">0 Full Time Equivalent (FTE) positions, including </w:t>
      </w:r>
      <w:r w:rsidR="00C73347">
        <w:t>360</w:t>
      </w:r>
      <w:r>
        <w:t xml:space="preserve"> FTE jobs at SPCA facilities and 640 FTE jobs in supporting sectors (agriculture, transport and logistics, retail </w:t>
      </w:r>
      <w:proofErr w:type="spellStart"/>
      <w:r>
        <w:t>etc</w:t>
      </w:r>
      <w:proofErr w:type="spellEnd"/>
      <w:r>
        <w:t>) through the employment multiplier effect (industrial and consumption</w:t>
      </w:r>
      <w:r w:rsidRPr="00F038C5">
        <w:rPr>
          <w:sz w:val="20"/>
        </w:rPr>
        <w:t>)</w:t>
      </w:r>
      <w:r>
        <w:t>. Additionally</w:t>
      </w:r>
      <w:r w:rsidR="00FD6C3D">
        <w:t>,</w:t>
      </w:r>
      <w:r>
        <w:t xml:space="preserve"> the </w:t>
      </w:r>
      <w:r w:rsidR="00C73347">
        <w:t xml:space="preserve">1,050 </w:t>
      </w:r>
      <w:r>
        <w:t>casual seasonal positions will be lost.</w:t>
      </w:r>
    </w:p>
    <w:p w:rsidR="00F038C5" w:rsidRDefault="00F038C5" w:rsidP="00AC2BA4">
      <w:pPr>
        <w:pStyle w:val="ListNumber"/>
        <w:numPr>
          <w:ilvl w:val="0"/>
          <w:numId w:val="6"/>
        </w:numPr>
        <w:ind w:left="1134"/>
      </w:pPr>
      <w:r w:rsidRPr="003428A5">
        <w:rPr>
          <w:u w:val="single"/>
        </w:rPr>
        <w:t>Increase in the unemployment rates</w:t>
      </w:r>
      <w:r>
        <w:t xml:space="preserve"> for Greater Shepparton from its current level of 8.6% to 1</w:t>
      </w:r>
      <w:r w:rsidR="00C73347">
        <w:t>1.0</w:t>
      </w:r>
      <w:r>
        <w:t>% and the GV region from its current level of 7.1% to</w:t>
      </w:r>
      <w:r w:rsidR="00C73347">
        <w:t xml:space="preserve"> 7</w:t>
      </w:r>
      <w:r>
        <w:t>.</w:t>
      </w:r>
      <w:r w:rsidR="00C73347">
        <w:t>4</w:t>
      </w:r>
      <w:r>
        <w:t xml:space="preserve">% (assuming these jobs are not immediately replaced). In a </w:t>
      </w:r>
      <w:r w:rsidR="00FD6C3D">
        <w:t xml:space="preserve">state-wide context, </w:t>
      </w:r>
      <w:r>
        <w:t xml:space="preserve">the existing unemployment rates for Greater Shepparton (8.6%) and Moira (6.3%) are well above the unemployment rates for Regional </w:t>
      </w:r>
      <w:r w:rsidRPr="00C30AB9">
        <w:t>Victoria (5.7%), Metropolitan Mel</w:t>
      </w:r>
      <w:r w:rsidR="00CA2E0B">
        <w:t>bourne (5.4%) and Victoria (5.5%)</w:t>
      </w:r>
      <w:r w:rsidRPr="00EC1C80">
        <w:t>.</w:t>
      </w:r>
    </w:p>
    <w:p w:rsidR="00CA2E0B" w:rsidRPr="00C30AB9" w:rsidRDefault="00CA2E0B" w:rsidP="00AC2BA4">
      <w:pPr>
        <w:pStyle w:val="ListNumber"/>
        <w:numPr>
          <w:ilvl w:val="0"/>
          <w:numId w:val="6"/>
        </w:numPr>
        <w:ind w:left="1134"/>
      </w:pPr>
      <w:r>
        <w:rPr>
          <w:u w:val="single"/>
        </w:rPr>
        <w:t>Reduction in industry training opportunities</w:t>
      </w:r>
      <w:r w:rsidRPr="00AC2BA4">
        <w:t xml:space="preserve"> – s</w:t>
      </w:r>
      <w:r w:rsidRPr="00CA2E0B">
        <w:t>uch as SPCA’s</w:t>
      </w:r>
      <w:r>
        <w:rPr>
          <w:u w:val="single"/>
        </w:rPr>
        <w:t xml:space="preserve"> </w:t>
      </w:r>
      <w:r w:rsidRPr="00AA1B6A">
        <w:t>induction-to-leadership training program</w:t>
      </w:r>
      <w:r w:rsidR="00AC2BA4">
        <w:t>.</w:t>
      </w:r>
    </w:p>
    <w:p w:rsidR="00F038C5" w:rsidRPr="003428A5" w:rsidRDefault="00F038C5" w:rsidP="00FD6C3D">
      <w:pPr>
        <w:pStyle w:val="ListNumber"/>
        <w:numPr>
          <w:ilvl w:val="0"/>
          <w:numId w:val="0"/>
        </w:numPr>
        <w:ind w:left="1134"/>
      </w:pPr>
      <w:r w:rsidRPr="00FD6C3D">
        <w:rPr>
          <w:u w:val="single"/>
        </w:rPr>
        <w:t xml:space="preserve">Reduction in regional </w:t>
      </w:r>
      <w:r w:rsidRPr="00240AEC">
        <w:rPr>
          <w:u w:val="single"/>
        </w:rPr>
        <w:t>economic outp</w:t>
      </w:r>
      <w:r w:rsidRPr="00D40953">
        <w:rPr>
          <w:u w:val="single"/>
        </w:rPr>
        <w:t>ut</w:t>
      </w:r>
      <w:r>
        <w:t xml:space="preserve"> of $165 million pa, including $105 million associated with SPCA suppliers (560 businesses</w:t>
      </w:r>
      <w:r w:rsidR="00FD6C3D">
        <w:t xml:space="preserve">, </w:t>
      </w:r>
      <w:r>
        <w:t>including 230 fruit growers and pack houses) and $50 million in other spending in the economy through the multiplier effect</w:t>
      </w:r>
      <w:r w:rsidRPr="00131FCF">
        <w:t>.</w:t>
      </w:r>
      <w:r>
        <w:t xml:space="preserve"> This level of contraction represents 5% of the annual Gross Regional Product for the affected parts of the GV region (mainly the municipalities </w:t>
      </w:r>
      <w:r>
        <w:lastRenderedPageBreak/>
        <w:t xml:space="preserve">of Greater Shepparton and Moira), with up to 6% of all businesses likely to be </w:t>
      </w:r>
      <w:r w:rsidR="00FD6C3D">
        <w:t xml:space="preserve">adversely </w:t>
      </w:r>
      <w:r>
        <w:t>impacted directly, and many more impacted indirectly</w:t>
      </w:r>
      <w:r w:rsidRPr="00EC1C80">
        <w:t>.</w:t>
      </w:r>
    </w:p>
    <w:p w:rsidR="00F038C5" w:rsidRPr="00C30AB9" w:rsidRDefault="00F038C5" w:rsidP="00AC2BA4">
      <w:pPr>
        <w:pStyle w:val="ListNumber"/>
        <w:numPr>
          <w:ilvl w:val="0"/>
          <w:numId w:val="6"/>
        </w:numPr>
        <w:ind w:left="1134"/>
      </w:pPr>
      <w:r w:rsidRPr="00C30AB9">
        <w:rPr>
          <w:u w:val="single"/>
        </w:rPr>
        <w:t>Reduce</w:t>
      </w:r>
      <w:r>
        <w:rPr>
          <w:u w:val="single"/>
        </w:rPr>
        <w:t>d</w:t>
      </w:r>
      <w:r w:rsidRPr="00C30AB9">
        <w:rPr>
          <w:u w:val="single"/>
        </w:rPr>
        <w:t xml:space="preserve"> viability for proposed major infrastructure projects</w:t>
      </w:r>
      <w:r>
        <w:t xml:space="preserve"> such as the Shepparton Bypass and GV Link Freight Node which are premised on sustaining and growing regional industrial output and freight volumes.</w:t>
      </w:r>
    </w:p>
    <w:p w:rsidR="00F038C5" w:rsidRPr="00C30AB9" w:rsidRDefault="00F038C5" w:rsidP="00AC2BA4">
      <w:pPr>
        <w:pStyle w:val="ListNumber"/>
        <w:numPr>
          <w:ilvl w:val="0"/>
          <w:numId w:val="6"/>
        </w:numPr>
        <w:ind w:left="1134"/>
      </w:pPr>
      <w:r w:rsidRPr="00C30AB9">
        <w:rPr>
          <w:u w:val="single"/>
        </w:rPr>
        <w:t>Reduction in construction Investment</w:t>
      </w:r>
      <w:r w:rsidR="00FD6C3D">
        <w:t>,</w:t>
      </w:r>
      <w:r>
        <w:t xml:space="preserve"> noting </w:t>
      </w:r>
      <w:r w:rsidR="00FD6C3D">
        <w:t xml:space="preserve">that </w:t>
      </w:r>
      <w:r>
        <w:t xml:space="preserve">SPCA has invested significantly in the region over the years, including $25 million in its National Distribution Centre and </w:t>
      </w:r>
      <w:r w:rsidR="00FD6C3D">
        <w:t xml:space="preserve">its </w:t>
      </w:r>
      <w:r w:rsidR="006A3C59">
        <w:t>Mooroopna plant</w:t>
      </w:r>
      <w:r w:rsidRPr="0028414E">
        <w:t>.</w:t>
      </w:r>
      <w:r>
        <w:t xml:space="preserve"> These two projects alone are estimated to have generated 200 FTE construction-related jobs</w:t>
      </w:r>
      <w:r w:rsidRPr="0028414E">
        <w:t>.</w:t>
      </w:r>
    </w:p>
    <w:p w:rsidR="00F038C5" w:rsidRDefault="00F038C5" w:rsidP="00AC2BA4">
      <w:pPr>
        <w:pStyle w:val="ListNumber"/>
        <w:numPr>
          <w:ilvl w:val="0"/>
          <w:numId w:val="6"/>
        </w:numPr>
        <w:ind w:left="1134"/>
      </w:pPr>
      <w:r w:rsidRPr="003428A5">
        <w:rPr>
          <w:u w:val="single"/>
        </w:rPr>
        <w:t>Reduc</w:t>
      </w:r>
      <w:r>
        <w:rPr>
          <w:u w:val="single"/>
        </w:rPr>
        <w:t>ed</w:t>
      </w:r>
      <w:r w:rsidRPr="003428A5">
        <w:rPr>
          <w:u w:val="single"/>
        </w:rPr>
        <w:t xml:space="preserve"> Council</w:t>
      </w:r>
      <w:r>
        <w:rPr>
          <w:u w:val="single"/>
        </w:rPr>
        <w:t xml:space="preserve"> rates revenue</w:t>
      </w:r>
      <w:r w:rsidRPr="00192DD6">
        <w:t xml:space="preserve"> </w:t>
      </w:r>
      <w:r>
        <w:t>of $700,000 pa, which represents approximately 15% of all annual industrial rates revenue to Greater Shepparton Council.</w:t>
      </w:r>
    </w:p>
    <w:p w:rsidR="00C41FF2" w:rsidRDefault="00C41FF2" w:rsidP="00AC2BA4">
      <w:pPr>
        <w:pStyle w:val="ListNumber"/>
        <w:numPr>
          <w:ilvl w:val="0"/>
          <w:numId w:val="6"/>
        </w:numPr>
        <w:ind w:left="1134"/>
      </w:pPr>
      <w:r>
        <w:rPr>
          <w:u w:val="single"/>
        </w:rPr>
        <w:t xml:space="preserve">Reduced community donations </w:t>
      </w:r>
      <w:r w:rsidRPr="00C41FF2">
        <w:t xml:space="preserve">of $65,000 pa, as well as </w:t>
      </w:r>
      <w:r w:rsidR="00FD6C3D">
        <w:t xml:space="preserve">loss of </w:t>
      </w:r>
      <w:r w:rsidRPr="00C41FF2">
        <w:t>direct food donations to local schools and community organisations.</w:t>
      </w:r>
    </w:p>
    <w:p w:rsidR="00F038C5" w:rsidRDefault="00F038C5" w:rsidP="00AC2BA4">
      <w:pPr>
        <w:pStyle w:val="ListNumber"/>
        <w:numPr>
          <w:ilvl w:val="0"/>
          <w:numId w:val="6"/>
        </w:numPr>
        <w:ind w:left="1134"/>
      </w:pPr>
      <w:r>
        <w:rPr>
          <w:u w:val="single"/>
        </w:rPr>
        <w:t>Increase in vacant industrial land supplies by 36</w:t>
      </w:r>
      <w:r w:rsidR="00FD6C3D">
        <w:rPr>
          <w:u w:val="single"/>
        </w:rPr>
        <w:t>ha</w:t>
      </w:r>
      <w:r>
        <w:rPr>
          <w:u w:val="single"/>
        </w:rPr>
        <w:t xml:space="preserve"> </w:t>
      </w:r>
      <w:r>
        <w:t xml:space="preserve">which will raise Greater Shepparton’s already high vacancy rate to approximately 40%, creating a significant surplus of </w:t>
      </w:r>
      <w:r w:rsidR="00240AEC">
        <w:t xml:space="preserve">industrial </w:t>
      </w:r>
      <w:r>
        <w:t>land which may negatively impact on property and land values, and compromise Council’s long-term strategic planning for new industrial nodes.</w:t>
      </w:r>
    </w:p>
    <w:p w:rsidR="00FB064B" w:rsidRPr="00FB064B" w:rsidRDefault="00FB064B" w:rsidP="00FB064B"/>
    <w:sectPr w:rsidR="00FB064B" w:rsidRPr="00FB064B" w:rsidSect="00E53933">
      <w:headerReference w:type="even" r:id="rId19"/>
      <w:headerReference w:type="default" r:id="rId20"/>
      <w:footerReference w:type="default" r:id="rId21"/>
      <w:headerReference w:type="first" r:id="rId22"/>
      <w:pgSz w:w="11907" w:h="16840" w:code="9"/>
      <w:pgMar w:top="2268" w:right="1701" w:bottom="1701" w:left="1701" w:header="567"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3D" w:rsidRDefault="00FD6C3D">
      <w:r>
        <w:separator/>
      </w:r>
    </w:p>
  </w:endnote>
  <w:endnote w:type="continuationSeparator" w:id="0">
    <w:p w:rsidR="00FD6C3D" w:rsidRDefault="00FD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Pr="00842B3F" w:rsidRDefault="00FD6C3D" w:rsidP="00A609B9">
    <w:pPr>
      <w:pStyle w:val="Coverdate"/>
      <w:rPr>
        <w:rFonts w:asciiTheme="majorHAnsi" w:hAnsiTheme="majorHAnsi" w:cstheme="majorHAnsi"/>
      </w:rPr>
    </w:pPr>
    <w:r>
      <w:rPr>
        <w:rFonts w:asciiTheme="majorHAnsi" w:hAnsiTheme="majorHAnsi" w:cstheme="majorHAnsi"/>
      </w:rPr>
      <w:t>June 2013</w:t>
    </w:r>
  </w:p>
  <w:p w:rsidR="00FD6C3D" w:rsidRPr="0030798C" w:rsidRDefault="00FD6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Pr="0030798C" w:rsidRDefault="00FD6C3D" w:rsidP="00A609B9">
    <w:pPr>
      <w:pStyle w:val="Coverda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Default="00FD6C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Pr="00722D9D" w:rsidRDefault="00FD6C3D" w:rsidP="00722D9D">
    <w:pPr>
      <w:pStyle w:val="Footer"/>
    </w:pPr>
    <w:r w:rsidRPr="00722D9D">
      <w:t>Essential Economics Pty Ltd</w:t>
    </w:r>
  </w:p>
  <w:p w:rsidR="00FD6C3D" w:rsidRPr="00CC1792" w:rsidRDefault="00FD6C3D" w:rsidP="00CC1792">
    <w:pPr>
      <w:pStyle w:val="Footerfollow"/>
    </w:pPr>
    <w:r w:rsidRPr="00CC1792">
      <w:rPr>
        <w:rStyle w:val="PageNumber"/>
      </w:rPr>
      <w:fldChar w:fldCharType="begin"/>
    </w:r>
    <w:r w:rsidRPr="00CC1792">
      <w:rPr>
        <w:rStyle w:val="PageNumber"/>
      </w:rPr>
      <w:instrText xml:space="preserve"> PAGE </w:instrText>
    </w:r>
    <w:r w:rsidRPr="00CC1792">
      <w:rPr>
        <w:rStyle w:val="PageNumber"/>
      </w:rPr>
      <w:fldChar w:fldCharType="separate"/>
    </w:r>
    <w:r w:rsidR="00554A62">
      <w:rPr>
        <w:rStyle w:val="PageNumber"/>
        <w:noProof/>
      </w:rPr>
      <w:t>11</w:t>
    </w:r>
    <w:r w:rsidRPr="00CC179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3D" w:rsidRDefault="00FD6C3D">
      <w:r>
        <w:separator/>
      </w:r>
    </w:p>
  </w:footnote>
  <w:footnote w:type="continuationSeparator" w:id="0">
    <w:p w:rsidR="00FD6C3D" w:rsidRDefault="00FD6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Default="00FD6C3D">
    <w:pPr>
      <w:pStyle w:val="Header"/>
    </w:pPr>
    <w:r>
      <w:rPr>
        <w:noProof/>
        <w:lang w:eastAsia="en-AU"/>
      </w:rPr>
      <w:drawing>
        <wp:inline distT="0" distB="0" distL="0" distR="0" wp14:anchorId="049AEE1C" wp14:editId="46AD5474">
          <wp:extent cx="1512570" cy="1290320"/>
          <wp:effectExtent l="19050" t="0" r="0" b="0"/>
          <wp:docPr id="2" name="Picture 2" descr="eelogo-with-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with-text.jpg"/>
                  <pic:cNvPicPr>
                    <a:picLocks noChangeAspect="1" noChangeArrowheads="1"/>
                  </pic:cNvPicPr>
                </pic:nvPicPr>
                <pic:blipFill>
                  <a:blip r:embed="rId1"/>
                  <a:srcRect/>
                  <a:stretch>
                    <a:fillRect/>
                  </a:stretch>
                </pic:blipFill>
                <pic:spPr bwMode="auto">
                  <a:xfrm>
                    <a:off x="0" y="0"/>
                    <a:ext cx="1512570" cy="129032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Default="00FD6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Default="00FD6C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Default="00FD6C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Default="00FD6C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Default="00FD6C3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Default="00FD6C3D">
    <w:pPr>
      <w:pStyle w:val="Header"/>
    </w:pPr>
    <w:r>
      <w:t xml:space="preserve">economic impact of the potential withdrawal of spc ardmona </w:t>
    </w:r>
  </w:p>
  <w:p w:rsidR="00FD6C3D" w:rsidRDefault="00FD6C3D">
    <w:pPr>
      <w:pStyle w:val="Header"/>
    </w:pPr>
    <w:r>
      <w:t>from the greater shepparton region</w:t>
    </w:r>
  </w:p>
  <w:p w:rsidR="00FD6C3D" w:rsidRDefault="00FD6C3D">
    <w:pPr>
      <w:pStyle w:val="Header"/>
    </w:pPr>
  </w:p>
  <w:p w:rsidR="00FD6C3D" w:rsidRDefault="00FD6C3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3D" w:rsidRDefault="00FD6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45AAA08"/>
    <w:lvl w:ilvl="0">
      <w:start w:val="1"/>
      <w:numFmt w:val="decimal"/>
      <w:lvlText w:val="%1."/>
      <w:lvlJc w:val="left"/>
      <w:pPr>
        <w:tabs>
          <w:tab w:val="num" w:pos="360"/>
        </w:tabs>
        <w:ind w:left="360" w:hanging="360"/>
      </w:pPr>
    </w:lvl>
  </w:abstractNum>
  <w:abstractNum w:abstractNumId="1">
    <w:nsid w:val="03B14BC2"/>
    <w:multiLevelType w:val="hybridMultilevel"/>
    <w:tmpl w:val="2AEE5E1C"/>
    <w:lvl w:ilvl="0" w:tplc="3F843EBC">
      <w:start w:val="1"/>
      <w:numFmt w:val="decimal"/>
      <w:pStyle w:val="Chapterliststyle"/>
      <w:lvlText w:val="Chapter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592505D"/>
    <w:multiLevelType w:val="multilevel"/>
    <w:tmpl w:val="701C6404"/>
    <w:lvl w:ilvl="0">
      <w:start w:val="1"/>
      <w:numFmt w:val="bullet"/>
      <w:lvlText w:val=""/>
      <w:lvlJc w:val="left"/>
      <w:pPr>
        <w:ind w:left="-567" w:hanging="567"/>
      </w:pPr>
      <w:rPr>
        <w:rFonts w:ascii="Symbol" w:hAnsi="Symbol" w:hint="default"/>
      </w:rPr>
    </w:lvl>
    <w:lvl w:ilvl="1">
      <w:start w:val="1"/>
      <w:numFmt w:val="bullet"/>
      <w:lvlText w:val="-"/>
      <w:lvlJc w:val="left"/>
      <w:pPr>
        <w:tabs>
          <w:tab w:val="num" w:pos="-142"/>
        </w:tabs>
        <w:ind w:left="-142" w:hanging="425"/>
      </w:pPr>
      <w:rPr>
        <w:rFonts w:ascii="Arial" w:hAnsi="Arial"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3">
    <w:nsid w:val="45A62977"/>
    <w:multiLevelType w:val="multilevel"/>
    <w:tmpl w:val="2E1C5B94"/>
    <w:lvl w:ilvl="0">
      <w:start w:val="1"/>
      <w:numFmt w:val="bullet"/>
      <w:pStyle w:val="Bullet"/>
      <w:lvlText w:val=""/>
      <w:lvlJc w:val="left"/>
      <w:pPr>
        <w:tabs>
          <w:tab w:val="num" w:pos="567"/>
        </w:tabs>
        <w:ind w:left="567" w:hanging="567"/>
      </w:pPr>
      <w:rPr>
        <w:rFonts w:ascii="Symbol" w:hAnsi="Symbol" w:hint="default"/>
      </w:rPr>
    </w:lvl>
    <w:lvl w:ilvl="1">
      <w:start w:val="1"/>
      <w:numFmt w:val="bullet"/>
      <w:pStyle w:val="Bulletfollow"/>
      <w:lvlText w:val="-"/>
      <w:lvlJc w:val="left"/>
      <w:pPr>
        <w:tabs>
          <w:tab w:val="num" w:pos="992"/>
        </w:tabs>
        <w:ind w:left="992" w:hanging="425"/>
      </w:pPr>
      <w:rPr>
        <w:rFonts w:ascii="Arial" w:hAnsi="Arial" w:hint="default"/>
      </w:rPr>
    </w:lvl>
    <w:lvl w:ilvl="2">
      <w:start w:val="1"/>
      <w:numFmt w:val="lowerLetter"/>
      <w:pStyle w:val="Bulletlettered"/>
      <w:lvlText w:val="%3"/>
      <w:lvlJc w:val="left"/>
      <w:pPr>
        <w:tabs>
          <w:tab w:val="num" w:pos="992"/>
        </w:tabs>
        <w:ind w:left="992" w:hanging="425"/>
      </w:pPr>
      <w:rPr>
        <w:rFonts w:hint="default"/>
      </w:rPr>
    </w:lvl>
    <w:lvl w:ilvl="3">
      <w:start w:val="1"/>
      <w:numFmt w:val="none"/>
      <w:pStyle w:val="Bullettext"/>
      <w:lvlText w:val=""/>
      <w:lvlJc w:val="left"/>
      <w:pPr>
        <w:tabs>
          <w:tab w:val="num" w:pos="567"/>
        </w:tabs>
        <w:ind w:left="567"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nsid w:val="45F8765C"/>
    <w:multiLevelType w:val="multilevel"/>
    <w:tmpl w:val="5FF0E78A"/>
    <w:lvl w:ilvl="0">
      <w:start w:val="1"/>
      <w:numFmt w:val="decimal"/>
      <w:pStyle w:val="ListNumber"/>
      <w:lvlText w:val="%1"/>
      <w:lvlJc w:val="left"/>
      <w:pPr>
        <w:ind w:left="567" w:hanging="567"/>
      </w:pPr>
      <w:rPr>
        <w:rFonts w:hint="default"/>
      </w:rPr>
    </w:lvl>
    <w:lvl w:ilvl="1">
      <w:start w:val="1"/>
      <w:numFmt w:val="bullet"/>
      <w:pStyle w:val="ListContinue"/>
      <w:lvlText w:val="-"/>
      <w:lvlJc w:val="left"/>
      <w:pPr>
        <w:tabs>
          <w:tab w:val="num" w:pos="992"/>
        </w:tabs>
        <w:ind w:left="992" w:hanging="425"/>
      </w:pPr>
      <w:rPr>
        <w:rFonts w:ascii="Arial" w:hAnsi="Arial"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5">
    <w:nsid w:val="4AE21538"/>
    <w:multiLevelType w:val="multilevel"/>
    <w:tmpl w:val="701C6404"/>
    <w:lvl w:ilvl="0">
      <w:start w:val="1"/>
      <w:numFmt w:val="bullet"/>
      <w:lvlText w:val=""/>
      <w:lvlJc w:val="left"/>
      <w:pPr>
        <w:ind w:left="-567" w:hanging="567"/>
      </w:pPr>
      <w:rPr>
        <w:rFonts w:ascii="Symbol" w:hAnsi="Symbol" w:hint="default"/>
      </w:rPr>
    </w:lvl>
    <w:lvl w:ilvl="1">
      <w:start w:val="1"/>
      <w:numFmt w:val="bullet"/>
      <w:lvlText w:val="-"/>
      <w:lvlJc w:val="left"/>
      <w:pPr>
        <w:tabs>
          <w:tab w:val="num" w:pos="-142"/>
        </w:tabs>
        <w:ind w:left="-142" w:hanging="425"/>
      </w:pPr>
      <w:rPr>
        <w:rFonts w:ascii="Arial" w:hAnsi="Arial"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6">
    <w:nsid w:val="56577D04"/>
    <w:multiLevelType w:val="multilevel"/>
    <w:tmpl w:val="FFB80270"/>
    <w:lvl w:ilvl="0">
      <w:start w:val="1"/>
      <w:numFmt w:val="decimal"/>
      <w:pStyle w:val="Heading1"/>
      <w:lvlText w:val="%1"/>
      <w:lvlJc w:val="left"/>
      <w:pPr>
        <w:tabs>
          <w:tab w:val="num" w:pos="709"/>
        </w:tabs>
        <w:ind w:left="709" w:hanging="709"/>
      </w:pPr>
      <w:rPr>
        <w:rFonts w:asciiTheme="minorHAnsi" w:eastAsia="Times New Roman" w:hAnsiTheme="minorHAnsi" w:cstheme="minorHAnsi" w:hint="default"/>
      </w:rPr>
    </w:lvl>
    <w:lvl w:ilvl="1">
      <w:start w:val="1"/>
      <w:numFmt w:val="decimal"/>
      <w:pStyle w:val="Heading2"/>
      <w:lvlText w:val="%1.%2"/>
      <w:lvlJc w:val="left"/>
      <w:pPr>
        <w:tabs>
          <w:tab w:val="num" w:pos="709"/>
        </w:tabs>
        <w:ind w:left="709" w:hanging="709"/>
      </w:pPr>
      <w:rPr>
        <w:rFonts w:hint="default"/>
      </w:rPr>
    </w:lvl>
    <w:lvl w:ilvl="2">
      <w:start w:val="1"/>
      <w:numFmt w:val="none"/>
      <w:pStyle w:val="Heading3"/>
      <w:suff w:val="nothing"/>
      <w:lvlText w:val=""/>
      <w:lvlJc w:val="left"/>
      <w:pPr>
        <w:ind w:left="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
      <w:lvlJc w:val="left"/>
      <w:pPr>
        <w:tabs>
          <w:tab w:val="num" w:pos="1008"/>
        </w:tabs>
        <w:ind w:left="1008" w:hanging="432"/>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7">
    <w:nsid w:val="66E531E2"/>
    <w:multiLevelType w:val="multilevel"/>
    <w:tmpl w:val="D82CB2E0"/>
    <w:styleLink w:val="Chapterlist"/>
    <w:lvl w:ilvl="0">
      <w:start w:val="1"/>
      <w:numFmt w:val="decimal"/>
      <w:lvlText w:val="Chapter %1:"/>
      <w:lvlJc w:val="left"/>
      <w:pPr>
        <w:tabs>
          <w:tab w:val="num" w:pos="1134"/>
        </w:tabs>
        <w:ind w:left="1134" w:hanging="1134"/>
      </w:pPr>
      <w:rPr>
        <w:rFonts w:ascii="Calibri" w:hAnsi="Calibri"/>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6"/>
  </w:num>
  <w:num w:numId="2">
    <w:abstractNumId w:val="3"/>
  </w:num>
  <w:num w:numId="3">
    <w:abstractNumId w:val="4"/>
  </w:num>
  <w:num w:numId="4">
    <w:abstractNumId w:val="7"/>
  </w:num>
  <w:num w:numId="5">
    <w:abstractNumId w:val="1"/>
  </w:num>
  <w:num w:numId="6">
    <w:abstractNumId w:val="2"/>
  </w:num>
  <w:num w:numId="7">
    <w:abstractNumId w:val="0"/>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F6"/>
    <w:rsid w:val="00002B03"/>
    <w:rsid w:val="00004A47"/>
    <w:rsid w:val="00013186"/>
    <w:rsid w:val="00016AC4"/>
    <w:rsid w:val="00023EDE"/>
    <w:rsid w:val="00040E29"/>
    <w:rsid w:val="00050687"/>
    <w:rsid w:val="00060B91"/>
    <w:rsid w:val="000613E2"/>
    <w:rsid w:val="00061FA5"/>
    <w:rsid w:val="00063FAA"/>
    <w:rsid w:val="00064C15"/>
    <w:rsid w:val="00070A8C"/>
    <w:rsid w:val="00072C12"/>
    <w:rsid w:val="00077E8F"/>
    <w:rsid w:val="000821A6"/>
    <w:rsid w:val="00083242"/>
    <w:rsid w:val="000835AA"/>
    <w:rsid w:val="000877F4"/>
    <w:rsid w:val="0008789D"/>
    <w:rsid w:val="000912C0"/>
    <w:rsid w:val="000913C0"/>
    <w:rsid w:val="00091AA7"/>
    <w:rsid w:val="00091DB8"/>
    <w:rsid w:val="00092D35"/>
    <w:rsid w:val="000931C3"/>
    <w:rsid w:val="0009358C"/>
    <w:rsid w:val="00096062"/>
    <w:rsid w:val="0009644C"/>
    <w:rsid w:val="000A0198"/>
    <w:rsid w:val="000A3355"/>
    <w:rsid w:val="000B6FC3"/>
    <w:rsid w:val="000C1936"/>
    <w:rsid w:val="000C313F"/>
    <w:rsid w:val="000D26D8"/>
    <w:rsid w:val="000D5B64"/>
    <w:rsid w:val="000E17A0"/>
    <w:rsid w:val="000E18F4"/>
    <w:rsid w:val="000E24DE"/>
    <w:rsid w:val="000F02C1"/>
    <w:rsid w:val="000F0D21"/>
    <w:rsid w:val="000F2073"/>
    <w:rsid w:val="00100776"/>
    <w:rsid w:val="00102756"/>
    <w:rsid w:val="00102895"/>
    <w:rsid w:val="00114234"/>
    <w:rsid w:val="001149F6"/>
    <w:rsid w:val="001152A0"/>
    <w:rsid w:val="0011598E"/>
    <w:rsid w:val="0011784D"/>
    <w:rsid w:val="00125B31"/>
    <w:rsid w:val="00127031"/>
    <w:rsid w:val="00131E96"/>
    <w:rsid w:val="001374ED"/>
    <w:rsid w:val="001460A0"/>
    <w:rsid w:val="00146CC7"/>
    <w:rsid w:val="00150005"/>
    <w:rsid w:val="001530DF"/>
    <w:rsid w:val="00155F97"/>
    <w:rsid w:val="00160FD7"/>
    <w:rsid w:val="00163335"/>
    <w:rsid w:val="00165D1E"/>
    <w:rsid w:val="001666B5"/>
    <w:rsid w:val="001725DF"/>
    <w:rsid w:val="00172E01"/>
    <w:rsid w:val="001744D1"/>
    <w:rsid w:val="00183F42"/>
    <w:rsid w:val="00190D41"/>
    <w:rsid w:val="00191874"/>
    <w:rsid w:val="001941AB"/>
    <w:rsid w:val="00197392"/>
    <w:rsid w:val="001A1E8D"/>
    <w:rsid w:val="001A21F1"/>
    <w:rsid w:val="001A34A0"/>
    <w:rsid w:val="001A7A6B"/>
    <w:rsid w:val="001B02FF"/>
    <w:rsid w:val="001B3034"/>
    <w:rsid w:val="001C188B"/>
    <w:rsid w:val="001C233D"/>
    <w:rsid w:val="001C3A18"/>
    <w:rsid w:val="001C47B5"/>
    <w:rsid w:val="001C75CF"/>
    <w:rsid w:val="001D0361"/>
    <w:rsid w:val="001D130F"/>
    <w:rsid w:val="001D2DD6"/>
    <w:rsid w:val="001E2FB6"/>
    <w:rsid w:val="001E5A45"/>
    <w:rsid w:val="001F2E1D"/>
    <w:rsid w:val="00202828"/>
    <w:rsid w:val="0020545F"/>
    <w:rsid w:val="0021053B"/>
    <w:rsid w:val="00213EB0"/>
    <w:rsid w:val="00220BE9"/>
    <w:rsid w:val="00224779"/>
    <w:rsid w:val="00231080"/>
    <w:rsid w:val="00232E1C"/>
    <w:rsid w:val="00234654"/>
    <w:rsid w:val="00237894"/>
    <w:rsid w:val="00237FD6"/>
    <w:rsid w:val="00240AEC"/>
    <w:rsid w:val="00243B82"/>
    <w:rsid w:val="0025335A"/>
    <w:rsid w:val="00254C46"/>
    <w:rsid w:val="00264338"/>
    <w:rsid w:val="00267146"/>
    <w:rsid w:val="00271B32"/>
    <w:rsid w:val="002910B9"/>
    <w:rsid w:val="002941A7"/>
    <w:rsid w:val="00294F32"/>
    <w:rsid w:val="002965C0"/>
    <w:rsid w:val="002A2047"/>
    <w:rsid w:val="002B0A4D"/>
    <w:rsid w:val="002C1B2A"/>
    <w:rsid w:val="002C21D3"/>
    <w:rsid w:val="002C2DD2"/>
    <w:rsid w:val="002C4875"/>
    <w:rsid w:val="002D0A01"/>
    <w:rsid w:val="002D3906"/>
    <w:rsid w:val="002D4ED1"/>
    <w:rsid w:val="002D5B8B"/>
    <w:rsid w:val="002E07EA"/>
    <w:rsid w:val="002E15FB"/>
    <w:rsid w:val="002E7540"/>
    <w:rsid w:val="002F0C43"/>
    <w:rsid w:val="002F5D22"/>
    <w:rsid w:val="0030134E"/>
    <w:rsid w:val="0030798C"/>
    <w:rsid w:val="00307F5D"/>
    <w:rsid w:val="00311A91"/>
    <w:rsid w:val="00312D87"/>
    <w:rsid w:val="00314330"/>
    <w:rsid w:val="003217F9"/>
    <w:rsid w:val="00322E99"/>
    <w:rsid w:val="00330A3B"/>
    <w:rsid w:val="0034510E"/>
    <w:rsid w:val="003503E2"/>
    <w:rsid w:val="00361424"/>
    <w:rsid w:val="00362E88"/>
    <w:rsid w:val="0036306A"/>
    <w:rsid w:val="0037237F"/>
    <w:rsid w:val="00373F8F"/>
    <w:rsid w:val="0037726C"/>
    <w:rsid w:val="003774C2"/>
    <w:rsid w:val="0038035B"/>
    <w:rsid w:val="0038433C"/>
    <w:rsid w:val="00392017"/>
    <w:rsid w:val="003952C0"/>
    <w:rsid w:val="00396FB6"/>
    <w:rsid w:val="00397081"/>
    <w:rsid w:val="003A0ED0"/>
    <w:rsid w:val="003A28B2"/>
    <w:rsid w:val="003B1AB3"/>
    <w:rsid w:val="003B5E77"/>
    <w:rsid w:val="003C5849"/>
    <w:rsid w:val="003D72CF"/>
    <w:rsid w:val="003E0816"/>
    <w:rsid w:val="003F1101"/>
    <w:rsid w:val="003F28EA"/>
    <w:rsid w:val="003F493F"/>
    <w:rsid w:val="003F4A96"/>
    <w:rsid w:val="003F5C9B"/>
    <w:rsid w:val="003F6C95"/>
    <w:rsid w:val="0040645B"/>
    <w:rsid w:val="00407996"/>
    <w:rsid w:val="00411C28"/>
    <w:rsid w:val="00415C18"/>
    <w:rsid w:val="00417991"/>
    <w:rsid w:val="0042055D"/>
    <w:rsid w:val="00431747"/>
    <w:rsid w:val="00434FC0"/>
    <w:rsid w:val="00435086"/>
    <w:rsid w:val="004356D9"/>
    <w:rsid w:val="0044684E"/>
    <w:rsid w:val="00447311"/>
    <w:rsid w:val="0044755E"/>
    <w:rsid w:val="00457AF2"/>
    <w:rsid w:val="0046001E"/>
    <w:rsid w:val="00461AE1"/>
    <w:rsid w:val="0046368F"/>
    <w:rsid w:val="00467E91"/>
    <w:rsid w:val="00483730"/>
    <w:rsid w:val="00497096"/>
    <w:rsid w:val="004A3919"/>
    <w:rsid w:val="004A473D"/>
    <w:rsid w:val="004A6FC6"/>
    <w:rsid w:val="004B01B1"/>
    <w:rsid w:val="004B1138"/>
    <w:rsid w:val="004B4257"/>
    <w:rsid w:val="004B4999"/>
    <w:rsid w:val="004C05B8"/>
    <w:rsid w:val="004D4E32"/>
    <w:rsid w:val="004D6C09"/>
    <w:rsid w:val="004E6B5F"/>
    <w:rsid w:val="004E6FBA"/>
    <w:rsid w:val="004E733B"/>
    <w:rsid w:val="00500513"/>
    <w:rsid w:val="00502BE6"/>
    <w:rsid w:val="005049CA"/>
    <w:rsid w:val="00504BDE"/>
    <w:rsid w:val="00511A36"/>
    <w:rsid w:val="00520F61"/>
    <w:rsid w:val="005245A7"/>
    <w:rsid w:val="00526E43"/>
    <w:rsid w:val="00531855"/>
    <w:rsid w:val="0054020A"/>
    <w:rsid w:val="005412AD"/>
    <w:rsid w:val="00545757"/>
    <w:rsid w:val="005473C2"/>
    <w:rsid w:val="0055156C"/>
    <w:rsid w:val="00553E42"/>
    <w:rsid w:val="00554A62"/>
    <w:rsid w:val="00560A7B"/>
    <w:rsid w:val="00560BB4"/>
    <w:rsid w:val="00566627"/>
    <w:rsid w:val="00566BC0"/>
    <w:rsid w:val="0056743C"/>
    <w:rsid w:val="00570269"/>
    <w:rsid w:val="00571C74"/>
    <w:rsid w:val="0057473C"/>
    <w:rsid w:val="005750AF"/>
    <w:rsid w:val="0057649C"/>
    <w:rsid w:val="0058161C"/>
    <w:rsid w:val="00582EBE"/>
    <w:rsid w:val="0059120C"/>
    <w:rsid w:val="0059296A"/>
    <w:rsid w:val="005A3503"/>
    <w:rsid w:val="005B28EF"/>
    <w:rsid w:val="005B2BB0"/>
    <w:rsid w:val="005C27B9"/>
    <w:rsid w:val="005C652E"/>
    <w:rsid w:val="005D2F94"/>
    <w:rsid w:val="005D510F"/>
    <w:rsid w:val="005D69AC"/>
    <w:rsid w:val="005D7C96"/>
    <w:rsid w:val="005D7EEB"/>
    <w:rsid w:val="005E10A6"/>
    <w:rsid w:val="005E142A"/>
    <w:rsid w:val="005E7195"/>
    <w:rsid w:val="005F00AE"/>
    <w:rsid w:val="005F45B4"/>
    <w:rsid w:val="005F5528"/>
    <w:rsid w:val="005F7344"/>
    <w:rsid w:val="00605481"/>
    <w:rsid w:val="00616313"/>
    <w:rsid w:val="00621F6A"/>
    <w:rsid w:val="00622AD8"/>
    <w:rsid w:val="00623641"/>
    <w:rsid w:val="0062429D"/>
    <w:rsid w:val="00626E3D"/>
    <w:rsid w:val="00632737"/>
    <w:rsid w:val="00637D56"/>
    <w:rsid w:val="00650DE5"/>
    <w:rsid w:val="00652451"/>
    <w:rsid w:val="00653FAC"/>
    <w:rsid w:val="006633F0"/>
    <w:rsid w:val="00663A1F"/>
    <w:rsid w:val="00663F6F"/>
    <w:rsid w:val="00671291"/>
    <w:rsid w:val="0067678D"/>
    <w:rsid w:val="006778AC"/>
    <w:rsid w:val="00681CE7"/>
    <w:rsid w:val="00681E2F"/>
    <w:rsid w:val="00682C89"/>
    <w:rsid w:val="00683D94"/>
    <w:rsid w:val="0068571A"/>
    <w:rsid w:val="006859E9"/>
    <w:rsid w:val="00691384"/>
    <w:rsid w:val="006961E6"/>
    <w:rsid w:val="00696B91"/>
    <w:rsid w:val="006A2478"/>
    <w:rsid w:val="006A3B2E"/>
    <w:rsid w:val="006A3C59"/>
    <w:rsid w:val="006A407D"/>
    <w:rsid w:val="006B371B"/>
    <w:rsid w:val="006B4B30"/>
    <w:rsid w:val="006C5ACA"/>
    <w:rsid w:val="006C71DF"/>
    <w:rsid w:val="006C76FC"/>
    <w:rsid w:val="006D229C"/>
    <w:rsid w:val="006D34CD"/>
    <w:rsid w:val="006E0CF5"/>
    <w:rsid w:val="007011D4"/>
    <w:rsid w:val="00712176"/>
    <w:rsid w:val="00713DA1"/>
    <w:rsid w:val="00722D9D"/>
    <w:rsid w:val="007306E4"/>
    <w:rsid w:val="0073360C"/>
    <w:rsid w:val="00744456"/>
    <w:rsid w:val="0074482A"/>
    <w:rsid w:val="00756876"/>
    <w:rsid w:val="00761752"/>
    <w:rsid w:val="00761805"/>
    <w:rsid w:val="007621B3"/>
    <w:rsid w:val="00763433"/>
    <w:rsid w:val="00766FAE"/>
    <w:rsid w:val="00777FEB"/>
    <w:rsid w:val="00782028"/>
    <w:rsid w:val="00785255"/>
    <w:rsid w:val="00787AE4"/>
    <w:rsid w:val="007A11FF"/>
    <w:rsid w:val="007A2997"/>
    <w:rsid w:val="007A2F21"/>
    <w:rsid w:val="007A3295"/>
    <w:rsid w:val="007A749E"/>
    <w:rsid w:val="007B187A"/>
    <w:rsid w:val="007B37C1"/>
    <w:rsid w:val="007C3E5D"/>
    <w:rsid w:val="007C7267"/>
    <w:rsid w:val="007C746A"/>
    <w:rsid w:val="007D44D9"/>
    <w:rsid w:val="007D4E10"/>
    <w:rsid w:val="007E2421"/>
    <w:rsid w:val="007E71D5"/>
    <w:rsid w:val="007F4D00"/>
    <w:rsid w:val="007F51EE"/>
    <w:rsid w:val="00802815"/>
    <w:rsid w:val="008055FA"/>
    <w:rsid w:val="00815D4E"/>
    <w:rsid w:val="008163FE"/>
    <w:rsid w:val="00825AF8"/>
    <w:rsid w:val="00826440"/>
    <w:rsid w:val="00834015"/>
    <w:rsid w:val="00836F7E"/>
    <w:rsid w:val="00840F47"/>
    <w:rsid w:val="00841DB5"/>
    <w:rsid w:val="00842464"/>
    <w:rsid w:val="00842B3F"/>
    <w:rsid w:val="00852E06"/>
    <w:rsid w:val="0086569F"/>
    <w:rsid w:val="00872679"/>
    <w:rsid w:val="008745A5"/>
    <w:rsid w:val="00876B5C"/>
    <w:rsid w:val="0088128A"/>
    <w:rsid w:val="00882218"/>
    <w:rsid w:val="008851F0"/>
    <w:rsid w:val="00885204"/>
    <w:rsid w:val="00886FA3"/>
    <w:rsid w:val="00890E78"/>
    <w:rsid w:val="00892C2E"/>
    <w:rsid w:val="00892F85"/>
    <w:rsid w:val="008A2330"/>
    <w:rsid w:val="008B293B"/>
    <w:rsid w:val="008B4E78"/>
    <w:rsid w:val="008C03E9"/>
    <w:rsid w:val="008C10BD"/>
    <w:rsid w:val="008C286C"/>
    <w:rsid w:val="008C403B"/>
    <w:rsid w:val="008C4806"/>
    <w:rsid w:val="008D5198"/>
    <w:rsid w:val="008E2EBE"/>
    <w:rsid w:val="008E3FA4"/>
    <w:rsid w:val="008E705F"/>
    <w:rsid w:val="008E71A7"/>
    <w:rsid w:val="008F0946"/>
    <w:rsid w:val="008F549C"/>
    <w:rsid w:val="008F7B63"/>
    <w:rsid w:val="00907436"/>
    <w:rsid w:val="0091603F"/>
    <w:rsid w:val="00916288"/>
    <w:rsid w:val="00917100"/>
    <w:rsid w:val="00920C33"/>
    <w:rsid w:val="009329BB"/>
    <w:rsid w:val="00932EDB"/>
    <w:rsid w:val="009357FE"/>
    <w:rsid w:val="00936BEB"/>
    <w:rsid w:val="009470C3"/>
    <w:rsid w:val="009507B7"/>
    <w:rsid w:val="00953180"/>
    <w:rsid w:val="0095377C"/>
    <w:rsid w:val="00957945"/>
    <w:rsid w:val="0096037D"/>
    <w:rsid w:val="00962824"/>
    <w:rsid w:val="00965797"/>
    <w:rsid w:val="00970BAE"/>
    <w:rsid w:val="0098130F"/>
    <w:rsid w:val="00983842"/>
    <w:rsid w:val="00991982"/>
    <w:rsid w:val="009942B0"/>
    <w:rsid w:val="009A5B0F"/>
    <w:rsid w:val="009A72EA"/>
    <w:rsid w:val="009B0FE5"/>
    <w:rsid w:val="009B2D21"/>
    <w:rsid w:val="009B42B6"/>
    <w:rsid w:val="009C1955"/>
    <w:rsid w:val="009C1A07"/>
    <w:rsid w:val="009C1BE8"/>
    <w:rsid w:val="009C500E"/>
    <w:rsid w:val="009D0FF7"/>
    <w:rsid w:val="009D6DCF"/>
    <w:rsid w:val="009E4BF6"/>
    <w:rsid w:val="009E5BE8"/>
    <w:rsid w:val="009E7D75"/>
    <w:rsid w:val="009F0041"/>
    <w:rsid w:val="009F06C9"/>
    <w:rsid w:val="009F309B"/>
    <w:rsid w:val="009F5C1F"/>
    <w:rsid w:val="00A021B3"/>
    <w:rsid w:val="00A03650"/>
    <w:rsid w:val="00A067E6"/>
    <w:rsid w:val="00A06B87"/>
    <w:rsid w:val="00A06DAE"/>
    <w:rsid w:val="00A149F6"/>
    <w:rsid w:val="00A20B19"/>
    <w:rsid w:val="00A223A0"/>
    <w:rsid w:val="00A23053"/>
    <w:rsid w:val="00A23EC9"/>
    <w:rsid w:val="00A25840"/>
    <w:rsid w:val="00A2620E"/>
    <w:rsid w:val="00A32DA2"/>
    <w:rsid w:val="00A43E13"/>
    <w:rsid w:val="00A50F90"/>
    <w:rsid w:val="00A55D85"/>
    <w:rsid w:val="00A56D36"/>
    <w:rsid w:val="00A609B9"/>
    <w:rsid w:val="00A60CFC"/>
    <w:rsid w:val="00A6145D"/>
    <w:rsid w:val="00A733F4"/>
    <w:rsid w:val="00A82D92"/>
    <w:rsid w:val="00A833D9"/>
    <w:rsid w:val="00A87985"/>
    <w:rsid w:val="00A94174"/>
    <w:rsid w:val="00A94941"/>
    <w:rsid w:val="00A95855"/>
    <w:rsid w:val="00AA1B6A"/>
    <w:rsid w:val="00AB347C"/>
    <w:rsid w:val="00AC27E8"/>
    <w:rsid w:val="00AC2BA4"/>
    <w:rsid w:val="00AC40AF"/>
    <w:rsid w:val="00AE2742"/>
    <w:rsid w:val="00AE3EEB"/>
    <w:rsid w:val="00AF0C5A"/>
    <w:rsid w:val="00B0053B"/>
    <w:rsid w:val="00B05929"/>
    <w:rsid w:val="00B1555C"/>
    <w:rsid w:val="00B16467"/>
    <w:rsid w:val="00B30063"/>
    <w:rsid w:val="00B32C80"/>
    <w:rsid w:val="00B34115"/>
    <w:rsid w:val="00B40203"/>
    <w:rsid w:val="00B4397B"/>
    <w:rsid w:val="00B5043C"/>
    <w:rsid w:val="00B565DD"/>
    <w:rsid w:val="00B61E74"/>
    <w:rsid w:val="00B621BE"/>
    <w:rsid w:val="00B66F95"/>
    <w:rsid w:val="00B7170D"/>
    <w:rsid w:val="00B80CD0"/>
    <w:rsid w:val="00B85B82"/>
    <w:rsid w:val="00BB4653"/>
    <w:rsid w:val="00BB79E1"/>
    <w:rsid w:val="00BC06ED"/>
    <w:rsid w:val="00BC24ED"/>
    <w:rsid w:val="00BC4468"/>
    <w:rsid w:val="00BC6CDB"/>
    <w:rsid w:val="00BD274C"/>
    <w:rsid w:val="00BD2AE0"/>
    <w:rsid w:val="00BD2BFF"/>
    <w:rsid w:val="00BE4812"/>
    <w:rsid w:val="00BE5A7D"/>
    <w:rsid w:val="00BE72C6"/>
    <w:rsid w:val="00BF4F66"/>
    <w:rsid w:val="00C10137"/>
    <w:rsid w:val="00C11FD5"/>
    <w:rsid w:val="00C125CC"/>
    <w:rsid w:val="00C1446E"/>
    <w:rsid w:val="00C21575"/>
    <w:rsid w:val="00C2211B"/>
    <w:rsid w:val="00C30F46"/>
    <w:rsid w:val="00C316D7"/>
    <w:rsid w:val="00C346BF"/>
    <w:rsid w:val="00C3778C"/>
    <w:rsid w:val="00C41932"/>
    <w:rsid w:val="00C419E1"/>
    <w:rsid w:val="00C41B2A"/>
    <w:rsid w:val="00C41FF2"/>
    <w:rsid w:val="00C428A0"/>
    <w:rsid w:val="00C431F3"/>
    <w:rsid w:val="00C45511"/>
    <w:rsid w:val="00C46FCC"/>
    <w:rsid w:val="00C4750D"/>
    <w:rsid w:val="00C50A3A"/>
    <w:rsid w:val="00C513D9"/>
    <w:rsid w:val="00C55C12"/>
    <w:rsid w:val="00C576AB"/>
    <w:rsid w:val="00C61CD3"/>
    <w:rsid w:val="00C73347"/>
    <w:rsid w:val="00C7682C"/>
    <w:rsid w:val="00C80C73"/>
    <w:rsid w:val="00C83E0F"/>
    <w:rsid w:val="00C86806"/>
    <w:rsid w:val="00C8683F"/>
    <w:rsid w:val="00C908F5"/>
    <w:rsid w:val="00C92BB4"/>
    <w:rsid w:val="00C94B51"/>
    <w:rsid w:val="00C94CB8"/>
    <w:rsid w:val="00C973CD"/>
    <w:rsid w:val="00CA21D8"/>
    <w:rsid w:val="00CA2E0B"/>
    <w:rsid w:val="00CA775E"/>
    <w:rsid w:val="00CB07CC"/>
    <w:rsid w:val="00CB18E3"/>
    <w:rsid w:val="00CB2104"/>
    <w:rsid w:val="00CB2B39"/>
    <w:rsid w:val="00CC1792"/>
    <w:rsid w:val="00CC5A8D"/>
    <w:rsid w:val="00CD07EB"/>
    <w:rsid w:val="00CD1013"/>
    <w:rsid w:val="00CD26E6"/>
    <w:rsid w:val="00CD461B"/>
    <w:rsid w:val="00CD6CC4"/>
    <w:rsid w:val="00CE1788"/>
    <w:rsid w:val="00CE5437"/>
    <w:rsid w:val="00CE7158"/>
    <w:rsid w:val="00CF769C"/>
    <w:rsid w:val="00D04169"/>
    <w:rsid w:val="00D04236"/>
    <w:rsid w:val="00D0544A"/>
    <w:rsid w:val="00D07357"/>
    <w:rsid w:val="00D109F6"/>
    <w:rsid w:val="00D112B8"/>
    <w:rsid w:val="00D21ACC"/>
    <w:rsid w:val="00D22271"/>
    <w:rsid w:val="00D22685"/>
    <w:rsid w:val="00D23349"/>
    <w:rsid w:val="00D24294"/>
    <w:rsid w:val="00D24504"/>
    <w:rsid w:val="00D300AB"/>
    <w:rsid w:val="00D30C36"/>
    <w:rsid w:val="00D31F97"/>
    <w:rsid w:val="00D3570E"/>
    <w:rsid w:val="00D36261"/>
    <w:rsid w:val="00D40953"/>
    <w:rsid w:val="00D622B1"/>
    <w:rsid w:val="00D64812"/>
    <w:rsid w:val="00D64DFD"/>
    <w:rsid w:val="00D65BA5"/>
    <w:rsid w:val="00D671D0"/>
    <w:rsid w:val="00D7361A"/>
    <w:rsid w:val="00D75802"/>
    <w:rsid w:val="00D83528"/>
    <w:rsid w:val="00D96C0D"/>
    <w:rsid w:val="00D97BC2"/>
    <w:rsid w:val="00DB0EBF"/>
    <w:rsid w:val="00DB7AB4"/>
    <w:rsid w:val="00DC1413"/>
    <w:rsid w:val="00DC5C4C"/>
    <w:rsid w:val="00DD3873"/>
    <w:rsid w:val="00DD481D"/>
    <w:rsid w:val="00DD6E93"/>
    <w:rsid w:val="00DE3B2A"/>
    <w:rsid w:val="00DE57F7"/>
    <w:rsid w:val="00DE62F8"/>
    <w:rsid w:val="00DF4FDB"/>
    <w:rsid w:val="00DF69E8"/>
    <w:rsid w:val="00E01813"/>
    <w:rsid w:val="00E0291C"/>
    <w:rsid w:val="00E03509"/>
    <w:rsid w:val="00E046B3"/>
    <w:rsid w:val="00E04FE9"/>
    <w:rsid w:val="00E05BCF"/>
    <w:rsid w:val="00E07E82"/>
    <w:rsid w:val="00E25060"/>
    <w:rsid w:val="00E26AB8"/>
    <w:rsid w:val="00E33206"/>
    <w:rsid w:val="00E33354"/>
    <w:rsid w:val="00E34EF5"/>
    <w:rsid w:val="00E36344"/>
    <w:rsid w:val="00E3636F"/>
    <w:rsid w:val="00E40E87"/>
    <w:rsid w:val="00E44515"/>
    <w:rsid w:val="00E44C28"/>
    <w:rsid w:val="00E46866"/>
    <w:rsid w:val="00E475BE"/>
    <w:rsid w:val="00E51535"/>
    <w:rsid w:val="00E532FE"/>
    <w:rsid w:val="00E53933"/>
    <w:rsid w:val="00E62C8B"/>
    <w:rsid w:val="00E63E65"/>
    <w:rsid w:val="00E76934"/>
    <w:rsid w:val="00E76F01"/>
    <w:rsid w:val="00E80057"/>
    <w:rsid w:val="00E86417"/>
    <w:rsid w:val="00E916FD"/>
    <w:rsid w:val="00E93856"/>
    <w:rsid w:val="00E93C5B"/>
    <w:rsid w:val="00E952E5"/>
    <w:rsid w:val="00EA5739"/>
    <w:rsid w:val="00EA62A2"/>
    <w:rsid w:val="00EB09EB"/>
    <w:rsid w:val="00EB4884"/>
    <w:rsid w:val="00EB7BB4"/>
    <w:rsid w:val="00EC256E"/>
    <w:rsid w:val="00ED7E6A"/>
    <w:rsid w:val="00EE0E2B"/>
    <w:rsid w:val="00EE3C24"/>
    <w:rsid w:val="00EE7C94"/>
    <w:rsid w:val="00EF0DB8"/>
    <w:rsid w:val="00EF2DC0"/>
    <w:rsid w:val="00F0183F"/>
    <w:rsid w:val="00F02120"/>
    <w:rsid w:val="00F038C5"/>
    <w:rsid w:val="00F03BAE"/>
    <w:rsid w:val="00F052CD"/>
    <w:rsid w:val="00F073BA"/>
    <w:rsid w:val="00F16482"/>
    <w:rsid w:val="00F1741F"/>
    <w:rsid w:val="00F20285"/>
    <w:rsid w:val="00F20965"/>
    <w:rsid w:val="00F22DD7"/>
    <w:rsid w:val="00F25988"/>
    <w:rsid w:val="00F36259"/>
    <w:rsid w:val="00F36B7A"/>
    <w:rsid w:val="00F4487D"/>
    <w:rsid w:val="00F54797"/>
    <w:rsid w:val="00F67BCD"/>
    <w:rsid w:val="00F762BB"/>
    <w:rsid w:val="00F77629"/>
    <w:rsid w:val="00F81B56"/>
    <w:rsid w:val="00F83630"/>
    <w:rsid w:val="00F86090"/>
    <w:rsid w:val="00F9132D"/>
    <w:rsid w:val="00FA5652"/>
    <w:rsid w:val="00FA5D24"/>
    <w:rsid w:val="00FB064B"/>
    <w:rsid w:val="00FB0811"/>
    <w:rsid w:val="00FB08A5"/>
    <w:rsid w:val="00FB248C"/>
    <w:rsid w:val="00FB7447"/>
    <w:rsid w:val="00FC1030"/>
    <w:rsid w:val="00FC110B"/>
    <w:rsid w:val="00FC5FFC"/>
    <w:rsid w:val="00FD2D2E"/>
    <w:rsid w:val="00FD6C3D"/>
    <w:rsid w:val="00FD7847"/>
    <w:rsid w:val="00FE1792"/>
    <w:rsid w:val="00FF55C0"/>
    <w:rsid w:val="00FF6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B0"/>
    <w:pPr>
      <w:spacing w:before="240" w:after="0" w:line="240" w:lineRule="auto"/>
    </w:pPr>
    <w:rPr>
      <w:lang w:eastAsia="en-US"/>
    </w:rPr>
  </w:style>
  <w:style w:type="paragraph" w:styleId="Heading1">
    <w:name w:val="heading 1"/>
    <w:basedOn w:val="Normal"/>
    <w:next w:val="Normal"/>
    <w:qFormat/>
    <w:rsid w:val="007E2421"/>
    <w:pPr>
      <w:keepNext/>
      <w:pageBreakBefore/>
      <w:numPr>
        <w:numId w:val="1"/>
      </w:numPr>
      <w:pBdr>
        <w:bottom w:val="single" w:sz="4" w:space="3" w:color="C40B06"/>
      </w:pBdr>
      <w:spacing w:before="0" w:after="480"/>
      <w:outlineLvl w:val="0"/>
    </w:pPr>
    <w:rPr>
      <w:rFonts w:asciiTheme="minorHAnsi" w:hAnsiTheme="minorHAnsi" w:cstheme="minorHAnsi"/>
      <w:b/>
      <w:caps/>
      <w:spacing w:val="40"/>
      <w:kern w:val="28"/>
      <w:sz w:val="32"/>
      <w:szCs w:val="36"/>
    </w:rPr>
  </w:style>
  <w:style w:type="paragraph" w:styleId="Heading2">
    <w:name w:val="heading 2"/>
    <w:basedOn w:val="Normal"/>
    <w:next w:val="Normal"/>
    <w:link w:val="Heading2Char"/>
    <w:qFormat/>
    <w:rsid w:val="007E2421"/>
    <w:pPr>
      <w:keepNext/>
      <w:numPr>
        <w:ilvl w:val="1"/>
        <w:numId w:val="1"/>
      </w:numPr>
      <w:spacing w:before="360" w:after="60"/>
      <w:contextualSpacing/>
      <w:outlineLvl w:val="1"/>
    </w:pPr>
    <w:rPr>
      <w:rFonts w:asciiTheme="majorHAnsi" w:hAnsiTheme="majorHAnsi"/>
      <w:b/>
      <w:spacing w:val="20"/>
      <w:kern w:val="24"/>
      <w:sz w:val="26"/>
      <w:szCs w:val="26"/>
    </w:rPr>
  </w:style>
  <w:style w:type="paragraph" w:styleId="Heading3">
    <w:name w:val="heading 3"/>
    <w:basedOn w:val="Normal"/>
    <w:next w:val="Normal"/>
    <w:qFormat/>
    <w:rsid w:val="009F309B"/>
    <w:pPr>
      <w:keepNext/>
      <w:numPr>
        <w:ilvl w:val="2"/>
        <w:numId w:val="1"/>
      </w:numPr>
      <w:spacing w:before="360" w:after="60"/>
      <w:outlineLvl w:val="2"/>
    </w:pPr>
    <w:rPr>
      <w:rFonts w:asciiTheme="majorHAnsi" w:hAnsiTheme="majorHAnsi"/>
      <w:b/>
      <w:i/>
      <w:sz w:val="24"/>
      <w:szCs w:val="24"/>
    </w:rPr>
  </w:style>
  <w:style w:type="paragraph" w:styleId="Heading4">
    <w:name w:val="heading 4"/>
    <w:basedOn w:val="Normal"/>
    <w:next w:val="Normal"/>
    <w:link w:val="Heading4Char"/>
    <w:qFormat/>
    <w:rsid w:val="009942B0"/>
    <w:pPr>
      <w:keepNext/>
      <w:spacing w:after="60"/>
      <w:outlineLvl w:val="3"/>
    </w:pPr>
    <w:rPr>
      <w:b/>
      <w:u w:val="single"/>
    </w:rPr>
  </w:style>
  <w:style w:type="paragraph" w:styleId="Heading5">
    <w:name w:val="heading 5"/>
    <w:basedOn w:val="Normal"/>
    <w:next w:val="Normal"/>
    <w:qFormat/>
    <w:rsid w:val="00C21575"/>
    <w:pPr>
      <w:keepNext/>
      <w:outlineLvl w:val="4"/>
    </w:pPr>
    <w:rPr>
      <w:i/>
    </w:rPr>
  </w:style>
  <w:style w:type="paragraph" w:styleId="Heading6">
    <w:name w:val="heading 6"/>
    <w:basedOn w:val="Normal"/>
    <w:next w:val="Normal"/>
    <w:rsid w:val="00744456"/>
    <w:pPr>
      <w:keepNext/>
      <w:spacing w:before="480" w:after="60"/>
      <w:outlineLvl w:val="5"/>
    </w:pPr>
    <w:rPr>
      <w:b/>
      <w:bCs/>
      <w:sz w:val="24"/>
    </w:rPr>
  </w:style>
  <w:style w:type="paragraph" w:styleId="Heading7">
    <w:name w:val="heading 7"/>
    <w:basedOn w:val="Normal"/>
    <w:next w:val="Normal"/>
    <w:rsid w:val="00785255"/>
    <w:pPr>
      <w:spacing w:after="60"/>
      <w:outlineLvl w:val="6"/>
    </w:pPr>
    <w:rPr>
      <w:rFonts w:ascii="Times New Roman" w:hAnsi="Times New Roman"/>
      <w:sz w:val="24"/>
      <w:szCs w:val="24"/>
    </w:rPr>
  </w:style>
  <w:style w:type="paragraph" w:styleId="Heading8">
    <w:name w:val="heading 8"/>
    <w:basedOn w:val="Normal"/>
    <w:next w:val="Normal"/>
    <w:rsid w:val="00785255"/>
    <w:pPr>
      <w:spacing w:after="60"/>
      <w:outlineLvl w:val="7"/>
    </w:pPr>
    <w:rPr>
      <w:rFonts w:ascii="Times New Roman" w:hAnsi="Times New Roman"/>
      <w:i/>
      <w:iCs/>
      <w:sz w:val="24"/>
      <w:szCs w:val="24"/>
    </w:rPr>
  </w:style>
  <w:style w:type="paragraph" w:styleId="Heading9">
    <w:name w:val="heading 9"/>
    <w:basedOn w:val="Normal"/>
    <w:next w:val="Normal"/>
    <w:rsid w:val="00785255"/>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2421"/>
    <w:rPr>
      <w:rFonts w:asciiTheme="majorHAnsi" w:hAnsiTheme="majorHAnsi"/>
      <w:b/>
      <w:spacing w:val="20"/>
      <w:kern w:val="24"/>
      <w:sz w:val="26"/>
      <w:szCs w:val="26"/>
      <w:lang w:eastAsia="en-US"/>
    </w:rPr>
  </w:style>
  <w:style w:type="character" w:customStyle="1" w:styleId="Heading4Char">
    <w:name w:val="Heading 4 Char"/>
    <w:basedOn w:val="DefaultParagraphFont"/>
    <w:link w:val="Heading4"/>
    <w:rsid w:val="009942B0"/>
    <w:rPr>
      <w:b/>
      <w:u w:val="single"/>
      <w:lang w:eastAsia="en-US"/>
    </w:rPr>
  </w:style>
  <w:style w:type="paragraph" w:styleId="TOC1">
    <w:name w:val="toc 1"/>
    <w:basedOn w:val="Normal"/>
    <w:next w:val="Normal"/>
    <w:autoRedefine/>
    <w:uiPriority w:val="39"/>
    <w:rsid w:val="00785255"/>
    <w:pPr>
      <w:tabs>
        <w:tab w:val="left" w:pos="567"/>
        <w:tab w:val="right" w:leader="dot" w:pos="8505"/>
      </w:tabs>
      <w:spacing w:before="120"/>
    </w:pPr>
    <w:rPr>
      <w:b/>
      <w:noProof/>
    </w:rPr>
  </w:style>
  <w:style w:type="table" w:customStyle="1" w:styleId="TableEE">
    <w:name w:val="Table EE"/>
    <w:basedOn w:val="TableNormal"/>
    <w:uiPriority w:val="99"/>
    <w:rsid w:val="00191874"/>
    <w:pPr>
      <w:keepNext/>
      <w:spacing w:after="0" w:line="240" w:lineRule="auto"/>
      <w:jc w:val="center"/>
    </w:pPr>
    <w:rPr>
      <w:sz w:val="16"/>
      <w:szCs w:val="16"/>
    </w:rPr>
    <w:tblPr>
      <w:tblStyleRowBandSize w:val="1"/>
      <w:tblStyleColBandSize w:val="1"/>
      <w:tblInd w:w="0" w:type="dxa"/>
      <w:tblBorders>
        <w:top w:val="single" w:sz="12" w:space="0" w:color="C40B06"/>
        <w:bottom w:val="single" w:sz="12" w:space="0" w:color="C40B06"/>
      </w:tblBorders>
      <w:tblCellMar>
        <w:top w:w="28" w:type="dxa"/>
        <w:left w:w="28" w:type="dxa"/>
        <w:bottom w:w="28" w:type="dxa"/>
        <w:right w:w="28" w:type="dxa"/>
      </w:tblCellMar>
    </w:tblPr>
    <w:trPr>
      <w:cantSplit/>
    </w:trPr>
    <w:tcPr>
      <w:shd w:val="clear" w:color="auto" w:fill="auto"/>
      <w:vAlign w:val="center"/>
    </w:tcPr>
    <w:tblStylePr w:type="firstRow">
      <w:pPr>
        <w:wordWrap/>
        <w:spacing w:beforeLines="0" w:beforeAutospacing="0" w:afterLines="0" w:afterAutospacing="0" w:line="240" w:lineRule="auto"/>
        <w:contextualSpacing w:val="0"/>
      </w:pPr>
      <w:rPr>
        <w:rFonts w:asciiTheme="minorHAnsi" w:hAnsiTheme="minorHAnsi"/>
        <w:b/>
        <w:sz w:val="16"/>
      </w:rPr>
      <w:tblPr/>
      <w:trPr>
        <w:cantSplit w:val="0"/>
      </w:trPr>
      <w:tcPr>
        <w:tcBorders>
          <w:bottom w:val="single" w:sz="6" w:space="0" w:color="C40B06"/>
        </w:tcBorders>
        <w:vAlign w:val="top"/>
      </w:tcPr>
    </w:tblStylePr>
    <w:tblStylePr w:type="lastRow">
      <w:rPr>
        <w:rFonts w:asciiTheme="minorHAnsi" w:hAnsiTheme="minorHAnsi"/>
        <w:b/>
      </w:rPr>
      <w:tblPr/>
      <w:tcPr>
        <w:tcBorders>
          <w:top w:val="single" w:sz="6" w:space="0" w:color="C40B06"/>
          <w:tl2br w:val="none" w:sz="0" w:space="0" w:color="auto"/>
          <w:tr2bl w:val="none" w:sz="0" w:space="0" w:color="auto"/>
        </w:tcBorders>
        <w:shd w:val="clear" w:color="auto" w:fill="auto"/>
      </w:tcPr>
    </w:tblStylePr>
    <w:tblStylePr w:type="firstCol">
      <w:pPr>
        <w:wordWrap/>
        <w:spacing w:beforeLines="0" w:beforeAutospacing="0" w:afterLines="0" w:afterAutospacing="0"/>
        <w:contextualSpacing w:val="0"/>
        <w:jc w:val="left"/>
      </w:pPr>
      <w:rPr>
        <w:rFonts w:asciiTheme="minorHAnsi" w:hAnsiTheme="minorHAnsi"/>
        <w:sz w:val="16"/>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Source">
    <w:name w:val="Source"/>
    <w:basedOn w:val="Normal"/>
    <w:next w:val="Normal"/>
    <w:link w:val="SourceChar"/>
    <w:rsid w:val="00CD6CC4"/>
    <w:pPr>
      <w:spacing w:before="0" w:after="360"/>
      <w:ind w:left="1134" w:hanging="1134"/>
      <w:contextualSpacing/>
    </w:pPr>
    <w:rPr>
      <w:sz w:val="18"/>
    </w:rPr>
  </w:style>
  <w:style w:type="paragraph" w:styleId="ListNumber">
    <w:name w:val="List Number"/>
    <w:basedOn w:val="Normal"/>
    <w:rsid w:val="00917100"/>
    <w:pPr>
      <w:numPr>
        <w:numId w:val="3"/>
      </w:numPr>
      <w:spacing w:before="180"/>
    </w:pPr>
  </w:style>
  <w:style w:type="paragraph" w:styleId="Caption">
    <w:name w:val="caption"/>
    <w:basedOn w:val="Normal"/>
    <w:next w:val="Normal"/>
    <w:link w:val="CaptionChar"/>
    <w:qFormat/>
    <w:rsid w:val="00785255"/>
    <w:pPr>
      <w:keepNext/>
      <w:spacing w:before="360" w:after="120"/>
      <w:ind w:left="1134" w:hanging="1134"/>
    </w:pPr>
    <w:rPr>
      <w:b/>
    </w:rPr>
  </w:style>
  <w:style w:type="paragraph" w:styleId="Footer">
    <w:name w:val="footer"/>
    <w:basedOn w:val="Header"/>
    <w:next w:val="Footerfollow"/>
    <w:rsid w:val="004E733B"/>
    <w:rPr>
      <w:caps w:val="0"/>
      <w:szCs w:val="14"/>
    </w:rPr>
  </w:style>
  <w:style w:type="paragraph" w:styleId="Header">
    <w:name w:val="header"/>
    <w:basedOn w:val="Normal"/>
    <w:rsid w:val="001C75CF"/>
    <w:pPr>
      <w:spacing w:before="0"/>
      <w:jc w:val="center"/>
    </w:pPr>
    <w:rPr>
      <w:b/>
      <w:caps/>
      <w:spacing w:val="40"/>
      <w:kern w:val="12"/>
      <w:sz w:val="12"/>
      <w:szCs w:val="16"/>
    </w:rPr>
  </w:style>
  <w:style w:type="paragraph" w:customStyle="1" w:styleId="Footerfollow">
    <w:name w:val="Footer follow"/>
    <w:basedOn w:val="Footer"/>
    <w:rsid w:val="00785255"/>
    <w:pPr>
      <w:spacing w:before="120"/>
    </w:pPr>
    <w:rPr>
      <w:b w:val="0"/>
    </w:rPr>
  </w:style>
  <w:style w:type="paragraph" w:styleId="ListContinue">
    <w:name w:val="List Continue"/>
    <w:basedOn w:val="Normal"/>
    <w:rsid w:val="00917100"/>
    <w:pPr>
      <w:numPr>
        <w:ilvl w:val="1"/>
        <w:numId w:val="3"/>
      </w:numPr>
      <w:spacing w:before="120"/>
    </w:pPr>
  </w:style>
  <w:style w:type="paragraph" w:styleId="TOC2">
    <w:name w:val="toc 2"/>
    <w:basedOn w:val="Normal"/>
    <w:next w:val="Normal"/>
    <w:autoRedefine/>
    <w:uiPriority w:val="39"/>
    <w:rsid w:val="00CD6CC4"/>
    <w:pPr>
      <w:tabs>
        <w:tab w:val="left" w:pos="567"/>
        <w:tab w:val="right" w:leader="dot" w:pos="8505"/>
      </w:tabs>
      <w:spacing w:before="20"/>
    </w:pPr>
    <w:rPr>
      <w:sz w:val="20"/>
    </w:rPr>
  </w:style>
  <w:style w:type="character" w:styleId="PageNumber">
    <w:name w:val="page number"/>
    <w:basedOn w:val="DefaultParagraphFont"/>
    <w:semiHidden/>
    <w:rsid w:val="00785255"/>
  </w:style>
  <w:style w:type="paragraph" w:customStyle="1" w:styleId="Bullet">
    <w:name w:val="Bullet"/>
    <w:basedOn w:val="Normal"/>
    <w:link w:val="BulletChar"/>
    <w:qFormat/>
    <w:rsid w:val="00F762BB"/>
    <w:pPr>
      <w:numPr>
        <w:numId w:val="2"/>
      </w:numPr>
      <w:spacing w:before="180"/>
    </w:pPr>
  </w:style>
  <w:style w:type="paragraph" w:customStyle="1" w:styleId="Contents">
    <w:name w:val="Contents"/>
    <w:basedOn w:val="Normal"/>
    <w:rsid w:val="00785255"/>
    <w:rPr>
      <w:b/>
      <w:spacing w:val="30"/>
      <w:sz w:val="28"/>
      <w:szCs w:val="28"/>
    </w:rPr>
  </w:style>
  <w:style w:type="paragraph" w:customStyle="1" w:styleId="Bulletfollow">
    <w:name w:val="Bullet follow"/>
    <w:basedOn w:val="Normal"/>
    <w:qFormat/>
    <w:rsid w:val="00F762BB"/>
    <w:pPr>
      <w:numPr>
        <w:ilvl w:val="1"/>
        <w:numId w:val="2"/>
      </w:numPr>
      <w:spacing w:before="120"/>
    </w:pPr>
  </w:style>
  <w:style w:type="paragraph" w:customStyle="1" w:styleId="Coverdate">
    <w:name w:val="Cover date"/>
    <w:basedOn w:val="Normal"/>
    <w:rsid w:val="00785255"/>
    <w:pPr>
      <w:spacing w:after="60"/>
      <w:jc w:val="center"/>
      <w:outlineLvl w:val="1"/>
    </w:pPr>
    <w:rPr>
      <w:rFonts w:ascii="Arial Narrow" w:hAnsi="Arial Narrow" w:cs="Arial"/>
      <w:b/>
      <w:spacing w:val="30"/>
      <w:sz w:val="24"/>
      <w:szCs w:val="24"/>
    </w:rPr>
  </w:style>
  <w:style w:type="paragraph" w:customStyle="1" w:styleId="Covernormaltext">
    <w:name w:val="Cover normal text"/>
    <w:basedOn w:val="Normal"/>
    <w:rsid w:val="003E0816"/>
    <w:pPr>
      <w:jc w:val="center"/>
    </w:pPr>
  </w:style>
  <w:style w:type="paragraph" w:customStyle="1" w:styleId="Coversub-title">
    <w:name w:val="Cover sub-title"/>
    <w:basedOn w:val="Normal"/>
    <w:rsid w:val="003E0816"/>
    <w:pPr>
      <w:jc w:val="center"/>
    </w:pPr>
    <w:rPr>
      <w:b/>
      <w:sz w:val="24"/>
    </w:rPr>
  </w:style>
  <w:style w:type="paragraph" w:customStyle="1" w:styleId="CoverTitle">
    <w:name w:val="Cover Title"/>
    <w:basedOn w:val="Normal"/>
    <w:rsid w:val="003E0816"/>
    <w:pPr>
      <w:jc w:val="center"/>
    </w:pPr>
    <w:rPr>
      <w:rFonts w:ascii="Arial Narrow" w:hAnsi="Arial Narrow"/>
      <w:b/>
      <w:color w:val="C40B06"/>
      <w:spacing w:val="28"/>
      <w:kern w:val="40"/>
      <w:sz w:val="40"/>
      <w:szCs w:val="40"/>
    </w:rPr>
  </w:style>
  <w:style w:type="paragraph" w:customStyle="1" w:styleId="Heading1notnumbered">
    <w:name w:val="Heading 1 not numbered"/>
    <w:basedOn w:val="Heading1"/>
    <w:rsid w:val="007E2421"/>
    <w:pPr>
      <w:numPr>
        <w:numId w:val="0"/>
      </w:numPr>
    </w:pPr>
    <w:rPr>
      <w:rFonts w:cstheme="majorHAnsi"/>
    </w:rPr>
  </w:style>
  <w:style w:type="paragraph" w:customStyle="1" w:styleId="Heading2notnumbered">
    <w:name w:val="Heading 2 not numbered"/>
    <w:basedOn w:val="Heading2"/>
    <w:next w:val="Normal"/>
    <w:rsid w:val="007E2421"/>
    <w:pPr>
      <w:numPr>
        <w:ilvl w:val="0"/>
        <w:numId w:val="0"/>
      </w:numPr>
    </w:pPr>
  </w:style>
  <w:style w:type="paragraph" w:styleId="Date">
    <w:name w:val="Date"/>
    <w:basedOn w:val="Normal"/>
    <w:next w:val="Normal"/>
    <w:semiHidden/>
    <w:rsid w:val="00785255"/>
  </w:style>
  <w:style w:type="paragraph" w:styleId="BodyText">
    <w:name w:val="Body Text"/>
    <w:basedOn w:val="Normal"/>
    <w:semiHidden/>
    <w:rsid w:val="00785255"/>
    <w:pPr>
      <w:spacing w:before="0" w:after="120"/>
    </w:pPr>
  </w:style>
  <w:style w:type="paragraph" w:styleId="DocumentMap">
    <w:name w:val="Document Map"/>
    <w:basedOn w:val="Normal"/>
    <w:semiHidden/>
    <w:rsid w:val="00785255"/>
    <w:pPr>
      <w:shd w:val="clear" w:color="auto" w:fill="000080"/>
    </w:pPr>
    <w:rPr>
      <w:rFonts w:ascii="Tahoma" w:hAnsi="Tahoma"/>
    </w:rPr>
  </w:style>
  <w:style w:type="paragraph" w:styleId="FootnoteText">
    <w:name w:val="footnote text"/>
    <w:basedOn w:val="Normal"/>
    <w:semiHidden/>
    <w:rsid w:val="00785255"/>
  </w:style>
  <w:style w:type="paragraph" w:styleId="NormalIndent">
    <w:name w:val="Normal Indent"/>
    <w:basedOn w:val="Normal"/>
    <w:semiHidden/>
    <w:rsid w:val="00785255"/>
    <w:pPr>
      <w:ind w:left="709"/>
    </w:pPr>
  </w:style>
  <w:style w:type="paragraph" w:customStyle="1" w:styleId="Table">
    <w:name w:val="Table"/>
    <w:basedOn w:val="Normal"/>
    <w:rsid w:val="009942B0"/>
    <w:pPr>
      <w:keepNext/>
      <w:spacing w:before="0"/>
    </w:pPr>
    <w:rPr>
      <w:snapToGrid w:val="0"/>
      <w:color w:val="000000"/>
      <w:sz w:val="18"/>
    </w:rPr>
  </w:style>
  <w:style w:type="paragraph" w:customStyle="1" w:styleId="Tablebullet">
    <w:name w:val="Table bullet"/>
    <w:basedOn w:val="Table"/>
    <w:next w:val="Normal"/>
    <w:rsid w:val="00E76F01"/>
    <w:pPr>
      <w:tabs>
        <w:tab w:val="num" w:pos="284"/>
      </w:tabs>
      <w:spacing w:after="60"/>
      <w:ind w:left="284" w:hanging="284"/>
    </w:pPr>
  </w:style>
  <w:style w:type="paragraph" w:styleId="TableofAuthorities">
    <w:name w:val="table of authorities"/>
    <w:basedOn w:val="Normal"/>
    <w:next w:val="Normal"/>
    <w:semiHidden/>
    <w:rsid w:val="00785255"/>
    <w:pPr>
      <w:ind w:left="200" w:hanging="200"/>
    </w:pPr>
  </w:style>
  <w:style w:type="paragraph" w:styleId="TableofFigures">
    <w:name w:val="table of figures"/>
    <w:basedOn w:val="Normal"/>
    <w:next w:val="Normal"/>
    <w:semiHidden/>
    <w:rsid w:val="00785255"/>
    <w:pPr>
      <w:ind w:left="400" w:hanging="400"/>
    </w:pPr>
  </w:style>
  <w:style w:type="paragraph" w:styleId="TOC3">
    <w:name w:val="toc 3"/>
    <w:basedOn w:val="Normal"/>
    <w:next w:val="Normal"/>
    <w:autoRedefine/>
    <w:semiHidden/>
    <w:rsid w:val="00785255"/>
    <w:pPr>
      <w:ind w:left="400"/>
    </w:pPr>
  </w:style>
  <w:style w:type="paragraph" w:styleId="TOC4">
    <w:name w:val="toc 4"/>
    <w:basedOn w:val="Normal"/>
    <w:next w:val="Normal"/>
    <w:autoRedefine/>
    <w:semiHidden/>
    <w:rsid w:val="00785255"/>
    <w:pPr>
      <w:ind w:left="600"/>
    </w:pPr>
  </w:style>
  <w:style w:type="paragraph" w:styleId="TOC5">
    <w:name w:val="toc 5"/>
    <w:basedOn w:val="Normal"/>
    <w:next w:val="Normal"/>
    <w:autoRedefine/>
    <w:semiHidden/>
    <w:rsid w:val="00785255"/>
    <w:pPr>
      <w:ind w:left="800"/>
    </w:pPr>
  </w:style>
  <w:style w:type="paragraph" w:styleId="TOC6">
    <w:name w:val="toc 6"/>
    <w:basedOn w:val="Normal"/>
    <w:next w:val="Normal"/>
    <w:autoRedefine/>
    <w:semiHidden/>
    <w:rsid w:val="00785255"/>
    <w:pPr>
      <w:ind w:left="1000"/>
    </w:pPr>
  </w:style>
  <w:style w:type="paragraph" w:styleId="TOC7">
    <w:name w:val="toc 7"/>
    <w:basedOn w:val="Normal"/>
    <w:next w:val="Normal"/>
    <w:autoRedefine/>
    <w:semiHidden/>
    <w:rsid w:val="00785255"/>
    <w:pPr>
      <w:ind w:left="1200"/>
    </w:pPr>
  </w:style>
  <w:style w:type="paragraph" w:styleId="TOC8">
    <w:name w:val="toc 8"/>
    <w:basedOn w:val="Normal"/>
    <w:next w:val="Normal"/>
    <w:autoRedefine/>
    <w:semiHidden/>
    <w:rsid w:val="00785255"/>
    <w:pPr>
      <w:ind w:left="1400"/>
    </w:pPr>
  </w:style>
  <w:style w:type="paragraph" w:styleId="TOC9">
    <w:name w:val="toc 9"/>
    <w:basedOn w:val="Normal"/>
    <w:next w:val="Normal"/>
    <w:autoRedefine/>
    <w:semiHidden/>
    <w:rsid w:val="00785255"/>
    <w:pPr>
      <w:ind w:left="1600"/>
    </w:pPr>
  </w:style>
  <w:style w:type="paragraph" w:customStyle="1" w:styleId="Bulletlettered">
    <w:name w:val="Bullet lettered"/>
    <w:basedOn w:val="Normal"/>
    <w:rsid w:val="00F762BB"/>
    <w:pPr>
      <w:numPr>
        <w:ilvl w:val="2"/>
        <w:numId w:val="2"/>
      </w:numPr>
      <w:spacing w:before="120"/>
    </w:pPr>
  </w:style>
  <w:style w:type="character" w:styleId="Emphasis">
    <w:name w:val="Emphasis"/>
    <w:basedOn w:val="DefaultParagraphFont"/>
    <w:uiPriority w:val="20"/>
    <w:qFormat/>
    <w:rsid w:val="00155F97"/>
    <w:rPr>
      <w:i/>
      <w:iCs/>
    </w:rPr>
  </w:style>
  <w:style w:type="paragraph" w:customStyle="1" w:styleId="Drafttextforcover">
    <w:name w:val="Draft text for cover"/>
    <w:basedOn w:val="Coversub-title"/>
    <w:qFormat/>
    <w:rsid w:val="00E53933"/>
    <w:rPr>
      <w:color w:val="808080"/>
    </w:rPr>
  </w:style>
  <w:style w:type="paragraph" w:customStyle="1" w:styleId="Coverprojectnumber">
    <w:name w:val="Cover project number"/>
    <w:basedOn w:val="TOC1"/>
    <w:qFormat/>
    <w:rsid w:val="00CD6CC4"/>
    <w:rPr>
      <w:rFonts w:cstheme="majorHAnsi"/>
    </w:rPr>
  </w:style>
  <w:style w:type="paragraph" w:customStyle="1" w:styleId="Headerdraftreportline">
    <w:name w:val="Header draft report line"/>
    <w:basedOn w:val="Header"/>
    <w:qFormat/>
    <w:rsid w:val="003E0816"/>
    <w:rPr>
      <w:color w:val="808080"/>
    </w:rPr>
  </w:style>
  <w:style w:type="paragraph" w:customStyle="1" w:styleId="Bullettext">
    <w:name w:val="Bullet text"/>
    <w:basedOn w:val="Normal"/>
    <w:rsid w:val="00F762BB"/>
    <w:pPr>
      <w:numPr>
        <w:ilvl w:val="3"/>
        <w:numId w:val="2"/>
      </w:numPr>
    </w:pPr>
  </w:style>
  <w:style w:type="paragraph" w:styleId="BalloonText">
    <w:name w:val="Balloon Text"/>
    <w:basedOn w:val="Normal"/>
    <w:link w:val="BalloonTextChar"/>
    <w:uiPriority w:val="99"/>
    <w:semiHidden/>
    <w:unhideWhenUsed/>
    <w:rsid w:val="008A233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330"/>
    <w:rPr>
      <w:rFonts w:ascii="Tahoma" w:hAnsi="Tahoma" w:cs="Tahoma"/>
      <w:sz w:val="16"/>
      <w:szCs w:val="16"/>
      <w:lang w:eastAsia="en-US"/>
    </w:rPr>
  </w:style>
  <w:style w:type="paragraph" w:customStyle="1" w:styleId="Insidecoverheadings">
    <w:name w:val="Inside cover headings"/>
    <w:basedOn w:val="Heading4"/>
    <w:qFormat/>
    <w:rsid w:val="00BC6CDB"/>
    <w:pPr>
      <w:outlineLvl w:val="9"/>
    </w:pPr>
  </w:style>
  <w:style w:type="numbering" w:customStyle="1" w:styleId="Chapterlist">
    <w:name w:val="Chapter list"/>
    <w:uiPriority w:val="99"/>
    <w:rsid w:val="00BC6CDB"/>
    <w:pPr>
      <w:numPr>
        <w:numId w:val="4"/>
      </w:numPr>
    </w:pPr>
  </w:style>
  <w:style w:type="paragraph" w:customStyle="1" w:styleId="Chapterliststyle">
    <w:name w:val="Chapter list style"/>
    <w:basedOn w:val="Normal"/>
    <w:qFormat/>
    <w:rsid w:val="00191874"/>
    <w:pPr>
      <w:numPr>
        <w:numId w:val="5"/>
      </w:numPr>
      <w:ind w:left="1134" w:hanging="1134"/>
    </w:pPr>
  </w:style>
  <w:style w:type="table" w:styleId="TableGrid">
    <w:name w:val="Table Grid"/>
    <w:basedOn w:val="TableNormal"/>
    <w:uiPriority w:val="59"/>
    <w:rsid w:val="00191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D481D"/>
    <w:rPr>
      <w:color w:val="0000FF"/>
      <w:u w:val="single"/>
    </w:rPr>
  </w:style>
  <w:style w:type="paragraph" w:styleId="ListParagraph">
    <w:name w:val="List Paragraph"/>
    <w:basedOn w:val="Normal"/>
    <w:uiPriority w:val="34"/>
    <w:qFormat/>
    <w:rsid w:val="003B5E77"/>
    <w:pPr>
      <w:ind w:left="720"/>
      <w:contextualSpacing/>
    </w:pPr>
  </w:style>
  <w:style w:type="paragraph" w:customStyle="1" w:styleId="basicparagraph">
    <w:name w:val="basicparagraph"/>
    <w:basedOn w:val="Normal"/>
    <w:rsid w:val="000E18F4"/>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rsid w:val="000E18F4"/>
  </w:style>
  <w:style w:type="character" w:customStyle="1" w:styleId="CaptionChar">
    <w:name w:val="Caption Char"/>
    <w:basedOn w:val="DefaultParagraphFont"/>
    <w:link w:val="Caption"/>
    <w:rsid w:val="004D6C09"/>
    <w:rPr>
      <w:b/>
      <w:lang w:eastAsia="en-US"/>
    </w:rPr>
  </w:style>
  <w:style w:type="character" w:customStyle="1" w:styleId="SourceChar">
    <w:name w:val="Source Char"/>
    <w:basedOn w:val="DefaultParagraphFont"/>
    <w:link w:val="Source"/>
    <w:rsid w:val="004D6C09"/>
    <w:rPr>
      <w:sz w:val="18"/>
      <w:lang w:eastAsia="en-US"/>
    </w:rPr>
  </w:style>
  <w:style w:type="character" w:customStyle="1" w:styleId="BulletChar">
    <w:name w:val="Bullet Char"/>
    <w:basedOn w:val="DefaultParagraphFont"/>
    <w:link w:val="Bullet"/>
    <w:locked/>
    <w:rsid w:val="00C41932"/>
    <w:rPr>
      <w:lang w:eastAsia="en-US"/>
    </w:rPr>
  </w:style>
  <w:style w:type="paragraph" w:styleId="NormalWeb">
    <w:name w:val="Normal (Web)"/>
    <w:basedOn w:val="Normal"/>
    <w:uiPriority w:val="99"/>
    <w:semiHidden/>
    <w:unhideWhenUsed/>
    <w:rsid w:val="009357FE"/>
    <w:pPr>
      <w:spacing w:before="100" w:beforeAutospacing="1" w:after="100" w:afterAutospacing="1"/>
    </w:pPr>
    <w:rPr>
      <w:rFonts w:ascii="Times New Roman" w:hAnsi="Times New Roman"/>
      <w:sz w:val="24"/>
      <w:szCs w:val="24"/>
      <w:lang w:eastAsia="en-AU"/>
    </w:rPr>
  </w:style>
  <w:style w:type="paragraph" w:customStyle="1" w:styleId="Default">
    <w:name w:val="Default"/>
    <w:rsid w:val="00E34EF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57AF2"/>
    <w:rPr>
      <w:sz w:val="16"/>
      <w:szCs w:val="16"/>
    </w:rPr>
  </w:style>
  <w:style w:type="paragraph" w:styleId="CommentText">
    <w:name w:val="annotation text"/>
    <w:basedOn w:val="Normal"/>
    <w:link w:val="CommentTextChar"/>
    <w:uiPriority w:val="99"/>
    <w:semiHidden/>
    <w:unhideWhenUsed/>
    <w:rsid w:val="00457AF2"/>
    <w:rPr>
      <w:sz w:val="20"/>
      <w:szCs w:val="20"/>
    </w:rPr>
  </w:style>
  <w:style w:type="character" w:customStyle="1" w:styleId="CommentTextChar">
    <w:name w:val="Comment Text Char"/>
    <w:basedOn w:val="DefaultParagraphFont"/>
    <w:link w:val="CommentText"/>
    <w:uiPriority w:val="99"/>
    <w:semiHidden/>
    <w:rsid w:val="00457AF2"/>
    <w:rPr>
      <w:sz w:val="20"/>
      <w:szCs w:val="20"/>
      <w:lang w:eastAsia="en-US"/>
    </w:rPr>
  </w:style>
  <w:style w:type="paragraph" w:styleId="CommentSubject">
    <w:name w:val="annotation subject"/>
    <w:basedOn w:val="CommentText"/>
    <w:next w:val="CommentText"/>
    <w:link w:val="CommentSubjectChar"/>
    <w:uiPriority w:val="99"/>
    <w:semiHidden/>
    <w:unhideWhenUsed/>
    <w:rsid w:val="00457AF2"/>
    <w:rPr>
      <w:b/>
      <w:bCs/>
    </w:rPr>
  </w:style>
  <w:style w:type="character" w:customStyle="1" w:styleId="CommentSubjectChar">
    <w:name w:val="Comment Subject Char"/>
    <w:basedOn w:val="CommentTextChar"/>
    <w:link w:val="CommentSubject"/>
    <w:uiPriority w:val="99"/>
    <w:semiHidden/>
    <w:rsid w:val="00457AF2"/>
    <w:rPr>
      <w:b/>
      <w:bCs/>
      <w:sz w:val="20"/>
      <w:szCs w:val="20"/>
      <w:lang w:eastAsia="en-US"/>
    </w:rPr>
  </w:style>
  <w:style w:type="paragraph" w:styleId="Revision">
    <w:name w:val="Revision"/>
    <w:hidden/>
    <w:uiPriority w:val="99"/>
    <w:semiHidden/>
    <w:rsid w:val="00C73347"/>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B0"/>
    <w:pPr>
      <w:spacing w:before="240" w:after="0" w:line="240" w:lineRule="auto"/>
    </w:pPr>
    <w:rPr>
      <w:lang w:eastAsia="en-US"/>
    </w:rPr>
  </w:style>
  <w:style w:type="paragraph" w:styleId="Heading1">
    <w:name w:val="heading 1"/>
    <w:basedOn w:val="Normal"/>
    <w:next w:val="Normal"/>
    <w:qFormat/>
    <w:rsid w:val="007E2421"/>
    <w:pPr>
      <w:keepNext/>
      <w:pageBreakBefore/>
      <w:numPr>
        <w:numId w:val="1"/>
      </w:numPr>
      <w:pBdr>
        <w:bottom w:val="single" w:sz="4" w:space="3" w:color="C40B06"/>
      </w:pBdr>
      <w:spacing w:before="0" w:after="480"/>
      <w:outlineLvl w:val="0"/>
    </w:pPr>
    <w:rPr>
      <w:rFonts w:asciiTheme="minorHAnsi" w:hAnsiTheme="minorHAnsi" w:cstheme="minorHAnsi"/>
      <w:b/>
      <w:caps/>
      <w:spacing w:val="40"/>
      <w:kern w:val="28"/>
      <w:sz w:val="32"/>
      <w:szCs w:val="36"/>
    </w:rPr>
  </w:style>
  <w:style w:type="paragraph" w:styleId="Heading2">
    <w:name w:val="heading 2"/>
    <w:basedOn w:val="Normal"/>
    <w:next w:val="Normal"/>
    <w:link w:val="Heading2Char"/>
    <w:qFormat/>
    <w:rsid w:val="007E2421"/>
    <w:pPr>
      <w:keepNext/>
      <w:numPr>
        <w:ilvl w:val="1"/>
        <w:numId w:val="1"/>
      </w:numPr>
      <w:spacing w:before="360" w:after="60"/>
      <w:contextualSpacing/>
      <w:outlineLvl w:val="1"/>
    </w:pPr>
    <w:rPr>
      <w:rFonts w:asciiTheme="majorHAnsi" w:hAnsiTheme="majorHAnsi"/>
      <w:b/>
      <w:spacing w:val="20"/>
      <w:kern w:val="24"/>
      <w:sz w:val="26"/>
      <w:szCs w:val="26"/>
    </w:rPr>
  </w:style>
  <w:style w:type="paragraph" w:styleId="Heading3">
    <w:name w:val="heading 3"/>
    <w:basedOn w:val="Normal"/>
    <w:next w:val="Normal"/>
    <w:qFormat/>
    <w:rsid w:val="009F309B"/>
    <w:pPr>
      <w:keepNext/>
      <w:numPr>
        <w:ilvl w:val="2"/>
        <w:numId w:val="1"/>
      </w:numPr>
      <w:spacing w:before="360" w:after="60"/>
      <w:outlineLvl w:val="2"/>
    </w:pPr>
    <w:rPr>
      <w:rFonts w:asciiTheme="majorHAnsi" w:hAnsiTheme="majorHAnsi"/>
      <w:b/>
      <w:i/>
      <w:sz w:val="24"/>
      <w:szCs w:val="24"/>
    </w:rPr>
  </w:style>
  <w:style w:type="paragraph" w:styleId="Heading4">
    <w:name w:val="heading 4"/>
    <w:basedOn w:val="Normal"/>
    <w:next w:val="Normal"/>
    <w:link w:val="Heading4Char"/>
    <w:qFormat/>
    <w:rsid w:val="009942B0"/>
    <w:pPr>
      <w:keepNext/>
      <w:spacing w:after="60"/>
      <w:outlineLvl w:val="3"/>
    </w:pPr>
    <w:rPr>
      <w:b/>
      <w:u w:val="single"/>
    </w:rPr>
  </w:style>
  <w:style w:type="paragraph" w:styleId="Heading5">
    <w:name w:val="heading 5"/>
    <w:basedOn w:val="Normal"/>
    <w:next w:val="Normal"/>
    <w:qFormat/>
    <w:rsid w:val="00C21575"/>
    <w:pPr>
      <w:keepNext/>
      <w:outlineLvl w:val="4"/>
    </w:pPr>
    <w:rPr>
      <w:i/>
    </w:rPr>
  </w:style>
  <w:style w:type="paragraph" w:styleId="Heading6">
    <w:name w:val="heading 6"/>
    <w:basedOn w:val="Normal"/>
    <w:next w:val="Normal"/>
    <w:rsid w:val="00744456"/>
    <w:pPr>
      <w:keepNext/>
      <w:spacing w:before="480" w:after="60"/>
      <w:outlineLvl w:val="5"/>
    </w:pPr>
    <w:rPr>
      <w:b/>
      <w:bCs/>
      <w:sz w:val="24"/>
    </w:rPr>
  </w:style>
  <w:style w:type="paragraph" w:styleId="Heading7">
    <w:name w:val="heading 7"/>
    <w:basedOn w:val="Normal"/>
    <w:next w:val="Normal"/>
    <w:rsid w:val="00785255"/>
    <w:pPr>
      <w:spacing w:after="60"/>
      <w:outlineLvl w:val="6"/>
    </w:pPr>
    <w:rPr>
      <w:rFonts w:ascii="Times New Roman" w:hAnsi="Times New Roman"/>
      <w:sz w:val="24"/>
      <w:szCs w:val="24"/>
    </w:rPr>
  </w:style>
  <w:style w:type="paragraph" w:styleId="Heading8">
    <w:name w:val="heading 8"/>
    <w:basedOn w:val="Normal"/>
    <w:next w:val="Normal"/>
    <w:rsid w:val="00785255"/>
    <w:pPr>
      <w:spacing w:after="60"/>
      <w:outlineLvl w:val="7"/>
    </w:pPr>
    <w:rPr>
      <w:rFonts w:ascii="Times New Roman" w:hAnsi="Times New Roman"/>
      <w:i/>
      <w:iCs/>
      <w:sz w:val="24"/>
      <w:szCs w:val="24"/>
    </w:rPr>
  </w:style>
  <w:style w:type="paragraph" w:styleId="Heading9">
    <w:name w:val="heading 9"/>
    <w:basedOn w:val="Normal"/>
    <w:next w:val="Normal"/>
    <w:rsid w:val="00785255"/>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2421"/>
    <w:rPr>
      <w:rFonts w:asciiTheme="majorHAnsi" w:hAnsiTheme="majorHAnsi"/>
      <w:b/>
      <w:spacing w:val="20"/>
      <w:kern w:val="24"/>
      <w:sz w:val="26"/>
      <w:szCs w:val="26"/>
      <w:lang w:eastAsia="en-US"/>
    </w:rPr>
  </w:style>
  <w:style w:type="character" w:customStyle="1" w:styleId="Heading4Char">
    <w:name w:val="Heading 4 Char"/>
    <w:basedOn w:val="DefaultParagraphFont"/>
    <w:link w:val="Heading4"/>
    <w:rsid w:val="009942B0"/>
    <w:rPr>
      <w:b/>
      <w:u w:val="single"/>
      <w:lang w:eastAsia="en-US"/>
    </w:rPr>
  </w:style>
  <w:style w:type="paragraph" w:styleId="TOC1">
    <w:name w:val="toc 1"/>
    <w:basedOn w:val="Normal"/>
    <w:next w:val="Normal"/>
    <w:autoRedefine/>
    <w:uiPriority w:val="39"/>
    <w:rsid w:val="00785255"/>
    <w:pPr>
      <w:tabs>
        <w:tab w:val="left" w:pos="567"/>
        <w:tab w:val="right" w:leader="dot" w:pos="8505"/>
      </w:tabs>
      <w:spacing w:before="120"/>
    </w:pPr>
    <w:rPr>
      <w:b/>
      <w:noProof/>
    </w:rPr>
  </w:style>
  <w:style w:type="table" w:customStyle="1" w:styleId="TableEE">
    <w:name w:val="Table EE"/>
    <w:basedOn w:val="TableNormal"/>
    <w:uiPriority w:val="99"/>
    <w:rsid w:val="00191874"/>
    <w:pPr>
      <w:keepNext/>
      <w:spacing w:after="0" w:line="240" w:lineRule="auto"/>
      <w:jc w:val="center"/>
    </w:pPr>
    <w:rPr>
      <w:sz w:val="16"/>
      <w:szCs w:val="16"/>
    </w:rPr>
    <w:tblPr>
      <w:tblStyleRowBandSize w:val="1"/>
      <w:tblStyleColBandSize w:val="1"/>
      <w:tblInd w:w="0" w:type="dxa"/>
      <w:tblBorders>
        <w:top w:val="single" w:sz="12" w:space="0" w:color="C40B06"/>
        <w:bottom w:val="single" w:sz="12" w:space="0" w:color="C40B06"/>
      </w:tblBorders>
      <w:tblCellMar>
        <w:top w:w="28" w:type="dxa"/>
        <w:left w:w="28" w:type="dxa"/>
        <w:bottom w:w="28" w:type="dxa"/>
        <w:right w:w="28" w:type="dxa"/>
      </w:tblCellMar>
    </w:tblPr>
    <w:trPr>
      <w:cantSplit/>
    </w:trPr>
    <w:tcPr>
      <w:shd w:val="clear" w:color="auto" w:fill="auto"/>
      <w:vAlign w:val="center"/>
    </w:tcPr>
    <w:tblStylePr w:type="firstRow">
      <w:pPr>
        <w:wordWrap/>
        <w:spacing w:beforeLines="0" w:beforeAutospacing="0" w:afterLines="0" w:afterAutospacing="0" w:line="240" w:lineRule="auto"/>
        <w:contextualSpacing w:val="0"/>
      </w:pPr>
      <w:rPr>
        <w:rFonts w:asciiTheme="minorHAnsi" w:hAnsiTheme="minorHAnsi"/>
        <w:b/>
        <w:sz w:val="16"/>
      </w:rPr>
      <w:tblPr/>
      <w:trPr>
        <w:cantSplit w:val="0"/>
      </w:trPr>
      <w:tcPr>
        <w:tcBorders>
          <w:bottom w:val="single" w:sz="6" w:space="0" w:color="C40B06"/>
        </w:tcBorders>
        <w:vAlign w:val="top"/>
      </w:tcPr>
    </w:tblStylePr>
    <w:tblStylePr w:type="lastRow">
      <w:rPr>
        <w:rFonts w:asciiTheme="minorHAnsi" w:hAnsiTheme="minorHAnsi"/>
        <w:b/>
      </w:rPr>
      <w:tblPr/>
      <w:tcPr>
        <w:tcBorders>
          <w:top w:val="single" w:sz="6" w:space="0" w:color="C40B06"/>
          <w:tl2br w:val="none" w:sz="0" w:space="0" w:color="auto"/>
          <w:tr2bl w:val="none" w:sz="0" w:space="0" w:color="auto"/>
        </w:tcBorders>
        <w:shd w:val="clear" w:color="auto" w:fill="auto"/>
      </w:tcPr>
    </w:tblStylePr>
    <w:tblStylePr w:type="firstCol">
      <w:pPr>
        <w:wordWrap/>
        <w:spacing w:beforeLines="0" w:beforeAutospacing="0" w:afterLines="0" w:afterAutospacing="0"/>
        <w:contextualSpacing w:val="0"/>
        <w:jc w:val="left"/>
      </w:pPr>
      <w:rPr>
        <w:rFonts w:asciiTheme="minorHAnsi" w:hAnsiTheme="minorHAnsi"/>
        <w:sz w:val="16"/>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Source">
    <w:name w:val="Source"/>
    <w:basedOn w:val="Normal"/>
    <w:next w:val="Normal"/>
    <w:link w:val="SourceChar"/>
    <w:rsid w:val="00CD6CC4"/>
    <w:pPr>
      <w:spacing w:before="0" w:after="360"/>
      <w:ind w:left="1134" w:hanging="1134"/>
      <w:contextualSpacing/>
    </w:pPr>
    <w:rPr>
      <w:sz w:val="18"/>
    </w:rPr>
  </w:style>
  <w:style w:type="paragraph" w:styleId="ListNumber">
    <w:name w:val="List Number"/>
    <w:basedOn w:val="Normal"/>
    <w:rsid w:val="00917100"/>
    <w:pPr>
      <w:numPr>
        <w:numId w:val="3"/>
      </w:numPr>
      <w:spacing w:before="180"/>
    </w:pPr>
  </w:style>
  <w:style w:type="paragraph" w:styleId="Caption">
    <w:name w:val="caption"/>
    <w:basedOn w:val="Normal"/>
    <w:next w:val="Normal"/>
    <w:link w:val="CaptionChar"/>
    <w:qFormat/>
    <w:rsid w:val="00785255"/>
    <w:pPr>
      <w:keepNext/>
      <w:spacing w:before="360" w:after="120"/>
      <w:ind w:left="1134" w:hanging="1134"/>
    </w:pPr>
    <w:rPr>
      <w:b/>
    </w:rPr>
  </w:style>
  <w:style w:type="paragraph" w:styleId="Footer">
    <w:name w:val="footer"/>
    <w:basedOn w:val="Header"/>
    <w:next w:val="Footerfollow"/>
    <w:rsid w:val="004E733B"/>
    <w:rPr>
      <w:caps w:val="0"/>
      <w:szCs w:val="14"/>
    </w:rPr>
  </w:style>
  <w:style w:type="paragraph" w:styleId="Header">
    <w:name w:val="header"/>
    <w:basedOn w:val="Normal"/>
    <w:rsid w:val="001C75CF"/>
    <w:pPr>
      <w:spacing w:before="0"/>
      <w:jc w:val="center"/>
    </w:pPr>
    <w:rPr>
      <w:b/>
      <w:caps/>
      <w:spacing w:val="40"/>
      <w:kern w:val="12"/>
      <w:sz w:val="12"/>
      <w:szCs w:val="16"/>
    </w:rPr>
  </w:style>
  <w:style w:type="paragraph" w:customStyle="1" w:styleId="Footerfollow">
    <w:name w:val="Footer follow"/>
    <w:basedOn w:val="Footer"/>
    <w:rsid w:val="00785255"/>
    <w:pPr>
      <w:spacing w:before="120"/>
    </w:pPr>
    <w:rPr>
      <w:b w:val="0"/>
    </w:rPr>
  </w:style>
  <w:style w:type="paragraph" w:styleId="ListContinue">
    <w:name w:val="List Continue"/>
    <w:basedOn w:val="Normal"/>
    <w:rsid w:val="00917100"/>
    <w:pPr>
      <w:numPr>
        <w:ilvl w:val="1"/>
        <w:numId w:val="3"/>
      </w:numPr>
      <w:spacing w:before="120"/>
    </w:pPr>
  </w:style>
  <w:style w:type="paragraph" w:styleId="TOC2">
    <w:name w:val="toc 2"/>
    <w:basedOn w:val="Normal"/>
    <w:next w:val="Normal"/>
    <w:autoRedefine/>
    <w:uiPriority w:val="39"/>
    <w:rsid w:val="00CD6CC4"/>
    <w:pPr>
      <w:tabs>
        <w:tab w:val="left" w:pos="567"/>
        <w:tab w:val="right" w:leader="dot" w:pos="8505"/>
      </w:tabs>
      <w:spacing w:before="20"/>
    </w:pPr>
    <w:rPr>
      <w:sz w:val="20"/>
    </w:rPr>
  </w:style>
  <w:style w:type="character" w:styleId="PageNumber">
    <w:name w:val="page number"/>
    <w:basedOn w:val="DefaultParagraphFont"/>
    <w:semiHidden/>
    <w:rsid w:val="00785255"/>
  </w:style>
  <w:style w:type="paragraph" w:customStyle="1" w:styleId="Bullet">
    <w:name w:val="Bullet"/>
    <w:basedOn w:val="Normal"/>
    <w:link w:val="BulletChar"/>
    <w:qFormat/>
    <w:rsid w:val="00F762BB"/>
    <w:pPr>
      <w:numPr>
        <w:numId w:val="2"/>
      </w:numPr>
      <w:spacing w:before="180"/>
    </w:pPr>
  </w:style>
  <w:style w:type="paragraph" w:customStyle="1" w:styleId="Contents">
    <w:name w:val="Contents"/>
    <w:basedOn w:val="Normal"/>
    <w:rsid w:val="00785255"/>
    <w:rPr>
      <w:b/>
      <w:spacing w:val="30"/>
      <w:sz w:val="28"/>
      <w:szCs w:val="28"/>
    </w:rPr>
  </w:style>
  <w:style w:type="paragraph" w:customStyle="1" w:styleId="Bulletfollow">
    <w:name w:val="Bullet follow"/>
    <w:basedOn w:val="Normal"/>
    <w:qFormat/>
    <w:rsid w:val="00F762BB"/>
    <w:pPr>
      <w:numPr>
        <w:ilvl w:val="1"/>
        <w:numId w:val="2"/>
      </w:numPr>
      <w:spacing w:before="120"/>
    </w:pPr>
  </w:style>
  <w:style w:type="paragraph" w:customStyle="1" w:styleId="Coverdate">
    <w:name w:val="Cover date"/>
    <w:basedOn w:val="Normal"/>
    <w:rsid w:val="00785255"/>
    <w:pPr>
      <w:spacing w:after="60"/>
      <w:jc w:val="center"/>
      <w:outlineLvl w:val="1"/>
    </w:pPr>
    <w:rPr>
      <w:rFonts w:ascii="Arial Narrow" w:hAnsi="Arial Narrow" w:cs="Arial"/>
      <w:b/>
      <w:spacing w:val="30"/>
      <w:sz w:val="24"/>
      <w:szCs w:val="24"/>
    </w:rPr>
  </w:style>
  <w:style w:type="paragraph" w:customStyle="1" w:styleId="Covernormaltext">
    <w:name w:val="Cover normal text"/>
    <w:basedOn w:val="Normal"/>
    <w:rsid w:val="003E0816"/>
    <w:pPr>
      <w:jc w:val="center"/>
    </w:pPr>
  </w:style>
  <w:style w:type="paragraph" w:customStyle="1" w:styleId="Coversub-title">
    <w:name w:val="Cover sub-title"/>
    <w:basedOn w:val="Normal"/>
    <w:rsid w:val="003E0816"/>
    <w:pPr>
      <w:jc w:val="center"/>
    </w:pPr>
    <w:rPr>
      <w:b/>
      <w:sz w:val="24"/>
    </w:rPr>
  </w:style>
  <w:style w:type="paragraph" w:customStyle="1" w:styleId="CoverTitle">
    <w:name w:val="Cover Title"/>
    <w:basedOn w:val="Normal"/>
    <w:rsid w:val="003E0816"/>
    <w:pPr>
      <w:jc w:val="center"/>
    </w:pPr>
    <w:rPr>
      <w:rFonts w:ascii="Arial Narrow" w:hAnsi="Arial Narrow"/>
      <w:b/>
      <w:color w:val="C40B06"/>
      <w:spacing w:val="28"/>
      <w:kern w:val="40"/>
      <w:sz w:val="40"/>
      <w:szCs w:val="40"/>
    </w:rPr>
  </w:style>
  <w:style w:type="paragraph" w:customStyle="1" w:styleId="Heading1notnumbered">
    <w:name w:val="Heading 1 not numbered"/>
    <w:basedOn w:val="Heading1"/>
    <w:rsid w:val="007E2421"/>
    <w:pPr>
      <w:numPr>
        <w:numId w:val="0"/>
      </w:numPr>
    </w:pPr>
    <w:rPr>
      <w:rFonts w:cstheme="majorHAnsi"/>
    </w:rPr>
  </w:style>
  <w:style w:type="paragraph" w:customStyle="1" w:styleId="Heading2notnumbered">
    <w:name w:val="Heading 2 not numbered"/>
    <w:basedOn w:val="Heading2"/>
    <w:next w:val="Normal"/>
    <w:rsid w:val="007E2421"/>
    <w:pPr>
      <w:numPr>
        <w:ilvl w:val="0"/>
        <w:numId w:val="0"/>
      </w:numPr>
    </w:pPr>
  </w:style>
  <w:style w:type="paragraph" w:styleId="Date">
    <w:name w:val="Date"/>
    <w:basedOn w:val="Normal"/>
    <w:next w:val="Normal"/>
    <w:semiHidden/>
    <w:rsid w:val="00785255"/>
  </w:style>
  <w:style w:type="paragraph" w:styleId="BodyText">
    <w:name w:val="Body Text"/>
    <w:basedOn w:val="Normal"/>
    <w:semiHidden/>
    <w:rsid w:val="00785255"/>
    <w:pPr>
      <w:spacing w:before="0" w:after="120"/>
    </w:pPr>
  </w:style>
  <w:style w:type="paragraph" w:styleId="DocumentMap">
    <w:name w:val="Document Map"/>
    <w:basedOn w:val="Normal"/>
    <w:semiHidden/>
    <w:rsid w:val="00785255"/>
    <w:pPr>
      <w:shd w:val="clear" w:color="auto" w:fill="000080"/>
    </w:pPr>
    <w:rPr>
      <w:rFonts w:ascii="Tahoma" w:hAnsi="Tahoma"/>
    </w:rPr>
  </w:style>
  <w:style w:type="paragraph" w:styleId="FootnoteText">
    <w:name w:val="footnote text"/>
    <w:basedOn w:val="Normal"/>
    <w:semiHidden/>
    <w:rsid w:val="00785255"/>
  </w:style>
  <w:style w:type="paragraph" w:styleId="NormalIndent">
    <w:name w:val="Normal Indent"/>
    <w:basedOn w:val="Normal"/>
    <w:semiHidden/>
    <w:rsid w:val="00785255"/>
    <w:pPr>
      <w:ind w:left="709"/>
    </w:pPr>
  </w:style>
  <w:style w:type="paragraph" w:customStyle="1" w:styleId="Table">
    <w:name w:val="Table"/>
    <w:basedOn w:val="Normal"/>
    <w:rsid w:val="009942B0"/>
    <w:pPr>
      <w:keepNext/>
      <w:spacing w:before="0"/>
    </w:pPr>
    <w:rPr>
      <w:snapToGrid w:val="0"/>
      <w:color w:val="000000"/>
      <w:sz w:val="18"/>
    </w:rPr>
  </w:style>
  <w:style w:type="paragraph" w:customStyle="1" w:styleId="Tablebullet">
    <w:name w:val="Table bullet"/>
    <w:basedOn w:val="Table"/>
    <w:next w:val="Normal"/>
    <w:rsid w:val="00E76F01"/>
    <w:pPr>
      <w:tabs>
        <w:tab w:val="num" w:pos="284"/>
      </w:tabs>
      <w:spacing w:after="60"/>
      <w:ind w:left="284" w:hanging="284"/>
    </w:pPr>
  </w:style>
  <w:style w:type="paragraph" w:styleId="TableofAuthorities">
    <w:name w:val="table of authorities"/>
    <w:basedOn w:val="Normal"/>
    <w:next w:val="Normal"/>
    <w:semiHidden/>
    <w:rsid w:val="00785255"/>
    <w:pPr>
      <w:ind w:left="200" w:hanging="200"/>
    </w:pPr>
  </w:style>
  <w:style w:type="paragraph" w:styleId="TableofFigures">
    <w:name w:val="table of figures"/>
    <w:basedOn w:val="Normal"/>
    <w:next w:val="Normal"/>
    <w:semiHidden/>
    <w:rsid w:val="00785255"/>
    <w:pPr>
      <w:ind w:left="400" w:hanging="400"/>
    </w:pPr>
  </w:style>
  <w:style w:type="paragraph" w:styleId="TOC3">
    <w:name w:val="toc 3"/>
    <w:basedOn w:val="Normal"/>
    <w:next w:val="Normal"/>
    <w:autoRedefine/>
    <w:semiHidden/>
    <w:rsid w:val="00785255"/>
    <w:pPr>
      <w:ind w:left="400"/>
    </w:pPr>
  </w:style>
  <w:style w:type="paragraph" w:styleId="TOC4">
    <w:name w:val="toc 4"/>
    <w:basedOn w:val="Normal"/>
    <w:next w:val="Normal"/>
    <w:autoRedefine/>
    <w:semiHidden/>
    <w:rsid w:val="00785255"/>
    <w:pPr>
      <w:ind w:left="600"/>
    </w:pPr>
  </w:style>
  <w:style w:type="paragraph" w:styleId="TOC5">
    <w:name w:val="toc 5"/>
    <w:basedOn w:val="Normal"/>
    <w:next w:val="Normal"/>
    <w:autoRedefine/>
    <w:semiHidden/>
    <w:rsid w:val="00785255"/>
    <w:pPr>
      <w:ind w:left="800"/>
    </w:pPr>
  </w:style>
  <w:style w:type="paragraph" w:styleId="TOC6">
    <w:name w:val="toc 6"/>
    <w:basedOn w:val="Normal"/>
    <w:next w:val="Normal"/>
    <w:autoRedefine/>
    <w:semiHidden/>
    <w:rsid w:val="00785255"/>
    <w:pPr>
      <w:ind w:left="1000"/>
    </w:pPr>
  </w:style>
  <w:style w:type="paragraph" w:styleId="TOC7">
    <w:name w:val="toc 7"/>
    <w:basedOn w:val="Normal"/>
    <w:next w:val="Normal"/>
    <w:autoRedefine/>
    <w:semiHidden/>
    <w:rsid w:val="00785255"/>
    <w:pPr>
      <w:ind w:left="1200"/>
    </w:pPr>
  </w:style>
  <w:style w:type="paragraph" w:styleId="TOC8">
    <w:name w:val="toc 8"/>
    <w:basedOn w:val="Normal"/>
    <w:next w:val="Normal"/>
    <w:autoRedefine/>
    <w:semiHidden/>
    <w:rsid w:val="00785255"/>
    <w:pPr>
      <w:ind w:left="1400"/>
    </w:pPr>
  </w:style>
  <w:style w:type="paragraph" w:styleId="TOC9">
    <w:name w:val="toc 9"/>
    <w:basedOn w:val="Normal"/>
    <w:next w:val="Normal"/>
    <w:autoRedefine/>
    <w:semiHidden/>
    <w:rsid w:val="00785255"/>
    <w:pPr>
      <w:ind w:left="1600"/>
    </w:pPr>
  </w:style>
  <w:style w:type="paragraph" w:customStyle="1" w:styleId="Bulletlettered">
    <w:name w:val="Bullet lettered"/>
    <w:basedOn w:val="Normal"/>
    <w:rsid w:val="00F762BB"/>
    <w:pPr>
      <w:numPr>
        <w:ilvl w:val="2"/>
        <w:numId w:val="2"/>
      </w:numPr>
      <w:spacing w:before="120"/>
    </w:pPr>
  </w:style>
  <w:style w:type="character" w:styleId="Emphasis">
    <w:name w:val="Emphasis"/>
    <w:basedOn w:val="DefaultParagraphFont"/>
    <w:uiPriority w:val="20"/>
    <w:qFormat/>
    <w:rsid w:val="00155F97"/>
    <w:rPr>
      <w:i/>
      <w:iCs/>
    </w:rPr>
  </w:style>
  <w:style w:type="paragraph" w:customStyle="1" w:styleId="Drafttextforcover">
    <w:name w:val="Draft text for cover"/>
    <w:basedOn w:val="Coversub-title"/>
    <w:qFormat/>
    <w:rsid w:val="00E53933"/>
    <w:rPr>
      <w:color w:val="808080"/>
    </w:rPr>
  </w:style>
  <w:style w:type="paragraph" w:customStyle="1" w:styleId="Coverprojectnumber">
    <w:name w:val="Cover project number"/>
    <w:basedOn w:val="TOC1"/>
    <w:qFormat/>
    <w:rsid w:val="00CD6CC4"/>
    <w:rPr>
      <w:rFonts w:cstheme="majorHAnsi"/>
    </w:rPr>
  </w:style>
  <w:style w:type="paragraph" w:customStyle="1" w:styleId="Headerdraftreportline">
    <w:name w:val="Header draft report line"/>
    <w:basedOn w:val="Header"/>
    <w:qFormat/>
    <w:rsid w:val="003E0816"/>
    <w:rPr>
      <w:color w:val="808080"/>
    </w:rPr>
  </w:style>
  <w:style w:type="paragraph" w:customStyle="1" w:styleId="Bullettext">
    <w:name w:val="Bullet text"/>
    <w:basedOn w:val="Normal"/>
    <w:rsid w:val="00F762BB"/>
    <w:pPr>
      <w:numPr>
        <w:ilvl w:val="3"/>
        <w:numId w:val="2"/>
      </w:numPr>
    </w:pPr>
  </w:style>
  <w:style w:type="paragraph" w:styleId="BalloonText">
    <w:name w:val="Balloon Text"/>
    <w:basedOn w:val="Normal"/>
    <w:link w:val="BalloonTextChar"/>
    <w:uiPriority w:val="99"/>
    <w:semiHidden/>
    <w:unhideWhenUsed/>
    <w:rsid w:val="008A233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330"/>
    <w:rPr>
      <w:rFonts w:ascii="Tahoma" w:hAnsi="Tahoma" w:cs="Tahoma"/>
      <w:sz w:val="16"/>
      <w:szCs w:val="16"/>
      <w:lang w:eastAsia="en-US"/>
    </w:rPr>
  </w:style>
  <w:style w:type="paragraph" w:customStyle="1" w:styleId="Insidecoverheadings">
    <w:name w:val="Inside cover headings"/>
    <w:basedOn w:val="Heading4"/>
    <w:qFormat/>
    <w:rsid w:val="00BC6CDB"/>
    <w:pPr>
      <w:outlineLvl w:val="9"/>
    </w:pPr>
  </w:style>
  <w:style w:type="numbering" w:customStyle="1" w:styleId="Chapterlist">
    <w:name w:val="Chapter list"/>
    <w:uiPriority w:val="99"/>
    <w:rsid w:val="00BC6CDB"/>
    <w:pPr>
      <w:numPr>
        <w:numId w:val="4"/>
      </w:numPr>
    </w:pPr>
  </w:style>
  <w:style w:type="paragraph" w:customStyle="1" w:styleId="Chapterliststyle">
    <w:name w:val="Chapter list style"/>
    <w:basedOn w:val="Normal"/>
    <w:qFormat/>
    <w:rsid w:val="00191874"/>
    <w:pPr>
      <w:numPr>
        <w:numId w:val="5"/>
      </w:numPr>
      <w:ind w:left="1134" w:hanging="1134"/>
    </w:pPr>
  </w:style>
  <w:style w:type="table" w:styleId="TableGrid">
    <w:name w:val="Table Grid"/>
    <w:basedOn w:val="TableNormal"/>
    <w:uiPriority w:val="59"/>
    <w:rsid w:val="00191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D481D"/>
    <w:rPr>
      <w:color w:val="0000FF"/>
      <w:u w:val="single"/>
    </w:rPr>
  </w:style>
  <w:style w:type="paragraph" w:styleId="ListParagraph">
    <w:name w:val="List Paragraph"/>
    <w:basedOn w:val="Normal"/>
    <w:uiPriority w:val="34"/>
    <w:qFormat/>
    <w:rsid w:val="003B5E77"/>
    <w:pPr>
      <w:ind w:left="720"/>
      <w:contextualSpacing/>
    </w:pPr>
  </w:style>
  <w:style w:type="paragraph" w:customStyle="1" w:styleId="basicparagraph">
    <w:name w:val="basicparagraph"/>
    <w:basedOn w:val="Normal"/>
    <w:rsid w:val="000E18F4"/>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rsid w:val="000E18F4"/>
  </w:style>
  <w:style w:type="character" w:customStyle="1" w:styleId="CaptionChar">
    <w:name w:val="Caption Char"/>
    <w:basedOn w:val="DefaultParagraphFont"/>
    <w:link w:val="Caption"/>
    <w:rsid w:val="004D6C09"/>
    <w:rPr>
      <w:b/>
      <w:lang w:eastAsia="en-US"/>
    </w:rPr>
  </w:style>
  <w:style w:type="character" w:customStyle="1" w:styleId="SourceChar">
    <w:name w:val="Source Char"/>
    <w:basedOn w:val="DefaultParagraphFont"/>
    <w:link w:val="Source"/>
    <w:rsid w:val="004D6C09"/>
    <w:rPr>
      <w:sz w:val="18"/>
      <w:lang w:eastAsia="en-US"/>
    </w:rPr>
  </w:style>
  <w:style w:type="character" w:customStyle="1" w:styleId="BulletChar">
    <w:name w:val="Bullet Char"/>
    <w:basedOn w:val="DefaultParagraphFont"/>
    <w:link w:val="Bullet"/>
    <w:locked/>
    <w:rsid w:val="00C41932"/>
    <w:rPr>
      <w:lang w:eastAsia="en-US"/>
    </w:rPr>
  </w:style>
  <w:style w:type="paragraph" w:styleId="NormalWeb">
    <w:name w:val="Normal (Web)"/>
    <w:basedOn w:val="Normal"/>
    <w:uiPriority w:val="99"/>
    <w:semiHidden/>
    <w:unhideWhenUsed/>
    <w:rsid w:val="009357FE"/>
    <w:pPr>
      <w:spacing w:before="100" w:beforeAutospacing="1" w:after="100" w:afterAutospacing="1"/>
    </w:pPr>
    <w:rPr>
      <w:rFonts w:ascii="Times New Roman" w:hAnsi="Times New Roman"/>
      <w:sz w:val="24"/>
      <w:szCs w:val="24"/>
      <w:lang w:eastAsia="en-AU"/>
    </w:rPr>
  </w:style>
  <w:style w:type="paragraph" w:customStyle="1" w:styleId="Default">
    <w:name w:val="Default"/>
    <w:rsid w:val="00E34EF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57AF2"/>
    <w:rPr>
      <w:sz w:val="16"/>
      <w:szCs w:val="16"/>
    </w:rPr>
  </w:style>
  <w:style w:type="paragraph" w:styleId="CommentText">
    <w:name w:val="annotation text"/>
    <w:basedOn w:val="Normal"/>
    <w:link w:val="CommentTextChar"/>
    <w:uiPriority w:val="99"/>
    <w:semiHidden/>
    <w:unhideWhenUsed/>
    <w:rsid w:val="00457AF2"/>
    <w:rPr>
      <w:sz w:val="20"/>
      <w:szCs w:val="20"/>
    </w:rPr>
  </w:style>
  <w:style w:type="character" w:customStyle="1" w:styleId="CommentTextChar">
    <w:name w:val="Comment Text Char"/>
    <w:basedOn w:val="DefaultParagraphFont"/>
    <w:link w:val="CommentText"/>
    <w:uiPriority w:val="99"/>
    <w:semiHidden/>
    <w:rsid w:val="00457AF2"/>
    <w:rPr>
      <w:sz w:val="20"/>
      <w:szCs w:val="20"/>
      <w:lang w:eastAsia="en-US"/>
    </w:rPr>
  </w:style>
  <w:style w:type="paragraph" w:styleId="CommentSubject">
    <w:name w:val="annotation subject"/>
    <w:basedOn w:val="CommentText"/>
    <w:next w:val="CommentText"/>
    <w:link w:val="CommentSubjectChar"/>
    <w:uiPriority w:val="99"/>
    <w:semiHidden/>
    <w:unhideWhenUsed/>
    <w:rsid w:val="00457AF2"/>
    <w:rPr>
      <w:b/>
      <w:bCs/>
    </w:rPr>
  </w:style>
  <w:style w:type="character" w:customStyle="1" w:styleId="CommentSubjectChar">
    <w:name w:val="Comment Subject Char"/>
    <w:basedOn w:val="CommentTextChar"/>
    <w:link w:val="CommentSubject"/>
    <w:uiPriority w:val="99"/>
    <w:semiHidden/>
    <w:rsid w:val="00457AF2"/>
    <w:rPr>
      <w:b/>
      <w:bCs/>
      <w:sz w:val="20"/>
      <w:szCs w:val="20"/>
      <w:lang w:eastAsia="en-US"/>
    </w:rPr>
  </w:style>
  <w:style w:type="paragraph" w:styleId="Revision">
    <w:name w:val="Revision"/>
    <w:hidden/>
    <w:uiPriority w:val="99"/>
    <w:semiHidden/>
    <w:rsid w:val="00C73347"/>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92">
      <w:bodyDiv w:val="1"/>
      <w:marLeft w:val="0"/>
      <w:marRight w:val="0"/>
      <w:marTop w:val="0"/>
      <w:marBottom w:val="0"/>
      <w:divBdr>
        <w:top w:val="none" w:sz="0" w:space="0" w:color="auto"/>
        <w:left w:val="none" w:sz="0" w:space="0" w:color="auto"/>
        <w:bottom w:val="none" w:sz="0" w:space="0" w:color="auto"/>
        <w:right w:val="none" w:sz="0" w:space="0" w:color="auto"/>
      </w:divBdr>
    </w:div>
    <w:div w:id="289098397">
      <w:bodyDiv w:val="1"/>
      <w:marLeft w:val="0"/>
      <w:marRight w:val="0"/>
      <w:marTop w:val="0"/>
      <w:marBottom w:val="0"/>
      <w:divBdr>
        <w:top w:val="none" w:sz="0" w:space="0" w:color="auto"/>
        <w:left w:val="none" w:sz="0" w:space="0" w:color="auto"/>
        <w:bottom w:val="none" w:sz="0" w:space="0" w:color="auto"/>
        <w:right w:val="none" w:sz="0" w:space="0" w:color="auto"/>
      </w:divBdr>
    </w:div>
    <w:div w:id="457384027">
      <w:bodyDiv w:val="1"/>
      <w:marLeft w:val="0"/>
      <w:marRight w:val="0"/>
      <w:marTop w:val="0"/>
      <w:marBottom w:val="0"/>
      <w:divBdr>
        <w:top w:val="none" w:sz="0" w:space="0" w:color="auto"/>
        <w:left w:val="none" w:sz="0" w:space="0" w:color="auto"/>
        <w:bottom w:val="none" w:sz="0" w:space="0" w:color="auto"/>
        <w:right w:val="none" w:sz="0" w:space="0" w:color="auto"/>
      </w:divBdr>
    </w:div>
    <w:div w:id="749040817">
      <w:bodyDiv w:val="1"/>
      <w:marLeft w:val="0"/>
      <w:marRight w:val="0"/>
      <w:marTop w:val="0"/>
      <w:marBottom w:val="0"/>
      <w:divBdr>
        <w:top w:val="none" w:sz="0" w:space="0" w:color="auto"/>
        <w:left w:val="none" w:sz="0" w:space="0" w:color="auto"/>
        <w:bottom w:val="none" w:sz="0" w:space="0" w:color="auto"/>
        <w:right w:val="none" w:sz="0" w:space="0" w:color="auto"/>
      </w:divBdr>
    </w:div>
    <w:div w:id="1488941731">
      <w:bodyDiv w:val="1"/>
      <w:marLeft w:val="0"/>
      <w:marRight w:val="0"/>
      <w:marTop w:val="0"/>
      <w:marBottom w:val="0"/>
      <w:divBdr>
        <w:top w:val="none" w:sz="0" w:space="0" w:color="auto"/>
        <w:left w:val="none" w:sz="0" w:space="0" w:color="auto"/>
        <w:bottom w:val="none" w:sz="0" w:space="0" w:color="auto"/>
        <w:right w:val="none" w:sz="0" w:space="0" w:color="auto"/>
      </w:divBdr>
    </w:div>
    <w:div w:id="210071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fxtrade.oanda.com/analysis/economic-indicators/australia/indices/trade-weighted-index"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ffice%20Administration\Shared%20Templates\Current%20-%20Report%20Templates\11pt%20Font%20Standard%20Report%20Template%20(Office%202007).dotx" TargetMode="External"/></Relationships>
</file>

<file path=word/theme/theme1.xml><?xml version="1.0" encoding="utf-8"?>
<a:theme xmlns:a="http://schemas.openxmlformats.org/drawingml/2006/main" name="EETheme">
  <a:themeElements>
    <a:clrScheme name="EE Custom">
      <a:dk1>
        <a:sysClr val="windowText" lastClr="000000"/>
      </a:dk1>
      <a:lt1>
        <a:sysClr val="window" lastClr="FFFFFF"/>
      </a:lt1>
      <a:dk2>
        <a:srgbClr val="1F497D"/>
      </a:dk2>
      <a:lt2>
        <a:srgbClr val="EEECE1"/>
      </a:lt2>
      <a:accent1>
        <a:srgbClr val="C40B06"/>
      </a:accent1>
      <a:accent2>
        <a:srgbClr val="95B3D7"/>
      </a:accent2>
      <a:accent3>
        <a:srgbClr val="9BBB59"/>
      </a:accent3>
      <a:accent4>
        <a:srgbClr val="8DB3E2"/>
      </a:accent4>
      <a:accent5>
        <a:srgbClr val="4BACC6"/>
      </a:accent5>
      <a:accent6>
        <a:srgbClr val="C40B06"/>
      </a:accent6>
      <a:hlink>
        <a:srgbClr val="0000FF"/>
      </a:hlink>
      <a:folHlink>
        <a:srgbClr val="1F497D"/>
      </a:folHlink>
    </a:clrScheme>
    <a:fontScheme name="E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8539-2904-49B3-818D-FC86C3AD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11pt Font Standard Report Template (Office 2007).dotx</Template>
  <TotalTime>0</TotalTime>
  <Pages>21</Pages>
  <Words>5573</Words>
  <Characters>32497</Characters>
  <Application>Microsoft Office Word</Application>
  <DocSecurity>0</DocSecurity>
  <Lines>773</Lines>
  <Paragraphs>481</Paragraphs>
  <ScaleCrop>false</ScaleCrop>
  <HeadingPairs>
    <vt:vector size="2" baseType="variant">
      <vt:variant>
        <vt:lpstr>Title</vt:lpstr>
      </vt:variant>
      <vt:variant>
        <vt:i4>1</vt:i4>
      </vt:variant>
    </vt:vector>
  </HeadingPairs>
  <TitlesOfParts>
    <vt:vector size="1" baseType="lpstr">
      <vt:lpstr>Submission AR62 - Attachment - Greater Shepparton City Council - Import of Processed Fruit Products - Public inquiry</vt:lpstr>
    </vt:vector>
  </TitlesOfParts>
  <Company>Greater Shepparton City Council</Company>
  <LinksUpToDate>false</LinksUpToDate>
  <CharactersWithSpaces>37589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AR62 - Attachment - Greater Shepparton City Council - Import of Processed Fruit Products - Public inquiry</dc:title>
  <dc:creator>Greater Shepparton City Council</dc:creator>
  <cp:lastModifiedBy>Productivity Commission</cp:lastModifiedBy>
  <cp:revision>2</cp:revision>
  <cp:lastPrinted>2013-06-06T07:15:00Z</cp:lastPrinted>
  <dcterms:created xsi:type="dcterms:W3CDTF">2013-11-10T23:25:00Z</dcterms:created>
  <dcterms:modified xsi:type="dcterms:W3CDTF">2013-11-10T23:25:00Z</dcterms:modified>
</cp:coreProperties>
</file>