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FFFFFF" w:themeColor="background1"/>
        </w:rPr>
        <w:id w:val="-228914026"/>
        <w:docPartObj>
          <w:docPartGallery w:val="Cover Pages"/>
          <w:docPartUnique/>
        </w:docPartObj>
      </w:sdtPr>
      <w:sdtEndPr>
        <w:rPr>
          <w:color w:val="auto"/>
        </w:rPr>
      </w:sdtEndPr>
      <w:sdtContent>
        <w:p w14:paraId="7C677566" w14:textId="77777777" w:rsidR="004F7BE2" w:rsidRPr="00461CE9" w:rsidRDefault="004F7BE2" w:rsidP="004F7BE2">
          <w:pPr>
            <w:pStyle w:val="BodyText"/>
            <w:spacing w:after="0"/>
          </w:pPr>
        </w:p>
        <w:p w14:paraId="280FCDC8" w14:textId="27624D1E" w:rsidR="004F7BE2" w:rsidRPr="00D15847" w:rsidRDefault="00D15847" w:rsidP="004F7BE2">
          <w:pPr>
            <w:pStyle w:val="Coverdate"/>
            <w:framePr w:wrap="around"/>
          </w:pPr>
          <w:r w:rsidRPr="00D15847">
            <w:t>June 2023</w:t>
          </w:r>
        </w:p>
        <w:p w14:paraId="015631B9" w14:textId="77777777" w:rsidR="004F7BE2" w:rsidRDefault="004F7BE2" w:rsidP="004F7BE2">
          <w:pPr>
            <w:pStyle w:val="CoverImage"/>
            <w:framePr w:h="10036" w:hRule="exact" w:wrap="around" w:y="6805" w:anchorLock="0"/>
          </w:pPr>
          <w:r>
            <w:rPr>
              <w:noProof/>
            </w:rPr>
            <w:drawing>
              <wp:inline distT="0" distB="0" distL="0" distR="0" wp14:anchorId="15566F61" wp14:editId="032C06E0">
                <wp:extent cx="7704000" cy="77040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04000" cy="7704000"/>
                        </a:xfrm>
                        <a:prstGeom prst="rect">
                          <a:avLst/>
                        </a:prstGeom>
                      </pic:spPr>
                    </pic:pic>
                  </a:graphicData>
                </a:graphic>
              </wp:inline>
            </w:drawing>
          </w:r>
        </w:p>
        <w:p w14:paraId="62BE454B" w14:textId="0730C701" w:rsidR="004F7BE2" w:rsidRPr="00084E06" w:rsidRDefault="00313EB9" w:rsidP="004F7BE2">
          <w:pPr>
            <w:pStyle w:val="Title"/>
            <w:spacing w:before="120"/>
            <w:rPr>
              <w:color w:val="auto"/>
              <w:szCs w:val="52"/>
            </w:rPr>
          </w:pPr>
          <w:r>
            <w:rPr>
              <w:rStyle w:val="TitleChar"/>
              <w:color w:val="auto"/>
              <w:szCs w:val="52"/>
            </w:rPr>
            <w:t>Review of Part 3 of the Future Drought Fund Act</w:t>
          </w:r>
        </w:p>
        <w:p w14:paraId="15558340" w14:textId="77777777" w:rsidR="001760FA" w:rsidRDefault="004F7BE2" w:rsidP="00210105">
          <w:pPr>
            <w:pStyle w:val="Subtitle"/>
            <w:spacing w:line="276" w:lineRule="auto"/>
            <w:rPr>
              <w:color w:val="auto"/>
            </w:rPr>
          </w:pPr>
          <w:r w:rsidRPr="004F7BE2">
            <w:rPr>
              <w:noProof/>
              <w:color w:val="auto"/>
            </w:rPr>
            <mc:AlternateContent>
              <mc:Choice Requires="wps">
                <w:drawing>
                  <wp:anchor distT="0" distB="0" distL="114300" distR="114300" simplePos="0" relativeHeight="251658240" behindDoc="0" locked="0" layoutInCell="1" allowOverlap="1" wp14:anchorId="6035831E" wp14:editId="7FF40C2B">
                    <wp:simplePos x="0" y="0"/>
                    <wp:positionH relativeFrom="page">
                      <wp:posOffset>720090</wp:posOffset>
                    </wp:positionH>
                    <wp:positionV relativeFrom="page">
                      <wp:posOffset>9469120</wp:posOffset>
                    </wp:positionV>
                    <wp:extent cx="1800000" cy="612000"/>
                    <wp:effectExtent l="0" t="0" r="10160" b="17145"/>
                    <wp:wrapNone/>
                    <wp:docPr id="15" name="Text Box 15"/>
                    <wp:cNvGraphicFramePr/>
                    <a:graphic xmlns:a="http://schemas.openxmlformats.org/drawingml/2006/main">
                      <a:graphicData uri="http://schemas.microsoft.com/office/word/2010/wordprocessingShape">
                        <wps:wsp>
                          <wps:cNvSpPr txBox="1"/>
                          <wps:spPr>
                            <a:xfrm>
                              <a:off x="0" y="0"/>
                              <a:ext cx="1800000" cy="612000"/>
                            </a:xfrm>
                            <a:prstGeom prst="rect">
                              <a:avLst/>
                            </a:prstGeom>
                            <a:solidFill>
                              <a:schemeClr val="tx1"/>
                            </a:solidFill>
                            <a:ln w="6350">
                              <a:solidFill>
                                <a:prstClr val="black"/>
                              </a:solidFill>
                            </a:ln>
                          </wps:spPr>
                          <wps:txbx>
                            <w:txbxContent>
                              <w:p w14:paraId="58A07EAA" w14:textId="0CF39753" w:rsidR="004F7BE2" w:rsidRPr="00E945F6" w:rsidRDefault="004F7BE2" w:rsidP="004F7BE2">
                                <w:pPr>
                                  <w:pStyle w:val="CoverdisclaimerwhiteCover"/>
                                </w:pPr>
                                <w:r w:rsidRPr="00E945F6">
                                  <w:t>This is a</w:t>
                                </w:r>
                                <w:r w:rsidR="009527FE">
                                  <w:t>n</w:t>
                                </w:r>
                                <w:r w:rsidRPr="00E945F6">
                                  <w:t xml:space="preserve"> </w:t>
                                </w:r>
                                <w:r w:rsidR="00D177BA">
                                  <w:t>interim</w:t>
                                </w:r>
                                <w:r w:rsidRPr="00E945F6">
                                  <w:t xml:space="preserve"> report prepared for further public consultation and input. The Commission will finalise its report after these processes have taken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5831E" id="_x0000_t202" coordsize="21600,21600" o:spt="202" path="m,l,21600r21600,l21600,xe">
                    <v:stroke joinstyle="miter"/>
                    <v:path gradientshapeok="t" o:connecttype="rect"/>
                  </v:shapetype>
                  <v:shape id="Text Box 15" o:spid="_x0000_s1026" type="#_x0000_t202" style="position:absolute;margin-left:56.7pt;margin-top:745.6pt;width:141.75pt;height:48.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X8NQIAAH4EAAAOAAAAZHJzL2Uyb0RvYy54bWysVEtv2zAMvg/YfxB0X+xkadcZcYosRYYB&#10;QVsgHXpWZDk2JosapcTOfv0oxXl1Ow3LQSFFio/vIz257xrNdgpdDSbnw0HKmTISitpscv79ZfHh&#10;jjPnhSmEBqNyvleO30/fv5u0NlMjqEAXChkFMS5rbc4r722WJE5WqhFuAFYZMpaAjfCk4iYpULQU&#10;vdHJKE1vkxawsAhSOUe3Dwcjn8b4ZamkfypLpzzTOafafDwxnutwJtOJyDYobFXLvgzxD1U0ojaU&#10;9BTqQXjBtlj/EaqpJYKD0g8kNAmUZS1V7IG6GaZvullVwqrYC4Hj7Akm9//Cysfdyj4j890X6IjA&#10;AEhrXeboMvTTldiEf6qUkZ0g3J9gU51nMjy6S8OPM0m22yHREnFNzq8tOv9VQcOCkHMkWiJaYrd0&#10;njKS69ElJHOg62JRax2VMApqrpHtBJHou1gjvbjy0oa1lPzjTRoDX9lC6NP7tRbyR+jyOgJp2tDl&#10;ufcg+W7d9YCsodgTTgiHEXJWLmqKuxTOPwukmaH+aQ/8Ex2lBioGeomzCvDX3+6DP1FJVs5amsGc&#10;u59bgYoz/c0QyZ+H43EY2qiMbz6NSMFLy/rSYrbNHAihIW2clVEM/l4fxRKheaV1mYWsZBJGUu6c&#10;S49HZe4Pu0ELJ9VsFt1oUK3wS7OyMgQPnAREX7pXgbZn1NMsPMJxXkX2htiDb3hpYLb1UNaR9QDx&#10;AdceeRrySEy/kGGLLvXodf5sTH8DAAD//wMAUEsDBBQABgAIAAAAIQBqHqpD5AAAAA0BAAAPAAAA&#10;ZHJzL2Rvd25yZXYueG1sTI9BT4NAEIXvJv6HzZh4Me1Ci1iQpUGNlzYxsbWJxy07ApHdpexC6b93&#10;POlt3szLm+9l60m3bMTeNdYICOcBMDSlVY2pBHzsX2crYM5Lo2RrDQq4oIN1fn2VyVTZs3nHcecr&#10;RiHGpVJA7X2Xcu7KGrV0c9uhoduX7bX0JPuKq16eKVy3fBEEMdeyMfShlh0+11h+7wYt4A2fDv3L&#10;6XS4bH20GYKx2N59FkLc3kzFIzCPk/8zwy8+oUNOTEc7GOVYSzpcRmSlIUrCBTCyLJM4AXak1f3q&#10;IQaeZ/x/i/wHAAD//wMAUEsBAi0AFAAGAAgAAAAhALaDOJL+AAAA4QEAABMAAAAAAAAAAAAAAAAA&#10;AAAAAFtDb250ZW50X1R5cGVzXS54bWxQSwECLQAUAAYACAAAACEAOP0h/9YAAACUAQAACwAAAAAA&#10;AAAAAAAAAAAvAQAAX3JlbHMvLnJlbHNQSwECLQAUAAYACAAAACEA6ACF/DUCAAB+BAAADgAAAAAA&#10;AAAAAAAAAAAuAgAAZHJzL2Uyb0RvYy54bWxQSwECLQAUAAYACAAAACEAah6qQ+QAAAANAQAADwAA&#10;AAAAAAAAAAAAAACPBAAAZHJzL2Rvd25yZXYueG1sUEsFBgAAAAAEAAQA8wAAAKAFAAAAAA==&#10;" fillcolor="black [3213]" strokeweight=".5pt">
                    <v:textbox>
                      <w:txbxContent>
                        <w:p w14:paraId="58A07EAA" w14:textId="0CF39753" w:rsidR="004F7BE2" w:rsidRPr="00E945F6" w:rsidRDefault="004F7BE2" w:rsidP="004F7BE2">
                          <w:pPr>
                            <w:pStyle w:val="CoverdisclaimerwhiteCover"/>
                          </w:pPr>
                          <w:r w:rsidRPr="00E945F6">
                            <w:t>This is a</w:t>
                          </w:r>
                          <w:r w:rsidR="009527FE">
                            <w:t>n</w:t>
                          </w:r>
                          <w:r w:rsidRPr="00E945F6">
                            <w:t xml:space="preserve"> </w:t>
                          </w:r>
                          <w:r w:rsidR="00D177BA">
                            <w:t>interim</w:t>
                          </w:r>
                          <w:r w:rsidRPr="00E945F6">
                            <w:t xml:space="preserve"> report prepared for further public consultation and input. The Commission will finalise its report after these processes have taken place.</w:t>
                          </w:r>
                        </w:p>
                      </w:txbxContent>
                    </v:textbox>
                    <w10:wrap anchorx="page" anchory="page"/>
                  </v:shape>
                </w:pict>
              </mc:Fallback>
            </mc:AlternateContent>
          </w:r>
          <w:r w:rsidR="00D15847">
            <w:rPr>
              <w:color w:val="auto"/>
            </w:rPr>
            <w:t>Interim</w:t>
          </w:r>
          <w:r w:rsidR="009E3265">
            <w:rPr>
              <w:color w:val="auto"/>
            </w:rPr>
            <w:t xml:space="preserve"> report</w:t>
          </w:r>
        </w:p>
        <w:p w14:paraId="38754C34" w14:textId="312C8E22" w:rsidR="004F7BE2" w:rsidRPr="004F7BE2" w:rsidRDefault="00686250" w:rsidP="001760FA">
          <w:pPr>
            <w:pStyle w:val="Subtitle"/>
            <w:spacing w:before="0" w:after="0" w:line="276" w:lineRule="auto"/>
            <w:rPr>
              <w:color w:val="auto"/>
            </w:rPr>
          </w:pPr>
          <w:r w:rsidRPr="00686250">
            <w:rPr>
              <w:color w:val="auto"/>
              <w:sz w:val="28"/>
              <w:szCs w:val="28"/>
            </w:rPr>
            <w:t>Executive summary</w:t>
          </w:r>
        </w:p>
        <w:p w14:paraId="06F932CC" w14:textId="77777777" w:rsidR="004F7BE2" w:rsidRDefault="004F7BE2" w:rsidP="004F7BE2">
          <w:pPr>
            <w:spacing w:after="160" w:line="259" w:lineRule="auto"/>
          </w:pPr>
        </w:p>
        <w:p w14:paraId="211E6FAA" w14:textId="77777777" w:rsidR="004F7BE2" w:rsidRDefault="004F7BE2" w:rsidP="004F7BE2">
          <w:pPr>
            <w:spacing w:after="160" w:line="259" w:lineRule="auto"/>
            <w:sectPr w:rsidR="004F7BE2">
              <w:headerReference w:type="even" r:id="rId14"/>
              <w:headerReference w:type="default" r:id="rId15"/>
              <w:footerReference w:type="even" r:id="rId16"/>
              <w:footerReference w:type="default" r:id="rId17"/>
              <w:headerReference w:type="first" r:id="rId18"/>
              <w:footerReference w:type="first" r:id="rId19"/>
              <w:pgSz w:w="11906" w:h="16838" w:code="9"/>
              <w:pgMar w:top="2835" w:right="1134" w:bottom="1134" w:left="1134" w:header="624" w:footer="510" w:gutter="0"/>
              <w:pgNumType w:fmt="lowerRoman"/>
              <w:cols w:space="708"/>
              <w:titlePg/>
              <w:docGrid w:linePitch="360"/>
            </w:sectPr>
          </w:pPr>
        </w:p>
        <w:tbl>
          <w:tblPr>
            <w:tblStyle w:val="CopyrightPage"/>
            <w:tblW w:w="0" w:type="auto"/>
            <w:tblLook w:val="04A0" w:firstRow="1" w:lastRow="0" w:firstColumn="1" w:lastColumn="0" w:noHBand="0" w:noVBand="1"/>
          </w:tblPr>
          <w:tblGrid>
            <w:gridCol w:w="9638"/>
          </w:tblGrid>
          <w:tr w:rsidR="004F7BE2" w14:paraId="02D11326" w14:textId="77777777">
            <w:trPr>
              <w:trHeight w:hRule="exact" w:val="12586"/>
            </w:trPr>
            <w:tc>
              <w:tcPr>
                <w:tcW w:w="9638" w:type="dxa"/>
                <w:tcMar>
                  <w:top w:w="113" w:type="dxa"/>
                </w:tcMar>
              </w:tcPr>
              <w:p w14:paraId="27AE7F09" w14:textId="77777777" w:rsidR="004F7BE2" w:rsidRPr="000F4488" w:rsidRDefault="004F7BE2">
                <w:pPr>
                  <w:pStyle w:val="Copyrightpage-BodyBold"/>
                  <w:ind w:right="-284"/>
                  <w:rPr>
                    <w:rFonts w:asciiTheme="majorHAnsi" w:hAnsiTheme="majorHAnsi"/>
                  </w:rPr>
                </w:pPr>
                <w:r>
                  <w:rPr>
                    <w:rStyle w:val="White"/>
                  </w:rPr>
                  <w:lastRenderedPageBreak/>
                  <w:br w:type="page"/>
                </w:r>
                <w:r w:rsidRPr="000F4488">
                  <w:rPr>
                    <w:rFonts w:asciiTheme="majorHAnsi" w:hAnsiTheme="majorHAnsi"/>
                  </w:rPr>
                  <w:t xml:space="preserve">The Productivity Commission acknowledges the Traditional Owners of </w:t>
                </w:r>
                <w:r w:rsidRPr="000F4488">
                  <w:rPr>
                    <w:rFonts w:asciiTheme="majorHAnsi" w:hAnsiTheme="majorHAnsi"/>
                  </w:rPr>
                  <w:br/>
                  <w:t xml:space="preserve">Country throughout Australia and their continuing connection to land, </w:t>
                </w:r>
                <w:r w:rsidRPr="000F4488">
                  <w:rPr>
                    <w:rFonts w:asciiTheme="majorHAnsi" w:hAnsiTheme="majorHAnsi"/>
                  </w:rPr>
                  <w:br/>
                  <w:t>waters and community. We pay our respects to their Cultures, Country and Elders past and present.</w:t>
                </w:r>
              </w:p>
              <w:p w14:paraId="6C4C5189" w14:textId="77777777" w:rsidR="004F7BE2" w:rsidRPr="00F37CB6" w:rsidRDefault="004F7BE2">
                <w:pPr>
                  <w:pStyle w:val="Copyrightpage-Keylinenotext"/>
                  <w:ind w:right="-284"/>
                </w:pPr>
              </w:p>
              <w:p w14:paraId="46E0E9BC" w14:textId="77777777" w:rsidR="004F7BE2" w:rsidRPr="00D96F65" w:rsidRDefault="004F7BE2">
                <w:pPr>
                  <w:pStyle w:val="Copyrightpage-Heading"/>
                  <w:ind w:right="-284"/>
                </w:pPr>
                <w:r w:rsidRPr="00D96F65">
                  <w:t>The Productivity Commission</w:t>
                </w:r>
              </w:p>
              <w:p w14:paraId="3D73999A" w14:textId="77777777" w:rsidR="004F7BE2" w:rsidRPr="007C3A5F" w:rsidRDefault="004F7BE2">
                <w:pPr>
                  <w:pStyle w:val="Copyrightpage-BodyBold"/>
                  <w:rPr>
                    <w:spacing w:val="-4"/>
                  </w:rPr>
                </w:pPr>
                <w:r w:rsidRPr="007C3A5F">
                  <w:rPr>
                    <w:spacing w:val="-4"/>
                  </w:rPr>
                  <w:t xml:space="preserve">The Productivity Commission is the Australian Government’s independent research and advisory body on a range of economic, social and environmental issues affecting the welfare of Australians. Its role, expressed most simply, is to help governments make better policies, in the </w:t>
                </w:r>
                <w:proofErr w:type="gramStart"/>
                <w:r w:rsidRPr="007C3A5F">
                  <w:rPr>
                    <w:spacing w:val="-4"/>
                  </w:rPr>
                  <w:t>long term</w:t>
                </w:r>
                <w:proofErr w:type="gramEnd"/>
                <w:r w:rsidRPr="007C3A5F">
                  <w:rPr>
                    <w:spacing w:val="-4"/>
                  </w:rPr>
                  <w:t xml:space="preserve"> interest of the Australian community.</w:t>
                </w:r>
              </w:p>
              <w:p w14:paraId="16D88DA7" w14:textId="77777777" w:rsidR="004F7BE2" w:rsidRPr="000F4488" w:rsidRDefault="004F7BE2">
                <w:pPr>
                  <w:pStyle w:val="Copyrightpage-BodyBold"/>
                </w:pPr>
                <w:r w:rsidRPr="000561CF">
                  <w:t>The Commission’s independence is underpinned by an Act of Parliament. Its processes and outputs are open to public scrutiny and are driven by concern for the wellbeing of the community as a whole.</w:t>
                </w:r>
              </w:p>
              <w:p w14:paraId="0CBEF7F1" w14:textId="77777777" w:rsidR="004F7BE2" w:rsidRPr="000F4488" w:rsidRDefault="004F7BE2">
                <w:pPr>
                  <w:pStyle w:val="Copyrightpage-BodyBold"/>
                </w:pPr>
                <w:r w:rsidRPr="000561CF">
                  <w:t>Further information on the Productivity Commission can be obtained from the Commission’s website (www.pc.gov.au).</w:t>
                </w:r>
              </w:p>
              <w:p w14:paraId="153A9BD7" w14:textId="77777777" w:rsidR="004F7BE2" w:rsidRPr="000F4488" w:rsidRDefault="004F7BE2">
                <w:pPr>
                  <w:pStyle w:val="Copyrightpage-Keylinenotext"/>
                  <w:ind w:right="-284"/>
                  <w:rPr>
                    <w:b/>
                    <w:bCs/>
                  </w:rPr>
                </w:pPr>
              </w:p>
              <w:p w14:paraId="04793EEE" w14:textId="7828081F" w:rsidR="004F7BE2" w:rsidRPr="000561CF" w:rsidRDefault="004F7BE2">
                <w:pPr>
                  <w:pStyle w:val="Copyrightpage-BodyBold"/>
                </w:pPr>
                <w:r w:rsidRPr="00E72EE0">
                  <w:t>©</w:t>
                </w:r>
                <w:r w:rsidRPr="00137FAB">
                  <w:t xml:space="preserve"> Commonwealth of Australia 202</w:t>
                </w:r>
                <w:r w:rsidR="00DC020D">
                  <w:t>3</w:t>
                </w:r>
              </w:p>
              <w:p w14:paraId="3A6FF04D" w14:textId="77777777" w:rsidR="004F7BE2" w:rsidRPr="00E72EE0" w:rsidRDefault="004F7BE2">
                <w:pPr>
                  <w:pStyle w:val="Copyrightpage-Heading2"/>
                  <w:spacing w:before="0"/>
                  <w:ind w:right="-284"/>
                  <w:rPr>
                    <w:bCs/>
                  </w:rPr>
                </w:pPr>
                <w:r w:rsidRPr="00E72EE0">
                  <w:rPr>
                    <w:bCs/>
                    <w:noProof/>
                  </w:rPr>
                  <w:drawing>
                    <wp:inline distT="0" distB="0" distL="0" distR="0" wp14:anchorId="5083D64A" wp14:editId="6CC0BAB5">
                      <wp:extent cx="774000" cy="270000"/>
                      <wp:effectExtent l="0" t="0" r="7620" b="0"/>
                      <wp:docPr id="6" name="Picture 6" descr="CC By logo">
                        <a:extLst xmlns:a="http://schemas.openxmlformats.org/drawingml/2006/main">
                          <a:ext uri="{FF2B5EF4-FFF2-40B4-BE49-F238E27FC236}">
                            <a16:creationId xmlns:a16="http://schemas.microsoft.com/office/drawing/2014/main" id="{F54E5013-412A-4F91-9DD3-DA71DB133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CC By logo">
                                <a:extLst>
                                  <a:ext uri="{FF2B5EF4-FFF2-40B4-BE49-F238E27FC236}">
                                    <a16:creationId xmlns:a16="http://schemas.microsoft.com/office/drawing/2014/main" id="{F54E5013-412A-4F91-9DD3-DA71DB1337DF}"/>
                                  </a:ext>
                                </a:extLst>
                              </pic:cNvPr>
                              <pic:cNvPicPr>
                                <a:picLocks noChangeAspect="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774000" cy="270000"/>
                              </a:xfrm>
                              <a:prstGeom prst="rect">
                                <a:avLst/>
                              </a:prstGeom>
                            </pic:spPr>
                          </pic:pic>
                        </a:graphicData>
                      </a:graphic>
                    </wp:inline>
                  </w:drawing>
                </w:r>
              </w:p>
              <w:p w14:paraId="73628A85" w14:textId="77777777" w:rsidR="004F7BE2" w:rsidRPr="000F4488" w:rsidRDefault="004F7BE2">
                <w:pPr>
                  <w:pStyle w:val="Copyrightpage-BodyBold"/>
                  <w:ind w:right="-143"/>
                </w:pPr>
                <w:proofErr w:type="gramStart"/>
                <w:r w:rsidRPr="00E72EE0">
                  <w:t>With the exception of</w:t>
                </w:r>
                <w:proofErr w:type="gramEnd"/>
                <w:r w:rsidRPr="00E72EE0">
                  <w:t xml:space="preserve"> the Commonwealth Coat of Arms and content supplied by </w:t>
                </w:r>
                <w:r w:rsidRPr="00137FAB">
                  <w:t>third parties, this copyright work is licensed under a Creative Commons Attribution 4.0 In</w:t>
                </w:r>
                <w:r w:rsidRPr="00AC587D">
                  <w:t xml:space="preserve">ternational licence. In essence, you are free to copy, communicate and adapt the work, </w:t>
                </w:r>
                <w:proofErr w:type="gramStart"/>
                <w:r w:rsidRPr="00AC587D">
                  <w:t>as long as</w:t>
                </w:r>
                <w:proofErr w:type="gramEnd"/>
                <w:r w:rsidRPr="00AC587D">
                  <w:t xml:space="preserve"> you attribute the work to the Productivity Commission (but not in any way that suggests the Commission endorses you or your use) and abide b</w:t>
                </w:r>
                <w:r w:rsidRPr="000561CF">
                  <w:t>y the other licence terms. The licence can be viewed at: https://creativecommons.org/licenses/by/4.0.</w:t>
                </w:r>
              </w:p>
              <w:p w14:paraId="2668F446" w14:textId="77777777" w:rsidR="004F7BE2" w:rsidRPr="000F4488" w:rsidRDefault="004F7BE2">
                <w:pPr>
                  <w:pStyle w:val="Copyrightpage-BodyBold"/>
                </w:pPr>
                <w:r w:rsidRPr="000561CF">
                  <w:t>The terms under which the Coat of Arms can be used are detailed at: www.pmc.gov.au/government/commonwealth-coat-arms.</w:t>
                </w:r>
              </w:p>
              <w:p w14:paraId="236FE0E5" w14:textId="77777777" w:rsidR="004F7BE2" w:rsidRPr="000561CF" w:rsidRDefault="004F7BE2">
                <w:pPr>
                  <w:pStyle w:val="Copyrightpage-BodyBold"/>
                </w:pPr>
                <w:r w:rsidRPr="000561CF">
                  <w:t>Wherever a third party holds copyright in this material the copyright remains with that party. Their permission may be required to use the material, please contact them directly.</w:t>
                </w:r>
              </w:p>
              <w:p w14:paraId="16138544" w14:textId="1D92E552" w:rsidR="004F7BE2" w:rsidRPr="00137FAB" w:rsidRDefault="004F7BE2">
                <w:pPr>
                  <w:pStyle w:val="Copyrightpage-BodyBold"/>
                </w:pPr>
                <w:r w:rsidRPr="000F4488">
                  <w:t>An appropriate reference for this publication is:</w:t>
                </w:r>
                <w:r>
                  <w:br/>
                  <w:t xml:space="preserve">Productivity Commission </w:t>
                </w:r>
                <w:r w:rsidR="00B040BC" w:rsidRPr="004A6E0C">
                  <w:t>2023</w:t>
                </w:r>
                <w:r w:rsidR="00B040BC">
                  <w:t xml:space="preserve">, </w:t>
                </w:r>
                <w:r w:rsidR="00B040BC" w:rsidRPr="0013580D">
                  <w:rPr>
                    <w:i/>
                    <w:iCs/>
                  </w:rPr>
                  <w:t>Review of Part 3 of the Future Drought Fund Act</w:t>
                </w:r>
                <w:r w:rsidR="00B040BC">
                  <w:t>, Interim</w:t>
                </w:r>
                <w:r>
                  <w:t xml:space="preserve"> Report, Canberra</w:t>
                </w:r>
                <w:r w:rsidR="00B040BC">
                  <w:t>.</w:t>
                </w:r>
              </w:p>
              <w:p w14:paraId="05EC2D8A" w14:textId="77777777" w:rsidR="004F7BE2" w:rsidRDefault="004F7BE2">
                <w:pPr>
                  <w:pStyle w:val="Copyrightpage-BodyBold"/>
                  <w:ind w:right="-284"/>
                </w:pPr>
              </w:p>
              <w:p w14:paraId="509BC493" w14:textId="3AD3526C" w:rsidR="004F7BE2" w:rsidRDefault="004F7BE2">
                <w:pPr>
                  <w:pStyle w:val="Copyrightpage-BodyBold"/>
                  <w:ind w:right="-284"/>
                </w:pPr>
                <w:r w:rsidRPr="00E72EE0">
                  <w:t xml:space="preserve">Publication enquiries: </w:t>
                </w:r>
                <w:r>
                  <w:br/>
                </w:r>
                <w:r w:rsidR="00891918">
                  <w:t>P</w:t>
                </w:r>
                <w:r w:rsidRPr="00137FAB">
                  <w:t xml:space="preserve">hone 03 9653 2244 | </w:t>
                </w:r>
                <w:r w:rsidR="00891918">
                  <w:t>E</w:t>
                </w:r>
                <w:r w:rsidRPr="00137FAB">
                  <w:t xml:space="preserve">mail </w:t>
                </w:r>
                <w:r w:rsidRPr="00AC587D">
                  <w:t>publications@pc.gov.au</w:t>
                </w:r>
              </w:p>
            </w:tc>
          </w:tr>
        </w:tbl>
        <w:p w14:paraId="29D840D1" w14:textId="77777777" w:rsidR="004F7BE2" w:rsidRPr="00DA3017" w:rsidRDefault="004F7BE2" w:rsidP="004F7BE2">
          <w:pPr>
            <w:spacing w:before="0" w:after="160" w:line="259" w:lineRule="auto"/>
            <w:rPr>
              <w:b/>
              <w:color w:val="FFFFFF" w:themeColor="background1"/>
            </w:rPr>
          </w:pPr>
          <w:r>
            <w:rPr>
              <w:rStyle w:val="White"/>
              <w:b/>
            </w:rPr>
            <w:t xml:space="preserve"> </w:t>
          </w:r>
        </w:p>
      </w:sdtContent>
    </w:sdt>
    <w:tbl>
      <w:tblPr>
        <w:tblStyle w:val="NoBorderwithPadding"/>
        <w:tblW w:w="0" w:type="auto"/>
        <w:shd w:val="clear" w:color="auto" w:fill="66BCDB" w:themeFill="text2"/>
        <w:tblLook w:val="04A0" w:firstRow="1" w:lastRow="0" w:firstColumn="1" w:lastColumn="0" w:noHBand="0" w:noVBand="1"/>
      </w:tblPr>
      <w:tblGrid>
        <w:gridCol w:w="9638"/>
      </w:tblGrid>
      <w:tr w:rsidR="004F7BE2" w14:paraId="32E5B7EB" w14:textId="77777777">
        <w:trPr>
          <w:trHeight w:hRule="exact" w:val="12586"/>
        </w:trPr>
        <w:tc>
          <w:tcPr>
            <w:tcW w:w="9638" w:type="dxa"/>
            <w:shd w:val="clear" w:color="auto" w:fill="F4F5F6"/>
          </w:tcPr>
          <w:p w14:paraId="683B6B9D" w14:textId="77777777" w:rsidR="004F7BE2" w:rsidRDefault="004F7BE2" w:rsidP="004F7BE2">
            <w:pPr>
              <w:pStyle w:val="Heading1-nobackground"/>
            </w:pPr>
            <w:bookmarkStart w:id="0" w:name="_Toc137129746"/>
            <w:r>
              <w:lastRenderedPageBreak/>
              <w:t>Opportunity for comment</w:t>
            </w:r>
            <w:bookmarkEnd w:id="0"/>
          </w:p>
          <w:p w14:paraId="116D544C" w14:textId="77777777" w:rsidR="003C17D4" w:rsidRDefault="003C17D4" w:rsidP="003C17D4">
            <w:pPr>
              <w:pStyle w:val="Heading2-noTOC"/>
              <w:rPr>
                <w:rFonts w:asciiTheme="minorHAnsi" w:eastAsiaTheme="minorHAnsi" w:hAnsiTheme="minorHAnsi" w:cstheme="minorBidi"/>
                <w:sz w:val="20"/>
                <w:szCs w:val="20"/>
              </w:rPr>
            </w:pPr>
            <w:r w:rsidRPr="00AA4AD1">
              <w:rPr>
                <w:rFonts w:asciiTheme="minorHAnsi" w:eastAsiaTheme="minorHAnsi" w:hAnsiTheme="minorHAnsi" w:cstheme="minorBidi"/>
                <w:sz w:val="20"/>
                <w:szCs w:val="20"/>
              </w:rPr>
              <w:t xml:space="preserve">The Commission thanks all participants for their contribution to the review and now seeks additional input for the final report. </w:t>
            </w:r>
          </w:p>
          <w:p w14:paraId="2A47A068" w14:textId="5F674226" w:rsidR="003C17D4" w:rsidRDefault="003C17D4" w:rsidP="003C17D4">
            <w:pPr>
              <w:pStyle w:val="Heading2-noTOC"/>
              <w:rPr>
                <w:rFonts w:asciiTheme="minorHAnsi" w:eastAsiaTheme="minorHAnsi" w:hAnsiTheme="minorHAnsi" w:cstheme="minorBidi"/>
                <w:sz w:val="20"/>
                <w:szCs w:val="20"/>
              </w:rPr>
            </w:pPr>
            <w:r w:rsidRPr="00AA4AD1">
              <w:rPr>
                <w:rFonts w:asciiTheme="minorHAnsi" w:eastAsiaTheme="minorHAnsi" w:hAnsiTheme="minorHAnsi" w:cstheme="minorBidi"/>
                <w:sz w:val="20"/>
                <w:szCs w:val="20"/>
              </w:rPr>
              <w:t xml:space="preserve">You are invited to examine this interim report and comment on it by written submission to the Productivity Commission, preferably in electronic format, by </w:t>
            </w:r>
            <w:r w:rsidR="00286AEF">
              <w:rPr>
                <w:rFonts w:asciiTheme="minorHAnsi" w:eastAsiaTheme="minorHAnsi" w:hAnsiTheme="minorHAnsi" w:cstheme="minorBidi"/>
                <w:sz w:val="20"/>
                <w:szCs w:val="20"/>
              </w:rPr>
              <w:t>11</w:t>
            </w:r>
            <w:r w:rsidR="00A94DE0">
              <w:rPr>
                <w:rFonts w:asciiTheme="minorHAnsi" w:eastAsiaTheme="minorHAnsi" w:hAnsiTheme="minorHAnsi" w:cstheme="minorBidi"/>
                <w:sz w:val="20"/>
                <w:szCs w:val="20"/>
              </w:rPr>
              <w:t> </w:t>
            </w:r>
            <w:r w:rsidR="00286AEF">
              <w:rPr>
                <w:rFonts w:asciiTheme="minorHAnsi" w:eastAsiaTheme="minorHAnsi" w:hAnsiTheme="minorHAnsi" w:cstheme="minorBidi"/>
                <w:sz w:val="20"/>
                <w:szCs w:val="20"/>
              </w:rPr>
              <w:t>July</w:t>
            </w:r>
            <w:r w:rsidRPr="00AA4AD1">
              <w:rPr>
                <w:rFonts w:asciiTheme="minorHAnsi" w:eastAsiaTheme="minorHAnsi" w:hAnsiTheme="minorHAnsi" w:cstheme="minorBidi"/>
                <w:sz w:val="20"/>
                <w:szCs w:val="20"/>
              </w:rPr>
              <w:t xml:space="preserve">. </w:t>
            </w:r>
          </w:p>
          <w:p w14:paraId="18E1837C" w14:textId="4306BC7C" w:rsidR="003C17D4" w:rsidRDefault="003C17D4" w:rsidP="003C17D4">
            <w:pPr>
              <w:pStyle w:val="Heading2-noTOC"/>
              <w:rPr>
                <w:rFonts w:asciiTheme="minorHAnsi" w:eastAsiaTheme="minorHAnsi" w:hAnsiTheme="minorHAnsi" w:cstheme="minorBidi"/>
                <w:sz w:val="20"/>
                <w:szCs w:val="20"/>
              </w:rPr>
            </w:pPr>
            <w:r w:rsidRPr="00AA4AD1">
              <w:rPr>
                <w:rFonts w:asciiTheme="minorHAnsi" w:eastAsiaTheme="minorHAnsi" w:hAnsiTheme="minorHAnsi" w:cstheme="minorBidi"/>
                <w:sz w:val="20"/>
                <w:szCs w:val="20"/>
              </w:rPr>
              <w:t xml:space="preserve">Further information on how to provide a submission is included on the </w:t>
            </w:r>
            <w:r w:rsidR="00EB3E3E">
              <w:rPr>
                <w:rFonts w:asciiTheme="minorHAnsi" w:eastAsiaTheme="minorHAnsi" w:hAnsiTheme="minorHAnsi" w:cstheme="minorBidi"/>
                <w:sz w:val="20"/>
                <w:szCs w:val="20"/>
              </w:rPr>
              <w:t>inquiry</w:t>
            </w:r>
            <w:r w:rsidRPr="00AA4AD1">
              <w:rPr>
                <w:rFonts w:asciiTheme="minorHAnsi" w:eastAsiaTheme="minorHAnsi" w:hAnsiTheme="minorHAnsi" w:cstheme="minorBidi"/>
                <w:sz w:val="20"/>
                <w:szCs w:val="20"/>
              </w:rPr>
              <w:t xml:space="preserve"> website: </w:t>
            </w:r>
            <w:hyperlink r:id="rId22" w:history="1">
              <w:r w:rsidRPr="00235F9F">
                <w:rPr>
                  <w:rStyle w:val="Hyperlink"/>
                  <w:rFonts w:asciiTheme="minorHAnsi" w:eastAsiaTheme="minorHAnsi" w:hAnsiTheme="minorHAnsi" w:cstheme="minorBidi"/>
                  <w:sz w:val="20"/>
                  <w:szCs w:val="20"/>
                </w:rPr>
                <w:t>www.pc.gov.au/inquiries/current/future-drought-fund</w:t>
              </w:r>
            </w:hyperlink>
          </w:p>
          <w:p w14:paraId="1E7DED63" w14:textId="77777777" w:rsidR="003C17D4" w:rsidRDefault="003C17D4" w:rsidP="003C17D4">
            <w:pPr>
              <w:pStyle w:val="Heading2-noTOC"/>
              <w:rPr>
                <w:rFonts w:asciiTheme="minorHAnsi" w:eastAsiaTheme="minorHAnsi" w:hAnsiTheme="minorHAnsi" w:cstheme="minorBidi"/>
                <w:sz w:val="20"/>
                <w:szCs w:val="20"/>
              </w:rPr>
            </w:pPr>
            <w:r w:rsidRPr="00AA4AD1">
              <w:rPr>
                <w:rFonts w:asciiTheme="minorHAnsi" w:eastAsiaTheme="minorHAnsi" w:hAnsiTheme="minorHAnsi" w:cstheme="minorBidi"/>
                <w:sz w:val="20"/>
                <w:szCs w:val="20"/>
              </w:rPr>
              <w:t xml:space="preserve">The Commission will hold further discussions with participants and prepare a final report after further submissions have been received. The Commission will forward the final report to Government in </w:t>
            </w:r>
            <w:r>
              <w:rPr>
                <w:rFonts w:asciiTheme="minorHAnsi" w:eastAsiaTheme="minorHAnsi" w:hAnsiTheme="minorHAnsi" w:cstheme="minorBidi"/>
                <w:sz w:val="20"/>
                <w:szCs w:val="20"/>
              </w:rPr>
              <w:t>September</w:t>
            </w:r>
            <w:r w:rsidRPr="00AA4AD1">
              <w:rPr>
                <w:rFonts w:asciiTheme="minorHAnsi" w:eastAsiaTheme="minorHAnsi" w:hAnsiTheme="minorHAnsi" w:cstheme="minorBidi"/>
                <w:sz w:val="20"/>
                <w:szCs w:val="20"/>
              </w:rPr>
              <w:t xml:space="preserve"> 202</w:t>
            </w:r>
            <w:r>
              <w:rPr>
                <w:rFonts w:asciiTheme="minorHAnsi" w:eastAsiaTheme="minorHAnsi" w:hAnsiTheme="minorHAnsi" w:cstheme="minorBidi"/>
                <w:sz w:val="20"/>
                <w:szCs w:val="20"/>
              </w:rPr>
              <w:t>3</w:t>
            </w:r>
            <w:r w:rsidRPr="00AA4AD1">
              <w:rPr>
                <w:rFonts w:asciiTheme="minorHAnsi" w:eastAsiaTheme="minorHAnsi" w:hAnsiTheme="minorHAnsi" w:cstheme="minorBidi"/>
                <w:sz w:val="20"/>
                <w:szCs w:val="20"/>
              </w:rPr>
              <w:t>.</w:t>
            </w:r>
          </w:p>
          <w:p w14:paraId="6008B16D" w14:textId="77777777" w:rsidR="003C17D4" w:rsidRPr="00683E2C" w:rsidRDefault="003C17D4" w:rsidP="003C17D4">
            <w:pPr>
              <w:pStyle w:val="Heading2-noTOC"/>
            </w:pPr>
            <w:r w:rsidRPr="00683E2C">
              <w:t>Commissioners</w:t>
            </w:r>
          </w:p>
          <w:p w14:paraId="488B80DB" w14:textId="045DFBE9" w:rsidR="003C17D4" w:rsidRPr="007151C7" w:rsidRDefault="003C17D4" w:rsidP="003C17D4">
            <w:pPr>
              <w:pStyle w:val="BodyText"/>
            </w:pPr>
            <w:r w:rsidRPr="007151C7">
              <w:t xml:space="preserve">For the purposes of this inquiry and </w:t>
            </w:r>
            <w:r w:rsidR="00E665C0">
              <w:t>interim</w:t>
            </w:r>
            <w:r w:rsidRPr="007151C7">
              <w:t xml:space="preserve"> report, in accordance with section 40 of the </w:t>
            </w:r>
            <w:r w:rsidRPr="00297BB6">
              <w:rPr>
                <w:i/>
              </w:rPr>
              <w:t>Productivity Commission Act 1998</w:t>
            </w:r>
            <w:r w:rsidRPr="007151C7">
              <w:t xml:space="preserve"> the powers of the Productivity Commission have been exercised by:</w:t>
            </w:r>
          </w:p>
          <w:p w14:paraId="2ADB3EBB" w14:textId="77A21806" w:rsidR="003C17D4" w:rsidRDefault="00AE0539" w:rsidP="007D39A8">
            <w:pPr>
              <w:pStyle w:val="BodyText"/>
              <w:tabs>
                <w:tab w:val="left" w:pos="2137"/>
              </w:tabs>
            </w:pPr>
            <w:r>
              <w:t>Joanne Chong</w:t>
            </w:r>
            <w:r w:rsidR="007D39A8">
              <w:tab/>
            </w:r>
            <w:r w:rsidR="003C17D4">
              <w:t>Commissioner</w:t>
            </w:r>
          </w:p>
          <w:p w14:paraId="08EACDCC" w14:textId="3ACEB598" w:rsidR="004F7BE2" w:rsidRPr="00DD6473" w:rsidRDefault="00AE0539" w:rsidP="007D39A8">
            <w:pPr>
              <w:pStyle w:val="BodyText"/>
              <w:tabs>
                <w:tab w:val="left" w:pos="2137"/>
              </w:tabs>
            </w:pPr>
            <w:r>
              <w:t>Malcolm Roberts</w:t>
            </w:r>
            <w:r w:rsidR="007D39A8">
              <w:tab/>
            </w:r>
            <w:r w:rsidR="003C17D4">
              <w:t>Commissioner</w:t>
            </w:r>
          </w:p>
        </w:tc>
      </w:tr>
    </w:tbl>
    <w:p w14:paraId="31CD7DAD" w14:textId="77777777" w:rsidR="004F7BE2" w:rsidRDefault="004F7BE2" w:rsidP="004F7BE2">
      <w:pPr>
        <w:pStyle w:val="BodyText"/>
        <w:sectPr w:rsidR="004F7BE2" w:rsidSect="004544D6">
          <w:headerReference w:type="even" r:id="rId23"/>
          <w:headerReference w:type="default" r:id="rId24"/>
          <w:footerReference w:type="even" r:id="rId25"/>
          <w:footerReference w:type="default" r:id="rId26"/>
          <w:pgSz w:w="11906" w:h="16838" w:code="9"/>
          <w:pgMar w:top="1134" w:right="1134" w:bottom="1134" w:left="1134" w:header="794" w:footer="510" w:gutter="0"/>
          <w:pgNumType w:fmt="lowerRoman" w:start="2"/>
          <w:cols w:space="708"/>
          <w:docGrid w:linePitch="360"/>
        </w:sectPr>
      </w:pPr>
      <w:bookmarkStart w:id="1" w:name="_Toc77943765"/>
    </w:p>
    <w:p w14:paraId="1CBF8E23" w14:textId="77777777" w:rsidR="00B43AF4" w:rsidRPr="00B43AF4" w:rsidRDefault="00B43AF4" w:rsidP="00ED6125">
      <w:pPr>
        <w:pStyle w:val="Heading1-nobackground"/>
      </w:pPr>
      <w:bookmarkStart w:id="2" w:name="_Toc136533986"/>
      <w:bookmarkStart w:id="3" w:name="_Toc136600675"/>
      <w:bookmarkStart w:id="4" w:name="_Toc136816993"/>
      <w:bookmarkStart w:id="5" w:name="_Toc137129747"/>
      <w:bookmarkEnd w:id="1"/>
      <w:r w:rsidRPr="00B43AF4">
        <w:lastRenderedPageBreak/>
        <w:t>Contents</w:t>
      </w:r>
      <w:bookmarkEnd w:id="2"/>
      <w:bookmarkEnd w:id="3"/>
      <w:bookmarkEnd w:id="4"/>
      <w:bookmarkEnd w:id="5"/>
    </w:p>
    <w:sdt>
      <w:sdtPr>
        <w:rPr>
          <w:rFonts w:asciiTheme="minorHAnsi" w:hAnsiTheme="minorHAnsi"/>
          <w:b/>
          <w:noProof/>
          <w:color w:val="auto"/>
        </w:rPr>
        <w:id w:val="-896974578"/>
        <w:docPartObj>
          <w:docPartGallery w:val="Table of Contents"/>
          <w:docPartUnique/>
        </w:docPartObj>
      </w:sdtPr>
      <w:sdtEndPr>
        <w:rPr>
          <w:b w:val="0"/>
          <w:bCs/>
        </w:rPr>
      </w:sdtEndPr>
      <w:sdtContent>
        <w:p w14:paraId="4C4D29B7" w14:textId="2D392841" w:rsidR="00740F47" w:rsidRDefault="00B43AF4">
          <w:pPr>
            <w:pStyle w:val="TOC1"/>
            <w:rPr>
              <w:rFonts w:asciiTheme="minorHAnsi" w:eastAsiaTheme="minorEastAsia" w:hAnsiTheme="minorHAnsi"/>
              <w:noProof/>
              <w:color w:val="auto"/>
              <w:kern w:val="2"/>
              <w:sz w:val="22"/>
              <w:szCs w:val="22"/>
              <w:lang w:eastAsia="en-AU"/>
              <w14:ligatures w14:val="standardContextual"/>
            </w:rPr>
          </w:pPr>
          <w:r>
            <w:rPr>
              <w:noProof/>
            </w:rPr>
            <w:fldChar w:fldCharType="begin"/>
          </w:r>
          <w:r>
            <w:instrText xml:space="preserve"> TOC \\h \z \t "Heading 1,1,</w:instrText>
          </w:r>
          <w:r w:rsidRPr="00484E96">
            <w:instrText>Heading-Appendix</w:instrText>
          </w:r>
          <w:r>
            <w:instrText>,1,</w:instrText>
          </w:r>
          <w:r w:rsidRPr="00F37F65">
            <w:instrText xml:space="preserve"> Heading 1</w:instrText>
          </w:r>
          <w:r>
            <w:instrText>-no number</w:instrText>
          </w:r>
          <w:r w:rsidRPr="00F37F65">
            <w:instrText>,1</w:instrText>
          </w:r>
          <w:r>
            <w:instrText>, Heading 1-no background,1,</w:instrText>
          </w:r>
          <w:r w:rsidRPr="00F37F65">
            <w:instrText xml:space="preserve"> Heading 1-Section blue background</w:instrText>
          </w:r>
          <w:r>
            <w:instrText>,3,</w:instrText>
          </w:r>
          <w:r w:rsidRPr="00F37F65">
            <w:instrText xml:space="preserve"> Heading 1-Section-full page</w:instrText>
          </w:r>
          <w:r>
            <w:instrText xml:space="preserve">,3,Heading 2,2,Heading 2-no number,2,Heading 2-Appendix,2,Heading 1 - Intro,3,Heading 1-numbered,3,Section Heading-pale blue,3" </w:instrText>
          </w:r>
          <w:r>
            <w:rPr>
              <w:noProof/>
            </w:rPr>
            <w:fldChar w:fldCharType="separate"/>
          </w:r>
          <w:r w:rsidR="00740F47">
            <w:rPr>
              <w:noProof/>
            </w:rPr>
            <w:t>Opportunity for comment</w:t>
          </w:r>
          <w:r w:rsidR="00740F47">
            <w:rPr>
              <w:noProof/>
              <w:webHidden/>
            </w:rPr>
            <w:tab/>
          </w:r>
          <w:r w:rsidR="00740F47">
            <w:rPr>
              <w:noProof/>
              <w:webHidden/>
            </w:rPr>
            <w:fldChar w:fldCharType="begin"/>
          </w:r>
          <w:r w:rsidR="00740F47">
            <w:rPr>
              <w:noProof/>
              <w:webHidden/>
            </w:rPr>
            <w:instrText xml:space="preserve"> PAGEREF _Toc137129746 \h </w:instrText>
          </w:r>
          <w:r w:rsidR="00740F47">
            <w:rPr>
              <w:noProof/>
              <w:webHidden/>
            </w:rPr>
          </w:r>
          <w:r w:rsidR="00740F47">
            <w:rPr>
              <w:noProof/>
              <w:webHidden/>
            </w:rPr>
            <w:fldChar w:fldCharType="separate"/>
          </w:r>
          <w:r w:rsidR="00773546">
            <w:rPr>
              <w:noProof/>
              <w:webHidden/>
            </w:rPr>
            <w:t>iii</w:t>
          </w:r>
          <w:r w:rsidR="00740F47">
            <w:rPr>
              <w:noProof/>
              <w:webHidden/>
            </w:rPr>
            <w:fldChar w:fldCharType="end"/>
          </w:r>
        </w:p>
        <w:p w14:paraId="6C0C8289" w14:textId="57650AFC" w:rsidR="00740F47" w:rsidRDefault="00740F47">
          <w:pPr>
            <w:pStyle w:val="TOC3"/>
            <w:rPr>
              <w:rFonts w:asciiTheme="minorHAnsi" w:eastAsiaTheme="minorEastAsia" w:hAnsiTheme="minorHAnsi"/>
              <w:noProof/>
              <w:color w:val="auto"/>
              <w:kern w:val="2"/>
              <w:sz w:val="22"/>
              <w:szCs w:val="22"/>
              <w:lang w:eastAsia="en-AU"/>
              <w14:ligatures w14:val="standardContextual"/>
            </w:rPr>
          </w:pPr>
          <w:r>
            <w:rPr>
              <w:noProof/>
            </w:rPr>
            <w:t>Executive summary</w:t>
          </w:r>
          <w:r>
            <w:rPr>
              <w:noProof/>
              <w:webHidden/>
            </w:rPr>
            <w:tab/>
          </w:r>
          <w:r>
            <w:rPr>
              <w:noProof/>
              <w:webHidden/>
            </w:rPr>
            <w:fldChar w:fldCharType="begin"/>
          </w:r>
          <w:r>
            <w:rPr>
              <w:noProof/>
              <w:webHidden/>
            </w:rPr>
            <w:instrText xml:space="preserve"> PAGEREF _Toc137129748 \h </w:instrText>
          </w:r>
          <w:r>
            <w:rPr>
              <w:noProof/>
              <w:webHidden/>
            </w:rPr>
          </w:r>
          <w:r>
            <w:rPr>
              <w:noProof/>
              <w:webHidden/>
            </w:rPr>
            <w:fldChar w:fldCharType="separate"/>
          </w:r>
          <w:r w:rsidR="00773546">
            <w:rPr>
              <w:noProof/>
              <w:webHidden/>
            </w:rPr>
            <w:t>1</w:t>
          </w:r>
          <w:r>
            <w:rPr>
              <w:noProof/>
              <w:webHidden/>
            </w:rPr>
            <w:fldChar w:fldCharType="end"/>
          </w:r>
        </w:p>
        <w:p w14:paraId="36F8A008" w14:textId="30CD993C" w:rsidR="00740F47" w:rsidRDefault="00740F47">
          <w:pPr>
            <w:pStyle w:val="TOC2"/>
            <w:rPr>
              <w:rFonts w:eastAsiaTheme="minorEastAsia"/>
              <w:kern w:val="2"/>
              <w:sz w:val="22"/>
              <w:szCs w:val="22"/>
              <w:lang w:eastAsia="en-AU"/>
              <w14:ligatures w14:val="standardContextual"/>
            </w:rPr>
          </w:pPr>
          <w:r>
            <w:t>Background</w:t>
          </w:r>
          <w:r>
            <w:rPr>
              <w:webHidden/>
            </w:rPr>
            <w:tab/>
          </w:r>
          <w:r>
            <w:rPr>
              <w:webHidden/>
            </w:rPr>
            <w:fldChar w:fldCharType="begin"/>
          </w:r>
          <w:r>
            <w:rPr>
              <w:webHidden/>
            </w:rPr>
            <w:instrText xml:space="preserve"> PAGEREF _Toc137129749 \h </w:instrText>
          </w:r>
          <w:r>
            <w:rPr>
              <w:webHidden/>
            </w:rPr>
          </w:r>
          <w:r>
            <w:rPr>
              <w:webHidden/>
            </w:rPr>
            <w:fldChar w:fldCharType="separate"/>
          </w:r>
          <w:r w:rsidR="00773546">
            <w:rPr>
              <w:webHidden/>
            </w:rPr>
            <w:t>3</w:t>
          </w:r>
          <w:r>
            <w:rPr>
              <w:webHidden/>
            </w:rPr>
            <w:fldChar w:fldCharType="end"/>
          </w:r>
        </w:p>
        <w:p w14:paraId="7B2019DC" w14:textId="721B7DFD" w:rsidR="00740F47" w:rsidRDefault="00740F47">
          <w:pPr>
            <w:pStyle w:val="TOC2"/>
            <w:rPr>
              <w:rFonts w:eastAsiaTheme="minorEastAsia"/>
              <w:kern w:val="2"/>
              <w:sz w:val="22"/>
              <w:szCs w:val="22"/>
              <w:lang w:eastAsia="en-AU"/>
              <w14:ligatures w14:val="standardContextual"/>
            </w:rPr>
          </w:pPr>
          <w:r>
            <w:t>Introduction</w:t>
          </w:r>
          <w:r>
            <w:rPr>
              <w:webHidden/>
            </w:rPr>
            <w:tab/>
          </w:r>
          <w:r>
            <w:rPr>
              <w:webHidden/>
            </w:rPr>
            <w:fldChar w:fldCharType="begin"/>
          </w:r>
          <w:r>
            <w:rPr>
              <w:webHidden/>
            </w:rPr>
            <w:instrText xml:space="preserve"> PAGEREF _Toc137129750 \h </w:instrText>
          </w:r>
          <w:r>
            <w:rPr>
              <w:webHidden/>
            </w:rPr>
          </w:r>
          <w:r>
            <w:rPr>
              <w:webHidden/>
            </w:rPr>
            <w:fldChar w:fldCharType="separate"/>
          </w:r>
          <w:r w:rsidR="00773546">
            <w:rPr>
              <w:webHidden/>
            </w:rPr>
            <w:t>3</w:t>
          </w:r>
          <w:r>
            <w:rPr>
              <w:webHidden/>
            </w:rPr>
            <w:fldChar w:fldCharType="end"/>
          </w:r>
        </w:p>
        <w:p w14:paraId="198D0DA7" w14:textId="2EAC2DFE" w:rsidR="00740F47" w:rsidRDefault="00740F47">
          <w:pPr>
            <w:pStyle w:val="TOC2"/>
            <w:rPr>
              <w:rFonts w:eastAsiaTheme="minorEastAsia"/>
              <w:kern w:val="2"/>
              <w:sz w:val="22"/>
              <w:szCs w:val="22"/>
              <w:lang w:eastAsia="en-AU"/>
              <w14:ligatures w14:val="standardContextual"/>
            </w:rPr>
          </w:pPr>
          <w:r>
            <w:t>Drought resilience and the Future Drought Fund</w:t>
          </w:r>
          <w:r>
            <w:rPr>
              <w:webHidden/>
            </w:rPr>
            <w:tab/>
          </w:r>
          <w:r>
            <w:rPr>
              <w:webHidden/>
            </w:rPr>
            <w:fldChar w:fldCharType="begin"/>
          </w:r>
          <w:r>
            <w:rPr>
              <w:webHidden/>
            </w:rPr>
            <w:instrText xml:space="preserve"> PAGEREF _Toc137129751 \h </w:instrText>
          </w:r>
          <w:r>
            <w:rPr>
              <w:webHidden/>
            </w:rPr>
          </w:r>
          <w:r>
            <w:rPr>
              <w:webHidden/>
            </w:rPr>
            <w:fldChar w:fldCharType="separate"/>
          </w:r>
          <w:r w:rsidR="00773546">
            <w:rPr>
              <w:webHidden/>
            </w:rPr>
            <w:t>3</w:t>
          </w:r>
          <w:r>
            <w:rPr>
              <w:webHidden/>
            </w:rPr>
            <w:fldChar w:fldCharType="end"/>
          </w:r>
        </w:p>
        <w:p w14:paraId="5351758A" w14:textId="60CE600B" w:rsidR="00740F47" w:rsidRDefault="00740F47">
          <w:pPr>
            <w:pStyle w:val="TOC2"/>
            <w:rPr>
              <w:rFonts w:eastAsiaTheme="minorEastAsia"/>
              <w:kern w:val="2"/>
              <w:sz w:val="22"/>
              <w:szCs w:val="22"/>
              <w:lang w:eastAsia="en-AU"/>
              <w14:ligatures w14:val="standardContextual"/>
            </w:rPr>
          </w:pPr>
          <w:r>
            <w:t>How has the FDF performed?</w:t>
          </w:r>
          <w:r>
            <w:rPr>
              <w:webHidden/>
            </w:rPr>
            <w:tab/>
          </w:r>
          <w:r>
            <w:rPr>
              <w:webHidden/>
            </w:rPr>
            <w:fldChar w:fldCharType="begin"/>
          </w:r>
          <w:r>
            <w:rPr>
              <w:webHidden/>
            </w:rPr>
            <w:instrText xml:space="preserve"> PAGEREF _Toc137129752 \h </w:instrText>
          </w:r>
          <w:r>
            <w:rPr>
              <w:webHidden/>
            </w:rPr>
          </w:r>
          <w:r>
            <w:rPr>
              <w:webHidden/>
            </w:rPr>
            <w:fldChar w:fldCharType="separate"/>
          </w:r>
          <w:r w:rsidR="00773546">
            <w:rPr>
              <w:webHidden/>
            </w:rPr>
            <w:t>7</w:t>
          </w:r>
          <w:r>
            <w:rPr>
              <w:webHidden/>
            </w:rPr>
            <w:fldChar w:fldCharType="end"/>
          </w:r>
        </w:p>
        <w:p w14:paraId="77171FF9" w14:textId="155404FF" w:rsidR="00740F47" w:rsidRDefault="00740F47">
          <w:pPr>
            <w:pStyle w:val="TOC2"/>
            <w:rPr>
              <w:rFonts w:eastAsiaTheme="minorEastAsia"/>
              <w:kern w:val="2"/>
              <w:sz w:val="22"/>
              <w:szCs w:val="22"/>
              <w:lang w:eastAsia="en-AU"/>
              <w14:ligatures w14:val="standardContextual"/>
            </w:rPr>
          </w:pPr>
          <w:r>
            <w:t>Next steps for the Future Drought Fund</w:t>
          </w:r>
          <w:r>
            <w:rPr>
              <w:webHidden/>
            </w:rPr>
            <w:tab/>
          </w:r>
          <w:r>
            <w:rPr>
              <w:webHidden/>
            </w:rPr>
            <w:fldChar w:fldCharType="begin"/>
          </w:r>
          <w:r>
            <w:rPr>
              <w:webHidden/>
            </w:rPr>
            <w:instrText xml:space="preserve"> PAGEREF _Toc137129753 \h </w:instrText>
          </w:r>
          <w:r>
            <w:rPr>
              <w:webHidden/>
            </w:rPr>
          </w:r>
          <w:r>
            <w:rPr>
              <w:webHidden/>
            </w:rPr>
            <w:fldChar w:fldCharType="separate"/>
          </w:r>
          <w:r w:rsidR="00773546">
            <w:rPr>
              <w:webHidden/>
            </w:rPr>
            <w:t>10</w:t>
          </w:r>
          <w:r>
            <w:rPr>
              <w:webHidden/>
            </w:rPr>
            <w:fldChar w:fldCharType="end"/>
          </w:r>
        </w:p>
        <w:p w14:paraId="4D32826D" w14:textId="4C1ABD03" w:rsidR="00740F47" w:rsidRDefault="00740F47">
          <w:pPr>
            <w:pStyle w:val="TOC2"/>
            <w:rPr>
              <w:rFonts w:eastAsiaTheme="minorEastAsia"/>
              <w:kern w:val="2"/>
              <w:sz w:val="22"/>
              <w:szCs w:val="22"/>
              <w:lang w:eastAsia="en-AU"/>
              <w14:ligatures w14:val="standardContextual"/>
            </w:rPr>
          </w:pPr>
          <w:r>
            <w:t>Governance</w:t>
          </w:r>
          <w:r>
            <w:rPr>
              <w:webHidden/>
            </w:rPr>
            <w:tab/>
          </w:r>
          <w:r>
            <w:rPr>
              <w:webHidden/>
            </w:rPr>
            <w:fldChar w:fldCharType="begin"/>
          </w:r>
          <w:r>
            <w:rPr>
              <w:webHidden/>
            </w:rPr>
            <w:instrText xml:space="preserve"> PAGEREF _Toc137129754 \h </w:instrText>
          </w:r>
          <w:r>
            <w:rPr>
              <w:webHidden/>
            </w:rPr>
          </w:r>
          <w:r>
            <w:rPr>
              <w:webHidden/>
            </w:rPr>
            <w:fldChar w:fldCharType="separate"/>
          </w:r>
          <w:r w:rsidR="00773546">
            <w:rPr>
              <w:webHidden/>
            </w:rPr>
            <w:t>13</w:t>
          </w:r>
          <w:r>
            <w:rPr>
              <w:webHidden/>
            </w:rPr>
            <w:fldChar w:fldCharType="end"/>
          </w:r>
        </w:p>
        <w:p w14:paraId="25C269E3" w14:textId="67A9B617" w:rsidR="00740F47" w:rsidRDefault="00740F47">
          <w:pPr>
            <w:pStyle w:val="TOC2"/>
            <w:rPr>
              <w:rFonts w:eastAsiaTheme="minorEastAsia"/>
              <w:kern w:val="2"/>
              <w:sz w:val="22"/>
              <w:szCs w:val="22"/>
              <w:lang w:eastAsia="en-AU"/>
              <w14:ligatures w14:val="standardContextual"/>
            </w:rPr>
          </w:pPr>
          <w:r>
            <w:t>Monitoring, evaluation and learning</w:t>
          </w:r>
          <w:r>
            <w:rPr>
              <w:webHidden/>
            </w:rPr>
            <w:tab/>
          </w:r>
          <w:r>
            <w:rPr>
              <w:webHidden/>
            </w:rPr>
            <w:fldChar w:fldCharType="begin"/>
          </w:r>
          <w:r>
            <w:rPr>
              <w:webHidden/>
            </w:rPr>
            <w:instrText xml:space="preserve"> PAGEREF _Toc137129755 \h </w:instrText>
          </w:r>
          <w:r>
            <w:rPr>
              <w:webHidden/>
            </w:rPr>
          </w:r>
          <w:r>
            <w:rPr>
              <w:webHidden/>
            </w:rPr>
            <w:fldChar w:fldCharType="separate"/>
          </w:r>
          <w:r w:rsidR="00773546">
            <w:rPr>
              <w:webHidden/>
            </w:rPr>
            <w:t>14</w:t>
          </w:r>
          <w:r>
            <w:rPr>
              <w:webHidden/>
            </w:rPr>
            <w:fldChar w:fldCharType="end"/>
          </w:r>
        </w:p>
        <w:p w14:paraId="2E64FE96" w14:textId="590A821D" w:rsidR="00740F47" w:rsidRDefault="00740F47">
          <w:pPr>
            <w:pStyle w:val="TOC2"/>
            <w:rPr>
              <w:rFonts w:eastAsiaTheme="minorEastAsia"/>
              <w:kern w:val="2"/>
              <w:sz w:val="22"/>
              <w:szCs w:val="22"/>
              <w:lang w:eastAsia="en-AU"/>
              <w14:ligatures w14:val="standardContextual"/>
            </w:rPr>
          </w:pPr>
          <w:r>
            <w:t>Improving outcomes for Aboriginal and Torres Strait Islander people</w:t>
          </w:r>
          <w:r>
            <w:rPr>
              <w:webHidden/>
            </w:rPr>
            <w:tab/>
          </w:r>
          <w:r>
            <w:rPr>
              <w:webHidden/>
            </w:rPr>
            <w:fldChar w:fldCharType="begin"/>
          </w:r>
          <w:r>
            <w:rPr>
              <w:webHidden/>
            </w:rPr>
            <w:instrText xml:space="preserve"> PAGEREF _Toc137129756 \h </w:instrText>
          </w:r>
          <w:r>
            <w:rPr>
              <w:webHidden/>
            </w:rPr>
          </w:r>
          <w:r>
            <w:rPr>
              <w:webHidden/>
            </w:rPr>
            <w:fldChar w:fldCharType="separate"/>
          </w:r>
          <w:r w:rsidR="00773546">
            <w:rPr>
              <w:webHidden/>
            </w:rPr>
            <w:t>14</w:t>
          </w:r>
          <w:r>
            <w:rPr>
              <w:webHidden/>
            </w:rPr>
            <w:fldChar w:fldCharType="end"/>
          </w:r>
        </w:p>
        <w:p w14:paraId="73878127" w14:textId="2905D945" w:rsidR="00740F47" w:rsidRDefault="00740F47">
          <w:pPr>
            <w:pStyle w:val="TOC2"/>
            <w:rPr>
              <w:rFonts w:eastAsiaTheme="minorEastAsia"/>
              <w:kern w:val="2"/>
              <w:sz w:val="22"/>
              <w:szCs w:val="22"/>
              <w:lang w:eastAsia="en-AU"/>
              <w14:ligatures w14:val="standardContextual"/>
            </w:rPr>
          </w:pPr>
          <w:r>
            <w:t>Interim findings on key programs</w:t>
          </w:r>
          <w:r>
            <w:rPr>
              <w:webHidden/>
            </w:rPr>
            <w:tab/>
          </w:r>
          <w:r>
            <w:rPr>
              <w:webHidden/>
            </w:rPr>
            <w:fldChar w:fldCharType="begin"/>
          </w:r>
          <w:r>
            <w:rPr>
              <w:webHidden/>
            </w:rPr>
            <w:instrText xml:space="preserve"> PAGEREF _Toc137129757 \h </w:instrText>
          </w:r>
          <w:r>
            <w:rPr>
              <w:webHidden/>
            </w:rPr>
          </w:r>
          <w:r>
            <w:rPr>
              <w:webHidden/>
            </w:rPr>
            <w:fldChar w:fldCharType="separate"/>
          </w:r>
          <w:r w:rsidR="00773546">
            <w:rPr>
              <w:webHidden/>
            </w:rPr>
            <w:t>15</w:t>
          </w:r>
          <w:r>
            <w:rPr>
              <w:webHidden/>
            </w:rPr>
            <w:fldChar w:fldCharType="end"/>
          </w:r>
        </w:p>
        <w:p w14:paraId="3072AC01" w14:textId="4F88D4FA" w:rsidR="00740F47" w:rsidRDefault="00740F47">
          <w:pPr>
            <w:pStyle w:val="TOC1"/>
            <w:rPr>
              <w:rFonts w:asciiTheme="minorHAnsi" w:eastAsiaTheme="minorEastAsia" w:hAnsiTheme="minorHAnsi"/>
              <w:noProof/>
              <w:color w:val="auto"/>
              <w:kern w:val="2"/>
              <w:sz w:val="22"/>
              <w:szCs w:val="22"/>
              <w:lang w:eastAsia="en-AU"/>
              <w14:ligatures w14:val="standardContextual"/>
            </w:rPr>
          </w:pPr>
          <w:r>
            <w:rPr>
              <w:noProof/>
            </w:rPr>
            <w:t>Interim findings, recommendations and information requests</w:t>
          </w:r>
          <w:r>
            <w:rPr>
              <w:noProof/>
              <w:webHidden/>
            </w:rPr>
            <w:tab/>
          </w:r>
          <w:r>
            <w:rPr>
              <w:noProof/>
              <w:webHidden/>
            </w:rPr>
            <w:fldChar w:fldCharType="begin"/>
          </w:r>
          <w:r>
            <w:rPr>
              <w:noProof/>
              <w:webHidden/>
            </w:rPr>
            <w:instrText xml:space="preserve"> PAGEREF _Toc137129758 \h </w:instrText>
          </w:r>
          <w:r>
            <w:rPr>
              <w:noProof/>
              <w:webHidden/>
            </w:rPr>
          </w:r>
          <w:r>
            <w:rPr>
              <w:noProof/>
              <w:webHidden/>
            </w:rPr>
            <w:fldChar w:fldCharType="separate"/>
          </w:r>
          <w:r w:rsidR="00773546">
            <w:rPr>
              <w:noProof/>
              <w:webHidden/>
            </w:rPr>
            <w:t>19</w:t>
          </w:r>
          <w:r>
            <w:rPr>
              <w:noProof/>
              <w:webHidden/>
            </w:rPr>
            <w:fldChar w:fldCharType="end"/>
          </w:r>
        </w:p>
        <w:p w14:paraId="3A3D7F80" w14:textId="1684D17A" w:rsidR="00740F47" w:rsidRDefault="00740F47">
          <w:pPr>
            <w:pStyle w:val="TOC2"/>
            <w:rPr>
              <w:rFonts w:eastAsiaTheme="minorEastAsia"/>
              <w:kern w:val="2"/>
              <w:sz w:val="22"/>
              <w:szCs w:val="22"/>
              <w:lang w:eastAsia="en-AU"/>
              <w14:ligatures w14:val="standardContextual"/>
            </w:rPr>
          </w:pPr>
          <w:r>
            <w:t>Future Drought Fund outcomes</w:t>
          </w:r>
          <w:r>
            <w:rPr>
              <w:webHidden/>
            </w:rPr>
            <w:tab/>
          </w:r>
          <w:r>
            <w:rPr>
              <w:webHidden/>
            </w:rPr>
            <w:fldChar w:fldCharType="begin"/>
          </w:r>
          <w:r>
            <w:rPr>
              <w:webHidden/>
            </w:rPr>
            <w:instrText xml:space="preserve"> PAGEREF _Toc137129759 \h </w:instrText>
          </w:r>
          <w:r>
            <w:rPr>
              <w:webHidden/>
            </w:rPr>
          </w:r>
          <w:r>
            <w:rPr>
              <w:webHidden/>
            </w:rPr>
            <w:fldChar w:fldCharType="separate"/>
          </w:r>
          <w:r w:rsidR="00773546">
            <w:rPr>
              <w:webHidden/>
            </w:rPr>
            <w:t>19</w:t>
          </w:r>
          <w:r>
            <w:rPr>
              <w:webHidden/>
            </w:rPr>
            <w:fldChar w:fldCharType="end"/>
          </w:r>
        </w:p>
        <w:p w14:paraId="645122DF" w14:textId="3A188DB9" w:rsidR="00740F47" w:rsidRDefault="00740F47">
          <w:pPr>
            <w:pStyle w:val="TOC2"/>
            <w:rPr>
              <w:rFonts w:eastAsiaTheme="minorEastAsia"/>
              <w:kern w:val="2"/>
              <w:sz w:val="22"/>
              <w:szCs w:val="22"/>
              <w:lang w:eastAsia="en-AU"/>
              <w14:ligatures w14:val="standardContextual"/>
            </w:rPr>
          </w:pPr>
          <w:r>
            <w:t>Next steps for the Future Drought Fund</w:t>
          </w:r>
          <w:r>
            <w:rPr>
              <w:webHidden/>
            </w:rPr>
            <w:tab/>
          </w:r>
          <w:r>
            <w:rPr>
              <w:webHidden/>
            </w:rPr>
            <w:fldChar w:fldCharType="begin"/>
          </w:r>
          <w:r>
            <w:rPr>
              <w:webHidden/>
            </w:rPr>
            <w:instrText xml:space="preserve"> PAGEREF _Toc137129760 \h </w:instrText>
          </w:r>
          <w:r>
            <w:rPr>
              <w:webHidden/>
            </w:rPr>
          </w:r>
          <w:r>
            <w:rPr>
              <w:webHidden/>
            </w:rPr>
            <w:fldChar w:fldCharType="separate"/>
          </w:r>
          <w:r w:rsidR="00773546">
            <w:rPr>
              <w:webHidden/>
            </w:rPr>
            <w:t>20</w:t>
          </w:r>
          <w:r>
            <w:rPr>
              <w:webHidden/>
            </w:rPr>
            <w:fldChar w:fldCharType="end"/>
          </w:r>
        </w:p>
        <w:p w14:paraId="17B3A8E5" w14:textId="6CB082ED" w:rsidR="00740F47" w:rsidRDefault="00740F47">
          <w:pPr>
            <w:pStyle w:val="TOC2"/>
            <w:rPr>
              <w:rFonts w:eastAsiaTheme="minorEastAsia"/>
              <w:kern w:val="2"/>
              <w:sz w:val="22"/>
              <w:szCs w:val="22"/>
              <w:lang w:eastAsia="en-AU"/>
              <w14:ligatures w14:val="standardContextual"/>
            </w:rPr>
          </w:pPr>
          <w:r>
            <w:t>Governance</w:t>
          </w:r>
          <w:r>
            <w:rPr>
              <w:webHidden/>
            </w:rPr>
            <w:tab/>
          </w:r>
          <w:r>
            <w:rPr>
              <w:webHidden/>
            </w:rPr>
            <w:fldChar w:fldCharType="begin"/>
          </w:r>
          <w:r>
            <w:rPr>
              <w:webHidden/>
            </w:rPr>
            <w:instrText xml:space="preserve"> PAGEREF _Toc137129761 \h </w:instrText>
          </w:r>
          <w:r>
            <w:rPr>
              <w:webHidden/>
            </w:rPr>
          </w:r>
          <w:r>
            <w:rPr>
              <w:webHidden/>
            </w:rPr>
            <w:fldChar w:fldCharType="separate"/>
          </w:r>
          <w:r w:rsidR="00773546">
            <w:rPr>
              <w:webHidden/>
            </w:rPr>
            <w:t>22</w:t>
          </w:r>
          <w:r>
            <w:rPr>
              <w:webHidden/>
            </w:rPr>
            <w:fldChar w:fldCharType="end"/>
          </w:r>
        </w:p>
        <w:p w14:paraId="62631189" w14:textId="5336C946" w:rsidR="00740F47" w:rsidRDefault="00740F47">
          <w:pPr>
            <w:pStyle w:val="TOC2"/>
            <w:rPr>
              <w:rFonts w:eastAsiaTheme="minorEastAsia"/>
              <w:kern w:val="2"/>
              <w:sz w:val="22"/>
              <w:szCs w:val="22"/>
              <w:lang w:eastAsia="en-AU"/>
              <w14:ligatures w14:val="standardContextual"/>
            </w:rPr>
          </w:pPr>
          <w:r>
            <w:t>Monitoring, evaluation and learning</w:t>
          </w:r>
          <w:r>
            <w:rPr>
              <w:webHidden/>
            </w:rPr>
            <w:tab/>
          </w:r>
          <w:r>
            <w:rPr>
              <w:webHidden/>
            </w:rPr>
            <w:fldChar w:fldCharType="begin"/>
          </w:r>
          <w:r>
            <w:rPr>
              <w:webHidden/>
            </w:rPr>
            <w:instrText xml:space="preserve"> PAGEREF _Toc137129762 \h </w:instrText>
          </w:r>
          <w:r>
            <w:rPr>
              <w:webHidden/>
            </w:rPr>
          </w:r>
          <w:r>
            <w:rPr>
              <w:webHidden/>
            </w:rPr>
            <w:fldChar w:fldCharType="separate"/>
          </w:r>
          <w:r w:rsidR="00773546">
            <w:rPr>
              <w:webHidden/>
            </w:rPr>
            <w:t>23</w:t>
          </w:r>
          <w:r>
            <w:rPr>
              <w:webHidden/>
            </w:rPr>
            <w:fldChar w:fldCharType="end"/>
          </w:r>
        </w:p>
        <w:p w14:paraId="0DA4A564" w14:textId="2AC49F24" w:rsidR="00740F47" w:rsidRDefault="00740F47">
          <w:pPr>
            <w:pStyle w:val="TOC2"/>
            <w:rPr>
              <w:rFonts w:eastAsiaTheme="minorEastAsia"/>
              <w:kern w:val="2"/>
              <w:sz w:val="22"/>
              <w:szCs w:val="22"/>
              <w:lang w:eastAsia="en-AU"/>
              <w14:ligatures w14:val="standardContextual"/>
            </w:rPr>
          </w:pPr>
          <w:r>
            <w:t>Improving outcomes for Aboriginal and Torres Strait Islander people</w:t>
          </w:r>
          <w:r>
            <w:rPr>
              <w:webHidden/>
            </w:rPr>
            <w:tab/>
          </w:r>
          <w:r>
            <w:rPr>
              <w:webHidden/>
            </w:rPr>
            <w:fldChar w:fldCharType="begin"/>
          </w:r>
          <w:r>
            <w:rPr>
              <w:webHidden/>
            </w:rPr>
            <w:instrText xml:space="preserve"> PAGEREF _Toc137129763 \h </w:instrText>
          </w:r>
          <w:r>
            <w:rPr>
              <w:webHidden/>
            </w:rPr>
          </w:r>
          <w:r>
            <w:rPr>
              <w:webHidden/>
            </w:rPr>
            <w:fldChar w:fldCharType="separate"/>
          </w:r>
          <w:r w:rsidR="00773546">
            <w:rPr>
              <w:webHidden/>
            </w:rPr>
            <w:t>24</w:t>
          </w:r>
          <w:r>
            <w:rPr>
              <w:webHidden/>
            </w:rPr>
            <w:fldChar w:fldCharType="end"/>
          </w:r>
        </w:p>
        <w:p w14:paraId="0551EE9A" w14:textId="051322AF" w:rsidR="00087EF7" w:rsidRDefault="00740F47" w:rsidP="005A2BE0">
          <w:pPr>
            <w:pStyle w:val="TOC2"/>
            <w:rPr>
              <w:bCs/>
            </w:rPr>
          </w:pPr>
          <w:r>
            <w:t>Future Drought Fund programs</w:t>
          </w:r>
          <w:r>
            <w:rPr>
              <w:webHidden/>
            </w:rPr>
            <w:tab/>
          </w:r>
          <w:r>
            <w:rPr>
              <w:webHidden/>
            </w:rPr>
            <w:fldChar w:fldCharType="begin"/>
          </w:r>
          <w:r>
            <w:rPr>
              <w:webHidden/>
            </w:rPr>
            <w:instrText xml:space="preserve"> PAGEREF _Toc137129764 \h </w:instrText>
          </w:r>
          <w:r>
            <w:rPr>
              <w:webHidden/>
            </w:rPr>
          </w:r>
          <w:r>
            <w:rPr>
              <w:webHidden/>
            </w:rPr>
            <w:fldChar w:fldCharType="separate"/>
          </w:r>
          <w:r w:rsidR="00773546">
            <w:rPr>
              <w:webHidden/>
            </w:rPr>
            <w:t>25</w:t>
          </w:r>
          <w:r>
            <w:rPr>
              <w:webHidden/>
            </w:rPr>
            <w:fldChar w:fldCharType="end"/>
          </w:r>
          <w:r w:rsidR="00B43AF4">
            <w:rPr>
              <w:sz w:val="18"/>
            </w:rPr>
            <w:fldChar w:fldCharType="end"/>
          </w:r>
        </w:p>
      </w:sdtContent>
    </w:sdt>
    <w:p w14:paraId="588A5E05" w14:textId="77777777" w:rsidR="000E2226" w:rsidRDefault="000E2226" w:rsidP="00B43AF4">
      <w:pPr>
        <w:rPr>
          <w:bCs/>
          <w:noProof/>
        </w:rPr>
      </w:pPr>
    </w:p>
    <w:p w14:paraId="4F45C799" w14:textId="77777777" w:rsidR="002736A5" w:rsidRDefault="002736A5" w:rsidP="00B43AF4">
      <w:pPr>
        <w:rPr>
          <w:bCs/>
          <w:noProof/>
        </w:rPr>
        <w:sectPr w:rsidR="002736A5" w:rsidSect="002736A5">
          <w:headerReference w:type="default" r:id="rId27"/>
          <w:footerReference w:type="even" r:id="rId28"/>
          <w:footerReference w:type="default" r:id="rId29"/>
          <w:type w:val="oddPage"/>
          <w:pgSz w:w="11906" w:h="16838" w:code="9"/>
          <w:pgMar w:top="1134" w:right="1134" w:bottom="1134" w:left="1134" w:header="794" w:footer="510" w:gutter="0"/>
          <w:pgNumType w:fmt="lowerRoman"/>
          <w:cols w:space="708"/>
          <w:docGrid w:linePitch="360"/>
        </w:sectPr>
      </w:pPr>
    </w:p>
    <w:p w14:paraId="4D72E884" w14:textId="32B686A8" w:rsidR="00255BC9" w:rsidRDefault="00255BC9" w:rsidP="00B96A42">
      <w:pPr>
        <w:pStyle w:val="Heading1-Section-fullpage"/>
        <w:framePr w:wrap="around"/>
      </w:pPr>
      <w:bookmarkStart w:id="6" w:name="_Toc137129748"/>
      <w:r>
        <w:lastRenderedPageBreak/>
        <w:t xml:space="preserve">Executive </w:t>
      </w:r>
      <w:r w:rsidR="007D39A8">
        <w:t>s</w:t>
      </w:r>
      <w:r>
        <w:t>ummary</w:t>
      </w:r>
      <w:bookmarkEnd w:id="6"/>
    </w:p>
    <w:p w14:paraId="4C4EFE66" w14:textId="77777777" w:rsidR="00255BC9" w:rsidRDefault="00255BC9">
      <w:pPr>
        <w:pStyle w:val="NoSpacing"/>
      </w:pPr>
    </w:p>
    <w:tbl>
      <w:tblPr>
        <w:tblStyle w:val="Texttable-Paleblue"/>
        <w:tblW w:w="5000" w:type="pct"/>
        <w:tblLook w:val="04A0" w:firstRow="1" w:lastRow="0" w:firstColumn="1" w:lastColumn="0" w:noHBand="0" w:noVBand="1"/>
      </w:tblPr>
      <w:tblGrid>
        <w:gridCol w:w="577"/>
        <w:gridCol w:w="9061"/>
      </w:tblGrid>
      <w:tr w:rsidR="00255BC9" w:rsidRPr="002F759A" w14:paraId="5D7DBC31" w14:textId="77777777">
        <w:tc>
          <w:tcPr>
            <w:tcW w:w="9638" w:type="dxa"/>
            <w:gridSpan w:val="2"/>
            <w:tcMar>
              <w:left w:w="170" w:type="dxa"/>
            </w:tcMar>
          </w:tcPr>
          <w:p w14:paraId="0D825EDB" w14:textId="77777777" w:rsidR="00255BC9" w:rsidRPr="002F759A" w:rsidRDefault="00255BC9">
            <w:pPr>
              <w:pStyle w:val="Keypoints-heading"/>
            </w:pPr>
            <w:r w:rsidRPr="002F759A">
              <w:lastRenderedPageBreak/>
              <w:t>Key points</w:t>
            </w:r>
          </w:p>
        </w:tc>
      </w:tr>
      <w:tr w:rsidR="00255BC9" w14:paraId="2EEF5936" w14:textId="77777777">
        <w:tc>
          <w:tcPr>
            <w:tcW w:w="577" w:type="dxa"/>
            <w:tcMar>
              <w:top w:w="0" w:type="dxa"/>
              <w:bottom w:w="0" w:type="dxa"/>
              <w:right w:w="113" w:type="dxa"/>
            </w:tcMar>
          </w:tcPr>
          <w:p w14:paraId="3BA98C54" w14:textId="77777777" w:rsidR="00255BC9" w:rsidRPr="00A51374" w:rsidRDefault="00255BC9">
            <w:pPr>
              <w:pStyle w:val="KeyPointsicon"/>
            </w:pPr>
            <w:r w:rsidRPr="00F31E73">
              <w:rPr>
                <w:noProof/>
              </w:rPr>
              <w:drawing>
                <wp:inline distT="0" distB="0" distL="0" distR="0" wp14:anchorId="19432E79" wp14:editId="415AAA3B">
                  <wp:extent cx="180000" cy="180000"/>
                  <wp:effectExtent l="0" t="0" r="0" b="0"/>
                  <wp:docPr id="1740719812" name="Picture 17407198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180000" cy="180000"/>
                          </a:xfrm>
                          <a:prstGeom prst="rect">
                            <a:avLst/>
                          </a:prstGeom>
                        </pic:spPr>
                      </pic:pic>
                    </a:graphicData>
                  </a:graphic>
                </wp:inline>
              </w:drawing>
            </w:r>
          </w:p>
        </w:tc>
        <w:tc>
          <w:tcPr>
            <w:tcW w:w="9061" w:type="dxa"/>
            <w:tcMar>
              <w:top w:w="28" w:type="dxa"/>
              <w:left w:w="28" w:type="dxa"/>
            </w:tcMar>
          </w:tcPr>
          <w:p w14:paraId="727934E6" w14:textId="74A1501F" w:rsidR="00255BC9" w:rsidRPr="00610627" w:rsidRDefault="00255BC9">
            <w:pPr>
              <w:pStyle w:val="KeyPoints-Bold"/>
            </w:pPr>
            <w:r>
              <w:t xml:space="preserve">The Future Drought Fund (FDF) continues the policy shift, from in-drought assistance to building resilience to drought before drought occurs. </w:t>
            </w:r>
            <w:r w:rsidRPr="00780A34">
              <w:t xml:space="preserve">The FDF </w:t>
            </w:r>
            <w:r>
              <w:t>can</w:t>
            </w:r>
            <w:r w:rsidRPr="00780A34">
              <w:t xml:space="preserve"> play an important role in protecting Australian agriculture and regional communities from the effects of a changing climate.</w:t>
            </w:r>
          </w:p>
        </w:tc>
      </w:tr>
      <w:tr w:rsidR="00255BC9" w14:paraId="77935962" w14:textId="77777777">
        <w:tc>
          <w:tcPr>
            <w:tcW w:w="577" w:type="dxa"/>
            <w:tcMar>
              <w:top w:w="0" w:type="dxa"/>
              <w:bottom w:w="0" w:type="dxa"/>
              <w:right w:w="113" w:type="dxa"/>
            </w:tcMar>
          </w:tcPr>
          <w:p w14:paraId="2F3E379F" w14:textId="77777777" w:rsidR="00255BC9" w:rsidRPr="00F31E73" w:rsidRDefault="00255BC9">
            <w:pPr>
              <w:pStyle w:val="KeyPointsicon"/>
              <w:rPr>
                <w:noProof/>
              </w:rPr>
            </w:pPr>
            <w:r w:rsidRPr="00F31E73">
              <w:rPr>
                <w:noProof/>
              </w:rPr>
              <w:drawing>
                <wp:inline distT="0" distB="0" distL="0" distR="0" wp14:anchorId="4E415DD8" wp14:editId="3CB9FB17">
                  <wp:extent cx="180000" cy="1800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180000" cy="180000"/>
                          </a:xfrm>
                          <a:prstGeom prst="rect">
                            <a:avLst/>
                          </a:prstGeom>
                        </pic:spPr>
                      </pic:pic>
                    </a:graphicData>
                  </a:graphic>
                </wp:inline>
              </w:drawing>
            </w:r>
          </w:p>
        </w:tc>
        <w:tc>
          <w:tcPr>
            <w:tcW w:w="9061" w:type="dxa"/>
            <w:tcMar>
              <w:top w:w="28" w:type="dxa"/>
              <w:left w:w="28" w:type="dxa"/>
            </w:tcMar>
          </w:tcPr>
          <w:p w14:paraId="00E8A1C9" w14:textId="01486270" w:rsidR="00255BC9" w:rsidRPr="000223F6" w:rsidRDefault="00255BC9">
            <w:pPr>
              <w:pStyle w:val="KeyPoints-Bold"/>
            </w:pPr>
            <w:r>
              <w:t xml:space="preserve">While it is </w:t>
            </w:r>
            <w:r w:rsidRPr="004006F3">
              <w:t>too early to assess the</w:t>
            </w:r>
            <w:r>
              <w:t xml:space="preserve"> FDF’s</w:t>
            </w:r>
            <w:r w:rsidRPr="004006F3">
              <w:t xml:space="preserve"> </w:t>
            </w:r>
            <w:r>
              <w:t>impact on drought resilience, significant change is unlikely given the Fund’s initial focus on short-term programs</w:t>
            </w:r>
            <w:r w:rsidRPr="005F6688">
              <w:t>.</w:t>
            </w:r>
            <w:r>
              <w:t xml:space="preserve"> However, early lessons are being learnt.</w:t>
            </w:r>
          </w:p>
        </w:tc>
      </w:tr>
      <w:tr w:rsidR="00255BC9" w14:paraId="060E7CF6" w14:textId="77777777">
        <w:tc>
          <w:tcPr>
            <w:tcW w:w="577" w:type="dxa"/>
            <w:tcMar>
              <w:top w:w="0" w:type="dxa"/>
              <w:bottom w:w="0" w:type="dxa"/>
              <w:right w:w="113" w:type="dxa"/>
            </w:tcMar>
          </w:tcPr>
          <w:p w14:paraId="6AD8FBBD" w14:textId="77777777" w:rsidR="00255BC9" w:rsidRPr="00F31E73" w:rsidRDefault="00255BC9">
            <w:pPr>
              <w:pStyle w:val="KeyPointsicon"/>
              <w:rPr>
                <w:noProof/>
              </w:rPr>
            </w:pPr>
            <w:r w:rsidRPr="00F31E73">
              <w:rPr>
                <w:noProof/>
              </w:rPr>
              <w:drawing>
                <wp:inline distT="0" distB="0" distL="0" distR="0" wp14:anchorId="45E2701B" wp14:editId="1AF391FB">
                  <wp:extent cx="180000" cy="180000"/>
                  <wp:effectExtent l="0" t="0" r="0" b="0"/>
                  <wp:docPr id="778959591" name="Picture 7789595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180000" cy="180000"/>
                          </a:xfrm>
                          <a:prstGeom prst="rect">
                            <a:avLst/>
                          </a:prstGeom>
                        </pic:spPr>
                      </pic:pic>
                    </a:graphicData>
                  </a:graphic>
                </wp:inline>
              </w:drawing>
            </w:r>
          </w:p>
        </w:tc>
        <w:tc>
          <w:tcPr>
            <w:tcW w:w="9061" w:type="dxa"/>
            <w:tcMar>
              <w:top w:w="28" w:type="dxa"/>
              <w:left w:w="28" w:type="dxa"/>
            </w:tcMar>
          </w:tcPr>
          <w:p w14:paraId="213E5FB3" w14:textId="77777777" w:rsidR="00255BC9" w:rsidRDefault="00255BC9">
            <w:pPr>
              <w:pStyle w:val="KeyPoints-Bold"/>
            </w:pPr>
            <w:r>
              <w:t>The FDF would be improved by:</w:t>
            </w:r>
          </w:p>
          <w:p w14:paraId="70EA0800" w14:textId="77777777" w:rsidR="00255BC9" w:rsidRDefault="00255BC9">
            <w:pPr>
              <w:pStyle w:val="KeyPoints-Bullet"/>
            </w:pPr>
            <w:r>
              <w:t xml:space="preserve">better articulating what </w:t>
            </w:r>
            <w:r w:rsidRPr="005B0B56">
              <w:t>the Fund is intended to achieve</w:t>
            </w:r>
            <w:r>
              <w:t>, how and when it will be achieved, and the roles of key participants</w:t>
            </w:r>
          </w:p>
          <w:p w14:paraId="5D41EE1F" w14:textId="77777777" w:rsidR="00255BC9" w:rsidRDefault="00255BC9">
            <w:pPr>
              <w:pStyle w:val="KeyPoints-Bullet"/>
              <w:rPr>
                <w:szCs w:val="18"/>
              </w:rPr>
            </w:pPr>
            <w:r>
              <w:t>prioritising the FDF’s objectives</w:t>
            </w:r>
          </w:p>
          <w:p w14:paraId="4558FA7F" w14:textId="77777777" w:rsidR="00255BC9" w:rsidRDefault="00255BC9">
            <w:pPr>
              <w:pStyle w:val="KeyPoints-Bullet"/>
            </w:pPr>
            <w:r>
              <w:t xml:space="preserve">having a greater focus on supporting natural resource management through investments that achieve environmental and economic objectives </w:t>
            </w:r>
          </w:p>
          <w:p w14:paraId="018EAECF" w14:textId="4E4CBD7B" w:rsidR="00255BC9" w:rsidRDefault="00255BC9">
            <w:pPr>
              <w:pStyle w:val="KeyPoints-Bullet"/>
            </w:pPr>
            <w:r>
              <w:t>providing a detailed investment plan that sets investment priorities for the Fund, to facilitate better planning, sequencing and coordination of FDF programs</w:t>
            </w:r>
          </w:p>
          <w:p w14:paraId="59D4F86A" w14:textId="77777777" w:rsidR="00255BC9" w:rsidRDefault="00255BC9">
            <w:pPr>
              <w:pStyle w:val="KeyPoints-Bullet"/>
            </w:pPr>
            <w:r>
              <w:t>investing more in longer-term programs that support transformational change</w:t>
            </w:r>
          </w:p>
          <w:p w14:paraId="5A4AE3B5" w14:textId="77777777" w:rsidR="00255BC9" w:rsidRPr="000223F6" w:rsidRDefault="00255BC9">
            <w:pPr>
              <w:pStyle w:val="KeyPoints-Bullet"/>
            </w:pPr>
            <w:r>
              <w:t>establishing systems for sharing information about Fund programs and their outcomes.</w:t>
            </w:r>
          </w:p>
        </w:tc>
      </w:tr>
      <w:tr w:rsidR="00255BC9" w14:paraId="49E3E02D" w14:textId="77777777">
        <w:tc>
          <w:tcPr>
            <w:tcW w:w="577" w:type="dxa"/>
            <w:tcMar>
              <w:top w:w="0" w:type="dxa"/>
              <w:bottom w:w="0" w:type="dxa"/>
              <w:right w:w="113" w:type="dxa"/>
            </w:tcMar>
          </w:tcPr>
          <w:p w14:paraId="74DC938D" w14:textId="77777777" w:rsidR="00255BC9" w:rsidRPr="00F31E73" w:rsidRDefault="00255BC9">
            <w:pPr>
              <w:pStyle w:val="KeyPointsicon"/>
              <w:rPr>
                <w:noProof/>
              </w:rPr>
            </w:pPr>
            <w:r w:rsidRPr="00F31E73">
              <w:rPr>
                <w:noProof/>
              </w:rPr>
              <w:drawing>
                <wp:inline distT="0" distB="0" distL="0" distR="0" wp14:anchorId="0D33F951" wp14:editId="1DF05592">
                  <wp:extent cx="180000" cy="180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180000" cy="180000"/>
                          </a:xfrm>
                          <a:prstGeom prst="rect">
                            <a:avLst/>
                          </a:prstGeom>
                        </pic:spPr>
                      </pic:pic>
                    </a:graphicData>
                  </a:graphic>
                </wp:inline>
              </w:drawing>
            </w:r>
          </w:p>
        </w:tc>
        <w:tc>
          <w:tcPr>
            <w:tcW w:w="9061" w:type="dxa"/>
            <w:tcMar>
              <w:top w:w="28" w:type="dxa"/>
              <w:left w:w="28" w:type="dxa"/>
            </w:tcMar>
          </w:tcPr>
          <w:p w14:paraId="4D156C2D" w14:textId="77777777" w:rsidR="00255BC9" w:rsidRPr="000223F6" w:rsidRDefault="00255BC9">
            <w:pPr>
              <w:pStyle w:val="KeyPoints-Bold"/>
            </w:pPr>
            <w:r>
              <w:t>Drought is just one of the risks from climate change that farmers and agricultural communities face. The FDF should more explicitly recognise the need for resilience to climate change, not just resilience to drought.</w:t>
            </w:r>
          </w:p>
        </w:tc>
      </w:tr>
      <w:tr w:rsidR="00255BC9" w14:paraId="6A6A138C" w14:textId="77777777">
        <w:tc>
          <w:tcPr>
            <w:tcW w:w="577" w:type="dxa"/>
            <w:tcMar>
              <w:top w:w="0" w:type="dxa"/>
              <w:bottom w:w="0" w:type="dxa"/>
              <w:right w:w="113" w:type="dxa"/>
            </w:tcMar>
          </w:tcPr>
          <w:p w14:paraId="461BF26B" w14:textId="77777777" w:rsidR="00255BC9" w:rsidRPr="00A51374" w:rsidRDefault="00255BC9">
            <w:pPr>
              <w:pStyle w:val="KeyPointsicon"/>
            </w:pPr>
            <w:r w:rsidRPr="00F31E73">
              <w:rPr>
                <w:noProof/>
              </w:rPr>
              <w:drawing>
                <wp:inline distT="0" distB="0" distL="0" distR="0" wp14:anchorId="280F7DE9" wp14:editId="755E0C23">
                  <wp:extent cx="180000" cy="18000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180000" cy="180000"/>
                          </a:xfrm>
                          <a:prstGeom prst="rect">
                            <a:avLst/>
                          </a:prstGeom>
                        </pic:spPr>
                      </pic:pic>
                    </a:graphicData>
                  </a:graphic>
                </wp:inline>
              </w:drawing>
            </w:r>
          </w:p>
        </w:tc>
        <w:tc>
          <w:tcPr>
            <w:tcW w:w="9061" w:type="dxa"/>
            <w:tcMar>
              <w:top w:w="28" w:type="dxa"/>
              <w:left w:w="28" w:type="dxa"/>
            </w:tcMar>
          </w:tcPr>
          <w:p w14:paraId="392FC511" w14:textId="77777777" w:rsidR="00255BC9" w:rsidRDefault="00255BC9">
            <w:pPr>
              <w:pStyle w:val="KeyPoints-Bold"/>
            </w:pPr>
            <w:r>
              <w:t>The FDF should have fewer, better integrated programs. Key program considerations include:</w:t>
            </w:r>
          </w:p>
          <w:p w14:paraId="78A800FA" w14:textId="2A4F096D" w:rsidR="00255BC9" w:rsidRDefault="00255BC9">
            <w:pPr>
              <w:pStyle w:val="KeyPoints-Bullet"/>
            </w:pPr>
            <w:r>
              <w:t xml:space="preserve">the </w:t>
            </w:r>
            <w:r w:rsidRPr="00495025">
              <w:rPr>
                <w:i/>
                <w:iCs/>
              </w:rPr>
              <w:t>Drought Resilience Adoption and Innovation Hubs</w:t>
            </w:r>
            <w:r>
              <w:t xml:space="preserve"> need defined goals and time to demonstrate their value. There should be a review during the next Drought Resilience Funding Plan to decide whether funding should continue </w:t>
            </w:r>
          </w:p>
          <w:p w14:paraId="603A74EC" w14:textId="66AE56C1" w:rsidR="00255BC9" w:rsidRDefault="00255BC9">
            <w:pPr>
              <w:pStyle w:val="KeyPoints-Bullet"/>
            </w:pPr>
            <w:r>
              <w:t xml:space="preserve">improvements are needed to boost uptake of the climate information tools. The Commission is considering whether funding should continue for both climate tools, </w:t>
            </w:r>
            <w:proofErr w:type="gramStart"/>
            <w:r>
              <w:t>or</w:t>
            </w:r>
            <w:proofErr w:type="gramEnd"/>
            <w:r>
              <w:t xml:space="preserve"> if they should be integrated </w:t>
            </w:r>
          </w:p>
          <w:p w14:paraId="3DA4768C" w14:textId="3A72612C" w:rsidR="00255BC9" w:rsidRDefault="00255BC9">
            <w:pPr>
              <w:pStyle w:val="KeyPoints-Bullet"/>
            </w:pPr>
            <w:r>
              <w:t xml:space="preserve">there may be scope for the </w:t>
            </w:r>
            <w:r w:rsidRPr="00637ACB">
              <w:rPr>
                <w:i/>
              </w:rPr>
              <w:t>Farm Business Resilience</w:t>
            </w:r>
            <w:r>
              <w:t xml:space="preserve"> program to deliver more public benefits, particularly by promoting measurable improvements in natural resource management </w:t>
            </w:r>
          </w:p>
          <w:p w14:paraId="6964B984" w14:textId="6B73ABAD" w:rsidR="00255BC9" w:rsidRDefault="00255BC9">
            <w:pPr>
              <w:pStyle w:val="KeyPoints-Bullet"/>
            </w:pPr>
            <w:r>
              <w:t xml:space="preserve">many institutions undertake agricultural innovation. It is unclear how the FDF should complement this. If there is a role for the FDF, </w:t>
            </w:r>
            <w:r w:rsidRPr="000472F0">
              <w:rPr>
                <w:i/>
                <w:iCs/>
              </w:rPr>
              <w:t>Drought Resilience Innovation Grants</w:t>
            </w:r>
            <w:r>
              <w:t xml:space="preserve"> could be targeted to identified challenges. </w:t>
            </w:r>
          </w:p>
          <w:p w14:paraId="582DE2EE" w14:textId="0ED41BD6" w:rsidR="00255BC9" w:rsidRDefault="00255BC9">
            <w:pPr>
              <w:pStyle w:val="KeyPoints-Bullet"/>
            </w:pPr>
            <w:r>
              <w:t>the value of some Regional Drought Resilience Plans is doubtful. Changes are needed to ensure that plans are effective and implemented</w:t>
            </w:r>
          </w:p>
          <w:p w14:paraId="7367A677" w14:textId="7D4ABDBC" w:rsidR="00255BC9" w:rsidRPr="00610627" w:rsidRDefault="00255BC9">
            <w:pPr>
              <w:pStyle w:val="KeyPoints-Bullet"/>
            </w:pPr>
            <w:r>
              <w:t xml:space="preserve">more work is required to identify if and how the FDF should best contribute to building social resilience through its community grant programs. </w:t>
            </w:r>
          </w:p>
        </w:tc>
      </w:tr>
      <w:tr w:rsidR="00255BC9" w14:paraId="717FA3AC" w14:textId="77777777">
        <w:tc>
          <w:tcPr>
            <w:tcW w:w="577" w:type="dxa"/>
            <w:tcMar>
              <w:top w:w="0" w:type="dxa"/>
              <w:bottom w:w="0" w:type="dxa"/>
              <w:right w:w="113" w:type="dxa"/>
            </w:tcMar>
          </w:tcPr>
          <w:p w14:paraId="027CC67E" w14:textId="77777777" w:rsidR="00255BC9" w:rsidRPr="00A51374" w:rsidRDefault="00255BC9">
            <w:pPr>
              <w:pStyle w:val="KeyPointsicon"/>
            </w:pPr>
            <w:r w:rsidRPr="00F31E73">
              <w:rPr>
                <w:noProof/>
              </w:rPr>
              <w:drawing>
                <wp:inline distT="0" distB="0" distL="0" distR="0" wp14:anchorId="34049945" wp14:editId="2F78BDF7">
                  <wp:extent cx="180000" cy="18000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180000" cy="180000"/>
                          </a:xfrm>
                          <a:prstGeom prst="rect">
                            <a:avLst/>
                          </a:prstGeom>
                        </pic:spPr>
                      </pic:pic>
                    </a:graphicData>
                  </a:graphic>
                </wp:inline>
              </w:drawing>
            </w:r>
          </w:p>
        </w:tc>
        <w:tc>
          <w:tcPr>
            <w:tcW w:w="9061" w:type="dxa"/>
            <w:tcMar>
              <w:top w:w="28" w:type="dxa"/>
              <w:left w:w="28" w:type="dxa"/>
            </w:tcMar>
          </w:tcPr>
          <w:p w14:paraId="07D78114" w14:textId="142768FA" w:rsidR="00255BC9" w:rsidRPr="00610627" w:rsidRDefault="00255BC9">
            <w:pPr>
              <w:pStyle w:val="KeyPoints-Bold"/>
            </w:pPr>
            <w:r>
              <w:t xml:space="preserve">The governance arrangements for the FDF are appropriate. However, processes can be simplified, while strengthening oversight of delivery outcomes. </w:t>
            </w:r>
          </w:p>
        </w:tc>
      </w:tr>
      <w:tr w:rsidR="00255BC9" w14:paraId="3586CB5D" w14:textId="77777777">
        <w:tc>
          <w:tcPr>
            <w:tcW w:w="577" w:type="dxa"/>
            <w:tcMar>
              <w:top w:w="0" w:type="dxa"/>
              <w:bottom w:w="0" w:type="dxa"/>
              <w:right w:w="113" w:type="dxa"/>
            </w:tcMar>
          </w:tcPr>
          <w:p w14:paraId="48B6F24A" w14:textId="77777777" w:rsidR="00255BC9" w:rsidRPr="00A51374" w:rsidRDefault="00255BC9">
            <w:pPr>
              <w:pStyle w:val="KeyPointsicon"/>
            </w:pPr>
            <w:r w:rsidRPr="00A51374">
              <w:rPr>
                <w:noProof/>
              </w:rPr>
              <w:drawing>
                <wp:inline distT="0" distB="0" distL="0" distR="0" wp14:anchorId="461C74A9" wp14:editId="4CB45F9F">
                  <wp:extent cx="180000" cy="18000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180000" cy="180000"/>
                          </a:xfrm>
                          <a:prstGeom prst="rect">
                            <a:avLst/>
                          </a:prstGeom>
                        </pic:spPr>
                      </pic:pic>
                    </a:graphicData>
                  </a:graphic>
                </wp:inline>
              </w:drawing>
            </w:r>
          </w:p>
        </w:tc>
        <w:tc>
          <w:tcPr>
            <w:tcW w:w="9061" w:type="dxa"/>
            <w:tcMar>
              <w:top w:w="28" w:type="dxa"/>
              <w:left w:w="28" w:type="dxa"/>
            </w:tcMar>
          </w:tcPr>
          <w:p w14:paraId="2D79D255" w14:textId="39A97112" w:rsidR="00255BC9" w:rsidRPr="00610627" w:rsidRDefault="00255BC9">
            <w:pPr>
              <w:pStyle w:val="KeyPoints-Bold"/>
            </w:pPr>
            <w:r>
              <w:t>T</w:t>
            </w:r>
            <w:r w:rsidRPr="006021BE">
              <w:t>here has been little engagement with Aboriginal and Torres Strait Islander people to date</w:t>
            </w:r>
            <w:r>
              <w:t>. Changes across Fund objectives, design, development, delivery, partnerships and decision making would be required to improve outcomes for Aboriginal and Torres Strait Islander people, and the wider agricultural sector.</w:t>
            </w:r>
          </w:p>
        </w:tc>
      </w:tr>
    </w:tbl>
    <w:p w14:paraId="0F348960" w14:textId="77777777" w:rsidR="00255BC9" w:rsidRDefault="00255BC9" w:rsidP="00F8531E">
      <w:pPr>
        <w:pStyle w:val="Heading2-nonumber"/>
      </w:pPr>
      <w:bookmarkStart w:id="7" w:name="_Toc136533988"/>
      <w:bookmarkStart w:id="8" w:name="_Toc136600677"/>
      <w:bookmarkStart w:id="9" w:name="_Toc136816995"/>
      <w:bookmarkStart w:id="10" w:name="_Toc137129749"/>
      <w:r>
        <w:lastRenderedPageBreak/>
        <w:t>Background</w:t>
      </w:r>
      <w:bookmarkEnd w:id="7"/>
      <w:bookmarkEnd w:id="8"/>
      <w:bookmarkEnd w:id="9"/>
      <w:bookmarkEnd w:id="10"/>
    </w:p>
    <w:p w14:paraId="6D86F280" w14:textId="77777777" w:rsidR="00255BC9" w:rsidRPr="0030593D" w:rsidRDefault="00255BC9">
      <w:pPr>
        <w:pStyle w:val="BodyText"/>
        <w:rPr>
          <w:spacing w:val="-4"/>
        </w:rPr>
      </w:pPr>
      <w:r w:rsidRPr="0030593D">
        <w:rPr>
          <w:spacing w:val="-4"/>
        </w:rPr>
        <w:t xml:space="preserve">Announced in 2018, the Future Drought Fund (FDF) provides $100 million each year from 2020 to ‘enhance the public good by building drought resilience’ in the agricultural sector, the agricultural landscape and communities. </w:t>
      </w:r>
    </w:p>
    <w:p w14:paraId="6D121567" w14:textId="7E5516BB" w:rsidR="00255BC9" w:rsidRDefault="00255BC9">
      <w:pPr>
        <w:pStyle w:val="BodyText"/>
      </w:pPr>
      <w:r>
        <w:t xml:space="preserve">The Productivity Commission is tasked with assessing the effectiveness of Part 3 of the </w:t>
      </w:r>
      <w:r w:rsidRPr="005D5458">
        <w:rPr>
          <w:i/>
          <w:iCs/>
        </w:rPr>
        <w:t>Future Drought Fund Act 2019</w:t>
      </w:r>
      <w:r>
        <w:t xml:space="preserve"> (the Act). This interim report shares our initial findings and recommendations for participant comment. The final report will provide advice to the Australian Government on the development of a new Drought Resilience Funding Plan, future programs, arrangements and grants, and the administration of the Fund. </w:t>
      </w:r>
      <w:r w:rsidRPr="00693547">
        <w:t xml:space="preserve">The Commission is seeking additional input for the final report due in September 2023. You are invited to </w:t>
      </w:r>
      <w:r>
        <w:t xml:space="preserve">respond to </w:t>
      </w:r>
      <w:r w:rsidRPr="00693547">
        <w:t xml:space="preserve">this interim report by making a written submission or brief comment by </w:t>
      </w:r>
      <w:r w:rsidR="00FB681D">
        <w:t>11 </w:t>
      </w:r>
      <w:r w:rsidRPr="00693547">
        <w:t>July 2023.</w:t>
      </w:r>
    </w:p>
    <w:p w14:paraId="69CC08D3" w14:textId="77777777" w:rsidR="00255BC9" w:rsidRDefault="00255BC9" w:rsidP="00F8531E">
      <w:pPr>
        <w:pStyle w:val="Heading2-nonumber"/>
      </w:pPr>
      <w:bookmarkStart w:id="11" w:name="_Toc136533989"/>
      <w:bookmarkStart w:id="12" w:name="_Toc136600678"/>
      <w:bookmarkStart w:id="13" w:name="_Toc136816996"/>
      <w:bookmarkStart w:id="14" w:name="_Toc137129750"/>
      <w:r>
        <w:t>Introduction</w:t>
      </w:r>
      <w:bookmarkEnd w:id="11"/>
      <w:bookmarkEnd w:id="12"/>
      <w:bookmarkEnd w:id="13"/>
      <w:bookmarkEnd w:id="14"/>
    </w:p>
    <w:p w14:paraId="537B82F5" w14:textId="77777777" w:rsidR="00255BC9" w:rsidRDefault="00255BC9">
      <w:pPr>
        <w:pStyle w:val="BodyText"/>
      </w:pPr>
      <w:r w:rsidRPr="00721313">
        <w:t xml:space="preserve">The </w:t>
      </w:r>
      <w:r>
        <w:t>FDF</w:t>
      </w:r>
      <w:r w:rsidRPr="00721313">
        <w:t xml:space="preserve"> </w:t>
      </w:r>
      <w:r>
        <w:t>continues the policy shift</w:t>
      </w:r>
      <w:r w:rsidRPr="00721313">
        <w:t xml:space="preserve"> in </w:t>
      </w:r>
      <w:r>
        <w:t>national</w:t>
      </w:r>
      <w:r w:rsidRPr="00721313">
        <w:t xml:space="preserve"> drought policy away from in</w:t>
      </w:r>
      <w:r>
        <w:noBreakHyphen/>
      </w:r>
      <w:r w:rsidRPr="00721313">
        <w:t xml:space="preserve">drought support </w:t>
      </w:r>
      <w:r>
        <w:t>to promoting</w:t>
      </w:r>
      <w:r w:rsidRPr="00721313">
        <w:t xml:space="preserve"> preparedness and resilience.</w:t>
      </w:r>
      <w:r>
        <w:t xml:space="preserve"> The FDF will play an important role in protecting Australian agriculture and regional communities from the effects of a changing climate. </w:t>
      </w:r>
    </w:p>
    <w:p w14:paraId="445BD7F5" w14:textId="7E7A1DE4" w:rsidR="00255BC9" w:rsidRPr="0030593D" w:rsidRDefault="00255BC9">
      <w:pPr>
        <w:pStyle w:val="BodyText"/>
        <w:rPr>
          <w:spacing w:val="-4"/>
        </w:rPr>
      </w:pPr>
      <w:r w:rsidRPr="0030593D">
        <w:rPr>
          <w:spacing w:val="-4"/>
        </w:rPr>
        <w:t>While it is too early to fully evaluate the success of the FDF and its programs, our interim findings highlight that the initial programs were not well coordinated, were rolled out too quickly and were too focused on short-term objectives. It is unlikely that this mix of short-term programs will produce significant long-term change.</w:t>
      </w:r>
    </w:p>
    <w:p w14:paraId="12789B83" w14:textId="77777777" w:rsidR="00255BC9" w:rsidRDefault="00255BC9">
      <w:pPr>
        <w:pStyle w:val="BodyText"/>
      </w:pPr>
      <w:r>
        <w:t xml:space="preserve">To meet its objectives, the FDF needs a clear, detailed strategy that sets out long-term investment priorities and ensures programs reinforce each other. This strategy should reflect the fact that more frequent and severe droughts are just one of the challenges caused by a changing climate. It is also vital that the FDF does more to engage and build partnerships with Aboriginal and Torres Strait Islander people, who should be given the opportunity to </w:t>
      </w:r>
      <w:r w:rsidRPr="000F402F">
        <w:t xml:space="preserve">define their own goals for participation with the </w:t>
      </w:r>
      <w:r>
        <w:t>F</w:t>
      </w:r>
      <w:r w:rsidRPr="000F402F">
        <w:t xml:space="preserve">und and </w:t>
      </w:r>
      <w:r>
        <w:t xml:space="preserve">the </w:t>
      </w:r>
      <w:r w:rsidRPr="000F402F">
        <w:t>outcomes</w:t>
      </w:r>
      <w:r>
        <w:t>.</w:t>
      </w:r>
    </w:p>
    <w:p w14:paraId="37F2AB56" w14:textId="77777777" w:rsidR="00255BC9" w:rsidRPr="00CA4E0E" w:rsidRDefault="00255BC9">
      <w:pPr>
        <w:pStyle w:val="BodyText"/>
      </w:pPr>
      <w:r>
        <w:t xml:space="preserve">A more strategic FDF, based on fewer, better coordinated programs is more likely to achieve the objectives of the Fund. </w:t>
      </w:r>
    </w:p>
    <w:p w14:paraId="73A3C54D" w14:textId="77777777" w:rsidR="00255BC9" w:rsidRDefault="00255BC9" w:rsidP="00F8531E">
      <w:pPr>
        <w:pStyle w:val="Heading2-nonumber"/>
      </w:pPr>
      <w:bookmarkStart w:id="15" w:name="_Toc136533990"/>
      <w:bookmarkStart w:id="16" w:name="_Toc136600679"/>
      <w:bookmarkStart w:id="17" w:name="_Toc136816997"/>
      <w:bookmarkStart w:id="18" w:name="_Toc137129751"/>
      <w:r>
        <w:t>Drought resilience and the Future Drought Fund</w:t>
      </w:r>
      <w:bookmarkEnd w:id="15"/>
      <w:bookmarkEnd w:id="16"/>
      <w:bookmarkEnd w:id="17"/>
      <w:bookmarkEnd w:id="18"/>
    </w:p>
    <w:p w14:paraId="6CD50A9D" w14:textId="77777777" w:rsidR="00255BC9" w:rsidRDefault="00255BC9">
      <w:pPr>
        <w:pStyle w:val="Heading3"/>
      </w:pPr>
      <w:r>
        <w:t>Achieving drought resilience</w:t>
      </w:r>
    </w:p>
    <w:p w14:paraId="44051BC0" w14:textId="77777777" w:rsidR="00255BC9" w:rsidRDefault="00255BC9">
      <w:pPr>
        <w:pStyle w:val="BodyText"/>
      </w:pPr>
      <w:r>
        <w:t xml:space="preserve">The concept of drought resilience is broad, complex and means different things to different people. The FDF </w:t>
      </w:r>
      <w:r w:rsidRPr="00D374D2">
        <w:rPr>
          <w:i/>
        </w:rPr>
        <w:t>Drought Resilience Funding Plan 2020 to 2024</w:t>
      </w:r>
      <w:r>
        <w:t xml:space="preserve"> (Funding Plan) defines drought resilience as:</w:t>
      </w:r>
    </w:p>
    <w:p w14:paraId="13067230" w14:textId="76364F55" w:rsidR="00255BC9" w:rsidRDefault="00255BC9">
      <w:pPr>
        <w:pStyle w:val="Quote"/>
      </w:pPr>
      <w:r w:rsidRPr="00721313">
        <w:t>… the ability to adapt, reorganise or transform in response to changing temperature, increasing variability and scarcity of rainfall and changed seasonality of rainfall, for improved economic, environmental and social wellbeing.</w:t>
      </w:r>
    </w:p>
    <w:p w14:paraId="79576251" w14:textId="77777777" w:rsidR="00255BC9" w:rsidRPr="006E44FD" w:rsidRDefault="00255BC9">
      <w:pPr>
        <w:pStyle w:val="BodyText"/>
      </w:pPr>
      <w:r>
        <w:t xml:space="preserve">Definitions of resilience vary but they generally emphasise the ability to </w:t>
      </w:r>
      <w:r>
        <w:rPr>
          <w:i/>
          <w:iCs/>
        </w:rPr>
        <w:t xml:space="preserve">absorb </w:t>
      </w:r>
      <w:r>
        <w:t xml:space="preserve">adverse shocks or to </w:t>
      </w:r>
      <w:r w:rsidRPr="002258DF">
        <w:rPr>
          <w:i/>
        </w:rPr>
        <w:t>adapt</w:t>
      </w:r>
      <w:r>
        <w:t xml:space="preserve"> and </w:t>
      </w:r>
      <w:r w:rsidRPr="002258DF">
        <w:rPr>
          <w:i/>
        </w:rPr>
        <w:t>transform</w:t>
      </w:r>
      <w:r>
        <w:t xml:space="preserve"> in response to adverse events and risks.</w:t>
      </w:r>
      <w:r>
        <w:rPr>
          <w:rStyle w:val="FootnoteReference"/>
        </w:rPr>
        <w:footnoteReference w:id="2"/>
      </w:r>
    </w:p>
    <w:p w14:paraId="2863B730" w14:textId="33062DAF" w:rsidR="00255BC9" w:rsidRDefault="00255BC9">
      <w:pPr>
        <w:pStyle w:val="BodyText"/>
      </w:pPr>
      <w:r w:rsidRPr="00721313">
        <w:lastRenderedPageBreak/>
        <w:t>The Funding Plan adopts a ‘triple</w:t>
      </w:r>
      <w:r>
        <w:t xml:space="preserve"> </w:t>
      </w:r>
      <w:r w:rsidRPr="00721313">
        <w:t>bottom line’ approach of i</w:t>
      </w:r>
      <w:r>
        <w:t>mproving</w:t>
      </w:r>
      <w:r w:rsidRPr="00721313">
        <w:t xml:space="preserve"> the economic, environmental and social dimensions of resilience </w:t>
      </w:r>
      <w:r>
        <w:t>–</w:t>
      </w:r>
      <w:r w:rsidRPr="00721313">
        <w:t xml:space="preserve"> </w:t>
      </w:r>
      <w:r>
        <w:t xml:space="preserve">all three in combination are intended </w:t>
      </w:r>
      <w:r w:rsidRPr="00721313">
        <w:t xml:space="preserve">to </w:t>
      </w:r>
      <w:r>
        <w:t xml:space="preserve">deliver a holistic approach to building </w:t>
      </w:r>
      <w:r w:rsidRPr="00721313">
        <w:t>drought resilience</w:t>
      </w:r>
      <w:r>
        <w:t xml:space="preserve"> (box</w:t>
      </w:r>
      <w:r w:rsidR="00463CFD">
        <w:t xml:space="preserve"> below</w:t>
      </w:r>
      <w:r>
        <w:t>)</w:t>
      </w:r>
      <w:r w:rsidRPr="00721313">
        <w:t xml:space="preserve">. </w:t>
      </w:r>
    </w:p>
    <w:p w14:paraId="1477665C" w14:textId="77777777" w:rsidR="00255BC9" w:rsidRPr="00024FDA" w:rsidRDefault="00255BC9">
      <w:pPr>
        <w:pStyle w:val="NoSpacing"/>
      </w:pPr>
    </w:p>
    <w:tbl>
      <w:tblPr>
        <w:tblStyle w:val="Boxtable"/>
        <w:tblW w:w="5000" w:type="pct"/>
        <w:tblLook w:val="04A0" w:firstRow="1" w:lastRow="0" w:firstColumn="1" w:lastColumn="0" w:noHBand="0" w:noVBand="1"/>
      </w:tblPr>
      <w:tblGrid>
        <w:gridCol w:w="9638"/>
      </w:tblGrid>
      <w:tr w:rsidR="00255BC9" w14:paraId="369C3033" w14:textId="77777777">
        <w:trPr>
          <w:tblHeader/>
        </w:trPr>
        <w:tc>
          <w:tcPr>
            <w:tcW w:w="9638" w:type="dxa"/>
            <w:shd w:val="clear" w:color="auto" w:fill="EBEBEB"/>
            <w:tcMar>
              <w:top w:w="170" w:type="dxa"/>
              <w:left w:w="170" w:type="dxa"/>
              <w:bottom w:w="113" w:type="dxa"/>
              <w:right w:w="170" w:type="dxa"/>
            </w:tcMar>
            <w:hideMark/>
          </w:tcPr>
          <w:p w14:paraId="439E9A8F" w14:textId="62F80013" w:rsidR="00255BC9" w:rsidRDefault="00255BC9">
            <w:pPr>
              <w:pStyle w:val="BoxHeading1"/>
            </w:pPr>
            <w:r w:rsidRPr="00CD3924">
              <w:t>Elements of the Dr</w:t>
            </w:r>
            <w:r>
              <w:t>ought</w:t>
            </w:r>
            <w:r w:rsidRPr="00CD3924">
              <w:t xml:space="preserve"> Resilience Funding Plan 2020 to 2024</w:t>
            </w:r>
          </w:p>
        </w:tc>
      </w:tr>
      <w:tr w:rsidR="00255BC9" w14:paraId="61A81E12" w14:textId="77777777">
        <w:tc>
          <w:tcPr>
            <w:tcW w:w="9638" w:type="dxa"/>
            <w:shd w:val="clear" w:color="auto" w:fill="EBEBEB"/>
            <w:tcMar>
              <w:top w:w="28" w:type="dxa"/>
              <w:left w:w="170" w:type="dxa"/>
              <w:bottom w:w="170" w:type="dxa"/>
              <w:right w:w="170" w:type="dxa"/>
            </w:tcMar>
            <w:hideMark/>
          </w:tcPr>
          <w:p w14:paraId="20F1DC9C" w14:textId="77777777" w:rsidR="00255BC9" w:rsidRPr="00CD3924" w:rsidRDefault="00255BC9">
            <w:pPr>
              <w:pStyle w:val="BoxHeading2"/>
            </w:pPr>
            <w:r w:rsidRPr="00CD3924">
              <w:t>Vision</w:t>
            </w:r>
          </w:p>
          <w:p w14:paraId="79A91C78" w14:textId="77777777" w:rsidR="00255BC9" w:rsidRPr="00CD3924" w:rsidRDefault="00255BC9">
            <w:pPr>
              <w:pStyle w:val="BodyText"/>
            </w:pPr>
            <w:r w:rsidRPr="00CD3924">
              <w:t>The Fund</w:t>
            </w:r>
            <w:r>
              <w:t>’</w:t>
            </w:r>
            <w:r w:rsidRPr="00CD3924">
              <w:t>s vision is an innovative and profitable farming sector, a sustainable natural environment and adaptable rural, regional and remote communities</w:t>
            </w:r>
            <w:r>
              <w:t xml:space="preserve"> – </w:t>
            </w:r>
            <w:r w:rsidRPr="00CD3924">
              <w:t>all with increased resilience to the impacts of drought and climate change.</w:t>
            </w:r>
          </w:p>
          <w:p w14:paraId="67B61297" w14:textId="77777777" w:rsidR="00255BC9" w:rsidRPr="00CD3924" w:rsidRDefault="00255BC9">
            <w:pPr>
              <w:pStyle w:val="BoxHeading2"/>
            </w:pPr>
            <w:r w:rsidRPr="00CD3924">
              <w:t>Aim</w:t>
            </w:r>
          </w:p>
          <w:p w14:paraId="4EF41361" w14:textId="77777777" w:rsidR="00255BC9" w:rsidRPr="00CD3924" w:rsidRDefault="00255BC9">
            <w:pPr>
              <w:pStyle w:val="BodyText"/>
            </w:pPr>
            <w:r w:rsidRPr="00CD3924">
              <w:t>The Fund aims to enhance the public good by building drought resilience in Australia</w:t>
            </w:r>
            <w:r>
              <w:t>’</w:t>
            </w:r>
            <w:r w:rsidRPr="00CD3924">
              <w:t>s agricultural sector, the agricultural landscape, and communities.</w:t>
            </w:r>
          </w:p>
          <w:p w14:paraId="049858FE" w14:textId="77777777" w:rsidR="00255BC9" w:rsidRPr="00CD3924" w:rsidRDefault="00255BC9">
            <w:pPr>
              <w:pStyle w:val="BoxHeading2"/>
            </w:pPr>
            <w:r w:rsidRPr="00CD3924">
              <w:t>Strategic priorities</w:t>
            </w:r>
          </w:p>
          <w:p w14:paraId="639AB933" w14:textId="77777777" w:rsidR="00255BC9" w:rsidRPr="00CD3924" w:rsidRDefault="00255BC9">
            <w:pPr>
              <w:pStyle w:val="BodyText"/>
            </w:pPr>
            <w:r w:rsidRPr="00CD3924">
              <w:t>The Fund has three inter-connected strategic priorities:</w:t>
            </w:r>
          </w:p>
          <w:p w14:paraId="41BFCAD2" w14:textId="77777777" w:rsidR="00255BC9" w:rsidRPr="00CD3924" w:rsidRDefault="00255BC9">
            <w:pPr>
              <w:pStyle w:val="ListBullet"/>
            </w:pPr>
            <w:r>
              <w:t>e</w:t>
            </w:r>
            <w:r w:rsidRPr="00CD3924">
              <w:t>conomic resilience for an innovative and profitable agricultural sector</w:t>
            </w:r>
          </w:p>
          <w:p w14:paraId="75D4A657" w14:textId="77777777" w:rsidR="00255BC9" w:rsidRPr="00CD3924" w:rsidRDefault="00255BC9">
            <w:pPr>
              <w:pStyle w:val="ListBullet"/>
            </w:pPr>
            <w:r>
              <w:t>e</w:t>
            </w:r>
            <w:r w:rsidRPr="00CD3924">
              <w:t>nvironmental resilience for sustainable and improved functioning of farming landscapes</w:t>
            </w:r>
          </w:p>
          <w:p w14:paraId="79FE3F74" w14:textId="77777777" w:rsidR="00255BC9" w:rsidRPr="00CD3924" w:rsidRDefault="00255BC9">
            <w:pPr>
              <w:pStyle w:val="ListBullet"/>
            </w:pPr>
            <w:r>
              <w:t>s</w:t>
            </w:r>
            <w:r w:rsidRPr="00CD3924">
              <w:t>ocial resilience for resourceful and adaptable communities.</w:t>
            </w:r>
          </w:p>
          <w:p w14:paraId="29D53C0E" w14:textId="77777777" w:rsidR="00255BC9" w:rsidRPr="00CD3924" w:rsidRDefault="00255BC9">
            <w:pPr>
              <w:pStyle w:val="BoxHeading2"/>
            </w:pPr>
            <w:r w:rsidRPr="00CD3924">
              <w:t>Objectives</w:t>
            </w:r>
          </w:p>
          <w:p w14:paraId="746DA2C0" w14:textId="77777777" w:rsidR="00255BC9" w:rsidRPr="00CD3924" w:rsidRDefault="00255BC9">
            <w:pPr>
              <w:pStyle w:val="BodyText"/>
            </w:pPr>
            <w:r w:rsidRPr="00CD3924">
              <w:t>The Fund’s three objectives to achieve the strategic priorities will enhance the public good by building drought resilience through programs that will:</w:t>
            </w:r>
          </w:p>
          <w:p w14:paraId="2D098C66" w14:textId="77777777" w:rsidR="00255BC9" w:rsidRPr="00CD3924" w:rsidRDefault="00255BC9">
            <w:pPr>
              <w:pStyle w:val="ListBullet"/>
            </w:pPr>
            <w:r w:rsidRPr="00CD3924">
              <w:t>grow the self-reliance and performance (productivity and profitability) of the agricultural sector</w:t>
            </w:r>
          </w:p>
          <w:p w14:paraId="625BE737" w14:textId="77777777" w:rsidR="00255BC9" w:rsidRPr="00CD3924" w:rsidRDefault="00255BC9">
            <w:pPr>
              <w:pStyle w:val="ListBullet"/>
            </w:pPr>
            <w:r w:rsidRPr="00CD3924">
              <w:t>improve the natural capital of agricultural landscapes for better environmental outcomes</w:t>
            </w:r>
          </w:p>
          <w:p w14:paraId="022F0A3B" w14:textId="501DE775" w:rsidR="00255BC9" w:rsidRDefault="00255BC9">
            <w:pPr>
              <w:pStyle w:val="ListBullet"/>
            </w:pPr>
            <w:r w:rsidRPr="00CD3924">
              <w:t>strengthen the wellbeing and social capital of rural, regional and remote communities.</w:t>
            </w:r>
          </w:p>
        </w:tc>
      </w:tr>
      <w:tr w:rsidR="00255BC9" w14:paraId="70690577" w14:textId="77777777">
        <w:trPr>
          <w:hidden/>
        </w:trPr>
        <w:tc>
          <w:tcPr>
            <w:tcW w:w="9638" w:type="dxa"/>
            <w:shd w:val="clear" w:color="auto" w:fill="auto"/>
            <w:tcMar>
              <w:top w:w="0" w:type="dxa"/>
              <w:left w:w="170" w:type="dxa"/>
              <w:bottom w:w="0" w:type="dxa"/>
              <w:right w:w="170" w:type="dxa"/>
            </w:tcMar>
          </w:tcPr>
          <w:p w14:paraId="099691EE" w14:textId="25E4CE3B" w:rsidR="00255BC9" w:rsidRPr="00465191" w:rsidRDefault="00255BC9">
            <w:pPr>
              <w:pStyle w:val="BodyText"/>
              <w:spacing w:before="0" w:after="0" w:line="80" w:lineRule="atLeast"/>
              <w:rPr>
                <w:smallCaps/>
                <w:vanish/>
              </w:rPr>
            </w:pPr>
          </w:p>
        </w:tc>
      </w:tr>
    </w:tbl>
    <w:p w14:paraId="0803944E" w14:textId="5DA34261" w:rsidR="00255BC9" w:rsidRDefault="00255BC9">
      <w:pPr>
        <w:pStyle w:val="BodyText"/>
      </w:pPr>
      <w:r w:rsidRPr="00721313">
        <w:t xml:space="preserve">Across these </w:t>
      </w:r>
      <w:r>
        <w:t xml:space="preserve">three </w:t>
      </w:r>
      <w:r w:rsidRPr="00721313">
        <w:t>priorities</w:t>
      </w:r>
      <w:r>
        <w:t>,</w:t>
      </w:r>
      <w:r w:rsidRPr="00721313">
        <w:t xml:space="preserve"> the FDF </w:t>
      </w:r>
      <w:r>
        <w:t xml:space="preserve">funds </w:t>
      </w:r>
      <w:r w:rsidRPr="00721313">
        <w:t>activities</w:t>
      </w:r>
      <w:r>
        <w:t xml:space="preserve"> </w:t>
      </w:r>
      <w:r w:rsidRPr="00721313">
        <w:t xml:space="preserve">that support research, development, </w:t>
      </w:r>
      <w:r>
        <w:t xml:space="preserve">extension, </w:t>
      </w:r>
      <w:r w:rsidRPr="00721313">
        <w:t>adoption and commercialisation</w:t>
      </w:r>
      <w:r>
        <w:t>,</w:t>
      </w:r>
      <w:r w:rsidRPr="00721313">
        <w:t xml:space="preserve"> capacity building and planning.</w:t>
      </w:r>
      <w:r>
        <w:t xml:space="preserve"> Since the Fund’s establishment, 19 programs have been rolled out supporting these objectives and activities. </w:t>
      </w:r>
      <w:r w:rsidR="00D0403A">
        <w:t>The t</w:t>
      </w:r>
      <w:r>
        <w:t>able</w:t>
      </w:r>
      <w:r w:rsidR="004561F1">
        <w:t xml:space="preserve"> below</w:t>
      </w:r>
      <w:r>
        <w:t xml:space="preserve"> outlines the full list of programs funded over the course of the first Funding Plan. Some programs have been completed and others are commencing. These programs are categorised under four main themes: Better Climate Information; Better Planning; Better Practices; and Better Prepared Communities.</w:t>
      </w:r>
    </w:p>
    <w:p w14:paraId="0C5D215F" w14:textId="13237C45" w:rsidR="00255BC9" w:rsidRPr="00CC46C2" w:rsidRDefault="00255BC9" w:rsidP="0030593D">
      <w:pPr>
        <w:keepNext/>
        <w:keepLines/>
        <w:spacing w:before="240" w:after="40"/>
        <w:rPr>
          <w:rFonts w:asciiTheme="majorHAnsi" w:hAnsiTheme="majorHAnsi"/>
          <w:iCs/>
          <w:color w:val="000000" w:themeColor="text1"/>
          <w:szCs w:val="18"/>
        </w:rPr>
      </w:pPr>
      <w:r>
        <w:rPr>
          <w:rFonts w:asciiTheme="majorHAnsi" w:hAnsiTheme="majorHAnsi"/>
          <w:iCs/>
          <w:noProof/>
          <w:color w:val="000000" w:themeColor="text1"/>
          <w:szCs w:val="18"/>
        </w:rPr>
        <w:lastRenderedPageBreak/>
        <w:t>FDF programs and funding allocation, as of 30 June 2022</w:t>
      </w:r>
    </w:p>
    <w:tbl>
      <w:tblPr>
        <w:tblStyle w:val="ProductivityCommissionTable1"/>
        <w:tblW w:w="9781" w:type="dxa"/>
        <w:tblLayout w:type="fixed"/>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907"/>
        <w:gridCol w:w="7882"/>
        <w:gridCol w:w="992"/>
      </w:tblGrid>
      <w:tr w:rsidR="00255BC9" w:rsidRPr="005C5A36" w14:paraId="34228081" w14:textId="77777777" w:rsidTr="004A1F9A">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07" w:type="dxa"/>
            <w:tcBorders>
              <w:top w:val="nil"/>
            </w:tcBorders>
            <w:vAlign w:val="bottom"/>
          </w:tcPr>
          <w:p w14:paraId="6BD5F35B" w14:textId="77777777" w:rsidR="00255BC9" w:rsidRPr="005C5A36" w:rsidRDefault="00255BC9" w:rsidP="004A1F9A">
            <w:pPr>
              <w:keepNext/>
              <w:keepLines/>
              <w:spacing w:before="0" w:after="0" w:line="240" w:lineRule="auto"/>
              <w:ind w:right="108"/>
              <w:rPr>
                <w:rFonts w:ascii="Arial (Body)" w:hAnsi="Arial (Body)"/>
                <w:bCs/>
                <w:color w:val="265A9A"/>
                <w:sz w:val="18"/>
                <w:szCs w:val="18"/>
              </w:rPr>
            </w:pPr>
            <w:r w:rsidRPr="005C5A36">
              <w:rPr>
                <w:rFonts w:ascii="Arial (Body)" w:hAnsi="Arial (Body)"/>
                <w:bCs/>
                <w:color w:val="265A9A"/>
                <w:sz w:val="18"/>
                <w:szCs w:val="18"/>
              </w:rPr>
              <w:t>Theme</w:t>
            </w:r>
          </w:p>
        </w:tc>
        <w:tc>
          <w:tcPr>
            <w:tcW w:w="7882" w:type="dxa"/>
            <w:tcBorders>
              <w:top w:val="nil"/>
              <w:bottom w:val="single" w:sz="4" w:space="0" w:color="B3B3B3"/>
            </w:tcBorders>
            <w:vAlign w:val="bottom"/>
          </w:tcPr>
          <w:p w14:paraId="09E5CC98" w14:textId="77777777" w:rsidR="00255BC9" w:rsidRPr="005C5A36" w:rsidRDefault="00255BC9" w:rsidP="004A1F9A">
            <w:pPr>
              <w:keepNext/>
              <w:keepLines/>
              <w:spacing w:before="0" w:after="0" w:line="240" w:lineRule="auto"/>
              <w:ind w:left="57" w:right="108"/>
              <w:cnfStyle w:val="100000000000" w:firstRow="1" w:lastRow="0" w:firstColumn="0" w:lastColumn="0" w:oddVBand="0" w:evenVBand="0" w:oddHBand="0" w:evenHBand="0" w:firstRowFirstColumn="0" w:firstRowLastColumn="0" w:lastRowFirstColumn="0" w:lastRowLastColumn="0"/>
              <w:rPr>
                <w:rFonts w:ascii="Arial (Body)" w:hAnsi="Arial (Body)"/>
                <w:bCs/>
                <w:color w:val="265A9A"/>
                <w:sz w:val="18"/>
                <w:szCs w:val="18"/>
              </w:rPr>
            </w:pPr>
            <w:r w:rsidRPr="005C5A36">
              <w:rPr>
                <w:rFonts w:ascii="Arial (Body)" w:hAnsi="Arial (Body)"/>
                <w:bCs/>
                <w:color w:val="265A9A"/>
                <w:sz w:val="18"/>
                <w:szCs w:val="18"/>
              </w:rPr>
              <w:t>Program</w:t>
            </w:r>
          </w:p>
        </w:tc>
        <w:tc>
          <w:tcPr>
            <w:tcW w:w="992" w:type="dxa"/>
            <w:tcBorders>
              <w:top w:val="nil"/>
              <w:bottom w:val="single" w:sz="4" w:space="0" w:color="B3B3B3"/>
            </w:tcBorders>
            <w:vAlign w:val="bottom"/>
          </w:tcPr>
          <w:p w14:paraId="4FE6914D" w14:textId="77777777" w:rsidR="00255BC9" w:rsidRPr="005C5A36" w:rsidRDefault="00255BC9" w:rsidP="004A1F9A">
            <w:pPr>
              <w:keepNext/>
              <w:keepLines/>
              <w:spacing w:before="0" w:after="0" w:line="240" w:lineRule="auto"/>
              <w:ind w:left="57"/>
              <w:jc w:val="right"/>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sz w:val="18"/>
                <w:szCs w:val="18"/>
                <w:vertAlign w:val="superscript"/>
              </w:rPr>
            </w:pPr>
            <w:r w:rsidRPr="005C5A36">
              <w:rPr>
                <w:sz w:val="18"/>
                <w:szCs w:val="18"/>
              </w:rPr>
              <w:t>Total Allocated</w:t>
            </w:r>
          </w:p>
          <w:p w14:paraId="5B6105A5" w14:textId="77777777" w:rsidR="00255BC9" w:rsidRPr="005C5A36" w:rsidRDefault="00255BC9" w:rsidP="004A1F9A">
            <w:pPr>
              <w:keepNext/>
              <w:keepLines/>
              <w:spacing w:before="0" w:after="0" w:line="240" w:lineRule="auto"/>
              <w:ind w:left="57"/>
              <w:jc w:val="right"/>
              <w:cnfStyle w:val="100000000000" w:firstRow="1" w:lastRow="0" w:firstColumn="0" w:lastColumn="0" w:oddVBand="0" w:evenVBand="0" w:oddHBand="0" w:evenHBand="0" w:firstRowFirstColumn="0" w:firstRowLastColumn="0" w:lastRowFirstColumn="0" w:lastRowLastColumn="0"/>
              <w:rPr>
                <w:sz w:val="18"/>
                <w:szCs w:val="18"/>
              </w:rPr>
            </w:pPr>
            <w:r w:rsidRPr="005C5A36">
              <w:rPr>
                <w:sz w:val="18"/>
                <w:szCs w:val="18"/>
              </w:rPr>
              <w:t>($m)</w:t>
            </w:r>
          </w:p>
        </w:tc>
      </w:tr>
      <w:tr w:rsidR="00255BC9" w:rsidRPr="00CC46C2" w14:paraId="586C5482"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Merge w:val="restart"/>
            <w:textDirection w:val="btLr"/>
            <w:vAlign w:val="center"/>
          </w:tcPr>
          <w:p w14:paraId="2AA8AE7B" w14:textId="77777777" w:rsidR="00255BC9" w:rsidRPr="00FF394F" w:rsidRDefault="00255BC9" w:rsidP="0030593D">
            <w:pPr>
              <w:keepNext/>
              <w:keepLines/>
              <w:spacing w:before="0" w:after="0" w:line="240" w:lineRule="auto"/>
              <w:ind w:left="113" w:right="113"/>
              <w:jc w:val="center"/>
              <w:rPr>
                <w:bCs/>
                <w:sz w:val="18"/>
              </w:rPr>
            </w:pPr>
            <w:r>
              <w:rPr>
                <w:bCs/>
                <w:sz w:val="18"/>
              </w:rPr>
              <w:t>Better Climate Information</w:t>
            </w:r>
          </w:p>
        </w:tc>
        <w:tc>
          <w:tcPr>
            <w:tcW w:w="7882" w:type="dxa"/>
            <w:tcBorders>
              <w:top w:val="single" w:sz="4" w:space="0" w:color="B3B3B3"/>
              <w:bottom w:val="nil"/>
            </w:tcBorders>
          </w:tcPr>
          <w:p w14:paraId="243A6174" w14:textId="5D14D3A3" w:rsidR="00255BC9" w:rsidRPr="00DE1C29" w:rsidRDefault="00255BC9" w:rsidP="005C5A36">
            <w:pPr>
              <w:keepNext/>
              <w:keepLines/>
              <w:spacing w:before="0" w:after="0" w:line="240" w:lineRule="auto"/>
              <w:ind w:left="57"/>
              <w:cnfStyle w:val="000000100000" w:firstRow="0" w:lastRow="0" w:firstColumn="0" w:lastColumn="0" w:oddVBand="0" w:evenVBand="0" w:oddHBand="1" w:evenHBand="0" w:firstRowFirstColumn="0" w:firstRowLastColumn="0" w:lastRowFirstColumn="0" w:lastRowLastColumn="0"/>
              <w:rPr>
                <w:sz w:val="18"/>
              </w:rPr>
            </w:pPr>
            <w:r w:rsidRPr="00DE1C29">
              <w:rPr>
                <w:b/>
                <w:bCs/>
                <w:sz w:val="18"/>
              </w:rPr>
              <w:t>Climate Services for Agriculture</w:t>
            </w:r>
            <w:r w:rsidRPr="00DE1C29">
              <w:rPr>
                <w:sz w:val="18"/>
              </w:rPr>
              <w:t xml:space="preserve"> – a tool that makes localised climate information accessible and useful for understanding climate risk and building resilience.</w:t>
            </w:r>
          </w:p>
        </w:tc>
        <w:tc>
          <w:tcPr>
            <w:tcW w:w="992" w:type="dxa"/>
            <w:tcBorders>
              <w:top w:val="single" w:sz="4" w:space="0" w:color="B3B3B3"/>
              <w:bottom w:val="nil"/>
            </w:tcBorders>
          </w:tcPr>
          <w:p w14:paraId="6EB95E87" w14:textId="77777777" w:rsidR="00255BC9" w:rsidRPr="00A71807" w:rsidRDefault="00255BC9" w:rsidP="0030593D">
            <w:pPr>
              <w:keepNext/>
              <w:keepLines/>
              <w:spacing w:before="0" w:after="0" w:line="240" w:lineRule="auto"/>
              <w:ind w:right="6"/>
              <w:jc w:val="right"/>
              <w:cnfStyle w:val="000000100000" w:firstRow="0" w:lastRow="0" w:firstColumn="0" w:lastColumn="0" w:oddVBand="0" w:evenVBand="0" w:oddHBand="1" w:evenHBand="0" w:firstRowFirstColumn="0" w:firstRowLastColumn="0" w:lastRowFirstColumn="0" w:lastRowLastColumn="0"/>
              <w:rPr>
                <w:rFonts w:ascii="Arial (Body)" w:hAnsi="Arial (Body)"/>
                <w:b/>
                <w:color w:val="000000"/>
                <w:sz w:val="18"/>
              </w:rPr>
            </w:pPr>
            <w:r w:rsidRPr="00A71807">
              <w:rPr>
                <w:rFonts w:ascii="Arial (Body)" w:hAnsi="Arial (Body)"/>
                <w:b/>
                <w:color w:val="000000"/>
                <w:sz w:val="18"/>
              </w:rPr>
              <w:t>2</w:t>
            </w:r>
            <w:r>
              <w:rPr>
                <w:rFonts w:ascii="Arial (Body)" w:hAnsi="Arial (Body)"/>
                <w:b/>
                <w:color w:val="000000"/>
                <w:sz w:val="18"/>
              </w:rPr>
              <w:t>9.0</w:t>
            </w:r>
          </w:p>
        </w:tc>
      </w:tr>
      <w:tr w:rsidR="00255BC9" w:rsidRPr="00CC46C2" w14:paraId="37CD579B" w14:textId="77777777" w:rsidTr="004951D4">
        <w:trPr>
          <w:trHeight w:val="728"/>
        </w:trPr>
        <w:tc>
          <w:tcPr>
            <w:cnfStyle w:val="001000000000" w:firstRow="0" w:lastRow="0" w:firstColumn="1" w:lastColumn="0" w:oddVBand="0" w:evenVBand="0" w:oddHBand="0" w:evenHBand="0" w:firstRowFirstColumn="0" w:firstRowLastColumn="0" w:lastRowFirstColumn="0" w:lastRowLastColumn="0"/>
            <w:tcW w:w="907" w:type="dxa"/>
            <w:vMerge/>
          </w:tcPr>
          <w:p w14:paraId="4EF2D59E" w14:textId="77777777" w:rsidR="00255BC9" w:rsidRPr="00FF394F" w:rsidRDefault="00255BC9" w:rsidP="0030593D">
            <w:pPr>
              <w:keepNext/>
              <w:keepLines/>
              <w:spacing w:before="0" w:after="0" w:line="240" w:lineRule="auto"/>
              <w:ind w:left="284"/>
              <w:rPr>
                <w:bCs/>
                <w:sz w:val="18"/>
              </w:rPr>
            </w:pPr>
          </w:p>
        </w:tc>
        <w:tc>
          <w:tcPr>
            <w:tcW w:w="7882" w:type="dxa"/>
            <w:tcBorders>
              <w:top w:val="nil"/>
              <w:bottom w:val="single" w:sz="4" w:space="0" w:color="B3B3B3"/>
            </w:tcBorders>
          </w:tcPr>
          <w:p w14:paraId="54F9F8CC" w14:textId="77777777" w:rsidR="00255BC9" w:rsidRPr="00DE1C29" w:rsidRDefault="00255BC9" w:rsidP="005C5A36">
            <w:pPr>
              <w:keepNext/>
              <w:keepLines/>
              <w:spacing w:before="0" w:after="0" w:line="240" w:lineRule="auto"/>
              <w:ind w:left="57"/>
              <w:cnfStyle w:val="000000000000" w:firstRow="0" w:lastRow="0" w:firstColumn="0" w:lastColumn="0" w:oddVBand="0" w:evenVBand="0" w:oddHBand="0" w:evenHBand="0" w:firstRowFirstColumn="0" w:firstRowLastColumn="0" w:lastRowFirstColumn="0" w:lastRowLastColumn="0"/>
              <w:rPr>
                <w:sz w:val="18"/>
              </w:rPr>
            </w:pPr>
            <w:r w:rsidRPr="00DE1C29">
              <w:rPr>
                <w:b/>
                <w:bCs/>
                <w:sz w:val="18"/>
              </w:rPr>
              <w:t>Drought Resilience Self-Assessment Tool</w:t>
            </w:r>
            <w:r w:rsidRPr="00DE1C29">
              <w:rPr>
                <w:sz w:val="18"/>
              </w:rPr>
              <w:t xml:space="preserve"> – a tool that provides farm-scale analysis by enabling farmers to self-assess resilience in personal, financial, and environmental domains.</w:t>
            </w:r>
          </w:p>
        </w:tc>
        <w:tc>
          <w:tcPr>
            <w:tcW w:w="992" w:type="dxa"/>
            <w:tcBorders>
              <w:top w:val="nil"/>
              <w:bottom w:val="single" w:sz="4" w:space="0" w:color="B3B3B3"/>
            </w:tcBorders>
          </w:tcPr>
          <w:p w14:paraId="14CA8141" w14:textId="77777777" w:rsidR="00255BC9" w:rsidRPr="00A71807" w:rsidRDefault="00255BC9" w:rsidP="0030593D">
            <w:pPr>
              <w:keepNext/>
              <w:keepLines/>
              <w:spacing w:before="0" w:after="0" w:line="240" w:lineRule="auto"/>
              <w:ind w:right="6"/>
              <w:jc w:val="right"/>
              <w:cnfStyle w:val="000000000000" w:firstRow="0" w:lastRow="0" w:firstColumn="0" w:lastColumn="0" w:oddVBand="0" w:evenVBand="0" w:oddHBand="0" w:evenHBand="0" w:firstRowFirstColumn="0" w:firstRowLastColumn="0" w:lastRowFirstColumn="0" w:lastRowLastColumn="0"/>
              <w:rPr>
                <w:rFonts w:ascii="Arial (Body)" w:hAnsi="Arial (Body)"/>
                <w:b/>
                <w:color w:val="000000"/>
                <w:sz w:val="18"/>
              </w:rPr>
            </w:pPr>
            <w:r w:rsidRPr="00A71807">
              <w:rPr>
                <w:rFonts w:ascii="Arial (Body)" w:hAnsi="Arial (Body)"/>
                <w:b/>
                <w:color w:val="000000"/>
                <w:sz w:val="18"/>
              </w:rPr>
              <w:t>9.</w:t>
            </w:r>
            <w:r>
              <w:rPr>
                <w:rFonts w:ascii="Arial (Body)" w:hAnsi="Arial (Body)"/>
                <w:b/>
                <w:color w:val="000000"/>
                <w:sz w:val="18"/>
              </w:rPr>
              <w:t>9</w:t>
            </w:r>
          </w:p>
        </w:tc>
      </w:tr>
      <w:tr w:rsidR="00255BC9" w:rsidRPr="00CC46C2" w14:paraId="09872857"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Merge w:val="restart"/>
            <w:textDirection w:val="btLr"/>
            <w:vAlign w:val="center"/>
          </w:tcPr>
          <w:p w14:paraId="5BA6A99A" w14:textId="77777777" w:rsidR="00255BC9" w:rsidRPr="00C521B5" w:rsidRDefault="00255BC9" w:rsidP="0030593D">
            <w:pPr>
              <w:keepNext/>
              <w:keepLines/>
              <w:spacing w:before="0" w:after="0" w:line="240" w:lineRule="auto"/>
              <w:ind w:left="284" w:right="113"/>
              <w:jc w:val="center"/>
              <w:rPr>
                <w:bCs/>
                <w:sz w:val="18"/>
              </w:rPr>
            </w:pPr>
            <w:r>
              <w:rPr>
                <w:bCs/>
                <w:sz w:val="18"/>
              </w:rPr>
              <w:t>Better Planning</w:t>
            </w:r>
          </w:p>
        </w:tc>
        <w:tc>
          <w:tcPr>
            <w:tcW w:w="7882" w:type="dxa"/>
            <w:tcBorders>
              <w:top w:val="single" w:sz="4" w:space="0" w:color="B3B3B3"/>
              <w:bottom w:val="nil"/>
            </w:tcBorders>
          </w:tcPr>
          <w:p w14:paraId="23C5600C" w14:textId="77777777" w:rsidR="00255BC9" w:rsidRPr="00DE1C29" w:rsidRDefault="00255BC9" w:rsidP="005C5A36">
            <w:pPr>
              <w:keepNext/>
              <w:keepLines/>
              <w:spacing w:before="0" w:after="0" w:line="240" w:lineRule="auto"/>
              <w:ind w:left="57"/>
              <w:cnfStyle w:val="000000100000" w:firstRow="0" w:lastRow="0" w:firstColumn="0" w:lastColumn="0" w:oddVBand="0" w:evenVBand="0" w:oddHBand="1" w:evenHBand="0" w:firstRowFirstColumn="0" w:firstRowLastColumn="0" w:lastRowFirstColumn="0" w:lastRowLastColumn="0"/>
              <w:rPr>
                <w:sz w:val="18"/>
              </w:rPr>
            </w:pPr>
            <w:r w:rsidRPr="00E819AC">
              <w:rPr>
                <w:b/>
                <w:bCs/>
                <w:sz w:val="18"/>
              </w:rPr>
              <w:t xml:space="preserve">Farm Business Resilience </w:t>
            </w:r>
            <w:r w:rsidRPr="00DE1C29">
              <w:rPr>
                <w:sz w:val="18"/>
              </w:rPr>
              <w:t xml:space="preserve">– </w:t>
            </w:r>
            <w:r>
              <w:rPr>
                <w:sz w:val="18"/>
              </w:rPr>
              <w:t xml:space="preserve">provides subsidised learning to </w:t>
            </w:r>
            <w:r w:rsidRPr="00DE1C29">
              <w:rPr>
                <w:sz w:val="18"/>
              </w:rPr>
              <w:t xml:space="preserve">support farmers </w:t>
            </w:r>
            <w:r>
              <w:rPr>
                <w:sz w:val="18"/>
              </w:rPr>
              <w:t>by improving</w:t>
            </w:r>
            <w:r w:rsidRPr="00DE1C29">
              <w:rPr>
                <w:sz w:val="18"/>
              </w:rPr>
              <w:t xml:space="preserve"> their strategic decision-making skills.</w:t>
            </w:r>
          </w:p>
        </w:tc>
        <w:tc>
          <w:tcPr>
            <w:tcW w:w="992" w:type="dxa"/>
            <w:tcBorders>
              <w:top w:val="single" w:sz="4" w:space="0" w:color="B3B3B3"/>
              <w:bottom w:val="nil"/>
            </w:tcBorders>
          </w:tcPr>
          <w:p w14:paraId="660283CC" w14:textId="77777777" w:rsidR="00255BC9" w:rsidRPr="00A71807" w:rsidRDefault="00255BC9" w:rsidP="0030593D">
            <w:pPr>
              <w:keepNext/>
              <w:keepLines/>
              <w:spacing w:before="0" w:after="0" w:line="240" w:lineRule="auto"/>
              <w:ind w:right="6"/>
              <w:jc w:val="right"/>
              <w:cnfStyle w:val="000000100000" w:firstRow="0" w:lastRow="0" w:firstColumn="0" w:lastColumn="0" w:oddVBand="0" w:evenVBand="0" w:oddHBand="1" w:evenHBand="0" w:firstRowFirstColumn="0" w:firstRowLastColumn="0" w:lastRowFirstColumn="0" w:lastRowLastColumn="0"/>
              <w:rPr>
                <w:rFonts w:ascii="Arial (Body)" w:hAnsi="Arial (Body)"/>
                <w:b/>
                <w:color w:val="000000"/>
                <w:sz w:val="18"/>
              </w:rPr>
            </w:pPr>
            <w:r w:rsidRPr="00A71807">
              <w:rPr>
                <w:rFonts w:ascii="Arial (Body)" w:hAnsi="Arial (Body)"/>
                <w:b/>
                <w:color w:val="000000"/>
                <w:sz w:val="18"/>
              </w:rPr>
              <w:t>7</w:t>
            </w:r>
            <w:r>
              <w:rPr>
                <w:rFonts w:ascii="Arial (Body)" w:hAnsi="Arial (Body)"/>
                <w:b/>
                <w:color w:val="000000"/>
                <w:sz w:val="18"/>
              </w:rPr>
              <w:t>6.0</w:t>
            </w:r>
          </w:p>
        </w:tc>
      </w:tr>
      <w:tr w:rsidR="00255BC9" w:rsidRPr="00CC46C2" w14:paraId="45214937" w14:textId="77777777" w:rsidTr="004951D4">
        <w:trPr>
          <w:trHeight w:val="662"/>
        </w:trPr>
        <w:tc>
          <w:tcPr>
            <w:cnfStyle w:val="001000000000" w:firstRow="0" w:lastRow="0" w:firstColumn="1" w:lastColumn="0" w:oddVBand="0" w:evenVBand="0" w:oddHBand="0" w:evenHBand="0" w:firstRowFirstColumn="0" w:firstRowLastColumn="0" w:lastRowFirstColumn="0" w:lastRowLastColumn="0"/>
            <w:tcW w:w="907" w:type="dxa"/>
            <w:vMerge/>
          </w:tcPr>
          <w:p w14:paraId="2123556B" w14:textId="77777777" w:rsidR="00255BC9" w:rsidRPr="00E07F33" w:rsidRDefault="00255BC9" w:rsidP="0030593D">
            <w:pPr>
              <w:keepNext/>
              <w:keepLines/>
              <w:spacing w:before="0" w:after="0" w:line="240" w:lineRule="auto"/>
              <w:ind w:left="284"/>
              <w:rPr>
                <w:bCs/>
                <w:sz w:val="18"/>
              </w:rPr>
            </w:pPr>
          </w:p>
        </w:tc>
        <w:tc>
          <w:tcPr>
            <w:tcW w:w="7882" w:type="dxa"/>
            <w:tcBorders>
              <w:top w:val="nil"/>
              <w:bottom w:val="single" w:sz="4" w:space="0" w:color="B3B3B3"/>
            </w:tcBorders>
          </w:tcPr>
          <w:p w14:paraId="6390AC1B" w14:textId="77777777" w:rsidR="00255BC9" w:rsidRPr="00DE1C29" w:rsidRDefault="00255BC9" w:rsidP="005C5A36">
            <w:pPr>
              <w:keepNext/>
              <w:keepLines/>
              <w:spacing w:before="0" w:after="0" w:line="240" w:lineRule="auto"/>
              <w:ind w:left="57"/>
              <w:cnfStyle w:val="000000000000" w:firstRow="0" w:lastRow="0" w:firstColumn="0" w:lastColumn="0" w:oddVBand="0" w:evenVBand="0" w:oddHBand="0" w:evenHBand="0" w:firstRowFirstColumn="0" w:firstRowLastColumn="0" w:lastRowFirstColumn="0" w:lastRowLastColumn="0"/>
              <w:rPr>
                <w:sz w:val="18"/>
              </w:rPr>
            </w:pPr>
            <w:r w:rsidRPr="00E819AC">
              <w:rPr>
                <w:b/>
                <w:bCs/>
                <w:sz w:val="18"/>
              </w:rPr>
              <w:t>Regional Drought Resilience Planning</w:t>
            </w:r>
            <w:r w:rsidRPr="00DE1C29">
              <w:rPr>
                <w:sz w:val="18"/>
              </w:rPr>
              <w:t xml:space="preserve"> – </w:t>
            </w:r>
            <w:r>
              <w:rPr>
                <w:sz w:val="18"/>
              </w:rPr>
              <w:t>develops</w:t>
            </w:r>
            <w:r w:rsidRPr="00DE1C29">
              <w:rPr>
                <w:sz w:val="18"/>
              </w:rPr>
              <w:t xml:space="preserve"> drought resilience plans across </w:t>
            </w:r>
            <w:r>
              <w:rPr>
                <w:sz w:val="18"/>
              </w:rPr>
              <w:t xml:space="preserve">Australian </w:t>
            </w:r>
            <w:r w:rsidRPr="00DE1C29">
              <w:rPr>
                <w:sz w:val="18"/>
              </w:rPr>
              <w:t>agricultural regions.</w:t>
            </w:r>
          </w:p>
        </w:tc>
        <w:tc>
          <w:tcPr>
            <w:tcW w:w="992" w:type="dxa"/>
            <w:tcBorders>
              <w:top w:val="nil"/>
              <w:bottom w:val="single" w:sz="4" w:space="0" w:color="B3B3B3"/>
            </w:tcBorders>
          </w:tcPr>
          <w:p w14:paraId="40277787" w14:textId="77777777" w:rsidR="00255BC9" w:rsidRPr="00A71807" w:rsidRDefault="00255BC9" w:rsidP="0030593D">
            <w:pPr>
              <w:keepNext/>
              <w:keepLines/>
              <w:spacing w:before="0" w:after="0" w:line="240" w:lineRule="auto"/>
              <w:ind w:right="6"/>
              <w:jc w:val="right"/>
              <w:cnfStyle w:val="000000000000" w:firstRow="0" w:lastRow="0" w:firstColumn="0" w:lastColumn="0" w:oddVBand="0" w:evenVBand="0" w:oddHBand="0" w:evenHBand="0" w:firstRowFirstColumn="0" w:firstRowLastColumn="0" w:lastRowFirstColumn="0" w:lastRowLastColumn="0"/>
              <w:rPr>
                <w:rFonts w:ascii="Arial (Body)" w:hAnsi="Arial (Body)"/>
                <w:b/>
                <w:color w:val="000000"/>
                <w:sz w:val="18"/>
              </w:rPr>
            </w:pPr>
            <w:r w:rsidRPr="00A71807">
              <w:rPr>
                <w:rFonts w:ascii="Arial (Body)" w:hAnsi="Arial (Body)"/>
                <w:b/>
                <w:color w:val="000000"/>
                <w:sz w:val="18"/>
              </w:rPr>
              <w:t>40.</w:t>
            </w:r>
            <w:r>
              <w:rPr>
                <w:rFonts w:ascii="Arial (Body)" w:hAnsi="Arial (Body)"/>
                <w:b/>
                <w:color w:val="000000"/>
                <w:sz w:val="18"/>
              </w:rPr>
              <w:t>9</w:t>
            </w:r>
          </w:p>
        </w:tc>
      </w:tr>
      <w:tr w:rsidR="00255BC9" w:rsidRPr="00CC46C2" w14:paraId="46FF945D"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Merge w:val="restart"/>
            <w:textDirection w:val="btLr"/>
            <w:vAlign w:val="center"/>
          </w:tcPr>
          <w:p w14:paraId="29028E49" w14:textId="77777777" w:rsidR="00255BC9" w:rsidRPr="00C62696" w:rsidRDefault="00255BC9" w:rsidP="0030593D">
            <w:pPr>
              <w:keepNext/>
              <w:keepLines/>
              <w:spacing w:before="0" w:after="0" w:line="240" w:lineRule="auto"/>
              <w:ind w:left="284" w:right="113"/>
              <w:jc w:val="center"/>
              <w:rPr>
                <w:bCs/>
                <w:sz w:val="18"/>
              </w:rPr>
            </w:pPr>
            <w:r>
              <w:rPr>
                <w:bCs/>
                <w:sz w:val="18"/>
              </w:rPr>
              <w:t>Better Practices</w:t>
            </w:r>
          </w:p>
        </w:tc>
        <w:tc>
          <w:tcPr>
            <w:tcW w:w="7882" w:type="dxa"/>
            <w:tcBorders>
              <w:top w:val="single" w:sz="4" w:space="0" w:color="B3B3B3"/>
              <w:bottom w:val="nil"/>
            </w:tcBorders>
          </w:tcPr>
          <w:p w14:paraId="62194F0C" w14:textId="77777777" w:rsidR="00255BC9" w:rsidRPr="00DE1C29" w:rsidRDefault="00255BC9" w:rsidP="005C5A36">
            <w:pPr>
              <w:keepNext/>
              <w:keepLines/>
              <w:spacing w:before="0" w:after="0" w:line="240" w:lineRule="auto"/>
              <w:ind w:left="57"/>
              <w:cnfStyle w:val="000000100000" w:firstRow="0" w:lastRow="0" w:firstColumn="0" w:lastColumn="0" w:oddVBand="0" w:evenVBand="0" w:oddHBand="1" w:evenHBand="0" w:firstRowFirstColumn="0" w:firstRowLastColumn="0" w:lastRowFirstColumn="0" w:lastRowLastColumn="0"/>
              <w:rPr>
                <w:sz w:val="18"/>
              </w:rPr>
            </w:pPr>
            <w:r w:rsidRPr="00541952">
              <w:rPr>
                <w:b/>
                <w:bCs/>
                <w:sz w:val="18"/>
              </w:rPr>
              <w:t>Drought Resilience Adoption and Innovation Hubs</w:t>
            </w:r>
            <w:r w:rsidRPr="00DE1C29">
              <w:rPr>
                <w:sz w:val="18"/>
              </w:rPr>
              <w:t xml:space="preserve"> </w:t>
            </w:r>
            <w:r>
              <w:rPr>
                <w:sz w:val="18"/>
              </w:rPr>
              <w:t>–</w:t>
            </w:r>
            <w:r w:rsidRPr="00DE1C29">
              <w:rPr>
                <w:sz w:val="18"/>
              </w:rPr>
              <w:t xml:space="preserve"> </w:t>
            </w:r>
            <w:r w:rsidRPr="0081089E">
              <w:rPr>
                <w:sz w:val="18"/>
              </w:rPr>
              <w:t>bring together regional stakeholders to develop local solutions to drought issues.</w:t>
            </w:r>
          </w:p>
        </w:tc>
        <w:tc>
          <w:tcPr>
            <w:tcW w:w="992" w:type="dxa"/>
            <w:tcBorders>
              <w:top w:val="single" w:sz="4" w:space="0" w:color="B3B3B3"/>
              <w:bottom w:val="nil"/>
            </w:tcBorders>
          </w:tcPr>
          <w:p w14:paraId="7FFA78F7" w14:textId="77777777" w:rsidR="00255BC9" w:rsidRPr="00A71807" w:rsidRDefault="00255BC9" w:rsidP="0030593D">
            <w:pPr>
              <w:keepNext/>
              <w:keepLines/>
              <w:spacing w:before="0" w:after="0" w:line="240" w:lineRule="auto"/>
              <w:ind w:right="6"/>
              <w:jc w:val="right"/>
              <w:cnfStyle w:val="000000100000" w:firstRow="0" w:lastRow="0" w:firstColumn="0" w:lastColumn="0" w:oddVBand="0" w:evenVBand="0" w:oddHBand="1" w:evenHBand="0" w:firstRowFirstColumn="0" w:firstRowLastColumn="0" w:lastRowFirstColumn="0" w:lastRowLastColumn="0"/>
              <w:rPr>
                <w:rFonts w:ascii="Arial (Body)" w:hAnsi="Arial (Body)"/>
                <w:b/>
                <w:color w:val="000000"/>
                <w:sz w:val="18"/>
              </w:rPr>
            </w:pPr>
            <w:r w:rsidRPr="00A71807">
              <w:rPr>
                <w:rFonts w:ascii="Arial (Body)" w:hAnsi="Arial (Body)"/>
                <w:b/>
                <w:color w:val="000000"/>
                <w:sz w:val="18"/>
              </w:rPr>
              <w:t>66.0</w:t>
            </w:r>
          </w:p>
        </w:tc>
      </w:tr>
      <w:tr w:rsidR="00255BC9" w:rsidRPr="00A71807" w14:paraId="35436DF5" w14:textId="77777777" w:rsidTr="004951D4">
        <w:tc>
          <w:tcPr>
            <w:cnfStyle w:val="001000000000" w:firstRow="0" w:lastRow="0" w:firstColumn="1" w:lastColumn="0" w:oddVBand="0" w:evenVBand="0" w:oddHBand="0" w:evenHBand="0" w:firstRowFirstColumn="0" w:firstRowLastColumn="0" w:lastRowFirstColumn="0" w:lastRowLastColumn="0"/>
            <w:tcW w:w="907" w:type="dxa"/>
            <w:vMerge/>
          </w:tcPr>
          <w:p w14:paraId="55EB9EB5" w14:textId="77777777" w:rsidR="00255BC9" w:rsidRPr="00EC7D5D" w:rsidRDefault="00255BC9" w:rsidP="0030593D">
            <w:pPr>
              <w:keepNext/>
              <w:keepLines/>
              <w:spacing w:before="0" w:after="0" w:line="240" w:lineRule="auto"/>
              <w:ind w:left="284"/>
              <w:rPr>
                <w:bCs/>
                <w:sz w:val="18"/>
              </w:rPr>
            </w:pPr>
          </w:p>
        </w:tc>
        <w:tc>
          <w:tcPr>
            <w:tcW w:w="7882" w:type="dxa"/>
            <w:tcBorders>
              <w:top w:val="nil"/>
              <w:bottom w:val="nil"/>
            </w:tcBorders>
          </w:tcPr>
          <w:p w14:paraId="4B34674F" w14:textId="77777777" w:rsidR="00255BC9" w:rsidRPr="00DE1C29" w:rsidRDefault="00255BC9" w:rsidP="005C5A36">
            <w:pPr>
              <w:keepNext/>
              <w:keepLines/>
              <w:spacing w:before="0" w:after="0" w:line="240" w:lineRule="auto"/>
              <w:ind w:left="57"/>
              <w:cnfStyle w:val="000000000000" w:firstRow="0" w:lastRow="0" w:firstColumn="0" w:lastColumn="0" w:oddVBand="0" w:evenVBand="0" w:oddHBand="0" w:evenHBand="0" w:firstRowFirstColumn="0" w:firstRowLastColumn="0" w:lastRowFirstColumn="0" w:lastRowLastColumn="0"/>
              <w:rPr>
                <w:sz w:val="18"/>
              </w:rPr>
            </w:pPr>
            <w:r w:rsidRPr="008D3E73">
              <w:rPr>
                <w:b/>
                <w:bCs/>
                <w:sz w:val="18"/>
              </w:rPr>
              <w:t>Hub Projects</w:t>
            </w:r>
            <w:r w:rsidRPr="00DE1C29">
              <w:rPr>
                <w:sz w:val="18"/>
              </w:rPr>
              <w:t xml:space="preserve"> </w:t>
            </w:r>
            <w:r>
              <w:rPr>
                <w:sz w:val="18"/>
              </w:rPr>
              <w:t>–</w:t>
            </w:r>
            <w:r w:rsidRPr="00DE1C29">
              <w:rPr>
                <w:sz w:val="18"/>
              </w:rPr>
              <w:t xml:space="preserve"> </w:t>
            </w:r>
            <w:r>
              <w:rPr>
                <w:sz w:val="18"/>
              </w:rPr>
              <w:t xml:space="preserve">funding to carry out </w:t>
            </w:r>
            <w:r w:rsidRPr="00DE1C29">
              <w:rPr>
                <w:rFonts w:ascii="Arial (Body)" w:hAnsi="Arial (Body)"/>
                <w:color w:val="000000"/>
                <w:sz w:val="18"/>
              </w:rPr>
              <w:t>cross</w:t>
            </w:r>
            <w:r>
              <w:rPr>
                <w:rFonts w:ascii="Arial (Body)" w:hAnsi="Arial (Body)"/>
                <w:color w:val="000000"/>
                <w:sz w:val="18"/>
              </w:rPr>
              <w:t>-H</w:t>
            </w:r>
            <w:r w:rsidRPr="00DE1C29">
              <w:rPr>
                <w:rFonts w:ascii="Arial (Body)" w:hAnsi="Arial (Body)"/>
                <w:color w:val="000000"/>
                <w:sz w:val="18"/>
              </w:rPr>
              <w:t>ub collaboration projects.</w:t>
            </w:r>
          </w:p>
        </w:tc>
        <w:tc>
          <w:tcPr>
            <w:tcW w:w="992" w:type="dxa"/>
            <w:tcBorders>
              <w:top w:val="nil"/>
              <w:bottom w:val="nil"/>
            </w:tcBorders>
          </w:tcPr>
          <w:p w14:paraId="346C2E92" w14:textId="77777777" w:rsidR="00255BC9" w:rsidRPr="00A71807" w:rsidRDefault="00255BC9" w:rsidP="0030593D">
            <w:pPr>
              <w:keepNext/>
              <w:keepLines/>
              <w:spacing w:before="0" w:after="0" w:line="240" w:lineRule="auto"/>
              <w:ind w:right="6"/>
              <w:jc w:val="right"/>
              <w:cnfStyle w:val="000000000000" w:firstRow="0" w:lastRow="0" w:firstColumn="0" w:lastColumn="0" w:oddVBand="0" w:evenVBand="0" w:oddHBand="0" w:evenHBand="0" w:firstRowFirstColumn="0" w:firstRowLastColumn="0" w:lastRowFirstColumn="0" w:lastRowLastColumn="0"/>
              <w:rPr>
                <w:rFonts w:ascii="Arial (Body)" w:hAnsi="Arial (Body)"/>
                <w:b/>
                <w:color w:val="000000"/>
                <w:sz w:val="18"/>
              </w:rPr>
            </w:pPr>
            <w:r w:rsidRPr="00A71807">
              <w:rPr>
                <w:rFonts w:ascii="Arial (Body)" w:hAnsi="Arial (Body)"/>
                <w:b/>
                <w:color w:val="000000"/>
                <w:sz w:val="18"/>
              </w:rPr>
              <w:t>4.</w:t>
            </w:r>
            <w:r>
              <w:rPr>
                <w:rFonts w:ascii="Arial (Body)" w:hAnsi="Arial (Body)"/>
                <w:b/>
                <w:color w:val="000000"/>
                <w:sz w:val="18"/>
              </w:rPr>
              <w:t>1</w:t>
            </w:r>
          </w:p>
        </w:tc>
      </w:tr>
      <w:tr w:rsidR="00255BC9" w:rsidRPr="001C2ED4" w14:paraId="60F2EDBD"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Merge/>
          </w:tcPr>
          <w:p w14:paraId="76DE1E73" w14:textId="77777777" w:rsidR="00255BC9" w:rsidRPr="001C2ED4" w:rsidRDefault="00255BC9" w:rsidP="0030593D">
            <w:pPr>
              <w:keepNext/>
              <w:keepLines/>
              <w:spacing w:before="0" w:after="0" w:line="240" w:lineRule="auto"/>
              <w:ind w:left="284"/>
              <w:rPr>
                <w:bCs/>
                <w:sz w:val="18"/>
              </w:rPr>
            </w:pPr>
          </w:p>
        </w:tc>
        <w:tc>
          <w:tcPr>
            <w:tcW w:w="7882" w:type="dxa"/>
            <w:tcBorders>
              <w:top w:val="nil"/>
              <w:bottom w:val="nil"/>
            </w:tcBorders>
          </w:tcPr>
          <w:p w14:paraId="424328CC" w14:textId="77777777" w:rsidR="00255BC9" w:rsidRPr="00DE1C29" w:rsidRDefault="00255BC9" w:rsidP="005C5A36">
            <w:pPr>
              <w:keepNext/>
              <w:keepLines/>
              <w:spacing w:before="0" w:after="0" w:line="240" w:lineRule="auto"/>
              <w:ind w:left="57"/>
              <w:cnfStyle w:val="000000100000" w:firstRow="0" w:lastRow="0" w:firstColumn="0" w:lastColumn="0" w:oddVBand="0" w:evenVBand="0" w:oddHBand="1" w:evenHBand="0" w:firstRowFirstColumn="0" w:firstRowLastColumn="0" w:lastRowFirstColumn="0" w:lastRowLastColumn="0"/>
              <w:rPr>
                <w:sz w:val="18"/>
              </w:rPr>
            </w:pPr>
            <w:r w:rsidRPr="00026C9E">
              <w:rPr>
                <w:b/>
                <w:bCs/>
                <w:sz w:val="18"/>
              </w:rPr>
              <w:t>Adoption Officers</w:t>
            </w:r>
            <w:r w:rsidRPr="00DE1C29">
              <w:rPr>
                <w:sz w:val="18"/>
              </w:rPr>
              <w:t xml:space="preserve"> </w:t>
            </w:r>
            <w:r>
              <w:rPr>
                <w:sz w:val="18"/>
              </w:rPr>
              <w:t>–</w:t>
            </w:r>
            <w:r w:rsidRPr="00DE1C29">
              <w:rPr>
                <w:sz w:val="18"/>
              </w:rPr>
              <w:t xml:space="preserve"> </w:t>
            </w:r>
            <w:r>
              <w:rPr>
                <w:sz w:val="18"/>
              </w:rPr>
              <w:t xml:space="preserve">included in </w:t>
            </w:r>
            <w:r w:rsidRPr="00DE1C29">
              <w:rPr>
                <w:rFonts w:ascii="Arial (Body)" w:hAnsi="Arial (Body)"/>
                <w:color w:val="000000"/>
                <w:sz w:val="18"/>
              </w:rPr>
              <w:t xml:space="preserve">Hubs, officers </w:t>
            </w:r>
            <w:r>
              <w:rPr>
                <w:rFonts w:ascii="Arial (Body)" w:hAnsi="Arial (Body)"/>
                <w:color w:val="000000"/>
                <w:sz w:val="18"/>
              </w:rPr>
              <w:t xml:space="preserve">work with farmers to support adoption </w:t>
            </w:r>
            <w:r w:rsidRPr="00DE1C29">
              <w:rPr>
                <w:rFonts w:ascii="Arial (Body)" w:hAnsi="Arial (Body)"/>
                <w:color w:val="000000"/>
                <w:sz w:val="18"/>
              </w:rPr>
              <w:t>activities.</w:t>
            </w:r>
          </w:p>
        </w:tc>
        <w:tc>
          <w:tcPr>
            <w:tcW w:w="992" w:type="dxa"/>
            <w:tcBorders>
              <w:top w:val="nil"/>
              <w:bottom w:val="nil"/>
            </w:tcBorders>
          </w:tcPr>
          <w:p w14:paraId="2581003D" w14:textId="77777777" w:rsidR="00255BC9" w:rsidRPr="001C2ED4" w:rsidRDefault="00255BC9" w:rsidP="0030593D">
            <w:pPr>
              <w:keepNext/>
              <w:keepLines/>
              <w:spacing w:before="0" w:after="0" w:line="240" w:lineRule="auto"/>
              <w:ind w:right="6"/>
              <w:jc w:val="right"/>
              <w:cnfStyle w:val="000000100000" w:firstRow="0" w:lastRow="0" w:firstColumn="0" w:lastColumn="0" w:oddVBand="0" w:evenVBand="0" w:oddHBand="1" w:evenHBand="0" w:firstRowFirstColumn="0" w:firstRowLastColumn="0" w:lastRowFirstColumn="0" w:lastRowLastColumn="0"/>
              <w:rPr>
                <w:rFonts w:ascii="Arial (Body)" w:hAnsi="Arial (Body)"/>
                <w:b/>
                <w:bCs/>
                <w:color w:val="000000"/>
                <w:sz w:val="18"/>
              </w:rPr>
            </w:pPr>
            <w:r w:rsidRPr="001C2ED4">
              <w:rPr>
                <w:rFonts w:ascii="Arial (Body)" w:hAnsi="Arial (Body)"/>
                <w:b/>
                <w:bCs/>
                <w:color w:val="000000"/>
                <w:sz w:val="18"/>
              </w:rPr>
              <w:t>9.0</w:t>
            </w:r>
          </w:p>
        </w:tc>
      </w:tr>
      <w:tr w:rsidR="00255BC9" w:rsidRPr="001C2ED4" w14:paraId="2C911DA1" w14:textId="77777777" w:rsidTr="004951D4">
        <w:tc>
          <w:tcPr>
            <w:cnfStyle w:val="001000000000" w:firstRow="0" w:lastRow="0" w:firstColumn="1" w:lastColumn="0" w:oddVBand="0" w:evenVBand="0" w:oddHBand="0" w:evenHBand="0" w:firstRowFirstColumn="0" w:firstRowLastColumn="0" w:lastRowFirstColumn="0" w:lastRowLastColumn="0"/>
            <w:tcW w:w="907" w:type="dxa"/>
            <w:vMerge/>
          </w:tcPr>
          <w:p w14:paraId="629753BC" w14:textId="77777777" w:rsidR="00255BC9" w:rsidRPr="001C2ED4" w:rsidRDefault="00255BC9" w:rsidP="0030593D">
            <w:pPr>
              <w:keepNext/>
              <w:keepLines/>
              <w:spacing w:before="0" w:after="0" w:line="240" w:lineRule="auto"/>
              <w:ind w:left="284"/>
              <w:rPr>
                <w:bCs/>
                <w:sz w:val="18"/>
              </w:rPr>
            </w:pPr>
          </w:p>
        </w:tc>
        <w:tc>
          <w:tcPr>
            <w:tcW w:w="7882" w:type="dxa"/>
            <w:tcBorders>
              <w:top w:val="nil"/>
              <w:bottom w:val="nil"/>
            </w:tcBorders>
          </w:tcPr>
          <w:p w14:paraId="62743899" w14:textId="55630ED9" w:rsidR="00255BC9" w:rsidRPr="00DE1C29" w:rsidRDefault="00255BC9" w:rsidP="005C5A36">
            <w:pPr>
              <w:keepNext/>
              <w:keepLines/>
              <w:spacing w:before="0" w:after="0" w:line="240" w:lineRule="auto"/>
              <w:ind w:left="57"/>
              <w:cnfStyle w:val="000000000000" w:firstRow="0" w:lastRow="0" w:firstColumn="0" w:lastColumn="0" w:oddVBand="0" w:evenVBand="0" w:oddHBand="0" w:evenHBand="0" w:firstRowFirstColumn="0" w:firstRowLastColumn="0" w:lastRowFirstColumn="0" w:lastRowLastColumn="0"/>
              <w:rPr>
                <w:sz w:val="18"/>
              </w:rPr>
            </w:pPr>
            <w:r w:rsidRPr="00026C9E">
              <w:rPr>
                <w:b/>
                <w:bCs/>
                <w:sz w:val="18"/>
              </w:rPr>
              <w:t>National Enabling Activities</w:t>
            </w:r>
            <w:r w:rsidRPr="00DE1C29">
              <w:rPr>
                <w:sz w:val="18"/>
              </w:rPr>
              <w:t xml:space="preserve"> </w:t>
            </w:r>
            <w:r>
              <w:rPr>
                <w:sz w:val="18"/>
              </w:rPr>
              <w:t xml:space="preserve">– </w:t>
            </w:r>
            <w:r w:rsidRPr="00DE1C29">
              <w:rPr>
                <w:rFonts w:ascii="Arial (Body)" w:hAnsi="Arial (Body)"/>
                <w:color w:val="000000"/>
                <w:sz w:val="18"/>
              </w:rPr>
              <w:t xml:space="preserve">a range of activities </w:t>
            </w:r>
            <w:r>
              <w:rPr>
                <w:rFonts w:ascii="Arial (Body)" w:hAnsi="Arial (Body)"/>
                <w:color w:val="000000"/>
                <w:sz w:val="18"/>
              </w:rPr>
              <w:t>to support knowledge transfer, collaboration and impact assessments</w:t>
            </w:r>
            <w:r w:rsidRPr="00DE1C29">
              <w:rPr>
                <w:rFonts w:ascii="Arial (Body)" w:hAnsi="Arial (Body)"/>
                <w:color w:val="000000"/>
                <w:sz w:val="18"/>
              </w:rPr>
              <w:t>.</w:t>
            </w:r>
          </w:p>
        </w:tc>
        <w:tc>
          <w:tcPr>
            <w:tcW w:w="992" w:type="dxa"/>
            <w:tcBorders>
              <w:top w:val="nil"/>
              <w:bottom w:val="nil"/>
            </w:tcBorders>
          </w:tcPr>
          <w:p w14:paraId="1FAC359A" w14:textId="77777777" w:rsidR="00255BC9" w:rsidRPr="001C2ED4" w:rsidRDefault="00255BC9" w:rsidP="0030593D">
            <w:pPr>
              <w:keepNext/>
              <w:keepLines/>
              <w:spacing w:before="0" w:after="0" w:line="240" w:lineRule="auto"/>
              <w:ind w:right="6"/>
              <w:jc w:val="right"/>
              <w:cnfStyle w:val="000000000000" w:firstRow="0" w:lastRow="0" w:firstColumn="0" w:lastColumn="0" w:oddVBand="0" w:evenVBand="0" w:oddHBand="0" w:evenHBand="0" w:firstRowFirstColumn="0" w:firstRowLastColumn="0" w:lastRowFirstColumn="0" w:lastRowLastColumn="0"/>
              <w:rPr>
                <w:rFonts w:ascii="Arial (Body)" w:hAnsi="Arial (Body)"/>
                <w:b/>
                <w:bCs/>
                <w:color w:val="000000"/>
                <w:sz w:val="18"/>
              </w:rPr>
            </w:pPr>
            <w:r w:rsidRPr="001C2ED4">
              <w:rPr>
                <w:rFonts w:ascii="Arial (Body)" w:hAnsi="Arial (Body)"/>
                <w:b/>
                <w:bCs/>
                <w:color w:val="000000"/>
                <w:sz w:val="18"/>
              </w:rPr>
              <w:t>8.0</w:t>
            </w:r>
          </w:p>
        </w:tc>
      </w:tr>
      <w:tr w:rsidR="00255BC9" w:rsidRPr="001C2ED4" w14:paraId="146DB84C"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Merge/>
          </w:tcPr>
          <w:p w14:paraId="562A644E" w14:textId="77777777" w:rsidR="00255BC9" w:rsidRPr="001C2ED4" w:rsidRDefault="00255BC9" w:rsidP="0030593D">
            <w:pPr>
              <w:keepNext/>
              <w:keepLines/>
              <w:spacing w:before="0" w:after="0" w:line="240" w:lineRule="auto"/>
              <w:ind w:left="284"/>
              <w:rPr>
                <w:bCs/>
                <w:sz w:val="18"/>
              </w:rPr>
            </w:pPr>
          </w:p>
        </w:tc>
        <w:tc>
          <w:tcPr>
            <w:tcW w:w="7882" w:type="dxa"/>
            <w:tcBorders>
              <w:top w:val="nil"/>
              <w:bottom w:val="nil"/>
            </w:tcBorders>
          </w:tcPr>
          <w:p w14:paraId="3356F4BB" w14:textId="77777777" w:rsidR="00255BC9" w:rsidRPr="00DE1C29" w:rsidRDefault="00255BC9" w:rsidP="005C5A36">
            <w:pPr>
              <w:keepNext/>
              <w:keepLines/>
              <w:spacing w:before="0" w:after="0" w:line="240" w:lineRule="auto"/>
              <w:ind w:left="57"/>
              <w:cnfStyle w:val="000000100000" w:firstRow="0" w:lastRow="0" w:firstColumn="0" w:lastColumn="0" w:oddVBand="0" w:evenVBand="0" w:oddHBand="1" w:evenHBand="0" w:firstRowFirstColumn="0" w:firstRowLastColumn="0" w:lastRowFirstColumn="0" w:lastRowLastColumn="0"/>
              <w:rPr>
                <w:sz w:val="18"/>
              </w:rPr>
            </w:pPr>
            <w:r w:rsidRPr="00026C9E">
              <w:rPr>
                <w:b/>
                <w:bCs/>
                <w:sz w:val="18"/>
              </w:rPr>
              <w:t>Drought Resilience Innovation Grants</w:t>
            </w:r>
            <w:r w:rsidRPr="00DE1C29">
              <w:rPr>
                <w:sz w:val="18"/>
              </w:rPr>
              <w:t xml:space="preserve"> </w:t>
            </w:r>
            <w:r>
              <w:rPr>
                <w:sz w:val="18"/>
              </w:rPr>
              <w:t>–</w:t>
            </w:r>
            <w:r w:rsidRPr="00DE1C29">
              <w:rPr>
                <w:sz w:val="18"/>
              </w:rPr>
              <w:t xml:space="preserve"> </w:t>
            </w:r>
            <w:r>
              <w:rPr>
                <w:sz w:val="18"/>
              </w:rPr>
              <w:t>grants for innovation projects at</w:t>
            </w:r>
            <w:r w:rsidRPr="00FF1E28">
              <w:rPr>
                <w:sz w:val="18"/>
              </w:rPr>
              <w:t xml:space="preserve"> different stages of development, including early-stage proposals, feasibility testing for new products, processes and services and large-scale innovation projects.</w:t>
            </w:r>
          </w:p>
        </w:tc>
        <w:tc>
          <w:tcPr>
            <w:tcW w:w="992" w:type="dxa"/>
            <w:tcBorders>
              <w:top w:val="nil"/>
              <w:bottom w:val="nil"/>
            </w:tcBorders>
          </w:tcPr>
          <w:p w14:paraId="29F76F18" w14:textId="77777777" w:rsidR="00255BC9" w:rsidRPr="001C2ED4" w:rsidRDefault="00255BC9" w:rsidP="0030593D">
            <w:pPr>
              <w:keepNext/>
              <w:keepLines/>
              <w:spacing w:before="0" w:after="0" w:line="240" w:lineRule="auto"/>
              <w:ind w:right="6"/>
              <w:jc w:val="right"/>
              <w:cnfStyle w:val="000000100000" w:firstRow="0" w:lastRow="0" w:firstColumn="0" w:lastColumn="0" w:oddVBand="0" w:evenVBand="0" w:oddHBand="1" w:evenHBand="0" w:firstRowFirstColumn="0" w:firstRowLastColumn="0" w:lastRowFirstColumn="0" w:lastRowLastColumn="0"/>
              <w:rPr>
                <w:rFonts w:ascii="Arial (Body)" w:hAnsi="Arial (Body)"/>
                <w:b/>
                <w:bCs/>
                <w:color w:val="000000"/>
                <w:sz w:val="18"/>
              </w:rPr>
            </w:pPr>
            <w:r w:rsidRPr="001C2ED4">
              <w:rPr>
                <w:rFonts w:ascii="Arial (Body)" w:hAnsi="Arial (Body)"/>
                <w:b/>
                <w:bCs/>
                <w:color w:val="000000"/>
                <w:sz w:val="18"/>
              </w:rPr>
              <w:t>3</w:t>
            </w:r>
            <w:r>
              <w:rPr>
                <w:rFonts w:ascii="Arial (Body)" w:hAnsi="Arial (Body)"/>
                <w:b/>
                <w:bCs/>
                <w:color w:val="000000"/>
                <w:sz w:val="18"/>
              </w:rPr>
              <w:t>4.0</w:t>
            </w:r>
          </w:p>
        </w:tc>
      </w:tr>
      <w:tr w:rsidR="00255BC9" w:rsidRPr="001C2ED4" w14:paraId="449A3922" w14:textId="77777777" w:rsidTr="004951D4">
        <w:tc>
          <w:tcPr>
            <w:cnfStyle w:val="001000000000" w:firstRow="0" w:lastRow="0" w:firstColumn="1" w:lastColumn="0" w:oddVBand="0" w:evenVBand="0" w:oddHBand="0" w:evenHBand="0" w:firstRowFirstColumn="0" w:firstRowLastColumn="0" w:lastRowFirstColumn="0" w:lastRowLastColumn="0"/>
            <w:tcW w:w="907" w:type="dxa"/>
            <w:vMerge/>
          </w:tcPr>
          <w:p w14:paraId="50440783" w14:textId="77777777" w:rsidR="00255BC9" w:rsidRPr="001C2ED4" w:rsidRDefault="00255BC9" w:rsidP="0030593D">
            <w:pPr>
              <w:keepNext/>
              <w:keepLines/>
              <w:spacing w:before="0" w:after="0" w:line="240" w:lineRule="auto"/>
              <w:ind w:left="284"/>
              <w:rPr>
                <w:bCs/>
                <w:sz w:val="18"/>
              </w:rPr>
            </w:pPr>
          </w:p>
        </w:tc>
        <w:tc>
          <w:tcPr>
            <w:tcW w:w="7882" w:type="dxa"/>
            <w:tcBorders>
              <w:top w:val="nil"/>
              <w:bottom w:val="nil"/>
            </w:tcBorders>
          </w:tcPr>
          <w:p w14:paraId="5CE10681" w14:textId="77777777" w:rsidR="00255BC9" w:rsidRPr="00DE1C29" w:rsidRDefault="00255BC9" w:rsidP="005C5A36">
            <w:pPr>
              <w:keepNext/>
              <w:keepLines/>
              <w:spacing w:before="0" w:after="0" w:line="240" w:lineRule="auto"/>
              <w:ind w:left="57"/>
              <w:cnfStyle w:val="000000000000" w:firstRow="0" w:lastRow="0" w:firstColumn="0" w:lastColumn="0" w:oddVBand="0" w:evenVBand="0" w:oddHBand="0" w:evenHBand="0" w:firstRowFirstColumn="0" w:firstRowLastColumn="0" w:lastRowFirstColumn="0" w:lastRowLastColumn="0"/>
              <w:rPr>
                <w:sz w:val="18"/>
              </w:rPr>
            </w:pPr>
            <w:r w:rsidRPr="00026C9E">
              <w:rPr>
                <w:b/>
                <w:bCs/>
                <w:sz w:val="18"/>
              </w:rPr>
              <w:t>Natural Resource Management Drought Resilience Program – Grants</w:t>
            </w:r>
            <w:r w:rsidRPr="00FD2E69">
              <w:rPr>
                <w:b/>
                <w:bCs/>
                <w:position w:val="4"/>
                <w:sz w:val="18"/>
                <w:vertAlign w:val="superscript"/>
              </w:rPr>
              <w:t>a</w:t>
            </w:r>
            <w:r w:rsidRPr="00DE1C29">
              <w:rPr>
                <w:sz w:val="18"/>
              </w:rPr>
              <w:t xml:space="preserve"> –</w:t>
            </w:r>
            <w:r>
              <w:rPr>
                <w:sz w:val="18"/>
              </w:rPr>
              <w:t xml:space="preserve"> </w:t>
            </w:r>
            <w:r w:rsidRPr="00DE1C29">
              <w:rPr>
                <w:rFonts w:ascii="Arial (Body)" w:hAnsi="Arial (Body)"/>
                <w:color w:val="000000"/>
                <w:sz w:val="18"/>
              </w:rPr>
              <w:t>grants for building the capacity and resilience of soils and agricultural landscapes through innovative NRM practices, systems and approaches.</w:t>
            </w:r>
          </w:p>
        </w:tc>
        <w:tc>
          <w:tcPr>
            <w:tcW w:w="992" w:type="dxa"/>
            <w:tcBorders>
              <w:top w:val="nil"/>
              <w:bottom w:val="nil"/>
            </w:tcBorders>
          </w:tcPr>
          <w:p w14:paraId="3FC35B81" w14:textId="77777777" w:rsidR="00255BC9" w:rsidRPr="001C2ED4" w:rsidRDefault="00255BC9" w:rsidP="0030593D">
            <w:pPr>
              <w:keepNext/>
              <w:keepLines/>
              <w:spacing w:before="0" w:after="0" w:line="240" w:lineRule="auto"/>
              <w:ind w:right="6"/>
              <w:jc w:val="right"/>
              <w:cnfStyle w:val="000000000000" w:firstRow="0" w:lastRow="0" w:firstColumn="0" w:lastColumn="0" w:oddVBand="0" w:evenVBand="0" w:oddHBand="0" w:evenHBand="0" w:firstRowFirstColumn="0" w:firstRowLastColumn="0" w:lastRowFirstColumn="0" w:lastRowLastColumn="0"/>
              <w:rPr>
                <w:rFonts w:ascii="Arial (Body)" w:hAnsi="Arial (Body)"/>
                <w:b/>
                <w:bCs/>
                <w:color w:val="000000"/>
                <w:sz w:val="18"/>
              </w:rPr>
            </w:pPr>
            <w:r w:rsidRPr="001C2ED4">
              <w:rPr>
                <w:rFonts w:ascii="Arial (Body)" w:hAnsi="Arial (Body)"/>
                <w:b/>
                <w:bCs/>
                <w:color w:val="000000"/>
                <w:sz w:val="18"/>
              </w:rPr>
              <w:t>7.8</w:t>
            </w:r>
          </w:p>
        </w:tc>
      </w:tr>
      <w:tr w:rsidR="00255BC9" w:rsidRPr="001C2ED4" w14:paraId="0D40C925"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Merge/>
          </w:tcPr>
          <w:p w14:paraId="6B8E9BF3" w14:textId="77777777" w:rsidR="00255BC9" w:rsidRPr="001C2ED4" w:rsidRDefault="00255BC9" w:rsidP="0030593D">
            <w:pPr>
              <w:keepNext/>
              <w:keepLines/>
              <w:spacing w:before="0" w:after="0" w:line="240" w:lineRule="auto"/>
              <w:ind w:left="284"/>
              <w:rPr>
                <w:bCs/>
                <w:sz w:val="18"/>
              </w:rPr>
            </w:pPr>
          </w:p>
        </w:tc>
        <w:tc>
          <w:tcPr>
            <w:tcW w:w="7882" w:type="dxa"/>
            <w:tcBorders>
              <w:top w:val="nil"/>
              <w:bottom w:val="nil"/>
            </w:tcBorders>
          </w:tcPr>
          <w:p w14:paraId="5901A7DF" w14:textId="192B905D" w:rsidR="00255BC9" w:rsidRPr="00DE1C29" w:rsidRDefault="00255BC9" w:rsidP="005C5A36">
            <w:pPr>
              <w:keepNext/>
              <w:keepLines/>
              <w:spacing w:before="0" w:after="0" w:line="240" w:lineRule="auto"/>
              <w:ind w:left="57"/>
              <w:cnfStyle w:val="000000100000" w:firstRow="0" w:lastRow="0" w:firstColumn="0" w:lastColumn="0" w:oddVBand="0" w:evenVBand="0" w:oddHBand="1" w:evenHBand="0" w:firstRowFirstColumn="0" w:firstRowLastColumn="0" w:lastRowFirstColumn="0" w:lastRowLastColumn="0"/>
              <w:rPr>
                <w:sz w:val="18"/>
              </w:rPr>
            </w:pPr>
            <w:r w:rsidRPr="00026C9E">
              <w:rPr>
                <w:b/>
                <w:bCs/>
                <w:sz w:val="18"/>
              </w:rPr>
              <w:t>Natural Resource Management Drought Resilience Program – Landscapes</w:t>
            </w:r>
            <w:r w:rsidRPr="00FD2E69">
              <w:rPr>
                <w:b/>
                <w:bCs/>
                <w:position w:val="4"/>
                <w:sz w:val="18"/>
                <w:vertAlign w:val="superscript"/>
              </w:rPr>
              <w:t>a</w:t>
            </w:r>
            <w:r w:rsidRPr="00DE1C29">
              <w:rPr>
                <w:sz w:val="18"/>
              </w:rPr>
              <w:t xml:space="preserve"> –</w:t>
            </w:r>
            <w:r>
              <w:rPr>
                <w:rFonts w:ascii="Arial (Body)" w:hAnsi="Arial (Body)"/>
                <w:color w:val="000000"/>
                <w:sz w:val="18"/>
              </w:rPr>
              <w:t xml:space="preserve"> grants for NRM bodies</w:t>
            </w:r>
            <w:r w:rsidRPr="00DE1C29">
              <w:rPr>
                <w:rFonts w:ascii="Arial (Body)" w:hAnsi="Arial (Body)"/>
                <w:color w:val="000000"/>
                <w:sz w:val="18"/>
              </w:rPr>
              <w:t xml:space="preserve"> to </w:t>
            </w:r>
            <w:r>
              <w:rPr>
                <w:rFonts w:ascii="Arial (Body)" w:hAnsi="Arial (Body)"/>
                <w:color w:val="000000"/>
                <w:sz w:val="18"/>
              </w:rPr>
              <w:t>put in place</w:t>
            </w:r>
            <w:r w:rsidRPr="00DE1C29">
              <w:rPr>
                <w:rFonts w:ascii="Arial (Body)" w:hAnsi="Arial (Body)"/>
                <w:color w:val="000000"/>
                <w:sz w:val="18"/>
              </w:rPr>
              <w:t xml:space="preserve"> practices or systems that improve </w:t>
            </w:r>
            <w:r>
              <w:rPr>
                <w:rFonts w:ascii="Arial (Body)" w:hAnsi="Arial (Body)"/>
                <w:color w:val="000000"/>
                <w:sz w:val="18"/>
              </w:rPr>
              <w:t>natural resource</w:t>
            </w:r>
            <w:r w:rsidRPr="00DE1C29">
              <w:rPr>
                <w:rFonts w:ascii="Arial (Body)" w:hAnsi="Arial (Body)"/>
                <w:color w:val="000000"/>
                <w:sz w:val="18"/>
              </w:rPr>
              <w:t xml:space="preserve"> management.</w:t>
            </w:r>
          </w:p>
        </w:tc>
        <w:tc>
          <w:tcPr>
            <w:tcW w:w="992" w:type="dxa"/>
            <w:tcBorders>
              <w:top w:val="nil"/>
              <w:bottom w:val="nil"/>
            </w:tcBorders>
          </w:tcPr>
          <w:p w14:paraId="2F91F3C0" w14:textId="77777777" w:rsidR="00255BC9" w:rsidRPr="001C2ED4" w:rsidRDefault="00255BC9" w:rsidP="0030593D">
            <w:pPr>
              <w:keepNext/>
              <w:keepLines/>
              <w:spacing w:before="0" w:after="0" w:line="240" w:lineRule="auto"/>
              <w:ind w:right="6"/>
              <w:jc w:val="right"/>
              <w:cnfStyle w:val="000000100000" w:firstRow="0" w:lastRow="0" w:firstColumn="0" w:lastColumn="0" w:oddVBand="0" w:evenVBand="0" w:oddHBand="1" w:evenHBand="0" w:firstRowFirstColumn="0" w:firstRowLastColumn="0" w:lastRowFirstColumn="0" w:lastRowLastColumn="0"/>
              <w:rPr>
                <w:rFonts w:ascii="Arial (Body)" w:hAnsi="Arial (Body)"/>
                <w:b/>
                <w:bCs/>
                <w:color w:val="000000"/>
                <w:sz w:val="18"/>
              </w:rPr>
            </w:pPr>
            <w:r w:rsidRPr="001C2ED4">
              <w:rPr>
                <w:rFonts w:ascii="Arial (Body)" w:hAnsi="Arial (Body)"/>
                <w:b/>
                <w:bCs/>
                <w:color w:val="000000"/>
                <w:sz w:val="18"/>
              </w:rPr>
              <w:t>5.6</w:t>
            </w:r>
          </w:p>
        </w:tc>
      </w:tr>
      <w:tr w:rsidR="00255BC9" w:rsidRPr="001C2ED4" w14:paraId="288CB0F6" w14:textId="77777777" w:rsidTr="004951D4">
        <w:tc>
          <w:tcPr>
            <w:cnfStyle w:val="001000000000" w:firstRow="0" w:lastRow="0" w:firstColumn="1" w:lastColumn="0" w:oddVBand="0" w:evenVBand="0" w:oddHBand="0" w:evenHBand="0" w:firstRowFirstColumn="0" w:firstRowLastColumn="0" w:lastRowFirstColumn="0" w:lastRowLastColumn="0"/>
            <w:tcW w:w="907" w:type="dxa"/>
            <w:vMerge/>
          </w:tcPr>
          <w:p w14:paraId="0971535B" w14:textId="77777777" w:rsidR="00255BC9" w:rsidRPr="001C2ED4" w:rsidRDefault="00255BC9" w:rsidP="0030593D">
            <w:pPr>
              <w:keepNext/>
              <w:keepLines/>
              <w:spacing w:before="0" w:after="0" w:line="240" w:lineRule="auto"/>
              <w:ind w:left="284"/>
              <w:rPr>
                <w:bCs/>
                <w:sz w:val="18"/>
              </w:rPr>
            </w:pPr>
          </w:p>
        </w:tc>
        <w:tc>
          <w:tcPr>
            <w:tcW w:w="7882" w:type="dxa"/>
            <w:tcBorders>
              <w:top w:val="nil"/>
              <w:bottom w:val="nil"/>
            </w:tcBorders>
          </w:tcPr>
          <w:p w14:paraId="5B978567" w14:textId="77777777" w:rsidR="00255BC9" w:rsidRPr="00DE1C29" w:rsidRDefault="00255BC9" w:rsidP="005C5A36">
            <w:pPr>
              <w:keepNext/>
              <w:keepLines/>
              <w:spacing w:before="0" w:after="0" w:line="240" w:lineRule="auto"/>
              <w:ind w:left="57"/>
              <w:cnfStyle w:val="000000000000" w:firstRow="0" w:lastRow="0" w:firstColumn="0" w:lastColumn="0" w:oddVBand="0" w:evenVBand="0" w:oddHBand="0" w:evenHBand="0" w:firstRowFirstColumn="0" w:firstRowLastColumn="0" w:lastRowFirstColumn="0" w:lastRowLastColumn="0"/>
              <w:rPr>
                <w:sz w:val="18"/>
              </w:rPr>
            </w:pPr>
            <w:r w:rsidRPr="00026C9E">
              <w:rPr>
                <w:b/>
                <w:bCs/>
                <w:sz w:val="18"/>
              </w:rPr>
              <w:t>Drought Resilience Soils and Landscapes</w:t>
            </w:r>
            <w:r w:rsidRPr="00FD2E69">
              <w:rPr>
                <w:b/>
                <w:bCs/>
                <w:position w:val="4"/>
                <w:sz w:val="18"/>
                <w:vertAlign w:val="superscript"/>
              </w:rPr>
              <w:t>b</w:t>
            </w:r>
            <w:r w:rsidRPr="00DE1C29">
              <w:rPr>
                <w:sz w:val="18"/>
              </w:rPr>
              <w:t xml:space="preserve"> – </w:t>
            </w:r>
            <w:r>
              <w:rPr>
                <w:rFonts w:ascii="Arial (Body)" w:hAnsi="Arial (Body)"/>
                <w:color w:val="000000"/>
                <w:sz w:val="18"/>
              </w:rPr>
              <w:t>grants to</w:t>
            </w:r>
            <w:r w:rsidRPr="00DE1C29">
              <w:rPr>
                <w:rFonts w:ascii="Arial (Body)" w:hAnsi="Arial (Body)"/>
                <w:color w:val="000000"/>
                <w:sz w:val="18"/>
              </w:rPr>
              <w:t xml:space="preserve"> trial and demonstrate scaling</w:t>
            </w:r>
            <w:r>
              <w:rPr>
                <w:rFonts w:ascii="Arial (Body)" w:hAnsi="Arial (Body)"/>
                <w:color w:val="000000"/>
                <w:sz w:val="18"/>
              </w:rPr>
              <w:t xml:space="preserve">-up </w:t>
            </w:r>
            <w:r w:rsidRPr="00DE1C29">
              <w:rPr>
                <w:rFonts w:ascii="Arial (Body)" w:hAnsi="Arial (Body)"/>
                <w:color w:val="000000"/>
                <w:sz w:val="18"/>
              </w:rPr>
              <w:t>of natural capital management practices.</w:t>
            </w:r>
          </w:p>
        </w:tc>
        <w:tc>
          <w:tcPr>
            <w:tcW w:w="992" w:type="dxa"/>
            <w:tcBorders>
              <w:top w:val="nil"/>
              <w:bottom w:val="nil"/>
            </w:tcBorders>
          </w:tcPr>
          <w:p w14:paraId="5EE594DC" w14:textId="77777777" w:rsidR="00255BC9" w:rsidRPr="001C2ED4" w:rsidRDefault="00255BC9" w:rsidP="0030593D">
            <w:pPr>
              <w:keepNext/>
              <w:keepLines/>
              <w:spacing w:before="0" w:after="0" w:line="240" w:lineRule="auto"/>
              <w:ind w:right="6"/>
              <w:jc w:val="right"/>
              <w:cnfStyle w:val="000000000000" w:firstRow="0" w:lastRow="0" w:firstColumn="0" w:lastColumn="0" w:oddVBand="0" w:evenVBand="0" w:oddHBand="0" w:evenHBand="0" w:firstRowFirstColumn="0" w:firstRowLastColumn="0" w:lastRowFirstColumn="0" w:lastRowLastColumn="0"/>
              <w:rPr>
                <w:rFonts w:ascii="Arial (Body)" w:hAnsi="Arial (Body)"/>
                <w:b/>
                <w:bCs/>
                <w:color w:val="000000"/>
                <w:sz w:val="18"/>
              </w:rPr>
            </w:pPr>
            <w:r w:rsidRPr="001C2ED4">
              <w:rPr>
                <w:rFonts w:ascii="Arial (Body)" w:hAnsi="Arial (Body)"/>
                <w:b/>
                <w:bCs/>
                <w:color w:val="000000"/>
                <w:sz w:val="18"/>
              </w:rPr>
              <w:t>23.1</w:t>
            </w:r>
          </w:p>
        </w:tc>
      </w:tr>
      <w:tr w:rsidR="00255BC9" w:rsidRPr="006758E3" w14:paraId="134D6AD8"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Merge/>
          </w:tcPr>
          <w:p w14:paraId="386D9C91" w14:textId="77777777" w:rsidR="00255BC9" w:rsidRPr="006758E3" w:rsidRDefault="00255BC9" w:rsidP="0030593D">
            <w:pPr>
              <w:keepNext/>
              <w:keepLines/>
              <w:spacing w:before="0" w:after="0" w:line="240" w:lineRule="auto"/>
              <w:ind w:left="284"/>
              <w:rPr>
                <w:bCs/>
                <w:sz w:val="18"/>
              </w:rPr>
            </w:pPr>
          </w:p>
        </w:tc>
        <w:tc>
          <w:tcPr>
            <w:tcW w:w="7882" w:type="dxa"/>
            <w:tcBorders>
              <w:top w:val="nil"/>
              <w:bottom w:val="nil"/>
            </w:tcBorders>
          </w:tcPr>
          <w:p w14:paraId="601C404A" w14:textId="77777777" w:rsidR="00255BC9" w:rsidRPr="00DE1C29" w:rsidRDefault="00255BC9" w:rsidP="005C5A36">
            <w:pPr>
              <w:keepNext/>
              <w:keepLines/>
              <w:spacing w:before="0" w:after="0" w:line="240" w:lineRule="auto"/>
              <w:ind w:left="57"/>
              <w:cnfStyle w:val="000000100000" w:firstRow="0" w:lastRow="0" w:firstColumn="0" w:lastColumn="0" w:oddVBand="0" w:evenVBand="0" w:oddHBand="1" w:evenHBand="0" w:firstRowFirstColumn="0" w:firstRowLastColumn="0" w:lastRowFirstColumn="0" w:lastRowLastColumn="0"/>
              <w:rPr>
                <w:sz w:val="18"/>
              </w:rPr>
            </w:pPr>
            <w:r w:rsidRPr="006120E9">
              <w:rPr>
                <w:b/>
                <w:bCs/>
                <w:sz w:val="18"/>
              </w:rPr>
              <w:t>Adoption of Drought Resilient Practices</w:t>
            </w:r>
            <w:r w:rsidRPr="00DE1C29">
              <w:rPr>
                <w:sz w:val="18"/>
              </w:rPr>
              <w:t xml:space="preserve"> –</w:t>
            </w:r>
            <w:r w:rsidRPr="00DE1C29">
              <w:rPr>
                <w:rFonts w:ascii="Arial (Body)" w:hAnsi="Arial (Body)"/>
                <w:color w:val="000000"/>
                <w:sz w:val="18"/>
              </w:rPr>
              <w:t xml:space="preserve"> </w:t>
            </w:r>
            <w:r>
              <w:rPr>
                <w:rFonts w:ascii="Arial (Body)" w:hAnsi="Arial (Body)"/>
                <w:color w:val="000000"/>
                <w:sz w:val="18"/>
              </w:rPr>
              <w:t xml:space="preserve">grants for adoption </w:t>
            </w:r>
            <w:r w:rsidRPr="00DE1C29">
              <w:rPr>
                <w:rFonts w:ascii="Arial (Body)" w:hAnsi="Arial (Body)"/>
                <w:color w:val="000000"/>
                <w:sz w:val="18"/>
              </w:rPr>
              <w:t>activities</w:t>
            </w:r>
            <w:r>
              <w:rPr>
                <w:rFonts w:ascii="Arial (Body)" w:hAnsi="Arial (Body)"/>
                <w:color w:val="000000"/>
                <w:sz w:val="18"/>
              </w:rPr>
              <w:t xml:space="preserve"> </w:t>
            </w:r>
            <w:r w:rsidRPr="00DE1C29">
              <w:rPr>
                <w:rFonts w:ascii="Arial (Body)" w:hAnsi="Arial (Body)"/>
                <w:color w:val="000000"/>
                <w:sz w:val="18"/>
              </w:rPr>
              <w:t>of proven and existing resilience practices that have potential to be adopted at a large scale.</w:t>
            </w:r>
          </w:p>
        </w:tc>
        <w:tc>
          <w:tcPr>
            <w:tcW w:w="992" w:type="dxa"/>
            <w:tcBorders>
              <w:top w:val="nil"/>
              <w:bottom w:val="nil"/>
            </w:tcBorders>
          </w:tcPr>
          <w:p w14:paraId="36DB3A04" w14:textId="77777777" w:rsidR="00255BC9" w:rsidRPr="006758E3" w:rsidRDefault="00255BC9" w:rsidP="0030593D">
            <w:pPr>
              <w:keepNext/>
              <w:keepLines/>
              <w:spacing w:before="0" w:after="0" w:line="240" w:lineRule="auto"/>
              <w:ind w:right="6"/>
              <w:jc w:val="right"/>
              <w:cnfStyle w:val="000000100000" w:firstRow="0" w:lastRow="0" w:firstColumn="0" w:lastColumn="0" w:oddVBand="0" w:evenVBand="0" w:oddHBand="1" w:evenHBand="0" w:firstRowFirstColumn="0" w:firstRowLastColumn="0" w:lastRowFirstColumn="0" w:lastRowLastColumn="0"/>
              <w:rPr>
                <w:rFonts w:ascii="Arial (Body)" w:hAnsi="Arial (Body)"/>
                <w:b/>
                <w:bCs/>
                <w:color w:val="000000"/>
                <w:sz w:val="18"/>
              </w:rPr>
            </w:pPr>
            <w:r w:rsidRPr="006758E3">
              <w:rPr>
                <w:rFonts w:ascii="Arial (Body)" w:hAnsi="Arial (Body)"/>
                <w:b/>
                <w:bCs/>
                <w:color w:val="000000"/>
                <w:sz w:val="18"/>
              </w:rPr>
              <w:t>14.</w:t>
            </w:r>
            <w:r>
              <w:rPr>
                <w:rFonts w:ascii="Arial (Body)" w:hAnsi="Arial (Body)"/>
                <w:b/>
                <w:bCs/>
                <w:color w:val="000000"/>
                <w:sz w:val="18"/>
              </w:rPr>
              <w:t>3</w:t>
            </w:r>
          </w:p>
        </w:tc>
      </w:tr>
      <w:tr w:rsidR="00255BC9" w:rsidRPr="006758E3" w14:paraId="465654AC" w14:textId="77777777" w:rsidTr="004951D4">
        <w:tc>
          <w:tcPr>
            <w:cnfStyle w:val="001000000000" w:firstRow="0" w:lastRow="0" w:firstColumn="1" w:lastColumn="0" w:oddVBand="0" w:evenVBand="0" w:oddHBand="0" w:evenHBand="0" w:firstRowFirstColumn="0" w:firstRowLastColumn="0" w:lastRowFirstColumn="0" w:lastRowLastColumn="0"/>
            <w:tcW w:w="907" w:type="dxa"/>
            <w:vMerge/>
          </w:tcPr>
          <w:p w14:paraId="1C08AD93" w14:textId="77777777" w:rsidR="00255BC9" w:rsidRPr="006758E3" w:rsidRDefault="00255BC9" w:rsidP="0030593D">
            <w:pPr>
              <w:pStyle w:val="Note"/>
              <w:keepNext/>
              <w:keepLines/>
              <w:spacing w:before="0" w:after="0" w:line="240" w:lineRule="auto"/>
              <w:ind w:left="284"/>
              <w:rPr>
                <w:bCs/>
              </w:rPr>
            </w:pPr>
          </w:p>
        </w:tc>
        <w:tc>
          <w:tcPr>
            <w:tcW w:w="7882" w:type="dxa"/>
            <w:tcBorders>
              <w:top w:val="nil"/>
              <w:bottom w:val="nil"/>
            </w:tcBorders>
          </w:tcPr>
          <w:p w14:paraId="13F7905C" w14:textId="17A6F60D" w:rsidR="00255BC9" w:rsidRPr="00DE1C29" w:rsidRDefault="00255BC9" w:rsidP="005C5A36">
            <w:pPr>
              <w:pStyle w:val="Note"/>
              <w:keepNext/>
              <w:keepLines/>
              <w:spacing w:before="0" w:after="0" w:line="240" w:lineRule="auto"/>
              <w:ind w:left="57"/>
              <w:cnfStyle w:val="000000000000" w:firstRow="0" w:lastRow="0" w:firstColumn="0" w:lastColumn="0" w:oddVBand="0" w:evenVBand="0" w:oddHBand="0" w:evenHBand="0" w:firstRowFirstColumn="0" w:firstRowLastColumn="0" w:lastRowFirstColumn="0" w:lastRowLastColumn="0"/>
              <w:rPr>
                <w:vertAlign w:val="superscript"/>
              </w:rPr>
            </w:pPr>
            <w:r w:rsidRPr="006120E9">
              <w:rPr>
                <w:b/>
                <w:bCs/>
              </w:rPr>
              <w:t>Drought Resilience Long</w:t>
            </w:r>
            <w:r>
              <w:rPr>
                <w:b/>
                <w:bCs/>
              </w:rPr>
              <w:t>-</w:t>
            </w:r>
            <w:r w:rsidRPr="006120E9">
              <w:rPr>
                <w:b/>
                <w:bCs/>
              </w:rPr>
              <w:t>Term Trials</w:t>
            </w:r>
            <w:r w:rsidRPr="00DE1C29">
              <w:t xml:space="preserve"> – </w:t>
            </w:r>
            <w:r>
              <w:t xml:space="preserve">long-term grants </w:t>
            </w:r>
            <w:r w:rsidRPr="00DE1C29">
              <w:rPr>
                <w:rFonts w:ascii="Arial (Body)" w:hAnsi="Arial (Body)"/>
                <w:color w:val="000000"/>
              </w:rPr>
              <w:t>to investigate innovative and transformational cropping, grazing and mixed farming practices.</w:t>
            </w:r>
          </w:p>
        </w:tc>
        <w:tc>
          <w:tcPr>
            <w:tcW w:w="992" w:type="dxa"/>
            <w:tcBorders>
              <w:top w:val="nil"/>
              <w:bottom w:val="nil"/>
            </w:tcBorders>
          </w:tcPr>
          <w:p w14:paraId="1B69D67E" w14:textId="77777777" w:rsidR="00255BC9" w:rsidRPr="006758E3" w:rsidRDefault="00255BC9" w:rsidP="0030593D">
            <w:pPr>
              <w:keepNext/>
              <w:keepLines/>
              <w:spacing w:before="0" w:after="0" w:line="240" w:lineRule="auto"/>
              <w:ind w:right="6"/>
              <w:jc w:val="right"/>
              <w:cnfStyle w:val="000000000000" w:firstRow="0" w:lastRow="0" w:firstColumn="0" w:lastColumn="0" w:oddVBand="0" w:evenVBand="0" w:oddHBand="0" w:evenHBand="0" w:firstRowFirstColumn="0" w:firstRowLastColumn="0" w:lastRowFirstColumn="0" w:lastRowLastColumn="0"/>
              <w:rPr>
                <w:rFonts w:ascii="Arial (Body)" w:hAnsi="Arial (Body)"/>
                <w:b/>
                <w:bCs/>
                <w:color w:val="000000"/>
                <w:sz w:val="18"/>
              </w:rPr>
            </w:pPr>
            <w:r w:rsidRPr="006758E3">
              <w:rPr>
                <w:rFonts w:ascii="Arial (Body)" w:hAnsi="Arial (Body)"/>
                <w:b/>
                <w:bCs/>
                <w:color w:val="000000"/>
                <w:sz w:val="18"/>
              </w:rPr>
              <w:t>20.0</w:t>
            </w:r>
          </w:p>
        </w:tc>
      </w:tr>
      <w:tr w:rsidR="00255BC9" w:rsidRPr="006758E3" w14:paraId="4E3D01F5"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Merge/>
          </w:tcPr>
          <w:p w14:paraId="78FB2D76" w14:textId="77777777" w:rsidR="00255BC9" w:rsidRPr="006758E3" w:rsidRDefault="00255BC9" w:rsidP="0030593D">
            <w:pPr>
              <w:keepNext/>
              <w:keepLines/>
              <w:spacing w:before="0" w:after="0" w:line="240" w:lineRule="auto"/>
              <w:ind w:left="284"/>
              <w:rPr>
                <w:bCs/>
                <w:sz w:val="18"/>
              </w:rPr>
            </w:pPr>
          </w:p>
        </w:tc>
        <w:tc>
          <w:tcPr>
            <w:tcW w:w="7882" w:type="dxa"/>
            <w:tcBorders>
              <w:top w:val="nil"/>
              <w:bottom w:val="nil"/>
            </w:tcBorders>
          </w:tcPr>
          <w:p w14:paraId="570C060C" w14:textId="77777777" w:rsidR="00255BC9" w:rsidRPr="00C82B54" w:rsidRDefault="00255BC9" w:rsidP="005C5A36">
            <w:pPr>
              <w:keepNext/>
              <w:keepLines/>
              <w:spacing w:before="0" w:after="0" w:line="240" w:lineRule="auto"/>
              <w:ind w:left="57"/>
              <w:cnfStyle w:val="000000100000" w:firstRow="0" w:lastRow="0" w:firstColumn="0" w:lastColumn="0" w:oddVBand="0" w:evenVBand="0" w:oddHBand="1" w:evenHBand="0" w:firstRowFirstColumn="0" w:firstRowLastColumn="0" w:lastRowFirstColumn="0" w:lastRowLastColumn="0"/>
              <w:rPr>
                <w:sz w:val="18"/>
                <w:vertAlign w:val="superscript"/>
              </w:rPr>
            </w:pPr>
            <w:r w:rsidRPr="006120E9">
              <w:rPr>
                <w:b/>
                <w:bCs/>
                <w:sz w:val="18"/>
              </w:rPr>
              <w:t>Drought Resilience Commercialisation Initiative</w:t>
            </w:r>
            <w:r>
              <w:rPr>
                <w:sz w:val="18"/>
              </w:rPr>
              <w:t xml:space="preserve"> – a pilot program that </w:t>
            </w:r>
            <w:r w:rsidRPr="00C82B54">
              <w:rPr>
                <w:sz w:val="18"/>
              </w:rPr>
              <w:t>support</w:t>
            </w:r>
            <w:r>
              <w:rPr>
                <w:sz w:val="18"/>
              </w:rPr>
              <w:t>s</w:t>
            </w:r>
            <w:r w:rsidRPr="00C82B54">
              <w:rPr>
                <w:sz w:val="18"/>
              </w:rPr>
              <w:t xml:space="preserve"> the commercialisation of drought resilient practices and technologies.</w:t>
            </w:r>
          </w:p>
        </w:tc>
        <w:tc>
          <w:tcPr>
            <w:tcW w:w="992" w:type="dxa"/>
            <w:tcBorders>
              <w:top w:val="nil"/>
              <w:bottom w:val="nil"/>
            </w:tcBorders>
          </w:tcPr>
          <w:p w14:paraId="0350CFB5" w14:textId="77777777" w:rsidR="00255BC9" w:rsidRPr="006758E3" w:rsidRDefault="00255BC9" w:rsidP="0030593D">
            <w:pPr>
              <w:keepNext/>
              <w:keepLines/>
              <w:spacing w:before="0" w:after="0" w:line="240" w:lineRule="auto"/>
              <w:ind w:right="6"/>
              <w:jc w:val="right"/>
              <w:cnfStyle w:val="000000100000" w:firstRow="0" w:lastRow="0" w:firstColumn="0" w:lastColumn="0" w:oddVBand="0" w:evenVBand="0" w:oddHBand="1" w:evenHBand="0" w:firstRowFirstColumn="0" w:firstRowLastColumn="0" w:lastRowFirstColumn="0" w:lastRowLastColumn="0"/>
              <w:rPr>
                <w:rFonts w:ascii="Arial (Body)" w:hAnsi="Arial (Body)"/>
                <w:b/>
                <w:bCs/>
                <w:color w:val="000000"/>
                <w:sz w:val="18"/>
              </w:rPr>
            </w:pPr>
            <w:r w:rsidRPr="006758E3">
              <w:rPr>
                <w:rFonts w:ascii="Arial (Body)" w:hAnsi="Arial (Body)"/>
                <w:b/>
                <w:bCs/>
                <w:color w:val="000000"/>
                <w:sz w:val="18"/>
              </w:rPr>
              <w:t>10.0</w:t>
            </w:r>
          </w:p>
        </w:tc>
      </w:tr>
      <w:tr w:rsidR="00255BC9" w:rsidRPr="006758E3" w14:paraId="3F292A44" w14:textId="77777777" w:rsidTr="00893EF5">
        <w:tc>
          <w:tcPr>
            <w:cnfStyle w:val="001000000000" w:firstRow="0" w:lastRow="0" w:firstColumn="1" w:lastColumn="0" w:oddVBand="0" w:evenVBand="0" w:oddHBand="0" w:evenHBand="0" w:firstRowFirstColumn="0" w:firstRowLastColumn="0" w:lastRowFirstColumn="0" w:lastRowLastColumn="0"/>
            <w:tcW w:w="907" w:type="dxa"/>
            <w:vMerge/>
            <w:tcBorders>
              <w:bottom w:val="single" w:sz="4" w:space="0" w:color="B3B3B3"/>
            </w:tcBorders>
          </w:tcPr>
          <w:p w14:paraId="1580FE7B" w14:textId="77777777" w:rsidR="00255BC9" w:rsidRPr="006758E3" w:rsidRDefault="00255BC9" w:rsidP="0030593D">
            <w:pPr>
              <w:keepNext/>
              <w:keepLines/>
              <w:spacing w:before="0" w:after="0" w:line="240" w:lineRule="auto"/>
              <w:ind w:left="284"/>
              <w:rPr>
                <w:bCs/>
                <w:sz w:val="18"/>
              </w:rPr>
            </w:pPr>
          </w:p>
        </w:tc>
        <w:tc>
          <w:tcPr>
            <w:tcW w:w="7882" w:type="dxa"/>
            <w:tcBorders>
              <w:top w:val="nil"/>
              <w:bottom w:val="single" w:sz="4" w:space="0" w:color="B3B3B3"/>
            </w:tcBorders>
          </w:tcPr>
          <w:p w14:paraId="10AF8370" w14:textId="77777777" w:rsidR="00255BC9" w:rsidRPr="00DE1C29" w:rsidRDefault="00255BC9" w:rsidP="005C5A36">
            <w:pPr>
              <w:keepNext/>
              <w:keepLines/>
              <w:spacing w:before="0" w:after="0" w:line="240" w:lineRule="auto"/>
              <w:ind w:left="57"/>
              <w:cnfStyle w:val="000000000000" w:firstRow="0" w:lastRow="0" w:firstColumn="0" w:lastColumn="0" w:oddVBand="0" w:evenVBand="0" w:oddHBand="0" w:evenHBand="0" w:firstRowFirstColumn="0" w:firstRowLastColumn="0" w:lastRowFirstColumn="0" w:lastRowLastColumn="0"/>
              <w:rPr>
                <w:sz w:val="18"/>
              </w:rPr>
            </w:pPr>
            <w:r w:rsidRPr="006120E9">
              <w:rPr>
                <w:b/>
                <w:bCs/>
                <w:sz w:val="18"/>
              </w:rPr>
              <w:t>Drought Resilience Scholarships</w:t>
            </w:r>
            <w:r w:rsidRPr="00DE1C29">
              <w:rPr>
                <w:sz w:val="18"/>
              </w:rPr>
              <w:t xml:space="preserve"> –</w:t>
            </w:r>
            <w:r>
              <w:rPr>
                <w:sz w:val="18"/>
              </w:rPr>
              <w:t xml:space="preserve"> scholarships for farmers to increase knowledge of tools and practices in the context of climate change.</w:t>
            </w:r>
          </w:p>
        </w:tc>
        <w:tc>
          <w:tcPr>
            <w:tcW w:w="992" w:type="dxa"/>
            <w:tcBorders>
              <w:top w:val="nil"/>
              <w:bottom w:val="single" w:sz="4" w:space="0" w:color="B3B3B3"/>
            </w:tcBorders>
          </w:tcPr>
          <w:p w14:paraId="38520F7E" w14:textId="77777777" w:rsidR="00255BC9" w:rsidRPr="006758E3" w:rsidRDefault="00255BC9" w:rsidP="0030593D">
            <w:pPr>
              <w:keepNext/>
              <w:keepLines/>
              <w:spacing w:before="0" w:after="0" w:line="240" w:lineRule="auto"/>
              <w:ind w:right="6"/>
              <w:jc w:val="right"/>
              <w:cnfStyle w:val="000000000000" w:firstRow="0" w:lastRow="0" w:firstColumn="0" w:lastColumn="0" w:oddVBand="0" w:evenVBand="0" w:oddHBand="0" w:evenHBand="0" w:firstRowFirstColumn="0" w:firstRowLastColumn="0" w:lastRowFirstColumn="0" w:lastRowLastColumn="0"/>
              <w:rPr>
                <w:rFonts w:ascii="Arial (Body)" w:hAnsi="Arial (Body)"/>
                <w:b/>
                <w:bCs/>
                <w:color w:val="000000"/>
                <w:sz w:val="18"/>
              </w:rPr>
            </w:pPr>
            <w:r w:rsidRPr="006758E3">
              <w:rPr>
                <w:rFonts w:ascii="Arial (Body)" w:hAnsi="Arial (Body)"/>
                <w:b/>
                <w:bCs/>
                <w:color w:val="000000"/>
                <w:sz w:val="18"/>
              </w:rPr>
              <w:t>1.6</w:t>
            </w:r>
          </w:p>
        </w:tc>
      </w:tr>
      <w:tr w:rsidR="00255BC9" w:rsidRPr="006758E3" w14:paraId="1C63BC79" w14:textId="77777777" w:rsidTr="00893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Merge w:val="restart"/>
            <w:tcBorders>
              <w:top w:val="single" w:sz="4" w:space="0" w:color="B3B3B3"/>
            </w:tcBorders>
            <w:textDirection w:val="btLr"/>
            <w:vAlign w:val="center"/>
          </w:tcPr>
          <w:p w14:paraId="29475636" w14:textId="77777777" w:rsidR="00255BC9" w:rsidRPr="006758E3" w:rsidRDefault="00255BC9" w:rsidP="0030593D">
            <w:pPr>
              <w:keepNext/>
              <w:keepLines/>
              <w:spacing w:before="0" w:after="0" w:line="240" w:lineRule="auto"/>
              <w:ind w:left="284" w:right="113"/>
              <w:jc w:val="center"/>
              <w:rPr>
                <w:sz w:val="18"/>
              </w:rPr>
            </w:pPr>
            <w:r>
              <w:rPr>
                <w:sz w:val="18"/>
              </w:rPr>
              <w:t>Better Prepared Communities</w:t>
            </w:r>
          </w:p>
        </w:tc>
        <w:tc>
          <w:tcPr>
            <w:tcW w:w="7882" w:type="dxa"/>
            <w:tcBorders>
              <w:top w:val="single" w:sz="4" w:space="0" w:color="B3B3B3"/>
              <w:bottom w:val="nil"/>
            </w:tcBorders>
          </w:tcPr>
          <w:p w14:paraId="30C3117C" w14:textId="77777777" w:rsidR="00255BC9" w:rsidRPr="00DE1C29" w:rsidRDefault="00255BC9" w:rsidP="005C5A36">
            <w:pPr>
              <w:keepNext/>
              <w:keepLines/>
              <w:spacing w:before="0" w:after="0" w:line="240" w:lineRule="auto"/>
              <w:ind w:left="57"/>
              <w:cnfStyle w:val="000000100000" w:firstRow="0" w:lastRow="0" w:firstColumn="0" w:lastColumn="0" w:oddVBand="0" w:evenVBand="0" w:oddHBand="1" w:evenHBand="0" w:firstRowFirstColumn="0" w:firstRowLastColumn="0" w:lastRowFirstColumn="0" w:lastRowLastColumn="0"/>
              <w:rPr>
                <w:sz w:val="18"/>
              </w:rPr>
            </w:pPr>
            <w:r w:rsidRPr="006120E9">
              <w:rPr>
                <w:b/>
                <w:bCs/>
                <w:sz w:val="18"/>
              </w:rPr>
              <w:t>Drought Resilience Leaders</w:t>
            </w:r>
            <w:r w:rsidRPr="00B508E3">
              <w:rPr>
                <w:b/>
                <w:bCs/>
                <w:position w:val="4"/>
                <w:sz w:val="18"/>
                <w:vertAlign w:val="superscript"/>
              </w:rPr>
              <w:t>a</w:t>
            </w:r>
            <w:r w:rsidRPr="00DE1C29">
              <w:rPr>
                <w:sz w:val="18"/>
              </w:rPr>
              <w:t xml:space="preserve"> </w:t>
            </w:r>
            <w:r>
              <w:rPr>
                <w:sz w:val="18"/>
              </w:rPr>
              <w:t>–</w:t>
            </w:r>
            <w:r w:rsidRPr="00DE1C29">
              <w:rPr>
                <w:sz w:val="18"/>
              </w:rPr>
              <w:t xml:space="preserve"> </w:t>
            </w:r>
            <w:r w:rsidRPr="00C729B4">
              <w:rPr>
                <w:sz w:val="18"/>
              </w:rPr>
              <w:t>provides leadership development, community extension grants and mentoring opportunities for agricultural communities.</w:t>
            </w:r>
          </w:p>
        </w:tc>
        <w:tc>
          <w:tcPr>
            <w:tcW w:w="992" w:type="dxa"/>
            <w:tcBorders>
              <w:top w:val="single" w:sz="4" w:space="0" w:color="B3B3B3"/>
              <w:bottom w:val="nil"/>
            </w:tcBorders>
          </w:tcPr>
          <w:p w14:paraId="4682A0E8" w14:textId="77777777" w:rsidR="00255BC9" w:rsidRPr="006758E3" w:rsidRDefault="00255BC9" w:rsidP="0030593D">
            <w:pPr>
              <w:keepNext/>
              <w:keepLines/>
              <w:spacing w:before="0" w:after="0" w:line="240" w:lineRule="auto"/>
              <w:ind w:right="6"/>
              <w:jc w:val="right"/>
              <w:cnfStyle w:val="000000100000" w:firstRow="0" w:lastRow="0" w:firstColumn="0" w:lastColumn="0" w:oddVBand="0" w:evenVBand="0" w:oddHBand="1" w:evenHBand="0" w:firstRowFirstColumn="0" w:firstRowLastColumn="0" w:lastRowFirstColumn="0" w:lastRowLastColumn="0"/>
              <w:rPr>
                <w:rFonts w:ascii="Arial (Body)" w:hAnsi="Arial (Body)"/>
                <w:b/>
                <w:color w:val="000000"/>
                <w:sz w:val="18"/>
              </w:rPr>
            </w:pPr>
            <w:r w:rsidRPr="006758E3">
              <w:rPr>
                <w:rFonts w:ascii="Arial (Body)" w:hAnsi="Arial (Body)"/>
                <w:b/>
                <w:color w:val="000000"/>
                <w:sz w:val="18"/>
              </w:rPr>
              <w:t>7.4</w:t>
            </w:r>
          </w:p>
        </w:tc>
      </w:tr>
      <w:tr w:rsidR="00255BC9" w:rsidRPr="006758E3" w14:paraId="18CE7CE4" w14:textId="77777777" w:rsidTr="004951D4">
        <w:tc>
          <w:tcPr>
            <w:cnfStyle w:val="001000000000" w:firstRow="0" w:lastRow="0" w:firstColumn="1" w:lastColumn="0" w:oddVBand="0" w:evenVBand="0" w:oddHBand="0" w:evenHBand="0" w:firstRowFirstColumn="0" w:firstRowLastColumn="0" w:lastRowFirstColumn="0" w:lastRowLastColumn="0"/>
            <w:tcW w:w="907" w:type="dxa"/>
            <w:vMerge/>
          </w:tcPr>
          <w:p w14:paraId="39423FC8" w14:textId="77777777" w:rsidR="00255BC9" w:rsidRPr="006758E3" w:rsidRDefault="00255BC9" w:rsidP="0030593D">
            <w:pPr>
              <w:keepNext/>
              <w:keepLines/>
              <w:spacing w:before="0" w:after="0" w:line="240" w:lineRule="auto"/>
              <w:ind w:left="284"/>
              <w:rPr>
                <w:sz w:val="18"/>
              </w:rPr>
            </w:pPr>
          </w:p>
        </w:tc>
        <w:tc>
          <w:tcPr>
            <w:tcW w:w="7882" w:type="dxa"/>
            <w:tcBorders>
              <w:top w:val="nil"/>
              <w:bottom w:val="nil"/>
            </w:tcBorders>
          </w:tcPr>
          <w:p w14:paraId="3D959C9F" w14:textId="77777777" w:rsidR="00255BC9" w:rsidRPr="00DE1C29" w:rsidRDefault="00255BC9" w:rsidP="005C5A36">
            <w:pPr>
              <w:keepNext/>
              <w:keepLines/>
              <w:spacing w:before="0" w:after="0" w:line="240" w:lineRule="auto"/>
              <w:ind w:left="57"/>
              <w:cnfStyle w:val="000000000000" w:firstRow="0" w:lastRow="0" w:firstColumn="0" w:lastColumn="0" w:oddVBand="0" w:evenVBand="0" w:oddHBand="0" w:evenHBand="0" w:firstRowFirstColumn="0" w:firstRowLastColumn="0" w:lastRowFirstColumn="0" w:lastRowLastColumn="0"/>
              <w:rPr>
                <w:sz w:val="18"/>
              </w:rPr>
            </w:pPr>
            <w:r w:rsidRPr="006120E9">
              <w:rPr>
                <w:b/>
                <w:bCs/>
                <w:sz w:val="18"/>
              </w:rPr>
              <w:t>Networks to Build Drought Resilience</w:t>
            </w:r>
            <w:r w:rsidRPr="00FD2E69">
              <w:rPr>
                <w:b/>
                <w:bCs/>
                <w:position w:val="4"/>
                <w:sz w:val="18"/>
                <w:vertAlign w:val="superscript"/>
              </w:rPr>
              <w:t>a</w:t>
            </w:r>
            <w:r w:rsidRPr="00DE1C29">
              <w:rPr>
                <w:sz w:val="18"/>
              </w:rPr>
              <w:t xml:space="preserve"> – </w:t>
            </w:r>
            <w:r>
              <w:rPr>
                <w:sz w:val="18"/>
              </w:rPr>
              <w:t xml:space="preserve">funding to support </w:t>
            </w:r>
            <w:r w:rsidRPr="00DE1C29">
              <w:rPr>
                <w:sz w:val="18"/>
              </w:rPr>
              <w:t>connectedness and collaboration in agricultural communities by providing small-scale grants for activities such as professional, social and community events, training for network members, and investment in infrastructure.</w:t>
            </w:r>
          </w:p>
        </w:tc>
        <w:tc>
          <w:tcPr>
            <w:tcW w:w="992" w:type="dxa"/>
            <w:tcBorders>
              <w:top w:val="nil"/>
              <w:bottom w:val="nil"/>
            </w:tcBorders>
          </w:tcPr>
          <w:p w14:paraId="2FA645BF" w14:textId="77777777" w:rsidR="00255BC9" w:rsidRPr="006758E3" w:rsidRDefault="00255BC9" w:rsidP="0030593D">
            <w:pPr>
              <w:keepNext/>
              <w:keepLines/>
              <w:spacing w:before="0" w:after="0" w:line="240" w:lineRule="auto"/>
              <w:ind w:right="6"/>
              <w:jc w:val="right"/>
              <w:cnfStyle w:val="000000000000" w:firstRow="0" w:lastRow="0" w:firstColumn="0" w:lastColumn="0" w:oddVBand="0" w:evenVBand="0" w:oddHBand="0" w:evenHBand="0" w:firstRowFirstColumn="0" w:firstRowLastColumn="0" w:lastRowFirstColumn="0" w:lastRowLastColumn="0"/>
              <w:rPr>
                <w:rFonts w:ascii="Arial (Body)" w:hAnsi="Arial (Body)"/>
                <w:b/>
                <w:color w:val="000000"/>
                <w:sz w:val="18"/>
              </w:rPr>
            </w:pPr>
            <w:r w:rsidRPr="006758E3">
              <w:rPr>
                <w:rFonts w:ascii="Arial (Body)" w:hAnsi="Arial (Body)"/>
                <w:b/>
                <w:color w:val="000000"/>
                <w:sz w:val="18"/>
              </w:rPr>
              <w:t>3.</w:t>
            </w:r>
            <w:r>
              <w:rPr>
                <w:rFonts w:ascii="Arial (Body)" w:hAnsi="Arial (Body)"/>
                <w:b/>
                <w:color w:val="000000"/>
                <w:sz w:val="18"/>
              </w:rPr>
              <w:t>8</w:t>
            </w:r>
          </w:p>
        </w:tc>
      </w:tr>
      <w:tr w:rsidR="00255BC9" w:rsidRPr="006758E3" w14:paraId="32FABE5F" w14:textId="77777777" w:rsidTr="00893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Merge/>
            <w:tcBorders>
              <w:bottom w:val="nil"/>
            </w:tcBorders>
          </w:tcPr>
          <w:p w14:paraId="4499FBC3" w14:textId="77777777" w:rsidR="00255BC9" w:rsidRPr="006758E3" w:rsidRDefault="00255BC9" w:rsidP="0030593D">
            <w:pPr>
              <w:keepNext/>
              <w:keepLines/>
              <w:spacing w:before="0" w:after="0" w:line="240" w:lineRule="auto"/>
              <w:ind w:left="284"/>
              <w:rPr>
                <w:sz w:val="18"/>
              </w:rPr>
            </w:pPr>
          </w:p>
        </w:tc>
        <w:tc>
          <w:tcPr>
            <w:tcW w:w="7882" w:type="dxa"/>
            <w:tcBorders>
              <w:top w:val="nil"/>
              <w:bottom w:val="nil"/>
            </w:tcBorders>
          </w:tcPr>
          <w:p w14:paraId="625C45E0" w14:textId="5ACD173C" w:rsidR="00255BC9" w:rsidRPr="00DE1C29" w:rsidRDefault="00255BC9" w:rsidP="005C5A36">
            <w:pPr>
              <w:keepNext/>
              <w:keepLines/>
              <w:spacing w:before="0" w:after="0" w:line="240" w:lineRule="auto"/>
              <w:ind w:left="57"/>
              <w:cnfStyle w:val="000000100000" w:firstRow="0" w:lastRow="0" w:firstColumn="0" w:lastColumn="0" w:oddVBand="0" w:evenVBand="0" w:oddHBand="1" w:evenHBand="0" w:firstRowFirstColumn="0" w:firstRowLastColumn="0" w:lastRowFirstColumn="0" w:lastRowLastColumn="0"/>
              <w:rPr>
                <w:sz w:val="18"/>
              </w:rPr>
            </w:pPr>
            <w:r w:rsidRPr="006120E9">
              <w:rPr>
                <w:b/>
                <w:bCs/>
                <w:sz w:val="18"/>
              </w:rPr>
              <w:t>Helping Regional Communities Prepare for Drought Initiative</w:t>
            </w:r>
            <w:r w:rsidRPr="00FD2E69">
              <w:rPr>
                <w:b/>
                <w:bCs/>
                <w:position w:val="4"/>
                <w:sz w:val="18"/>
                <w:vertAlign w:val="superscript"/>
              </w:rPr>
              <w:t>c</w:t>
            </w:r>
            <w:r w:rsidRPr="00DE1C29">
              <w:rPr>
                <w:sz w:val="18"/>
              </w:rPr>
              <w:t xml:space="preserve"> – </w:t>
            </w:r>
            <w:r>
              <w:rPr>
                <w:rFonts w:ascii="Arial (Body)" w:hAnsi="Arial (Body)"/>
                <w:color w:val="000000"/>
                <w:sz w:val="18"/>
              </w:rPr>
              <w:t>grant program: to support</w:t>
            </w:r>
            <w:r w:rsidRPr="00DE1C29">
              <w:rPr>
                <w:rFonts w:ascii="Arial (Body)" w:hAnsi="Arial (Body)"/>
                <w:color w:val="000000"/>
                <w:sz w:val="18"/>
              </w:rPr>
              <w:t xml:space="preserve"> community organisations to strengthen community networks, capabilities and facilities</w:t>
            </w:r>
            <w:r>
              <w:rPr>
                <w:rFonts w:ascii="Arial (Body)" w:hAnsi="Arial (Body)"/>
                <w:color w:val="000000"/>
                <w:sz w:val="18"/>
              </w:rPr>
              <w:t>;</w:t>
            </w:r>
            <w:r w:rsidRPr="00DE1C29">
              <w:rPr>
                <w:rFonts w:ascii="Arial (Body)" w:hAnsi="Arial (Body)"/>
                <w:color w:val="000000"/>
                <w:sz w:val="18"/>
              </w:rPr>
              <w:t xml:space="preserve"> to improve their leadership skills</w:t>
            </w:r>
            <w:r>
              <w:rPr>
                <w:rFonts w:ascii="Arial (Body)" w:hAnsi="Arial (Body)"/>
                <w:color w:val="000000"/>
                <w:sz w:val="18"/>
              </w:rPr>
              <w:t>;</w:t>
            </w:r>
            <w:r w:rsidRPr="00DE1C29">
              <w:rPr>
                <w:rFonts w:ascii="Arial (Body)" w:hAnsi="Arial (Body)"/>
                <w:color w:val="000000"/>
                <w:sz w:val="18"/>
              </w:rPr>
              <w:t xml:space="preserve"> and </w:t>
            </w:r>
            <w:r>
              <w:rPr>
                <w:rFonts w:ascii="Arial (Body)" w:hAnsi="Arial (Body)"/>
                <w:color w:val="000000"/>
                <w:sz w:val="18"/>
              </w:rPr>
              <w:t xml:space="preserve">to support </w:t>
            </w:r>
            <w:r w:rsidRPr="00DE1C29">
              <w:rPr>
                <w:rFonts w:ascii="Arial (Body)" w:hAnsi="Arial (Body)"/>
                <w:color w:val="000000"/>
                <w:sz w:val="18"/>
              </w:rPr>
              <w:t xml:space="preserve">individuals and organisations to be connected and support each other </w:t>
            </w:r>
            <w:r>
              <w:rPr>
                <w:rFonts w:ascii="Arial (Body)" w:hAnsi="Arial (Body)"/>
                <w:color w:val="000000"/>
                <w:sz w:val="18"/>
              </w:rPr>
              <w:t>to build</w:t>
            </w:r>
            <w:r w:rsidRPr="00DE1C29">
              <w:rPr>
                <w:rFonts w:ascii="Arial (Body)" w:hAnsi="Arial (Body)"/>
                <w:color w:val="000000"/>
                <w:sz w:val="18"/>
              </w:rPr>
              <w:t xml:space="preserve"> drought resilience.</w:t>
            </w:r>
            <w:r>
              <w:rPr>
                <w:rFonts w:ascii="Arial (Body)" w:hAnsi="Arial (Body)"/>
                <w:color w:val="000000"/>
                <w:sz w:val="18"/>
              </w:rPr>
              <w:t xml:space="preserve"> Extension of Drought Resilience Leaders and Networks to Build Drought Resilience programs.</w:t>
            </w:r>
          </w:p>
        </w:tc>
        <w:tc>
          <w:tcPr>
            <w:tcW w:w="992" w:type="dxa"/>
            <w:tcBorders>
              <w:top w:val="nil"/>
              <w:bottom w:val="nil"/>
            </w:tcBorders>
          </w:tcPr>
          <w:p w14:paraId="08F17AA5" w14:textId="77777777" w:rsidR="00255BC9" w:rsidRPr="006758E3" w:rsidRDefault="00255BC9" w:rsidP="0030593D">
            <w:pPr>
              <w:keepNext/>
              <w:keepLines/>
              <w:spacing w:before="0" w:after="0" w:line="240" w:lineRule="auto"/>
              <w:ind w:right="6"/>
              <w:jc w:val="right"/>
              <w:cnfStyle w:val="000000100000" w:firstRow="0" w:lastRow="0" w:firstColumn="0" w:lastColumn="0" w:oddVBand="0" w:evenVBand="0" w:oddHBand="1" w:evenHBand="0" w:firstRowFirstColumn="0" w:firstRowLastColumn="0" w:lastRowFirstColumn="0" w:lastRowLastColumn="0"/>
              <w:rPr>
                <w:rFonts w:ascii="Arial (Body)" w:hAnsi="Arial (Body)"/>
                <w:b/>
                <w:color w:val="000000"/>
                <w:sz w:val="18"/>
              </w:rPr>
            </w:pPr>
            <w:r w:rsidRPr="006758E3">
              <w:rPr>
                <w:rFonts w:ascii="Arial (Body)" w:hAnsi="Arial (Body)"/>
                <w:b/>
                <w:color w:val="000000"/>
                <w:sz w:val="18"/>
              </w:rPr>
              <w:t>29.6</w:t>
            </w:r>
          </w:p>
        </w:tc>
      </w:tr>
      <w:tr w:rsidR="00255BC9" w:rsidRPr="00CC46C2" w14:paraId="7022DAE2" w14:textId="77777777" w:rsidTr="00893EF5">
        <w:tc>
          <w:tcPr>
            <w:cnfStyle w:val="001000000000" w:firstRow="0" w:lastRow="0" w:firstColumn="1" w:lastColumn="0" w:oddVBand="0" w:evenVBand="0" w:oddHBand="0" w:evenHBand="0" w:firstRowFirstColumn="0" w:firstRowLastColumn="0" w:lastRowFirstColumn="0" w:lastRowLastColumn="0"/>
            <w:tcW w:w="907" w:type="dxa"/>
            <w:tcBorders>
              <w:top w:val="nil"/>
            </w:tcBorders>
          </w:tcPr>
          <w:p w14:paraId="5865FF5A" w14:textId="77777777" w:rsidR="00255BC9" w:rsidRPr="00613AD8" w:rsidRDefault="00255BC9" w:rsidP="0030593D">
            <w:pPr>
              <w:keepNext/>
              <w:keepLines/>
              <w:spacing w:before="0" w:after="0" w:line="240" w:lineRule="auto"/>
              <w:ind w:left="57"/>
              <w:rPr>
                <w:bCs/>
                <w:sz w:val="18"/>
              </w:rPr>
            </w:pPr>
            <w:r>
              <w:rPr>
                <w:bCs/>
                <w:sz w:val="18"/>
              </w:rPr>
              <w:t>Total</w:t>
            </w:r>
          </w:p>
        </w:tc>
        <w:tc>
          <w:tcPr>
            <w:tcW w:w="7882" w:type="dxa"/>
            <w:tcBorders>
              <w:top w:val="nil"/>
            </w:tcBorders>
          </w:tcPr>
          <w:p w14:paraId="5C020C6A" w14:textId="77777777" w:rsidR="00255BC9" w:rsidRPr="00613AD8" w:rsidRDefault="00255BC9" w:rsidP="005C5A36">
            <w:pPr>
              <w:keepNext/>
              <w:keepLines/>
              <w:spacing w:before="0" w:after="0" w:line="240" w:lineRule="auto"/>
              <w:ind w:left="57"/>
              <w:cnfStyle w:val="000000000000" w:firstRow="0" w:lastRow="0" w:firstColumn="0" w:lastColumn="0" w:oddVBand="0" w:evenVBand="0" w:oddHBand="0" w:evenHBand="0" w:firstRowFirstColumn="0" w:firstRowLastColumn="0" w:lastRowFirstColumn="0" w:lastRowLastColumn="0"/>
              <w:rPr>
                <w:b/>
                <w:bCs/>
                <w:sz w:val="18"/>
              </w:rPr>
            </w:pPr>
          </w:p>
        </w:tc>
        <w:tc>
          <w:tcPr>
            <w:tcW w:w="992" w:type="dxa"/>
            <w:tcBorders>
              <w:top w:val="nil"/>
            </w:tcBorders>
          </w:tcPr>
          <w:p w14:paraId="55A32DDA" w14:textId="77777777" w:rsidR="00255BC9" w:rsidRPr="00DF5A42" w:rsidRDefault="00255BC9" w:rsidP="0030593D">
            <w:pPr>
              <w:keepNext/>
              <w:keepLines/>
              <w:spacing w:before="0" w:after="0" w:line="240" w:lineRule="auto"/>
              <w:ind w:right="6"/>
              <w:jc w:val="right"/>
              <w:cnfStyle w:val="000000000000" w:firstRow="0" w:lastRow="0" w:firstColumn="0" w:lastColumn="0" w:oddVBand="0" w:evenVBand="0" w:oddHBand="0" w:evenHBand="0" w:firstRowFirstColumn="0" w:firstRowLastColumn="0" w:lastRowFirstColumn="0" w:lastRowLastColumn="0"/>
              <w:rPr>
                <w:rFonts w:ascii="Arial (Body)" w:hAnsi="Arial (Body)"/>
                <w:b/>
                <w:bCs/>
                <w:color w:val="000000"/>
                <w:sz w:val="18"/>
              </w:rPr>
            </w:pPr>
            <w:r w:rsidRPr="00DF5A42">
              <w:rPr>
                <w:rFonts w:ascii="Arial (Body)" w:hAnsi="Arial (Body)"/>
                <w:b/>
                <w:bCs/>
                <w:color w:val="000000"/>
                <w:sz w:val="18"/>
              </w:rPr>
              <w:t>400.0</w:t>
            </w:r>
          </w:p>
        </w:tc>
      </w:tr>
    </w:tbl>
    <w:p w14:paraId="04341661" w14:textId="46DCE8E1" w:rsidR="00255BC9" w:rsidRDefault="00255BC9" w:rsidP="0030593D">
      <w:pPr>
        <w:pStyle w:val="Note"/>
        <w:keepNext/>
        <w:keepLines/>
      </w:pPr>
      <w:r w:rsidRPr="00C36914">
        <w:rPr>
          <w:b/>
          <w:bCs/>
        </w:rPr>
        <w:t>a.</w:t>
      </w:r>
      <w:r w:rsidRPr="00C36914">
        <w:t xml:space="preserve"> </w:t>
      </w:r>
      <w:r>
        <w:t xml:space="preserve">Funding ended by 30 June 2022. </w:t>
      </w:r>
      <w:r>
        <w:rPr>
          <w:b/>
          <w:bCs/>
        </w:rPr>
        <w:t>b</w:t>
      </w:r>
      <w:r w:rsidRPr="00C36914">
        <w:rPr>
          <w:b/>
          <w:bCs/>
        </w:rPr>
        <w:t>.</w:t>
      </w:r>
      <w:r w:rsidRPr="00C36914">
        <w:t xml:space="preserve"> </w:t>
      </w:r>
      <w:r>
        <w:t xml:space="preserve">Commenced after the two Natural Resource Management grant programs. </w:t>
      </w:r>
      <w:r>
        <w:rPr>
          <w:b/>
          <w:bCs/>
        </w:rPr>
        <w:t>c</w:t>
      </w:r>
      <w:r w:rsidRPr="00C36914">
        <w:rPr>
          <w:b/>
          <w:bCs/>
        </w:rPr>
        <w:t>.</w:t>
      </w:r>
      <w:r w:rsidR="00FD2E69">
        <w:t> </w:t>
      </w:r>
      <w:r>
        <w:t xml:space="preserve">Commenced after the Drought Resilience Leaders program and Networks to Build Drought Resilience program. </w:t>
      </w:r>
    </w:p>
    <w:p w14:paraId="27387143" w14:textId="08B245B1" w:rsidR="00255BC9" w:rsidRDefault="00255BC9" w:rsidP="0030593D">
      <w:pPr>
        <w:pStyle w:val="BodyText"/>
        <w:keepNext/>
        <w:keepLines/>
      </w:pPr>
      <w:r>
        <w:lastRenderedPageBreak/>
        <w:t>The Funding Plan also recognises that building drought resilience may require farmers and communities to make incremental, transitional and transformational changes.</w:t>
      </w:r>
    </w:p>
    <w:p w14:paraId="3B5DDD8C" w14:textId="58132AB3" w:rsidR="00255BC9" w:rsidRDefault="00255BC9" w:rsidP="0030593D">
      <w:pPr>
        <w:pStyle w:val="ListBullet"/>
        <w:keepNext/>
        <w:keepLines/>
      </w:pPr>
      <w:r>
        <w:rPr>
          <w:b/>
          <w:bCs/>
        </w:rPr>
        <w:t>Incremental change:</w:t>
      </w:r>
      <w:r>
        <w:t xml:space="preserve"> t</w:t>
      </w:r>
      <w:r w:rsidRPr="00716D89">
        <w:t>he ability to preserve or restore a system (including its basic structures and functions) by preventing, preparing for or mitigating the impacts of an event</w:t>
      </w:r>
      <w:r>
        <w:t xml:space="preserve"> or </w:t>
      </w:r>
      <w:r w:rsidRPr="00716D89">
        <w:t>risk. The key objective is to maintain the system in its current state.</w:t>
      </w:r>
      <w:r>
        <w:t xml:space="preserve"> </w:t>
      </w:r>
      <w:r w:rsidRPr="0098597F">
        <w:t xml:space="preserve">For agricultural systems, </w:t>
      </w:r>
      <w:r>
        <w:t xml:space="preserve">incremental change </w:t>
      </w:r>
      <w:r w:rsidRPr="0098597F">
        <w:t xml:space="preserve">could mean taking actions that </w:t>
      </w:r>
      <w:r>
        <w:t>maintain</w:t>
      </w:r>
      <w:r w:rsidRPr="0098597F">
        <w:t xml:space="preserve"> the current methods of production by farm businesses in a region, such as diversifying income with off</w:t>
      </w:r>
      <w:r>
        <w:t>-</w:t>
      </w:r>
      <w:r w:rsidRPr="0098597F">
        <w:t>farm employment or using farm management deposits to make tax deductible deposits during good periods and withdraw them during bad periods.</w:t>
      </w:r>
    </w:p>
    <w:p w14:paraId="1B092545" w14:textId="77777777" w:rsidR="00255BC9" w:rsidRPr="0068182A" w:rsidRDefault="00255BC9" w:rsidP="0030593D">
      <w:pPr>
        <w:pStyle w:val="ListBullet"/>
        <w:keepNext/>
        <w:keepLines/>
        <w:rPr>
          <w:b/>
        </w:rPr>
      </w:pPr>
      <w:r>
        <w:rPr>
          <w:b/>
        </w:rPr>
        <w:t>Transitional change</w:t>
      </w:r>
      <w:r w:rsidRPr="0068182A">
        <w:rPr>
          <w:b/>
        </w:rPr>
        <w:t>:</w:t>
      </w:r>
      <w:r w:rsidRPr="00D41250">
        <w:t xml:space="preserve"> </w:t>
      </w:r>
      <w:r>
        <w:t>t</w:t>
      </w:r>
      <w:r w:rsidRPr="0068182A">
        <w:t xml:space="preserve">he ability to maintain the essential functions and structures of a system by modifying or changing some of its characteristics in response to future adverse events or risks. Unlike </w:t>
      </w:r>
      <w:r>
        <w:t>incremental change</w:t>
      </w:r>
      <w:r w:rsidRPr="0068182A">
        <w:t xml:space="preserve">, </w:t>
      </w:r>
      <w:r>
        <w:t>transitional change alters</w:t>
      </w:r>
      <w:r w:rsidRPr="0068182A">
        <w:t xml:space="preserve"> aspects of a system to maintain its core functions. </w:t>
      </w:r>
      <w:r w:rsidRPr="007A3C7D">
        <w:t xml:space="preserve">For agricultural systems, </w:t>
      </w:r>
      <w:r>
        <w:t>transitional change</w:t>
      </w:r>
      <w:r w:rsidRPr="007A3C7D">
        <w:t xml:space="preserve"> could mean changing aspects of a production system (such as seed varieties or agronomic practices) to continue the production of certain commodities in a region.</w:t>
      </w:r>
    </w:p>
    <w:p w14:paraId="48E780A3" w14:textId="6B8F7465" w:rsidR="00255BC9" w:rsidRPr="00EB0E33" w:rsidRDefault="00255BC9">
      <w:pPr>
        <w:pStyle w:val="ListBullet"/>
        <w:rPr>
          <w:b/>
        </w:rPr>
      </w:pPr>
      <w:r>
        <w:rPr>
          <w:b/>
        </w:rPr>
        <w:t>Transformational change</w:t>
      </w:r>
      <w:r w:rsidRPr="0068182A">
        <w:rPr>
          <w:b/>
        </w:rPr>
        <w:t>:</w:t>
      </w:r>
      <w:r w:rsidRPr="0068182A">
        <w:t xml:space="preserve"> </w:t>
      </w:r>
      <w:r>
        <w:t>t</w:t>
      </w:r>
      <w:r w:rsidRPr="00FB2E02">
        <w:t>he ability to undertake wholescale change of a system when adverse events or risks make the current system untenable. Transformati</w:t>
      </w:r>
      <w:r>
        <w:t xml:space="preserve">onal change </w:t>
      </w:r>
      <w:r w:rsidRPr="00FB2E02">
        <w:t xml:space="preserve">does not seek to maintain current systems in any way but rather looks to establish new systems more appropriate to the changed risk landscape. </w:t>
      </w:r>
      <w:r w:rsidRPr="00D12886">
        <w:t xml:space="preserve">For agricultural systems, transformation could involve farms in a region shifting out of certain production systems such as particular grains or </w:t>
      </w:r>
      <w:proofErr w:type="gramStart"/>
      <w:r w:rsidRPr="00D12886">
        <w:t>oilseeds, or</w:t>
      </w:r>
      <w:proofErr w:type="gramEnd"/>
      <w:r w:rsidRPr="00D12886">
        <w:t xml:space="preserve"> adopting new production systems such as grazing or carbon farming.</w:t>
      </w:r>
    </w:p>
    <w:p w14:paraId="743ECC5F" w14:textId="77777777" w:rsidR="00255BC9" w:rsidRDefault="00255BC9">
      <w:pPr>
        <w:pStyle w:val="Heading3"/>
      </w:pPr>
      <w:r>
        <w:t>Why is a Future Drought Fund needed to build drought resilience?</w:t>
      </w:r>
    </w:p>
    <w:p w14:paraId="28334C94" w14:textId="77777777" w:rsidR="00255BC9" w:rsidRDefault="00255BC9">
      <w:pPr>
        <w:pStyle w:val="Heading4"/>
      </w:pPr>
      <w:r>
        <w:t>Farmers may underinvest in drought resilience</w:t>
      </w:r>
    </w:p>
    <w:p w14:paraId="530D8B2D" w14:textId="77777777" w:rsidR="00255BC9" w:rsidRDefault="00255BC9">
      <w:pPr>
        <w:pStyle w:val="BodyText"/>
      </w:pPr>
      <w:r>
        <w:t xml:space="preserve">The Fund aims to is to ‘enhance the public good by building drought resilience in Australia’s agricultural sector, the agricultural landscape and </w:t>
      </w:r>
      <w:proofErr w:type="gramStart"/>
      <w:r>
        <w:t>communities’</w:t>
      </w:r>
      <w:proofErr w:type="gramEnd"/>
      <w:r>
        <w:t xml:space="preserve">. There is a role for government to support farmers and communities build drought resilience where it addresses genuine risks of underinvestment and makes the community better off. The strongest case for taxpayer support for drought resilience arises when it provides additional public benefits such as economic and social stability or environmental protection. </w:t>
      </w:r>
    </w:p>
    <w:p w14:paraId="49A12D24" w14:textId="348767C9" w:rsidR="00255BC9" w:rsidRPr="00FD2E69" w:rsidRDefault="00255BC9">
      <w:pPr>
        <w:pStyle w:val="BodyText"/>
        <w:rPr>
          <w:spacing w:val="-2"/>
        </w:rPr>
      </w:pPr>
      <w:r w:rsidRPr="00FD2E69">
        <w:rPr>
          <w:spacing w:val="-2"/>
        </w:rPr>
        <w:t xml:space="preserve">Farmers and communities may underinvest in building drought resilience because they do not have the resources or information needed, or if the benefits are widely dispersed and are unable to be captured by the individual or community to justify the cost of investment. For example, there may be barriers preventing farmers accessing accurate and timely weather and climate data or obtaining knowledge of best practices. Or farmers may have poor incentives to undertake more sustainable farming practices despite wider spillover benefits. </w:t>
      </w:r>
    </w:p>
    <w:p w14:paraId="474D9837" w14:textId="77777777" w:rsidR="00255BC9" w:rsidRDefault="00255BC9">
      <w:pPr>
        <w:pStyle w:val="BodyText"/>
      </w:pPr>
      <w:r>
        <w:t>There may also be a case for governments to support some programs that primarily benefit private parties, for example agricultural extension schemes. However, the hurdle for justifying support primarily benefitting private parties is high given the risk that funds are invested in activities that producers would have undertaken anyway. Importantly, programs should only be funded where the overall benefits to the community outweigh the costs.</w:t>
      </w:r>
    </w:p>
    <w:p w14:paraId="06D56388" w14:textId="77777777" w:rsidR="00255BC9" w:rsidRDefault="00255BC9">
      <w:pPr>
        <w:pStyle w:val="BodyText"/>
      </w:pPr>
      <w:r>
        <w:t>Another potential benefit is a reduced need for in-drought support from governments in the future. While better preparedness and drought resilience should reduce the need for in</w:t>
      </w:r>
      <w:r>
        <w:noBreakHyphen/>
        <w:t>drought support, these assumed future savings cannot be guaranteed. On this basis, the expectation of future savings may be a weaker economic justification for public investment in drought resilience, compared to instances when investment addresses genuine risks of underinvestment and generates spillover benefits to the community that otherwise would not have occurred.</w:t>
      </w:r>
    </w:p>
    <w:p w14:paraId="4357FAF3" w14:textId="3209E56F" w:rsidR="00255BC9" w:rsidRDefault="00255BC9">
      <w:pPr>
        <w:pStyle w:val="BodyText"/>
      </w:pPr>
      <w:r>
        <w:lastRenderedPageBreak/>
        <w:t xml:space="preserve">Finally, </w:t>
      </w:r>
      <w:r w:rsidDel="000D66AC">
        <w:t xml:space="preserve">the extent of change needed </w:t>
      </w:r>
      <w:r>
        <w:t>(incremental, transitional or transformation</w:t>
      </w:r>
      <w:r w:rsidR="003E1360">
        <w:t>al</w:t>
      </w:r>
      <w:r>
        <w:t xml:space="preserve">) </w:t>
      </w:r>
      <w:r w:rsidDel="000D66AC">
        <w:t>to build resilience</w:t>
      </w:r>
      <w:r>
        <w:t xml:space="preserve"> is also an important consideration for determining the degree of g</w:t>
      </w:r>
      <w:r w:rsidDel="000D66AC">
        <w:t xml:space="preserve">overnment </w:t>
      </w:r>
      <w:r>
        <w:t>support</w:t>
      </w:r>
      <w:r w:rsidDel="000D66AC">
        <w:t xml:space="preserve">. While there </w:t>
      </w:r>
      <w:r>
        <w:t xml:space="preserve">may be a role for government support in all three forms of change, </w:t>
      </w:r>
      <w:r w:rsidRPr="005633DF">
        <w:t xml:space="preserve">the case is likely to be greater </w:t>
      </w:r>
      <w:r>
        <w:t xml:space="preserve">for </w:t>
      </w:r>
      <w:r w:rsidRPr="005633DF">
        <w:t xml:space="preserve">transformational change. This is because the barriers </w:t>
      </w:r>
      <w:r>
        <w:t xml:space="preserve">that </w:t>
      </w:r>
      <w:r w:rsidRPr="005633DF">
        <w:t xml:space="preserve">farmers and communities face to undergo transformational change are significantly larger and more complex than incremental change. The size and complexity of the </w:t>
      </w:r>
      <w:r>
        <w:t xml:space="preserve">task to transform practices could </w:t>
      </w:r>
      <w:r w:rsidRPr="005633DF">
        <w:t xml:space="preserve">mean individuals and communities </w:t>
      </w:r>
      <w:r>
        <w:t>may be</w:t>
      </w:r>
      <w:r w:rsidRPr="005633DF">
        <w:t xml:space="preserve"> unable to act without support, even if there are overall benefits for doing so. </w:t>
      </w:r>
    </w:p>
    <w:p w14:paraId="21430C01" w14:textId="77777777" w:rsidR="00255BC9" w:rsidRDefault="00255BC9">
      <w:pPr>
        <w:pStyle w:val="Heading4"/>
      </w:pPr>
      <w:r>
        <w:t>The need for drought resilience is even greater given climate change</w:t>
      </w:r>
    </w:p>
    <w:p w14:paraId="24304008" w14:textId="77777777" w:rsidR="00255BC9" w:rsidRDefault="00255BC9">
      <w:pPr>
        <w:pStyle w:val="BodyText"/>
      </w:pPr>
      <w:r>
        <w:t>Farmers and agricultural communities have always faced challenges with climate extremes, from drought and floods to bushfires and heatwaves. Managing these risks is a fundamental part of farming in Australia.</w:t>
      </w:r>
    </w:p>
    <w:p w14:paraId="6A153930" w14:textId="77777777" w:rsidR="00255BC9" w:rsidRDefault="00255BC9">
      <w:pPr>
        <w:pStyle w:val="BodyText"/>
      </w:pPr>
      <w:r w:rsidRPr="00F2636D">
        <w:t xml:space="preserve">Australian </w:t>
      </w:r>
      <w:r>
        <w:t xml:space="preserve">farmers </w:t>
      </w:r>
      <w:r w:rsidRPr="00F2636D">
        <w:t>and regional communities have demonstrated the</w:t>
      </w:r>
      <w:r>
        <w:t>ir</w:t>
      </w:r>
      <w:r w:rsidRPr="00F2636D">
        <w:t xml:space="preserve"> ability to absorb and adapt to change, whether technological, social or environmental. However, the risks associated with climate change </w:t>
      </w:r>
      <w:r>
        <w:t xml:space="preserve">likely demand, over time, transitional and </w:t>
      </w:r>
      <w:r w:rsidRPr="00F2636D">
        <w:t xml:space="preserve">transformational </w:t>
      </w:r>
      <w:r>
        <w:t xml:space="preserve">change </w:t>
      </w:r>
      <w:r w:rsidRPr="00F2636D">
        <w:t>to maintain the wellbeing of regional economies and communities.</w:t>
      </w:r>
    </w:p>
    <w:p w14:paraId="4B3FCED0" w14:textId="77777777" w:rsidR="00255BC9" w:rsidRPr="00E617A1" w:rsidRDefault="00255BC9">
      <w:pPr>
        <w:pStyle w:val="BodyText"/>
        <w:rPr>
          <w:spacing w:val="-2"/>
        </w:rPr>
      </w:pPr>
      <w:r w:rsidRPr="00E617A1">
        <w:rPr>
          <w:spacing w:val="-2"/>
        </w:rPr>
        <w:t>Climate change will continue to increase the frequency and severity of drought as well as other extreme climate conditions (for example, more frequent extreme heat waves and more severe flooding). Over time, the effects of drought and climate change are likely to challenge even the most prepared farmers and communities.</w:t>
      </w:r>
    </w:p>
    <w:p w14:paraId="69EDDC60" w14:textId="77777777" w:rsidR="00255BC9" w:rsidRDefault="00255BC9" w:rsidP="006F0DDB">
      <w:pPr>
        <w:pStyle w:val="Heading2-nonumber"/>
      </w:pPr>
      <w:bookmarkStart w:id="19" w:name="_Toc136533991"/>
      <w:bookmarkStart w:id="20" w:name="_Toc136600680"/>
      <w:bookmarkStart w:id="21" w:name="_Toc136816998"/>
      <w:bookmarkStart w:id="22" w:name="_Toc137129752"/>
      <w:r>
        <w:t>How has the FDF performed?</w:t>
      </w:r>
      <w:bookmarkEnd w:id="19"/>
      <w:bookmarkEnd w:id="20"/>
      <w:bookmarkEnd w:id="21"/>
      <w:bookmarkEnd w:id="22"/>
    </w:p>
    <w:p w14:paraId="652C2E68" w14:textId="77777777" w:rsidR="00255BC9" w:rsidRDefault="00255BC9">
      <w:pPr>
        <w:pStyle w:val="BodyText"/>
      </w:pPr>
      <w:r>
        <w:t>The FDF is a positive step in the evolution of Australia’s drought policy. It continues the</w:t>
      </w:r>
      <w:r w:rsidRPr="0054646D">
        <w:t xml:space="preserve"> policy transition from in-drought support to invest</w:t>
      </w:r>
      <w:r>
        <w:t>ing</w:t>
      </w:r>
      <w:r w:rsidRPr="0054646D">
        <w:t xml:space="preserve"> in activities that enhance long-term preparedness, sustainability, resilience and risk management. </w:t>
      </w:r>
    </w:p>
    <w:p w14:paraId="6AFD3C52" w14:textId="77777777" w:rsidR="00255BC9" w:rsidRDefault="00255BC9">
      <w:pPr>
        <w:pStyle w:val="BodyText"/>
      </w:pPr>
      <w:r w:rsidRPr="001B1C6F">
        <w:t xml:space="preserve">Inquiry participants support the FDF, especially its long-term funding commitment, its focus on the ‘triple bottom line’, and its support for local collaboration and priority setting. Despite doubts about aspects of the </w:t>
      </w:r>
      <w:r>
        <w:t>F</w:t>
      </w:r>
      <w:r w:rsidRPr="001B1C6F">
        <w:t xml:space="preserve">und, participants see the FDF as a valuable </w:t>
      </w:r>
      <w:r>
        <w:t>initiative</w:t>
      </w:r>
      <w:r w:rsidRPr="001B1C6F">
        <w:t xml:space="preserve">. </w:t>
      </w:r>
    </w:p>
    <w:p w14:paraId="10000F40" w14:textId="77777777" w:rsidR="00255BC9" w:rsidRDefault="00255BC9">
      <w:pPr>
        <w:pStyle w:val="BodyText"/>
      </w:pPr>
      <w:r>
        <w:t>I</w:t>
      </w:r>
      <w:r w:rsidRPr="004006F3">
        <w:t>t is too early</w:t>
      </w:r>
      <w:r>
        <w:t xml:space="preserve"> for a</w:t>
      </w:r>
      <w:r w:rsidRPr="004006F3">
        <w:t xml:space="preserve"> </w:t>
      </w:r>
      <w:r>
        <w:t>comprehensive assessment of the Fund’s effectiveness. Funding only commenced in July 2020 and many programs are still in their infancy or still to be rolled out. Formal evaluations of foundational programs have not been completed. That said, the first years of the FDF have produced important lessons for the design and delivery of the Fund and its programs, which should be considered as part of the next funding cycle. Key lessons include:</w:t>
      </w:r>
    </w:p>
    <w:p w14:paraId="6D55CEA8" w14:textId="77777777" w:rsidR="00255BC9" w:rsidRPr="008B504E" w:rsidRDefault="00255BC9">
      <w:pPr>
        <w:pStyle w:val="ListBullet"/>
      </w:pPr>
      <w:r>
        <w:t>s</w:t>
      </w:r>
      <w:r w:rsidRPr="008B504E">
        <w:t>hort-term programs have high transaction costs, weaker public benefits and</w:t>
      </w:r>
      <w:r>
        <w:t xml:space="preserve"> are</w:t>
      </w:r>
      <w:r w:rsidRPr="008B504E">
        <w:t xml:space="preserve"> unlikely to deliver long</w:t>
      </w:r>
      <w:r>
        <w:noBreakHyphen/>
      </w:r>
      <w:r w:rsidRPr="008B504E">
        <w:t xml:space="preserve">term </w:t>
      </w:r>
      <w:r>
        <w:t>gains</w:t>
      </w:r>
    </w:p>
    <w:p w14:paraId="0FE5FD05" w14:textId="77777777" w:rsidR="00255BC9" w:rsidRPr="008B504E" w:rsidRDefault="00255BC9">
      <w:pPr>
        <w:pStyle w:val="ListBullet"/>
      </w:pPr>
      <w:r>
        <w:t xml:space="preserve">the high number of programs have </w:t>
      </w:r>
      <w:r w:rsidRPr="008B504E">
        <w:t>confus</w:t>
      </w:r>
      <w:r>
        <w:t>ed</w:t>
      </w:r>
      <w:r w:rsidRPr="008B504E">
        <w:t xml:space="preserve"> </w:t>
      </w:r>
      <w:r>
        <w:t>stakeholders</w:t>
      </w:r>
      <w:r w:rsidRPr="008B504E">
        <w:t>, increase</w:t>
      </w:r>
      <w:r>
        <w:t>d</w:t>
      </w:r>
      <w:r w:rsidRPr="008B504E">
        <w:t xml:space="preserve"> risks of duplication and </w:t>
      </w:r>
      <w:r>
        <w:t xml:space="preserve">added </w:t>
      </w:r>
      <w:r w:rsidRPr="008B504E">
        <w:t xml:space="preserve">administrative </w:t>
      </w:r>
      <w:r>
        <w:t>costs</w:t>
      </w:r>
    </w:p>
    <w:p w14:paraId="05285135" w14:textId="77777777" w:rsidR="00255BC9" w:rsidRPr="008B504E" w:rsidRDefault="00255BC9">
      <w:pPr>
        <w:pStyle w:val="ListBullet"/>
      </w:pPr>
      <w:r>
        <w:t>a</w:t>
      </w:r>
      <w:r w:rsidRPr="008B504E">
        <w:t>n overarching strategy guiding integration and sequencing of programs can maximise outcomes</w:t>
      </w:r>
    </w:p>
    <w:p w14:paraId="76C00E0E" w14:textId="77777777" w:rsidR="00255BC9" w:rsidRDefault="00255BC9">
      <w:pPr>
        <w:pStyle w:val="ListBullet"/>
      </w:pPr>
      <w:r>
        <w:t xml:space="preserve">inconsistent </w:t>
      </w:r>
      <w:r w:rsidRPr="008B504E">
        <w:t xml:space="preserve">application of the funding principles </w:t>
      </w:r>
      <w:r>
        <w:t xml:space="preserve">diminishes </w:t>
      </w:r>
      <w:r w:rsidRPr="008B504E">
        <w:t xml:space="preserve">their </w:t>
      </w:r>
      <w:r>
        <w:t xml:space="preserve">value as a guide for </w:t>
      </w:r>
      <w:r w:rsidRPr="008B504E">
        <w:t>the design and delivery of programs</w:t>
      </w:r>
    </w:p>
    <w:p w14:paraId="40E82AF1" w14:textId="77777777" w:rsidR="00255BC9" w:rsidRDefault="00255BC9">
      <w:pPr>
        <w:pStyle w:val="ListBullet"/>
      </w:pPr>
      <w:r>
        <w:t>learning opportunities have been constrained by limited</w:t>
      </w:r>
      <w:r w:rsidRPr="00572E10">
        <w:t xml:space="preserve"> mechanisms </w:t>
      </w:r>
      <w:r>
        <w:t xml:space="preserve">for </w:t>
      </w:r>
      <w:r w:rsidRPr="00572E10">
        <w:t>knowledge sharing</w:t>
      </w:r>
      <w:r>
        <w:t>.</w:t>
      </w:r>
      <w:r w:rsidRPr="00572E10">
        <w:t xml:space="preserve"> </w:t>
      </w:r>
    </w:p>
    <w:p w14:paraId="25C44322" w14:textId="0099267D" w:rsidR="00255BC9" w:rsidRDefault="00255BC9">
      <w:pPr>
        <w:pStyle w:val="Heading3"/>
      </w:pPr>
      <w:r>
        <w:lastRenderedPageBreak/>
        <w:t xml:space="preserve">FDF programs are broadly appropriate </w:t>
      </w:r>
    </w:p>
    <w:p w14:paraId="7550322F" w14:textId="77777777" w:rsidR="00255BC9" w:rsidDel="00B5065E" w:rsidRDefault="00255BC9">
      <w:pPr>
        <w:pStyle w:val="BodyText"/>
      </w:pPr>
      <w:r w:rsidDel="00B5065E">
        <w:t xml:space="preserve">The government’s role in supporting farmers and communities to build drought resilience through the FDF is to support activities and make the community better off overall. </w:t>
      </w:r>
      <w:r>
        <w:t>To assess whether the suite of FDF programs were appropriate the Commission considered the rationale for Australian Government intervention, whether the programs align with the objectives of the FDF and whether the programs are appropriate given other related policies and programs.</w:t>
      </w:r>
    </w:p>
    <w:p w14:paraId="20A2362E" w14:textId="77777777" w:rsidR="00255BC9" w:rsidRDefault="00255BC9">
      <w:pPr>
        <w:pStyle w:val="BodyText"/>
      </w:pPr>
      <w:r>
        <w:t xml:space="preserve">The Commission has found that the FDF mostly supports activities that address genuine risks of underinvestment in resilience. However, there is scope to improve the design of some programs to realise greater net </w:t>
      </w:r>
      <w:r w:rsidRPr="00A726B5">
        <w:t>public benefit</w:t>
      </w:r>
      <w:r>
        <w:t xml:space="preserve">s. </w:t>
      </w:r>
      <w:r w:rsidRPr="00C80C9A">
        <w:t xml:space="preserve">For example, </w:t>
      </w:r>
      <w:r w:rsidRPr="006A1CDA">
        <w:t>there</w:t>
      </w:r>
      <w:r>
        <w:t xml:space="preserve"> may be scope within </w:t>
      </w:r>
      <w:r w:rsidRPr="009835A7">
        <w:rPr>
          <w:i/>
        </w:rPr>
        <w:t xml:space="preserve">the </w:t>
      </w:r>
      <w:r w:rsidRPr="009835A7">
        <w:rPr>
          <w:i/>
          <w:iCs/>
        </w:rPr>
        <w:t xml:space="preserve">Drought Resilience Adoption and Innovation </w:t>
      </w:r>
      <w:r w:rsidRPr="009835A7">
        <w:rPr>
          <w:i/>
        </w:rPr>
        <w:t>Hubs</w:t>
      </w:r>
      <w:r>
        <w:t xml:space="preserve"> and the </w:t>
      </w:r>
      <w:r w:rsidRPr="009835A7">
        <w:rPr>
          <w:i/>
          <w:iCs/>
        </w:rPr>
        <w:t>Farm Business Resilience</w:t>
      </w:r>
      <w:r>
        <w:t xml:space="preserve"> (FBR) program to provide a greater emphasis on improved natural resource management of farming landscapes, particularly where it will have positive environmental spillover benefits. </w:t>
      </w:r>
    </w:p>
    <w:p w14:paraId="0A0534FE" w14:textId="77777777" w:rsidR="00255BC9" w:rsidRDefault="00255BC9">
      <w:pPr>
        <w:pStyle w:val="BodyText"/>
      </w:pPr>
      <w:r>
        <w:t>The Commission has also found that while the programs align with FDF objectives, as these objectives are very broad, it is unlikely the mix of programs were optimal to maximise the benefits to the community. The initial suite of programs and activities were focused on short</w:t>
      </w:r>
      <w:r>
        <w:noBreakHyphen/>
        <w:t>term initiatives typically delivering incremental changes where the chances of lasting impact are likely to be lower. For example, the foundational natural resource management programs provided one</w:t>
      </w:r>
      <w:r>
        <w:noBreakHyphen/>
        <w:t>year grants, which was inadequate time to implement real and measurable change.</w:t>
      </w:r>
    </w:p>
    <w:p w14:paraId="04CEA32F" w14:textId="7A04E08D" w:rsidR="00255BC9" w:rsidRPr="00FD2E69" w:rsidRDefault="00255BC9">
      <w:pPr>
        <w:pStyle w:val="BodyText"/>
        <w:rPr>
          <w:spacing w:val="-4"/>
        </w:rPr>
      </w:pPr>
      <w:r w:rsidRPr="00FD2E69">
        <w:rPr>
          <w:spacing w:val="-4"/>
        </w:rPr>
        <w:t xml:space="preserve">Finally, although programs generally complement other Australian, state and territory initiatives, there are instances of overlap and confusion. The Commission has heard, for example, that Regional Drought Resilience Plans fill important gaps in some regions but in others they add a layer of complexity to existing plans and arrangements. Some states and territories have successful climate information tools that perform similar functions to </w:t>
      </w:r>
      <w:r w:rsidRPr="00FD2E69">
        <w:rPr>
          <w:i/>
          <w:iCs/>
          <w:spacing w:val="-4"/>
        </w:rPr>
        <w:t>Climate Services for Agriculture</w:t>
      </w:r>
      <w:r w:rsidRPr="00FD2E69">
        <w:rPr>
          <w:spacing w:val="-4"/>
        </w:rPr>
        <w:t xml:space="preserve"> (CSA) and the </w:t>
      </w:r>
      <w:r w:rsidRPr="00FD2E69">
        <w:rPr>
          <w:i/>
          <w:iCs/>
          <w:spacing w:val="-4"/>
        </w:rPr>
        <w:t>Drought Resilience Self-Assessment Tool</w:t>
      </w:r>
      <w:r w:rsidRPr="00FD2E69">
        <w:rPr>
          <w:spacing w:val="-4"/>
        </w:rPr>
        <w:t xml:space="preserve"> (DR.SAT).</w:t>
      </w:r>
    </w:p>
    <w:p w14:paraId="0656EA51" w14:textId="77777777" w:rsidR="00255BC9" w:rsidRDefault="00255BC9">
      <w:pPr>
        <w:pStyle w:val="Heading3"/>
      </w:pPr>
      <w:r>
        <w:t xml:space="preserve">Success of the Fund is undermined by </w:t>
      </w:r>
      <w:proofErr w:type="gramStart"/>
      <w:r>
        <w:t>a number of</w:t>
      </w:r>
      <w:proofErr w:type="gramEnd"/>
      <w:r>
        <w:t xml:space="preserve"> issues</w:t>
      </w:r>
    </w:p>
    <w:p w14:paraId="4F67C74B" w14:textId="77777777" w:rsidR="00255BC9" w:rsidRDefault="00255BC9">
      <w:pPr>
        <w:pStyle w:val="BodyText"/>
      </w:pPr>
      <w:r>
        <w:t xml:space="preserve">Although the FDF programs will likely contribute positively to resilience, several interrelated issues with the design and implementation of the programs are likely to limit the success of the Fund, including: </w:t>
      </w:r>
    </w:p>
    <w:p w14:paraId="5B5565FB" w14:textId="77777777" w:rsidR="00255BC9" w:rsidRDefault="00255BC9">
      <w:pPr>
        <w:pStyle w:val="ListBullet"/>
      </w:pPr>
      <w:r>
        <w:t xml:space="preserve">the Funding Plan lacks a strategy to inform program design, selection, integration and sequencing </w:t>
      </w:r>
    </w:p>
    <w:p w14:paraId="763630F0" w14:textId="77777777" w:rsidR="00255BC9" w:rsidRDefault="00255BC9">
      <w:pPr>
        <w:pStyle w:val="ListBullet"/>
      </w:pPr>
      <w:r w:rsidDel="00432106">
        <w:t>s</w:t>
      </w:r>
      <w:r>
        <w:t xml:space="preserve">hort-term programs and too many programs created inefficiencies </w:t>
      </w:r>
    </w:p>
    <w:p w14:paraId="18005077" w14:textId="77777777" w:rsidR="00255BC9" w:rsidRDefault="00255BC9">
      <w:pPr>
        <w:pStyle w:val="ListBullet"/>
      </w:pPr>
      <w:r>
        <w:t xml:space="preserve">a </w:t>
      </w:r>
      <w:r w:rsidRPr="0010676B">
        <w:t>lack of deliberate, timely mechanisms for participants across the FDF to share knowledge and learnings more regularly and directly</w:t>
      </w:r>
      <w:r>
        <w:t>.</w:t>
      </w:r>
    </w:p>
    <w:p w14:paraId="5F1BA0A6" w14:textId="67663D6F" w:rsidR="00255BC9" w:rsidRDefault="00255BC9">
      <w:pPr>
        <w:pStyle w:val="Heading4"/>
      </w:pPr>
      <w:r>
        <w:t xml:space="preserve">Lack of </w:t>
      </w:r>
      <w:r w:rsidR="00431EB4">
        <w:t xml:space="preserve">a </w:t>
      </w:r>
      <w:r>
        <w:t>plan to integrate and sequence programs</w:t>
      </w:r>
    </w:p>
    <w:p w14:paraId="41EEDBB8" w14:textId="05EC103B" w:rsidR="00255BC9" w:rsidRDefault="00255BC9">
      <w:pPr>
        <w:pStyle w:val="BodyText"/>
      </w:pPr>
      <w:r>
        <w:t>The initial FDF programs were developed and implemented without a clear Fund-wide investment strategy. While the Funding Plan and its principles provide a guide for the activities eligible for investment, they do not set out an investment plan for the four-year cycle. Rather multiple programs were stood up – simultaneously – with only one year of funding allocated (figure</w:t>
      </w:r>
      <w:r w:rsidR="00B73B3C">
        <w:t xml:space="preserve"> below</w:t>
      </w:r>
      <w:r>
        <w:t xml:space="preserve">). </w:t>
      </w:r>
    </w:p>
    <w:p w14:paraId="4CE46FB8" w14:textId="5AD068F2" w:rsidR="00704372" w:rsidRDefault="00704372">
      <w:pPr>
        <w:pStyle w:val="BodyText"/>
      </w:pPr>
      <w:r>
        <w:t xml:space="preserve">This fast roll out of programs meant the FDF initially could only support small scale, 12-month projects. As a result, projects did not reflect farming conditions (such as seasonal windows) or have the scale and duration to achieve meaningful and long-lasting change. </w:t>
      </w:r>
    </w:p>
    <w:p w14:paraId="036FEC67" w14:textId="22ADE8AB" w:rsidR="00255BC9" w:rsidRPr="00C35AB5" w:rsidRDefault="00255BC9" w:rsidP="00EC73B6">
      <w:pPr>
        <w:pStyle w:val="FigureTableHeading"/>
        <w:spacing w:after="0"/>
        <w:rPr>
          <w:color w:val="auto"/>
        </w:rPr>
      </w:pPr>
      <w:r>
        <w:lastRenderedPageBreak/>
        <w:t xml:space="preserve">FDF </w:t>
      </w:r>
      <w:r w:rsidRPr="00C35AB5">
        <w:rPr>
          <w:color w:val="auto"/>
        </w:rPr>
        <w:t>timeline</w:t>
      </w:r>
    </w:p>
    <w:p w14:paraId="77CCD4A0" w14:textId="56AB48C6" w:rsidR="00255BC9" w:rsidRPr="005550A0" w:rsidRDefault="00D15C91" w:rsidP="00D76A34">
      <w:pPr>
        <w:pStyle w:val="BodyText"/>
        <w:spacing w:before="0" w:after="240"/>
      </w:pPr>
      <w:r w:rsidRPr="00D15C91">
        <w:rPr>
          <w:noProof/>
        </w:rPr>
        <w:drawing>
          <wp:inline distT="0" distB="0" distL="0" distR="0" wp14:anchorId="243DC135" wp14:editId="1FC614A7">
            <wp:extent cx="6120130" cy="5582920"/>
            <wp:effectExtent l="0" t="0" r="0" b="0"/>
            <wp:docPr id="1717724681" name="Picture 1717724681" descr="The Future Drought Fund was established in July 2019. It began its first year of operation in July 2020, and will commence its fourth year of operation in Septemb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724681" name="Picture 1717724681" descr="The Future Drought Fund was established in July 2019. It began its first year of operation in July 2020, and will commence its fourth year of operation in September 20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20130" cy="5582920"/>
                    </a:xfrm>
                    <a:prstGeom prst="rect">
                      <a:avLst/>
                    </a:prstGeom>
                    <a:noFill/>
                    <a:ln>
                      <a:noFill/>
                    </a:ln>
                  </pic:spPr>
                </pic:pic>
              </a:graphicData>
            </a:graphic>
          </wp:inline>
        </w:drawing>
      </w:r>
    </w:p>
    <w:p w14:paraId="686AF4BA" w14:textId="77777777" w:rsidR="00255BC9" w:rsidRDefault="00255BC9">
      <w:pPr>
        <w:pStyle w:val="BodyText"/>
      </w:pPr>
      <w:r>
        <w:t xml:space="preserve">Though programs were later extended, this approach contributed to significant inefficiencies with higher transaction costs for the Department, program partners and participants, and other stakeholders; and missed opportunities for better synergy, sequencing and coordination of programs. </w:t>
      </w:r>
    </w:p>
    <w:p w14:paraId="6A3B722A" w14:textId="46B2E377" w:rsidR="00255BC9" w:rsidRPr="004C0672" w:rsidRDefault="00255BC9">
      <w:pPr>
        <w:pStyle w:val="BodyText"/>
        <w:rPr>
          <w:spacing w:val="-2"/>
        </w:rPr>
      </w:pPr>
      <w:r w:rsidRPr="004C0672">
        <w:rPr>
          <w:spacing w:val="-2"/>
        </w:rPr>
        <w:t xml:space="preserve">For example, participants have pointed to a missed opportunity to integrate the climate information tools (DR.SAT and CSA) into the initial rollout of two key planning programs (FBR program and </w:t>
      </w:r>
      <w:r w:rsidRPr="004C0672">
        <w:rPr>
          <w:i/>
          <w:spacing w:val="-2"/>
        </w:rPr>
        <w:t xml:space="preserve">Regional Drought Resilience </w:t>
      </w:r>
      <w:r w:rsidRPr="004C0672">
        <w:rPr>
          <w:i/>
          <w:iCs/>
          <w:spacing w:val="-2"/>
        </w:rPr>
        <w:t>Planning</w:t>
      </w:r>
      <w:r w:rsidRPr="004C0672">
        <w:rPr>
          <w:spacing w:val="-2"/>
        </w:rPr>
        <w:t xml:space="preserve"> (RDRP) program). This occurred because the three programs were rolled out at the same time. However, the Commission has heard some jurisdictions are now making efforts to integrate the tools.</w:t>
      </w:r>
    </w:p>
    <w:p w14:paraId="059792FF" w14:textId="77777777" w:rsidR="00255BC9" w:rsidRDefault="00255BC9">
      <w:pPr>
        <w:pStyle w:val="BodyText"/>
      </w:pPr>
      <w:r>
        <w:t xml:space="preserve">Moreover, having multiple programs, particularly for a fund of the FDF’s size, created confusion amongst FDF participants and contributed to efficiency and integration issues. </w:t>
      </w:r>
      <w:r w:rsidRPr="00512FC3">
        <w:t xml:space="preserve">The number of programs funded through the FDF has added complexity and confused participants. The Commission has heard that participants struggle to navigate the FDF, an issue compounded by a lack of accessible information on what activities are being (or will be) funded in </w:t>
      </w:r>
      <w:r>
        <w:t xml:space="preserve">specific </w:t>
      </w:r>
      <w:r w:rsidRPr="00512FC3">
        <w:t>location</w:t>
      </w:r>
      <w:r>
        <w:t>s</w:t>
      </w:r>
      <w:r w:rsidRPr="00512FC3">
        <w:t>.</w:t>
      </w:r>
    </w:p>
    <w:p w14:paraId="22EEFD08" w14:textId="77777777" w:rsidR="00255BC9" w:rsidRDefault="00255BC9">
      <w:pPr>
        <w:pStyle w:val="BodyText"/>
      </w:pPr>
      <w:r>
        <w:lastRenderedPageBreak/>
        <w:t xml:space="preserve">This quick rollout of initial programs – and then the subsequent launch of new programs – worked against developing an effective monitoring, evaluation and learning (MEL) system and undermined the ability to design and deliver timely and effective MEL plans to track progress. Several MEL plans for individual programs do not provide a clear ‘line of sight’ </w:t>
      </w:r>
      <w:r w:rsidRPr="00CB4426">
        <w:t xml:space="preserve">between the activities being funded, the outputs that these activities deliver, the </w:t>
      </w:r>
      <w:r>
        <w:t xml:space="preserve">expected outcomes and the desired </w:t>
      </w:r>
      <w:r w:rsidRPr="00CB4426">
        <w:t>long</w:t>
      </w:r>
      <w:r>
        <w:t>-</w:t>
      </w:r>
      <w:r w:rsidRPr="00CB4426">
        <w:t>term drought resilience outcomes</w:t>
      </w:r>
      <w:r>
        <w:t xml:space="preserve">. </w:t>
      </w:r>
    </w:p>
    <w:p w14:paraId="456DDED1" w14:textId="77777777" w:rsidR="00255BC9" w:rsidRDefault="00255BC9">
      <w:pPr>
        <w:pStyle w:val="Heading4"/>
      </w:pPr>
      <w:r>
        <w:t>Limited sharing of knowledge across the FDF</w:t>
      </w:r>
    </w:p>
    <w:p w14:paraId="2309D9A2" w14:textId="77777777" w:rsidR="00255BC9" w:rsidRDefault="00255BC9">
      <w:pPr>
        <w:pStyle w:val="BodyText"/>
      </w:pPr>
      <w:r>
        <w:t xml:space="preserve">Knowledge sharing is an important part of building drought resilience and a key rationale justifying public investment in a range of activities. Facilitating knowledge sharing across the FDF supports the diffusion of drought resilience knowledge among primary producers and communities and the application of this knowledge to build drought resilience. </w:t>
      </w:r>
    </w:p>
    <w:p w14:paraId="4BEEF04C" w14:textId="77777777" w:rsidR="00255BC9" w:rsidRPr="00A8566B" w:rsidRDefault="00255BC9">
      <w:pPr>
        <w:pStyle w:val="BodyText"/>
      </w:pPr>
      <w:r>
        <w:t>However, the lack of formal mechanisms and difficulties in accessing and interpreting information on FDF outputs has constrained knowledge sharing between FDF participants within and between programs. Learning activities across the FDF appear to be mostly ad</w:t>
      </w:r>
      <w:r>
        <w:noBreakHyphen/>
        <w:t xml:space="preserve">hoc. </w:t>
      </w:r>
    </w:p>
    <w:p w14:paraId="28856249" w14:textId="77777777" w:rsidR="00255BC9" w:rsidRPr="00AA5362" w:rsidRDefault="00255BC9">
      <w:pPr>
        <w:pStyle w:val="Heading3"/>
      </w:pPr>
      <w:r>
        <w:t>Improvements are being made</w:t>
      </w:r>
    </w:p>
    <w:p w14:paraId="201859B9" w14:textId="77777777" w:rsidR="00255BC9" w:rsidRDefault="00255BC9">
      <w:pPr>
        <w:pStyle w:val="BodyText"/>
      </w:pPr>
      <w:r>
        <w:t xml:space="preserve">Despite these limitations there are promising signs that early lessons are being heeded. More recent programs (some still to be rolled out) are providing longer-term funding (for example, the </w:t>
      </w:r>
      <w:r w:rsidRPr="00BA21C3">
        <w:rPr>
          <w:i/>
          <w:iCs/>
        </w:rPr>
        <w:t xml:space="preserve">Drought Resilience </w:t>
      </w:r>
      <w:r w:rsidRPr="00BA21C3">
        <w:rPr>
          <w:i/>
        </w:rPr>
        <w:t>Long</w:t>
      </w:r>
      <w:r w:rsidRPr="00BA21C3">
        <w:rPr>
          <w:i/>
        </w:rPr>
        <w:noBreakHyphen/>
        <w:t>term Trials</w:t>
      </w:r>
      <w:r>
        <w:t xml:space="preserve"> program provides funding for up to six years) and brokering better connections across the FDF (for example, the </w:t>
      </w:r>
      <w:r w:rsidRPr="00D4043D">
        <w:rPr>
          <w:i/>
        </w:rPr>
        <w:t>Helping Regional Communities Prepare for Drought Initiative</w:t>
      </w:r>
      <w:r>
        <w:t xml:space="preserve"> attempts to build off and leverage Regional Drought Resilience Plans). </w:t>
      </w:r>
    </w:p>
    <w:p w14:paraId="6136C175" w14:textId="77777777" w:rsidR="00255BC9" w:rsidRPr="009E77FB" w:rsidRDefault="00255BC9" w:rsidP="00070A23">
      <w:pPr>
        <w:pStyle w:val="Heading2-nonumber"/>
      </w:pPr>
      <w:bookmarkStart w:id="23" w:name="_Toc136533992"/>
      <w:bookmarkStart w:id="24" w:name="_Toc136600681"/>
      <w:bookmarkStart w:id="25" w:name="_Toc136816999"/>
      <w:bookmarkStart w:id="26" w:name="_Toc137129753"/>
      <w:r>
        <w:t>Next steps for the Future Drought Fund</w:t>
      </w:r>
      <w:bookmarkEnd w:id="23"/>
      <w:bookmarkEnd w:id="24"/>
      <w:bookmarkEnd w:id="25"/>
      <w:bookmarkEnd w:id="26"/>
    </w:p>
    <w:p w14:paraId="0CA888A3" w14:textId="77777777" w:rsidR="00255BC9" w:rsidRDefault="00255BC9">
      <w:pPr>
        <w:pStyle w:val="BodyText"/>
      </w:pPr>
      <w:r>
        <w:t>The next Funding Plan is required to be in place by February 2024.</w:t>
      </w:r>
      <w:r w:rsidRPr="00AA5362">
        <w:t xml:space="preserve"> </w:t>
      </w:r>
      <w:r>
        <w:t>The next Funding Plan is an opportunity to build on the foundations laid by the first Funding Plan, taking account of the lessons already noted. The Commission is considering several options for the next Funding Plan including:</w:t>
      </w:r>
    </w:p>
    <w:p w14:paraId="388E949B" w14:textId="77777777" w:rsidR="00255BC9" w:rsidRDefault="00255BC9">
      <w:pPr>
        <w:pStyle w:val="ListBullet"/>
      </w:pPr>
      <w:r>
        <w:t>more explicit recognition of resilience and adaptation to climate change</w:t>
      </w:r>
    </w:p>
    <w:p w14:paraId="50E7CB69" w14:textId="77777777" w:rsidR="00255BC9" w:rsidRDefault="00255BC9">
      <w:pPr>
        <w:pStyle w:val="ListBullet"/>
      </w:pPr>
      <w:r>
        <w:t>prioritising the objectives and outlining how the FDF will achieve them</w:t>
      </w:r>
    </w:p>
    <w:p w14:paraId="67735176" w14:textId="77777777" w:rsidR="00255BC9" w:rsidRDefault="00255BC9">
      <w:pPr>
        <w:pStyle w:val="ListBullet"/>
      </w:pPr>
      <w:r>
        <w:t>renewing the program theory</w:t>
      </w:r>
    </w:p>
    <w:p w14:paraId="4E08FF4C" w14:textId="77777777" w:rsidR="00255BC9" w:rsidRDefault="00255BC9">
      <w:pPr>
        <w:pStyle w:val="ListBullet"/>
      </w:pPr>
      <w:r>
        <w:t>providing an investment plan to guide selection of programs and activities</w:t>
      </w:r>
    </w:p>
    <w:p w14:paraId="4A36E1DF" w14:textId="77777777" w:rsidR="00255BC9" w:rsidRDefault="00255BC9">
      <w:pPr>
        <w:pStyle w:val="ListBullet"/>
      </w:pPr>
      <w:r>
        <w:t>clarifying the purpose and application of the funding principles.</w:t>
      </w:r>
    </w:p>
    <w:p w14:paraId="36840AFE" w14:textId="77777777" w:rsidR="00255BC9" w:rsidRDefault="00255BC9">
      <w:pPr>
        <w:pStyle w:val="Heading3"/>
      </w:pPr>
      <w:r>
        <w:t>More explicit recognition of climate change</w:t>
      </w:r>
    </w:p>
    <w:p w14:paraId="02A68A18" w14:textId="1A386ABC" w:rsidR="00255BC9" w:rsidRDefault="00255BC9">
      <w:pPr>
        <w:pStyle w:val="BodyText"/>
      </w:pPr>
      <w:r>
        <w:t xml:space="preserve">The Commission was asked to assess the merits of consider </w:t>
      </w:r>
      <w:r w:rsidRPr="00A736FF">
        <w:t>broadening the scope of the Fund to support resilience to climate change.</w:t>
      </w:r>
      <w:r>
        <w:t xml:space="preserve"> In practice, the FDF does fund activities that aim to build resilience to the changing climate. Indeed, the 2020 to 2024 Funding Plan refers to climate change in its vision. </w:t>
      </w:r>
    </w:p>
    <w:p w14:paraId="4A0C69B3" w14:textId="77777777" w:rsidR="00255BC9" w:rsidRDefault="00255BC9" w:rsidP="0072074F">
      <w:pPr>
        <w:pStyle w:val="BodyText"/>
        <w:keepNext/>
      </w:pPr>
      <w:r>
        <w:t xml:space="preserve">Nevertheless, the Commission has heard there is merit in more explicitly acknowledging that the Fund should support farmers and communities build resilience to climate change. The Commission is inclined to agree with this view, noting that: </w:t>
      </w:r>
    </w:p>
    <w:p w14:paraId="593FCD99" w14:textId="5B1C6E06" w:rsidR="00255BC9" w:rsidRDefault="00255BC9">
      <w:pPr>
        <w:pStyle w:val="ListBullet"/>
      </w:pPr>
      <w:r>
        <w:t>the FDF already recognises a broader range of climate pressures than just drought, but in a way that is open to interpretation. More explicit recognition of climate change would clarify the scope of activities supported, and not supported, by the Fund</w:t>
      </w:r>
    </w:p>
    <w:p w14:paraId="7FBF41B1" w14:textId="38FDD8F3" w:rsidR="00255BC9" w:rsidRPr="00B4323B" w:rsidRDefault="00255BC9">
      <w:pPr>
        <w:pStyle w:val="ListBullet"/>
      </w:pPr>
      <w:r w:rsidRPr="00B4323B">
        <w:lastRenderedPageBreak/>
        <w:t xml:space="preserve">some participants advise that, in their regions, drought is not a term that resonates (for example, the local concern is changing wet/dry seasons; or multiple dry years are no longer considered a ‘drought’ but the ‘new normal’). These communities are expected to be more responsive to climate change. Conversely other participants believe that drought is still the risk uppermost in people’s minds </w:t>
      </w:r>
    </w:p>
    <w:p w14:paraId="67481EB5" w14:textId="77777777" w:rsidR="00255BC9" w:rsidRDefault="00255BC9">
      <w:pPr>
        <w:pStyle w:val="ListBullet"/>
      </w:pPr>
      <w:r>
        <w:t>drought is only one climate risk that farmers and rural communities must manage. By encouraging participants to focus on drought (over other risks), the Fund could inadvertently undermine, or at least shift efforts away from, building resilience to other climate risks</w:t>
      </w:r>
    </w:p>
    <w:p w14:paraId="54CEE5E3" w14:textId="155C62EA" w:rsidR="00255BC9" w:rsidRDefault="00255BC9">
      <w:pPr>
        <w:pStyle w:val="ListBullet"/>
      </w:pPr>
      <w:r>
        <w:t xml:space="preserve">preparing for an event (such as the next drought) may promote a different outlook – and different responses – than adjusting to long-term trends that include increased variability and heightened climate extremes. This focus on planning for an event may diminish the prospects of the Fund stimulating essential, transformational change. </w:t>
      </w:r>
    </w:p>
    <w:p w14:paraId="20561108" w14:textId="5010FAE7" w:rsidR="00255BC9" w:rsidRDefault="00255BC9">
      <w:pPr>
        <w:pStyle w:val="BodyText"/>
      </w:pPr>
      <w:r>
        <w:t xml:space="preserve">The Commission understands the concerns of some participants that more emphasis on climate change could lead to uncertainty about Fund priorities (for example, would it include mitigation initiatives) and decrease support for existing FDF activities. </w:t>
      </w:r>
      <w:r w:rsidRPr="00D5539F">
        <w:t>Many participants have suggested that drought requires a dedicated fund because it is different to other climate change risks such as flooding or increased storm activity – given its slower onset and uncertain duration. Moreover, given there are other policies that deal with emergency management there is a risk of overlap with disaster preparation, response and management activities that will need to be managed.</w:t>
      </w:r>
    </w:p>
    <w:p w14:paraId="20D81209" w14:textId="77777777" w:rsidR="00255BC9" w:rsidRDefault="00255BC9">
      <w:pPr>
        <w:pStyle w:val="BodyText"/>
      </w:pPr>
      <w:r>
        <w:t xml:space="preserve">On balance, the Commission considers that the Fund should be focused on supporting farmers and communities </w:t>
      </w:r>
      <w:r>
        <w:rPr>
          <w:i/>
          <w:iCs/>
        </w:rPr>
        <w:t>build drought and climate change resilience</w:t>
      </w:r>
      <w:r>
        <w:t xml:space="preserve">. To address the concerns about a loss of funding for drought-related activities, the Commission will investigate options to tighten FDF objectives and priorities through an updated theory of change and a more detailed Funding Plan, with clearer funding principles. </w:t>
      </w:r>
    </w:p>
    <w:p w14:paraId="1C38AA9B" w14:textId="77777777" w:rsidR="00255BC9" w:rsidRDefault="00255BC9">
      <w:pPr>
        <w:pStyle w:val="Heading3"/>
      </w:pPr>
      <w:r>
        <w:t>Prioritising objectives to maximise public benefits</w:t>
      </w:r>
    </w:p>
    <w:p w14:paraId="44F5ACCA" w14:textId="77777777" w:rsidR="00255BC9" w:rsidRPr="00875E39" w:rsidRDefault="00255BC9">
      <w:pPr>
        <w:pStyle w:val="BodyText"/>
        <w:rPr>
          <w:spacing w:val="-4"/>
        </w:rPr>
      </w:pPr>
      <w:r w:rsidRPr="00875E39">
        <w:rPr>
          <w:spacing w:val="-4"/>
        </w:rPr>
        <w:t>As mentioned, the FDF has ambitious economic, environmental and social objectives.</w:t>
      </w:r>
      <w:r w:rsidRPr="00875E39" w:rsidDel="00EA63C6">
        <w:rPr>
          <w:spacing w:val="-4"/>
        </w:rPr>
        <w:t xml:space="preserve"> </w:t>
      </w:r>
      <w:r w:rsidRPr="00875E39">
        <w:rPr>
          <w:spacing w:val="-4"/>
        </w:rPr>
        <w:t xml:space="preserve">With finite funding available on an annual basis, greater prioritisation is needed around the Fund’s objectives to maximise outcomes. </w:t>
      </w:r>
    </w:p>
    <w:p w14:paraId="1FF288DE" w14:textId="107B9C0E" w:rsidR="00255BC9" w:rsidRPr="00875E39" w:rsidRDefault="00255BC9">
      <w:pPr>
        <w:pStyle w:val="BodyText"/>
        <w:rPr>
          <w:spacing w:val="-4"/>
        </w:rPr>
      </w:pPr>
      <w:r w:rsidRPr="00875E39">
        <w:rPr>
          <w:spacing w:val="-4"/>
        </w:rPr>
        <w:t xml:space="preserve">Recognising that over the long term, agricultural landscapes with healthy natural capital are most productive, sustainable and resilient to shocks, one option raised by some inquiry participants is to give greater priority to activities that enhance environmental resilience, particularly where they result in flow on economic benefits. </w:t>
      </w:r>
    </w:p>
    <w:p w14:paraId="36796B11" w14:textId="5DA76E48" w:rsidR="00255BC9" w:rsidRDefault="00255BC9" w:rsidP="0072074F">
      <w:pPr>
        <w:pStyle w:val="BodyText"/>
        <w:keepNext/>
      </w:pPr>
      <w:r>
        <w:t>The FDF already funds some activities that, to varying degrees, support natural resource management. However, the Commission considers support for improved natural resource management should be a greater priority in the next funding cycle. As far as possible, programs should support initiatives which generate more than just benefits for an individual landowner. For example, collaborative projects involving a critical mass of landowners in a catchment or other discrete area can create positive spillover benefits to the community. The Commission is considering this change for the following key reasons.</w:t>
      </w:r>
    </w:p>
    <w:p w14:paraId="6B0D2A6A" w14:textId="77777777" w:rsidR="00255BC9" w:rsidRDefault="00255BC9">
      <w:pPr>
        <w:pStyle w:val="ListBullet"/>
      </w:pPr>
      <w:r>
        <w:t xml:space="preserve">Activities that improve the environment’s capacity to cope with climate extremes are more likely to lead to long-term sustainability. </w:t>
      </w:r>
    </w:p>
    <w:p w14:paraId="73210A08" w14:textId="7C928C6E" w:rsidR="00255BC9" w:rsidRDefault="00255BC9">
      <w:pPr>
        <w:pStyle w:val="ListBullet"/>
      </w:pPr>
      <w:r>
        <w:t>E</w:t>
      </w:r>
      <w:r w:rsidRPr="008C141A">
        <w:t xml:space="preserve">conomic and social </w:t>
      </w:r>
      <w:r>
        <w:t>investments alone</w:t>
      </w:r>
      <w:r w:rsidRPr="008C141A">
        <w:t xml:space="preserve"> </w:t>
      </w:r>
      <w:r>
        <w:t>will not</w:t>
      </w:r>
      <w:r w:rsidRPr="008C141A">
        <w:t xml:space="preserve"> provide </w:t>
      </w:r>
      <w:r>
        <w:t xml:space="preserve">sustained </w:t>
      </w:r>
      <w:r w:rsidRPr="008C141A">
        <w:t xml:space="preserve">resilience for </w:t>
      </w:r>
      <w:r>
        <w:t xml:space="preserve">farmers and </w:t>
      </w:r>
      <w:r w:rsidRPr="008C141A">
        <w:t xml:space="preserve">communities if landscapes are </w:t>
      </w:r>
      <w:r>
        <w:t>not well</w:t>
      </w:r>
      <w:r w:rsidR="001D18C5">
        <w:t>-</w:t>
      </w:r>
      <w:r>
        <w:t>positioned to cope with a changing climate.</w:t>
      </w:r>
    </w:p>
    <w:p w14:paraId="558AD9E7" w14:textId="499F837F" w:rsidR="00255BC9" w:rsidRDefault="00255BC9">
      <w:pPr>
        <w:pStyle w:val="ListBullet"/>
      </w:pPr>
      <w:r>
        <w:t>The FDF is well</w:t>
      </w:r>
      <w:r w:rsidR="001D18C5">
        <w:t>-</w:t>
      </w:r>
      <w:r>
        <w:t>placed to invest in these activities given it can fund ongoing long-term landscape-scale projects.</w:t>
      </w:r>
    </w:p>
    <w:p w14:paraId="4AD65CA4" w14:textId="77777777" w:rsidR="00255BC9" w:rsidRDefault="00255BC9">
      <w:pPr>
        <w:pStyle w:val="ListBullet"/>
      </w:pPr>
      <w:r>
        <w:t xml:space="preserve">Economic resilience will still be supported by targeting activities which leverage the strong causal links between better natural resource management and supporting improved productivity and economic outcomes for farmers. </w:t>
      </w:r>
    </w:p>
    <w:p w14:paraId="1CACE4BC" w14:textId="605A03A3" w:rsidR="00255BC9" w:rsidRDefault="00255BC9">
      <w:pPr>
        <w:pStyle w:val="BodyText"/>
      </w:pPr>
      <w:r>
        <w:lastRenderedPageBreak/>
        <w:t>A greater share of FDF funding for natural resource management should also be accompanied by an updated theory of change, program logic and MEL framework, which demonstrate how the link between environmental and economic objectives will be achieved and measured.</w:t>
      </w:r>
    </w:p>
    <w:p w14:paraId="2FCFBC04" w14:textId="77777777" w:rsidR="00255BC9" w:rsidRDefault="00255BC9" w:rsidP="00A229AC">
      <w:pPr>
        <w:pStyle w:val="Heading4"/>
      </w:pPr>
      <w:r>
        <w:t>Identifying the FDF’s role in fostering social resilience</w:t>
      </w:r>
    </w:p>
    <w:p w14:paraId="4F6CB660" w14:textId="77777777" w:rsidR="00255BC9" w:rsidRDefault="00255BC9">
      <w:pPr>
        <w:pStyle w:val="BodyText"/>
      </w:pPr>
      <w:r>
        <w:t xml:space="preserve">Social resilience is an important objective for building drought resilient communities. Improving social capital and connectivity can help communities withstand the negative impacts of drought. </w:t>
      </w:r>
    </w:p>
    <w:p w14:paraId="189D614F" w14:textId="2ABC330C" w:rsidR="00255BC9" w:rsidRDefault="00255BC9">
      <w:pPr>
        <w:pStyle w:val="BodyText"/>
        <w:rPr>
          <w:rStyle w:val="ui-provider"/>
        </w:rPr>
      </w:pPr>
      <w:r>
        <w:t>To date, the FDF has funded activities focused on building local networks, enhancing leadership and funding small</w:t>
      </w:r>
      <w:r>
        <w:noBreakHyphen/>
        <w:t xml:space="preserve">scale community infrastructure like town halls and meeting places. </w:t>
      </w:r>
      <w:r>
        <w:rPr>
          <w:rStyle w:val="ui-provider"/>
        </w:rPr>
        <w:t>However, there is a very broad range of activities that can contribute to social resilience, with little empirical evidence on what national government programs targeting social capital can</w:t>
      </w:r>
      <w:r w:rsidRPr="3F807CD1">
        <w:rPr>
          <w:rStyle w:val="ui-provider"/>
        </w:rPr>
        <w:t xml:space="preserve"> </w:t>
      </w:r>
      <w:r>
        <w:rPr>
          <w:rStyle w:val="ui-provider"/>
        </w:rPr>
        <w:t>translate into meaningful resilience for local communities. This is further complicated by the fact that social resilience is a complex, multi-faceted and subjective phenomenon that makes it difficult to determine precisely what factors impact social resilience for different communities at different points in time. </w:t>
      </w:r>
    </w:p>
    <w:p w14:paraId="68AAE4C5" w14:textId="22914720" w:rsidR="00255BC9" w:rsidRPr="00875E39" w:rsidRDefault="00255BC9">
      <w:pPr>
        <w:pStyle w:val="BodyText"/>
        <w:rPr>
          <w:spacing w:val="-4"/>
        </w:rPr>
      </w:pPr>
      <w:r w:rsidRPr="00875E39">
        <w:rPr>
          <w:spacing w:val="-4"/>
        </w:rPr>
        <w:t xml:space="preserve">It is questionable whether the FDF, as a national initiative, is the best placed to support social resilience through </w:t>
      </w:r>
      <w:proofErr w:type="gramStart"/>
      <w:r w:rsidRPr="00875E39">
        <w:rPr>
          <w:spacing w:val="-4"/>
        </w:rPr>
        <w:t>all of</w:t>
      </w:r>
      <w:proofErr w:type="gramEnd"/>
      <w:r w:rsidRPr="00875E39">
        <w:rPr>
          <w:spacing w:val="-4"/>
        </w:rPr>
        <w:t xml:space="preserve"> these types of activities, given the broad range of actions needed to build social resilience and the inherent overlap with the responsibilities of state, territory and local governments, which are better placed to enact local place-based programs. In addition, many Australian, state, territory and local government policies and programs already contribute to building social resilience, making it unclear what gaps the FDF is addressing.</w:t>
      </w:r>
    </w:p>
    <w:p w14:paraId="7F1747EF" w14:textId="1A1D08D2" w:rsidR="00255BC9" w:rsidRPr="00875E39" w:rsidRDefault="00255BC9">
      <w:pPr>
        <w:pStyle w:val="BodyText"/>
        <w:rPr>
          <w:spacing w:val="-4"/>
        </w:rPr>
      </w:pPr>
      <w:r w:rsidRPr="00875E39">
        <w:rPr>
          <w:spacing w:val="-4"/>
        </w:rPr>
        <w:t xml:space="preserve">The Commission is considering whether the FDF, in the next Funding Plan, is best placed to contribute to the resilience of the agriculture sector and communities through prioritising funding towards economic and environmental resilience, and less on its suite of social resilience activities. This would not necessarily preclude programs such as leadership and professional networking activities to be considered in the </w:t>
      </w:r>
      <w:proofErr w:type="gramStart"/>
      <w:r w:rsidRPr="00875E39">
        <w:rPr>
          <w:spacing w:val="-4"/>
        </w:rPr>
        <w:t>future, but</w:t>
      </w:r>
      <w:proofErr w:type="gramEnd"/>
      <w:r w:rsidRPr="00875E39">
        <w:rPr>
          <w:spacing w:val="-4"/>
        </w:rPr>
        <w:t xml:space="preserve"> would ensure that any such projects are only funded if they demonstrate strong and enduring value from a </w:t>
      </w:r>
      <w:r w:rsidRPr="00875E39">
        <w:rPr>
          <w:i/>
          <w:iCs/>
          <w:spacing w:val="-4"/>
        </w:rPr>
        <w:t>national</w:t>
      </w:r>
      <w:r w:rsidRPr="00875E39">
        <w:rPr>
          <w:spacing w:val="-4"/>
        </w:rPr>
        <w:t xml:space="preserve"> delivery model, and be integrated with programs that target economic and environmental resilience. </w:t>
      </w:r>
    </w:p>
    <w:p w14:paraId="3B2F8B05" w14:textId="77777777" w:rsidR="00255BC9" w:rsidRDefault="00255BC9">
      <w:pPr>
        <w:pStyle w:val="Heading3"/>
      </w:pPr>
      <w:r>
        <w:t>Prioritising levers for change, through a tighter program logic</w:t>
      </w:r>
    </w:p>
    <w:p w14:paraId="29F50793" w14:textId="2DCBFBC4" w:rsidR="00255BC9" w:rsidRPr="00F04318" w:rsidRDefault="00255BC9">
      <w:pPr>
        <w:pStyle w:val="BodyText"/>
      </w:pPr>
      <w:r>
        <w:t xml:space="preserve">The FDF’s theory of change sets </w:t>
      </w:r>
      <w:r w:rsidRPr="00F04318">
        <w:t xml:space="preserve">out </w:t>
      </w:r>
      <w:r>
        <w:t>a hypothesi</w:t>
      </w:r>
      <w:r w:rsidRPr="00F04318">
        <w:t xml:space="preserve">s of how economic, environmental and social resilience </w:t>
      </w:r>
      <w:r>
        <w:t>each contribute</w:t>
      </w:r>
      <w:r w:rsidRPr="00F04318">
        <w:t xml:space="preserve"> to </w:t>
      </w:r>
      <w:r>
        <w:t>realising the</w:t>
      </w:r>
      <w:r w:rsidRPr="00F04318">
        <w:t xml:space="preserve"> vision of the FDF</w:t>
      </w:r>
      <w:r>
        <w:t xml:space="preserve">. </w:t>
      </w:r>
      <w:r w:rsidRPr="00064051">
        <w:t xml:space="preserve">However, </w:t>
      </w:r>
      <w:r>
        <w:t>it</w:t>
      </w:r>
      <w:r w:rsidRPr="00064051">
        <w:t xml:space="preserve"> </w:t>
      </w:r>
      <w:r>
        <w:t>could better</w:t>
      </w:r>
      <w:r w:rsidRPr="00064051">
        <w:t xml:space="preserve"> describe </w:t>
      </w:r>
      <w:r>
        <w:t>how</w:t>
      </w:r>
      <w:r w:rsidRPr="00064051">
        <w:t xml:space="preserve"> </w:t>
      </w:r>
      <w:r>
        <w:t xml:space="preserve">the </w:t>
      </w:r>
      <w:r w:rsidRPr="00064051">
        <w:t xml:space="preserve">strategic priorities of economic, environmental and social resilience </w:t>
      </w:r>
      <w:r>
        <w:t xml:space="preserve">are mutually reinforcing, </w:t>
      </w:r>
      <w:r w:rsidRPr="00064051">
        <w:t xml:space="preserve">and </w:t>
      </w:r>
      <w:r>
        <w:t xml:space="preserve">explicitly </w:t>
      </w:r>
      <w:r w:rsidRPr="00064051">
        <w:t>how the FDF</w:t>
      </w:r>
      <w:r>
        <w:t>’s activities aim to</w:t>
      </w:r>
      <w:r w:rsidRPr="00064051">
        <w:t xml:space="preserve"> achieve these </w:t>
      </w:r>
      <w:r>
        <w:t xml:space="preserve">priorities </w:t>
      </w:r>
      <w:r w:rsidRPr="00064051">
        <w:t>in an integrated way.</w:t>
      </w:r>
      <w:r>
        <w:t xml:space="preserve"> There is little doubt that improving one form of resilience may have positive effects on one or both other forms. But being more targeted about the linkages would help policy makers and program developers to decide where the best (direct and indirect) results can be achieved. The FDF’s theory of change could better</w:t>
      </w:r>
      <w:r w:rsidRPr="00F04318">
        <w:t>:</w:t>
      </w:r>
    </w:p>
    <w:p w14:paraId="38305431" w14:textId="77777777" w:rsidR="00255BC9" w:rsidRPr="00F04318" w:rsidRDefault="00255BC9">
      <w:pPr>
        <w:pStyle w:val="ListBullet"/>
      </w:pPr>
      <w:r w:rsidRPr="00F04318">
        <w:t>describe how FDF programs should work together within a broader agriculture system to drive incremental, transitional and transformational change</w:t>
      </w:r>
    </w:p>
    <w:p w14:paraId="311AA1B6" w14:textId="033425AC" w:rsidR="00255BC9" w:rsidRPr="00F04318" w:rsidRDefault="00255BC9">
      <w:pPr>
        <w:pStyle w:val="ListBullet"/>
      </w:pPr>
      <w:r w:rsidRPr="00F04318">
        <w:t xml:space="preserve">consider the need to change systems </w:t>
      </w:r>
      <w:r>
        <w:t>to</w:t>
      </w:r>
      <w:r w:rsidRPr="00F04318">
        <w:t xml:space="preserve"> support transformational change, </w:t>
      </w:r>
      <w:r w:rsidRPr="002E078C">
        <w:t xml:space="preserve">and articulate the rationale for prioritising key leverage points </w:t>
      </w:r>
      <w:r w:rsidR="00353C4C">
        <w:t>that</w:t>
      </w:r>
      <w:r w:rsidR="00353C4C" w:rsidRPr="002E078C">
        <w:t xml:space="preserve"> </w:t>
      </w:r>
      <w:r w:rsidRPr="002E078C">
        <w:t>would create maximum change</w:t>
      </w:r>
      <w:r w:rsidRPr="00F04318">
        <w:t xml:space="preserve"> </w:t>
      </w:r>
    </w:p>
    <w:p w14:paraId="65BA88A6" w14:textId="77777777" w:rsidR="00255BC9" w:rsidRDefault="00255BC9">
      <w:pPr>
        <w:pStyle w:val="ListBullet"/>
      </w:pPr>
      <w:r>
        <w:t>articulate</w:t>
      </w:r>
      <w:r w:rsidRPr="00F04318">
        <w:t xml:space="preserve"> roles of key participant</w:t>
      </w:r>
      <w:r>
        <w:t>s</w:t>
      </w:r>
      <w:r w:rsidRPr="00F04318">
        <w:t xml:space="preserve"> </w:t>
      </w:r>
      <w:r>
        <w:t xml:space="preserve">and their networks </w:t>
      </w:r>
      <w:r w:rsidRPr="00F04318">
        <w:t>(</w:t>
      </w:r>
      <w:r>
        <w:t>for example,</w:t>
      </w:r>
      <w:r w:rsidRPr="00F04318">
        <w:t xml:space="preserve"> </w:t>
      </w:r>
      <w:r>
        <w:t>natural resource management</w:t>
      </w:r>
      <w:r w:rsidRPr="00F04318">
        <w:t xml:space="preserve"> groups, grower groups</w:t>
      </w:r>
      <w:r>
        <w:t>, RDCs and innovation institutions</w:t>
      </w:r>
      <w:r w:rsidRPr="00F04318">
        <w:t>)</w:t>
      </w:r>
    </w:p>
    <w:p w14:paraId="401937B9" w14:textId="77777777" w:rsidR="00255BC9" w:rsidRPr="00F04318" w:rsidRDefault="00255BC9">
      <w:pPr>
        <w:pStyle w:val="ListBullet"/>
      </w:pPr>
      <w:r>
        <w:t>be used to guide what the Fund should strategically invest in, and in what sequence, in the short, medium and longer term.</w:t>
      </w:r>
      <w:r w:rsidRPr="00F04318">
        <w:t xml:space="preserve"> </w:t>
      </w:r>
    </w:p>
    <w:p w14:paraId="227B91DF" w14:textId="77777777" w:rsidR="00255BC9" w:rsidRDefault="00255BC9">
      <w:pPr>
        <w:pStyle w:val="Heading3"/>
      </w:pPr>
      <w:r>
        <w:lastRenderedPageBreak/>
        <w:t xml:space="preserve">Providing </w:t>
      </w:r>
      <w:r w:rsidDel="00FA0F39">
        <w:t xml:space="preserve">a </w:t>
      </w:r>
      <w:r>
        <w:t>detailed investment plan</w:t>
      </w:r>
    </w:p>
    <w:p w14:paraId="7997CD6F" w14:textId="77777777" w:rsidR="00255BC9" w:rsidRPr="003B54ED" w:rsidRDefault="00255BC9">
      <w:pPr>
        <w:pStyle w:val="BodyText"/>
      </w:pPr>
      <w:r w:rsidRPr="00D94936">
        <w:t xml:space="preserve">As outlined, establishing programs that are better </w:t>
      </w:r>
      <w:r>
        <w:t xml:space="preserve">planned, </w:t>
      </w:r>
      <w:r w:rsidRPr="00D94936">
        <w:t xml:space="preserve">sequenced </w:t>
      </w:r>
      <w:r>
        <w:t xml:space="preserve">and coordinated, </w:t>
      </w:r>
      <w:r w:rsidRPr="003B54ED">
        <w:t>and provide funding for longer periods</w:t>
      </w:r>
      <w:r>
        <w:t xml:space="preserve"> could better </w:t>
      </w:r>
      <w:r w:rsidRPr="00D94936">
        <w:t>achiev</w:t>
      </w:r>
      <w:r>
        <w:t>e</w:t>
      </w:r>
      <w:r w:rsidRPr="00D94936">
        <w:t xml:space="preserve"> long-term transformational </w:t>
      </w:r>
      <w:r>
        <w:t>change</w:t>
      </w:r>
      <w:r w:rsidRPr="003B54ED">
        <w:t xml:space="preserve">. </w:t>
      </w:r>
      <w:r>
        <w:t>The next Funding Plan should be accompanied by a more-detailed investment plan.</w:t>
      </w:r>
    </w:p>
    <w:p w14:paraId="4FB108B8" w14:textId="77777777" w:rsidR="00255BC9" w:rsidRDefault="00255BC9">
      <w:pPr>
        <w:pStyle w:val="BodyText"/>
      </w:pPr>
      <w:r>
        <w:t>This investment plan should provide information on:</w:t>
      </w:r>
    </w:p>
    <w:p w14:paraId="55A85C2D" w14:textId="77777777" w:rsidR="00255BC9" w:rsidRDefault="00255BC9">
      <w:pPr>
        <w:pStyle w:val="ListBullet"/>
      </w:pPr>
      <w:r>
        <w:t>the FDF’s investment priorities</w:t>
      </w:r>
    </w:p>
    <w:p w14:paraId="36E50250" w14:textId="77777777" w:rsidR="00255BC9" w:rsidRDefault="00255BC9">
      <w:pPr>
        <w:pStyle w:val="ListBullet"/>
      </w:pPr>
      <w:r>
        <w:t xml:space="preserve">the funding process, including how funding is to be delivered (for example, through a grant round or via a delivery partner) </w:t>
      </w:r>
    </w:p>
    <w:p w14:paraId="0A969A59" w14:textId="77777777" w:rsidR="00255BC9" w:rsidRDefault="00255BC9">
      <w:pPr>
        <w:pStyle w:val="ListBullet"/>
      </w:pPr>
      <w:r>
        <w:t>how funding is monitored and reported on</w:t>
      </w:r>
    </w:p>
    <w:p w14:paraId="4EABEF4B" w14:textId="77777777" w:rsidR="00255BC9" w:rsidRDefault="00255BC9">
      <w:pPr>
        <w:pStyle w:val="ListBullet"/>
      </w:pPr>
      <w:r>
        <w:t>the sequence and scale of FDF funding activities over the Funding Plan period</w:t>
      </w:r>
    </w:p>
    <w:p w14:paraId="3507FB78" w14:textId="77777777" w:rsidR="00255BC9" w:rsidRDefault="00255BC9">
      <w:pPr>
        <w:pStyle w:val="ListBullet"/>
      </w:pPr>
      <w:r>
        <w:t>the outcomes the funded activities are expected to achieve and how they contribute towards the FDF’s objectives</w:t>
      </w:r>
    </w:p>
    <w:p w14:paraId="0E4701AA" w14:textId="77777777" w:rsidR="00255BC9" w:rsidRDefault="00255BC9">
      <w:pPr>
        <w:pStyle w:val="ListBullet"/>
      </w:pPr>
      <w:r>
        <w:t>how the funded activities work together.</w:t>
      </w:r>
    </w:p>
    <w:p w14:paraId="55178CC8" w14:textId="5DBC9341" w:rsidR="00255BC9" w:rsidRPr="003B54ED" w:rsidRDefault="00255BC9">
      <w:pPr>
        <w:pStyle w:val="BodyText"/>
      </w:pPr>
      <w:r>
        <w:t>The investment plan should be contained in a separate document rather than as part of the Funding Plan. This will allow for flexibility in the timing of the investment plan development and for the investment plan to be adjusted if needed.</w:t>
      </w:r>
    </w:p>
    <w:p w14:paraId="0380AD13" w14:textId="77777777" w:rsidR="00255BC9" w:rsidRPr="005A7FF1" w:rsidRDefault="00255BC9">
      <w:pPr>
        <w:pStyle w:val="Heading3"/>
      </w:pPr>
      <w:r>
        <w:t>Improving the funding principles</w:t>
      </w:r>
    </w:p>
    <w:p w14:paraId="7A7C7243" w14:textId="77777777" w:rsidR="00255BC9" w:rsidRDefault="00255BC9">
      <w:pPr>
        <w:pStyle w:val="BodyText"/>
      </w:pPr>
      <w:r>
        <w:t>The Funding Plan has 17 ‘funding principles’ to provide direction and set rules for programs and grants. However, the purpose and audience of the principles are not consistent or clear.</w:t>
      </w:r>
    </w:p>
    <w:p w14:paraId="133875AB" w14:textId="55ACEE36" w:rsidR="00255BC9" w:rsidRDefault="00255BC9">
      <w:pPr>
        <w:pStyle w:val="BodyText"/>
      </w:pPr>
      <w:r w:rsidRPr="00406C7D">
        <w:rPr>
          <w:rFonts w:ascii="Arial (Body)" w:hAnsi="Arial (Body)"/>
          <w:color w:val="000000" w:themeColor="text1"/>
        </w:rPr>
        <w:t xml:space="preserve">While the wording in the </w:t>
      </w:r>
      <w:r>
        <w:rPr>
          <w:rFonts w:ascii="Arial (Body)" w:hAnsi="Arial (Body)"/>
          <w:color w:val="000000" w:themeColor="text1"/>
        </w:rPr>
        <w:t>F</w:t>
      </w:r>
      <w:r w:rsidRPr="00406C7D">
        <w:rPr>
          <w:rFonts w:ascii="Arial (Body)" w:hAnsi="Arial (Body)"/>
          <w:color w:val="000000" w:themeColor="text1"/>
        </w:rPr>
        <w:t xml:space="preserve">unding </w:t>
      </w:r>
      <w:r>
        <w:rPr>
          <w:rFonts w:ascii="Arial (Body)" w:hAnsi="Arial (Body)"/>
          <w:color w:val="000000" w:themeColor="text1"/>
        </w:rPr>
        <w:t>P</w:t>
      </w:r>
      <w:r w:rsidRPr="00406C7D">
        <w:rPr>
          <w:rFonts w:ascii="Arial (Body)" w:hAnsi="Arial (Body)"/>
          <w:color w:val="000000" w:themeColor="text1"/>
        </w:rPr>
        <w:t>lan implies the principles should apply to individual programs and grants, some</w:t>
      </w:r>
      <w:r>
        <w:t xml:space="preserve"> are more applicable to the Fund as a whole (for example, ‘support a range of activities or projects at a mixture of levels, such as the farm, regional or national level’). Some principles are ambiguous; for example, it is unclear what grant applicants would be expected to do to ‘recognise the diversity of people, businesses and landscapes involved in agricultural production, including Indigenous landholders’. In the case of the public good requirement, this principle appears to be interpreted generously.</w:t>
      </w:r>
    </w:p>
    <w:p w14:paraId="7806E860" w14:textId="77777777" w:rsidR="00255BC9" w:rsidRDefault="00255BC9">
      <w:pPr>
        <w:pStyle w:val="BodyText"/>
      </w:pPr>
      <w:r>
        <w:t>T</w:t>
      </w:r>
      <w:r w:rsidRPr="00304093">
        <w:t xml:space="preserve">he </w:t>
      </w:r>
      <w:r>
        <w:t xml:space="preserve">next Funding Plan should define which </w:t>
      </w:r>
      <w:r w:rsidRPr="00304093">
        <w:t>principles should be met collectively by the suite of FDF programs</w:t>
      </w:r>
      <w:r>
        <w:t xml:space="preserve"> </w:t>
      </w:r>
      <w:r w:rsidRPr="00304093">
        <w:t>and which principles should apply to each arrangement and grant</w:t>
      </w:r>
      <w:r>
        <w:t xml:space="preserve">. The principles should also be streamlined, and unnecessary principles removed. </w:t>
      </w:r>
    </w:p>
    <w:p w14:paraId="3C0DA11D" w14:textId="77777777" w:rsidR="00255BC9" w:rsidRPr="00D15D71" w:rsidRDefault="00255BC9" w:rsidP="00070A23">
      <w:pPr>
        <w:pStyle w:val="Heading2-nonumber"/>
      </w:pPr>
      <w:bookmarkStart w:id="27" w:name="_Toc136533993"/>
      <w:bookmarkStart w:id="28" w:name="_Toc136600682"/>
      <w:bookmarkStart w:id="29" w:name="_Toc136817000"/>
      <w:bookmarkStart w:id="30" w:name="_Toc137129754"/>
      <w:r>
        <w:t>Governance</w:t>
      </w:r>
      <w:bookmarkEnd w:id="27"/>
      <w:bookmarkEnd w:id="28"/>
      <w:bookmarkEnd w:id="29"/>
      <w:bookmarkEnd w:id="30"/>
    </w:p>
    <w:p w14:paraId="71EAA149" w14:textId="77777777" w:rsidR="00255BC9" w:rsidRDefault="00255BC9">
      <w:pPr>
        <w:pStyle w:val="BodyText"/>
      </w:pPr>
      <w:r>
        <w:t xml:space="preserve">The governance arrangements for the FDF are appropriate, given the size of the Fund and likely program risks, but there are concerns about how some arrangements are working in practice. </w:t>
      </w:r>
    </w:p>
    <w:p w14:paraId="513A5FDC" w14:textId="5942F319" w:rsidR="00255BC9" w:rsidRPr="00FB5570" w:rsidRDefault="00255BC9">
      <w:pPr>
        <w:pStyle w:val="BodyText"/>
      </w:pPr>
      <w:r>
        <w:t>There are doubts about the value of the Regional Investment Corporation (RIC) Board’s advisory role. There is limited evidence that the RIC’s Board’s advice has led to better outcomes, in part because the Board only advises at the end of program design. Concerns have also been raised about the costs and delays to programs due to seeking advice. The Commission believes the RIC Board’s role should be removed.</w:t>
      </w:r>
    </w:p>
    <w:p w14:paraId="477C5BF4" w14:textId="580C2B92" w:rsidR="00255BC9" w:rsidRPr="00965D11" w:rsidRDefault="00255BC9">
      <w:pPr>
        <w:pStyle w:val="BodyText"/>
      </w:pPr>
      <w:r>
        <w:t>Separately, t</w:t>
      </w:r>
      <w:r w:rsidRPr="00FB5570">
        <w:t xml:space="preserve">he legislated timing of the Productivity Commission </w:t>
      </w:r>
      <w:r>
        <w:t>inquiry</w:t>
      </w:r>
      <w:r w:rsidRPr="00FB5570">
        <w:t xml:space="preserve"> may not allow sufficient time for the Department</w:t>
      </w:r>
      <w:r>
        <w:t xml:space="preserve"> of Agriculture, Fisheries and Forestry</w:t>
      </w:r>
      <w:r w:rsidRPr="00FB5570">
        <w:t xml:space="preserve"> to develop </w:t>
      </w:r>
      <w:r>
        <w:t xml:space="preserve">and finalise </w:t>
      </w:r>
      <w:r w:rsidRPr="00C0287B">
        <w:t>a new Funding Plan</w:t>
      </w:r>
      <w:r>
        <w:t>.</w:t>
      </w:r>
      <w:r w:rsidRPr="005F3DD1">
        <w:rPr>
          <w:rFonts w:ascii="Arial" w:hAnsi="Arial" w:cs="Arial"/>
        </w:rPr>
        <w:t xml:space="preserve"> </w:t>
      </w:r>
      <w:r>
        <w:rPr>
          <w:rFonts w:ascii="Arial" w:hAnsi="Arial" w:cs="Arial"/>
        </w:rPr>
        <w:t>The Australian Government must request the review to begin before the end of the third year of the Funding Plan and the final report must be provided to Government at least five months before the end of the Funding Plan.</w:t>
      </w:r>
      <w:r w:rsidRPr="00965D11">
        <w:t xml:space="preserve"> </w:t>
      </w:r>
      <w:r w:rsidRPr="00965D11">
        <w:lastRenderedPageBreak/>
        <w:t>The Department has indicated the five</w:t>
      </w:r>
      <w:r w:rsidRPr="00965D11">
        <w:noBreakHyphen/>
        <w:t xml:space="preserve">month window leaves little time to appoint a new </w:t>
      </w:r>
      <w:r>
        <w:t>FDF</w:t>
      </w:r>
      <w:r w:rsidRPr="00965D11">
        <w:t xml:space="preserve"> Consultative Committee (due to occur in September), undertake engagement on a draft plan and finalise the Final Plan. The Minister is also required to publi</w:t>
      </w:r>
      <w:r>
        <w:t>sh</w:t>
      </w:r>
      <w:r w:rsidRPr="00965D11">
        <w:t xml:space="preserve"> the Productivity Commission review final report before determining a Funding Plan. The </w:t>
      </w:r>
      <w:r>
        <w:t xml:space="preserve">required time when the final report is to be provided to Government should be brought forward to at least eight months </w:t>
      </w:r>
      <w:r>
        <w:rPr>
          <w:rFonts w:ascii="Arial" w:hAnsi="Arial" w:cs="Arial"/>
        </w:rPr>
        <w:t>before the end of the four</w:t>
      </w:r>
      <w:r>
        <w:rPr>
          <w:rFonts w:ascii="Arial" w:hAnsi="Arial" w:cs="Arial"/>
        </w:rPr>
        <w:noBreakHyphen/>
        <w:t>year Funding Plan,</w:t>
      </w:r>
      <w:r w:rsidRPr="00CE221D">
        <w:t xml:space="preserve"> </w:t>
      </w:r>
      <w:r w:rsidRPr="00965D11">
        <w:t xml:space="preserve">to allow for sufficient time for Funding </w:t>
      </w:r>
      <w:r>
        <w:t>P</w:t>
      </w:r>
      <w:r w:rsidRPr="00965D11">
        <w:t xml:space="preserve">lan development and finalisation and ample opportunity for public consideration of the Commission’s final report. </w:t>
      </w:r>
    </w:p>
    <w:p w14:paraId="08E0821A" w14:textId="77777777" w:rsidR="00255BC9" w:rsidRPr="00AB5C9E" w:rsidRDefault="00255BC9" w:rsidP="00070A23">
      <w:pPr>
        <w:pStyle w:val="Heading2-nonumber"/>
      </w:pPr>
      <w:bookmarkStart w:id="31" w:name="_Toc136533994"/>
      <w:bookmarkStart w:id="32" w:name="_Toc136600683"/>
      <w:bookmarkStart w:id="33" w:name="_Toc136817001"/>
      <w:bookmarkStart w:id="34" w:name="_Toc137129755"/>
      <w:r>
        <w:t>Monitoring, evaluation and learning</w:t>
      </w:r>
      <w:bookmarkEnd w:id="31"/>
      <w:bookmarkEnd w:id="32"/>
      <w:bookmarkEnd w:id="33"/>
      <w:bookmarkEnd w:id="34"/>
    </w:p>
    <w:p w14:paraId="27EBC67C" w14:textId="4DAC094D" w:rsidR="00255BC9" w:rsidRDefault="00255BC9">
      <w:pPr>
        <w:pStyle w:val="BodyText"/>
      </w:pPr>
      <w:r w:rsidRPr="006F0D33">
        <w:rPr>
          <w:color w:val="000000" w:themeColor="text1"/>
        </w:rPr>
        <w:t>Monitoring, evaluating</w:t>
      </w:r>
      <w:r>
        <w:rPr>
          <w:color w:val="000000" w:themeColor="text1"/>
        </w:rPr>
        <w:t>, learning</w:t>
      </w:r>
      <w:r w:rsidRPr="006F0D33">
        <w:rPr>
          <w:color w:val="000000" w:themeColor="text1"/>
        </w:rPr>
        <w:t xml:space="preserve"> </w:t>
      </w:r>
      <w:r>
        <w:rPr>
          <w:color w:val="000000" w:themeColor="text1"/>
        </w:rPr>
        <w:t xml:space="preserve">(MEL) </w:t>
      </w:r>
      <w:r w:rsidRPr="006F0D33">
        <w:rPr>
          <w:color w:val="000000" w:themeColor="text1"/>
        </w:rPr>
        <w:t xml:space="preserve">and reporting on the performance of the </w:t>
      </w:r>
      <w:r>
        <w:rPr>
          <w:color w:val="000000" w:themeColor="text1"/>
        </w:rPr>
        <w:t>FDF</w:t>
      </w:r>
      <w:r w:rsidRPr="006F0D33">
        <w:rPr>
          <w:color w:val="000000" w:themeColor="text1"/>
        </w:rPr>
        <w:t xml:space="preserve"> is essential to ensuring </w:t>
      </w:r>
      <w:r>
        <w:rPr>
          <w:color w:val="000000" w:themeColor="text1"/>
        </w:rPr>
        <w:t xml:space="preserve">its success. MEL activities are needed to demonstrate progress towards drought resilience, </w:t>
      </w:r>
      <w:r>
        <w:t>support knowledge transfer, improve programs during implementation, and inform the development of new programs.</w:t>
      </w:r>
    </w:p>
    <w:p w14:paraId="1B2A4EE0" w14:textId="77777777" w:rsidR="00255BC9" w:rsidRDefault="00255BC9">
      <w:pPr>
        <w:pStyle w:val="BodyText"/>
        <w:rPr>
          <w:color w:val="000000" w:themeColor="text1"/>
        </w:rPr>
      </w:pPr>
      <w:r>
        <w:rPr>
          <w:color w:val="000000" w:themeColor="text1"/>
        </w:rPr>
        <w:t xml:space="preserve">The FDF’s MEL Framework outlines the rationale, scope and approach of monitoring and evaluating the FDF, its programs and its activities. Whilst some program MEL plans have been developed and MEL activities undertaken, the MEL system is not adequate to track overall Fund progress. </w:t>
      </w:r>
    </w:p>
    <w:p w14:paraId="4120BA52" w14:textId="47582760" w:rsidR="00255BC9" w:rsidRDefault="00255BC9">
      <w:pPr>
        <w:pStyle w:val="BodyText"/>
      </w:pPr>
      <w:r>
        <w:rPr>
          <w:color w:val="000000" w:themeColor="text1"/>
        </w:rPr>
        <w:t>The development and implementation of a comprehensive MEL system was</w:t>
      </w:r>
      <w:r>
        <w:t xml:space="preserve"> hampered by the quick roll-out of programs, and a lack of dedicated resource capability. MEL activities have focused largely on individual programs rather than the overall Fund. Further, the success measures and indicators for several programs focus on inputs or outputs, rather than outcomes, and as a result, assessments have provided limited understanding of how the program has contributed to drought resilience. The program theory has also had limited use in guiding what performance outcomes should be monitored. </w:t>
      </w:r>
    </w:p>
    <w:p w14:paraId="1F98B88D" w14:textId="2BF20905" w:rsidR="00255BC9" w:rsidRDefault="00255BC9">
      <w:pPr>
        <w:pStyle w:val="BodyText"/>
      </w:pPr>
      <w:r>
        <w:t xml:space="preserve">The Commission is seeking views on how to improve the underlying program theory and MEL activities of the Fund. </w:t>
      </w:r>
    </w:p>
    <w:p w14:paraId="40ECCE1E" w14:textId="77777777" w:rsidR="00255BC9" w:rsidRPr="008B30A3" w:rsidRDefault="00255BC9" w:rsidP="003B07D1">
      <w:pPr>
        <w:pStyle w:val="Heading2-nonumber"/>
      </w:pPr>
      <w:bookmarkStart w:id="35" w:name="_Toc136533995"/>
      <w:bookmarkStart w:id="36" w:name="_Toc136600684"/>
      <w:bookmarkStart w:id="37" w:name="_Toc136817002"/>
      <w:bookmarkStart w:id="38" w:name="_Toc137129756"/>
      <w:r>
        <w:t>Improving outcomes for Aboriginal and Torres Strait Islander people</w:t>
      </w:r>
      <w:bookmarkEnd w:id="35"/>
      <w:bookmarkEnd w:id="36"/>
      <w:bookmarkEnd w:id="37"/>
      <w:bookmarkEnd w:id="38"/>
      <w:r>
        <w:t xml:space="preserve"> </w:t>
      </w:r>
    </w:p>
    <w:p w14:paraId="57AC2705" w14:textId="77777777" w:rsidR="00255BC9" w:rsidRDefault="00255BC9">
      <w:pPr>
        <w:pStyle w:val="BodyText"/>
      </w:pPr>
      <w:r>
        <w:t>Aboriginal and Torres Strait Islander people have been caring for lands, waters and seas for tens of thousands of years, as an integral part of culture and identity. Many Aboriginal and Torres Strait Islander people are directly or indirectly involved in agriculture, across locations, sectors, roles, and applying a diverse mix of Traditional, Western, and mixed agricultural practices. However, they remain underrepresented in the sector.</w:t>
      </w:r>
    </w:p>
    <w:p w14:paraId="0261C7A8" w14:textId="352227DB" w:rsidR="00255BC9" w:rsidRPr="00875E39" w:rsidRDefault="00255BC9">
      <w:pPr>
        <w:pStyle w:val="BodyText"/>
        <w:rPr>
          <w:spacing w:val="-4"/>
        </w:rPr>
      </w:pPr>
      <w:r w:rsidRPr="00875E39">
        <w:rPr>
          <w:spacing w:val="-4"/>
        </w:rPr>
        <w:t>Many inquiry participants expressed interest in increasing participation of Aboriginal and Torres Strait Islander people in the Fund, including through applying Indigenous knowledges to build resilience. However, Aboriginal and Torres Strait Islander people have had limited roles in the FDF. Aboriginal and Torres Strait Islander participation was not prioritised during the setting of the objectives of the Fund, nor in its design, implementation, governance or decision-making mechanisms. The short</w:t>
      </w:r>
      <w:r w:rsidRPr="00875E39">
        <w:rPr>
          <w:spacing w:val="-4"/>
        </w:rPr>
        <w:noBreakHyphen/>
        <w:t>term nature of funding and narrow or strict grant requirements have posed additional barriers. Broader structural barriers such as the lack of clear protections for Indigenous Cultural and Intellectual Property, and mechanisms to ensure that Aboriginal and Torres Strait Islander people will benefit from sharing their traditional knowledges, have also impeded participation.</w:t>
      </w:r>
    </w:p>
    <w:p w14:paraId="7C352D87" w14:textId="6ADE4A12" w:rsidR="00255BC9" w:rsidRDefault="00255BC9">
      <w:pPr>
        <w:pStyle w:val="BodyText"/>
      </w:pPr>
      <w:r>
        <w:t xml:space="preserve">The next Funding Plan period represents an important opportunity to help foster strong, reciprocal and respectful partnerships with Aboriginal and Torres Strait Islander people, in ways that strengthen their </w:t>
      </w:r>
      <w:r>
        <w:lastRenderedPageBreak/>
        <w:t xml:space="preserve">participation in decision making about the Fund. There is potential for the FDF to benefit Aboriginal and Torres Strait Islander people and the wider sector. </w:t>
      </w:r>
    </w:p>
    <w:p w14:paraId="1F208869" w14:textId="510B8F52" w:rsidR="00255BC9" w:rsidRDefault="00255BC9">
      <w:pPr>
        <w:pStyle w:val="BodyText"/>
      </w:pPr>
      <w:r>
        <w:t>For the next Funding Plan,</w:t>
      </w:r>
      <w:r w:rsidRPr="006D2F28">
        <w:t xml:space="preserve"> </w:t>
      </w:r>
      <w:r>
        <w:t>i</w:t>
      </w:r>
      <w:r w:rsidRPr="006D2F28">
        <w:t xml:space="preserve">t </w:t>
      </w:r>
      <w:r>
        <w:t>will be</w:t>
      </w:r>
      <w:r w:rsidRPr="006D2F28">
        <w:t xml:space="preserve"> important that Aboriginal and Torres Strait Islander people define their goals for</w:t>
      </w:r>
      <w:r>
        <w:t xml:space="preserve"> </w:t>
      </w:r>
      <w:r w:rsidRPr="006D2F28">
        <w:t xml:space="preserve">participation </w:t>
      </w:r>
      <w:r>
        <w:t>in</w:t>
      </w:r>
      <w:r w:rsidRPr="006D2F28">
        <w:t xml:space="preserve"> the </w:t>
      </w:r>
      <w:r>
        <w:t>F</w:t>
      </w:r>
      <w:r w:rsidRPr="006D2F28">
        <w:t>und</w:t>
      </w:r>
      <w:r>
        <w:t xml:space="preserve">. The Department could consider establishing an appropriately resourced Aboriginal and Torres Strait Islander working group to work with the Department to improve the design and implementation of the Fund and several other actions relating to governance, MEL and funding streams. </w:t>
      </w:r>
    </w:p>
    <w:p w14:paraId="3E1DF1FF" w14:textId="77777777" w:rsidR="00255BC9" w:rsidRPr="009E77FB" w:rsidRDefault="00255BC9" w:rsidP="003B07D1">
      <w:pPr>
        <w:pStyle w:val="Heading2-nonumber"/>
      </w:pPr>
      <w:bookmarkStart w:id="39" w:name="_Toc136533996"/>
      <w:bookmarkStart w:id="40" w:name="_Toc136600685"/>
      <w:bookmarkStart w:id="41" w:name="_Toc136817003"/>
      <w:bookmarkStart w:id="42" w:name="_Toc137129757"/>
      <w:r>
        <w:t>Interim findings on key programs</w:t>
      </w:r>
      <w:bookmarkEnd w:id="39"/>
      <w:bookmarkEnd w:id="40"/>
      <w:bookmarkEnd w:id="41"/>
      <w:bookmarkEnd w:id="42"/>
    </w:p>
    <w:p w14:paraId="1DD992EA" w14:textId="77777777" w:rsidR="00255BC9" w:rsidRDefault="00255BC9">
      <w:pPr>
        <w:pStyle w:val="BodyText"/>
      </w:pPr>
      <w:r>
        <w:t>The Commission has identified a number of interim findings and recommendations across all programs under the FDF. Outlined below are the findings and recommendations associated with the key programs.</w:t>
      </w:r>
    </w:p>
    <w:p w14:paraId="3EE5D53A" w14:textId="77777777" w:rsidR="00255BC9" w:rsidRDefault="00255BC9">
      <w:pPr>
        <w:pStyle w:val="Heading3"/>
      </w:pPr>
      <w:r>
        <w:t xml:space="preserve">Climate information tools – Climate Services for Agriculture and Drought Resilience Self Assessment Tool </w:t>
      </w:r>
    </w:p>
    <w:p w14:paraId="1231F115" w14:textId="77777777" w:rsidR="00255BC9" w:rsidRDefault="00255BC9">
      <w:pPr>
        <w:pStyle w:val="BodyText"/>
      </w:pPr>
      <w:r>
        <w:t xml:space="preserve">CSA and DR.SAT are tools to provide better information to farmers about their climate risks. CSA is a digital platform providing historical, seasonal and future climate information enabling users to anticipate future climate conditions, draw comparisons with recent weather and consider what it could mean for the commodities they produce. DR.SAT </w:t>
      </w:r>
      <w:r w:rsidRPr="00A603AE">
        <w:t xml:space="preserve">is a resilience self-assessment tool designed to offer farm-scale information </w:t>
      </w:r>
      <w:r>
        <w:t xml:space="preserve">to </w:t>
      </w:r>
      <w:r w:rsidRPr="00A603AE">
        <w:t xml:space="preserve">assist farmers. </w:t>
      </w:r>
      <w:r>
        <w:t xml:space="preserve">It is </w:t>
      </w:r>
      <w:r w:rsidRPr="00A603AE">
        <w:t>intended to complement existing climate information tools</w:t>
      </w:r>
      <w:r>
        <w:t xml:space="preserve"> and relies on </w:t>
      </w:r>
      <w:r w:rsidRPr="00A603AE">
        <w:t>data from the CSA platform.</w:t>
      </w:r>
    </w:p>
    <w:p w14:paraId="20FA7265" w14:textId="4AC8F196" w:rsidR="00255BC9" w:rsidRDefault="00255BC9">
      <w:pPr>
        <w:pStyle w:val="BodyText"/>
      </w:pPr>
      <w:r>
        <w:t xml:space="preserve">Uptake of these tools has been modest given lack of awareness and limitations around user design and targeting. Moreover, it is unlikely that the tools have spurred significant on-farm change. There are also other climate information tools available to farmers, including tools tailored for specific sectors/commodities. There does not appear to be a compelling reason to have two separate, interdependent and at times overlapping tools. Based on participant feedback, the Commission is considering whether the FDF should continue funding for both CSA and DR.SAT or whether DR.SAT should be integrated into CSA. </w:t>
      </w:r>
    </w:p>
    <w:p w14:paraId="43035645" w14:textId="77777777" w:rsidR="00255BC9" w:rsidRDefault="00255BC9">
      <w:pPr>
        <w:pStyle w:val="Heading3"/>
      </w:pPr>
      <w:r w:rsidRPr="00EB26BD">
        <w:t xml:space="preserve">Farm Business Resilience </w:t>
      </w:r>
    </w:p>
    <w:p w14:paraId="72117D24" w14:textId="77777777" w:rsidR="00255BC9" w:rsidRPr="00875E39" w:rsidRDefault="00255BC9">
      <w:pPr>
        <w:pStyle w:val="BodyText"/>
        <w:rPr>
          <w:spacing w:val="-4"/>
        </w:rPr>
      </w:pPr>
      <w:r w:rsidRPr="00875E39">
        <w:rPr>
          <w:spacing w:val="-4"/>
        </w:rPr>
        <w:t>The FBR program helps farmers develop their management skills and funds tailored Farm Business Plans</w:t>
      </w:r>
      <w:bookmarkStart w:id="43" w:name="_Hlk135474534"/>
      <w:r w:rsidRPr="00875E39">
        <w:rPr>
          <w:spacing w:val="-4"/>
        </w:rPr>
        <w:t xml:space="preserve">. It subsidises learning and development opportunities in strategic business management, farm risk management and decision-making, natural resource management, and personal and social resilience. While it is too early to tell whether actions identified in plans are being implemented, participant feedback is positive. The program appears to be delivering largely private benefits but has the potential to generate returns for the wider community, especially if a greater priority is given to improved natural resource management. </w:t>
      </w:r>
      <w:bookmarkEnd w:id="43"/>
    </w:p>
    <w:p w14:paraId="23FAB362" w14:textId="77777777" w:rsidR="00255BC9" w:rsidRDefault="00255BC9">
      <w:pPr>
        <w:pStyle w:val="Heading3"/>
      </w:pPr>
      <w:r>
        <w:t>Regional Drought Resilience Planning</w:t>
      </w:r>
    </w:p>
    <w:p w14:paraId="63C08041" w14:textId="77777777" w:rsidR="00255BC9" w:rsidRDefault="00255BC9">
      <w:pPr>
        <w:pStyle w:val="BodyText"/>
      </w:pPr>
      <w:r w:rsidRPr="00F16D97">
        <w:t>The FDF</w:t>
      </w:r>
      <w:r w:rsidRPr="5F8CBBE7">
        <w:rPr>
          <w:i/>
          <w:iCs/>
        </w:rPr>
        <w:t xml:space="preserve"> </w:t>
      </w:r>
      <w:r>
        <w:t>funds Regional Drought Resilience Plans in partnership with the states and territories. Implementation has been affected by poor integration and sequencing, a lack of clear ownership and limited funding. In some</w:t>
      </w:r>
      <w:r w:rsidDel="00F1383A">
        <w:t xml:space="preserve"> </w:t>
      </w:r>
      <w:r>
        <w:t xml:space="preserve">cases, there are already existing/overlapping plans. Consequently, there is a high risk that the plans will not lead to tangible outcomes and could contribute to further confusion around regional priorities. We are considering how to improve the RDRP program through better integration with other FDF programs, stronger governance and public reporting. </w:t>
      </w:r>
    </w:p>
    <w:p w14:paraId="6B052CA8" w14:textId="77777777" w:rsidR="00255BC9" w:rsidRDefault="00255BC9">
      <w:pPr>
        <w:pStyle w:val="Heading3"/>
      </w:pPr>
      <w:r>
        <w:lastRenderedPageBreak/>
        <w:t>Drought Resilience Adoption and Innovation Hubs</w:t>
      </w:r>
    </w:p>
    <w:p w14:paraId="4A87AA16" w14:textId="77777777" w:rsidR="00255BC9" w:rsidRDefault="00255BC9">
      <w:pPr>
        <w:pStyle w:val="BodyText"/>
      </w:pPr>
      <w:r>
        <w:t>The eight</w:t>
      </w:r>
      <w:r w:rsidDel="00E24435">
        <w:t xml:space="preserve"> </w:t>
      </w:r>
      <w:r>
        <w:t xml:space="preserve">drought Hubs </w:t>
      </w:r>
      <w:r w:rsidRPr="00E24435">
        <w:t>are</w:t>
      </w:r>
      <w:r>
        <w:t xml:space="preserve"> intended to bring together regional stakeholders to develop local solutions to drought issues. Besides this coordination role, Hubs receive FDF funding and funding from other sources to develop, extend, adopt and commercialise drought resilient practices and technologies.</w:t>
      </w:r>
    </w:p>
    <w:p w14:paraId="5194DA1E" w14:textId="58B75DA1" w:rsidR="00255BC9" w:rsidRDefault="00255BC9">
      <w:pPr>
        <w:pStyle w:val="BodyText"/>
      </w:pPr>
      <w:r>
        <w:t xml:space="preserve">While the Hubs are only newly established, stakeholders are sometimes uncertain about the role of their local Hub, partly because of limited public reporting on their activities. There are concerns that Hubs are duplicating or competing with established services and networks. Despite these concerns, Hubs are a valuable regional presence for the FDF. </w:t>
      </w:r>
    </w:p>
    <w:p w14:paraId="1F7C2220" w14:textId="48D94149" w:rsidR="00255BC9" w:rsidRPr="00875E39" w:rsidRDefault="00255BC9">
      <w:pPr>
        <w:pStyle w:val="BodyText"/>
        <w:rPr>
          <w:spacing w:val="-2"/>
        </w:rPr>
      </w:pPr>
      <w:r w:rsidRPr="00875E39">
        <w:rPr>
          <w:spacing w:val="-2"/>
        </w:rPr>
        <w:t xml:space="preserve">Funding for Hubs should be extended beyond the end of this Funding Plan, however, continued funding for any individual Hub should be contingent on demonstrating adequate performance and governance in a review mid-way through the next funding cycle. Improvements are needed to ensure adequate accountability and clarity around the role of Hubs. The Department should provide a statement of expectations for each Hub. Each Hub could be required to publish a rolling forward work program identifying its priorities and performance benchmarks. A MEL plan for the Hubs program as a whole should be implemented. The Commission is also considering how to better integrate Hub priorities with the Regional Drought Resilience Plans. </w:t>
      </w:r>
    </w:p>
    <w:p w14:paraId="7835D5A7" w14:textId="77777777" w:rsidR="00255BC9" w:rsidRDefault="00255BC9">
      <w:pPr>
        <w:pStyle w:val="Heading3"/>
      </w:pPr>
      <w:r>
        <w:t>Drought Resilience Innovation grants</w:t>
      </w:r>
    </w:p>
    <w:p w14:paraId="44525211" w14:textId="41B538B9" w:rsidR="00255BC9" w:rsidRDefault="00255BC9">
      <w:pPr>
        <w:pStyle w:val="BodyText"/>
      </w:pPr>
      <w:r>
        <w:t xml:space="preserve">The </w:t>
      </w:r>
      <w:r w:rsidRPr="001861D2">
        <w:rPr>
          <w:i/>
        </w:rPr>
        <w:t>Drought Resilience Innovation Grants</w:t>
      </w:r>
      <w:r>
        <w:t xml:space="preserve"> program supports the development and adoption of new and innovative technologies and practices to improve the drought resilience of farmers and communities. </w:t>
      </w:r>
      <w:r w:rsidRPr="00493021">
        <w:t>A variety of projects are being supported at different stages of development, including early</w:t>
      </w:r>
      <w:r>
        <w:noBreakHyphen/>
      </w:r>
      <w:r w:rsidRPr="00493021">
        <w:t>stage proposals, feasibility testing for new products, processes and services and large-scale innovation projects.</w:t>
      </w:r>
      <w:r>
        <w:t xml:space="preserve"> </w:t>
      </w:r>
    </w:p>
    <w:p w14:paraId="25232D52" w14:textId="754B45E6" w:rsidR="00255BC9" w:rsidRDefault="00255BC9">
      <w:pPr>
        <w:pStyle w:val="BodyText"/>
      </w:pPr>
      <w:r>
        <w:t>T</w:t>
      </w:r>
      <w:r w:rsidRPr="00FB232C">
        <w:t>he Commission recognises there are a range of institutions undertaking agriculture innovation (such as universities, industry-led Research and Development Corporations</w:t>
      </w:r>
      <w:r>
        <w:t xml:space="preserve"> and</w:t>
      </w:r>
      <w:r w:rsidRPr="00FB232C">
        <w:t xml:space="preserve"> Cooperative Research Centres) and it is unclear where and how the FDF can and should complement this. The Commission is requesting further information on how the FDF can best add value in the existing innovation system. </w:t>
      </w:r>
    </w:p>
    <w:p w14:paraId="518E5FC8" w14:textId="77777777" w:rsidR="00255BC9" w:rsidRPr="00FB232C" w:rsidRDefault="00255BC9">
      <w:pPr>
        <w:pStyle w:val="BodyText"/>
      </w:pPr>
      <w:r>
        <w:t>To the extent there is a role for the FDF to support innovation, t</w:t>
      </w:r>
      <w:r w:rsidRPr="00FB232C">
        <w:t xml:space="preserve">he Commission </w:t>
      </w:r>
      <w:r>
        <w:t xml:space="preserve">considering the merits of </w:t>
      </w:r>
      <w:r w:rsidRPr="00FB232C">
        <w:t>rescop</w:t>
      </w:r>
      <w:r>
        <w:t xml:space="preserve">ing </w:t>
      </w:r>
      <w:r w:rsidRPr="00FB232C">
        <w:t xml:space="preserve">the program so that it better targets grants toward identified challenges. </w:t>
      </w:r>
    </w:p>
    <w:p w14:paraId="5DFD4FF3" w14:textId="77777777" w:rsidR="00255BC9" w:rsidRPr="00F27727" w:rsidRDefault="00255BC9">
      <w:pPr>
        <w:pStyle w:val="Heading3"/>
      </w:pPr>
      <w:r>
        <w:t>Natural resource management grant programs</w:t>
      </w:r>
    </w:p>
    <w:p w14:paraId="59F10461" w14:textId="0D9A7CC4" w:rsidR="00255BC9" w:rsidRPr="00F27727" w:rsidRDefault="00255BC9">
      <w:pPr>
        <w:pStyle w:val="BodyText"/>
      </w:pPr>
      <w:r>
        <w:t>The FDF has run three separate grant programs to improve natural resources management. The grant programs evolved from funding small-scale projects over one year to longer-term demonstration programs over three years. This evolution is more likely to deliver more enduring, transformative outcomes that deliver net benefits to the community. The Commission is considering recommending that the next Funding Plan include a natural resource management grant program.</w:t>
      </w:r>
    </w:p>
    <w:p w14:paraId="0E41D4AF" w14:textId="5C596C5A" w:rsidR="00255BC9" w:rsidRPr="00F27727" w:rsidRDefault="00255BC9">
      <w:pPr>
        <w:pStyle w:val="Heading3"/>
      </w:pPr>
      <w:r>
        <w:t xml:space="preserve">Better </w:t>
      </w:r>
      <w:r w:rsidR="0015116D">
        <w:t>P</w:t>
      </w:r>
      <w:r>
        <w:t xml:space="preserve">repared </w:t>
      </w:r>
      <w:r w:rsidR="0015116D">
        <w:t>C</w:t>
      </w:r>
      <w:r>
        <w:t>ommunities programs</w:t>
      </w:r>
    </w:p>
    <w:p w14:paraId="0E88F014" w14:textId="77777777" w:rsidR="00255BC9" w:rsidRDefault="00255BC9">
      <w:pPr>
        <w:pStyle w:val="BodyText"/>
      </w:pPr>
      <w:r>
        <w:t>The FDF has run three separate grant programs to improve the social resilience of communities. While there has been some positive feedback on these programs, it is inherently difficult to assess the lasting value of activities supported by these programs. It is also difficult to identify the exact gap in existing programs (Australian, state and territory) which the FDF can and should fill. Some FDF activities, such as Regional Drought Resilience Plans and the Hubs, could (directly or indirectly) support local social resilience.</w:t>
      </w:r>
    </w:p>
    <w:p w14:paraId="366EF314" w14:textId="6959C550" w:rsidR="00255BC9" w:rsidRDefault="00255BC9">
      <w:pPr>
        <w:pStyle w:val="BodyText"/>
      </w:pPr>
      <w:r>
        <w:lastRenderedPageBreak/>
        <w:t>While the triple bottom line approach is important, the Commission is considering ways to better target the role of the FDF in building social resilience. The Commission is canvasing three options for the community grant programs:</w:t>
      </w:r>
    </w:p>
    <w:p w14:paraId="59700880" w14:textId="77777777" w:rsidR="00255BC9" w:rsidRDefault="00255BC9">
      <w:pPr>
        <w:pStyle w:val="ListBullet"/>
      </w:pPr>
      <w:r>
        <w:t>maintain current arrangements and improve integration with other areas of the Fund</w:t>
      </w:r>
    </w:p>
    <w:p w14:paraId="3A030638" w14:textId="77777777" w:rsidR="00255BC9" w:rsidRDefault="00255BC9">
      <w:pPr>
        <w:pStyle w:val="ListBullet"/>
      </w:pPr>
      <w:r>
        <w:t>explicitly tie community grants to regional drought development plans</w:t>
      </w:r>
    </w:p>
    <w:p w14:paraId="21126584" w14:textId="77777777" w:rsidR="00255BC9" w:rsidRDefault="00255BC9">
      <w:pPr>
        <w:pStyle w:val="ListBullet"/>
      </w:pPr>
      <w:r w:rsidRPr="00E82BE9">
        <w:t>focusing the FDF on economic and environmental programs with social capital developed within these programs</w:t>
      </w:r>
      <w:r>
        <w:t>.</w:t>
      </w:r>
    </w:p>
    <w:p w14:paraId="41FB67F0" w14:textId="77777777" w:rsidR="00432038" w:rsidRDefault="00432038" w:rsidP="00AF6B4B">
      <w:pPr>
        <w:pStyle w:val="BodyText"/>
        <w:rPr>
          <w:noProof/>
        </w:rPr>
        <w:sectPr w:rsidR="00432038" w:rsidSect="00C74B46">
          <w:headerReference w:type="default" r:id="rId33"/>
          <w:type w:val="oddPage"/>
          <w:pgSz w:w="11906" w:h="16838" w:code="9"/>
          <w:pgMar w:top="1134" w:right="1134" w:bottom="1134" w:left="1134" w:header="794" w:footer="510" w:gutter="0"/>
          <w:pgNumType w:start="1"/>
          <w:cols w:space="708"/>
          <w:docGrid w:linePitch="360"/>
        </w:sectPr>
      </w:pPr>
    </w:p>
    <w:p w14:paraId="0EC3F25D" w14:textId="77777777" w:rsidR="009B2B33" w:rsidRDefault="009B2B33" w:rsidP="00B96A42">
      <w:pPr>
        <w:pStyle w:val="Heading1-nonumber"/>
      </w:pPr>
      <w:bookmarkStart w:id="44" w:name="_Toc137129758"/>
      <w:r>
        <w:lastRenderedPageBreak/>
        <w:t>Interim findings, recommendations and information requests</w:t>
      </w:r>
      <w:bookmarkEnd w:id="44"/>
    </w:p>
    <w:p w14:paraId="0E358D0A" w14:textId="77777777" w:rsidR="009B2B33" w:rsidRDefault="009B2B33" w:rsidP="003B07D1">
      <w:pPr>
        <w:pStyle w:val="Heading2-nonumber"/>
      </w:pPr>
      <w:bookmarkStart w:id="45" w:name="_Toc136533998"/>
      <w:bookmarkStart w:id="46" w:name="_Toc136600687"/>
      <w:bookmarkStart w:id="47" w:name="_Toc136817005"/>
      <w:bookmarkStart w:id="48" w:name="_Toc137129759"/>
      <w:r>
        <w:t>Future Drought Fund outcomes</w:t>
      </w:r>
      <w:bookmarkEnd w:id="45"/>
      <w:bookmarkEnd w:id="46"/>
      <w:bookmarkEnd w:id="47"/>
      <w:bookmarkEnd w:id="48"/>
    </w:p>
    <w:p w14:paraId="37707567" w14:textId="31671BAD" w:rsidR="009B2B33" w:rsidRDefault="009B2B33">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9B2B33" w14:paraId="06070743" w14:textId="77777777">
        <w:trPr>
          <w:trHeight w:val="765"/>
          <w:tblHeader/>
        </w:trPr>
        <w:tc>
          <w:tcPr>
            <w:tcW w:w="366" w:type="pct"/>
            <w:tcBorders>
              <w:top w:val="single" w:sz="4" w:space="0" w:color="66BCDB" w:themeColor="text2"/>
              <w:left w:val="single" w:sz="4" w:space="0" w:color="66BCDB" w:themeColor="text2"/>
              <w:bottom w:val="nil"/>
              <w:right w:val="nil"/>
            </w:tcBorders>
            <w:tcMar>
              <w:top w:w="0" w:type="dxa"/>
              <w:left w:w="108" w:type="dxa"/>
              <w:bottom w:w="0" w:type="dxa"/>
              <w:right w:w="108" w:type="dxa"/>
            </w:tcMar>
            <w:vAlign w:val="center"/>
            <w:hideMark/>
          </w:tcPr>
          <w:p w14:paraId="7054AFCE" w14:textId="77777777" w:rsidR="009B2B33" w:rsidRDefault="009B2B33">
            <w:pPr>
              <w:pStyle w:val="NoSpacing"/>
              <w:keepNext/>
              <w:keepLines/>
              <w:jc w:val="right"/>
            </w:pPr>
            <w:r>
              <w:rPr>
                <w:noProof/>
              </w:rPr>
              <w:drawing>
                <wp:inline distT="0" distB="0" distL="0" distR="0" wp14:anchorId="24D9C822" wp14:editId="51DF95EB">
                  <wp:extent cx="286385" cy="286385"/>
                  <wp:effectExtent l="0" t="0" r="0" b="0"/>
                  <wp:docPr id="663571909" name="Picture 6635719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extLst>
                              <a:ext uri="{C183D7F6-B498-43B3-948B-1728B52AA6E4}">
                                <adec:decorative xmlns:adec="http://schemas.microsoft.com/office/drawing/2017/decorative" val="1"/>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p>
        </w:tc>
        <w:tc>
          <w:tcPr>
            <w:tcW w:w="4634" w:type="pct"/>
            <w:tcBorders>
              <w:top w:val="single" w:sz="4" w:space="0" w:color="66BCDB" w:themeColor="text2"/>
              <w:left w:val="nil"/>
              <w:bottom w:val="nil"/>
              <w:right w:val="single" w:sz="4" w:space="0" w:color="66BCDB" w:themeColor="text2"/>
            </w:tcBorders>
            <w:tcMar>
              <w:top w:w="0" w:type="dxa"/>
              <w:left w:w="108" w:type="dxa"/>
              <w:bottom w:w="0" w:type="dxa"/>
              <w:right w:w="108" w:type="dxa"/>
            </w:tcMar>
            <w:vAlign w:val="center"/>
            <w:hideMark/>
          </w:tcPr>
          <w:p w14:paraId="7BE9654C" w14:textId="77777777" w:rsidR="009B2B33" w:rsidRDefault="009B2B33">
            <w:pPr>
              <w:pStyle w:val="TableHeading"/>
              <w:keepNext/>
              <w:keepLines/>
              <w:contextualSpacing/>
              <w:rPr>
                <w:sz w:val="20"/>
              </w:rPr>
            </w:pPr>
            <w:r>
              <w:rPr>
                <w:sz w:val="20"/>
              </w:rPr>
              <w:t>Interim finding 1</w:t>
            </w:r>
          </w:p>
          <w:p w14:paraId="43E0115D" w14:textId="77777777" w:rsidR="009B2B33" w:rsidRDefault="009B2B33">
            <w:pPr>
              <w:pStyle w:val="TableHeading"/>
              <w:keepNext/>
              <w:keepLines/>
              <w:spacing w:before="120" w:after="0"/>
              <w:contextualSpacing/>
              <w:rPr>
                <w:sz w:val="20"/>
              </w:rPr>
            </w:pPr>
            <w:r>
              <w:rPr>
                <w:sz w:val="20"/>
              </w:rPr>
              <w:t>The intent of the Future Drought Fund is sound, but it is too early to assess its impact</w:t>
            </w:r>
          </w:p>
        </w:tc>
      </w:tr>
      <w:tr w:rsidR="009B2B33" w14:paraId="070A99BE" w14:textId="77777777">
        <w:tc>
          <w:tcPr>
            <w:tcW w:w="5000" w:type="pct"/>
            <w:gridSpan w:val="2"/>
            <w:tcBorders>
              <w:top w:val="nil"/>
              <w:left w:val="single" w:sz="4" w:space="0" w:color="66BCDB" w:themeColor="text2"/>
              <w:bottom w:val="single" w:sz="4" w:space="0" w:color="66BCDB" w:themeColor="text2"/>
              <w:right w:val="single" w:sz="4" w:space="0" w:color="66BCDB" w:themeColor="text2"/>
            </w:tcBorders>
            <w:hideMark/>
          </w:tcPr>
          <w:p w14:paraId="56AE4D16" w14:textId="77777777" w:rsidR="009B2B33" w:rsidRDefault="009B2B33">
            <w:pPr>
              <w:pStyle w:val="BodyText"/>
              <w:keepLines/>
            </w:pPr>
            <w:r>
              <w:t xml:space="preserve">The Future Drought Fund (FDF) continues the shift in drought policy in Australia from in-drought assistance to building resilience to drought before drought occurs. </w:t>
            </w:r>
            <w:r w:rsidRPr="008731F3">
              <w:t xml:space="preserve">It is too early to assess the </w:t>
            </w:r>
            <w:r>
              <w:t>impact of</w:t>
            </w:r>
            <w:r w:rsidRPr="008731F3">
              <w:t xml:space="preserve"> the Fund and its programs.</w:t>
            </w:r>
          </w:p>
          <w:p w14:paraId="77D02439" w14:textId="77777777" w:rsidR="009B2B33" w:rsidRDefault="009B2B33">
            <w:pPr>
              <w:pStyle w:val="BodyText"/>
              <w:keepLines/>
            </w:pPr>
            <w:r w:rsidRPr="00C71A16">
              <w:t>Most FDF programs have a sound justification and align with the FDF’s objectives. However, some programs appear to be supporting activities which may be better delivered through other avenues.</w:t>
            </w:r>
          </w:p>
        </w:tc>
      </w:tr>
      <w:tr w:rsidR="009B2B33" w14:paraId="185F8C1B" w14:textId="77777777">
        <w:tc>
          <w:tcPr>
            <w:tcW w:w="5000" w:type="pct"/>
            <w:gridSpan w:val="2"/>
            <w:tcBorders>
              <w:top w:val="single" w:sz="4" w:space="0" w:color="66BCDB" w:themeColor="text2"/>
              <w:left w:val="nil"/>
              <w:bottom w:val="nil"/>
              <w:right w:val="nil"/>
            </w:tcBorders>
            <w:tcMar>
              <w:top w:w="0" w:type="dxa"/>
              <w:left w:w="108" w:type="dxa"/>
              <w:bottom w:w="0" w:type="dxa"/>
              <w:right w:w="108" w:type="dxa"/>
            </w:tcMar>
            <w:hideMark/>
          </w:tcPr>
          <w:p w14:paraId="3CB8CB64" w14:textId="3139BDA6" w:rsidR="009B2B33" w:rsidRDefault="009B2B33">
            <w:pPr>
              <w:pStyle w:val="NoSpacing"/>
              <w:spacing w:line="200" w:lineRule="atLeast"/>
            </w:pPr>
          </w:p>
        </w:tc>
      </w:tr>
    </w:tbl>
    <w:p w14:paraId="248E93F2" w14:textId="5CA7B703" w:rsidR="009B2B33" w:rsidRDefault="009B2B33">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9B2B33" w14:paraId="35490223" w14:textId="77777777">
        <w:trPr>
          <w:trHeight w:val="765"/>
          <w:tblHeader/>
        </w:trPr>
        <w:tc>
          <w:tcPr>
            <w:tcW w:w="366" w:type="pct"/>
            <w:tcBorders>
              <w:bottom w:val="nil"/>
            </w:tcBorders>
            <w:tcMar>
              <w:bottom w:w="0" w:type="dxa"/>
            </w:tcMar>
            <w:vAlign w:val="center"/>
          </w:tcPr>
          <w:p w14:paraId="0CCE5DDE" w14:textId="77777777" w:rsidR="009B2B33" w:rsidRDefault="009B2B33">
            <w:pPr>
              <w:pStyle w:val="NoSpacing"/>
              <w:keepNext/>
              <w:keepLines/>
              <w:jc w:val="right"/>
            </w:pPr>
            <w:r w:rsidRPr="00A51374">
              <w:rPr>
                <w:noProof/>
              </w:rPr>
              <w:drawing>
                <wp:inline distT="0" distB="0" distL="0" distR="0" wp14:anchorId="098742D9" wp14:editId="251C3695">
                  <wp:extent cx="288000" cy="288000"/>
                  <wp:effectExtent l="0" t="0" r="0" b="0"/>
                  <wp:docPr id="1672674666" name="Picture 16726746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63F3D4E7" w14:textId="77777777" w:rsidR="009B2B33" w:rsidRPr="00244E60" w:rsidRDefault="009B2B33">
            <w:pPr>
              <w:pStyle w:val="TableHeading"/>
              <w:keepNext/>
              <w:keepLines/>
              <w:spacing w:before="120" w:after="120"/>
              <w:contextualSpacing/>
              <w:rPr>
                <w:sz w:val="20"/>
              </w:rPr>
            </w:pPr>
            <w:r w:rsidRPr="00244E60">
              <w:rPr>
                <w:sz w:val="20"/>
              </w:rPr>
              <w:t xml:space="preserve">Interim finding </w:t>
            </w:r>
            <w:r>
              <w:rPr>
                <w:sz w:val="20"/>
              </w:rPr>
              <w:t>2</w:t>
            </w:r>
          </w:p>
          <w:p w14:paraId="1C3B9828" w14:textId="77777777" w:rsidR="009B2B33" w:rsidRDefault="009B2B33">
            <w:pPr>
              <w:pStyle w:val="TableHeading"/>
              <w:keepNext/>
              <w:keepLines/>
              <w:spacing w:before="120" w:after="120"/>
              <w:contextualSpacing/>
            </w:pPr>
            <w:r>
              <w:rPr>
                <w:sz w:val="20"/>
              </w:rPr>
              <w:t xml:space="preserve">Future Drought Fund design and delivery problems </w:t>
            </w:r>
            <w:r w:rsidDel="00D5597C">
              <w:rPr>
                <w:sz w:val="20"/>
              </w:rPr>
              <w:t xml:space="preserve">will </w:t>
            </w:r>
            <w:r>
              <w:rPr>
                <w:sz w:val="20"/>
              </w:rPr>
              <w:t>continue to constrain progress unless addressed</w:t>
            </w:r>
          </w:p>
        </w:tc>
      </w:tr>
      <w:tr w:rsidR="009B2B33" w14:paraId="5DB238CE" w14:textId="77777777">
        <w:tc>
          <w:tcPr>
            <w:tcW w:w="5000" w:type="pct"/>
            <w:gridSpan w:val="2"/>
            <w:tcBorders>
              <w:top w:val="nil"/>
              <w:bottom w:val="single" w:sz="4" w:space="0" w:color="66BCDB" w:themeColor="text2"/>
            </w:tcBorders>
          </w:tcPr>
          <w:p w14:paraId="4CE3B6C1" w14:textId="77777777" w:rsidR="009B2B33" w:rsidRDefault="009B2B33">
            <w:pPr>
              <w:pStyle w:val="BodyText"/>
              <w:keepLines/>
            </w:pPr>
            <w:r>
              <w:t>While the suite of Future Drought Fund (FDF) programs will likely improve drought resilience, problems with the design and delivery of the FDF and its programs will continue to constrain progress, including:</w:t>
            </w:r>
          </w:p>
          <w:p w14:paraId="56E6F33D" w14:textId="77777777" w:rsidR="009B2B33" w:rsidRDefault="009B2B33">
            <w:pPr>
              <w:pStyle w:val="ListBullet"/>
            </w:pPr>
            <w:r>
              <w:t>a lack of strategy to integrate and sequence programs</w:t>
            </w:r>
          </w:p>
          <w:p w14:paraId="750E3EED" w14:textId="77777777" w:rsidR="009B2B33" w:rsidRDefault="009B2B33">
            <w:pPr>
              <w:pStyle w:val="ListBullet"/>
            </w:pPr>
            <w:r>
              <w:t>too many disconnected and relatively small programs creating confusion and administrative costs</w:t>
            </w:r>
          </w:p>
          <w:p w14:paraId="3E910D26" w14:textId="77777777" w:rsidR="009B2B33" w:rsidRDefault="009B2B33">
            <w:pPr>
              <w:pStyle w:val="ListBullet"/>
            </w:pPr>
            <w:r>
              <w:t xml:space="preserve">barriers to knowledge sharing across the FDF. </w:t>
            </w:r>
          </w:p>
        </w:tc>
      </w:tr>
      <w:tr w:rsidR="009B2B33" w14:paraId="641FE8B3" w14:textId="77777777">
        <w:tc>
          <w:tcPr>
            <w:tcW w:w="5000" w:type="pct"/>
            <w:gridSpan w:val="2"/>
            <w:tcBorders>
              <w:top w:val="single" w:sz="4" w:space="0" w:color="66BCDB" w:themeColor="text2"/>
              <w:left w:val="nil"/>
              <w:bottom w:val="nil"/>
              <w:right w:val="nil"/>
            </w:tcBorders>
            <w:tcMar>
              <w:bottom w:w="0" w:type="dxa"/>
            </w:tcMar>
          </w:tcPr>
          <w:p w14:paraId="193A140D" w14:textId="5CBA0893" w:rsidR="009B2B33" w:rsidRDefault="009B2B33">
            <w:pPr>
              <w:pStyle w:val="NoSpacing"/>
              <w:spacing w:line="200" w:lineRule="atLeast"/>
            </w:pPr>
          </w:p>
        </w:tc>
      </w:tr>
    </w:tbl>
    <w:p w14:paraId="372EFAC9" w14:textId="74BC1A8A" w:rsidR="009B2B33" w:rsidRDefault="009B2B33">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9B2B33" w14:paraId="78920016" w14:textId="77777777">
        <w:trPr>
          <w:trHeight w:val="765"/>
          <w:tblHeader/>
        </w:trPr>
        <w:tc>
          <w:tcPr>
            <w:tcW w:w="366" w:type="pct"/>
            <w:tcBorders>
              <w:bottom w:val="nil"/>
            </w:tcBorders>
            <w:tcMar>
              <w:bottom w:w="0" w:type="dxa"/>
            </w:tcMar>
            <w:vAlign w:val="center"/>
          </w:tcPr>
          <w:p w14:paraId="2057D01B" w14:textId="77777777" w:rsidR="009B2B33" w:rsidRDefault="009B2B33" w:rsidP="00231C28">
            <w:pPr>
              <w:pStyle w:val="NoSpacing"/>
              <w:keepNext/>
              <w:keepLines/>
              <w:jc w:val="right"/>
            </w:pPr>
            <w:r w:rsidRPr="00A51374">
              <w:rPr>
                <w:noProof/>
              </w:rPr>
              <w:lastRenderedPageBreak/>
              <w:drawing>
                <wp:inline distT="0" distB="0" distL="0" distR="0" wp14:anchorId="4666AB00" wp14:editId="6BBAF3AB">
                  <wp:extent cx="288000" cy="288000"/>
                  <wp:effectExtent l="0" t="0" r="0" b="0"/>
                  <wp:docPr id="1812131445" name="Picture 18121314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63D7628A" w14:textId="77777777" w:rsidR="009B2B33" w:rsidRPr="00244E60" w:rsidRDefault="009B2B33" w:rsidP="00231C28">
            <w:pPr>
              <w:pStyle w:val="TableHeading"/>
              <w:keepNext/>
              <w:keepLines/>
              <w:spacing w:before="120" w:after="120"/>
              <w:contextualSpacing/>
              <w:rPr>
                <w:sz w:val="20"/>
              </w:rPr>
            </w:pPr>
            <w:r w:rsidRPr="00244E60">
              <w:rPr>
                <w:sz w:val="20"/>
              </w:rPr>
              <w:t xml:space="preserve">Interim finding </w:t>
            </w:r>
            <w:r>
              <w:rPr>
                <w:sz w:val="20"/>
              </w:rPr>
              <w:t>3</w:t>
            </w:r>
          </w:p>
          <w:p w14:paraId="58EC33F4" w14:textId="77777777" w:rsidR="009B2B33" w:rsidRDefault="009B2B33" w:rsidP="00231C28">
            <w:pPr>
              <w:pStyle w:val="TableHeading"/>
              <w:keepNext/>
              <w:keepLines/>
              <w:spacing w:before="120" w:after="120"/>
              <w:contextualSpacing/>
            </w:pPr>
            <w:r w:rsidRPr="00244E60">
              <w:rPr>
                <w:sz w:val="20"/>
              </w:rPr>
              <w:t xml:space="preserve">The </w:t>
            </w:r>
            <w:r>
              <w:rPr>
                <w:sz w:val="20"/>
              </w:rPr>
              <w:t>F</w:t>
            </w:r>
            <w:r w:rsidRPr="00244E60">
              <w:rPr>
                <w:sz w:val="20"/>
              </w:rPr>
              <w:t xml:space="preserve">unding </w:t>
            </w:r>
            <w:r>
              <w:rPr>
                <w:sz w:val="20"/>
              </w:rPr>
              <w:t>P</w:t>
            </w:r>
            <w:r w:rsidRPr="00244E60">
              <w:rPr>
                <w:sz w:val="20"/>
              </w:rPr>
              <w:t>lan</w:t>
            </w:r>
            <w:r w:rsidRPr="00244E60" w:rsidDel="00802D4D">
              <w:rPr>
                <w:sz w:val="20"/>
              </w:rPr>
              <w:t xml:space="preserve"> </w:t>
            </w:r>
            <w:r>
              <w:rPr>
                <w:sz w:val="20"/>
              </w:rPr>
              <w:t xml:space="preserve">does not provide </w:t>
            </w:r>
            <w:r w:rsidRPr="00244E60">
              <w:rPr>
                <w:sz w:val="20"/>
              </w:rPr>
              <w:t xml:space="preserve">clear </w:t>
            </w:r>
            <w:r>
              <w:rPr>
                <w:sz w:val="20"/>
              </w:rPr>
              <w:t xml:space="preserve">guidance on </w:t>
            </w:r>
            <w:r w:rsidRPr="00244E60">
              <w:rPr>
                <w:sz w:val="20"/>
              </w:rPr>
              <w:t>planning</w:t>
            </w:r>
            <w:r>
              <w:rPr>
                <w:sz w:val="20"/>
              </w:rPr>
              <w:t>, strategic sequencing</w:t>
            </w:r>
            <w:r w:rsidRPr="00244E60">
              <w:rPr>
                <w:sz w:val="20"/>
              </w:rPr>
              <w:t xml:space="preserve"> and </w:t>
            </w:r>
            <w:r>
              <w:rPr>
                <w:sz w:val="20"/>
              </w:rPr>
              <w:t>prioritisation of programs</w:t>
            </w:r>
          </w:p>
        </w:tc>
      </w:tr>
      <w:tr w:rsidR="009B2B33" w14:paraId="374D67F6" w14:textId="77777777">
        <w:tc>
          <w:tcPr>
            <w:tcW w:w="5000" w:type="pct"/>
            <w:gridSpan w:val="2"/>
            <w:tcBorders>
              <w:top w:val="nil"/>
              <w:bottom w:val="single" w:sz="4" w:space="0" w:color="66BCDB" w:themeColor="text2"/>
            </w:tcBorders>
          </w:tcPr>
          <w:p w14:paraId="141A5424" w14:textId="77777777" w:rsidR="009B2B33" w:rsidRDefault="009B2B33" w:rsidP="00231C28">
            <w:pPr>
              <w:pStyle w:val="BodyText"/>
              <w:keepNext/>
              <w:keepLines/>
            </w:pPr>
            <w:r>
              <w:t xml:space="preserve">The vision, aim, strategic priorities and objectives of the Drought Resilience Funding Plan 2020 to 2024 are broadly appropriate and consistent with the </w:t>
            </w:r>
            <w:r>
              <w:rPr>
                <w:i/>
                <w:iCs/>
              </w:rPr>
              <w:t>Future Drought Fund Act 2019</w:t>
            </w:r>
            <w:r>
              <w:t xml:space="preserve"> (Cth) and the National Drought Agreement. </w:t>
            </w:r>
          </w:p>
          <w:p w14:paraId="511A9E34" w14:textId="77777777" w:rsidR="009B2B33" w:rsidRDefault="009B2B33" w:rsidP="00231C28">
            <w:pPr>
              <w:pStyle w:val="BodyText"/>
              <w:keepNext/>
              <w:keepLines/>
              <w:spacing w:before="240"/>
            </w:pPr>
            <w:r>
              <w:t>However, the Funding Plan does not identify priorities or guide decisions about the mix of programs. Instead</w:t>
            </w:r>
            <w:r w:rsidDel="00C667C4">
              <w:t xml:space="preserve">, </w:t>
            </w:r>
            <w:r>
              <w:t xml:space="preserve">the Funding Plan includes detailed lists of a wide range of the types of activities that could possibly be funded. The absence of an overall strategy has likely contributed to a lack of appropriate sequencing and integration of programs. </w:t>
            </w:r>
          </w:p>
          <w:p w14:paraId="0534026B" w14:textId="77777777" w:rsidR="009B2B33" w:rsidRDefault="009B2B33" w:rsidP="00231C28">
            <w:pPr>
              <w:pStyle w:val="BodyText"/>
              <w:keepNext/>
              <w:keepLines/>
            </w:pPr>
            <w:r>
              <w:t xml:space="preserve">Many of the funding principles are ambiguous, could be strengthened and/or are not being applied in practice. It is also unclear whether they are intended to be applied across the suite of Future Drought Fund programs or apply to each arrangement and grant. </w:t>
            </w:r>
          </w:p>
        </w:tc>
      </w:tr>
      <w:tr w:rsidR="009B2B33" w14:paraId="469DC2BF" w14:textId="77777777">
        <w:tc>
          <w:tcPr>
            <w:tcW w:w="5000" w:type="pct"/>
            <w:gridSpan w:val="2"/>
            <w:tcBorders>
              <w:top w:val="single" w:sz="4" w:space="0" w:color="66BCDB" w:themeColor="text2"/>
              <w:left w:val="nil"/>
              <w:bottom w:val="nil"/>
              <w:right w:val="nil"/>
            </w:tcBorders>
            <w:tcMar>
              <w:bottom w:w="0" w:type="dxa"/>
            </w:tcMar>
          </w:tcPr>
          <w:p w14:paraId="2F9A1ED6" w14:textId="2A2FB403" w:rsidR="009B2B33" w:rsidRDefault="009B2B33" w:rsidP="00231C28">
            <w:pPr>
              <w:pStyle w:val="NoSpacing"/>
              <w:keepNext/>
              <w:keepLines/>
              <w:spacing w:line="200" w:lineRule="atLeast"/>
            </w:pPr>
          </w:p>
        </w:tc>
      </w:tr>
    </w:tbl>
    <w:p w14:paraId="2D44EC69" w14:textId="555D6EF6" w:rsidR="009B2B33" w:rsidRDefault="00205B8C" w:rsidP="003B07D1">
      <w:pPr>
        <w:pStyle w:val="Heading2-nonumber"/>
      </w:pPr>
      <w:bookmarkStart w:id="49" w:name="_Toc136600688"/>
      <w:bookmarkStart w:id="50" w:name="_Toc136817006"/>
      <w:bookmarkStart w:id="51" w:name="_Toc137129760"/>
      <w:r>
        <w:t>Next steps for the Future Drought Fund</w:t>
      </w:r>
      <w:bookmarkEnd w:id="49"/>
      <w:bookmarkEnd w:id="50"/>
      <w:bookmarkEnd w:id="51"/>
    </w:p>
    <w:p w14:paraId="482E3583" w14:textId="4A40CFAF" w:rsidR="009B2B33" w:rsidRDefault="009B2B33">
      <w:pPr>
        <w:pStyle w:val="NoSpacing"/>
      </w:pPr>
    </w:p>
    <w:tbl>
      <w:tblPr>
        <w:tblStyle w:val="Texttable-Paleblue"/>
        <w:tblW w:w="5000" w:type="pct"/>
        <w:tblLook w:val="04A0" w:firstRow="1" w:lastRow="0" w:firstColumn="1" w:lastColumn="0" w:noHBand="0" w:noVBand="1"/>
      </w:tblPr>
      <w:tblGrid>
        <w:gridCol w:w="713"/>
        <w:gridCol w:w="8925"/>
      </w:tblGrid>
      <w:tr w:rsidR="009B2B33" w14:paraId="37E1F137" w14:textId="77777777">
        <w:trPr>
          <w:tblHeader/>
        </w:trPr>
        <w:tc>
          <w:tcPr>
            <w:tcW w:w="709" w:type="dxa"/>
            <w:shd w:val="clear" w:color="auto" w:fill="E7F6FD"/>
            <w:tcMar>
              <w:top w:w="0" w:type="dxa"/>
              <w:bottom w:w="0" w:type="dxa"/>
            </w:tcMar>
            <w:vAlign w:val="center"/>
          </w:tcPr>
          <w:p w14:paraId="2FC7B35D" w14:textId="77777777" w:rsidR="009B2B33" w:rsidRDefault="009B2B33">
            <w:pPr>
              <w:keepLines/>
              <w:jc w:val="center"/>
            </w:pPr>
            <w:r w:rsidRPr="00A51374">
              <w:rPr>
                <w:noProof/>
              </w:rPr>
              <w:drawing>
                <wp:inline distT="0" distB="0" distL="0" distR="0" wp14:anchorId="7E22CAB3" wp14:editId="17C71E4E">
                  <wp:extent cx="288000" cy="288000"/>
                  <wp:effectExtent l="0" t="0" r="0" b="0"/>
                  <wp:docPr id="1857090436" name="Picture 18570904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88000" cy="288000"/>
                          </a:xfrm>
                          <a:prstGeom prst="rect">
                            <a:avLst/>
                          </a:prstGeom>
                        </pic:spPr>
                      </pic:pic>
                    </a:graphicData>
                  </a:graphic>
                </wp:inline>
              </w:drawing>
            </w:r>
          </w:p>
        </w:tc>
        <w:tc>
          <w:tcPr>
            <w:tcW w:w="8874" w:type="dxa"/>
            <w:shd w:val="clear" w:color="auto" w:fill="E7F6FD"/>
            <w:tcMar>
              <w:top w:w="0" w:type="dxa"/>
              <w:bottom w:w="0" w:type="dxa"/>
            </w:tcMar>
            <w:vAlign w:val="center"/>
          </w:tcPr>
          <w:p w14:paraId="1B38C949" w14:textId="77777777" w:rsidR="009B2B33" w:rsidRPr="00740218" w:rsidRDefault="009B2B33">
            <w:pPr>
              <w:pStyle w:val="TableHeading"/>
              <w:keepLines/>
              <w:spacing w:before="120" w:after="120"/>
              <w:contextualSpacing/>
              <w:rPr>
                <w:sz w:val="20"/>
              </w:rPr>
            </w:pPr>
            <w:r w:rsidRPr="00740218">
              <w:rPr>
                <w:sz w:val="20"/>
              </w:rPr>
              <w:t>Interim recommendation</w:t>
            </w:r>
            <w:r w:rsidRPr="00740218" w:rsidDel="002A5078">
              <w:rPr>
                <w:sz w:val="20"/>
              </w:rPr>
              <w:t xml:space="preserve"> </w:t>
            </w:r>
            <w:r>
              <w:rPr>
                <w:sz w:val="20"/>
              </w:rPr>
              <w:t>1</w:t>
            </w:r>
          </w:p>
          <w:p w14:paraId="6C8EA878" w14:textId="77777777" w:rsidR="009B2B33" w:rsidRPr="00715040" w:rsidRDefault="009B2B33">
            <w:pPr>
              <w:pStyle w:val="TableHeading"/>
              <w:keepLines/>
              <w:spacing w:before="120" w:after="120"/>
              <w:contextualSpacing/>
            </w:pPr>
            <w:r>
              <w:rPr>
                <w:sz w:val="20"/>
              </w:rPr>
              <w:t>Building resilience to climate change should be more explicitly recognised as an objective</w:t>
            </w:r>
            <w:r w:rsidRPr="00740218">
              <w:rPr>
                <w:sz w:val="20"/>
              </w:rPr>
              <w:t xml:space="preserve"> </w:t>
            </w:r>
          </w:p>
        </w:tc>
      </w:tr>
      <w:tr w:rsidR="009B2B33" w14:paraId="10176F09" w14:textId="77777777">
        <w:tc>
          <w:tcPr>
            <w:tcW w:w="9583" w:type="dxa"/>
            <w:gridSpan w:val="2"/>
            <w:shd w:val="clear" w:color="auto" w:fill="E7F6FD"/>
            <w:tcMar>
              <w:top w:w="0" w:type="dxa"/>
            </w:tcMar>
          </w:tcPr>
          <w:p w14:paraId="71EF9AED" w14:textId="77777777" w:rsidR="009B2B33" w:rsidRPr="00767EAE" w:rsidRDefault="009B2B33">
            <w:pPr>
              <w:pStyle w:val="BodyText"/>
              <w:keepLines/>
            </w:pPr>
            <w:r>
              <w:t>The scope of the Future Drought Fund should be clarified to explicitly recognise building resilience to climate change</w:t>
            </w:r>
            <w:r w:rsidRPr="009856AA">
              <w:t>.</w:t>
            </w:r>
          </w:p>
        </w:tc>
      </w:tr>
      <w:tr w:rsidR="009B2B33" w14:paraId="4661E8AE" w14:textId="77777777">
        <w:tc>
          <w:tcPr>
            <w:tcW w:w="9583" w:type="dxa"/>
            <w:gridSpan w:val="2"/>
            <w:shd w:val="clear" w:color="auto" w:fill="auto"/>
            <w:tcMar>
              <w:top w:w="0" w:type="dxa"/>
              <w:bottom w:w="0" w:type="dxa"/>
            </w:tcMar>
          </w:tcPr>
          <w:p w14:paraId="6E0B6656" w14:textId="5B0B9068" w:rsidR="009B2B33" w:rsidRPr="00B214C0" w:rsidRDefault="009B2B33">
            <w:pPr>
              <w:pStyle w:val="NoSpacing"/>
              <w:spacing w:line="200" w:lineRule="exact"/>
            </w:pPr>
          </w:p>
        </w:tc>
      </w:tr>
    </w:tbl>
    <w:p w14:paraId="3528235E" w14:textId="25CD0EDC" w:rsidR="009B2B33" w:rsidRDefault="009B2B33">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9B2B33" w14:paraId="14C57D01" w14:textId="77777777">
        <w:trPr>
          <w:trHeight w:val="765"/>
          <w:tblHeader/>
        </w:trPr>
        <w:tc>
          <w:tcPr>
            <w:tcW w:w="366" w:type="pct"/>
            <w:shd w:val="clear" w:color="auto" w:fill="EBEBEB"/>
            <w:tcMar>
              <w:bottom w:w="0" w:type="dxa"/>
            </w:tcMar>
            <w:vAlign w:val="center"/>
          </w:tcPr>
          <w:p w14:paraId="5FE1A3EA" w14:textId="77777777" w:rsidR="009B2B33" w:rsidRDefault="009B2B33">
            <w:pPr>
              <w:pStyle w:val="NoSpacing"/>
              <w:keepNext/>
              <w:keepLines/>
              <w:jc w:val="right"/>
            </w:pPr>
            <w:r w:rsidRPr="00A51374">
              <w:rPr>
                <w:noProof/>
              </w:rPr>
              <w:drawing>
                <wp:inline distT="0" distB="0" distL="0" distR="0" wp14:anchorId="4CE251C1" wp14:editId="21673487">
                  <wp:extent cx="288000" cy="288000"/>
                  <wp:effectExtent l="0" t="0" r="0" b="0"/>
                  <wp:docPr id="172329564" name="Picture 1723295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6E5A2EE2" w14:textId="77777777" w:rsidR="009B2B33" w:rsidRPr="002530FF" w:rsidRDefault="009B2B33">
            <w:pPr>
              <w:pStyle w:val="TableHeading"/>
              <w:keepNext/>
              <w:keepLines/>
              <w:spacing w:before="120" w:after="120"/>
              <w:contextualSpacing/>
            </w:pPr>
            <w:r w:rsidRPr="00B20CD5">
              <w:rPr>
                <w:sz w:val="20"/>
              </w:rPr>
              <w:t xml:space="preserve">Information request </w:t>
            </w:r>
            <w:r>
              <w:rPr>
                <w:sz w:val="20"/>
              </w:rPr>
              <w:t>1</w:t>
            </w:r>
            <w:r w:rsidRPr="002530FF">
              <w:t xml:space="preserve"> </w:t>
            </w:r>
          </w:p>
        </w:tc>
      </w:tr>
      <w:tr w:rsidR="009B2B33" w14:paraId="07ADE05D" w14:textId="77777777">
        <w:tc>
          <w:tcPr>
            <w:tcW w:w="5000" w:type="pct"/>
            <w:gridSpan w:val="2"/>
            <w:shd w:val="clear" w:color="auto" w:fill="EBEBEB"/>
          </w:tcPr>
          <w:p w14:paraId="77594E3A" w14:textId="77777777" w:rsidR="009B2B33" w:rsidRDefault="009B2B33">
            <w:pPr>
              <w:pStyle w:val="BodyText"/>
              <w:keepNext/>
              <w:keepLines/>
              <w:rPr>
                <w:color w:val="265A9A" w:themeColor="background2"/>
              </w:rPr>
            </w:pPr>
            <w:r>
              <w:rPr>
                <w:color w:val="265A9A" w:themeColor="background2"/>
              </w:rPr>
              <w:t xml:space="preserve">Explicitly recognising climate change resilience as a priority for the </w:t>
            </w:r>
            <w:r w:rsidRPr="00AC6E97">
              <w:rPr>
                <w:color w:val="265A9A" w:themeColor="background2"/>
              </w:rPr>
              <w:t xml:space="preserve">Future Drought Fund </w:t>
            </w:r>
            <w:r>
              <w:rPr>
                <w:color w:val="265A9A" w:themeColor="background2"/>
              </w:rPr>
              <w:t>could increase the types of activities eligible for funding. The Commission is seeking views on this proposed change, including:</w:t>
            </w:r>
          </w:p>
          <w:p w14:paraId="381AF01F" w14:textId="77777777" w:rsidR="009B2B33" w:rsidRDefault="009B2B33">
            <w:pPr>
              <w:pStyle w:val="ListBullet"/>
              <w:rPr>
                <w:color w:val="265A9A" w:themeColor="background2"/>
              </w:rPr>
            </w:pPr>
            <w:r w:rsidRPr="006C6443">
              <w:rPr>
                <w:color w:val="265A9A" w:themeColor="background2"/>
              </w:rPr>
              <w:t>given</w:t>
            </w:r>
            <w:r w:rsidRPr="00173858">
              <w:rPr>
                <w:color w:val="265A9A" w:themeColor="background2"/>
              </w:rPr>
              <w:t xml:space="preserve"> the limited resources available to the Fund, </w:t>
            </w:r>
            <w:r>
              <w:rPr>
                <w:color w:val="265A9A" w:themeColor="background2"/>
              </w:rPr>
              <w:t>what</w:t>
            </w:r>
            <w:r w:rsidRPr="00173858">
              <w:rPr>
                <w:color w:val="265A9A" w:themeColor="background2"/>
              </w:rPr>
              <w:t xml:space="preserve"> </w:t>
            </w:r>
            <w:r>
              <w:rPr>
                <w:color w:val="265A9A" w:themeColor="background2"/>
              </w:rPr>
              <w:t xml:space="preserve">climate change resilience activities </w:t>
            </w:r>
            <w:r w:rsidRPr="00173858">
              <w:rPr>
                <w:color w:val="265A9A" w:themeColor="background2"/>
              </w:rPr>
              <w:t xml:space="preserve">should </w:t>
            </w:r>
            <w:r>
              <w:rPr>
                <w:color w:val="265A9A" w:themeColor="background2"/>
              </w:rPr>
              <w:t xml:space="preserve">and should not be </w:t>
            </w:r>
            <w:r w:rsidRPr="00173858">
              <w:rPr>
                <w:color w:val="265A9A" w:themeColor="background2"/>
              </w:rPr>
              <w:t>funded?</w:t>
            </w:r>
          </w:p>
          <w:p w14:paraId="7C7AA236" w14:textId="77777777" w:rsidR="009B2B33" w:rsidRPr="00EC59CA" w:rsidRDefault="009B2B33">
            <w:pPr>
              <w:pStyle w:val="ListBullet"/>
              <w:rPr>
                <w:color w:val="265A9A" w:themeColor="background2"/>
              </w:rPr>
            </w:pPr>
            <w:r>
              <w:rPr>
                <w:color w:val="265A9A" w:themeColor="background2"/>
              </w:rPr>
              <w:t xml:space="preserve">whether </w:t>
            </w:r>
            <w:r w:rsidRPr="006C6443">
              <w:rPr>
                <w:color w:val="265A9A" w:themeColor="background2"/>
              </w:rPr>
              <w:t xml:space="preserve">changes </w:t>
            </w:r>
            <w:r>
              <w:rPr>
                <w:color w:val="265A9A" w:themeColor="background2"/>
              </w:rPr>
              <w:t xml:space="preserve">are needed </w:t>
            </w:r>
            <w:r w:rsidRPr="006C6443">
              <w:rPr>
                <w:color w:val="265A9A" w:themeColor="background2"/>
              </w:rPr>
              <w:t>to the governance arrangements of the Fund</w:t>
            </w:r>
            <w:r>
              <w:rPr>
                <w:color w:val="265A9A" w:themeColor="background2"/>
              </w:rPr>
              <w:t>.</w:t>
            </w:r>
          </w:p>
        </w:tc>
      </w:tr>
      <w:tr w:rsidR="009B2B33" w14:paraId="708CD3F9" w14:textId="77777777">
        <w:tc>
          <w:tcPr>
            <w:tcW w:w="5000" w:type="pct"/>
            <w:gridSpan w:val="2"/>
            <w:tcMar>
              <w:bottom w:w="0" w:type="dxa"/>
            </w:tcMar>
          </w:tcPr>
          <w:p w14:paraId="3485153F" w14:textId="24F636F9" w:rsidR="009B2B33" w:rsidRDefault="009B2B33">
            <w:pPr>
              <w:pStyle w:val="NoSpacing"/>
              <w:spacing w:line="200" w:lineRule="atLeast"/>
            </w:pPr>
          </w:p>
        </w:tc>
      </w:tr>
    </w:tbl>
    <w:p w14:paraId="65ACD93D" w14:textId="70565302" w:rsidR="009B2B33" w:rsidRDefault="009B2B33">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9B2B33" w14:paraId="33945178" w14:textId="77777777">
        <w:trPr>
          <w:trHeight w:val="765"/>
          <w:tblHeader/>
        </w:trPr>
        <w:tc>
          <w:tcPr>
            <w:tcW w:w="366" w:type="pct"/>
            <w:shd w:val="clear" w:color="auto" w:fill="EBEBEB"/>
            <w:tcMar>
              <w:bottom w:w="0" w:type="dxa"/>
            </w:tcMar>
            <w:vAlign w:val="center"/>
          </w:tcPr>
          <w:p w14:paraId="3316D4A6" w14:textId="77777777" w:rsidR="009B2B33" w:rsidRDefault="009B2B33">
            <w:pPr>
              <w:pStyle w:val="NoSpacing"/>
              <w:keepNext/>
              <w:keepLines/>
              <w:jc w:val="right"/>
            </w:pPr>
            <w:r w:rsidRPr="00A51374">
              <w:rPr>
                <w:noProof/>
              </w:rPr>
              <w:lastRenderedPageBreak/>
              <w:drawing>
                <wp:inline distT="0" distB="0" distL="0" distR="0" wp14:anchorId="0F56E99A" wp14:editId="144C6229">
                  <wp:extent cx="288000" cy="288000"/>
                  <wp:effectExtent l="0" t="0" r="0" b="0"/>
                  <wp:docPr id="743845599" name="Picture 7438455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0DE8B5D4" w14:textId="77777777" w:rsidR="009B2B33" w:rsidRPr="002530FF" w:rsidRDefault="009B2B33">
            <w:pPr>
              <w:pStyle w:val="TableHeading"/>
              <w:keepNext/>
              <w:keepLines/>
              <w:spacing w:before="120" w:after="120"/>
              <w:contextualSpacing/>
              <w:rPr>
                <w:sz w:val="20"/>
              </w:rPr>
            </w:pPr>
            <w:r w:rsidRPr="000B0B71">
              <w:rPr>
                <w:sz w:val="20"/>
              </w:rPr>
              <w:t xml:space="preserve">Information request </w:t>
            </w:r>
            <w:r>
              <w:rPr>
                <w:sz w:val="20"/>
              </w:rPr>
              <w:t>2</w:t>
            </w:r>
          </w:p>
        </w:tc>
      </w:tr>
      <w:tr w:rsidR="009B2B33" w14:paraId="446936FA" w14:textId="77777777">
        <w:tc>
          <w:tcPr>
            <w:tcW w:w="5000" w:type="pct"/>
            <w:gridSpan w:val="2"/>
            <w:shd w:val="clear" w:color="auto" w:fill="EBEBEB"/>
          </w:tcPr>
          <w:p w14:paraId="5C063F0F" w14:textId="77777777" w:rsidR="009B2B33" w:rsidRPr="00087CF5" w:rsidRDefault="009B2B33">
            <w:pPr>
              <w:pStyle w:val="BodyText"/>
              <w:keepNext/>
              <w:keepLines/>
              <w:rPr>
                <w:color w:val="265A9A" w:themeColor="background2"/>
                <w:spacing w:val="-2"/>
              </w:rPr>
            </w:pPr>
            <w:r w:rsidRPr="00087CF5">
              <w:rPr>
                <w:color w:val="265A9A" w:themeColor="background2"/>
                <w:spacing w:val="-2"/>
              </w:rPr>
              <w:t xml:space="preserve">The Commission is seeking views on whether and how the Future Drought Fund can achieve greater environmental and economic resilience through more investment in natural resource management activities. </w:t>
            </w:r>
          </w:p>
          <w:p w14:paraId="76AE13D0" w14:textId="77777777" w:rsidR="009B2B33" w:rsidRDefault="009B2B33">
            <w:pPr>
              <w:pStyle w:val="BodyText"/>
              <w:keepNext/>
              <w:keepLines/>
              <w:rPr>
                <w:color w:val="265A9A" w:themeColor="background2"/>
              </w:rPr>
            </w:pPr>
            <w:r>
              <w:rPr>
                <w:color w:val="265A9A" w:themeColor="background2"/>
              </w:rPr>
              <w:t>The Commission is also seeking views on:</w:t>
            </w:r>
          </w:p>
          <w:p w14:paraId="0F3B0BF3" w14:textId="77777777" w:rsidR="009B2B33" w:rsidRDefault="009B2B33">
            <w:pPr>
              <w:pStyle w:val="ListBullet"/>
              <w:rPr>
                <w:color w:val="265A9A" w:themeColor="background2"/>
              </w:rPr>
            </w:pPr>
            <w:r>
              <w:rPr>
                <w:color w:val="265A9A" w:themeColor="background2"/>
              </w:rPr>
              <w:t xml:space="preserve">how existing programs could be adjusted, and what activities should be funded, to achieve </w:t>
            </w:r>
            <w:r w:rsidRPr="7A1BFC34">
              <w:rPr>
                <w:color w:val="265A9A" w:themeColor="background2"/>
              </w:rPr>
              <w:t>mutually reinforcing environmental and economic benefits</w:t>
            </w:r>
            <w:r>
              <w:rPr>
                <w:color w:val="265A9A" w:themeColor="background2"/>
              </w:rPr>
              <w:t xml:space="preserve"> </w:t>
            </w:r>
          </w:p>
          <w:p w14:paraId="674626A4" w14:textId="77777777" w:rsidR="009B2B33" w:rsidRDefault="009B2B33">
            <w:pPr>
              <w:pStyle w:val="ListBullet"/>
              <w:rPr>
                <w:color w:val="265A9A" w:themeColor="background2"/>
              </w:rPr>
            </w:pPr>
            <w:r>
              <w:rPr>
                <w:color w:val="265A9A" w:themeColor="background2"/>
              </w:rPr>
              <w:t>how these outcomes – and the causal links between actions and improved resilience – could be best measured</w:t>
            </w:r>
          </w:p>
          <w:p w14:paraId="094558B8" w14:textId="77777777" w:rsidR="009B2B33" w:rsidRPr="00617AFE" w:rsidRDefault="009B2B33">
            <w:pPr>
              <w:pStyle w:val="ListBullet"/>
              <w:rPr>
                <w:color w:val="265A9A" w:themeColor="background2"/>
              </w:rPr>
            </w:pPr>
            <w:r>
              <w:rPr>
                <w:color w:val="265A9A" w:themeColor="background2"/>
              </w:rPr>
              <w:t xml:space="preserve">how Future Drought Fund activities should interact </w:t>
            </w:r>
            <w:r w:rsidRPr="0031495D">
              <w:rPr>
                <w:color w:val="265A9A" w:themeColor="background2"/>
              </w:rPr>
              <w:t xml:space="preserve">with the </w:t>
            </w:r>
            <w:r>
              <w:rPr>
                <w:color w:val="265A9A" w:themeColor="background2"/>
              </w:rPr>
              <w:t>National</w:t>
            </w:r>
            <w:r w:rsidRPr="0031495D">
              <w:rPr>
                <w:color w:val="265A9A" w:themeColor="background2"/>
              </w:rPr>
              <w:t xml:space="preserve"> Landcare </w:t>
            </w:r>
            <w:r>
              <w:rPr>
                <w:color w:val="265A9A" w:themeColor="background2"/>
              </w:rPr>
              <w:t>Program and other natural resource management programs.</w:t>
            </w:r>
          </w:p>
        </w:tc>
      </w:tr>
      <w:tr w:rsidR="009B2B33" w14:paraId="21B27BF9" w14:textId="77777777">
        <w:tc>
          <w:tcPr>
            <w:tcW w:w="5000" w:type="pct"/>
            <w:gridSpan w:val="2"/>
            <w:tcMar>
              <w:bottom w:w="0" w:type="dxa"/>
            </w:tcMar>
          </w:tcPr>
          <w:p w14:paraId="136EEE23" w14:textId="0DCFAC77" w:rsidR="009B2B33" w:rsidRDefault="009B2B33">
            <w:pPr>
              <w:pStyle w:val="NoSpacing"/>
              <w:spacing w:line="200" w:lineRule="atLeast"/>
            </w:pPr>
          </w:p>
        </w:tc>
      </w:tr>
    </w:tbl>
    <w:p w14:paraId="574ACF54" w14:textId="2A843C68" w:rsidR="009B2B33" w:rsidRDefault="009B2B33">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9B2B33" w14:paraId="77652F1D" w14:textId="77777777">
        <w:trPr>
          <w:trHeight w:val="765"/>
          <w:tblHeader/>
        </w:trPr>
        <w:tc>
          <w:tcPr>
            <w:tcW w:w="366" w:type="pct"/>
            <w:shd w:val="clear" w:color="auto" w:fill="EBEBEB"/>
            <w:tcMar>
              <w:bottom w:w="0" w:type="dxa"/>
            </w:tcMar>
            <w:vAlign w:val="center"/>
          </w:tcPr>
          <w:p w14:paraId="6C00BB7B" w14:textId="77777777" w:rsidR="009B2B33" w:rsidRDefault="009B2B33">
            <w:pPr>
              <w:pStyle w:val="NoSpacing"/>
              <w:keepNext/>
              <w:keepLines/>
              <w:jc w:val="right"/>
            </w:pPr>
            <w:r w:rsidRPr="00A51374">
              <w:rPr>
                <w:noProof/>
              </w:rPr>
              <w:drawing>
                <wp:inline distT="0" distB="0" distL="0" distR="0" wp14:anchorId="515E6EA0" wp14:editId="2EC6BEA7">
                  <wp:extent cx="288000" cy="288000"/>
                  <wp:effectExtent l="0" t="0" r="0" b="0"/>
                  <wp:docPr id="216106863" name="Picture 2161068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73254216" w14:textId="77777777" w:rsidR="009B2B33" w:rsidRPr="002530FF" w:rsidRDefault="009B2B33">
            <w:pPr>
              <w:pStyle w:val="TableHeading"/>
              <w:keepNext/>
              <w:keepLines/>
              <w:spacing w:before="120" w:after="120"/>
              <w:contextualSpacing/>
              <w:rPr>
                <w:sz w:val="20"/>
              </w:rPr>
            </w:pPr>
            <w:r w:rsidRPr="000B0B71">
              <w:rPr>
                <w:sz w:val="20"/>
              </w:rPr>
              <w:t xml:space="preserve">Information request </w:t>
            </w:r>
            <w:r>
              <w:rPr>
                <w:sz w:val="20"/>
              </w:rPr>
              <w:t>3</w:t>
            </w:r>
          </w:p>
        </w:tc>
      </w:tr>
      <w:tr w:rsidR="009B2B33" w14:paraId="0AD1BBBA" w14:textId="77777777">
        <w:tc>
          <w:tcPr>
            <w:tcW w:w="5000" w:type="pct"/>
            <w:gridSpan w:val="2"/>
            <w:shd w:val="clear" w:color="auto" w:fill="EBEBEB"/>
          </w:tcPr>
          <w:p w14:paraId="7FCD65BD" w14:textId="77777777" w:rsidR="009B2B33" w:rsidRDefault="009B2B33">
            <w:pPr>
              <w:pStyle w:val="BodyText"/>
              <w:keepNext/>
              <w:keepLines/>
              <w:rPr>
                <w:color w:val="265A9A" w:themeColor="background2"/>
              </w:rPr>
            </w:pPr>
            <w:r w:rsidRPr="00055C72">
              <w:rPr>
                <w:color w:val="265A9A" w:themeColor="background2"/>
              </w:rPr>
              <w:t xml:space="preserve">The Commission is seeking </w:t>
            </w:r>
            <w:r>
              <w:rPr>
                <w:color w:val="265A9A" w:themeColor="background2"/>
              </w:rPr>
              <w:t>views</w:t>
            </w:r>
            <w:r w:rsidRPr="00055C72">
              <w:rPr>
                <w:color w:val="265A9A" w:themeColor="background2"/>
              </w:rPr>
              <w:t xml:space="preserve"> on </w:t>
            </w:r>
            <w:r>
              <w:rPr>
                <w:color w:val="265A9A" w:themeColor="background2"/>
              </w:rPr>
              <w:t>how</w:t>
            </w:r>
            <w:r w:rsidRPr="00055C72">
              <w:rPr>
                <w:color w:val="265A9A" w:themeColor="background2"/>
              </w:rPr>
              <w:t xml:space="preserve"> the </w:t>
            </w:r>
            <w:r>
              <w:rPr>
                <w:color w:val="265A9A" w:themeColor="background2"/>
              </w:rPr>
              <w:t xml:space="preserve">Future Drought </w:t>
            </w:r>
            <w:r w:rsidRPr="00055C72">
              <w:rPr>
                <w:color w:val="265A9A" w:themeColor="background2"/>
              </w:rPr>
              <w:t xml:space="preserve">Fund </w:t>
            </w:r>
            <w:r>
              <w:rPr>
                <w:color w:val="265A9A" w:themeColor="background2"/>
              </w:rPr>
              <w:t>can best support social resilience, considering the roles that state, territory and local governments play.</w:t>
            </w:r>
            <w:r w:rsidRPr="002B3413">
              <w:rPr>
                <w:color w:val="265A9A" w:themeColor="background2"/>
              </w:rPr>
              <w:t xml:space="preserve"> </w:t>
            </w:r>
          </w:p>
          <w:p w14:paraId="05C50DC2" w14:textId="77777777" w:rsidR="009B2B33" w:rsidRDefault="009B2B33">
            <w:pPr>
              <w:pStyle w:val="BodyText"/>
              <w:keepNext/>
              <w:keepLines/>
              <w:rPr>
                <w:color w:val="265A9A" w:themeColor="background2"/>
              </w:rPr>
            </w:pPr>
            <w:r>
              <w:rPr>
                <w:color w:val="265A9A" w:themeColor="background2"/>
              </w:rPr>
              <w:t>The Commission is also seeking views on:</w:t>
            </w:r>
          </w:p>
          <w:p w14:paraId="73AD75F5" w14:textId="77777777" w:rsidR="009B2B33" w:rsidRDefault="009B2B33">
            <w:pPr>
              <w:pStyle w:val="ListBullet"/>
              <w:rPr>
                <w:color w:val="265A9A" w:themeColor="background2"/>
              </w:rPr>
            </w:pPr>
            <w:r>
              <w:rPr>
                <w:color w:val="265A9A" w:themeColor="background2"/>
              </w:rPr>
              <w:t xml:space="preserve">whether existing programs (outside the Better Prepared Communities theme) could be adjusted to better achieve flow on benefits for social resilience, and if so how </w:t>
            </w:r>
          </w:p>
          <w:p w14:paraId="609337D4" w14:textId="77777777" w:rsidR="009B2B33" w:rsidRPr="00617AFE" w:rsidRDefault="009B2B33">
            <w:pPr>
              <w:pStyle w:val="ListBullet"/>
              <w:rPr>
                <w:color w:val="265A9A" w:themeColor="background2"/>
              </w:rPr>
            </w:pPr>
            <w:r>
              <w:rPr>
                <w:color w:val="265A9A" w:themeColor="background2"/>
              </w:rPr>
              <w:t>how social resilience outcomes can be best measured.</w:t>
            </w:r>
          </w:p>
        </w:tc>
      </w:tr>
      <w:tr w:rsidR="009B2B33" w14:paraId="58B4FF67" w14:textId="77777777">
        <w:tc>
          <w:tcPr>
            <w:tcW w:w="5000" w:type="pct"/>
            <w:gridSpan w:val="2"/>
            <w:tcMar>
              <w:bottom w:w="0" w:type="dxa"/>
            </w:tcMar>
          </w:tcPr>
          <w:p w14:paraId="2B1B7DC7" w14:textId="4BEC80A8" w:rsidR="009B2B33" w:rsidRDefault="009B2B33">
            <w:pPr>
              <w:pStyle w:val="NoSpacing"/>
              <w:spacing w:line="200" w:lineRule="atLeast"/>
            </w:pPr>
          </w:p>
        </w:tc>
      </w:tr>
    </w:tbl>
    <w:p w14:paraId="32B6F087" w14:textId="041135D6" w:rsidR="009B2B33" w:rsidRDefault="009B2B33">
      <w:pPr>
        <w:pStyle w:val="NoSpacing"/>
      </w:pPr>
    </w:p>
    <w:tbl>
      <w:tblPr>
        <w:tblStyle w:val="TextTable-Grey"/>
        <w:tblW w:w="5000" w:type="pct"/>
        <w:tblLook w:val="04A0" w:firstRow="1" w:lastRow="0" w:firstColumn="1" w:lastColumn="0" w:noHBand="0" w:noVBand="1"/>
      </w:tblPr>
      <w:tblGrid>
        <w:gridCol w:w="713"/>
        <w:gridCol w:w="8925"/>
      </w:tblGrid>
      <w:tr w:rsidR="009B2B33" w14:paraId="73C9B29C" w14:textId="77777777">
        <w:trPr>
          <w:tblHeader/>
        </w:trPr>
        <w:tc>
          <w:tcPr>
            <w:tcW w:w="713" w:type="dxa"/>
            <w:shd w:val="clear" w:color="auto" w:fill="EBEBEB"/>
            <w:vAlign w:val="center"/>
          </w:tcPr>
          <w:p w14:paraId="2F364A47" w14:textId="77777777" w:rsidR="009B2B33" w:rsidRDefault="009B2B33">
            <w:pPr>
              <w:keepNext/>
              <w:keepLines/>
              <w:spacing w:after="0"/>
              <w:jc w:val="right"/>
            </w:pPr>
            <w:r w:rsidRPr="00A51374">
              <w:rPr>
                <w:noProof/>
              </w:rPr>
              <w:drawing>
                <wp:inline distT="0" distB="0" distL="0" distR="0" wp14:anchorId="198CCDEF" wp14:editId="49C50551">
                  <wp:extent cx="288000" cy="288000"/>
                  <wp:effectExtent l="0" t="0" r="0" b="0"/>
                  <wp:docPr id="35832871" name="Picture 358328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vAlign w:val="center"/>
          </w:tcPr>
          <w:p w14:paraId="4AB74472" w14:textId="5C55D215" w:rsidR="009B2B33" w:rsidRPr="0072074F" w:rsidRDefault="009B2B33" w:rsidP="0072074F">
            <w:pPr>
              <w:pStyle w:val="TableHeading"/>
              <w:keepNext/>
              <w:keepLines/>
              <w:spacing w:before="120" w:after="120"/>
              <w:contextualSpacing/>
              <w:rPr>
                <w:sz w:val="20"/>
              </w:rPr>
            </w:pPr>
            <w:r w:rsidRPr="00E178A5">
              <w:rPr>
                <w:sz w:val="20"/>
              </w:rPr>
              <w:t xml:space="preserve">Information request </w:t>
            </w:r>
            <w:r>
              <w:rPr>
                <w:sz w:val="20"/>
              </w:rPr>
              <w:t>4</w:t>
            </w:r>
          </w:p>
        </w:tc>
      </w:tr>
      <w:tr w:rsidR="009B2B33" w14:paraId="26549E73" w14:textId="77777777">
        <w:tc>
          <w:tcPr>
            <w:tcW w:w="9638" w:type="dxa"/>
            <w:gridSpan w:val="2"/>
            <w:shd w:val="clear" w:color="auto" w:fill="EBEBEB"/>
            <w:tcMar>
              <w:top w:w="0" w:type="dxa"/>
            </w:tcMar>
          </w:tcPr>
          <w:p w14:paraId="1BD60BC7" w14:textId="77777777" w:rsidR="009B2B33" w:rsidRDefault="009B2B33">
            <w:pPr>
              <w:pStyle w:val="BodyText"/>
              <w:keepNext/>
              <w:keepLines/>
            </w:pPr>
            <w:r>
              <w:t>The Commission is seeking views on:</w:t>
            </w:r>
          </w:p>
          <w:p w14:paraId="7D8E8391" w14:textId="77777777" w:rsidR="009B2B33" w:rsidRDefault="009B2B33">
            <w:pPr>
              <w:pStyle w:val="ListBullet"/>
            </w:pPr>
            <w:r>
              <w:t xml:space="preserve">the extent to which the suite of programs, as well as individual program design and program monitoring, evaluation and learning plans, align with the theory of change and program logic </w:t>
            </w:r>
          </w:p>
          <w:p w14:paraId="5F5A4D4E" w14:textId="77777777" w:rsidR="009B2B33" w:rsidRPr="004952AA" w:rsidRDefault="009B2B33">
            <w:pPr>
              <w:pStyle w:val="ListBullet"/>
            </w:pPr>
            <w:r>
              <w:t xml:space="preserve">how the program theory, and its use, </w:t>
            </w:r>
            <w:r w:rsidRPr="00B84363">
              <w:t xml:space="preserve">can be improved </w:t>
            </w:r>
            <w:r>
              <w:t>to better guide investment, prioritisation, program design and monitoring, evaluation and learning in</w:t>
            </w:r>
            <w:r w:rsidRPr="00B84363">
              <w:t xml:space="preserve"> the next</w:t>
            </w:r>
            <w:r>
              <w:t xml:space="preserve"> Funding Plan period.</w:t>
            </w:r>
          </w:p>
        </w:tc>
      </w:tr>
      <w:tr w:rsidR="009B2B33" w14:paraId="5EB95468" w14:textId="77777777">
        <w:tc>
          <w:tcPr>
            <w:tcW w:w="9638" w:type="dxa"/>
            <w:gridSpan w:val="2"/>
            <w:shd w:val="clear" w:color="auto" w:fill="auto"/>
            <w:tcMar>
              <w:top w:w="0" w:type="dxa"/>
              <w:bottom w:w="0" w:type="dxa"/>
            </w:tcMar>
          </w:tcPr>
          <w:p w14:paraId="174F77F3" w14:textId="2EDA46A8" w:rsidR="009B2B33" w:rsidRDefault="009B2B33">
            <w:pPr>
              <w:pStyle w:val="NoSpacing"/>
              <w:spacing w:line="200" w:lineRule="exact"/>
            </w:pPr>
          </w:p>
        </w:tc>
      </w:tr>
    </w:tbl>
    <w:p w14:paraId="2610E53B" w14:textId="77777777" w:rsidR="00A44510" w:rsidRPr="00292406" w:rsidRDefault="00A44510">
      <w:pPr>
        <w:pStyle w:val="NoSpacing"/>
      </w:pPr>
    </w:p>
    <w:tbl>
      <w:tblPr>
        <w:tblStyle w:val="Texttable-Paleblue"/>
        <w:tblW w:w="5000" w:type="pct"/>
        <w:tblLook w:val="04A0" w:firstRow="1" w:lastRow="0" w:firstColumn="1" w:lastColumn="0" w:noHBand="0" w:noVBand="1"/>
      </w:tblPr>
      <w:tblGrid>
        <w:gridCol w:w="713"/>
        <w:gridCol w:w="8925"/>
      </w:tblGrid>
      <w:tr w:rsidR="009B2B33" w14:paraId="1923B32F" w14:textId="77777777">
        <w:trPr>
          <w:tblHeader/>
        </w:trPr>
        <w:tc>
          <w:tcPr>
            <w:tcW w:w="713" w:type="dxa"/>
            <w:shd w:val="clear" w:color="auto" w:fill="E7F6FD"/>
            <w:tcMar>
              <w:top w:w="0" w:type="dxa"/>
              <w:bottom w:w="0" w:type="dxa"/>
            </w:tcMar>
            <w:vAlign w:val="center"/>
          </w:tcPr>
          <w:p w14:paraId="0CECBBC1" w14:textId="77777777" w:rsidR="009B2B33" w:rsidRDefault="009B2B33" w:rsidP="00351F73">
            <w:pPr>
              <w:keepNext/>
              <w:keepLines/>
              <w:jc w:val="center"/>
            </w:pPr>
            <w:r w:rsidRPr="00A51374">
              <w:rPr>
                <w:noProof/>
              </w:rPr>
              <w:lastRenderedPageBreak/>
              <w:drawing>
                <wp:inline distT="0" distB="0" distL="0" distR="0" wp14:anchorId="2669D6CF" wp14:editId="456289A2">
                  <wp:extent cx="288000" cy="288000"/>
                  <wp:effectExtent l="0" t="0" r="0" b="0"/>
                  <wp:docPr id="2068320434" name="Picture 20683204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70EB939B" w14:textId="77777777" w:rsidR="009B2B33" w:rsidRPr="00715040" w:rsidRDefault="009B2B33" w:rsidP="00351F73">
            <w:pPr>
              <w:pStyle w:val="TableHeading"/>
              <w:keepNext/>
              <w:keepLines/>
              <w:spacing w:before="120" w:after="120"/>
              <w:contextualSpacing/>
              <w:rPr>
                <w:sz w:val="20"/>
              </w:rPr>
            </w:pPr>
            <w:r>
              <w:rPr>
                <w:sz w:val="20"/>
              </w:rPr>
              <w:t>Interim r</w:t>
            </w:r>
            <w:r w:rsidRPr="00715040">
              <w:rPr>
                <w:sz w:val="20"/>
              </w:rPr>
              <w:t>ecommendation</w:t>
            </w:r>
            <w:r>
              <w:rPr>
                <w:sz w:val="20"/>
              </w:rPr>
              <w:t xml:space="preserve"> 2</w:t>
            </w:r>
          </w:p>
          <w:p w14:paraId="188A9FDD" w14:textId="77777777" w:rsidR="009B2B33" w:rsidRPr="00715040" w:rsidRDefault="009B2B33" w:rsidP="00351F73">
            <w:pPr>
              <w:pStyle w:val="TableHeading"/>
              <w:keepNext/>
              <w:keepLines/>
              <w:spacing w:before="120" w:after="120"/>
              <w:contextualSpacing/>
              <w:rPr>
                <w:sz w:val="20"/>
              </w:rPr>
            </w:pPr>
            <w:r>
              <w:rPr>
                <w:sz w:val="20"/>
              </w:rPr>
              <w:t>Establishing a drought and climate change resilience knowledge management system</w:t>
            </w:r>
          </w:p>
        </w:tc>
      </w:tr>
      <w:tr w:rsidR="009B2B33" w14:paraId="07C14098" w14:textId="77777777">
        <w:tc>
          <w:tcPr>
            <w:tcW w:w="9638" w:type="dxa"/>
            <w:gridSpan w:val="2"/>
            <w:shd w:val="clear" w:color="auto" w:fill="E7F6FD"/>
            <w:tcMar>
              <w:top w:w="0" w:type="dxa"/>
            </w:tcMar>
          </w:tcPr>
          <w:p w14:paraId="099DDA02" w14:textId="77777777" w:rsidR="009B2B33" w:rsidRPr="00767EAE" w:rsidRDefault="009B2B33" w:rsidP="00351F73">
            <w:pPr>
              <w:pStyle w:val="BodyText"/>
              <w:keepNext/>
              <w:keepLines/>
            </w:pPr>
            <w:r>
              <w:t>The Australian Government should establish a drought and climate change resilience knowledge management system to facilitate sharing of Future Drought Fund and other drought and climate change resilience knowledge.</w:t>
            </w:r>
          </w:p>
        </w:tc>
      </w:tr>
      <w:tr w:rsidR="009B2B33" w14:paraId="3C30C6B6" w14:textId="77777777">
        <w:tc>
          <w:tcPr>
            <w:tcW w:w="9638" w:type="dxa"/>
            <w:gridSpan w:val="2"/>
            <w:shd w:val="clear" w:color="auto" w:fill="auto"/>
            <w:tcMar>
              <w:top w:w="0" w:type="dxa"/>
              <w:bottom w:w="0" w:type="dxa"/>
            </w:tcMar>
          </w:tcPr>
          <w:p w14:paraId="1BD7ADBC" w14:textId="1340B661" w:rsidR="009B2B33" w:rsidRPr="007E0EA8" w:rsidRDefault="009B2B33" w:rsidP="00351F73">
            <w:pPr>
              <w:pStyle w:val="NoSpacing"/>
              <w:keepNext/>
              <w:keepLines/>
              <w:spacing w:line="200" w:lineRule="exact"/>
            </w:pPr>
          </w:p>
        </w:tc>
      </w:tr>
    </w:tbl>
    <w:p w14:paraId="3643FD8C" w14:textId="40E4EB0C" w:rsidR="009B2B33" w:rsidRDefault="009B2B33">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9B2B33" w14:paraId="3B0F4CFB" w14:textId="77777777">
        <w:trPr>
          <w:trHeight w:val="765"/>
          <w:tblHeader/>
        </w:trPr>
        <w:tc>
          <w:tcPr>
            <w:tcW w:w="366" w:type="pct"/>
            <w:shd w:val="clear" w:color="auto" w:fill="EBEBEB"/>
            <w:tcMar>
              <w:bottom w:w="0" w:type="dxa"/>
            </w:tcMar>
            <w:vAlign w:val="center"/>
          </w:tcPr>
          <w:p w14:paraId="6962BDFF" w14:textId="77777777" w:rsidR="009B2B33" w:rsidRDefault="009B2B33">
            <w:pPr>
              <w:pStyle w:val="NoSpacing"/>
              <w:keepNext/>
              <w:keepLines/>
              <w:jc w:val="right"/>
            </w:pPr>
            <w:r w:rsidRPr="00A51374">
              <w:rPr>
                <w:noProof/>
              </w:rPr>
              <w:drawing>
                <wp:inline distT="0" distB="0" distL="0" distR="0" wp14:anchorId="7046DBCC" wp14:editId="696B1A0B">
                  <wp:extent cx="288000" cy="288000"/>
                  <wp:effectExtent l="0" t="0" r="0" b="0"/>
                  <wp:docPr id="1342827924" name="Picture 13428279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0C1FCD2F" w14:textId="77777777" w:rsidR="009B2B33" w:rsidRPr="002530FF" w:rsidRDefault="009B2B33">
            <w:pPr>
              <w:pStyle w:val="TableHeading"/>
              <w:keepNext/>
              <w:keepLines/>
              <w:spacing w:before="120" w:after="120"/>
              <w:contextualSpacing/>
            </w:pPr>
            <w:r w:rsidRPr="00B20CD5">
              <w:rPr>
                <w:sz w:val="20"/>
              </w:rPr>
              <w:t xml:space="preserve">Information request </w:t>
            </w:r>
            <w:r>
              <w:rPr>
                <w:sz w:val="20"/>
              </w:rPr>
              <w:t>5</w:t>
            </w:r>
          </w:p>
        </w:tc>
      </w:tr>
      <w:tr w:rsidR="009B2B33" w14:paraId="06E49110" w14:textId="77777777">
        <w:tc>
          <w:tcPr>
            <w:tcW w:w="5000" w:type="pct"/>
            <w:gridSpan w:val="2"/>
            <w:shd w:val="clear" w:color="auto" w:fill="EBEBEB"/>
          </w:tcPr>
          <w:p w14:paraId="550908E8" w14:textId="77777777" w:rsidR="009B2B33" w:rsidRPr="001167C4" w:rsidRDefault="009B2B33">
            <w:pPr>
              <w:pStyle w:val="BodyText"/>
              <w:keepNext/>
              <w:keepLines/>
              <w:rPr>
                <w:color w:val="265A9A" w:themeColor="background2"/>
              </w:rPr>
            </w:pPr>
            <w:r w:rsidRPr="001167C4">
              <w:rPr>
                <w:color w:val="265A9A" w:themeColor="background2"/>
              </w:rPr>
              <w:t xml:space="preserve">The Commission is seeking </w:t>
            </w:r>
            <w:r>
              <w:rPr>
                <w:color w:val="265A9A" w:themeColor="background2"/>
              </w:rPr>
              <w:t>views</w:t>
            </w:r>
            <w:r w:rsidRPr="001167C4">
              <w:rPr>
                <w:color w:val="265A9A" w:themeColor="background2"/>
              </w:rPr>
              <w:t xml:space="preserve"> on its suggestions for the next Funding Plan</w:t>
            </w:r>
            <w:r>
              <w:rPr>
                <w:color w:val="265A9A" w:themeColor="background2"/>
              </w:rPr>
              <w:t>. These suggestions include that</w:t>
            </w:r>
            <w:r w:rsidRPr="001167C4">
              <w:rPr>
                <w:color w:val="265A9A" w:themeColor="background2"/>
              </w:rPr>
              <w:t>:</w:t>
            </w:r>
          </w:p>
          <w:p w14:paraId="56A7904F" w14:textId="77777777" w:rsidR="009B2B33" w:rsidRPr="001167C4" w:rsidRDefault="009B2B33">
            <w:pPr>
              <w:pStyle w:val="ListBullet"/>
              <w:rPr>
                <w:color w:val="265A9A" w:themeColor="background2"/>
              </w:rPr>
            </w:pPr>
            <w:r>
              <w:rPr>
                <w:color w:val="265A9A" w:themeColor="background2"/>
              </w:rPr>
              <w:t>the Funding Plan</w:t>
            </w:r>
            <w:r w:rsidRPr="001167C4">
              <w:rPr>
                <w:color w:val="265A9A" w:themeColor="background2"/>
              </w:rPr>
              <w:t xml:space="preserve"> should </w:t>
            </w:r>
            <w:r>
              <w:rPr>
                <w:color w:val="265A9A" w:themeColor="background2"/>
              </w:rPr>
              <w:t>explain</w:t>
            </w:r>
            <w:r w:rsidRPr="001167C4">
              <w:rPr>
                <w:color w:val="265A9A" w:themeColor="background2"/>
              </w:rPr>
              <w:t xml:space="preserve"> how the Future Drought Fund </w:t>
            </w:r>
            <w:r>
              <w:rPr>
                <w:color w:val="265A9A" w:themeColor="background2"/>
              </w:rPr>
              <w:t>(FDF)</w:t>
            </w:r>
            <w:r w:rsidRPr="001167C4">
              <w:rPr>
                <w:color w:val="265A9A" w:themeColor="background2"/>
              </w:rPr>
              <w:t xml:space="preserve"> and its programs </w:t>
            </w:r>
            <w:r>
              <w:rPr>
                <w:color w:val="265A9A" w:themeColor="background2"/>
              </w:rPr>
              <w:t>align</w:t>
            </w:r>
            <w:r w:rsidRPr="001167C4">
              <w:rPr>
                <w:color w:val="265A9A" w:themeColor="background2"/>
              </w:rPr>
              <w:t xml:space="preserve"> with the National Drought Agreement and other </w:t>
            </w:r>
            <w:r>
              <w:rPr>
                <w:color w:val="265A9A" w:themeColor="background2"/>
              </w:rPr>
              <w:t>relevant</w:t>
            </w:r>
            <w:r w:rsidRPr="001167C4">
              <w:rPr>
                <w:color w:val="265A9A" w:themeColor="background2"/>
              </w:rPr>
              <w:t xml:space="preserve"> polic</w:t>
            </w:r>
            <w:r>
              <w:rPr>
                <w:color w:val="265A9A" w:themeColor="background2"/>
              </w:rPr>
              <w:t>ies</w:t>
            </w:r>
          </w:p>
          <w:p w14:paraId="75581358" w14:textId="77777777" w:rsidR="009B2B33" w:rsidRPr="001167C4" w:rsidRDefault="009B2B33">
            <w:pPr>
              <w:pStyle w:val="ListBullet"/>
              <w:rPr>
                <w:color w:val="265A9A" w:themeColor="background2"/>
              </w:rPr>
            </w:pPr>
            <w:r w:rsidRPr="001167C4">
              <w:rPr>
                <w:color w:val="265A9A" w:themeColor="background2"/>
              </w:rPr>
              <w:t>the objectives and strategic priorities should be clarified, particularly those related to social resilience</w:t>
            </w:r>
          </w:p>
          <w:p w14:paraId="4EEAFF58" w14:textId="77777777" w:rsidR="009B2B33" w:rsidRPr="001167C4" w:rsidRDefault="009B2B33">
            <w:pPr>
              <w:pStyle w:val="ListBullet"/>
              <w:rPr>
                <w:color w:val="265A9A" w:themeColor="background2"/>
              </w:rPr>
            </w:pPr>
            <w:r w:rsidRPr="001167C4">
              <w:rPr>
                <w:color w:val="265A9A" w:themeColor="background2"/>
              </w:rPr>
              <w:t xml:space="preserve">the principles should be revised to provide clear guidance on </w:t>
            </w:r>
            <w:r>
              <w:rPr>
                <w:color w:val="265A9A" w:themeColor="background2"/>
              </w:rPr>
              <w:t>which</w:t>
            </w:r>
            <w:r w:rsidRPr="001167C4">
              <w:rPr>
                <w:color w:val="265A9A" w:themeColor="background2"/>
              </w:rPr>
              <w:t xml:space="preserve"> principles should be met by the suite of FDF programs and </w:t>
            </w:r>
            <w:r>
              <w:rPr>
                <w:color w:val="265A9A" w:themeColor="background2"/>
              </w:rPr>
              <w:t xml:space="preserve">which </w:t>
            </w:r>
            <w:r w:rsidRPr="001167C4">
              <w:rPr>
                <w:color w:val="265A9A" w:themeColor="background2"/>
              </w:rPr>
              <w:t>principles should apply to each arrangement and grant</w:t>
            </w:r>
          </w:p>
          <w:p w14:paraId="2852ADDC" w14:textId="77777777" w:rsidR="009B2B33" w:rsidRDefault="009B2B33">
            <w:pPr>
              <w:pStyle w:val="ListBullet"/>
            </w:pPr>
            <w:r>
              <w:rPr>
                <w:color w:val="265A9A" w:themeColor="background2"/>
              </w:rPr>
              <w:t xml:space="preserve">the Funding Plan </w:t>
            </w:r>
            <w:r w:rsidRPr="001167C4">
              <w:rPr>
                <w:color w:val="265A9A" w:themeColor="background2"/>
              </w:rPr>
              <w:t xml:space="preserve">should be accompanied by an investment plan that </w:t>
            </w:r>
            <w:r>
              <w:rPr>
                <w:color w:val="265A9A" w:themeColor="background2"/>
              </w:rPr>
              <w:t xml:space="preserve">identifies priorities for funding and eligible activities, the </w:t>
            </w:r>
            <w:r w:rsidRPr="001167C4">
              <w:rPr>
                <w:color w:val="265A9A" w:themeColor="background2"/>
              </w:rPr>
              <w:t>sequencing</w:t>
            </w:r>
            <w:r>
              <w:rPr>
                <w:color w:val="265A9A" w:themeColor="background2"/>
              </w:rPr>
              <w:t xml:space="preserve"> of programs, and how the different programs work together</w:t>
            </w:r>
            <w:r w:rsidRPr="001167C4">
              <w:rPr>
                <w:color w:val="265A9A" w:themeColor="background2"/>
              </w:rPr>
              <w:t xml:space="preserve">. </w:t>
            </w:r>
          </w:p>
        </w:tc>
      </w:tr>
      <w:tr w:rsidR="009B2B33" w14:paraId="0795B67C" w14:textId="77777777">
        <w:tc>
          <w:tcPr>
            <w:tcW w:w="5000" w:type="pct"/>
            <w:gridSpan w:val="2"/>
            <w:tcMar>
              <w:bottom w:w="0" w:type="dxa"/>
            </w:tcMar>
          </w:tcPr>
          <w:p w14:paraId="099DD8E0" w14:textId="46C06EC9" w:rsidR="009B2B33" w:rsidRDefault="009B2B33">
            <w:pPr>
              <w:pStyle w:val="NoSpacing"/>
              <w:spacing w:line="200" w:lineRule="atLeast"/>
            </w:pPr>
          </w:p>
        </w:tc>
      </w:tr>
    </w:tbl>
    <w:p w14:paraId="158673DD" w14:textId="77777777" w:rsidR="009B2B33" w:rsidRDefault="009B2B33" w:rsidP="003B07D1">
      <w:pPr>
        <w:pStyle w:val="Heading2-nonumber"/>
      </w:pPr>
      <w:bookmarkStart w:id="52" w:name="_Toc136534000"/>
      <w:bookmarkStart w:id="53" w:name="_Toc136600689"/>
      <w:bookmarkStart w:id="54" w:name="_Toc136817007"/>
      <w:bookmarkStart w:id="55" w:name="_Toc137129761"/>
      <w:r>
        <w:t>Governance</w:t>
      </w:r>
      <w:bookmarkEnd w:id="52"/>
      <w:bookmarkEnd w:id="53"/>
      <w:bookmarkEnd w:id="54"/>
      <w:bookmarkEnd w:id="55"/>
    </w:p>
    <w:p w14:paraId="62179D54" w14:textId="1A4B2A30" w:rsidR="009B2B33" w:rsidRDefault="009B2B33">
      <w:pPr>
        <w:pStyle w:val="NoSpacing"/>
      </w:pPr>
    </w:p>
    <w:tbl>
      <w:tblPr>
        <w:tblStyle w:val="Texttable-Paleblue"/>
        <w:tblW w:w="5000" w:type="pct"/>
        <w:tblLook w:val="04A0" w:firstRow="1" w:lastRow="0" w:firstColumn="1" w:lastColumn="0" w:noHBand="0" w:noVBand="1"/>
      </w:tblPr>
      <w:tblGrid>
        <w:gridCol w:w="713"/>
        <w:gridCol w:w="8925"/>
      </w:tblGrid>
      <w:tr w:rsidR="009B2B33" w14:paraId="0A41CC69" w14:textId="77777777">
        <w:trPr>
          <w:tblHeader/>
        </w:trPr>
        <w:tc>
          <w:tcPr>
            <w:tcW w:w="713" w:type="dxa"/>
            <w:shd w:val="clear" w:color="auto" w:fill="E7F6FD"/>
            <w:tcMar>
              <w:top w:w="0" w:type="dxa"/>
              <w:bottom w:w="0" w:type="dxa"/>
            </w:tcMar>
            <w:vAlign w:val="center"/>
          </w:tcPr>
          <w:p w14:paraId="3EFB9AA0" w14:textId="77777777" w:rsidR="009B2B33" w:rsidRDefault="009B2B33">
            <w:pPr>
              <w:keepLines/>
              <w:jc w:val="center"/>
            </w:pPr>
            <w:r w:rsidRPr="00A51374">
              <w:rPr>
                <w:noProof/>
              </w:rPr>
              <w:drawing>
                <wp:inline distT="0" distB="0" distL="0" distR="0" wp14:anchorId="4CD2F86E" wp14:editId="54916508">
                  <wp:extent cx="288000" cy="288000"/>
                  <wp:effectExtent l="0" t="0" r="0" b="0"/>
                  <wp:docPr id="782857463" name="Picture 7828574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5567B04F" w14:textId="77777777" w:rsidR="009B2B33" w:rsidRPr="00B162B9" w:rsidRDefault="009B2B33">
            <w:pPr>
              <w:pStyle w:val="TableHeading"/>
              <w:keepLines/>
              <w:spacing w:before="120" w:after="120"/>
              <w:contextualSpacing/>
              <w:rPr>
                <w:sz w:val="20"/>
              </w:rPr>
            </w:pPr>
            <w:r>
              <w:rPr>
                <w:sz w:val="20"/>
              </w:rPr>
              <w:t>Interim</w:t>
            </w:r>
            <w:r w:rsidRPr="00B162B9">
              <w:rPr>
                <w:sz w:val="20"/>
              </w:rPr>
              <w:t xml:space="preserve"> recommendation </w:t>
            </w:r>
            <w:r>
              <w:rPr>
                <w:sz w:val="20"/>
              </w:rPr>
              <w:t>3</w:t>
            </w:r>
          </w:p>
          <w:p w14:paraId="05E3ABC8" w14:textId="77777777" w:rsidR="009B2B33" w:rsidRPr="00715040" w:rsidRDefault="009B2B33">
            <w:pPr>
              <w:pStyle w:val="TableHeading"/>
              <w:keepLines/>
              <w:spacing w:before="120" w:after="120"/>
              <w:contextualSpacing/>
            </w:pPr>
            <w:r>
              <w:rPr>
                <w:sz w:val="20"/>
              </w:rPr>
              <w:t>The role of the Regional Investment Corporation Board should be removed</w:t>
            </w:r>
          </w:p>
        </w:tc>
      </w:tr>
      <w:tr w:rsidR="009B2B33" w14:paraId="01802CB7" w14:textId="77777777">
        <w:tc>
          <w:tcPr>
            <w:tcW w:w="9638" w:type="dxa"/>
            <w:gridSpan w:val="2"/>
            <w:shd w:val="clear" w:color="auto" w:fill="E7F6FD"/>
            <w:tcMar>
              <w:top w:w="0" w:type="dxa"/>
            </w:tcMar>
          </w:tcPr>
          <w:p w14:paraId="194B86D4" w14:textId="77777777" w:rsidR="009B2B33" w:rsidRPr="00767EAE" w:rsidRDefault="009B2B33">
            <w:pPr>
              <w:pStyle w:val="BodyText"/>
            </w:pPr>
            <w:r>
              <w:t xml:space="preserve">The Australian Government should amend the </w:t>
            </w:r>
            <w:r w:rsidRPr="00EA2196">
              <w:rPr>
                <w:i/>
              </w:rPr>
              <w:t>Future Drought Fund Act 2019</w:t>
            </w:r>
            <w:r>
              <w:t xml:space="preserve"> (Cth) to remove the Regional Investment Corporation Board’s legislated advisory role in the Future Drought Fund.</w:t>
            </w:r>
          </w:p>
        </w:tc>
      </w:tr>
      <w:tr w:rsidR="009B2B33" w14:paraId="0EB420BC" w14:textId="77777777">
        <w:tc>
          <w:tcPr>
            <w:tcW w:w="9638" w:type="dxa"/>
            <w:gridSpan w:val="2"/>
            <w:shd w:val="clear" w:color="auto" w:fill="auto"/>
            <w:tcMar>
              <w:top w:w="0" w:type="dxa"/>
              <w:bottom w:w="0" w:type="dxa"/>
            </w:tcMar>
          </w:tcPr>
          <w:p w14:paraId="2D4016B6" w14:textId="6A838B93" w:rsidR="009B2B33" w:rsidRPr="007E0EA8" w:rsidRDefault="009B2B33">
            <w:pPr>
              <w:pStyle w:val="NoSpacing"/>
              <w:spacing w:line="200" w:lineRule="exact"/>
            </w:pPr>
          </w:p>
        </w:tc>
      </w:tr>
    </w:tbl>
    <w:p w14:paraId="2F587865" w14:textId="1517E16E" w:rsidR="009B2B33" w:rsidRDefault="009B2B33">
      <w:pPr>
        <w:pStyle w:val="NoSpacing"/>
      </w:pPr>
    </w:p>
    <w:tbl>
      <w:tblPr>
        <w:tblStyle w:val="Texttable-Paleblue"/>
        <w:tblW w:w="5000" w:type="pct"/>
        <w:tblLook w:val="04A0" w:firstRow="1" w:lastRow="0" w:firstColumn="1" w:lastColumn="0" w:noHBand="0" w:noVBand="1"/>
      </w:tblPr>
      <w:tblGrid>
        <w:gridCol w:w="713"/>
        <w:gridCol w:w="8925"/>
      </w:tblGrid>
      <w:tr w:rsidR="009B2B33" w14:paraId="41DEBB4E" w14:textId="77777777">
        <w:trPr>
          <w:tblHeader/>
        </w:trPr>
        <w:tc>
          <w:tcPr>
            <w:tcW w:w="713" w:type="dxa"/>
            <w:shd w:val="clear" w:color="auto" w:fill="E7F6FD"/>
            <w:tcMar>
              <w:top w:w="0" w:type="dxa"/>
              <w:bottom w:w="0" w:type="dxa"/>
            </w:tcMar>
            <w:vAlign w:val="center"/>
          </w:tcPr>
          <w:p w14:paraId="700F7D56" w14:textId="77777777" w:rsidR="009B2B33" w:rsidRDefault="009B2B33">
            <w:pPr>
              <w:keepLines/>
              <w:jc w:val="center"/>
            </w:pPr>
            <w:r w:rsidRPr="00A51374">
              <w:rPr>
                <w:noProof/>
              </w:rPr>
              <w:drawing>
                <wp:inline distT="0" distB="0" distL="0" distR="0" wp14:anchorId="68DDD246" wp14:editId="20D8B6A0">
                  <wp:extent cx="288000" cy="288000"/>
                  <wp:effectExtent l="0" t="0" r="0"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1D484F1B" w14:textId="77777777" w:rsidR="009B2B33" w:rsidRPr="00B162B9" w:rsidRDefault="009B2B33">
            <w:pPr>
              <w:pStyle w:val="TableHeading"/>
              <w:keepLines/>
              <w:spacing w:before="120" w:after="120"/>
              <w:contextualSpacing/>
              <w:rPr>
                <w:sz w:val="20"/>
              </w:rPr>
            </w:pPr>
            <w:r>
              <w:rPr>
                <w:sz w:val="20"/>
              </w:rPr>
              <w:t>Interim</w:t>
            </w:r>
            <w:r w:rsidRPr="00B162B9">
              <w:rPr>
                <w:sz w:val="20"/>
              </w:rPr>
              <w:t xml:space="preserve"> recommendation </w:t>
            </w:r>
            <w:r>
              <w:rPr>
                <w:sz w:val="20"/>
              </w:rPr>
              <w:t>4</w:t>
            </w:r>
          </w:p>
          <w:p w14:paraId="7A0F8E9B" w14:textId="77777777" w:rsidR="009B2B33" w:rsidRPr="00715040" w:rsidRDefault="009B2B33">
            <w:pPr>
              <w:pStyle w:val="TableHeading"/>
              <w:keepLines/>
              <w:spacing w:before="120" w:after="120"/>
              <w:contextualSpacing/>
            </w:pPr>
            <w:r w:rsidRPr="00B162B9">
              <w:rPr>
                <w:sz w:val="20"/>
              </w:rPr>
              <w:t xml:space="preserve">The </w:t>
            </w:r>
            <w:r>
              <w:rPr>
                <w:sz w:val="20"/>
              </w:rPr>
              <w:t xml:space="preserve">timing of </w:t>
            </w:r>
            <w:r w:rsidRPr="00B162B9">
              <w:rPr>
                <w:sz w:val="20"/>
              </w:rPr>
              <w:t>Productivity Commission review</w:t>
            </w:r>
            <w:r>
              <w:rPr>
                <w:sz w:val="20"/>
              </w:rPr>
              <w:t>s</w:t>
            </w:r>
            <w:r w:rsidRPr="00B162B9">
              <w:rPr>
                <w:sz w:val="20"/>
              </w:rPr>
              <w:t xml:space="preserve"> should be </w:t>
            </w:r>
            <w:r>
              <w:rPr>
                <w:sz w:val="20"/>
              </w:rPr>
              <w:t>changed</w:t>
            </w:r>
          </w:p>
        </w:tc>
      </w:tr>
      <w:tr w:rsidR="009B2B33" w14:paraId="469CEBAC" w14:textId="77777777">
        <w:tc>
          <w:tcPr>
            <w:tcW w:w="9638" w:type="dxa"/>
            <w:gridSpan w:val="2"/>
            <w:shd w:val="clear" w:color="auto" w:fill="E7F6FD"/>
            <w:tcMar>
              <w:top w:w="0" w:type="dxa"/>
            </w:tcMar>
          </w:tcPr>
          <w:p w14:paraId="18C487DD" w14:textId="77777777" w:rsidR="009B2B33" w:rsidRPr="00767EAE" w:rsidRDefault="009B2B33">
            <w:pPr>
              <w:pStyle w:val="BodyText"/>
            </w:pPr>
            <w:r>
              <w:t xml:space="preserve">The Australian Government should amend section 32A(2) of the </w:t>
            </w:r>
            <w:r w:rsidRPr="00F43F3C">
              <w:rPr>
                <w:i/>
              </w:rPr>
              <w:t>Future Drought Fund Act 2019</w:t>
            </w:r>
            <w:r>
              <w:t xml:space="preserve"> (Cth) to require the Productivity Minister to specify that the Productivity Commission must submit its report no later than eight months before the end of the 4</w:t>
            </w:r>
            <w:r>
              <w:noBreakHyphen/>
              <w:t>year period that began when the Drought Resilience Funding Plan came into force.</w:t>
            </w:r>
          </w:p>
        </w:tc>
      </w:tr>
      <w:tr w:rsidR="009B2B33" w14:paraId="53332938" w14:textId="77777777">
        <w:tc>
          <w:tcPr>
            <w:tcW w:w="9638" w:type="dxa"/>
            <w:gridSpan w:val="2"/>
            <w:shd w:val="clear" w:color="auto" w:fill="auto"/>
            <w:tcMar>
              <w:top w:w="0" w:type="dxa"/>
              <w:bottom w:w="0" w:type="dxa"/>
            </w:tcMar>
          </w:tcPr>
          <w:p w14:paraId="0D09FCC7" w14:textId="2328641D" w:rsidR="009B2B33" w:rsidRPr="007E0EA8" w:rsidRDefault="009B2B33">
            <w:pPr>
              <w:pStyle w:val="NoSpacing"/>
              <w:spacing w:line="200" w:lineRule="exact"/>
            </w:pPr>
          </w:p>
        </w:tc>
      </w:tr>
    </w:tbl>
    <w:p w14:paraId="6CC13BC2" w14:textId="79FC9BD0" w:rsidR="009B2B33" w:rsidRDefault="009B2B33" w:rsidP="003B07D1">
      <w:pPr>
        <w:pStyle w:val="Heading2-nonumber"/>
      </w:pPr>
      <w:bookmarkStart w:id="56" w:name="_Toc136534001"/>
      <w:bookmarkStart w:id="57" w:name="_Toc136600690"/>
      <w:bookmarkStart w:id="58" w:name="_Toc136817008"/>
      <w:bookmarkStart w:id="59" w:name="_Toc137129762"/>
      <w:r>
        <w:lastRenderedPageBreak/>
        <w:t xml:space="preserve">Monitoring, </w:t>
      </w:r>
      <w:r w:rsidR="007A7CFB">
        <w:t>e</w:t>
      </w:r>
      <w:r>
        <w:t xml:space="preserve">valuation and </w:t>
      </w:r>
      <w:r w:rsidR="007A7CFB">
        <w:t>l</w:t>
      </w:r>
      <w:r>
        <w:t>earning</w:t>
      </w:r>
      <w:bookmarkEnd w:id="56"/>
      <w:bookmarkEnd w:id="57"/>
      <w:bookmarkEnd w:id="58"/>
      <w:bookmarkEnd w:id="59"/>
    </w:p>
    <w:p w14:paraId="4C1E6954" w14:textId="6B4CFD43" w:rsidR="009B2B33" w:rsidRDefault="009B2B33">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9B2B33" w14:paraId="0490653D" w14:textId="77777777">
        <w:trPr>
          <w:trHeight w:val="765"/>
          <w:tblHeader/>
        </w:trPr>
        <w:tc>
          <w:tcPr>
            <w:tcW w:w="366" w:type="pct"/>
            <w:tcBorders>
              <w:bottom w:val="nil"/>
            </w:tcBorders>
            <w:tcMar>
              <w:bottom w:w="0" w:type="dxa"/>
            </w:tcMar>
            <w:vAlign w:val="center"/>
          </w:tcPr>
          <w:p w14:paraId="45BB8C10" w14:textId="77777777" w:rsidR="009B2B33" w:rsidRDefault="009B2B33">
            <w:pPr>
              <w:pStyle w:val="NoSpacing"/>
              <w:keepNext/>
              <w:keepLines/>
              <w:jc w:val="right"/>
            </w:pPr>
            <w:r w:rsidRPr="00A51374">
              <w:rPr>
                <w:noProof/>
              </w:rPr>
              <w:drawing>
                <wp:inline distT="0" distB="0" distL="0" distR="0" wp14:anchorId="34E2E0E2" wp14:editId="7ED9FFE3">
                  <wp:extent cx="288000" cy="288000"/>
                  <wp:effectExtent l="0" t="0" r="0" b="0"/>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46F925C4" w14:textId="77777777" w:rsidR="009B2B33" w:rsidRDefault="009B2B33">
            <w:pPr>
              <w:pStyle w:val="TableHeading"/>
              <w:keepNext/>
              <w:keepLines/>
              <w:spacing w:before="120" w:after="120"/>
              <w:contextualSpacing/>
              <w:rPr>
                <w:sz w:val="20"/>
              </w:rPr>
            </w:pPr>
            <w:r w:rsidRPr="00EE27B8">
              <w:rPr>
                <w:sz w:val="20"/>
              </w:rPr>
              <w:t>Interim finding</w:t>
            </w:r>
            <w:r>
              <w:rPr>
                <w:sz w:val="20"/>
              </w:rPr>
              <w:t xml:space="preserve"> 4</w:t>
            </w:r>
          </w:p>
          <w:p w14:paraId="5F2AB5E1" w14:textId="77777777" w:rsidR="009B2B33" w:rsidRDefault="009B2B33">
            <w:pPr>
              <w:pStyle w:val="TableHeading"/>
              <w:keepNext/>
              <w:keepLines/>
              <w:spacing w:before="120" w:after="120"/>
              <w:contextualSpacing/>
            </w:pPr>
            <w:r>
              <w:rPr>
                <w:sz w:val="20"/>
              </w:rPr>
              <w:t>M</w:t>
            </w:r>
            <w:r w:rsidRPr="00EE27B8">
              <w:rPr>
                <w:sz w:val="20"/>
              </w:rPr>
              <w:t xml:space="preserve">onitoring, </w:t>
            </w:r>
            <w:r>
              <w:rPr>
                <w:sz w:val="20"/>
              </w:rPr>
              <w:t>e</w:t>
            </w:r>
            <w:r w:rsidRPr="00EE27B8">
              <w:rPr>
                <w:sz w:val="20"/>
              </w:rPr>
              <w:t xml:space="preserve">valuation and </w:t>
            </w:r>
            <w:r>
              <w:rPr>
                <w:sz w:val="20"/>
              </w:rPr>
              <w:t>l</w:t>
            </w:r>
            <w:r w:rsidRPr="00EE27B8">
              <w:rPr>
                <w:sz w:val="20"/>
              </w:rPr>
              <w:t xml:space="preserve">earning </w:t>
            </w:r>
            <w:r>
              <w:rPr>
                <w:sz w:val="20"/>
              </w:rPr>
              <w:t>activities have not adequately tracked performance</w:t>
            </w:r>
          </w:p>
        </w:tc>
      </w:tr>
      <w:tr w:rsidR="009B2B33" w14:paraId="62B87AFA" w14:textId="77777777">
        <w:tc>
          <w:tcPr>
            <w:tcW w:w="5000" w:type="pct"/>
            <w:gridSpan w:val="2"/>
            <w:tcBorders>
              <w:top w:val="nil"/>
              <w:bottom w:val="single" w:sz="4" w:space="0" w:color="66BCDB" w:themeColor="text2"/>
            </w:tcBorders>
          </w:tcPr>
          <w:p w14:paraId="3288893D" w14:textId="77777777" w:rsidR="009B2B33" w:rsidRDefault="009B2B33">
            <w:pPr>
              <w:pStyle w:val="BodyText"/>
              <w:keepLines/>
            </w:pPr>
            <w:r>
              <w:rPr>
                <w:color w:val="000000" w:themeColor="text1"/>
              </w:rPr>
              <w:t>The development and implementation of a comprehensive monitoring, evaluation and learning (MEL) system was</w:t>
            </w:r>
            <w:r>
              <w:t xml:space="preserve"> hampered by the quick roll-out of programs, and a lack of dedicated resource capability. </w:t>
            </w:r>
          </w:p>
          <w:p w14:paraId="3B05A5DA" w14:textId="77777777" w:rsidR="009B2B33" w:rsidRDefault="009B2B33">
            <w:pPr>
              <w:pStyle w:val="BodyText"/>
              <w:keepLines/>
            </w:pPr>
            <w:r>
              <w:t xml:space="preserve">Monitoring and evaluation activities have largely focused on individual programs, with little work done to understand the overall progress of the Fund. Program-level indicators tend to focus on inputs and outputs rather than outcomes, and hence provide limited understanding of how programs are contributing to drought resilience. </w:t>
            </w:r>
          </w:p>
        </w:tc>
      </w:tr>
      <w:tr w:rsidR="009B2B33" w14:paraId="33AC2BBA" w14:textId="77777777">
        <w:tc>
          <w:tcPr>
            <w:tcW w:w="5000" w:type="pct"/>
            <w:gridSpan w:val="2"/>
            <w:tcBorders>
              <w:top w:val="single" w:sz="4" w:space="0" w:color="66BCDB" w:themeColor="text2"/>
              <w:left w:val="nil"/>
              <w:bottom w:val="nil"/>
              <w:right w:val="nil"/>
            </w:tcBorders>
            <w:tcMar>
              <w:bottom w:w="0" w:type="dxa"/>
            </w:tcMar>
          </w:tcPr>
          <w:p w14:paraId="5A52C068" w14:textId="46AC9DFB" w:rsidR="009B2B33" w:rsidRDefault="009B2B33">
            <w:pPr>
              <w:pStyle w:val="NoSpacing"/>
              <w:spacing w:line="200" w:lineRule="atLeast"/>
            </w:pPr>
          </w:p>
        </w:tc>
      </w:tr>
    </w:tbl>
    <w:p w14:paraId="6F163F28" w14:textId="71036FBF" w:rsidR="009B2B33" w:rsidRDefault="009B2B33">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9B2B33" w14:paraId="69C74930" w14:textId="77777777">
        <w:trPr>
          <w:trHeight w:val="765"/>
          <w:tblHeader/>
        </w:trPr>
        <w:tc>
          <w:tcPr>
            <w:tcW w:w="366" w:type="pct"/>
            <w:shd w:val="clear" w:color="auto" w:fill="EBEBEB"/>
            <w:tcMar>
              <w:bottom w:w="0" w:type="dxa"/>
            </w:tcMar>
            <w:vAlign w:val="center"/>
          </w:tcPr>
          <w:p w14:paraId="4381D166" w14:textId="77777777" w:rsidR="009B2B33" w:rsidRDefault="009B2B33">
            <w:pPr>
              <w:pStyle w:val="NoSpacing"/>
              <w:keepNext/>
              <w:keepLines/>
              <w:jc w:val="right"/>
            </w:pPr>
            <w:r w:rsidRPr="00A51374">
              <w:rPr>
                <w:noProof/>
              </w:rPr>
              <w:drawing>
                <wp:inline distT="0" distB="0" distL="0" distR="0" wp14:anchorId="0C3A93BD" wp14:editId="3E427F45">
                  <wp:extent cx="288000" cy="288000"/>
                  <wp:effectExtent l="0" t="0" r="0" b="0"/>
                  <wp:docPr id="208990844" name="Picture 2089908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664B173C" w14:textId="77777777" w:rsidR="009B2B33" w:rsidRPr="002530FF" w:rsidRDefault="009B2B33">
            <w:pPr>
              <w:pStyle w:val="TableHeading"/>
              <w:keepNext/>
              <w:keepLines/>
              <w:spacing w:before="120" w:after="120"/>
              <w:contextualSpacing/>
              <w:rPr>
                <w:sz w:val="20"/>
              </w:rPr>
            </w:pPr>
            <w:r w:rsidRPr="000B0B71">
              <w:rPr>
                <w:sz w:val="20"/>
              </w:rPr>
              <w:t>Information request</w:t>
            </w:r>
            <w:r>
              <w:rPr>
                <w:sz w:val="20"/>
              </w:rPr>
              <w:t xml:space="preserve"> 6</w:t>
            </w:r>
          </w:p>
        </w:tc>
      </w:tr>
      <w:tr w:rsidR="009B2B33" w14:paraId="01FC34C0" w14:textId="77777777">
        <w:tc>
          <w:tcPr>
            <w:tcW w:w="5000" w:type="pct"/>
            <w:gridSpan w:val="2"/>
            <w:shd w:val="clear" w:color="auto" w:fill="EBEBEB"/>
          </w:tcPr>
          <w:p w14:paraId="1D4FA1F6" w14:textId="77777777" w:rsidR="009B2B33" w:rsidRDefault="009B2B33">
            <w:pPr>
              <w:pStyle w:val="BodyText"/>
              <w:keepNext/>
              <w:keepLines/>
              <w:rPr>
                <w:color w:val="265A9A" w:themeColor="background2"/>
              </w:rPr>
            </w:pPr>
            <w:r>
              <w:rPr>
                <w:color w:val="265A9A" w:themeColor="background2"/>
              </w:rPr>
              <w:t xml:space="preserve">The Commission has identified challenges with the implementation of Fund and program monitoring, evaluation and learning (MEL). We are seeking further views on: </w:t>
            </w:r>
          </w:p>
          <w:p w14:paraId="130526F2" w14:textId="77777777" w:rsidR="009B2B33" w:rsidRPr="00E45783" w:rsidRDefault="009B2B33">
            <w:pPr>
              <w:pStyle w:val="ListBullet"/>
              <w:rPr>
                <w:color w:val="265A9A" w:themeColor="background2"/>
              </w:rPr>
            </w:pPr>
            <w:r>
              <w:rPr>
                <w:color w:val="265A9A" w:themeColor="background2"/>
              </w:rPr>
              <w:t>the clarity of MEL requirements for, and guidance provided to, program implementers</w:t>
            </w:r>
          </w:p>
          <w:p w14:paraId="47B3DDD1" w14:textId="77777777" w:rsidR="009B2B33" w:rsidRDefault="009B2B33">
            <w:pPr>
              <w:pStyle w:val="ListBullet"/>
              <w:rPr>
                <w:color w:val="265A9A" w:themeColor="background2"/>
              </w:rPr>
            </w:pPr>
            <w:r>
              <w:rPr>
                <w:color w:val="265A9A" w:themeColor="background2"/>
              </w:rPr>
              <w:t>what mechanisms might better integrate monitoring, evaluation and reporting with learning</w:t>
            </w:r>
          </w:p>
          <w:p w14:paraId="5A5174D7" w14:textId="77777777" w:rsidR="009B2B33" w:rsidRDefault="009B2B33">
            <w:pPr>
              <w:pStyle w:val="ListBullet"/>
            </w:pPr>
            <w:r>
              <w:rPr>
                <w:color w:val="265A9A" w:themeColor="background2"/>
              </w:rPr>
              <w:t>a</w:t>
            </w:r>
            <w:r w:rsidRPr="00A64DC7">
              <w:rPr>
                <w:color w:val="265A9A" w:themeColor="background2"/>
              </w:rPr>
              <w:t>ny other specific, practical changes that would improve how MEL is conducted across the Fund.</w:t>
            </w:r>
          </w:p>
        </w:tc>
      </w:tr>
      <w:tr w:rsidR="009B2B33" w14:paraId="2DD5F3A3" w14:textId="77777777">
        <w:tc>
          <w:tcPr>
            <w:tcW w:w="5000" w:type="pct"/>
            <w:gridSpan w:val="2"/>
            <w:tcMar>
              <w:bottom w:w="0" w:type="dxa"/>
            </w:tcMar>
          </w:tcPr>
          <w:p w14:paraId="438058A8" w14:textId="24ECB033" w:rsidR="009B2B33" w:rsidRDefault="009B2B33">
            <w:pPr>
              <w:pStyle w:val="NoSpacing"/>
              <w:spacing w:line="200" w:lineRule="atLeast"/>
            </w:pPr>
          </w:p>
        </w:tc>
      </w:tr>
    </w:tbl>
    <w:p w14:paraId="03F06D17" w14:textId="6CDB455C" w:rsidR="009B2B33" w:rsidRDefault="009B2B33">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9B2B33" w14:paraId="6B3B18A7" w14:textId="77777777">
        <w:trPr>
          <w:trHeight w:val="765"/>
          <w:tblHeader/>
        </w:trPr>
        <w:tc>
          <w:tcPr>
            <w:tcW w:w="366" w:type="pct"/>
            <w:shd w:val="clear" w:color="auto" w:fill="EBEBEB"/>
            <w:tcMar>
              <w:bottom w:w="0" w:type="dxa"/>
            </w:tcMar>
            <w:vAlign w:val="center"/>
          </w:tcPr>
          <w:p w14:paraId="3995B9A9" w14:textId="77777777" w:rsidR="009B2B33" w:rsidRDefault="009B2B33">
            <w:pPr>
              <w:pStyle w:val="NoSpacing"/>
              <w:keepNext/>
              <w:keepLines/>
              <w:jc w:val="right"/>
            </w:pPr>
            <w:r w:rsidRPr="00A51374">
              <w:rPr>
                <w:noProof/>
              </w:rPr>
              <w:drawing>
                <wp:inline distT="0" distB="0" distL="0" distR="0" wp14:anchorId="18194A18" wp14:editId="1D3C2DE6">
                  <wp:extent cx="288000" cy="288000"/>
                  <wp:effectExtent l="0" t="0" r="0" b="0"/>
                  <wp:docPr id="473032407" name="Picture 4730324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40006BF9" w14:textId="77777777" w:rsidR="009B2B33" w:rsidRPr="002530FF" w:rsidRDefault="009B2B33">
            <w:pPr>
              <w:pStyle w:val="TableHeading"/>
              <w:keepNext/>
              <w:keepLines/>
              <w:spacing w:before="120" w:after="120"/>
              <w:contextualSpacing/>
              <w:rPr>
                <w:sz w:val="20"/>
              </w:rPr>
            </w:pPr>
            <w:r w:rsidRPr="000B0B71">
              <w:rPr>
                <w:sz w:val="20"/>
              </w:rPr>
              <w:t>Information request</w:t>
            </w:r>
            <w:r>
              <w:rPr>
                <w:sz w:val="20"/>
              </w:rPr>
              <w:t xml:space="preserve"> 7</w:t>
            </w:r>
          </w:p>
        </w:tc>
      </w:tr>
      <w:tr w:rsidR="009B2B33" w14:paraId="747BB8B2" w14:textId="77777777">
        <w:tc>
          <w:tcPr>
            <w:tcW w:w="5000" w:type="pct"/>
            <w:gridSpan w:val="2"/>
            <w:shd w:val="clear" w:color="auto" w:fill="EBEBEB"/>
          </w:tcPr>
          <w:p w14:paraId="552DBFC5" w14:textId="77777777" w:rsidR="009B2B33" w:rsidRPr="000D4168" w:rsidRDefault="009B2B33">
            <w:pPr>
              <w:pStyle w:val="BodyText"/>
              <w:rPr>
                <w:color w:val="265A9A" w:themeColor="background2"/>
              </w:rPr>
            </w:pPr>
            <w:r>
              <w:rPr>
                <w:color w:val="265A9A" w:themeColor="background2"/>
              </w:rPr>
              <w:t>While there have been challenges with implementing monitoring, evaluation and learning, t</w:t>
            </w:r>
            <w:r w:rsidRPr="000D4168">
              <w:rPr>
                <w:color w:val="265A9A" w:themeColor="background2"/>
              </w:rPr>
              <w:t xml:space="preserve">he Commission is interested in examples of monitoring, evaluation and learning being conducted effectively to track </w:t>
            </w:r>
            <w:r>
              <w:rPr>
                <w:color w:val="265A9A" w:themeColor="background2"/>
              </w:rPr>
              <w:t xml:space="preserve">and improve </w:t>
            </w:r>
            <w:r w:rsidRPr="000D4168">
              <w:rPr>
                <w:color w:val="265A9A" w:themeColor="background2"/>
              </w:rPr>
              <w:t>Fund and program performance and outcomes.</w:t>
            </w:r>
          </w:p>
          <w:p w14:paraId="5722C135" w14:textId="77777777" w:rsidR="009B2B33" w:rsidRPr="000D4168" w:rsidRDefault="009B2B33" w:rsidP="00CB4D37">
            <w:pPr>
              <w:pStyle w:val="BodyText"/>
              <w:spacing w:after="0"/>
              <w:rPr>
                <w:color w:val="265A9A" w:themeColor="background2"/>
              </w:rPr>
            </w:pPr>
            <w:proofErr w:type="gramStart"/>
            <w:r w:rsidRPr="000D4168">
              <w:rPr>
                <w:color w:val="265A9A" w:themeColor="background2"/>
              </w:rPr>
              <w:t>In particular we</w:t>
            </w:r>
            <w:proofErr w:type="gramEnd"/>
            <w:r w:rsidRPr="000D4168">
              <w:rPr>
                <w:color w:val="265A9A" w:themeColor="background2"/>
              </w:rPr>
              <w:t xml:space="preserve"> are interested in any practical examples from across the Fund and programs, of: </w:t>
            </w:r>
          </w:p>
          <w:p w14:paraId="6B5AE385" w14:textId="77777777" w:rsidR="009B2B33" w:rsidRPr="000D4168" w:rsidRDefault="009B2B33" w:rsidP="00CB4D37">
            <w:pPr>
              <w:pStyle w:val="ListBullet"/>
              <w:spacing w:before="60"/>
              <w:rPr>
                <w:color w:val="265A9A" w:themeColor="background2"/>
              </w:rPr>
            </w:pPr>
            <w:r>
              <w:rPr>
                <w:color w:val="265A9A" w:themeColor="background2"/>
              </w:rPr>
              <w:t>p</w:t>
            </w:r>
            <w:r w:rsidRPr="000D4168">
              <w:rPr>
                <w:color w:val="265A9A" w:themeColor="background2"/>
              </w:rPr>
              <w:t xml:space="preserve">rogram </w:t>
            </w:r>
            <w:r w:rsidRPr="00287D59">
              <w:rPr>
                <w:i/>
                <w:iCs/>
                <w:color w:val="265A9A" w:themeColor="background2"/>
              </w:rPr>
              <w:t>outcomes</w:t>
            </w:r>
            <w:r w:rsidRPr="000D4168">
              <w:rPr>
                <w:color w:val="265A9A" w:themeColor="background2"/>
              </w:rPr>
              <w:t xml:space="preserve"> </w:t>
            </w:r>
            <w:r>
              <w:rPr>
                <w:color w:val="265A9A" w:themeColor="background2"/>
              </w:rPr>
              <w:t xml:space="preserve">that </w:t>
            </w:r>
            <w:r w:rsidRPr="000D4168">
              <w:rPr>
                <w:color w:val="265A9A" w:themeColor="background2"/>
              </w:rPr>
              <w:t xml:space="preserve">are being </w:t>
            </w:r>
            <w:r>
              <w:rPr>
                <w:color w:val="265A9A" w:themeColor="background2"/>
              </w:rPr>
              <w:t xml:space="preserve">monitored </w:t>
            </w:r>
            <w:r w:rsidRPr="000D4168">
              <w:rPr>
                <w:color w:val="265A9A" w:themeColor="background2"/>
              </w:rPr>
              <w:t>and measured</w:t>
            </w:r>
            <w:r>
              <w:rPr>
                <w:color w:val="265A9A" w:themeColor="background2"/>
              </w:rPr>
              <w:t>, and how data is being collected and analysed to do so</w:t>
            </w:r>
            <w:r w:rsidRPr="000D4168">
              <w:rPr>
                <w:color w:val="265A9A" w:themeColor="background2"/>
              </w:rPr>
              <w:t xml:space="preserve"> </w:t>
            </w:r>
          </w:p>
          <w:p w14:paraId="18D75A48" w14:textId="77777777" w:rsidR="009B2B33" w:rsidRPr="000D4168" w:rsidRDefault="009B2B33">
            <w:pPr>
              <w:pStyle w:val="ListBullet"/>
              <w:rPr>
                <w:color w:val="265A9A" w:themeColor="background2"/>
              </w:rPr>
            </w:pPr>
            <w:r>
              <w:rPr>
                <w:color w:val="265A9A" w:themeColor="background2"/>
              </w:rPr>
              <w:t>longer-term m</w:t>
            </w:r>
            <w:r w:rsidRPr="000D4168">
              <w:rPr>
                <w:color w:val="265A9A" w:themeColor="background2"/>
              </w:rPr>
              <w:t xml:space="preserve">onitoring of outcomes and impact </w:t>
            </w:r>
            <w:r w:rsidRPr="00E07019">
              <w:rPr>
                <w:color w:val="265A9A" w:themeColor="background2"/>
              </w:rPr>
              <w:t>after</w:t>
            </w:r>
            <w:r w:rsidRPr="000D4168">
              <w:rPr>
                <w:color w:val="265A9A" w:themeColor="background2"/>
              </w:rPr>
              <w:t xml:space="preserve"> the conclusion of a program, project or activity </w:t>
            </w:r>
          </w:p>
          <w:p w14:paraId="18AF4477" w14:textId="77777777" w:rsidR="009B2B33" w:rsidRPr="000D4168" w:rsidRDefault="009B2B33">
            <w:pPr>
              <w:pStyle w:val="ListBullet"/>
              <w:rPr>
                <w:color w:val="265A9A" w:themeColor="background2"/>
              </w:rPr>
            </w:pPr>
            <w:r>
              <w:rPr>
                <w:color w:val="265A9A" w:themeColor="background2"/>
              </w:rPr>
              <w:t xml:space="preserve">learning activities deliberately undertaken during the course of program or activity implementation, to identify any </w:t>
            </w:r>
            <w:r w:rsidRPr="000D4168">
              <w:rPr>
                <w:color w:val="265A9A" w:themeColor="background2"/>
              </w:rPr>
              <w:t xml:space="preserve">challenges and </w:t>
            </w:r>
            <w:r>
              <w:rPr>
                <w:color w:val="265A9A" w:themeColor="background2"/>
              </w:rPr>
              <w:t>other insights, and use these to</w:t>
            </w:r>
            <w:r w:rsidRPr="000D4168">
              <w:rPr>
                <w:color w:val="265A9A" w:themeColor="background2"/>
              </w:rPr>
              <w:t xml:space="preserve"> change and improve implementation</w:t>
            </w:r>
          </w:p>
          <w:p w14:paraId="16E24793" w14:textId="77777777" w:rsidR="009B2B33" w:rsidRDefault="009B2B33">
            <w:pPr>
              <w:pStyle w:val="ListBullet"/>
              <w:rPr>
                <w:color w:val="265A9A" w:themeColor="background2"/>
              </w:rPr>
            </w:pPr>
            <w:r>
              <w:rPr>
                <w:color w:val="265A9A" w:themeColor="background2"/>
              </w:rPr>
              <w:t>h</w:t>
            </w:r>
            <w:r w:rsidRPr="000D4168">
              <w:rPr>
                <w:color w:val="265A9A" w:themeColor="background2"/>
              </w:rPr>
              <w:t>ow attribution and contribution has been addressed in monitoring or evaluation</w:t>
            </w:r>
          </w:p>
          <w:p w14:paraId="01E08AAD" w14:textId="77777777" w:rsidR="009B2B33" w:rsidRPr="00503E46" w:rsidRDefault="009B2B33" w:rsidP="00CB4D37">
            <w:pPr>
              <w:pStyle w:val="ListBullet"/>
              <w:spacing w:after="0"/>
              <w:rPr>
                <w:color w:val="265A9A" w:themeColor="background2"/>
              </w:rPr>
            </w:pPr>
            <w:r>
              <w:rPr>
                <w:color w:val="265A9A" w:themeColor="background2"/>
              </w:rPr>
              <w:t>monitoring and evaluation of:</w:t>
            </w:r>
          </w:p>
          <w:p w14:paraId="1E34D223" w14:textId="77777777" w:rsidR="009B2B33" w:rsidRPr="00D0667D" w:rsidRDefault="009B2B33" w:rsidP="00CB4D37">
            <w:pPr>
              <w:pStyle w:val="ListBullet2"/>
              <w:spacing w:before="60"/>
              <w:rPr>
                <w:color w:val="265A9A" w:themeColor="background2"/>
              </w:rPr>
            </w:pPr>
            <w:r>
              <w:rPr>
                <w:color w:val="265A9A" w:themeColor="background2"/>
              </w:rPr>
              <w:t>p</w:t>
            </w:r>
            <w:r w:rsidRPr="00D0667D">
              <w:rPr>
                <w:color w:val="265A9A" w:themeColor="background2"/>
              </w:rPr>
              <w:t xml:space="preserve">artnerships </w:t>
            </w:r>
          </w:p>
          <w:p w14:paraId="6B6E4089" w14:textId="77777777" w:rsidR="009B2B33" w:rsidRPr="00D0667D" w:rsidRDefault="009B2B33">
            <w:pPr>
              <w:pStyle w:val="ListBullet2"/>
              <w:rPr>
                <w:color w:val="265A9A" w:themeColor="background2"/>
              </w:rPr>
            </w:pPr>
            <w:r>
              <w:rPr>
                <w:color w:val="265A9A" w:themeColor="background2"/>
              </w:rPr>
              <w:t>e</w:t>
            </w:r>
            <w:r w:rsidRPr="00D0667D">
              <w:rPr>
                <w:color w:val="265A9A" w:themeColor="background2"/>
              </w:rPr>
              <w:t xml:space="preserve">nvironmental resilience outcomes at landscape / multi-property scale </w:t>
            </w:r>
          </w:p>
          <w:p w14:paraId="7FAEC4F9" w14:textId="77777777" w:rsidR="009B2B33" w:rsidRPr="00D0667D" w:rsidRDefault="009B2B33">
            <w:pPr>
              <w:pStyle w:val="ListBullet2"/>
              <w:rPr>
                <w:color w:val="265A9A" w:themeColor="background2"/>
              </w:rPr>
            </w:pPr>
            <w:r>
              <w:rPr>
                <w:color w:val="265A9A" w:themeColor="background2"/>
              </w:rPr>
              <w:t>s</w:t>
            </w:r>
            <w:r w:rsidRPr="00D0667D">
              <w:rPr>
                <w:color w:val="265A9A" w:themeColor="background2"/>
              </w:rPr>
              <w:t>ocial resilience outcomes</w:t>
            </w:r>
          </w:p>
          <w:p w14:paraId="6EC77260" w14:textId="77777777" w:rsidR="009B2B33" w:rsidRDefault="009B2B33">
            <w:pPr>
              <w:pStyle w:val="ListBullet2"/>
            </w:pPr>
            <w:r>
              <w:rPr>
                <w:color w:val="265A9A" w:themeColor="background2"/>
              </w:rPr>
              <w:t>k</w:t>
            </w:r>
            <w:r w:rsidRPr="00D0667D">
              <w:rPr>
                <w:color w:val="265A9A" w:themeColor="background2"/>
              </w:rPr>
              <w:t>nowledge uptake by the wider sector; specifically</w:t>
            </w:r>
            <w:r>
              <w:rPr>
                <w:color w:val="265A9A" w:themeColor="background2"/>
              </w:rPr>
              <w:t>,</w:t>
            </w:r>
            <w:r w:rsidRPr="00D0667D">
              <w:rPr>
                <w:color w:val="265A9A" w:themeColor="background2"/>
              </w:rPr>
              <w:t xml:space="preserve"> monitoring of how knowledge generated by the Fund has been applied by people beyond those directly participating in a Fund program or activity.</w:t>
            </w:r>
          </w:p>
        </w:tc>
      </w:tr>
    </w:tbl>
    <w:p w14:paraId="397FEF9A" w14:textId="714EEB02" w:rsidR="009B2B33" w:rsidRDefault="009B2B33" w:rsidP="003B07D1">
      <w:pPr>
        <w:pStyle w:val="Heading2-nonumber"/>
      </w:pPr>
      <w:bookmarkStart w:id="60" w:name="_Toc136534002"/>
      <w:bookmarkStart w:id="61" w:name="_Toc136600691"/>
      <w:bookmarkStart w:id="62" w:name="_Toc136817009"/>
      <w:bookmarkStart w:id="63" w:name="_Toc137129763"/>
      <w:r>
        <w:lastRenderedPageBreak/>
        <w:t>Improv</w:t>
      </w:r>
      <w:r w:rsidR="00205B8C">
        <w:t>ing</w:t>
      </w:r>
      <w:r>
        <w:t xml:space="preserve"> outcomes for </w:t>
      </w:r>
      <w:r w:rsidRPr="000A573F">
        <w:t>Aboriginal and Torres Strait Islander</w:t>
      </w:r>
      <w:r>
        <w:t xml:space="preserve"> people</w:t>
      </w:r>
      <w:bookmarkEnd w:id="60"/>
      <w:bookmarkEnd w:id="61"/>
      <w:bookmarkEnd w:id="62"/>
      <w:bookmarkEnd w:id="63"/>
    </w:p>
    <w:p w14:paraId="7C17ADE6" w14:textId="730210D3" w:rsidR="009B2B33" w:rsidRDefault="009B2B33">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9B2B33" w14:paraId="2A226497" w14:textId="77777777">
        <w:trPr>
          <w:trHeight w:val="765"/>
          <w:tblHeader/>
        </w:trPr>
        <w:tc>
          <w:tcPr>
            <w:tcW w:w="366" w:type="pct"/>
            <w:tcBorders>
              <w:bottom w:val="nil"/>
            </w:tcBorders>
            <w:tcMar>
              <w:bottom w:w="0" w:type="dxa"/>
            </w:tcMar>
            <w:vAlign w:val="center"/>
          </w:tcPr>
          <w:p w14:paraId="33775148" w14:textId="77777777" w:rsidR="009B2B33" w:rsidRDefault="009B2B33">
            <w:pPr>
              <w:pStyle w:val="NoSpacing"/>
              <w:keepNext/>
              <w:keepLines/>
              <w:jc w:val="right"/>
            </w:pPr>
            <w:r w:rsidRPr="00A51374">
              <w:rPr>
                <w:noProof/>
              </w:rPr>
              <w:drawing>
                <wp:inline distT="0" distB="0" distL="0" distR="0" wp14:anchorId="28B9865B" wp14:editId="70641491">
                  <wp:extent cx="288000" cy="2880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03761366" w14:textId="77777777" w:rsidR="009B2B33" w:rsidRPr="00EE27B8" w:rsidRDefault="009B2B33">
            <w:pPr>
              <w:pStyle w:val="TableHeading"/>
              <w:keepNext/>
              <w:keepLines/>
              <w:spacing w:before="120" w:after="120"/>
              <w:contextualSpacing/>
              <w:rPr>
                <w:sz w:val="20"/>
              </w:rPr>
            </w:pPr>
            <w:r w:rsidRPr="00EE27B8">
              <w:rPr>
                <w:sz w:val="20"/>
              </w:rPr>
              <w:t xml:space="preserve">Interim finding </w:t>
            </w:r>
            <w:r>
              <w:rPr>
                <w:sz w:val="20"/>
              </w:rPr>
              <w:t>5</w:t>
            </w:r>
          </w:p>
          <w:p w14:paraId="63D2D42B" w14:textId="77777777" w:rsidR="009B2B33" w:rsidRDefault="009B2B33">
            <w:pPr>
              <w:pStyle w:val="TableHeading"/>
              <w:keepNext/>
              <w:keepLines/>
              <w:spacing w:before="120" w:after="120"/>
              <w:contextualSpacing/>
            </w:pPr>
            <w:r>
              <w:rPr>
                <w:sz w:val="20"/>
              </w:rPr>
              <w:t xml:space="preserve">Aboriginal and Torres Strait Islander people have had limited participation in the Future Drought Fund </w:t>
            </w:r>
          </w:p>
        </w:tc>
      </w:tr>
      <w:tr w:rsidR="009B2B33" w14:paraId="5B3CE617" w14:textId="77777777">
        <w:tc>
          <w:tcPr>
            <w:tcW w:w="5000" w:type="pct"/>
            <w:gridSpan w:val="2"/>
            <w:tcBorders>
              <w:top w:val="nil"/>
              <w:bottom w:val="single" w:sz="4" w:space="0" w:color="66BCDB" w:themeColor="text2"/>
            </w:tcBorders>
          </w:tcPr>
          <w:p w14:paraId="0479CF13" w14:textId="0586637A" w:rsidR="009B2B33" w:rsidRDefault="009B2B33">
            <w:pPr>
              <w:pStyle w:val="BodyText"/>
              <w:keepNext/>
              <w:keepLines/>
              <w:outlineLvl w:val="1"/>
            </w:pPr>
            <w:r w:rsidRPr="00E67330">
              <w:t>The Department has recognised that</w:t>
            </w:r>
            <w:r>
              <w:t xml:space="preserve"> there was limited engagement with Aboriginal and Torres Strait Islander people in the development of the Future Drought Fund. The participation of Aboriginal and Torres Strait Islander people in the Fund and its activities has been limited. </w:t>
            </w:r>
          </w:p>
          <w:p w14:paraId="5009B3B0" w14:textId="77777777" w:rsidR="009B2B33" w:rsidRDefault="009B2B33">
            <w:pPr>
              <w:pStyle w:val="BodyText"/>
              <w:keepNext/>
              <w:keepLines/>
              <w:outlineLvl w:val="1"/>
            </w:pPr>
            <w:r>
              <w:t>The Future Drought Fund has the potential to benefit Aboriginal and Torres Strait Islander people and the wider agricultural sector. For the next Funding Plan,</w:t>
            </w:r>
            <w:r w:rsidRPr="006D2F28">
              <w:t xml:space="preserve"> </w:t>
            </w:r>
            <w:r>
              <w:t>i</w:t>
            </w:r>
            <w:r w:rsidRPr="006D2F28">
              <w:t xml:space="preserve">t </w:t>
            </w:r>
            <w:r>
              <w:t>will be</w:t>
            </w:r>
            <w:r w:rsidRPr="006D2F28">
              <w:t xml:space="preserve"> important that Aboriginal and Torres Strait Islander people define their goals for</w:t>
            </w:r>
            <w:r>
              <w:t xml:space="preserve"> </w:t>
            </w:r>
            <w:r w:rsidRPr="006D2F28">
              <w:t xml:space="preserve">participation </w:t>
            </w:r>
            <w:r>
              <w:t>in</w:t>
            </w:r>
            <w:r w:rsidRPr="006D2F28">
              <w:t xml:space="preserve"> the </w:t>
            </w:r>
            <w:r>
              <w:t>F</w:t>
            </w:r>
            <w:r w:rsidRPr="006D2F28">
              <w:t>und</w:t>
            </w:r>
            <w:r>
              <w:t>.</w:t>
            </w:r>
            <w:r w:rsidRPr="00E67330">
              <w:t xml:space="preserve"> </w:t>
            </w:r>
          </w:p>
          <w:p w14:paraId="1F3F5216" w14:textId="77777777" w:rsidR="009B2B33" w:rsidRDefault="009B2B33">
            <w:pPr>
              <w:pStyle w:val="BodyText"/>
              <w:keepNext/>
              <w:keepLines/>
              <w:outlineLvl w:val="1"/>
            </w:pPr>
            <w:r w:rsidRPr="00E67330">
              <w:t>The next Funding Plan period represents an opportunity to help foster strong, reciprocal and respectful partnerships with Aboriginal and Torres Strait Islander people, in ways that strengthen their participation in decision</w:t>
            </w:r>
            <w:r>
              <w:t xml:space="preserve"> </w:t>
            </w:r>
            <w:r w:rsidRPr="00E67330">
              <w:t xml:space="preserve">making about the </w:t>
            </w:r>
            <w:r>
              <w:t>F</w:t>
            </w:r>
            <w:r w:rsidRPr="00E67330">
              <w:t>und.</w:t>
            </w:r>
            <w:r>
              <w:t xml:space="preserve"> </w:t>
            </w:r>
          </w:p>
        </w:tc>
      </w:tr>
      <w:tr w:rsidR="009B2B33" w14:paraId="0EE65654" w14:textId="77777777">
        <w:tc>
          <w:tcPr>
            <w:tcW w:w="5000" w:type="pct"/>
            <w:gridSpan w:val="2"/>
            <w:tcBorders>
              <w:top w:val="single" w:sz="4" w:space="0" w:color="66BCDB" w:themeColor="text2"/>
              <w:left w:val="nil"/>
              <w:bottom w:val="nil"/>
              <w:right w:val="nil"/>
            </w:tcBorders>
            <w:tcMar>
              <w:bottom w:w="0" w:type="dxa"/>
            </w:tcMar>
          </w:tcPr>
          <w:p w14:paraId="4A53E0DD" w14:textId="5CF48876" w:rsidR="009B2B33" w:rsidRDefault="009B2B33">
            <w:pPr>
              <w:pStyle w:val="NoSpacing"/>
              <w:spacing w:line="200" w:lineRule="atLeast"/>
            </w:pPr>
          </w:p>
        </w:tc>
      </w:tr>
    </w:tbl>
    <w:p w14:paraId="358A9867" w14:textId="1F9722CB" w:rsidR="009B2B33" w:rsidRDefault="009B2B33">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9B2B33" w14:paraId="6CC2EFF7" w14:textId="77777777">
        <w:trPr>
          <w:trHeight w:val="765"/>
          <w:tblHeader/>
        </w:trPr>
        <w:tc>
          <w:tcPr>
            <w:tcW w:w="366" w:type="pct"/>
            <w:shd w:val="clear" w:color="auto" w:fill="EBEBEB"/>
            <w:tcMar>
              <w:bottom w:w="0" w:type="dxa"/>
            </w:tcMar>
            <w:vAlign w:val="center"/>
          </w:tcPr>
          <w:p w14:paraId="210570A0" w14:textId="77777777" w:rsidR="009B2B33" w:rsidRDefault="009B2B33">
            <w:pPr>
              <w:pStyle w:val="NoSpacing"/>
              <w:keepNext/>
              <w:keepLines/>
              <w:jc w:val="right"/>
            </w:pPr>
            <w:r w:rsidRPr="00A51374">
              <w:rPr>
                <w:noProof/>
              </w:rPr>
              <w:drawing>
                <wp:inline distT="0" distB="0" distL="0" distR="0" wp14:anchorId="4A75F1C4" wp14:editId="29C8C60B">
                  <wp:extent cx="288000" cy="288000"/>
                  <wp:effectExtent l="0" t="0" r="0" b="0"/>
                  <wp:docPr id="1558098590" name="Picture 15580985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68BE6F5B" w14:textId="77777777" w:rsidR="009B2B33" w:rsidRPr="002530FF" w:rsidRDefault="009B2B33">
            <w:pPr>
              <w:pStyle w:val="TableHeading"/>
              <w:keepNext/>
              <w:keepLines/>
              <w:spacing w:before="120"/>
            </w:pPr>
            <w:r w:rsidRPr="00B20CD5">
              <w:rPr>
                <w:sz w:val="20"/>
              </w:rPr>
              <w:t xml:space="preserve">Information request </w:t>
            </w:r>
            <w:r>
              <w:rPr>
                <w:sz w:val="20"/>
              </w:rPr>
              <w:t>8</w:t>
            </w:r>
          </w:p>
        </w:tc>
      </w:tr>
      <w:tr w:rsidR="009B2B33" w14:paraId="79047C65" w14:textId="77777777">
        <w:tc>
          <w:tcPr>
            <w:tcW w:w="5000" w:type="pct"/>
            <w:gridSpan w:val="2"/>
            <w:shd w:val="clear" w:color="auto" w:fill="EBEBEB"/>
          </w:tcPr>
          <w:p w14:paraId="0D7CC4E1" w14:textId="77777777" w:rsidR="009B2B33" w:rsidRDefault="009B2B33">
            <w:pPr>
              <w:pStyle w:val="BodyText"/>
              <w:keepNext/>
              <w:keepLines/>
              <w:rPr>
                <w:color w:val="265A9A" w:themeColor="background2"/>
              </w:rPr>
            </w:pPr>
            <w:r w:rsidRPr="001167C4">
              <w:rPr>
                <w:color w:val="265A9A" w:themeColor="background2"/>
              </w:rPr>
              <w:t xml:space="preserve">The Commission is </w:t>
            </w:r>
            <w:r>
              <w:rPr>
                <w:color w:val="265A9A" w:themeColor="background2"/>
              </w:rPr>
              <w:t>seeking views about its suggested options</w:t>
            </w:r>
            <w:r w:rsidRPr="001167C4">
              <w:rPr>
                <w:color w:val="265A9A" w:themeColor="background2"/>
              </w:rPr>
              <w:t xml:space="preserve"> </w:t>
            </w:r>
            <w:r>
              <w:rPr>
                <w:color w:val="265A9A" w:themeColor="background2"/>
              </w:rPr>
              <w:t>to improve engagement with, and benefits for, Aboriginal and Torres Strait Islander people. We are interested in whether these options should be implemented, and if so, what would be needed to ensure their success in practice. Other suggested options are also welcome. The options, which are not mutually exclusive, include:</w:t>
            </w:r>
          </w:p>
          <w:p w14:paraId="06999FD1" w14:textId="77777777" w:rsidR="009B2B33" w:rsidRPr="00647099" w:rsidRDefault="009B2B33">
            <w:pPr>
              <w:pStyle w:val="ListBullet"/>
              <w:rPr>
                <w:color w:val="265A9A" w:themeColor="background2"/>
                <w:spacing w:val="-2"/>
              </w:rPr>
            </w:pPr>
            <w:r w:rsidRPr="00647099">
              <w:rPr>
                <w:color w:val="265A9A" w:themeColor="background2"/>
                <w:spacing w:val="-2"/>
              </w:rPr>
              <w:t>establishing a Future Drought Fund Aboriginal and Torres Strait Islander working group to work with the Department of Agriculture, Fisheries and Forestry to improve the design and implementation of the Fund</w:t>
            </w:r>
          </w:p>
          <w:p w14:paraId="4E94D19E" w14:textId="77777777" w:rsidR="009B2B33" w:rsidRPr="00987648" w:rsidRDefault="009B2B33">
            <w:pPr>
              <w:pStyle w:val="ListBullet"/>
              <w:rPr>
                <w:color w:val="265A9A" w:themeColor="background2"/>
              </w:rPr>
            </w:pPr>
            <w:r w:rsidRPr="00987648">
              <w:rPr>
                <w:color w:val="265A9A" w:themeColor="background2"/>
              </w:rPr>
              <w:t xml:space="preserve">requiring the Consultative Committee to include Aboriginal and/or Torres Strait Islander </w:t>
            </w:r>
            <w:r>
              <w:rPr>
                <w:color w:val="265A9A" w:themeColor="background2"/>
              </w:rPr>
              <w:t>representation</w:t>
            </w:r>
          </w:p>
          <w:p w14:paraId="3E3A792F" w14:textId="77777777" w:rsidR="009B2B33" w:rsidRPr="00987648" w:rsidRDefault="009B2B33">
            <w:pPr>
              <w:pStyle w:val="ListBullet"/>
              <w:rPr>
                <w:color w:val="265A9A" w:themeColor="background2"/>
              </w:rPr>
            </w:pPr>
            <w:r w:rsidRPr="00987648">
              <w:rPr>
                <w:color w:val="265A9A" w:themeColor="background2"/>
              </w:rPr>
              <w:t>developing a Future Drought Fund Aboriginal and Torres Strait Islander strategy</w:t>
            </w:r>
          </w:p>
          <w:p w14:paraId="6447D14B" w14:textId="77777777" w:rsidR="009B2B33" w:rsidRPr="00987648" w:rsidRDefault="009B2B33">
            <w:pPr>
              <w:pStyle w:val="ListBullet"/>
              <w:rPr>
                <w:color w:val="265A9A" w:themeColor="background2"/>
              </w:rPr>
            </w:pPr>
            <w:r w:rsidRPr="00987648">
              <w:rPr>
                <w:color w:val="265A9A" w:themeColor="background2"/>
              </w:rPr>
              <w:t xml:space="preserve">providing specific funding and resources to Aboriginal and Torres Strait Islander organisations, the Hubs and other relevant organisations to </w:t>
            </w:r>
            <w:r>
              <w:rPr>
                <w:color w:val="265A9A" w:themeColor="background2"/>
              </w:rPr>
              <w:t>advise on and undertake</w:t>
            </w:r>
            <w:r w:rsidRPr="00987648">
              <w:rPr>
                <w:color w:val="265A9A" w:themeColor="background2"/>
              </w:rPr>
              <w:t xml:space="preserve"> engagement</w:t>
            </w:r>
          </w:p>
          <w:p w14:paraId="3235268E" w14:textId="77777777" w:rsidR="009B2B33" w:rsidRPr="00987648" w:rsidRDefault="009B2B33">
            <w:pPr>
              <w:pStyle w:val="ListBullet"/>
              <w:rPr>
                <w:color w:val="265A9A" w:themeColor="background2"/>
              </w:rPr>
            </w:pPr>
            <w:r>
              <w:rPr>
                <w:color w:val="265A9A" w:themeColor="background2"/>
              </w:rPr>
              <w:t>improving</w:t>
            </w:r>
            <w:r w:rsidRPr="00987648">
              <w:rPr>
                <w:color w:val="265A9A" w:themeColor="background2"/>
              </w:rPr>
              <w:t xml:space="preserve"> guidance </w:t>
            </w:r>
            <w:r>
              <w:rPr>
                <w:color w:val="265A9A" w:themeColor="background2"/>
              </w:rPr>
              <w:t>about how</w:t>
            </w:r>
            <w:r w:rsidRPr="00987648">
              <w:rPr>
                <w:color w:val="265A9A" w:themeColor="background2"/>
              </w:rPr>
              <w:t xml:space="preserve"> Hubs and other organisations can meaningfully engage </w:t>
            </w:r>
            <w:r>
              <w:rPr>
                <w:color w:val="265A9A" w:themeColor="background2"/>
              </w:rPr>
              <w:t xml:space="preserve">with existing networks to foster strong partnerships with Aboriginal and Torres Strait Islander people </w:t>
            </w:r>
          </w:p>
          <w:p w14:paraId="3C14D62D" w14:textId="77777777" w:rsidR="009B2B33" w:rsidRPr="00987648" w:rsidRDefault="009B2B33">
            <w:pPr>
              <w:pStyle w:val="ListBullet"/>
              <w:rPr>
                <w:color w:val="265A9A" w:themeColor="background2"/>
              </w:rPr>
            </w:pPr>
            <w:r w:rsidRPr="00987648">
              <w:rPr>
                <w:color w:val="265A9A" w:themeColor="background2"/>
              </w:rPr>
              <w:t>embedding Aboriginal and Torres Strait Islander outcomes in the Monitoring, Evaluation and Learning Framework</w:t>
            </w:r>
          </w:p>
          <w:p w14:paraId="066945DB" w14:textId="77777777" w:rsidR="009B2B33" w:rsidRPr="00987648" w:rsidRDefault="009B2B33">
            <w:pPr>
              <w:pStyle w:val="ListBullet"/>
              <w:rPr>
                <w:color w:val="265A9A" w:themeColor="background2"/>
              </w:rPr>
            </w:pPr>
            <w:r w:rsidRPr="00987648">
              <w:rPr>
                <w:color w:val="265A9A" w:themeColor="background2"/>
              </w:rPr>
              <w:t xml:space="preserve">establishing </w:t>
            </w:r>
            <w:r>
              <w:rPr>
                <w:color w:val="265A9A" w:themeColor="background2"/>
              </w:rPr>
              <w:t xml:space="preserve">a </w:t>
            </w:r>
            <w:r w:rsidRPr="00987648">
              <w:rPr>
                <w:color w:val="265A9A" w:themeColor="background2"/>
              </w:rPr>
              <w:t>specific funding stream for Aboriginal and Torres Strait Islander people and organisations</w:t>
            </w:r>
          </w:p>
          <w:p w14:paraId="0FA99D4E" w14:textId="77777777" w:rsidR="009B2B33" w:rsidRDefault="009B2B33">
            <w:pPr>
              <w:pStyle w:val="ListBullet"/>
            </w:pPr>
            <w:r w:rsidRPr="00987648">
              <w:rPr>
                <w:color w:val="265A9A" w:themeColor="background2"/>
              </w:rPr>
              <w:t>providing flexibility around some grant criteria, such as the requirement of co-investment.</w:t>
            </w:r>
          </w:p>
        </w:tc>
      </w:tr>
      <w:tr w:rsidR="009B2B33" w14:paraId="77099597" w14:textId="77777777">
        <w:tc>
          <w:tcPr>
            <w:tcW w:w="5000" w:type="pct"/>
            <w:gridSpan w:val="2"/>
            <w:tcMar>
              <w:bottom w:w="0" w:type="dxa"/>
            </w:tcMar>
          </w:tcPr>
          <w:p w14:paraId="3C251E56" w14:textId="5496F4D1" w:rsidR="009B2B33" w:rsidRDefault="009B2B33">
            <w:pPr>
              <w:pStyle w:val="NoSpacing"/>
              <w:spacing w:line="200" w:lineRule="atLeast"/>
            </w:pPr>
          </w:p>
        </w:tc>
      </w:tr>
    </w:tbl>
    <w:p w14:paraId="45BCC594" w14:textId="53925488" w:rsidR="009B2B33" w:rsidRDefault="00F050AC" w:rsidP="00647099">
      <w:pPr>
        <w:pStyle w:val="Heading2-nonumber"/>
      </w:pPr>
      <w:bookmarkStart w:id="64" w:name="_Toc136534003"/>
      <w:bookmarkStart w:id="65" w:name="_Toc136600692"/>
      <w:bookmarkStart w:id="66" w:name="_Toc136817010"/>
      <w:bookmarkStart w:id="67" w:name="_Toc137129764"/>
      <w:r>
        <w:lastRenderedPageBreak/>
        <w:t xml:space="preserve">Future Drought Fund </w:t>
      </w:r>
      <w:bookmarkEnd w:id="64"/>
      <w:r>
        <w:t>p</w:t>
      </w:r>
      <w:r w:rsidR="009B2B33">
        <w:t>rogram</w:t>
      </w:r>
      <w:r>
        <w:t>s</w:t>
      </w:r>
      <w:bookmarkEnd w:id="65"/>
      <w:bookmarkEnd w:id="66"/>
      <w:bookmarkEnd w:id="67"/>
    </w:p>
    <w:p w14:paraId="75F4A531" w14:textId="3357AB23" w:rsidR="009B2B33" w:rsidRDefault="009B2B33" w:rsidP="00647099">
      <w:pPr>
        <w:pStyle w:val="NoSpacing"/>
        <w:keepNext/>
        <w:keepLines/>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9B2B33" w14:paraId="75656C03" w14:textId="77777777">
        <w:trPr>
          <w:trHeight w:val="765"/>
          <w:tblHeader/>
        </w:trPr>
        <w:tc>
          <w:tcPr>
            <w:tcW w:w="366" w:type="pct"/>
            <w:tcBorders>
              <w:bottom w:val="nil"/>
            </w:tcBorders>
            <w:tcMar>
              <w:bottom w:w="0" w:type="dxa"/>
            </w:tcMar>
            <w:vAlign w:val="center"/>
          </w:tcPr>
          <w:p w14:paraId="45722E41" w14:textId="77777777" w:rsidR="009B2B33" w:rsidRDefault="009B2B33">
            <w:pPr>
              <w:pStyle w:val="NoSpacing"/>
              <w:keepNext/>
              <w:keepLines/>
              <w:jc w:val="right"/>
            </w:pPr>
            <w:r w:rsidRPr="00A51374">
              <w:rPr>
                <w:noProof/>
              </w:rPr>
              <w:drawing>
                <wp:inline distT="0" distB="0" distL="0" distR="0" wp14:anchorId="166265AC" wp14:editId="57E32A82">
                  <wp:extent cx="288000" cy="288000"/>
                  <wp:effectExtent l="0" t="0" r="0" b="0"/>
                  <wp:docPr id="1838432877" name="Picture 18384328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48654B5B" w14:textId="77777777" w:rsidR="009B2B33" w:rsidRPr="00244E60" w:rsidRDefault="009B2B33">
            <w:pPr>
              <w:pStyle w:val="TableHeading"/>
              <w:keepNext/>
              <w:keepLines/>
              <w:spacing w:before="120" w:after="120"/>
              <w:contextualSpacing/>
              <w:rPr>
                <w:sz w:val="20"/>
              </w:rPr>
            </w:pPr>
            <w:r w:rsidRPr="00244E60">
              <w:rPr>
                <w:sz w:val="20"/>
              </w:rPr>
              <w:t xml:space="preserve">Interim finding </w:t>
            </w:r>
            <w:r>
              <w:rPr>
                <w:sz w:val="20"/>
              </w:rPr>
              <w:t>6</w:t>
            </w:r>
          </w:p>
          <w:p w14:paraId="7108B06E" w14:textId="77777777" w:rsidR="009B2B33" w:rsidRDefault="009B2B33">
            <w:pPr>
              <w:pStyle w:val="TableHeading"/>
              <w:keepNext/>
              <w:keepLines/>
              <w:spacing w:before="120" w:after="120"/>
              <w:contextualSpacing/>
            </w:pPr>
            <w:r w:rsidRPr="00244E60">
              <w:rPr>
                <w:sz w:val="20"/>
              </w:rPr>
              <w:t xml:space="preserve">Investing in climate </w:t>
            </w:r>
            <w:r>
              <w:rPr>
                <w:sz w:val="20"/>
              </w:rPr>
              <w:t xml:space="preserve">information </w:t>
            </w:r>
            <w:r w:rsidRPr="00244E60">
              <w:rPr>
                <w:sz w:val="20"/>
              </w:rPr>
              <w:t>services is appropriate</w:t>
            </w:r>
            <w:r>
              <w:rPr>
                <w:sz w:val="20"/>
              </w:rPr>
              <w:t>,</w:t>
            </w:r>
            <w:r w:rsidRPr="00244E60">
              <w:rPr>
                <w:sz w:val="20"/>
              </w:rPr>
              <w:t xml:space="preserve"> but </w:t>
            </w:r>
            <w:r>
              <w:rPr>
                <w:sz w:val="20"/>
              </w:rPr>
              <w:t xml:space="preserve">funding </w:t>
            </w:r>
            <w:r w:rsidRPr="00244E60">
              <w:rPr>
                <w:sz w:val="20"/>
              </w:rPr>
              <w:t xml:space="preserve">two overlapping </w:t>
            </w:r>
            <w:r>
              <w:rPr>
                <w:sz w:val="20"/>
              </w:rPr>
              <w:t>tools may be un</w:t>
            </w:r>
            <w:r w:rsidRPr="00244E60">
              <w:rPr>
                <w:sz w:val="20"/>
              </w:rPr>
              <w:t>necessary</w:t>
            </w:r>
          </w:p>
        </w:tc>
      </w:tr>
      <w:tr w:rsidR="009B2B33" w14:paraId="0D4C5251" w14:textId="77777777">
        <w:tc>
          <w:tcPr>
            <w:tcW w:w="5000" w:type="pct"/>
            <w:gridSpan w:val="2"/>
            <w:tcBorders>
              <w:top w:val="nil"/>
              <w:bottom w:val="single" w:sz="4" w:space="0" w:color="66BCDB" w:themeColor="text2"/>
            </w:tcBorders>
          </w:tcPr>
          <w:p w14:paraId="4EED9943" w14:textId="77777777" w:rsidR="009B2B33" w:rsidRDefault="009B2B33">
            <w:pPr>
              <w:pStyle w:val="BodyText"/>
              <w:keepLines/>
            </w:pPr>
            <w:r>
              <w:t>Providing information about climate risks is important to inform decision making. However:</w:t>
            </w:r>
          </w:p>
          <w:p w14:paraId="0C1D8805" w14:textId="77777777" w:rsidR="009B2B33" w:rsidRDefault="009B2B33">
            <w:pPr>
              <w:pStyle w:val="ListBullet"/>
            </w:pPr>
            <w:r>
              <w:t>the uptake of the climate information tools has, so far, been modest</w:t>
            </w:r>
          </w:p>
          <w:p w14:paraId="63F7D1C6" w14:textId="77777777" w:rsidR="009B2B33" w:rsidRDefault="009B2B33">
            <w:pPr>
              <w:pStyle w:val="ListBullet"/>
            </w:pPr>
            <w:r w:rsidRPr="000C4405">
              <w:t>there is a</w:t>
            </w:r>
            <w:r>
              <w:t>n</w:t>
            </w:r>
            <w:r w:rsidRPr="000C4405">
              <w:t xml:space="preserve"> overlap between the target audience and information provided by C</w:t>
            </w:r>
            <w:r>
              <w:t xml:space="preserve">limate </w:t>
            </w:r>
            <w:r w:rsidRPr="000C4405">
              <w:t>S</w:t>
            </w:r>
            <w:r>
              <w:t xml:space="preserve">ervices for </w:t>
            </w:r>
            <w:r w:rsidRPr="000C4405">
              <w:t>A</w:t>
            </w:r>
            <w:r>
              <w:t>griculture</w:t>
            </w:r>
            <w:r w:rsidRPr="000C4405">
              <w:t xml:space="preserve"> </w:t>
            </w:r>
            <w:r>
              <w:t xml:space="preserve">and </w:t>
            </w:r>
            <w:r w:rsidRPr="000C4405">
              <w:t>D</w:t>
            </w:r>
            <w:r>
              <w:t>rought Resilience Self-Assessment Tool</w:t>
            </w:r>
          </w:p>
          <w:p w14:paraId="35378E58" w14:textId="77777777" w:rsidR="009B2B33" w:rsidRDefault="009B2B33">
            <w:pPr>
              <w:pStyle w:val="ListBullet"/>
            </w:pPr>
            <w:r w:rsidRPr="000C4405">
              <w:t xml:space="preserve">the effectiveness </w:t>
            </w:r>
            <w:r>
              <w:t>of the tools</w:t>
            </w:r>
            <w:r w:rsidRPr="000C4405">
              <w:t xml:space="preserve"> could be enhanced </w:t>
            </w:r>
            <w:r>
              <w:t>with improved user engagement</w:t>
            </w:r>
          </w:p>
          <w:p w14:paraId="2F5C91A6" w14:textId="77777777" w:rsidR="009B2B33" w:rsidRPr="00647099" w:rsidRDefault="009B2B33">
            <w:pPr>
              <w:pStyle w:val="ListBullet"/>
              <w:rPr>
                <w:spacing w:val="-4"/>
              </w:rPr>
            </w:pPr>
            <w:r w:rsidRPr="00647099">
              <w:rPr>
                <w:spacing w:val="-4"/>
              </w:rPr>
              <w:t>the uptake of the tools could be increased through better coordination with the Drought Resilience Adoption and Innovation Hubs, Farm Business Resilience and Regional Drought Resilience Planning programs.</w:t>
            </w:r>
          </w:p>
        </w:tc>
      </w:tr>
      <w:tr w:rsidR="009B2B33" w14:paraId="1C1BDC53" w14:textId="77777777">
        <w:tc>
          <w:tcPr>
            <w:tcW w:w="5000" w:type="pct"/>
            <w:gridSpan w:val="2"/>
            <w:tcBorders>
              <w:top w:val="single" w:sz="4" w:space="0" w:color="66BCDB" w:themeColor="text2"/>
              <w:left w:val="nil"/>
              <w:bottom w:val="nil"/>
              <w:right w:val="nil"/>
            </w:tcBorders>
            <w:tcMar>
              <w:bottom w:w="0" w:type="dxa"/>
            </w:tcMar>
          </w:tcPr>
          <w:p w14:paraId="43FEAC11" w14:textId="1E9DC197" w:rsidR="009B2B33" w:rsidRDefault="009B2B33">
            <w:pPr>
              <w:pStyle w:val="NoSpacing"/>
              <w:spacing w:line="200" w:lineRule="atLeast"/>
            </w:pPr>
          </w:p>
        </w:tc>
      </w:tr>
    </w:tbl>
    <w:p w14:paraId="73E00EF3" w14:textId="3FB7AE6F" w:rsidR="009B2B33" w:rsidRPr="000B37C6" w:rsidRDefault="009B2B33">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9B2B33" w14:paraId="75CA5FDD" w14:textId="77777777">
        <w:trPr>
          <w:trHeight w:val="765"/>
          <w:tblHeader/>
        </w:trPr>
        <w:tc>
          <w:tcPr>
            <w:tcW w:w="366" w:type="pct"/>
            <w:shd w:val="clear" w:color="auto" w:fill="EBEBEB"/>
            <w:tcMar>
              <w:bottom w:w="0" w:type="dxa"/>
            </w:tcMar>
            <w:vAlign w:val="center"/>
          </w:tcPr>
          <w:p w14:paraId="75AA8652" w14:textId="77777777" w:rsidR="009B2B33" w:rsidRDefault="009B2B33">
            <w:pPr>
              <w:pStyle w:val="NoSpacing"/>
              <w:keepNext/>
              <w:keepLines/>
              <w:jc w:val="right"/>
            </w:pPr>
            <w:r w:rsidRPr="00A51374">
              <w:rPr>
                <w:noProof/>
              </w:rPr>
              <w:drawing>
                <wp:inline distT="0" distB="0" distL="0" distR="0" wp14:anchorId="40E2B1D1" wp14:editId="53CC6AAD">
                  <wp:extent cx="288000" cy="288000"/>
                  <wp:effectExtent l="0" t="0" r="0" b="0"/>
                  <wp:docPr id="1389893714" name="Picture 13898937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29EFF658" w14:textId="77777777" w:rsidR="009B2B33" w:rsidRPr="002530FF" w:rsidRDefault="009B2B33">
            <w:pPr>
              <w:pStyle w:val="TableHeading"/>
              <w:keepNext/>
              <w:keepLines/>
              <w:spacing w:before="120"/>
            </w:pPr>
            <w:r w:rsidRPr="000B0B71">
              <w:t>Info</w:t>
            </w:r>
            <w:r w:rsidRPr="00B20CD5">
              <w:rPr>
                <w:sz w:val="20"/>
              </w:rPr>
              <w:t xml:space="preserve">rmation request </w:t>
            </w:r>
            <w:r>
              <w:rPr>
                <w:sz w:val="20"/>
              </w:rPr>
              <w:t>9</w:t>
            </w:r>
          </w:p>
        </w:tc>
      </w:tr>
      <w:tr w:rsidR="009B2B33" w14:paraId="45210A73" w14:textId="77777777">
        <w:tc>
          <w:tcPr>
            <w:tcW w:w="5000" w:type="pct"/>
            <w:gridSpan w:val="2"/>
            <w:shd w:val="clear" w:color="auto" w:fill="EBEBEB"/>
          </w:tcPr>
          <w:p w14:paraId="6FCC8F94" w14:textId="77777777" w:rsidR="009B2B33" w:rsidRDefault="009B2B33">
            <w:pPr>
              <w:pStyle w:val="BodyText"/>
              <w:keepNext/>
              <w:keepLines/>
              <w:outlineLvl w:val="1"/>
              <w:rPr>
                <w:color w:val="265A9A" w:themeColor="background2"/>
              </w:rPr>
            </w:pPr>
            <w:r w:rsidRPr="0711ABD9">
              <w:rPr>
                <w:color w:val="265A9A" w:themeColor="background2"/>
              </w:rPr>
              <w:t xml:space="preserve">The Commission is seeking views on the future of both </w:t>
            </w:r>
            <w:r w:rsidRPr="002A15F6">
              <w:rPr>
                <w:color w:val="265A9A" w:themeColor="background2"/>
              </w:rPr>
              <w:t>Better Climate Information</w:t>
            </w:r>
            <w:r w:rsidRPr="0711ABD9">
              <w:rPr>
                <w:color w:val="265A9A" w:themeColor="background2"/>
              </w:rPr>
              <w:t xml:space="preserve"> programs. </w:t>
            </w:r>
          </w:p>
          <w:p w14:paraId="15AD08FE" w14:textId="77777777" w:rsidR="009B2B33" w:rsidRPr="00647099" w:rsidRDefault="009B2B33">
            <w:pPr>
              <w:pStyle w:val="ListBullet"/>
              <w:rPr>
                <w:color w:val="265A9A" w:themeColor="background2"/>
                <w:spacing w:val="-4"/>
              </w:rPr>
            </w:pPr>
            <w:r w:rsidRPr="00647099">
              <w:rPr>
                <w:color w:val="265A9A" w:themeColor="background2"/>
                <w:spacing w:val="-4"/>
              </w:rPr>
              <w:t xml:space="preserve">Should the Future Drought Fund continue funding both Climate Services for Agriculture (CSA) and the Drought Resilience Self-Assessment Tool (DR.SAT)? If so, what information should they provide to whom? </w:t>
            </w:r>
          </w:p>
          <w:p w14:paraId="2A3EC53A" w14:textId="77777777" w:rsidR="009B2B33" w:rsidRPr="00E15F11" w:rsidRDefault="009B2B33">
            <w:pPr>
              <w:pStyle w:val="ListBullet"/>
              <w:rPr>
                <w:color w:val="265A9A" w:themeColor="background2"/>
              </w:rPr>
            </w:pPr>
            <w:r w:rsidRPr="0711ABD9">
              <w:rPr>
                <w:color w:val="265A9A" w:themeColor="background2"/>
              </w:rPr>
              <w:t>Should DR.SAT be integrated with CSA? If so, what elements of DR.SAT should be incorporated into the consolidated tool?</w:t>
            </w:r>
          </w:p>
        </w:tc>
      </w:tr>
      <w:tr w:rsidR="009B2B33" w14:paraId="102F1B4B" w14:textId="77777777">
        <w:tc>
          <w:tcPr>
            <w:tcW w:w="5000" w:type="pct"/>
            <w:gridSpan w:val="2"/>
            <w:tcMar>
              <w:bottom w:w="0" w:type="dxa"/>
            </w:tcMar>
          </w:tcPr>
          <w:p w14:paraId="1F9AC974" w14:textId="3DE21BA6" w:rsidR="009B2B33" w:rsidRDefault="009B2B33">
            <w:pPr>
              <w:pStyle w:val="NoSpacing"/>
              <w:spacing w:line="200" w:lineRule="atLeast"/>
            </w:pPr>
          </w:p>
        </w:tc>
      </w:tr>
    </w:tbl>
    <w:p w14:paraId="7A36CFE7" w14:textId="43E957FE" w:rsidR="009B2B33" w:rsidRPr="000B37C6" w:rsidRDefault="009B2B33">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9B2B33" w14:paraId="0E0CCF39" w14:textId="77777777">
        <w:trPr>
          <w:trHeight w:val="765"/>
          <w:tblHeader/>
        </w:trPr>
        <w:tc>
          <w:tcPr>
            <w:tcW w:w="366" w:type="pct"/>
            <w:tcBorders>
              <w:bottom w:val="nil"/>
            </w:tcBorders>
            <w:tcMar>
              <w:bottom w:w="0" w:type="dxa"/>
            </w:tcMar>
            <w:vAlign w:val="center"/>
          </w:tcPr>
          <w:p w14:paraId="23D2D1F2" w14:textId="77777777" w:rsidR="009B2B33" w:rsidRDefault="009B2B33">
            <w:pPr>
              <w:pStyle w:val="NoSpacing"/>
              <w:keepNext/>
              <w:keepLines/>
              <w:jc w:val="right"/>
            </w:pPr>
            <w:r w:rsidRPr="00A51374">
              <w:rPr>
                <w:noProof/>
              </w:rPr>
              <w:drawing>
                <wp:inline distT="0" distB="0" distL="0" distR="0" wp14:anchorId="64256130" wp14:editId="090E4F53">
                  <wp:extent cx="288000" cy="288000"/>
                  <wp:effectExtent l="0" t="0" r="0" b="0"/>
                  <wp:docPr id="554177584" name="Picture 5541775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69CD02A9" w14:textId="77777777" w:rsidR="009B2B33" w:rsidRPr="00244E60" w:rsidRDefault="009B2B33">
            <w:pPr>
              <w:pStyle w:val="TableHeading"/>
              <w:keepNext/>
              <w:keepLines/>
              <w:spacing w:before="120" w:after="120"/>
              <w:contextualSpacing/>
              <w:rPr>
                <w:sz w:val="20"/>
              </w:rPr>
            </w:pPr>
            <w:r w:rsidRPr="00244E60">
              <w:rPr>
                <w:sz w:val="20"/>
              </w:rPr>
              <w:t xml:space="preserve">Interim finding </w:t>
            </w:r>
            <w:r>
              <w:rPr>
                <w:sz w:val="20"/>
              </w:rPr>
              <w:t>7</w:t>
            </w:r>
          </w:p>
          <w:p w14:paraId="78EBEDC0" w14:textId="77777777" w:rsidR="009B2B33" w:rsidRPr="00A02FC7" w:rsidRDefault="009B2B33">
            <w:pPr>
              <w:pStyle w:val="TableHeading"/>
              <w:keepNext/>
              <w:keepLines/>
              <w:spacing w:before="120" w:after="120"/>
              <w:contextualSpacing/>
              <w:rPr>
                <w:spacing w:val="-4"/>
                <w:sz w:val="20"/>
              </w:rPr>
            </w:pPr>
            <w:r w:rsidRPr="00A02FC7">
              <w:rPr>
                <w:spacing w:val="-4"/>
                <w:sz w:val="20"/>
              </w:rPr>
              <w:t>The Farm Business Resilience program has untapped potential for delivering public benefits</w:t>
            </w:r>
          </w:p>
        </w:tc>
      </w:tr>
      <w:tr w:rsidR="009B2B33" w14:paraId="04D5C14A" w14:textId="77777777">
        <w:tc>
          <w:tcPr>
            <w:tcW w:w="5000" w:type="pct"/>
            <w:gridSpan w:val="2"/>
            <w:tcBorders>
              <w:top w:val="nil"/>
              <w:bottom w:val="single" w:sz="4" w:space="0" w:color="66BCDB" w:themeColor="text2"/>
            </w:tcBorders>
          </w:tcPr>
          <w:p w14:paraId="1C76638C" w14:textId="0DD61E7F" w:rsidR="009B2B33" w:rsidRDefault="009B2B33">
            <w:pPr>
              <w:pStyle w:val="BodyText"/>
              <w:keepLines/>
            </w:pPr>
            <w:r>
              <w:t xml:space="preserve">Feedback on the Farm Business Resilience program has been positive. But the public benefits from the program are likely marginal compared to private benefits. Natural resource management is already a component of the program; however greater public benefits are likely if the program provides more support for on-farm environmental initiatives. </w:t>
            </w:r>
          </w:p>
        </w:tc>
      </w:tr>
      <w:tr w:rsidR="009B2B33" w14:paraId="1266249E" w14:textId="77777777">
        <w:tc>
          <w:tcPr>
            <w:tcW w:w="5000" w:type="pct"/>
            <w:gridSpan w:val="2"/>
            <w:tcBorders>
              <w:top w:val="single" w:sz="4" w:space="0" w:color="66BCDB" w:themeColor="text2"/>
              <w:left w:val="nil"/>
              <w:bottom w:val="nil"/>
              <w:right w:val="nil"/>
            </w:tcBorders>
            <w:tcMar>
              <w:bottom w:w="0" w:type="dxa"/>
            </w:tcMar>
          </w:tcPr>
          <w:p w14:paraId="1764D5AE" w14:textId="39B59967" w:rsidR="009B2B33" w:rsidRDefault="009B2B33">
            <w:pPr>
              <w:pStyle w:val="NoSpacing"/>
              <w:spacing w:line="200" w:lineRule="atLeast"/>
            </w:pPr>
          </w:p>
        </w:tc>
      </w:tr>
    </w:tbl>
    <w:p w14:paraId="739781E9" w14:textId="1CC2D68F" w:rsidR="009B2B33" w:rsidRDefault="009B2B33">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9B2B33" w14:paraId="7DF00741" w14:textId="77777777">
        <w:trPr>
          <w:trHeight w:val="765"/>
          <w:tblHeader/>
        </w:trPr>
        <w:tc>
          <w:tcPr>
            <w:tcW w:w="366" w:type="pct"/>
            <w:shd w:val="clear" w:color="auto" w:fill="EBEBEB"/>
            <w:tcMar>
              <w:bottom w:w="0" w:type="dxa"/>
            </w:tcMar>
            <w:vAlign w:val="center"/>
          </w:tcPr>
          <w:p w14:paraId="165FB08C" w14:textId="77777777" w:rsidR="009B2B33" w:rsidRDefault="009B2B33">
            <w:pPr>
              <w:pStyle w:val="NoSpacing"/>
              <w:keepNext/>
              <w:keepLines/>
              <w:jc w:val="right"/>
            </w:pPr>
            <w:r w:rsidRPr="00A51374">
              <w:rPr>
                <w:noProof/>
              </w:rPr>
              <w:lastRenderedPageBreak/>
              <w:drawing>
                <wp:inline distT="0" distB="0" distL="0" distR="0" wp14:anchorId="0505D150" wp14:editId="4B3B9958">
                  <wp:extent cx="288000" cy="288000"/>
                  <wp:effectExtent l="0" t="0" r="0" b="0"/>
                  <wp:docPr id="1862450660" name="Picture 18624506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7004A9B9" w14:textId="77777777" w:rsidR="009B2B33" w:rsidRPr="002530FF" w:rsidRDefault="009B2B33">
            <w:pPr>
              <w:pStyle w:val="TableHeading"/>
              <w:keepNext/>
              <w:keepLines/>
              <w:spacing w:before="120" w:after="120"/>
              <w:contextualSpacing/>
              <w:rPr>
                <w:sz w:val="20"/>
              </w:rPr>
            </w:pPr>
            <w:r w:rsidRPr="000B0B71">
              <w:rPr>
                <w:sz w:val="20"/>
              </w:rPr>
              <w:t xml:space="preserve">Information request </w:t>
            </w:r>
            <w:r>
              <w:rPr>
                <w:sz w:val="20"/>
              </w:rPr>
              <w:t>10</w:t>
            </w:r>
          </w:p>
        </w:tc>
      </w:tr>
      <w:tr w:rsidR="009B2B33" w14:paraId="3AC0DEF4" w14:textId="77777777">
        <w:tc>
          <w:tcPr>
            <w:tcW w:w="5000" w:type="pct"/>
            <w:gridSpan w:val="2"/>
            <w:shd w:val="clear" w:color="auto" w:fill="EBEBEB"/>
          </w:tcPr>
          <w:p w14:paraId="7C533BED" w14:textId="0FA2E78F" w:rsidR="009B2B33" w:rsidRDefault="009B2B33">
            <w:pPr>
              <w:pStyle w:val="BodyText"/>
              <w:keepNext/>
              <w:keepLines/>
              <w:rPr>
                <w:color w:val="265A9A" w:themeColor="background2"/>
              </w:rPr>
            </w:pPr>
            <w:r w:rsidRPr="10374FB8">
              <w:rPr>
                <w:color w:val="265A9A" w:themeColor="background2"/>
              </w:rPr>
              <w:t xml:space="preserve">Healthy landscapes support productive farms and contribute to greater drought resilience. </w:t>
            </w:r>
            <w:r>
              <w:rPr>
                <w:color w:val="265A9A" w:themeColor="background2"/>
              </w:rPr>
              <w:t>The Commission is considering options to enhance the Farm Business Resilience (FBR) program to better support farmers’ natural resource management. We are seeking further information on:</w:t>
            </w:r>
          </w:p>
          <w:p w14:paraId="202EE1EB" w14:textId="77777777" w:rsidR="009B2B33" w:rsidRDefault="009B2B33">
            <w:pPr>
              <w:pStyle w:val="ListBullet"/>
              <w:rPr>
                <w:color w:val="265A9A" w:themeColor="background2"/>
              </w:rPr>
            </w:pPr>
            <w:r>
              <w:rPr>
                <w:color w:val="265A9A" w:themeColor="background2"/>
              </w:rPr>
              <w:t xml:space="preserve">the extent to which the FBR program already supports natural resource management </w:t>
            </w:r>
            <w:r w:rsidRPr="32CDC1B5">
              <w:rPr>
                <w:color w:val="265A9A" w:themeColor="background2"/>
              </w:rPr>
              <w:t>on individual farms, and how the program can be amended to also support landscape-scale environmental initiatives</w:t>
            </w:r>
          </w:p>
          <w:p w14:paraId="419DC0B9" w14:textId="77777777" w:rsidR="009B2B33" w:rsidRDefault="009B2B33">
            <w:pPr>
              <w:pStyle w:val="ListBullet"/>
              <w:rPr>
                <w:color w:val="265A9A" w:themeColor="background2"/>
              </w:rPr>
            </w:pPr>
            <w:r>
              <w:rPr>
                <w:color w:val="265A9A" w:themeColor="background2"/>
              </w:rPr>
              <w:t>how the FBR program can be better used to improve environmental resilience, in tandem with economic resilience</w:t>
            </w:r>
          </w:p>
          <w:p w14:paraId="5BF75691" w14:textId="77777777" w:rsidR="009B2B33" w:rsidRDefault="009B2B33">
            <w:pPr>
              <w:pStyle w:val="ListBullet"/>
            </w:pPr>
            <w:r>
              <w:rPr>
                <w:color w:val="265A9A" w:themeColor="background2"/>
              </w:rPr>
              <w:t>whether and how the FBR program can be better coordinated with other Future Drought Fund programs.</w:t>
            </w:r>
          </w:p>
        </w:tc>
      </w:tr>
      <w:tr w:rsidR="009B2B33" w14:paraId="78C9F45D" w14:textId="77777777">
        <w:tc>
          <w:tcPr>
            <w:tcW w:w="5000" w:type="pct"/>
            <w:gridSpan w:val="2"/>
            <w:tcMar>
              <w:bottom w:w="0" w:type="dxa"/>
            </w:tcMar>
          </w:tcPr>
          <w:p w14:paraId="14360E29" w14:textId="2FFB41DE" w:rsidR="009B2B33" w:rsidRDefault="009B2B33">
            <w:pPr>
              <w:pStyle w:val="NoSpacing"/>
              <w:spacing w:line="200" w:lineRule="atLeast"/>
            </w:pPr>
          </w:p>
        </w:tc>
      </w:tr>
    </w:tbl>
    <w:p w14:paraId="5AEE3F05" w14:textId="77777777" w:rsidR="000B37C6" w:rsidRDefault="000B37C6">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9B2B33" w14:paraId="33C439A3" w14:textId="77777777">
        <w:trPr>
          <w:trHeight w:val="765"/>
          <w:tblHeader/>
        </w:trPr>
        <w:tc>
          <w:tcPr>
            <w:tcW w:w="366" w:type="pct"/>
            <w:tcBorders>
              <w:bottom w:val="nil"/>
            </w:tcBorders>
            <w:tcMar>
              <w:bottom w:w="0" w:type="dxa"/>
            </w:tcMar>
            <w:vAlign w:val="center"/>
          </w:tcPr>
          <w:p w14:paraId="6B3EEFDD" w14:textId="77777777" w:rsidR="009B2B33" w:rsidRDefault="009B2B33">
            <w:pPr>
              <w:pStyle w:val="NoSpacing"/>
              <w:keepNext/>
              <w:keepLines/>
              <w:jc w:val="right"/>
            </w:pPr>
            <w:r w:rsidRPr="00A51374">
              <w:rPr>
                <w:noProof/>
              </w:rPr>
              <w:drawing>
                <wp:inline distT="0" distB="0" distL="0" distR="0" wp14:anchorId="4876900C" wp14:editId="0780F65A">
                  <wp:extent cx="288000" cy="288000"/>
                  <wp:effectExtent l="0" t="0" r="0" b="0"/>
                  <wp:docPr id="1945685695" name="Picture 19456856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6884EB7E" w14:textId="77777777" w:rsidR="009B2B33" w:rsidRPr="00A4395A" w:rsidRDefault="009B2B33">
            <w:pPr>
              <w:pStyle w:val="TableHeading"/>
              <w:keepNext/>
              <w:keepLines/>
              <w:spacing w:before="120" w:after="120"/>
              <w:contextualSpacing/>
              <w:rPr>
                <w:sz w:val="20"/>
              </w:rPr>
            </w:pPr>
            <w:r>
              <w:rPr>
                <w:sz w:val="20"/>
              </w:rPr>
              <w:t>Interim f</w:t>
            </w:r>
            <w:r w:rsidRPr="00A4395A">
              <w:rPr>
                <w:sz w:val="20"/>
              </w:rPr>
              <w:t>inding</w:t>
            </w:r>
            <w:r>
              <w:rPr>
                <w:sz w:val="20"/>
              </w:rPr>
              <w:t xml:space="preserve"> 8</w:t>
            </w:r>
          </w:p>
          <w:p w14:paraId="4E4B2481" w14:textId="77777777" w:rsidR="009B2B33" w:rsidRDefault="009B2B33">
            <w:pPr>
              <w:pStyle w:val="TableHeading"/>
              <w:keepNext/>
              <w:keepLines/>
              <w:spacing w:before="120" w:after="120"/>
              <w:contextualSpacing/>
            </w:pPr>
            <w:r>
              <w:rPr>
                <w:sz w:val="20"/>
              </w:rPr>
              <w:t>Regional Drought Resilience Plans could be improved</w:t>
            </w:r>
          </w:p>
        </w:tc>
      </w:tr>
      <w:tr w:rsidR="009B2B33" w14:paraId="092FC36F" w14:textId="77777777">
        <w:tc>
          <w:tcPr>
            <w:tcW w:w="5000" w:type="pct"/>
            <w:gridSpan w:val="2"/>
            <w:tcBorders>
              <w:top w:val="nil"/>
              <w:bottom w:val="single" w:sz="4" w:space="0" w:color="66BCDB" w:themeColor="text2"/>
            </w:tcBorders>
          </w:tcPr>
          <w:p w14:paraId="09E3F4B7" w14:textId="77777777" w:rsidR="009B2B33" w:rsidRDefault="009B2B33">
            <w:pPr>
              <w:pStyle w:val="BodyText"/>
              <w:keepLines/>
            </w:pPr>
            <w:r>
              <w:t>T</w:t>
            </w:r>
            <w:r w:rsidRPr="00A02FC7">
              <w:rPr>
                <w:spacing w:val="-4"/>
              </w:rPr>
              <w:t>he Regional Drought Resilience Plans can help communities prepare for drought. However, plans are often affected by poor integration and sequencing with other Future Drought Fund programs, lack of ownership over who is responsible for their delivery and minimal funding to implement the identified initiatives. There is a risk that plans will not lead to tangible outcomes and could result in confusion and consultation fatigue.</w:t>
            </w:r>
          </w:p>
        </w:tc>
      </w:tr>
      <w:tr w:rsidR="009B2B33" w14:paraId="48DF6401" w14:textId="77777777">
        <w:tc>
          <w:tcPr>
            <w:tcW w:w="5000" w:type="pct"/>
            <w:gridSpan w:val="2"/>
            <w:tcBorders>
              <w:top w:val="single" w:sz="4" w:space="0" w:color="66BCDB" w:themeColor="text2"/>
              <w:left w:val="nil"/>
              <w:bottom w:val="nil"/>
              <w:right w:val="nil"/>
            </w:tcBorders>
            <w:tcMar>
              <w:bottom w:w="0" w:type="dxa"/>
            </w:tcMar>
          </w:tcPr>
          <w:p w14:paraId="08694096" w14:textId="795E6316" w:rsidR="009B2B33" w:rsidRDefault="009B2B33">
            <w:pPr>
              <w:pStyle w:val="NoSpacing"/>
              <w:spacing w:line="200" w:lineRule="atLeast"/>
            </w:pPr>
          </w:p>
        </w:tc>
      </w:tr>
    </w:tbl>
    <w:p w14:paraId="3D0C45F7" w14:textId="4C1464C2" w:rsidR="009B2B33" w:rsidRDefault="009B2B33">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9B2B33" w14:paraId="0D6BFA18" w14:textId="77777777">
        <w:trPr>
          <w:trHeight w:val="765"/>
          <w:tblHeader/>
        </w:trPr>
        <w:tc>
          <w:tcPr>
            <w:tcW w:w="366" w:type="pct"/>
            <w:shd w:val="clear" w:color="auto" w:fill="EBEBEB"/>
            <w:tcMar>
              <w:bottom w:w="0" w:type="dxa"/>
            </w:tcMar>
            <w:vAlign w:val="center"/>
          </w:tcPr>
          <w:p w14:paraId="1AE4F923" w14:textId="77777777" w:rsidR="009B2B33" w:rsidRDefault="009B2B33">
            <w:pPr>
              <w:pStyle w:val="NoSpacing"/>
              <w:keepNext/>
              <w:keepLines/>
              <w:jc w:val="right"/>
            </w:pPr>
            <w:r w:rsidRPr="00A51374">
              <w:rPr>
                <w:noProof/>
              </w:rPr>
              <w:drawing>
                <wp:inline distT="0" distB="0" distL="0" distR="0" wp14:anchorId="797793F0" wp14:editId="7B7355B2">
                  <wp:extent cx="288000" cy="288000"/>
                  <wp:effectExtent l="0" t="0" r="0" b="0"/>
                  <wp:docPr id="441357713" name="Picture 4413577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5D367679" w14:textId="77777777" w:rsidR="009B2B33" w:rsidRPr="002530FF" w:rsidRDefault="009B2B33">
            <w:pPr>
              <w:pStyle w:val="TableHeading"/>
              <w:keepNext/>
              <w:keepLines/>
              <w:spacing w:before="120" w:after="120"/>
              <w:contextualSpacing/>
              <w:rPr>
                <w:sz w:val="20"/>
              </w:rPr>
            </w:pPr>
            <w:r w:rsidRPr="000B0B71">
              <w:rPr>
                <w:sz w:val="20"/>
              </w:rPr>
              <w:t>Information request</w:t>
            </w:r>
            <w:r>
              <w:rPr>
                <w:sz w:val="20"/>
              </w:rPr>
              <w:t xml:space="preserve"> 11</w:t>
            </w:r>
          </w:p>
        </w:tc>
      </w:tr>
      <w:tr w:rsidR="009B2B33" w14:paraId="7C0EE3FA" w14:textId="77777777">
        <w:tc>
          <w:tcPr>
            <w:tcW w:w="5000" w:type="pct"/>
            <w:gridSpan w:val="2"/>
            <w:shd w:val="clear" w:color="auto" w:fill="EBEBEB"/>
          </w:tcPr>
          <w:p w14:paraId="0266210C" w14:textId="77777777" w:rsidR="009B2B33" w:rsidRDefault="009B2B33">
            <w:pPr>
              <w:pStyle w:val="BodyText"/>
              <w:rPr>
                <w:color w:val="265A9A" w:themeColor="background2"/>
              </w:rPr>
            </w:pPr>
            <w:r w:rsidRPr="00921AAC">
              <w:rPr>
                <w:color w:val="265A9A" w:themeColor="background2"/>
              </w:rPr>
              <w:t xml:space="preserve">The Commission is seeking </w:t>
            </w:r>
            <w:r>
              <w:rPr>
                <w:color w:val="265A9A" w:themeColor="background2"/>
              </w:rPr>
              <w:t>views</w:t>
            </w:r>
            <w:r w:rsidRPr="00921AAC">
              <w:rPr>
                <w:color w:val="265A9A" w:themeColor="background2"/>
              </w:rPr>
              <w:t xml:space="preserve"> on </w:t>
            </w:r>
            <w:r>
              <w:rPr>
                <w:color w:val="265A9A" w:themeColor="background2"/>
              </w:rPr>
              <w:t xml:space="preserve">how </w:t>
            </w:r>
            <w:r w:rsidRPr="00921AAC">
              <w:rPr>
                <w:color w:val="265A9A" w:themeColor="background2"/>
              </w:rPr>
              <w:t>the Regional Drought Resilience Planning program</w:t>
            </w:r>
            <w:r>
              <w:rPr>
                <w:color w:val="265A9A" w:themeColor="background2"/>
              </w:rPr>
              <w:t xml:space="preserve"> </w:t>
            </w:r>
            <w:r w:rsidRPr="00921AAC">
              <w:rPr>
                <w:color w:val="265A9A" w:themeColor="background2"/>
              </w:rPr>
              <w:t>can be improved</w:t>
            </w:r>
            <w:r>
              <w:rPr>
                <w:color w:val="265A9A" w:themeColor="background2"/>
              </w:rPr>
              <w:t>, including through better integration with other Future Drought Fund (FDF) programs, stronger governance and public reporting.</w:t>
            </w:r>
          </w:p>
          <w:p w14:paraId="230E70EC" w14:textId="779A212D" w:rsidR="009B2B33" w:rsidRDefault="009B2B33">
            <w:pPr>
              <w:pStyle w:val="BodyText"/>
              <w:keepNext/>
              <w:keepLines/>
            </w:pPr>
            <w:r>
              <w:rPr>
                <w:color w:val="265A9A" w:themeColor="background2"/>
              </w:rPr>
              <w:t>T</w:t>
            </w:r>
            <w:r w:rsidRPr="27E63902">
              <w:rPr>
                <w:color w:val="265A9A" w:themeColor="background2"/>
              </w:rPr>
              <w:t xml:space="preserve">he Commission is also seeking views on whether </w:t>
            </w:r>
            <w:r>
              <w:rPr>
                <w:color w:val="265A9A" w:themeColor="background2"/>
              </w:rPr>
              <w:t>the Australian Government</w:t>
            </w:r>
            <w:r w:rsidRPr="27E63902">
              <w:rPr>
                <w:color w:val="265A9A" w:themeColor="background2"/>
              </w:rPr>
              <w:t xml:space="preserve"> should reassess the value of the program</w:t>
            </w:r>
            <w:r>
              <w:rPr>
                <w:color w:val="265A9A" w:themeColor="background2"/>
              </w:rPr>
              <w:t xml:space="preserve"> and consider</w:t>
            </w:r>
            <w:r w:rsidRPr="27E63902">
              <w:rPr>
                <w:color w:val="265A9A" w:themeColor="background2"/>
              </w:rPr>
              <w:t xml:space="preserve"> options for reallocating funds to other FDF activities.</w:t>
            </w:r>
          </w:p>
        </w:tc>
      </w:tr>
      <w:tr w:rsidR="009B2B33" w14:paraId="3A6B83EA" w14:textId="77777777">
        <w:tc>
          <w:tcPr>
            <w:tcW w:w="5000" w:type="pct"/>
            <w:gridSpan w:val="2"/>
            <w:tcMar>
              <w:bottom w:w="0" w:type="dxa"/>
            </w:tcMar>
          </w:tcPr>
          <w:p w14:paraId="624CE148" w14:textId="400F397C" w:rsidR="009B2B33" w:rsidRDefault="009B2B33">
            <w:pPr>
              <w:pStyle w:val="NoSpacing"/>
              <w:spacing w:line="200" w:lineRule="atLeast"/>
            </w:pPr>
          </w:p>
        </w:tc>
      </w:tr>
    </w:tbl>
    <w:p w14:paraId="49B06C0B" w14:textId="2D5328D0" w:rsidR="009B2B33" w:rsidRDefault="009B2B33">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3"/>
        <w:gridCol w:w="8925"/>
      </w:tblGrid>
      <w:tr w:rsidR="009B2B33" w:rsidRPr="004C0395" w14:paraId="4477CF7B" w14:textId="77777777">
        <w:trPr>
          <w:trHeight w:val="517"/>
          <w:tblHeader/>
        </w:trPr>
        <w:tc>
          <w:tcPr>
            <w:tcW w:w="365" w:type="pct"/>
            <w:tcBorders>
              <w:bottom w:val="nil"/>
            </w:tcBorders>
            <w:tcMar>
              <w:bottom w:w="0" w:type="dxa"/>
            </w:tcMar>
            <w:vAlign w:val="center"/>
          </w:tcPr>
          <w:p w14:paraId="102DB924" w14:textId="77777777" w:rsidR="009B2B33" w:rsidRPr="004C0395" w:rsidRDefault="009B2B33">
            <w:pPr>
              <w:keepNext/>
              <w:keepLines/>
              <w:spacing w:before="0" w:after="0"/>
              <w:jc w:val="right"/>
            </w:pPr>
            <w:r w:rsidRPr="004C0395">
              <w:rPr>
                <w:noProof/>
              </w:rPr>
              <w:drawing>
                <wp:inline distT="0" distB="0" distL="0" distR="0" wp14:anchorId="12AB8314" wp14:editId="58D06204">
                  <wp:extent cx="288000" cy="288000"/>
                  <wp:effectExtent l="0" t="0" r="0" b="0"/>
                  <wp:docPr id="243870612" name="Picture 2438706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5" w:type="pct"/>
            <w:tcBorders>
              <w:bottom w:val="nil"/>
            </w:tcBorders>
            <w:tcMar>
              <w:bottom w:w="0" w:type="dxa"/>
            </w:tcMar>
            <w:vAlign w:val="center"/>
          </w:tcPr>
          <w:p w14:paraId="45245712" w14:textId="77777777" w:rsidR="009B2B33" w:rsidRDefault="009B2B33">
            <w:pPr>
              <w:pStyle w:val="TableHeading"/>
              <w:keepNext/>
              <w:keepLines/>
              <w:spacing w:before="120" w:after="120"/>
              <w:contextualSpacing/>
              <w:rPr>
                <w:sz w:val="20"/>
              </w:rPr>
            </w:pPr>
            <w:r w:rsidRPr="000A108C">
              <w:rPr>
                <w:sz w:val="20"/>
              </w:rPr>
              <w:t>Interim finding</w:t>
            </w:r>
            <w:r>
              <w:rPr>
                <w:sz w:val="20"/>
              </w:rPr>
              <w:t xml:space="preserve"> 9</w:t>
            </w:r>
          </w:p>
          <w:p w14:paraId="1E2D21D6" w14:textId="77777777" w:rsidR="009B2B33" w:rsidRPr="004C0395" w:rsidRDefault="009B2B33">
            <w:pPr>
              <w:pStyle w:val="TableHeading"/>
              <w:keepNext/>
              <w:keepLines/>
              <w:spacing w:before="120" w:after="120"/>
              <w:contextualSpacing/>
              <w:rPr>
                <w:b w:val="0"/>
              </w:rPr>
            </w:pPr>
            <w:r>
              <w:rPr>
                <w:sz w:val="20"/>
              </w:rPr>
              <w:t xml:space="preserve">There is scope to improve the Drought Resilience Adoption and Innovation </w:t>
            </w:r>
            <w:r w:rsidRPr="000A108C">
              <w:rPr>
                <w:sz w:val="20"/>
              </w:rPr>
              <w:t>Hubs</w:t>
            </w:r>
          </w:p>
        </w:tc>
      </w:tr>
      <w:tr w:rsidR="009B2B33" w:rsidRPr="004C0395" w14:paraId="382B3A96" w14:textId="77777777">
        <w:trPr>
          <w:trHeight w:val="547"/>
        </w:trPr>
        <w:tc>
          <w:tcPr>
            <w:tcW w:w="5000" w:type="pct"/>
            <w:gridSpan w:val="2"/>
            <w:tcBorders>
              <w:top w:val="nil"/>
              <w:bottom w:val="single" w:sz="4" w:space="0" w:color="66BCDB" w:themeColor="text2"/>
            </w:tcBorders>
          </w:tcPr>
          <w:p w14:paraId="435F7920" w14:textId="77777777" w:rsidR="009B2B33" w:rsidRDefault="009B2B33">
            <w:pPr>
              <w:pStyle w:val="BodyText"/>
            </w:pPr>
            <w:r>
              <w:t xml:space="preserve">The Drought Resilience Adoption and Innovation Hubs are in their early stages. It is likely that many Hubs are contributing to drought resilience, but it is too early to assess their effectiveness. </w:t>
            </w:r>
          </w:p>
          <w:p w14:paraId="40B6997E" w14:textId="77777777" w:rsidR="009B2B33" w:rsidRPr="004C0395" w:rsidRDefault="009B2B33">
            <w:pPr>
              <w:pStyle w:val="BodyText"/>
            </w:pPr>
            <w:r>
              <w:t xml:space="preserve">There is scope to make improvements to better manage and assess Hub performance and overcome initial implementation issues around stakeholder engagement, integration with other Future Drought Fund programs and better targeting investment. </w:t>
            </w:r>
          </w:p>
        </w:tc>
      </w:tr>
    </w:tbl>
    <w:p w14:paraId="7BA02549" w14:textId="34B1F6E4" w:rsidR="009B2B33" w:rsidRPr="000B37C6" w:rsidRDefault="009B2B33">
      <w:pPr>
        <w:pStyle w:val="NoSpacing"/>
      </w:pPr>
    </w:p>
    <w:tbl>
      <w:tblPr>
        <w:tblStyle w:val="Texttable-Paleblue"/>
        <w:tblW w:w="5000" w:type="pct"/>
        <w:tblLook w:val="04A0" w:firstRow="1" w:lastRow="0" w:firstColumn="1" w:lastColumn="0" w:noHBand="0" w:noVBand="1"/>
      </w:tblPr>
      <w:tblGrid>
        <w:gridCol w:w="729"/>
        <w:gridCol w:w="8909"/>
      </w:tblGrid>
      <w:tr w:rsidR="009B2B33" w:rsidRPr="00715040" w14:paraId="6EDC8442" w14:textId="77777777">
        <w:trPr>
          <w:tblHeader/>
        </w:trPr>
        <w:tc>
          <w:tcPr>
            <w:tcW w:w="729" w:type="dxa"/>
            <w:shd w:val="clear" w:color="auto" w:fill="E7F6FD"/>
            <w:tcMar>
              <w:top w:w="0" w:type="dxa"/>
              <w:bottom w:w="0" w:type="dxa"/>
            </w:tcMar>
            <w:vAlign w:val="center"/>
          </w:tcPr>
          <w:p w14:paraId="49C35B21" w14:textId="77777777" w:rsidR="009B2B33" w:rsidRDefault="009B2B33">
            <w:pPr>
              <w:keepLines/>
              <w:jc w:val="center"/>
            </w:pPr>
            <w:r w:rsidRPr="00A51374">
              <w:rPr>
                <w:noProof/>
              </w:rPr>
              <w:lastRenderedPageBreak/>
              <w:drawing>
                <wp:inline distT="0" distB="0" distL="0" distR="0" wp14:anchorId="4D4D25CB" wp14:editId="23AFBDA1">
                  <wp:extent cx="288000" cy="288000"/>
                  <wp:effectExtent l="0" t="0" r="0" b="0"/>
                  <wp:docPr id="325123846" name="Picture 325123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88000" cy="288000"/>
                          </a:xfrm>
                          <a:prstGeom prst="rect">
                            <a:avLst/>
                          </a:prstGeom>
                        </pic:spPr>
                      </pic:pic>
                    </a:graphicData>
                  </a:graphic>
                </wp:inline>
              </w:drawing>
            </w:r>
          </w:p>
        </w:tc>
        <w:tc>
          <w:tcPr>
            <w:tcW w:w="8909" w:type="dxa"/>
            <w:shd w:val="clear" w:color="auto" w:fill="E7F6FD"/>
            <w:tcMar>
              <w:top w:w="0" w:type="dxa"/>
              <w:bottom w:w="0" w:type="dxa"/>
            </w:tcMar>
            <w:vAlign w:val="center"/>
          </w:tcPr>
          <w:p w14:paraId="668BD355" w14:textId="77777777" w:rsidR="009B2B33" w:rsidRPr="00715040" w:rsidRDefault="009B2B33">
            <w:pPr>
              <w:pStyle w:val="TableHeading"/>
              <w:keepLines/>
              <w:spacing w:before="120" w:after="120"/>
              <w:contextualSpacing/>
              <w:rPr>
                <w:sz w:val="20"/>
              </w:rPr>
            </w:pPr>
            <w:r>
              <w:rPr>
                <w:sz w:val="20"/>
              </w:rPr>
              <w:t>Interim r</w:t>
            </w:r>
            <w:r w:rsidRPr="00715040">
              <w:rPr>
                <w:sz w:val="20"/>
              </w:rPr>
              <w:t>ecommendation</w:t>
            </w:r>
            <w:r w:rsidRPr="00715040" w:rsidDel="002A1460">
              <w:rPr>
                <w:sz w:val="20"/>
              </w:rPr>
              <w:t xml:space="preserve"> </w:t>
            </w:r>
            <w:r>
              <w:rPr>
                <w:sz w:val="20"/>
              </w:rPr>
              <w:t>5</w:t>
            </w:r>
          </w:p>
          <w:p w14:paraId="1D37559F" w14:textId="77777777" w:rsidR="009B2B33" w:rsidRPr="00715040" w:rsidRDefault="009B2B33">
            <w:pPr>
              <w:pStyle w:val="TableHeading"/>
              <w:keepLines/>
              <w:spacing w:before="120" w:after="120"/>
              <w:contextualSpacing/>
              <w:rPr>
                <w:sz w:val="20"/>
              </w:rPr>
            </w:pPr>
            <w:r>
              <w:rPr>
                <w:sz w:val="20"/>
              </w:rPr>
              <w:t xml:space="preserve">Improving the Drought Resilience Adoption and Innovation </w:t>
            </w:r>
            <w:r w:rsidRPr="2BCDA1E7">
              <w:rPr>
                <w:sz w:val="20"/>
              </w:rPr>
              <w:t>Hubs</w:t>
            </w:r>
          </w:p>
        </w:tc>
      </w:tr>
      <w:tr w:rsidR="009B2B33" w:rsidRPr="00767EAE" w14:paraId="77D1007C" w14:textId="77777777">
        <w:tc>
          <w:tcPr>
            <w:tcW w:w="9638" w:type="dxa"/>
            <w:gridSpan w:val="2"/>
            <w:shd w:val="clear" w:color="auto" w:fill="E7F6FD"/>
            <w:tcMar>
              <w:top w:w="0" w:type="dxa"/>
            </w:tcMar>
          </w:tcPr>
          <w:p w14:paraId="1CCACD77" w14:textId="77777777" w:rsidR="009B2B33" w:rsidRDefault="009B2B33">
            <w:pPr>
              <w:pStyle w:val="BodyText"/>
              <w:keepLines/>
            </w:pPr>
            <w:r>
              <w:t>Funding for the Drought Resilience Adoption and Innovation Hubs should be extended in the next Funding Plan. However, the Australian Government should:</w:t>
            </w:r>
          </w:p>
          <w:p w14:paraId="2B3920E1" w14:textId="77777777" w:rsidR="009B2B33" w:rsidRDefault="009B2B33">
            <w:pPr>
              <w:pStyle w:val="ListBullet"/>
            </w:pPr>
            <w:r>
              <w:t xml:space="preserve">state what its expectations are for the </w:t>
            </w:r>
            <w:r w:rsidRPr="00193BE2">
              <w:t>Drought Resilience Adoption and Innovation Hubs</w:t>
            </w:r>
            <w:r w:rsidRPr="00EA4211">
              <w:t xml:space="preserve"> </w:t>
            </w:r>
            <w:r>
              <w:t>program and individual Hubs</w:t>
            </w:r>
          </w:p>
          <w:p w14:paraId="49AF18A0" w14:textId="77777777" w:rsidR="009B2B33" w:rsidRDefault="009B2B33">
            <w:pPr>
              <w:pStyle w:val="ListBullet"/>
            </w:pPr>
            <w:r>
              <w:t>commission a performance review of the Hubs during the next Funding Plan, with future funding contingent on demonstration of adequate performance and governance</w:t>
            </w:r>
          </w:p>
          <w:p w14:paraId="5D509780" w14:textId="77777777" w:rsidR="009B2B33" w:rsidRPr="00767EAE" w:rsidRDefault="009B2B33">
            <w:pPr>
              <w:pStyle w:val="ListBullet"/>
            </w:pPr>
            <w:r>
              <w:t>implement a monitoring, evaluation and learning (MEL) plan for the Hubs program as a whole and ensure individual Hub MEL plans align accordingly.</w:t>
            </w:r>
          </w:p>
        </w:tc>
      </w:tr>
    </w:tbl>
    <w:p w14:paraId="02962EBB" w14:textId="4B444830" w:rsidR="009B2B33" w:rsidRDefault="009B2B33">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9B2B33" w14:paraId="18BE377F" w14:textId="77777777">
        <w:trPr>
          <w:trHeight w:val="765"/>
          <w:tblHeader/>
        </w:trPr>
        <w:tc>
          <w:tcPr>
            <w:tcW w:w="366" w:type="pct"/>
            <w:tcBorders>
              <w:bottom w:val="nil"/>
            </w:tcBorders>
            <w:tcMar>
              <w:bottom w:w="0" w:type="dxa"/>
            </w:tcMar>
            <w:vAlign w:val="center"/>
          </w:tcPr>
          <w:p w14:paraId="568B630C" w14:textId="77777777" w:rsidR="009B2B33" w:rsidRDefault="009B2B33">
            <w:pPr>
              <w:pStyle w:val="NoSpacing"/>
              <w:keepNext/>
              <w:keepLines/>
              <w:jc w:val="right"/>
            </w:pPr>
            <w:r w:rsidRPr="00A51374">
              <w:rPr>
                <w:noProof/>
              </w:rPr>
              <w:drawing>
                <wp:inline distT="0" distB="0" distL="0" distR="0" wp14:anchorId="280A9E02" wp14:editId="3A5C885F">
                  <wp:extent cx="288000" cy="288000"/>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3C639628" w14:textId="77777777" w:rsidR="009B2B33" w:rsidRPr="00A4395A" w:rsidRDefault="009B2B33">
            <w:pPr>
              <w:pStyle w:val="TableHeading"/>
              <w:keepNext/>
              <w:keepLines/>
              <w:spacing w:before="120" w:after="120"/>
              <w:contextualSpacing/>
              <w:rPr>
                <w:sz w:val="20"/>
              </w:rPr>
            </w:pPr>
            <w:r>
              <w:rPr>
                <w:sz w:val="20"/>
              </w:rPr>
              <w:t>Interim f</w:t>
            </w:r>
            <w:r w:rsidRPr="00A4395A">
              <w:rPr>
                <w:sz w:val="20"/>
              </w:rPr>
              <w:t>inding</w:t>
            </w:r>
            <w:r w:rsidRPr="00A4395A" w:rsidDel="00C67CCB">
              <w:rPr>
                <w:sz w:val="20"/>
              </w:rPr>
              <w:t xml:space="preserve"> </w:t>
            </w:r>
            <w:r>
              <w:rPr>
                <w:sz w:val="20"/>
              </w:rPr>
              <w:t>10</w:t>
            </w:r>
          </w:p>
          <w:p w14:paraId="5384625C" w14:textId="77777777" w:rsidR="009B2B33" w:rsidRDefault="009B2B33">
            <w:pPr>
              <w:pStyle w:val="TableHeading"/>
              <w:keepNext/>
              <w:keepLines/>
              <w:spacing w:before="120" w:after="120"/>
              <w:contextualSpacing/>
            </w:pPr>
            <w:r>
              <w:rPr>
                <w:sz w:val="20"/>
              </w:rPr>
              <w:t>The role of Drought Resilience Innovation Grants</w:t>
            </w:r>
          </w:p>
        </w:tc>
      </w:tr>
      <w:tr w:rsidR="009B2B33" w14:paraId="1605A64C" w14:textId="77777777">
        <w:tc>
          <w:tcPr>
            <w:tcW w:w="5000" w:type="pct"/>
            <w:gridSpan w:val="2"/>
            <w:tcBorders>
              <w:top w:val="nil"/>
              <w:bottom w:val="single" w:sz="4" w:space="0" w:color="66BCDB" w:themeColor="text2"/>
            </w:tcBorders>
          </w:tcPr>
          <w:p w14:paraId="5463AEF8" w14:textId="77777777" w:rsidR="009B2B33" w:rsidRDefault="009B2B33">
            <w:pPr>
              <w:pStyle w:val="BodyText"/>
              <w:keepLines/>
            </w:pPr>
            <w:r>
              <w:t xml:space="preserve">The Drought Resilience Innovation Grants support the development of new or improved products, services or processes which build drought resilience. However, many institutions participate in agriculture innovation </w:t>
            </w:r>
            <w:r w:rsidRPr="00FE3458">
              <w:t>(</w:t>
            </w:r>
            <w:r>
              <w:t xml:space="preserve">including universities, </w:t>
            </w:r>
            <w:r w:rsidRPr="00FE3458">
              <w:t xml:space="preserve">industry-led Research and Development Corporations </w:t>
            </w:r>
            <w:r>
              <w:t>and</w:t>
            </w:r>
            <w:r w:rsidRPr="00FE3458">
              <w:t xml:space="preserve"> Cooperative Research Centres</w:t>
            </w:r>
            <w:r>
              <w:t>). It is unclear how and where the Future Drought Fund can best add value.</w:t>
            </w:r>
          </w:p>
          <w:p w14:paraId="0F3C43E7" w14:textId="77777777" w:rsidR="009B2B33" w:rsidRDefault="009B2B33">
            <w:pPr>
              <w:pStyle w:val="BodyText"/>
              <w:keepLines/>
            </w:pPr>
            <w:r>
              <w:t>There may be opportunities to adjust the program to better target grants toward a small number of pre</w:t>
            </w:r>
            <w:r>
              <w:noBreakHyphen/>
              <w:t>identified major resilience challenges.</w:t>
            </w:r>
          </w:p>
        </w:tc>
      </w:tr>
      <w:tr w:rsidR="009B2B33" w14:paraId="5A3FC03C" w14:textId="77777777">
        <w:tc>
          <w:tcPr>
            <w:tcW w:w="5000" w:type="pct"/>
            <w:gridSpan w:val="2"/>
            <w:tcBorders>
              <w:top w:val="single" w:sz="4" w:space="0" w:color="66BCDB" w:themeColor="text2"/>
              <w:left w:val="nil"/>
              <w:bottom w:val="nil"/>
              <w:right w:val="nil"/>
            </w:tcBorders>
            <w:tcMar>
              <w:bottom w:w="0" w:type="dxa"/>
            </w:tcMar>
          </w:tcPr>
          <w:p w14:paraId="71C97FFB" w14:textId="6CF12CC3" w:rsidR="009B2B33" w:rsidRDefault="009B2B33">
            <w:pPr>
              <w:pStyle w:val="NoSpacing"/>
              <w:spacing w:line="200" w:lineRule="atLeast"/>
            </w:pPr>
          </w:p>
        </w:tc>
      </w:tr>
    </w:tbl>
    <w:p w14:paraId="5ABEA7F8" w14:textId="77777777" w:rsidR="009B2B33" w:rsidRPr="00B214C0" w:rsidRDefault="009B2B33">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9B2B33" w14:paraId="70B2D5FC" w14:textId="77777777">
        <w:trPr>
          <w:trHeight w:val="765"/>
          <w:tblHeader/>
        </w:trPr>
        <w:tc>
          <w:tcPr>
            <w:tcW w:w="366" w:type="pct"/>
            <w:shd w:val="clear" w:color="auto" w:fill="EBEBEB"/>
            <w:tcMar>
              <w:bottom w:w="0" w:type="dxa"/>
            </w:tcMar>
            <w:vAlign w:val="center"/>
          </w:tcPr>
          <w:p w14:paraId="5F3EBDB1" w14:textId="77777777" w:rsidR="009B2B33" w:rsidRDefault="009B2B33">
            <w:pPr>
              <w:pStyle w:val="NoSpacing"/>
              <w:keepNext/>
              <w:keepLines/>
              <w:jc w:val="right"/>
            </w:pPr>
            <w:r w:rsidRPr="00A51374">
              <w:rPr>
                <w:noProof/>
              </w:rPr>
              <w:drawing>
                <wp:inline distT="0" distB="0" distL="0" distR="0" wp14:anchorId="0AE86F98" wp14:editId="120DCDD9">
                  <wp:extent cx="288000" cy="288000"/>
                  <wp:effectExtent l="0" t="0" r="0" b="0"/>
                  <wp:docPr id="967207530" name="Picture 9672075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05001F06" w14:textId="77777777" w:rsidR="009B2B33" w:rsidRPr="002530FF" w:rsidRDefault="009B2B33">
            <w:pPr>
              <w:pStyle w:val="TableHeading"/>
              <w:keepNext/>
              <w:keepLines/>
              <w:spacing w:before="120"/>
            </w:pPr>
            <w:r w:rsidRPr="00B20CD5">
              <w:rPr>
                <w:sz w:val="20"/>
              </w:rPr>
              <w:t xml:space="preserve">Information request </w:t>
            </w:r>
            <w:r>
              <w:t>12</w:t>
            </w:r>
          </w:p>
        </w:tc>
      </w:tr>
      <w:tr w:rsidR="009B2B33" w14:paraId="36A743F0" w14:textId="77777777">
        <w:tc>
          <w:tcPr>
            <w:tcW w:w="5000" w:type="pct"/>
            <w:gridSpan w:val="2"/>
            <w:shd w:val="clear" w:color="auto" w:fill="EBEBEB"/>
          </w:tcPr>
          <w:p w14:paraId="17C81637" w14:textId="77777777" w:rsidR="009B2B33" w:rsidRPr="00600735" w:rsidRDefault="009B2B33">
            <w:pPr>
              <w:rPr>
                <w:color w:val="265A9A" w:themeColor="background2"/>
              </w:rPr>
            </w:pPr>
            <w:r w:rsidRPr="00600735">
              <w:rPr>
                <w:color w:val="265A9A" w:themeColor="background2"/>
              </w:rPr>
              <w:t xml:space="preserve">The Commission is seeking </w:t>
            </w:r>
            <w:r>
              <w:rPr>
                <w:color w:val="265A9A" w:themeColor="background2"/>
              </w:rPr>
              <w:t>views</w:t>
            </w:r>
            <w:r w:rsidRPr="00600735">
              <w:rPr>
                <w:color w:val="265A9A" w:themeColor="background2"/>
              </w:rPr>
              <w:t xml:space="preserve"> on </w:t>
            </w:r>
            <w:r>
              <w:rPr>
                <w:color w:val="265A9A" w:themeColor="background2"/>
              </w:rPr>
              <w:t>whether the Future Drought Fund should be supporting agriculture innovation and if so, what types of innovation it should fund.</w:t>
            </w:r>
          </w:p>
          <w:p w14:paraId="72090495" w14:textId="77777777" w:rsidR="009B2B33" w:rsidRPr="00E52A9A" w:rsidRDefault="009B2B33">
            <w:pPr>
              <w:rPr>
                <w:color w:val="265A9A" w:themeColor="background2"/>
                <w:spacing w:val="-4"/>
              </w:rPr>
            </w:pPr>
            <w:r w:rsidRPr="00E52A9A">
              <w:rPr>
                <w:color w:val="265A9A" w:themeColor="background2"/>
                <w:spacing w:val="-4"/>
              </w:rPr>
              <w:t>If Innovation Grants continue, the Commission is considering whether the Innovation Grants program could be improved by adopting a ‘challenge-oriented’ approach whereby the Australian Government outlines specific resilience challenge and invites applicants accordingly. The Commission is requesting feedback on:</w:t>
            </w:r>
          </w:p>
          <w:p w14:paraId="5F01C8B4" w14:textId="77777777" w:rsidR="009B2B33" w:rsidRPr="00B066FC" w:rsidRDefault="009B2B33">
            <w:pPr>
              <w:pStyle w:val="ListBullet"/>
              <w:rPr>
                <w:color w:val="265A9A" w:themeColor="background2"/>
              </w:rPr>
            </w:pPr>
            <w:r w:rsidRPr="00B066FC">
              <w:rPr>
                <w:color w:val="265A9A" w:themeColor="background2"/>
              </w:rPr>
              <w:t xml:space="preserve">whether this approach is worthwhile </w:t>
            </w:r>
          </w:p>
          <w:p w14:paraId="627D95E7" w14:textId="77777777" w:rsidR="009B2B33" w:rsidRPr="00B066FC" w:rsidRDefault="009B2B33">
            <w:pPr>
              <w:pStyle w:val="ListBullet"/>
              <w:rPr>
                <w:color w:val="265A9A" w:themeColor="background2"/>
              </w:rPr>
            </w:pPr>
            <w:r w:rsidRPr="00B066FC">
              <w:rPr>
                <w:color w:val="265A9A" w:themeColor="background2"/>
              </w:rPr>
              <w:t>whether similar approaches have been effective in other jurisdictions</w:t>
            </w:r>
          </w:p>
          <w:p w14:paraId="06ECAA12" w14:textId="77777777" w:rsidR="009B2B33" w:rsidRPr="00B066FC" w:rsidRDefault="009B2B33">
            <w:pPr>
              <w:pStyle w:val="ListBullet"/>
              <w:rPr>
                <w:color w:val="265A9A" w:themeColor="background2"/>
              </w:rPr>
            </w:pPr>
            <w:r w:rsidRPr="00B066FC">
              <w:rPr>
                <w:color w:val="265A9A" w:themeColor="background2"/>
              </w:rPr>
              <w:t xml:space="preserve">what the process should be to identify and </w:t>
            </w:r>
            <w:r>
              <w:rPr>
                <w:color w:val="265A9A" w:themeColor="background2"/>
              </w:rPr>
              <w:t>define</w:t>
            </w:r>
            <w:r w:rsidRPr="00B066FC">
              <w:rPr>
                <w:color w:val="265A9A" w:themeColor="background2"/>
              </w:rPr>
              <w:t xml:space="preserve"> challenges</w:t>
            </w:r>
          </w:p>
          <w:p w14:paraId="40451E46" w14:textId="77777777" w:rsidR="009B2B33" w:rsidRPr="004C1C97" w:rsidRDefault="009B2B33">
            <w:pPr>
              <w:pStyle w:val="ListBullet"/>
            </w:pPr>
            <w:r>
              <w:rPr>
                <w:color w:val="265A9A" w:themeColor="background2"/>
              </w:rPr>
              <w:t>h</w:t>
            </w:r>
            <w:r w:rsidRPr="00B066FC">
              <w:rPr>
                <w:color w:val="265A9A" w:themeColor="background2"/>
              </w:rPr>
              <w:t>ow to scope and stage a ‘challenge-oriented’ approach appropriately, given funding limits</w:t>
            </w:r>
            <w:r>
              <w:rPr>
                <w:color w:val="265A9A" w:themeColor="background2"/>
              </w:rPr>
              <w:t>.</w:t>
            </w:r>
          </w:p>
        </w:tc>
      </w:tr>
      <w:tr w:rsidR="00857CEB" w:rsidRPr="00857CEB" w14:paraId="1D556952" w14:textId="77777777">
        <w:trPr>
          <w:hidden/>
        </w:trPr>
        <w:tc>
          <w:tcPr>
            <w:tcW w:w="5000" w:type="pct"/>
            <w:gridSpan w:val="2"/>
            <w:tcMar>
              <w:bottom w:w="0" w:type="dxa"/>
            </w:tcMar>
          </w:tcPr>
          <w:p w14:paraId="49E6263A" w14:textId="3EB8CF35" w:rsidR="009B2B33" w:rsidRPr="00857CEB" w:rsidRDefault="009B2B33">
            <w:pPr>
              <w:pStyle w:val="NoSpacing"/>
              <w:spacing w:line="200" w:lineRule="atLeast"/>
              <w:rPr>
                <w:smallCaps/>
                <w:vanish/>
              </w:rPr>
            </w:pPr>
          </w:p>
        </w:tc>
      </w:tr>
    </w:tbl>
    <w:p w14:paraId="70B637FE" w14:textId="1E6F0AB2" w:rsidR="009B2B33" w:rsidRDefault="009B2B33">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9B2B33" w14:paraId="39839D39" w14:textId="77777777">
        <w:trPr>
          <w:trHeight w:val="765"/>
          <w:tblHeader/>
        </w:trPr>
        <w:tc>
          <w:tcPr>
            <w:tcW w:w="366" w:type="pct"/>
            <w:tcBorders>
              <w:bottom w:val="nil"/>
            </w:tcBorders>
            <w:tcMar>
              <w:bottom w:w="0" w:type="dxa"/>
            </w:tcMar>
            <w:vAlign w:val="center"/>
          </w:tcPr>
          <w:p w14:paraId="198EF6E0" w14:textId="77777777" w:rsidR="009B2B33" w:rsidRDefault="009B2B33">
            <w:pPr>
              <w:pStyle w:val="NoSpacing"/>
              <w:keepNext/>
              <w:keepLines/>
              <w:jc w:val="right"/>
            </w:pPr>
            <w:r w:rsidRPr="00A51374">
              <w:rPr>
                <w:noProof/>
              </w:rPr>
              <w:lastRenderedPageBreak/>
              <w:drawing>
                <wp:inline distT="0" distB="0" distL="0" distR="0" wp14:anchorId="369EB714" wp14:editId="01E24B6B">
                  <wp:extent cx="288000" cy="288000"/>
                  <wp:effectExtent l="0" t="0" r="0" b="0"/>
                  <wp:docPr id="1691969263" name="Picture 16919692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1CA19C8F" w14:textId="77777777" w:rsidR="009B2B33" w:rsidRPr="00EE27B8" w:rsidRDefault="009B2B33">
            <w:pPr>
              <w:pStyle w:val="TableHeading"/>
              <w:keepNext/>
              <w:keepLines/>
              <w:spacing w:before="120" w:after="120"/>
              <w:contextualSpacing/>
              <w:rPr>
                <w:sz w:val="20"/>
              </w:rPr>
            </w:pPr>
            <w:r w:rsidRPr="00EE27B8">
              <w:rPr>
                <w:sz w:val="20"/>
              </w:rPr>
              <w:t xml:space="preserve">Interim finding </w:t>
            </w:r>
            <w:r>
              <w:rPr>
                <w:sz w:val="20"/>
              </w:rPr>
              <w:t>11</w:t>
            </w:r>
          </w:p>
          <w:p w14:paraId="7EFFE1BA" w14:textId="77777777" w:rsidR="009B2B33" w:rsidRPr="007A2AC9" w:rsidRDefault="009B2B33">
            <w:pPr>
              <w:pStyle w:val="TableHeading"/>
              <w:keepNext/>
              <w:keepLines/>
              <w:spacing w:before="120" w:after="120"/>
              <w:contextualSpacing/>
              <w:rPr>
                <w:sz w:val="20"/>
              </w:rPr>
            </w:pPr>
            <w:r>
              <w:rPr>
                <w:sz w:val="20"/>
              </w:rPr>
              <w:t xml:space="preserve">There are issues with relevance, overlap and measurement </w:t>
            </w:r>
            <w:r w:rsidRPr="003A2A09">
              <w:rPr>
                <w:sz w:val="20"/>
              </w:rPr>
              <w:t xml:space="preserve">of the </w:t>
            </w:r>
            <w:r w:rsidRPr="00EE27B8">
              <w:rPr>
                <w:sz w:val="20"/>
              </w:rPr>
              <w:t xml:space="preserve">Better Prepared </w:t>
            </w:r>
            <w:r w:rsidRPr="003A2A09">
              <w:rPr>
                <w:sz w:val="20"/>
              </w:rPr>
              <w:t>Communities</w:t>
            </w:r>
            <w:r w:rsidRPr="00EE27B8">
              <w:rPr>
                <w:sz w:val="20"/>
              </w:rPr>
              <w:t xml:space="preserve"> programs</w:t>
            </w:r>
          </w:p>
        </w:tc>
      </w:tr>
      <w:tr w:rsidR="009B2B33" w14:paraId="1ECEFB6B" w14:textId="77777777">
        <w:tc>
          <w:tcPr>
            <w:tcW w:w="5000" w:type="pct"/>
            <w:gridSpan w:val="2"/>
            <w:tcBorders>
              <w:top w:val="nil"/>
              <w:bottom w:val="single" w:sz="4" w:space="0" w:color="66BCDB" w:themeColor="text2"/>
            </w:tcBorders>
          </w:tcPr>
          <w:p w14:paraId="093368E7" w14:textId="77777777" w:rsidR="009B2B33" w:rsidRDefault="009B2B33">
            <w:pPr>
              <w:pStyle w:val="BodyText"/>
              <w:keepLines/>
            </w:pPr>
            <w:r>
              <w:t xml:space="preserve">While social resilience is important, the Future Drought Fund (FDF) may not be best placed to support all community resilience activities. </w:t>
            </w:r>
          </w:p>
          <w:p w14:paraId="144C2D8D" w14:textId="77777777" w:rsidR="009B2B33" w:rsidRDefault="009B2B33">
            <w:pPr>
              <w:pStyle w:val="BodyText"/>
              <w:keepLines/>
            </w:pPr>
            <w:r>
              <w:t>While program delivery partners have given positive feedback, the Better Prepared Communities theme has several challenges.</w:t>
            </w:r>
          </w:p>
          <w:p w14:paraId="497C4693" w14:textId="77777777" w:rsidR="009B2B33" w:rsidRDefault="009B2B33">
            <w:pPr>
              <w:pStyle w:val="ListBullet"/>
            </w:pPr>
            <w:r>
              <w:t xml:space="preserve">The programs focusing on professional networking and information sharing may overlap with work being done (or that could be done) by Drought Resilience Adoption and Innovation Hubs or through implementation of regional development plans. </w:t>
            </w:r>
          </w:p>
          <w:p w14:paraId="3FAC52C3" w14:textId="77777777" w:rsidR="009B2B33" w:rsidRPr="00B9125A" w:rsidRDefault="009B2B33">
            <w:pPr>
              <w:pStyle w:val="ListBullet"/>
              <w:rPr>
                <w:spacing w:val="-2"/>
              </w:rPr>
            </w:pPr>
            <w:r w:rsidRPr="00B9125A">
              <w:rPr>
                <w:spacing w:val="-2"/>
              </w:rPr>
              <w:t>While there has been some evidence of better integration and communication between the Helping Regional Communities Prepare for Drought program and other areas of the FDF, this may be insufficient to ensure activities targeting social resilience and community needs are efficiently implemented.</w:t>
            </w:r>
          </w:p>
          <w:p w14:paraId="50EFE91E" w14:textId="77777777" w:rsidR="009B2B33" w:rsidRDefault="009B2B33">
            <w:pPr>
              <w:pStyle w:val="ListBullet"/>
            </w:pPr>
            <w:r>
              <w:t xml:space="preserve">There is no focus on longer-term outcomes for social resilience. The current emphasis on delivering activities and improving the quantum of social networks creates challenges in understanding the effectiveness of these programs. </w:t>
            </w:r>
          </w:p>
        </w:tc>
      </w:tr>
      <w:tr w:rsidR="009B2B33" w14:paraId="7E2A7CA8" w14:textId="77777777">
        <w:tc>
          <w:tcPr>
            <w:tcW w:w="5000" w:type="pct"/>
            <w:gridSpan w:val="2"/>
            <w:tcBorders>
              <w:top w:val="single" w:sz="4" w:space="0" w:color="66BCDB" w:themeColor="text2"/>
              <w:left w:val="nil"/>
              <w:bottom w:val="nil"/>
              <w:right w:val="nil"/>
            </w:tcBorders>
            <w:tcMar>
              <w:bottom w:w="0" w:type="dxa"/>
            </w:tcMar>
          </w:tcPr>
          <w:p w14:paraId="058FF158" w14:textId="0229A987" w:rsidR="009B2B33" w:rsidRDefault="009B2B33">
            <w:pPr>
              <w:pStyle w:val="NoSpacing"/>
              <w:spacing w:line="200" w:lineRule="atLeast"/>
            </w:pPr>
          </w:p>
        </w:tc>
      </w:tr>
    </w:tbl>
    <w:p w14:paraId="3EFD2202" w14:textId="7CF5CFD3" w:rsidR="009B2B33" w:rsidRDefault="009B2B33">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9B2B33" w14:paraId="522784CE" w14:textId="77777777">
        <w:trPr>
          <w:trHeight w:val="765"/>
          <w:tblHeader/>
        </w:trPr>
        <w:tc>
          <w:tcPr>
            <w:tcW w:w="366" w:type="pct"/>
            <w:shd w:val="clear" w:color="auto" w:fill="EBEBEB"/>
            <w:tcMar>
              <w:bottom w:w="0" w:type="dxa"/>
            </w:tcMar>
            <w:vAlign w:val="center"/>
          </w:tcPr>
          <w:p w14:paraId="100E6CA3" w14:textId="77777777" w:rsidR="009B2B33" w:rsidRDefault="009B2B33">
            <w:pPr>
              <w:pStyle w:val="NoSpacing"/>
              <w:keepNext/>
              <w:keepLines/>
              <w:jc w:val="right"/>
            </w:pPr>
            <w:r w:rsidRPr="00A51374">
              <w:rPr>
                <w:noProof/>
              </w:rPr>
              <w:drawing>
                <wp:inline distT="0" distB="0" distL="0" distR="0" wp14:anchorId="6173F07B" wp14:editId="37DD89C2">
                  <wp:extent cx="288000" cy="288000"/>
                  <wp:effectExtent l="0" t="0" r="0" b="0"/>
                  <wp:docPr id="811114094" name="Picture 8111140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146A6EC0" w14:textId="77777777" w:rsidR="009B2B33" w:rsidRPr="002530FF" w:rsidRDefault="009B2B33">
            <w:pPr>
              <w:pStyle w:val="TableHeading"/>
              <w:keepNext/>
              <w:keepLines/>
              <w:spacing w:before="120"/>
            </w:pPr>
            <w:r w:rsidRPr="00B20CD5">
              <w:rPr>
                <w:sz w:val="20"/>
              </w:rPr>
              <w:t xml:space="preserve">Information request </w:t>
            </w:r>
            <w:r>
              <w:rPr>
                <w:sz w:val="20"/>
              </w:rPr>
              <w:t>13</w:t>
            </w:r>
          </w:p>
        </w:tc>
      </w:tr>
      <w:tr w:rsidR="009B2B33" w14:paraId="3486318B" w14:textId="77777777">
        <w:tc>
          <w:tcPr>
            <w:tcW w:w="5000" w:type="pct"/>
            <w:gridSpan w:val="2"/>
            <w:shd w:val="clear" w:color="auto" w:fill="EBEBEB"/>
          </w:tcPr>
          <w:p w14:paraId="511EB07F" w14:textId="6EF7BF72" w:rsidR="009B2B33" w:rsidRDefault="009B2B33">
            <w:pPr>
              <w:keepNext/>
              <w:keepLines/>
              <w:rPr>
                <w:color w:val="265A9A" w:themeColor="background2"/>
              </w:rPr>
            </w:pPr>
            <w:r w:rsidRPr="19320547">
              <w:rPr>
                <w:color w:val="265A9A" w:themeColor="background2"/>
              </w:rPr>
              <w:t xml:space="preserve">The Commission is seeking views on the appropriateness of programs delivered under the </w:t>
            </w:r>
            <w:r w:rsidRPr="0012756C">
              <w:rPr>
                <w:color w:val="265A9A" w:themeColor="background2"/>
              </w:rPr>
              <w:t>Better Prepared Communities</w:t>
            </w:r>
            <w:r w:rsidRPr="19320547">
              <w:rPr>
                <w:color w:val="265A9A" w:themeColor="background2"/>
              </w:rPr>
              <w:t xml:space="preserve"> programs (</w:t>
            </w:r>
            <w:r w:rsidRPr="0012756C">
              <w:rPr>
                <w:color w:val="265A9A" w:themeColor="background2"/>
              </w:rPr>
              <w:t>Networks to Build Drought Resilience</w:t>
            </w:r>
            <w:r w:rsidRPr="19320547">
              <w:rPr>
                <w:color w:val="265A9A" w:themeColor="background2"/>
              </w:rPr>
              <w:t xml:space="preserve">, </w:t>
            </w:r>
            <w:r w:rsidRPr="0012756C">
              <w:rPr>
                <w:color w:val="265A9A" w:themeColor="background2"/>
              </w:rPr>
              <w:t>Drought Resilience Leaders</w:t>
            </w:r>
            <w:r w:rsidRPr="19320547">
              <w:rPr>
                <w:color w:val="265A9A" w:themeColor="background2"/>
              </w:rPr>
              <w:t xml:space="preserve"> and </w:t>
            </w:r>
            <w:r w:rsidRPr="0012756C">
              <w:rPr>
                <w:color w:val="265A9A" w:themeColor="background2"/>
              </w:rPr>
              <w:t>Helping Regional Communities Prepare for Drought</w:t>
            </w:r>
            <w:r w:rsidRPr="19320547">
              <w:rPr>
                <w:color w:val="265A9A" w:themeColor="background2"/>
              </w:rPr>
              <w:t xml:space="preserve">). </w:t>
            </w:r>
          </w:p>
          <w:p w14:paraId="2165D3ED" w14:textId="77777777" w:rsidR="009B2B33" w:rsidRPr="009577B2" w:rsidRDefault="009B2B33">
            <w:pPr>
              <w:keepNext/>
              <w:keepLines/>
              <w:rPr>
                <w:color w:val="265A9A" w:themeColor="background2"/>
              </w:rPr>
            </w:pPr>
            <w:r>
              <w:rPr>
                <w:color w:val="265A9A" w:themeColor="background2"/>
              </w:rPr>
              <w:t>Th</w:t>
            </w:r>
            <w:r w:rsidRPr="00917279">
              <w:rPr>
                <w:color w:val="265A9A" w:themeColor="background2"/>
              </w:rPr>
              <w:t xml:space="preserve">e Commission is considering ways to better target the role of the </w:t>
            </w:r>
            <w:r>
              <w:rPr>
                <w:color w:val="265A9A" w:themeColor="background2"/>
              </w:rPr>
              <w:t>Future Drought Fund</w:t>
            </w:r>
            <w:r w:rsidRPr="00917279">
              <w:rPr>
                <w:color w:val="265A9A" w:themeColor="background2"/>
              </w:rPr>
              <w:t xml:space="preserve"> </w:t>
            </w:r>
            <w:r>
              <w:rPr>
                <w:color w:val="265A9A" w:themeColor="background2"/>
              </w:rPr>
              <w:t>(</w:t>
            </w:r>
            <w:r w:rsidRPr="00917279">
              <w:rPr>
                <w:color w:val="265A9A" w:themeColor="background2"/>
              </w:rPr>
              <w:t>FDF</w:t>
            </w:r>
            <w:r>
              <w:rPr>
                <w:color w:val="265A9A" w:themeColor="background2"/>
              </w:rPr>
              <w:t>)</w:t>
            </w:r>
            <w:r w:rsidRPr="00917279">
              <w:rPr>
                <w:color w:val="265A9A" w:themeColor="background2"/>
              </w:rPr>
              <w:t xml:space="preserve">. The Commission </w:t>
            </w:r>
            <w:r>
              <w:rPr>
                <w:color w:val="265A9A" w:themeColor="background2"/>
              </w:rPr>
              <w:t>is seeking views on the following three options:</w:t>
            </w:r>
          </w:p>
          <w:p w14:paraId="5A7FF221" w14:textId="77777777" w:rsidR="009B2B33" w:rsidRPr="00C12B2E" w:rsidRDefault="009B2B33" w:rsidP="009B2B33">
            <w:pPr>
              <w:numPr>
                <w:ilvl w:val="0"/>
                <w:numId w:val="15"/>
              </w:numPr>
              <w:contextualSpacing/>
              <w:rPr>
                <w:color w:val="265A9A" w:themeColor="background2"/>
              </w:rPr>
            </w:pPr>
            <w:r w:rsidRPr="00C12B2E">
              <w:rPr>
                <w:color w:val="265A9A" w:themeColor="background2"/>
              </w:rPr>
              <w:t xml:space="preserve">maintain current arrangements and improve integration with other areas of the </w:t>
            </w:r>
            <w:r>
              <w:rPr>
                <w:color w:val="265A9A" w:themeColor="background2"/>
              </w:rPr>
              <w:t>F</w:t>
            </w:r>
            <w:r w:rsidRPr="00C12B2E">
              <w:rPr>
                <w:color w:val="265A9A" w:themeColor="background2"/>
              </w:rPr>
              <w:t xml:space="preserve">und </w:t>
            </w:r>
          </w:p>
          <w:p w14:paraId="7978BD51" w14:textId="77777777" w:rsidR="009B2B33" w:rsidRPr="00C12B2E" w:rsidRDefault="009B2B33" w:rsidP="009B2B33">
            <w:pPr>
              <w:numPr>
                <w:ilvl w:val="0"/>
                <w:numId w:val="15"/>
              </w:numPr>
              <w:contextualSpacing/>
              <w:rPr>
                <w:color w:val="265A9A" w:themeColor="background2"/>
              </w:rPr>
            </w:pPr>
            <w:r w:rsidRPr="00C12B2E">
              <w:rPr>
                <w:color w:val="265A9A" w:themeColor="background2"/>
              </w:rPr>
              <w:t xml:space="preserve">explicitly tie community grants to regional drought development plans </w:t>
            </w:r>
          </w:p>
          <w:p w14:paraId="2803CAC2" w14:textId="77777777" w:rsidR="009B2B33" w:rsidRPr="00C12B2E" w:rsidRDefault="009B2B33" w:rsidP="009B2B33">
            <w:pPr>
              <w:numPr>
                <w:ilvl w:val="0"/>
                <w:numId w:val="15"/>
              </w:numPr>
              <w:contextualSpacing/>
              <w:rPr>
                <w:color w:val="265A9A" w:themeColor="background2"/>
              </w:rPr>
            </w:pPr>
            <w:r>
              <w:rPr>
                <w:color w:val="265A9A" w:themeColor="background2"/>
              </w:rPr>
              <w:t>focus the FDF on economic and environmental programs with social capital developed within these programs</w:t>
            </w:r>
            <w:r w:rsidRPr="00C12B2E">
              <w:rPr>
                <w:color w:val="265A9A" w:themeColor="background2"/>
              </w:rPr>
              <w:t>.</w:t>
            </w:r>
            <w:r>
              <w:rPr>
                <w:color w:val="265A9A" w:themeColor="background2"/>
              </w:rPr>
              <w:t xml:space="preserve"> </w:t>
            </w:r>
          </w:p>
        </w:tc>
      </w:tr>
      <w:tr w:rsidR="009B2B33" w14:paraId="54EA0175" w14:textId="77777777">
        <w:tc>
          <w:tcPr>
            <w:tcW w:w="5000" w:type="pct"/>
            <w:gridSpan w:val="2"/>
            <w:tcMar>
              <w:bottom w:w="0" w:type="dxa"/>
            </w:tcMar>
          </w:tcPr>
          <w:p w14:paraId="1B277CC3" w14:textId="46707DC0" w:rsidR="009B2B33" w:rsidRDefault="009B2B33">
            <w:pPr>
              <w:pStyle w:val="NoSpacing"/>
              <w:spacing w:line="200" w:lineRule="atLeast"/>
            </w:pPr>
          </w:p>
        </w:tc>
      </w:tr>
    </w:tbl>
    <w:p w14:paraId="00E96275" w14:textId="77777777" w:rsidR="009E2C86" w:rsidRDefault="009E2C86" w:rsidP="00075FD5">
      <w:pPr>
        <w:pStyle w:val="BodyText"/>
        <w:sectPr w:rsidR="009E2C86">
          <w:headerReference w:type="even" r:id="rId39"/>
          <w:headerReference w:type="default" r:id="rId40"/>
          <w:footerReference w:type="even" r:id="rId41"/>
          <w:footerReference w:type="default" r:id="rId42"/>
          <w:headerReference w:type="first" r:id="rId43"/>
          <w:footerReference w:type="first" r:id="rId44"/>
          <w:type w:val="oddPage"/>
          <w:pgSz w:w="11906" w:h="16838" w:code="9"/>
          <w:pgMar w:top="1134" w:right="1134" w:bottom="1134" w:left="1134" w:header="794" w:footer="510" w:gutter="0"/>
          <w:cols w:space="708"/>
          <w:docGrid w:linePitch="360"/>
        </w:sectPr>
      </w:pPr>
    </w:p>
    <w:p w14:paraId="3C2B0473" w14:textId="03D5BC67" w:rsidR="00FE4E2F" w:rsidRDefault="00FE4E2F" w:rsidP="00384C87">
      <w:pPr>
        <w:pStyle w:val="Reference"/>
        <w:rPr>
          <w:noProof/>
        </w:rPr>
      </w:pPr>
    </w:p>
    <w:sectPr w:rsidR="00FE4E2F" w:rsidSect="006F0F98">
      <w:headerReference w:type="default" r:id="rId45"/>
      <w:type w:val="continuous"/>
      <w:pgSz w:w="11906" w:h="16838" w:code="9"/>
      <w:pgMar w:top="1134" w:right="1134" w:bottom="1134" w:left="1134" w:header="794" w:footer="51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9A638" w14:textId="77777777" w:rsidR="00D93640" w:rsidRDefault="00D93640" w:rsidP="008017BC">
      <w:r>
        <w:separator/>
      </w:r>
    </w:p>
    <w:p w14:paraId="7CAA93AC" w14:textId="77777777" w:rsidR="00D93640" w:rsidRDefault="00D93640"/>
  </w:endnote>
  <w:endnote w:type="continuationSeparator" w:id="0">
    <w:p w14:paraId="36CDADFE" w14:textId="77777777" w:rsidR="00D93640" w:rsidRDefault="00D93640" w:rsidP="008017BC">
      <w:r>
        <w:continuationSeparator/>
      </w:r>
    </w:p>
    <w:p w14:paraId="0B98C48A" w14:textId="77777777" w:rsidR="00D93640" w:rsidRDefault="00D93640"/>
  </w:endnote>
  <w:endnote w:type="continuationNotice" w:id="1">
    <w:p w14:paraId="0BAF0392" w14:textId="77777777" w:rsidR="00D93640" w:rsidRDefault="00D9364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DBED" w14:textId="77777777" w:rsidR="004F7BE2" w:rsidRPr="00187F05" w:rsidRDefault="004F7BE2" w:rsidP="00A471AE">
    <w:pPr>
      <w:pStyle w:val="Footer"/>
      <w:jc w:val="right"/>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AAC1" w14:textId="77777777" w:rsidR="0035654A" w:rsidRDefault="00356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F9FD0" w14:textId="77777777" w:rsidR="004F7BE2" w:rsidRDefault="004F7BE2">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371B4" w14:textId="77777777" w:rsidR="004F7BE2" w:rsidRDefault="004F7BE2">
    <w:pPr>
      <w:pStyle w:val="Foote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4CF7" w14:textId="77777777" w:rsidR="004F7BE2" w:rsidRPr="00187F05" w:rsidRDefault="004F7BE2" w:rsidP="004544D6">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105459"/>
      <w:docPartObj>
        <w:docPartGallery w:val="Page Numbers (Bottom of Page)"/>
        <w:docPartUnique/>
      </w:docPartObj>
    </w:sdtPr>
    <w:sdtEndPr/>
    <w:sdtContent>
      <w:sdt>
        <w:sdtPr>
          <w:id w:val="372884374"/>
          <w:docPartObj>
            <w:docPartGallery w:val="Page Numbers (Top of Page)"/>
            <w:docPartUnique/>
          </w:docPartObj>
        </w:sdtPr>
        <w:sdtEndPr/>
        <w:sdtContent>
          <w:p w14:paraId="5D1ADD91" w14:textId="77777777" w:rsidR="004F7BE2" w:rsidRPr="0042508F" w:rsidRDefault="004F7BE2" w:rsidP="004544D6">
            <w:pPr>
              <w:pStyle w:val="Footer-right"/>
            </w:pPr>
            <w:r w:rsidRPr="0042508F">
              <w:fldChar w:fldCharType="begin"/>
            </w:r>
            <w:r w:rsidRPr="0042508F">
              <w:instrText xml:space="preserve"> PAGE </w:instrText>
            </w:r>
            <w:r w:rsidRPr="0042508F">
              <w:fldChar w:fldCharType="separate"/>
            </w:r>
            <w:r>
              <w:rPr>
                <w:noProof/>
              </w:rPr>
              <w:t>1</w:t>
            </w:r>
            <w:r w:rsidRPr="0042508F">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C008"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2AFE6390"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1572" w14:textId="2F053DB4" w:rsidR="0035654A" w:rsidRDefault="0035654A" w:rsidP="00452548">
    <w:pPr>
      <w:pStyle w:val="Footer"/>
      <w:tabs>
        <w:tab w:val="clear" w:pos="4513"/>
        <w:tab w:val="clear" w:pos="9026"/>
        <w:tab w:val="left" w:pos="3555"/>
      </w:tabs>
    </w:pPr>
    <w:r w:rsidRPr="00187F05">
      <w:fldChar w:fldCharType="begin"/>
    </w:r>
    <w:r w:rsidRPr="00187F05">
      <w:instrText xml:space="preserve"> PAGE   \* MERGEFORMAT </w:instrText>
    </w:r>
    <w:r w:rsidRPr="00187F05">
      <w:fldChar w:fldCharType="separate"/>
    </w:r>
    <w:r w:rsidRPr="00187F05">
      <w:t>1</w:t>
    </w:r>
    <w:r w:rsidRPr="00187F05">
      <w:fldChar w:fldCharType="end"/>
    </w:r>
    <w:r w:rsidR="00452548">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341746"/>
      <w:docPartObj>
        <w:docPartGallery w:val="Page Numbers (Bottom of Page)"/>
        <w:docPartUnique/>
      </w:docPartObj>
    </w:sdtPr>
    <w:sdtEndPr/>
    <w:sdtContent>
      <w:sdt>
        <w:sdtPr>
          <w:id w:val="640853499"/>
          <w:docPartObj>
            <w:docPartGallery w:val="Page Numbers (Top of Page)"/>
            <w:docPartUnique/>
          </w:docPartObj>
        </w:sdtPr>
        <w:sdtEndPr/>
        <w:sdtContent>
          <w:p w14:paraId="51D72B1D" w14:textId="77777777" w:rsidR="0035654A" w:rsidRDefault="0035654A"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91B18" w14:textId="77777777" w:rsidR="00D93640" w:rsidRPr="00C238D1" w:rsidRDefault="00D93640" w:rsidP="00273E86">
      <w:pPr>
        <w:spacing w:after="0" w:line="240" w:lineRule="auto"/>
        <w:rPr>
          <w:rStyle w:val="ColourDarkBlue"/>
        </w:rPr>
      </w:pPr>
      <w:r w:rsidRPr="00C238D1">
        <w:rPr>
          <w:rStyle w:val="ColourDarkBlue"/>
        </w:rPr>
        <w:continuationSeparator/>
      </w:r>
    </w:p>
  </w:footnote>
  <w:footnote w:type="continuationSeparator" w:id="0">
    <w:p w14:paraId="1FD2A0B1" w14:textId="77777777" w:rsidR="00D93640" w:rsidRPr="001D7D9B" w:rsidRDefault="00D93640" w:rsidP="001D7D9B">
      <w:pPr>
        <w:spacing w:after="0" w:line="240" w:lineRule="auto"/>
        <w:rPr>
          <w:color w:val="265A9A" w:themeColor="background2"/>
        </w:rPr>
      </w:pPr>
      <w:r w:rsidRPr="00C238D1">
        <w:rPr>
          <w:rStyle w:val="ColourDarkBlue"/>
        </w:rPr>
        <w:continuationSeparator/>
      </w:r>
    </w:p>
  </w:footnote>
  <w:footnote w:type="continuationNotice" w:id="1">
    <w:p w14:paraId="2940035E" w14:textId="77777777" w:rsidR="00D93640" w:rsidRDefault="00D93640"/>
  </w:footnote>
  <w:footnote w:id="2">
    <w:p w14:paraId="6476B17D" w14:textId="77777777" w:rsidR="00255BC9" w:rsidRPr="00721313" w:rsidRDefault="00255BC9">
      <w:pPr>
        <w:pStyle w:val="FootnoteText"/>
        <w:rPr>
          <w:lang w:val="en-US"/>
        </w:rPr>
      </w:pPr>
      <w:r>
        <w:rPr>
          <w:rStyle w:val="FootnoteReference"/>
        </w:rPr>
        <w:footnoteRef/>
      </w:r>
      <w:r>
        <w:t xml:space="preserve"> </w:t>
      </w:r>
      <w:r w:rsidRPr="00721313">
        <w:t>International bodies, countries, and even agencies within countries often define resilience differently depending on their organisational objectives and contexts. However, they commonly emphasise that resilience is the capacity or ability of an individual, community or system to prepare and plan for, absorb, recover from, and more successfully adapt and transform in response to adverse events.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8D0A" w14:textId="77777777" w:rsidR="00A37A33" w:rsidRDefault="00A37A3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D0AE" w14:textId="77777777" w:rsidR="0035654A" w:rsidRDefault="003565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2BBB7" w14:textId="24414F63" w:rsidR="00544363" w:rsidRDefault="00DC020D">
    <w:pPr>
      <w:pStyle w:val="Header-KeylineRight"/>
    </w:pPr>
    <w:r>
      <w:fldChar w:fldCharType="begin"/>
    </w:r>
    <w:r>
      <w:instrText xml:space="preserve"> STYLEREF  "Heading 1-no background"  \* MERGEFORMAT </w:instrText>
    </w:r>
    <w:r>
      <w:fldChar w:fldCharType="separate"/>
    </w:r>
    <w:r w:rsidR="00773546">
      <w:rPr>
        <w:noProof/>
      </w:rPr>
      <w:t>Contents</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51A8" w14:textId="77777777" w:rsidR="00A37A33" w:rsidRDefault="00A37A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9433" w14:textId="77777777" w:rsidR="004F7BE2" w:rsidRPr="007215EF" w:rsidRDefault="004F7BE2" w:rsidP="007215EF">
    <w:r w:rsidRPr="007215EF">
      <w:rPr>
        <w:noProof/>
      </w:rPr>
      <w:drawing>
        <wp:anchor distT="0" distB="0" distL="114300" distR="114300" simplePos="0" relativeHeight="251658240" behindDoc="0" locked="1" layoutInCell="1" allowOverlap="1" wp14:anchorId="27DD4FAD" wp14:editId="70466BBF">
          <wp:simplePos x="0" y="0"/>
          <wp:positionH relativeFrom="margin">
            <wp:align>left</wp:align>
          </wp:positionH>
          <wp:positionV relativeFrom="page">
            <wp:align>top</wp:align>
          </wp:positionV>
          <wp:extent cx="2235600" cy="1058400"/>
          <wp:effectExtent l="0" t="0" r="0" b="8890"/>
          <wp:wrapNone/>
          <wp:docPr id="60803313" name="Picture 60803313" descr="Australian Government Productivity Commission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descr="Australian Government Productivity Commission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C01E07" w14:textId="77777777" w:rsidR="004F7BE2" w:rsidRPr="005965BC" w:rsidRDefault="004F7BE2" w:rsidP="005965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498E" w14:textId="6A14962A" w:rsidR="004F7BE2" w:rsidRPr="00201320" w:rsidRDefault="00313EB9" w:rsidP="004544D6">
    <w:pPr>
      <w:pStyle w:val="Header-Keyline"/>
      <w:rPr>
        <w:rStyle w:val="Strong"/>
        <w:b w:val="0"/>
        <w:bCs w:val="0"/>
      </w:rPr>
    </w:pPr>
    <w:r>
      <w:rPr>
        <w:rStyle w:val="Strong"/>
      </w:rPr>
      <w:t>Review of Part 3 of the Future Drought Fund Act</w:t>
    </w:r>
    <w:r w:rsidR="004F7BE2">
      <w:t xml:space="preserve"> </w:t>
    </w:r>
    <w:r w:rsidR="00D177BA">
      <w:t>Interim</w:t>
    </w:r>
    <w:r w:rsidR="004F7BE2">
      <w:t xml:space="preserve"> </w:t>
    </w:r>
    <w:r w:rsidR="009E3265">
      <w:t>r</w:t>
    </w:r>
    <w:r w:rsidR="004F7BE2">
      <w:t>eport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4267" w14:textId="7C9AE640" w:rsidR="004F7BE2" w:rsidRDefault="00DC020D" w:rsidP="004544D6">
    <w:pPr>
      <w:pStyle w:val="Header-KeylineRight"/>
    </w:pPr>
    <w:r>
      <w:fldChar w:fldCharType="begin"/>
    </w:r>
    <w:r>
      <w:instrText xml:space="preserve"> STYLEREF  "Heading 1-no background"  \* MERGEFORMAT </w:instrText>
    </w:r>
    <w:r>
      <w:fldChar w:fldCharType="separate"/>
    </w:r>
    <w:r>
      <w:rPr>
        <w:noProof/>
      </w:rPr>
      <w:t>Opportunity for comment</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8E21" w14:textId="52F61AE7" w:rsidR="002736A5" w:rsidRDefault="00DC020D" w:rsidP="004544D6">
    <w:pPr>
      <w:pStyle w:val="Header-KeylineRight"/>
    </w:pPr>
    <w:r>
      <w:fldChar w:fldCharType="begin"/>
    </w:r>
    <w:r>
      <w:instrText xml:space="preserve"> STYLEREF  "Heading 1-no background"  \* MERGEFORMAT </w:instrText>
    </w:r>
    <w:r>
      <w:fldChar w:fldCharType="separate"/>
    </w:r>
    <w:r>
      <w:rPr>
        <w:noProof/>
      </w:rPr>
      <w:t>Contents</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BF24" w14:textId="77EC01DD" w:rsidR="00E1079A" w:rsidRDefault="00DC020D" w:rsidP="004544D6">
    <w:pPr>
      <w:pStyle w:val="Header-KeylineRight"/>
    </w:pPr>
    <w:r>
      <w:fldChar w:fldCharType="begin"/>
    </w:r>
    <w:r>
      <w:instrText xml:space="preserve"> STYLEREF  "Heading 1-Section-f</w:instrText>
    </w:r>
    <w:r>
      <w:instrText xml:space="preserve">ull page"  \* MERGEFORMAT </w:instrText>
    </w:r>
    <w:r>
      <w:fldChar w:fldCharType="separate"/>
    </w:r>
    <w:r>
      <w:rPr>
        <w:noProof/>
      </w:rPr>
      <w:t>Executive summary</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CA77" w14:textId="08BEFACA" w:rsidR="0035654A" w:rsidRDefault="00987141">
    <w:pPr>
      <w:pStyle w:val="Header-Keyline"/>
    </w:pPr>
    <w:r>
      <w:rPr>
        <w:rStyle w:val="Strong"/>
      </w:rPr>
      <w:t>Review of Part 3 of the Future Drought Fund Act</w:t>
    </w:r>
    <w:r w:rsidR="0035654A">
      <w:t xml:space="preserve"> </w:t>
    </w:r>
    <w:r w:rsidR="00412BB2">
      <w:t>Interim</w:t>
    </w:r>
    <w:r w:rsidR="00586B44">
      <w:t xml:space="preserve"> </w:t>
    </w:r>
    <w:r w:rsidR="00A06BDD">
      <w:t>r</w:t>
    </w:r>
    <w:r w:rsidR="0035654A">
      <w:t>eport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0A30" w14:textId="4C33C387" w:rsidR="0035654A" w:rsidRDefault="00DC020D">
    <w:pPr>
      <w:pStyle w:val="Header-KeylineRight"/>
    </w:pPr>
    <w:r>
      <w:fldChar w:fldCharType="begin"/>
    </w:r>
    <w:r>
      <w:instrText xml:space="preserve"> STYLEREF  "Heading 1-no number"  \* MERGEFORMAT </w:instrText>
    </w:r>
    <w:r>
      <w:fldChar w:fldCharType="separate"/>
    </w:r>
    <w:r>
      <w:rPr>
        <w:noProof/>
      </w:rPr>
      <w:t>Interim findings, recommendations and information requests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8C2B3A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A29CC3F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3E6C9D"/>
    <w:multiLevelType w:val="multilevel"/>
    <w:tmpl w:val="FF8069A4"/>
    <w:numStyleLink w:val="Bullets"/>
  </w:abstractNum>
  <w:abstractNum w:abstractNumId="6"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8"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9"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665246"/>
    <w:multiLevelType w:val="multilevel"/>
    <w:tmpl w:val="55366B42"/>
    <w:numStyleLink w:val="LetteredList"/>
  </w:abstractNum>
  <w:abstractNum w:abstractNumId="12" w15:restartNumberingAfterBreak="0">
    <w:nsid w:val="2DFE29AF"/>
    <w:multiLevelType w:val="multilevel"/>
    <w:tmpl w:val="72768BCE"/>
    <w:numStyleLink w:val="AppendixHeadingList"/>
  </w:abstractNum>
  <w:abstractNum w:abstractNumId="13" w15:restartNumberingAfterBreak="0">
    <w:nsid w:val="30D05E95"/>
    <w:multiLevelType w:val="hybridMultilevel"/>
    <w:tmpl w:val="FEF8267E"/>
    <w:lvl w:ilvl="0" w:tplc="7A966E46">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96A0C8C"/>
    <w:multiLevelType w:val="multilevel"/>
    <w:tmpl w:val="1FA8DC2A"/>
    <w:numStyleLink w:val="Numbering"/>
  </w:abstractNum>
  <w:abstractNum w:abstractNumId="17"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9" w15:restartNumberingAfterBreak="0">
    <w:nsid w:val="761B4A1B"/>
    <w:multiLevelType w:val="multilevel"/>
    <w:tmpl w:val="4F48000A"/>
    <w:numStyleLink w:val="Alphalist"/>
  </w:abstractNum>
  <w:num w:numId="1" w16cid:durableId="1220020794">
    <w:abstractNumId w:val="7"/>
  </w:num>
  <w:num w:numId="2" w16cid:durableId="9335037">
    <w:abstractNumId w:val="3"/>
  </w:num>
  <w:num w:numId="3" w16cid:durableId="1770274636">
    <w:abstractNumId w:val="10"/>
  </w:num>
  <w:num w:numId="4" w16cid:durableId="2123768426">
    <w:abstractNumId w:val="17"/>
  </w:num>
  <w:num w:numId="5" w16cid:durableId="2147164343">
    <w:abstractNumId w:val="18"/>
  </w:num>
  <w:num w:numId="6" w16cid:durableId="1395083784">
    <w:abstractNumId w:val="15"/>
  </w:num>
  <w:num w:numId="7" w16cid:durableId="956329250">
    <w:abstractNumId w:val="12"/>
  </w:num>
  <w:num w:numId="8" w16cid:durableId="1611275472">
    <w:abstractNumId w:val="8"/>
  </w:num>
  <w:num w:numId="9" w16cid:durableId="360713607">
    <w:abstractNumId w:val="11"/>
  </w:num>
  <w:num w:numId="10" w16cid:durableId="1388069260">
    <w:abstractNumId w:val="19"/>
  </w:num>
  <w:num w:numId="11" w16cid:durableId="814882481">
    <w:abstractNumId w:val="0"/>
  </w:num>
  <w:num w:numId="12" w16cid:durableId="2008705549">
    <w:abstractNumId w:val="4"/>
  </w:num>
  <w:num w:numId="13" w16cid:durableId="490563872">
    <w:abstractNumId w:val="9"/>
  </w:num>
  <w:num w:numId="14" w16cid:durableId="1213885368">
    <w:abstractNumId w:val="6"/>
  </w:num>
  <w:num w:numId="15" w16cid:durableId="1120606403">
    <w:abstractNumId w:val="5"/>
  </w:num>
  <w:num w:numId="16" w16cid:durableId="695930222">
    <w:abstractNumId w:val="2"/>
  </w:num>
  <w:num w:numId="17" w16cid:durableId="1948732313">
    <w:abstractNumId w:val="14"/>
  </w:num>
  <w:num w:numId="18" w16cid:durableId="1678654800">
    <w:abstractNumId w:val="1"/>
  </w:num>
  <w:num w:numId="19" w16cid:durableId="1987127358">
    <w:abstractNumId w:val="16"/>
  </w:num>
  <w:num w:numId="20" w16cid:durableId="1484349224">
    <w:abstractNumId w:val="1"/>
    <w:lvlOverride w:ilvl="0">
      <w:startOverride w:val="1"/>
    </w:lvlOverride>
  </w:num>
  <w:num w:numId="21" w16cid:durableId="565919158">
    <w:abstractNumId w:val="13"/>
  </w:num>
  <w:num w:numId="22" w16cid:durableId="1361009664">
    <w:abstractNumId w:val="1"/>
  </w:num>
  <w:num w:numId="23" w16cid:durableId="2098941939">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DCC"/>
    <w:rsid w:val="00000075"/>
    <w:rsid w:val="000000A3"/>
    <w:rsid w:val="00000F3C"/>
    <w:rsid w:val="0000246F"/>
    <w:rsid w:val="0000312F"/>
    <w:rsid w:val="00003404"/>
    <w:rsid w:val="00003AE8"/>
    <w:rsid w:val="00003C4C"/>
    <w:rsid w:val="00003DE1"/>
    <w:rsid w:val="00003E8A"/>
    <w:rsid w:val="00004489"/>
    <w:rsid w:val="00004E6E"/>
    <w:rsid w:val="00005213"/>
    <w:rsid w:val="00005C79"/>
    <w:rsid w:val="000061B0"/>
    <w:rsid w:val="000074C6"/>
    <w:rsid w:val="0001069F"/>
    <w:rsid w:val="00011299"/>
    <w:rsid w:val="0001246A"/>
    <w:rsid w:val="0001250B"/>
    <w:rsid w:val="00012F24"/>
    <w:rsid w:val="0001315B"/>
    <w:rsid w:val="0001355D"/>
    <w:rsid w:val="00013A53"/>
    <w:rsid w:val="000148CE"/>
    <w:rsid w:val="000157FF"/>
    <w:rsid w:val="0001794F"/>
    <w:rsid w:val="00020083"/>
    <w:rsid w:val="00020A20"/>
    <w:rsid w:val="0002101E"/>
    <w:rsid w:val="00021283"/>
    <w:rsid w:val="0002276B"/>
    <w:rsid w:val="00023326"/>
    <w:rsid w:val="000245D2"/>
    <w:rsid w:val="00024688"/>
    <w:rsid w:val="00024A40"/>
    <w:rsid w:val="00024C09"/>
    <w:rsid w:val="00024FDA"/>
    <w:rsid w:val="0002627E"/>
    <w:rsid w:val="00026C04"/>
    <w:rsid w:val="00026F2B"/>
    <w:rsid w:val="00027167"/>
    <w:rsid w:val="00027E32"/>
    <w:rsid w:val="000300AF"/>
    <w:rsid w:val="00031498"/>
    <w:rsid w:val="00031549"/>
    <w:rsid w:val="0003175F"/>
    <w:rsid w:val="000324B2"/>
    <w:rsid w:val="0003260E"/>
    <w:rsid w:val="000331E4"/>
    <w:rsid w:val="0003338D"/>
    <w:rsid w:val="000333C4"/>
    <w:rsid w:val="00033619"/>
    <w:rsid w:val="00034D67"/>
    <w:rsid w:val="000405DE"/>
    <w:rsid w:val="00040E72"/>
    <w:rsid w:val="00041053"/>
    <w:rsid w:val="000412DF"/>
    <w:rsid w:val="00041317"/>
    <w:rsid w:val="0004149D"/>
    <w:rsid w:val="000419B7"/>
    <w:rsid w:val="00041DB1"/>
    <w:rsid w:val="00043FCB"/>
    <w:rsid w:val="000453E1"/>
    <w:rsid w:val="00046385"/>
    <w:rsid w:val="000469EE"/>
    <w:rsid w:val="00047799"/>
    <w:rsid w:val="00047894"/>
    <w:rsid w:val="00047E89"/>
    <w:rsid w:val="0005145C"/>
    <w:rsid w:val="0005151B"/>
    <w:rsid w:val="0005214B"/>
    <w:rsid w:val="00052967"/>
    <w:rsid w:val="00052C77"/>
    <w:rsid w:val="00052DFF"/>
    <w:rsid w:val="00053348"/>
    <w:rsid w:val="000534CF"/>
    <w:rsid w:val="0005430C"/>
    <w:rsid w:val="00054C95"/>
    <w:rsid w:val="0005579C"/>
    <w:rsid w:val="00056081"/>
    <w:rsid w:val="000560CD"/>
    <w:rsid w:val="000561CF"/>
    <w:rsid w:val="000565F8"/>
    <w:rsid w:val="0005774F"/>
    <w:rsid w:val="00057C96"/>
    <w:rsid w:val="0006095A"/>
    <w:rsid w:val="000626DA"/>
    <w:rsid w:val="00062A44"/>
    <w:rsid w:val="00062C29"/>
    <w:rsid w:val="00062E56"/>
    <w:rsid w:val="00063350"/>
    <w:rsid w:val="00063A27"/>
    <w:rsid w:val="00063AB1"/>
    <w:rsid w:val="00063CC3"/>
    <w:rsid w:val="00064D5E"/>
    <w:rsid w:val="00064E28"/>
    <w:rsid w:val="000660DF"/>
    <w:rsid w:val="000665B6"/>
    <w:rsid w:val="00067908"/>
    <w:rsid w:val="00070A23"/>
    <w:rsid w:val="00071A67"/>
    <w:rsid w:val="00071AA5"/>
    <w:rsid w:val="000724AE"/>
    <w:rsid w:val="00072C23"/>
    <w:rsid w:val="00073478"/>
    <w:rsid w:val="00073C3A"/>
    <w:rsid w:val="00074653"/>
    <w:rsid w:val="0007506A"/>
    <w:rsid w:val="00075D2B"/>
    <w:rsid w:val="00075FD5"/>
    <w:rsid w:val="0007726A"/>
    <w:rsid w:val="0007776A"/>
    <w:rsid w:val="00077A76"/>
    <w:rsid w:val="00080027"/>
    <w:rsid w:val="0008037D"/>
    <w:rsid w:val="00080917"/>
    <w:rsid w:val="00080A44"/>
    <w:rsid w:val="00082B4D"/>
    <w:rsid w:val="00084660"/>
    <w:rsid w:val="00084E06"/>
    <w:rsid w:val="0008519A"/>
    <w:rsid w:val="00085FB9"/>
    <w:rsid w:val="0008608F"/>
    <w:rsid w:val="00087CF5"/>
    <w:rsid w:val="00087EF7"/>
    <w:rsid w:val="00090350"/>
    <w:rsid w:val="00090831"/>
    <w:rsid w:val="00091286"/>
    <w:rsid w:val="00091CEC"/>
    <w:rsid w:val="00091E7F"/>
    <w:rsid w:val="000923CC"/>
    <w:rsid w:val="000928D0"/>
    <w:rsid w:val="00092EBF"/>
    <w:rsid w:val="0009387D"/>
    <w:rsid w:val="00094B93"/>
    <w:rsid w:val="00094D29"/>
    <w:rsid w:val="000970CB"/>
    <w:rsid w:val="00097B6F"/>
    <w:rsid w:val="000A01CA"/>
    <w:rsid w:val="000A07DE"/>
    <w:rsid w:val="000A0E45"/>
    <w:rsid w:val="000A0F08"/>
    <w:rsid w:val="000A1D17"/>
    <w:rsid w:val="000A29E2"/>
    <w:rsid w:val="000A38AA"/>
    <w:rsid w:val="000A4F51"/>
    <w:rsid w:val="000A4FA2"/>
    <w:rsid w:val="000A6DF4"/>
    <w:rsid w:val="000A6DF8"/>
    <w:rsid w:val="000A7BBC"/>
    <w:rsid w:val="000B1DBA"/>
    <w:rsid w:val="000B1DE5"/>
    <w:rsid w:val="000B37C6"/>
    <w:rsid w:val="000B389C"/>
    <w:rsid w:val="000B4089"/>
    <w:rsid w:val="000B497F"/>
    <w:rsid w:val="000B4A72"/>
    <w:rsid w:val="000B4B93"/>
    <w:rsid w:val="000B5105"/>
    <w:rsid w:val="000B7CAD"/>
    <w:rsid w:val="000C0C13"/>
    <w:rsid w:val="000C363E"/>
    <w:rsid w:val="000C403A"/>
    <w:rsid w:val="000C58E5"/>
    <w:rsid w:val="000C5A70"/>
    <w:rsid w:val="000C6B77"/>
    <w:rsid w:val="000C6E40"/>
    <w:rsid w:val="000C70D4"/>
    <w:rsid w:val="000C7FB7"/>
    <w:rsid w:val="000C7FD8"/>
    <w:rsid w:val="000D0B56"/>
    <w:rsid w:val="000D0C57"/>
    <w:rsid w:val="000D178A"/>
    <w:rsid w:val="000D20A0"/>
    <w:rsid w:val="000D2147"/>
    <w:rsid w:val="000D2D32"/>
    <w:rsid w:val="000D2F7C"/>
    <w:rsid w:val="000D4999"/>
    <w:rsid w:val="000D6A41"/>
    <w:rsid w:val="000D70E6"/>
    <w:rsid w:val="000E0E4B"/>
    <w:rsid w:val="000E1421"/>
    <w:rsid w:val="000E1920"/>
    <w:rsid w:val="000E2226"/>
    <w:rsid w:val="000E2331"/>
    <w:rsid w:val="000E2EBA"/>
    <w:rsid w:val="000E4089"/>
    <w:rsid w:val="000E43B0"/>
    <w:rsid w:val="000E584F"/>
    <w:rsid w:val="000E6865"/>
    <w:rsid w:val="000E6A41"/>
    <w:rsid w:val="000F07D8"/>
    <w:rsid w:val="000F123F"/>
    <w:rsid w:val="000F1C96"/>
    <w:rsid w:val="000F2283"/>
    <w:rsid w:val="000F2B52"/>
    <w:rsid w:val="000F4488"/>
    <w:rsid w:val="000F48E4"/>
    <w:rsid w:val="000F5B3C"/>
    <w:rsid w:val="000F6075"/>
    <w:rsid w:val="000F6935"/>
    <w:rsid w:val="000F77F4"/>
    <w:rsid w:val="001006D7"/>
    <w:rsid w:val="00100FAB"/>
    <w:rsid w:val="00101D8C"/>
    <w:rsid w:val="001023D9"/>
    <w:rsid w:val="00102C09"/>
    <w:rsid w:val="00105EEF"/>
    <w:rsid w:val="00107862"/>
    <w:rsid w:val="0010799C"/>
    <w:rsid w:val="00107FFA"/>
    <w:rsid w:val="001109E8"/>
    <w:rsid w:val="0011217E"/>
    <w:rsid w:val="00112E8F"/>
    <w:rsid w:val="00113868"/>
    <w:rsid w:val="00113C86"/>
    <w:rsid w:val="001144B3"/>
    <w:rsid w:val="00115C11"/>
    <w:rsid w:val="00116F70"/>
    <w:rsid w:val="00120792"/>
    <w:rsid w:val="00122AFD"/>
    <w:rsid w:val="001235E7"/>
    <w:rsid w:val="00124A01"/>
    <w:rsid w:val="00124B60"/>
    <w:rsid w:val="001252DE"/>
    <w:rsid w:val="00125C92"/>
    <w:rsid w:val="001268BC"/>
    <w:rsid w:val="001271C8"/>
    <w:rsid w:val="0012750D"/>
    <w:rsid w:val="00127DA8"/>
    <w:rsid w:val="00127DE3"/>
    <w:rsid w:val="00130000"/>
    <w:rsid w:val="001302C6"/>
    <w:rsid w:val="00130616"/>
    <w:rsid w:val="00130741"/>
    <w:rsid w:val="001309CA"/>
    <w:rsid w:val="001336B2"/>
    <w:rsid w:val="00134B00"/>
    <w:rsid w:val="001352EC"/>
    <w:rsid w:val="0013580D"/>
    <w:rsid w:val="0013722E"/>
    <w:rsid w:val="00137B1E"/>
    <w:rsid w:val="00137FAB"/>
    <w:rsid w:val="00140391"/>
    <w:rsid w:val="00140A4B"/>
    <w:rsid w:val="00141DAD"/>
    <w:rsid w:val="00142753"/>
    <w:rsid w:val="0014321A"/>
    <w:rsid w:val="00143805"/>
    <w:rsid w:val="00143C79"/>
    <w:rsid w:val="0014550F"/>
    <w:rsid w:val="00147909"/>
    <w:rsid w:val="00150A4B"/>
    <w:rsid w:val="0015116D"/>
    <w:rsid w:val="00151B60"/>
    <w:rsid w:val="00152324"/>
    <w:rsid w:val="00152E32"/>
    <w:rsid w:val="00153034"/>
    <w:rsid w:val="00153DB3"/>
    <w:rsid w:val="001541BD"/>
    <w:rsid w:val="00154E0D"/>
    <w:rsid w:val="001550E9"/>
    <w:rsid w:val="0015532A"/>
    <w:rsid w:val="001558D3"/>
    <w:rsid w:val="00156517"/>
    <w:rsid w:val="0015679F"/>
    <w:rsid w:val="001600E9"/>
    <w:rsid w:val="00160520"/>
    <w:rsid w:val="00160FEC"/>
    <w:rsid w:val="001610E5"/>
    <w:rsid w:val="00161BC8"/>
    <w:rsid w:val="00163916"/>
    <w:rsid w:val="00164217"/>
    <w:rsid w:val="001661CA"/>
    <w:rsid w:val="001667D5"/>
    <w:rsid w:val="00167E26"/>
    <w:rsid w:val="00170128"/>
    <w:rsid w:val="00170313"/>
    <w:rsid w:val="001714F3"/>
    <w:rsid w:val="001760FA"/>
    <w:rsid w:val="0017683E"/>
    <w:rsid w:val="00176C0C"/>
    <w:rsid w:val="001778C5"/>
    <w:rsid w:val="001802AC"/>
    <w:rsid w:val="0018042B"/>
    <w:rsid w:val="00180D7E"/>
    <w:rsid w:val="00180EAC"/>
    <w:rsid w:val="00181569"/>
    <w:rsid w:val="0018158B"/>
    <w:rsid w:val="00181C84"/>
    <w:rsid w:val="0018244E"/>
    <w:rsid w:val="001847CD"/>
    <w:rsid w:val="00186E87"/>
    <w:rsid w:val="00187431"/>
    <w:rsid w:val="00187872"/>
    <w:rsid w:val="00187F05"/>
    <w:rsid w:val="001900C3"/>
    <w:rsid w:val="0019150F"/>
    <w:rsid w:val="00193216"/>
    <w:rsid w:val="00193EFE"/>
    <w:rsid w:val="00194A6D"/>
    <w:rsid w:val="00195403"/>
    <w:rsid w:val="001956C1"/>
    <w:rsid w:val="001957BF"/>
    <w:rsid w:val="00195B57"/>
    <w:rsid w:val="00197127"/>
    <w:rsid w:val="001974B4"/>
    <w:rsid w:val="001A0D77"/>
    <w:rsid w:val="001A196A"/>
    <w:rsid w:val="001A1D95"/>
    <w:rsid w:val="001A2412"/>
    <w:rsid w:val="001A2565"/>
    <w:rsid w:val="001A40D2"/>
    <w:rsid w:val="001A48A4"/>
    <w:rsid w:val="001A7162"/>
    <w:rsid w:val="001A7247"/>
    <w:rsid w:val="001A742D"/>
    <w:rsid w:val="001A7CE7"/>
    <w:rsid w:val="001B056B"/>
    <w:rsid w:val="001B1762"/>
    <w:rsid w:val="001B17AC"/>
    <w:rsid w:val="001B25B1"/>
    <w:rsid w:val="001B4C7A"/>
    <w:rsid w:val="001B5569"/>
    <w:rsid w:val="001B588D"/>
    <w:rsid w:val="001B5CB2"/>
    <w:rsid w:val="001B6029"/>
    <w:rsid w:val="001B6324"/>
    <w:rsid w:val="001B67B8"/>
    <w:rsid w:val="001B6BEE"/>
    <w:rsid w:val="001B7152"/>
    <w:rsid w:val="001B7681"/>
    <w:rsid w:val="001C0344"/>
    <w:rsid w:val="001C2A8C"/>
    <w:rsid w:val="001C36BB"/>
    <w:rsid w:val="001C3C19"/>
    <w:rsid w:val="001C3DBE"/>
    <w:rsid w:val="001C4216"/>
    <w:rsid w:val="001C5221"/>
    <w:rsid w:val="001C5A2F"/>
    <w:rsid w:val="001C72CE"/>
    <w:rsid w:val="001C76CD"/>
    <w:rsid w:val="001C77A0"/>
    <w:rsid w:val="001C7835"/>
    <w:rsid w:val="001C78DF"/>
    <w:rsid w:val="001D0823"/>
    <w:rsid w:val="001D1822"/>
    <w:rsid w:val="001D18C5"/>
    <w:rsid w:val="001D23EB"/>
    <w:rsid w:val="001D245F"/>
    <w:rsid w:val="001D2750"/>
    <w:rsid w:val="001D2A0C"/>
    <w:rsid w:val="001D3103"/>
    <w:rsid w:val="001D3C40"/>
    <w:rsid w:val="001D4050"/>
    <w:rsid w:val="001D437D"/>
    <w:rsid w:val="001D4611"/>
    <w:rsid w:val="001D487E"/>
    <w:rsid w:val="001D4CFB"/>
    <w:rsid w:val="001D6FB5"/>
    <w:rsid w:val="001D7ABC"/>
    <w:rsid w:val="001D7B5F"/>
    <w:rsid w:val="001D7C63"/>
    <w:rsid w:val="001D7D9B"/>
    <w:rsid w:val="001E0F25"/>
    <w:rsid w:val="001E108D"/>
    <w:rsid w:val="001E17A7"/>
    <w:rsid w:val="001E3E00"/>
    <w:rsid w:val="001E4859"/>
    <w:rsid w:val="001E4E4F"/>
    <w:rsid w:val="001E74FA"/>
    <w:rsid w:val="001E7862"/>
    <w:rsid w:val="001F13C1"/>
    <w:rsid w:val="001F177B"/>
    <w:rsid w:val="001F1E9A"/>
    <w:rsid w:val="001F39E0"/>
    <w:rsid w:val="001F4276"/>
    <w:rsid w:val="001F446D"/>
    <w:rsid w:val="001F5C5A"/>
    <w:rsid w:val="001F6B0A"/>
    <w:rsid w:val="001F6E1C"/>
    <w:rsid w:val="00200512"/>
    <w:rsid w:val="00201320"/>
    <w:rsid w:val="0020183F"/>
    <w:rsid w:val="0020204A"/>
    <w:rsid w:val="00202C78"/>
    <w:rsid w:val="002044E5"/>
    <w:rsid w:val="00204AFE"/>
    <w:rsid w:val="00204EC1"/>
    <w:rsid w:val="00205B8C"/>
    <w:rsid w:val="00206183"/>
    <w:rsid w:val="00206187"/>
    <w:rsid w:val="002073D8"/>
    <w:rsid w:val="002074F0"/>
    <w:rsid w:val="0020768C"/>
    <w:rsid w:val="00210105"/>
    <w:rsid w:val="002112EC"/>
    <w:rsid w:val="002118CC"/>
    <w:rsid w:val="00212094"/>
    <w:rsid w:val="002120DD"/>
    <w:rsid w:val="0021237A"/>
    <w:rsid w:val="00215068"/>
    <w:rsid w:val="002170B7"/>
    <w:rsid w:val="00217278"/>
    <w:rsid w:val="002172D2"/>
    <w:rsid w:val="00220944"/>
    <w:rsid w:val="00221078"/>
    <w:rsid w:val="00221800"/>
    <w:rsid w:val="00221AB7"/>
    <w:rsid w:val="00222C27"/>
    <w:rsid w:val="00222DFB"/>
    <w:rsid w:val="00222FA4"/>
    <w:rsid w:val="0022358E"/>
    <w:rsid w:val="0022401A"/>
    <w:rsid w:val="00227277"/>
    <w:rsid w:val="002273CE"/>
    <w:rsid w:val="00227497"/>
    <w:rsid w:val="00227712"/>
    <w:rsid w:val="0023055D"/>
    <w:rsid w:val="00231630"/>
    <w:rsid w:val="00231B73"/>
    <w:rsid w:val="00231B91"/>
    <w:rsid w:val="00231C28"/>
    <w:rsid w:val="0023275F"/>
    <w:rsid w:val="00233092"/>
    <w:rsid w:val="002338DA"/>
    <w:rsid w:val="00234FCE"/>
    <w:rsid w:val="00235BA8"/>
    <w:rsid w:val="002365EC"/>
    <w:rsid w:val="00242683"/>
    <w:rsid w:val="00243379"/>
    <w:rsid w:val="00243F15"/>
    <w:rsid w:val="00245255"/>
    <w:rsid w:val="00245732"/>
    <w:rsid w:val="002457DE"/>
    <w:rsid w:val="00245975"/>
    <w:rsid w:val="00246435"/>
    <w:rsid w:val="002464A8"/>
    <w:rsid w:val="00246BCF"/>
    <w:rsid w:val="0025026E"/>
    <w:rsid w:val="00250449"/>
    <w:rsid w:val="002504E6"/>
    <w:rsid w:val="00250B0F"/>
    <w:rsid w:val="00251245"/>
    <w:rsid w:val="00251CA2"/>
    <w:rsid w:val="0025266B"/>
    <w:rsid w:val="00252A5C"/>
    <w:rsid w:val="00255BC9"/>
    <w:rsid w:val="00256EB9"/>
    <w:rsid w:val="00256FCE"/>
    <w:rsid w:val="00257419"/>
    <w:rsid w:val="002601BB"/>
    <w:rsid w:val="00262BD7"/>
    <w:rsid w:val="00262D9E"/>
    <w:rsid w:val="002644C6"/>
    <w:rsid w:val="002647CC"/>
    <w:rsid w:val="00264E99"/>
    <w:rsid w:val="002658F1"/>
    <w:rsid w:val="00265918"/>
    <w:rsid w:val="00265C14"/>
    <w:rsid w:val="00267C41"/>
    <w:rsid w:val="00270834"/>
    <w:rsid w:val="00270974"/>
    <w:rsid w:val="0027099D"/>
    <w:rsid w:val="00270A0D"/>
    <w:rsid w:val="00271700"/>
    <w:rsid w:val="002736A5"/>
    <w:rsid w:val="00273922"/>
    <w:rsid w:val="00273E86"/>
    <w:rsid w:val="002749C9"/>
    <w:rsid w:val="00275272"/>
    <w:rsid w:val="00275358"/>
    <w:rsid w:val="0027572F"/>
    <w:rsid w:val="00275D81"/>
    <w:rsid w:val="0027607A"/>
    <w:rsid w:val="002762A2"/>
    <w:rsid w:val="00280DF9"/>
    <w:rsid w:val="00280F24"/>
    <w:rsid w:val="002814E6"/>
    <w:rsid w:val="00281544"/>
    <w:rsid w:val="00281A54"/>
    <w:rsid w:val="00282192"/>
    <w:rsid w:val="0028225D"/>
    <w:rsid w:val="00282AE5"/>
    <w:rsid w:val="00285016"/>
    <w:rsid w:val="00286AEF"/>
    <w:rsid w:val="00287114"/>
    <w:rsid w:val="00287439"/>
    <w:rsid w:val="002916A9"/>
    <w:rsid w:val="00292406"/>
    <w:rsid w:val="002936B4"/>
    <w:rsid w:val="00293AC2"/>
    <w:rsid w:val="0029415B"/>
    <w:rsid w:val="002951E6"/>
    <w:rsid w:val="00295330"/>
    <w:rsid w:val="002A117D"/>
    <w:rsid w:val="002A1718"/>
    <w:rsid w:val="002A1F5B"/>
    <w:rsid w:val="002A2A19"/>
    <w:rsid w:val="002A43C8"/>
    <w:rsid w:val="002A52EF"/>
    <w:rsid w:val="002A5F57"/>
    <w:rsid w:val="002A6E42"/>
    <w:rsid w:val="002A7F6E"/>
    <w:rsid w:val="002B0577"/>
    <w:rsid w:val="002B0839"/>
    <w:rsid w:val="002B0C64"/>
    <w:rsid w:val="002B1E83"/>
    <w:rsid w:val="002B214C"/>
    <w:rsid w:val="002B35C4"/>
    <w:rsid w:val="002B428A"/>
    <w:rsid w:val="002B4493"/>
    <w:rsid w:val="002B6626"/>
    <w:rsid w:val="002B690C"/>
    <w:rsid w:val="002B7B6C"/>
    <w:rsid w:val="002C14D8"/>
    <w:rsid w:val="002C2C51"/>
    <w:rsid w:val="002C3E8F"/>
    <w:rsid w:val="002C411C"/>
    <w:rsid w:val="002C466C"/>
    <w:rsid w:val="002C4D1C"/>
    <w:rsid w:val="002C565B"/>
    <w:rsid w:val="002C6615"/>
    <w:rsid w:val="002C6959"/>
    <w:rsid w:val="002C797E"/>
    <w:rsid w:val="002C7DD1"/>
    <w:rsid w:val="002D1234"/>
    <w:rsid w:val="002D131B"/>
    <w:rsid w:val="002D13E4"/>
    <w:rsid w:val="002D17AF"/>
    <w:rsid w:val="002D1931"/>
    <w:rsid w:val="002D2E40"/>
    <w:rsid w:val="002D4E78"/>
    <w:rsid w:val="002D50CB"/>
    <w:rsid w:val="002D70A5"/>
    <w:rsid w:val="002E078C"/>
    <w:rsid w:val="002E0FF6"/>
    <w:rsid w:val="002E1083"/>
    <w:rsid w:val="002E12D7"/>
    <w:rsid w:val="002E1DC8"/>
    <w:rsid w:val="002E3CDA"/>
    <w:rsid w:val="002E3F19"/>
    <w:rsid w:val="002E489D"/>
    <w:rsid w:val="002E4E36"/>
    <w:rsid w:val="002E51D2"/>
    <w:rsid w:val="002E5402"/>
    <w:rsid w:val="002E5882"/>
    <w:rsid w:val="002E601A"/>
    <w:rsid w:val="002E72DF"/>
    <w:rsid w:val="002E7A0E"/>
    <w:rsid w:val="002E7E38"/>
    <w:rsid w:val="002E7ECC"/>
    <w:rsid w:val="002E7EFA"/>
    <w:rsid w:val="002F0075"/>
    <w:rsid w:val="002F081A"/>
    <w:rsid w:val="002F24EB"/>
    <w:rsid w:val="002F3408"/>
    <w:rsid w:val="002F3AD0"/>
    <w:rsid w:val="002F60EA"/>
    <w:rsid w:val="002F6386"/>
    <w:rsid w:val="002F670B"/>
    <w:rsid w:val="002F7155"/>
    <w:rsid w:val="002F7C1B"/>
    <w:rsid w:val="003002CE"/>
    <w:rsid w:val="00301BD3"/>
    <w:rsid w:val="0030212D"/>
    <w:rsid w:val="00302E79"/>
    <w:rsid w:val="00303704"/>
    <w:rsid w:val="00304532"/>
    <w:rsid w:val="00305171"/>
    <w:rsid w:val="0030593D"/>
    <w:rsid w:val="003062B7"/>
    <w:rsid w:val="003063E6"/>
    <w:rsid w:val="00307A2D"/>
    <w:rsid w:val="00311874"/>
    <w:rsid w:val="00313EB9"/>
    <w:rsid w:val="00314597"/>
    <w:rsid w:val="003147A4"/>
    <w:rsid w:val="0031484D"/>
    <w:rsid w:val="003154EC"/>
    <w:rsid w:val="00315DBC"/>
    <w:rsid w:val="00316846"/>
    <w:rsid w:val="00317CC7"/>
    <w:rsid w:val="00320D90"/>
    <w:rsid w:val="003220FC"/>
    <w:rsid w:val="00322554"/>
    <w:rsid w:val="00322E12"/>
    <w:rsid w:val="00322E94"/>
    <w:rsid w:val="00323400"/>
    <w:rsid w:val="00323767"/>
    <w:rsid w:val="00326A36"/>
    <w:rsid w:val="00326A57"/>
    <w:rsid w:val="003275AF"/>
    <w:rsid w:val="00331AC0"/>
    <w:rsid w:val="00333EB7"/>
    <w:rsid w:val="00333F09"/>
    <w:rsid w:val="00335518"/>
    <w:rsid w:val="00335660"/>
    <w:rsid w:val="00335C43"/>
    <w:rsid w:val="00336ECB"/>
    <w:rsid w:val="0033733D"/>
    <w:rsid w:val="003377BA"/>
    <w:rsid w:val="00341277"/>
    <w:rsid w:val="00343805"/>
    <w:rsid w:val="00343A78"/>
    <w:rsid w:val="003444EE"/>
    <w:rsid w:val="00344CA7"/>
    <w:rsid w:val="00345921"/>
    <w:rsid w:val="00345A79"/>
    <w:rsid w:val="00345D4B"/>
    <w:rsid w:val="00346694"/>
    <w:rsid w:val="0034680A"/>
    <w:rsid w:val="00346831"/>
    <w:rsid w:val="00346B14"/>
    <w:rsid w:val="003470D8"/>
    <w:rsid w:val="00347B45"/>
    <w:rsid w:val="00351000"/>
    <w:rsid w:val="00351C02"/>
    <w:rsid w:val="00351F73"/>
    <w:rsid w:val="0035261B"/>
    <w:rsid w:val="003527FA"/>
    <w:rsid w:val="00353C4C"/>
    <w:rsid w:val="00354696"/>
    <w:rsid w:val="00354CAA"/>
    <w:rsid w:val="0035519A"/>
    <w:rsid w:val="00356225"/>
    <w:rsid w:val="0035654A"/>
    <w:rsid w:val="00356C5F"/>
    <w:rsid w:val="0036059A"/>
    <w:rsid w:val="0036326C"/>
    <w:rsid w:val="00363FF8"/>
    <w:rsid w:val="003640E1"/>
    <w:rsid w:val="003656ED"/>
    <w:rsid w:val="0036656A"/>
    <w:rsid w:val="003670D3"/>
    <w:rsid w:val="00370053"/>
    <w:rsid w:val="003701AB"/>
    <w:rsid w:val="003736C7"/>
    <w:rsid w:val="003742C8"/>
    <w:rsid w:val="00374838"/>
    <w:rsid w:val="00374857"/>
    <w:rsid w:val="00374E62"/>
    <w:rsid w:val="00375124"/>
    <w:rsid w:val="00375DB9"/>
    <w:rsid w:val="00376491"/>
    <w:rsid w:val="00376A72"/>
    <w:rsid w:val="0037721D"/>
    <w:rsid w:val="0038102A"/>
    <w:rsid w:val="003833B4"/>
    <w:rsid w:val="00383A39"/>
    <w:rsid w:val="00383EE5"/>
    <w:rsid w:val="003841D9"/>
    <w:rsid w:val="00384C87"/>
    <w:rsid w:val="00386C1F"/>
    <w:rsid w:val="00386EE9"/>
    <w:rsid w:val="003870CD"/>
    <w:rsid w:val="00387508"/>
    <w:rsid w:val="00387A85"/>
    <w:rsid w:val="00390B74"/>
    <w:rsid w:val="003924BD"/>
    <w:rsid w:val="00393000"/>
    <w:rsid w:val="00393625"/>
    <w:rsid w:val="0039379B"/>
    <w:rsid w:val="003940E9"/>
    <w:rsid w:val="00397609"/>
    <w:rsid w:val="0039760C"/>
    <w:rsid w:val="003977AC"/>
    <w:rsid w:val="00397C9B"/>
    <w:rsid w:val="00397D43"/>
    <w:rsid w:val="003A07C0"/>
    <w:rsid w:val="003A0C0D"/>
    <w:rsid w:val="003A23F4"/>
    <w:rsid w:val="003A24CD"/>
    <w:rsid w:val="003A54D1"/>
    <w:rsid w:val="003A6991"/>
    <w:rsid w:val="003A6AE0"/>
    <w:rsid w:val="003A6EDB"/>
    <w:rsid w:val="003A743E"/>
    <w:rsid w:val="003A7ADE"/>
    <w:rsid w:val="003A7EB5"/>
    <w:rsid w:val="003B0032"/>
    <w:rsid w:val="003B07D1"/>
    <w:rsid w:val="003B111F"/>
    <w:rsid w:val="003B1BA6"/>
    <w:rsid w:val="003B1FB9"/>
    <w:rsid w:val="003B2A34"/>
    <w:rsid w:val="003B3D9F"/>
    <w:rsid w:val="003B52B3"/>
    <w:rsid w:val="003B5438"/>
    <w:rsid w:val="003B6947"/>
    <w:rsid w:val="003B6E2C"/>
    <w:rsid w:val="003B73CC"/>
    <w:rsid w:val="003B7A0F"/>
    <w:rsid w:val="003B7DB1"/>
    <w:rsid w:val="003C01D4"/>
    <w:rsid w:val="003C17D4"/>
    <w:rsid w:val="003C2CC3"/>
    <w:rsid w:val="003C2E0C"/>
    <w:rsid w:val="003C2F5B"/>
    <w:rsid w:val="003C337D"/>
    <w:rsid w:val="003C37B4"/>
    <w:rsid w:val="003C5CAA"/>
    <w:rsid w:val="003C63AB"/>
    <w:rsid w:val="003C69BF"/>
    <w:rsid w:val="003C6C4D"/>
    <w:rsid w:val="003D09EE"/>
    <w:rsid w:val="003D23A3"/>
    <w:rsid w:val="003D275B"/>
    <w:rsid w:val="003D312C"/>
    <w:rsid w:val="003D335C"/>
    <w:rsid w:val="003D4E18"/>
    <w:rsid w:val="003D5856"/>
    <w:rsid w:val="003D5CDC"/>
    <w:rsid w:val="003E10D5"/>
    <w:rsid w:val="003E1360"/>
    <w:rsid w:val="003E2313"/>
    <w:rsid w:val="003E2E3C"/>
    <w:rsid w:val="003E4799"/>
    <w:rsid w:val="003E5763"/>
    <w:rsid w:val="003E5B24"/>
    <w:rsid w:val="003E6055"/>
    <w:rsid w:val="003E6F29"/>
    <w:rsid w:val="003F05DD"/>
    <w:rsid w:val="003F1A11"/>
    <w:rsid w:val="003F2CFE"/>
    <w:rsid w:val="003F3110"/>
    <w:rsid w:val="003F3ACE"/>
    <w:rsid w:val="003F47AA"/>
    <w:rsid w:val="003F59D6"/>
    <w:rsid w:val="003F63A4"/>
    <w:rsid w:val="003F6D9D"/>
    <w:rsid w:val="003F6F1A"/>
    <w:rsid w:val="003F6F69"/>
    <w:rsid w:val="003F705F"/>
    <w:rsid w:val="003F7202"/>
    <w:rsid w:val="0040060F"/>
    <w:rsid w:val="0040166C"/>
    <w:rsid w:val="00401885"/>
    <w:rsid w:val="004027D4"/>
    <w:rsid w:val="004028C2"/>
    <w:rsid w:val="00403599"/>
    <w:rsid w:val="004045E4"/>
    <w:rsid w:val="00404E4F"/>
    <w:rsid w:val="0040548F"/>
    <w:rsid w:val="004064F7"/>
    <w:rsid w:val="00406B06"/>
    <w:rsid w:val="00411A86"/>
    <w:rsid w:val="00412BB2"/>
    <w:rsid w:val="00412CD0"/>
    <w:rsid w:val="00414125"/>
    <w:rsid w:val="004143F0"/>
    <w:rsid w:val="0041552F"/>
    <w:rsid w:val="00416183"/>
    <w:rsid w:val="00420136"/>
    <w:rsid w:val="00420F0E"/>
    <w:rsid w:val="00421937"/>
    <w:rsid w:val="004224A4"/>
    <w:rsid w:val="0042339A"/>
    <w:rsid w:val="00423B15"/>
    <w:rsid w:val="0042467D"/>
    <w:rsid w:val="00424CB8"/>
    <w:rsid w:val="0042508F"/>
    <w:rsid w:val="00425118"/>
    <w:rsid w:val="0042524F"/>
    <w:rsid w:val="004257D3"/>
    <w:rsid w:val="00426476"/>
    <w:rsid w:val="00426E21"/>
    <w:rsid w:val="0042727D"/>
    <w:rsid w:val="004275C6"/>
    <w:rsid w:val="00430BED"/>
    <w:rsid w:val="004316BF"/>
    <w:rsid w:val="00431C02"/>
    <w:rsid w:val="00431DAC"/>
    <w:rsid w:val="00431EB4"/>
    <w:rsid w:val="00432038"/>
    <w:rsid w:val="00432547"/>
    <w:rsid w:val="004330A5"/>
    <w:rsid w:val="0043326D"/>
    <w:rsid w:val="00433C75"/>
    <w:rsid w:val="0043449E"/>
    <w:rsid w:val="004346F1"/>
    <w:rsid w:val="00436027"/>
    <w:rsid w:val="00436183"/>
    <w:rsid w:val="00436385"/>
    <w:rsid w:val="00436848"/>
    <w:rsid w:val="00436A0B"/>
    <w:rsid w:val="00436E76"/>
    <w:rsid w:val="0043700E"/>
    <w:rsid w:val="004371FE"/>
    <w:rsid w:val="004379C2"/>
    <w:rsid w:val="00437B17"/>
    <w:rsid w:val="00437EB3"/>
    <w:rsid w:val="004400E8"/>
    <w:rsid w:val="00440249"/>
    <w:rsid w:val="00441173"/>
    <w:rsid w:val="00441846"/>
    <w:rsid w:val="00441BF3"/>
    <w:rsid w:val="00442A01"/>
    <w:rsid w:val="00443745"/>
    <w:rsid w:val="00443D97"/>
    <w:rsid w:val="004448B3"/>
    <w:rsid w:val="004469D2"/>
    <w:rsid w:val="00446F4B"/>
    <w:rsid w:val="00447ED4"/>
    <w:rsid w:val="00450505"/>
    <w:rsid w:val="00450C80"/>
    <w:rsid w:val="00451CAF"/>
    <w:rsid w:val="00452354"/>
    <w:rsid w:val="00452548"/>
    <w:rsid w:val="004532E6"/>
    <w:rsid w:val="00453E42"/>
    <w:rsid w:val="004544D6"/>
    <w:rsid w:val="004548C9"/>
    <w:rsid w:val="00454989"/>
    <w:rsid w:val="00455B69"/>
    <w:rsid w:val="004561F1"/>
    <w:rsid w:val="00457552"/>
    <w:rsid w:val="004600E5"/>
    <w:rsid w:val="004610DC"/>
    <w:rsid w:val="00461515"/>
    <w:rsid w:val="00461816"/>
    <w:rsid w:val="00461843"/>
    <w:rsid w:val="00461CE9"/>
    <w:rsid w:val="004620A0"/>
    <w:rsid w:val="00462407"/>
    <w:rsid w:val="00462FE9"/>
    <w:rsid w:val="004631DD"/>
    <w:rsid w:val="004635FD"/>
    <w:rsid w:val="00463C60"/>
    <w:rsid w:val="00463CFD"/>
    <w:rsid w:val="00465CF1"/>
    <w:rsid w:val="0046771B"/>
    <w:rsid w:val="004677B2"/>
    <w:rsid w:val="00470129"/>
    <w:rsid w:val="004703FE"/>
    <w:rsid w:val="00471478"/>
    <w:rsid w:val="004728A0"/>
    <w:rsid w:val="0047291B"/>
    <w:rsid w:val="0047426C"/>
    <w:rsid w:val="004742DD"/>
    <w:rsid w:val="004744F8"/>
    <w:rsid w:val="00474626"/>
    <w:rsid w:val="00475231"/>
    <w:rsid w:val="0047544C"/>
    <w:rsid w:val="00475848"/>
    <w:rsid w:val="004766BC"/>
    <w:rsid w:val="00477830"/>
    <w:rsid w:val="00482160"/>
    <w:rsid w:val="004824E2"/>
    <w:rsid w:val="0048296E"/>
    <w:rsid w:val="00484AF2"/>
    <w:rsid w:val="00484E96"/>
    <w:rsid w:val="00485790"/>
    <w:rsid w:val="00490606"/>
    <w:rsid w:val="00490858"/>
    <w:rsid w:val="00491BC3"/>
    <w:rsid w:val="00492E7A"/>
    <w:rsid w:val="0049403B"/>
    <w:rsid w:val="004951D4"/>
    <w:rsid w:val="00496700"/>
    <w:rsid w:val="004978C6"/>
    <w:rsid w:val="004A1300"/>
    <w:rsid w:val="004A1D86"/>
    <w:rsid w:val="004A1F9A"/>
    <w:rsid w:val="004A2E44"/>
    <w:rsid w:val="004A2FB8"/>
    <w:rsid w:val="004A381D"/>
    <w:rsid w:val="004A5586"/>
    <w:rsid w:val="004A67E1"/>
    <w:rsid w:val="004A7E8B"/>
    <w:rsid w:val="004A7EB5"/>
    <w:rsid w:val="004B0CEA"/>
    <w:rsid w:val="004B1531"/>
    <w:rsid w:val="004B2271"/>
    <w:rsid w:val="004B2627"/>
    <w:rsid w:val="004B3544"/>
    <w:rsid w:val="004B3BB2"/>
    <w:rsid w:val="004B5CAC"/>
    <w:rsid w:val="004B609E"/>
    <w:rsid w:val="004B630D"/>
    <w:rsid w:val="004B7E14"/>
    <w:rsid w:val="004C0672"/>
    <w:rsid w:val="004C101C"/>
    <w:rsid w:val="004C34D2"/>
    <w:rsid w:val="004C3A5D"/>
    <w:rsid w:val="004C4823"/>
    <w:rsid w:val="004C5218"/>
    <w:rsid w:val="004C6754"/>
    <w:rsid w:val="004C72AB"/>
    <w:rsid w:val="004D0F05"/>
    <w:rsid w:val="004D0F75"/>
    <w:rsid w:val="004D31FA"/>
    <w:rsid w:val="004D3826"/>
    <w:rsid w:val="004D40E2"/>
    <w:rsid w:val="004D4B11"/>
    <w:rsid w:val="004D51B2"/>
    <w:rsid w:val="004D797B"/>
    <w:rsid w:val="004D7B1D"/>
    <w:rsid w:val="004E0247"/>
    <w:rsid w:val="004E0E9B"/>
    <w:rsid w:val="004E1233"/>
    <w:rsid w:val="004E1363"/>
    <w:rsid w:val="004E153E"/>
    <w:rsid w:val="004E21F0"/>
    <w:rsid w:val="004E2303"/>
    <w:rsid w:val="004E28C6"/>
    <w:rsid w:val="004E306E"/>
    <w:rsid w:val="004E3FAB"/>
    <w:rsid w:val="004E65B4"/>
    <w:rsid w:val="004E6DE1"/>
    <w:rsid w:val="004E7E9E"/>
    <w:rsid w:val="004F0BB1"/>
    <w:rsid w:val="004F0FFA"/>
    <w:rsid w:val="004F10E0"/>
    <w:rsid w:val="004F138F"/>
    <w:rsid w:val="004F2D0A"/>
    <w:rsid w:val="004F2E91"/>
    <w:rsid w:val="004F2FD2"/>
    <w:rsid w:val="004F3008"/>
    <w:rsid w:val="004F32AF"/>
    <w:rsid w:val="004F33DB"/>
    <w:rsid w:val="004F3E0D"/>
    <w:rsid w:val="004F420C"/>
    <w:rsid w:val="004F45E4"/>
    <w:rsid w:val="004F5026"/>
    <w:rsid w:val="004F5BC5"/>
    <w:rsid w:val="004F5CF3"/>
    <w:rsid w:val="004F644B"/>
    <w:rsid w:val="004F7BE2"/>
    <w:rsid w:val="004F7C03"/>
    <w:rsid w:val="00500123"/>
    <w:rsid w:val="005007C4"/>
    <w:rsid w:val="00501CD5"/>
    <w:rsid w:val="005040EB"/>
    <w:rsid w:val="00504352"/>
    <w:rsid w:val="0050670B"/>
    <w:rsid w:val="0051134D"/>
    <w:rsid w:val="00511B29"/>
    <w:rsid w:val="00512325"/>
    <w:rsid w:val="005124ED"/>
    <w:rsid w:val="00512938"/>
    <w:rsid w:val="005141E8"/>
    <w:rsid w:val="00514F0B"/>
    <w:rsid w:val="0051554D"/>
    <w:rsid w:val="00515EC0"/>
    <w:rsid w:val="00516A89"/>
    <w:rsid w:val="00517257"/>
    <w:rsid w:val="00517CAC"/>
    <w:rsid w:val="00520515"/>
    <w:rsid w:val="005206DD"/>
    <w:rsid w:val="00520806"/>
    <w:rsid w:val="00520AB5"/>
    <w:rsid w:val="00522385"/>
    <w:rsid w:val="005223F8"/>
    <w:rsid w:val="0052298F"/>
    <w:rsid w:val="00527A18"/>
    <w:rsid w:val="00530490"/>
    <w:rsid w:val="00535CE0"/>
    <w:rsid w:val="005360DD"/>
    <w:rsid w:val="00537FC5"/>
    <w:rsid w:val="005403F4"/>
    <w:rsid w:val="00540B70"/>
    <w:rsid w:val="00540C23"/>
    <w:rsid w:val="005411FD"/>
    <w:rsid w:val="005413BA"/>
    <w:rsid w:val="00542940"/>
    <w:rsid w:val="00542B6C"/>
    <w:rsid w:val="00543DFB"/>
    <w:rsid w:val="00544363"/>
    <w:rsid w:val="00545597"/>
    <w:rsid w:val="00545B04"/>
    <w:rsid w:val="00545F27"/>
    <w:rsid w:val="00546E56"/>
    <w:rsid w:val="00547491"/>
    <w:rsid w:val="00550C99"/>
    <w:rsid w:val="00552937"/>
    <w:rsid w:val="00552967"/>
    <w:rsid w:val="0055309B"/>
    <w:rsid w:val="00553221"/>
    <w:rsid w:val="00553413"/>
    <w:rsid w:val="00554900"/>
    <w:rsid w:val="00555AB2"/>
    <w:rsid w:val="0055656C"/>
    <w:rsid w:val="005576D4"/>
    <w:rsid w:val="00557EF2"/>
    <w:rsid w:val="00561129"/>
    <w:rsid w:val="00562348"/>
    <w:rsid w:val="00562410"/>
    <w:rsid w:val="0056785B"/>
    <w:rsid w:val="0057026E"/>
    <w:rsid w:val="005711F9"/>
    <w:rsid w:val="00571371"/>
    <w:rsid w:val="005713E7"/>
    <w:rsid w:val="005718CC"/>
    <w:rsid w:val="00571C54"/>
    <w:rsid w:val="00572815"/>
    <w:rsid w:val="00574375"/>
    <w:rsid w:val="00575224"/>
    <w:rsid w:val="005753AB"/>
    <w:rsid w:val="005754AB"/>
    <w:rsid w:val="0057561A"/>
    <w:rsid w:val="0057603A"/>
    <w:rsid w:val="005760AF"/>
    <w:rsid w:val="00577043"/>
    <w:rsid w:val="00577A81"/>
    <w:rsid w:val="00581152"/>
    <w:rsid w:val="005818B2"/>
    <w:rsid w:val="00581A21"/>
    <w:rsid w:val="00581E55"/>
    <w:rsid w:val="005826F4"/>
    <w:rsid w:val="00582749"/>
    <w:rsid w:val="00582EFE"/>
    <w:rsid w:val="0058369E"/>
    <w:rsid w:val="0058423C"/>
    <w:rsid w:val="005842A1"/>
    <w:rsid w:val="00585395"/>
    <w:rsid w:val="0058562F"/>
    <w:rsid w:val="0058603D"/>
    <w:rsid w:val="00586B15"/>
    <w:rsid w:val="00586B44"/>
    <w:rsid w:val="00586DE2"/>
    <w:rsid w:val="00587907"/>
    <w:rsid w:val="00587A6C"/>
    <w:rsid w:val="00587BB5"/>
    <w:rsid w:val="0059029C"/>
    <w:rsid w:val="00590490"/>
    <w:rsid w:val="005908BF"/>
    <w:rsid w:val="00590A44"/>
    <w:rsid w:val="00590D09"/>
    <w:rsid w:val="0059156A"/>
    <w:rsid w:val="00591DFE"/>
    <w:rsid w:val="00593314"/>
    <w:rsid w:val="0059368E"/>
    <w:rsid w:val="00593BF5"/>
    <w:rsid w:val="00594496"/>
    <w:rsid w:val="00595693"/>
    <w:rsid w:val="005956D3"/>
    <w:rsid w:val="00595F32"/>
    <w:rsid w:val="00596365"/>
    <w:rsid w:val="005965BC"/>
    <w:rsid w:val="00596C78"/>
    <w:rsid w:val="005A07F6"/>
    <w:rsid w:val="005A2BE0"/>
    <w:rsid w:val="005A3AAA"/>
    <w:rsid w:val="005A4C50"/>
    <w:rsid w:val="005A549D"/>
    <w:rsid w:val="005A5C80"/>
    <w:rsid w:val="005A5EC6"/>
    <w:rsid w:val="005A7AB4"/>
    <w:rsid w:val="005A7E78"/>
    <w:rsid w:val="005B03ED"/>
    <w:rsid w:val="005B06E0"/>
    <w:rsid w:val="005B0B56"/>
    <w:rsid w:val="005B1320"/>
    <w:rsid w:val="005B152D"/>
    <w:rsid w:val="005B1776"/>
    <w:rsid w:val="005B1BA3"/>
    <w:rsid w:val="005B2AF6"/>
    <w:rsid w:val="005B2C92"/>
    <w:rsid w:val="005B32FB"/>
    <w:rsid w:val="005B5B88"/>
    <w:rsid w:val="005B7348"/>
    <w:rsid w:val="005B761C"/>
    <w:rsid w:val="005B7FE4"/>
    <w:rsid w:val="005C05E0"/>
    <w:rsid w:val="005C196E"/>
    <w:rsid w:val="005C2E31"/>
    <w:rsid w:val="005C2FBF"/>
    <w:rsid w:val="005C37E0"/>
    <w:rsid w:val="005C5093"/>
    <w:rsid w:val="005C51DC"/>
    <w:rsid w:val="005C54B9"/>
    <w:rsid w:val="005C5692"/>
    <w:rsid w:val="005C5A1C"/>
    <w:rsid w:val="005C5A36"/>
    <w:rsid w:val="005C6618"/>
    <w:rsid w:val="005C7654"/>
    <w:rsid w:val="005C7994"/>
    <w:rsid w:val="005D0189"/>
    <w:rsid w:val="005D2DA3"/>
    <w:rsid w:val="005D43B7"/>
    <w:rsid w:val="005D44B4"/>
    <w:rsid w:val="005D49E6"/>
    <w:rsid w:val="005D7C1F"/>
    <w:rsid w:val="005E0913"/>
    <w:rsid w:val="005E0DCC"/>
    <w:rsid w:val="005E4470"/>
    <w:rsid w:val="005E55B1"/>
    <w:rsid w:val="005E5794"/>
    <w:rsid w:val="005E6ACC"/>
    <w:rsid w:val="005E6CBF"/>
    <w:rsid w:val="005F06CD"/>
    <w:rsid w:val="005F084C"/>
    <w:rsid w:val="005F20EE"/>
    <w:rsid w:val="005F3099"/>
    <w:rsid w:val="005F3B77"/>
    <w:rsid w:val="005F4242"/>
    <w:rsid w:val="005F5E29"/>
    <w:rsid w:val="005F777B"/>
    <w:rsid w:val="00600603"/>
    <w:rsid w:val="00600890"/>
    <w:rsid w:val="00600AE2"/>
    <w:rsid w:val="00601199"/>
    <w:rsid w:val="00602A4C"/>
    <w:rsid w:val="00602AD3"/>
    <w:rsid w:val="006038FF"/>
    <w:rsid w:val="00603FD5"/>
    <w:rsid w:val="006074BD"/>
    <w:rsid w:val="006078B5"/>
    <w:rsid w:val="006079A2"/>
    <w:rsid w:val="00607F03"/>
    <w:rsid w:val="00610627"/>
    <w:rsid w:val="00610F6C"/>
    <w:rsid w:val="00611E03"/>
    <w:rsid w:val="0061342E"/>
    <w:rsid w:val="00613BDD"/>
    <w:rsid w:val="00614BD8"/>
    <w:rsid w:val="006164D6"/>
    <w:rsid w:val="00616DC8"/>
    <w:rsid w:val="0061775B"/>
    <w:rsid w:val="006201C9"/>
    <w:rsid w:val="00620548"/>
    <w:rsid w:val="00620E13"/>
    <w:rsid w:val="00623CA6"/>
    <w:rsid w:val="00624631"/>
    <w:rsid w:val="00624B90"/>
    <w:rsid w:val="0062674E"/>
    <w:rsid w:val="00630E36"/>
    <w:rsid w:val="00630F02"/>
    <w:rsid w:val="00631917"/>
    <w:rsid w:val="00631A5E"/>
    <w:rsid w:val="00631FD6"/>
    <w:rsid w:val="00632038"/>
    <w:rsid w:val="00632ABF"/>
    <w:rsid w:val="00633A8C"/>
    <w:rsid w:val="00633BD8"/>
    <w:rsid w:val="006350B6"/>
    <w:rsid w:val="0063770A"/>
    <w:rsid w:val="006421ED"/>
    <w:rsid w:val="00642356"/>
    <w:rsid w:val="00643A75"/>
    <w:rsid w:val="0064425F"/>
    <w:rsid w:val="00644653"/>
    <w:rsid w:val="00646B21"/>
    <w:rsid w:val="00646DD1"/>
    <w:rsid w:val="00647099"/>
    <w:rsid w:val="006475BD"/>
    <w:rsid w:val="0065105A"/>
    <w:rsid w:val="00651285"/>
    <w:rsid w:val="00652790"/>
    <w:rsid w:val="006527FF"/>
    <w:rsid w:val="00654492"/>
    <w:rsid w:val="00656A8A"/>
    <w:rsid w:val="00657E7A"/>
    <w:rsid w:val="00660E87"/>
    <w:rsid w:val="00661F64"/>
    <w:rsid w:val="00662209"/>
    <w:rsid w:val="0066251B"/>
    <w:rsid w:val="00662C37"/>
    <w:rsid w:val="00662F89"/>
    <w:rsid w:val="0066510C"/>
    <w:rsid w:val="00665D8F"/>
    <w:rsid w:val="00665FA1"/>
    <w:rsid w:val="006702C2"/>
    <w:rsid w:val="006703B8"/>
    <w:rsid w:val="006721AA"/>
    <w:rsid w:val="006721C2"/>
    <w:rsid w:val="00673865"/>
    <w:rsid w:val="00673FA0"/>
    <w:rsid w:val="00675A85"/>
    <w:rsid w:val="00677223"/>
    <w:rsid w:val="00681434"/>
    <w:rsid w:val="00681DB5"/>
    <w:rsid w:val="00682A9F"/>
    <w:rsid w:val="006837B7"/>
    <w:rsid w:val="00683F61"/>
    <w:rsid w:val="00686250"/>
    <w:rsid w:val="00686AB8"/>
    <w:rsid w:val="0068724F"/>
    <w:rsid w:val="006876D3"/>
    <w:rsid w:val="006904A0"/>
    <w:rsid w:val="006920DF"/>
    <w:rsid w:val="00692C07"/>
    <w:rsid w:val="00697F9F"/>
    <w:rsid w:val="006A1DEF"/>
    <w:rsid w:val="006A26FF"/>
    <w:rsid w:val="006A3685"/>
    <w:rsid w:val="006A3A2E"/>
    <w:rsid w:val="006A4893"/>
    <w:rsid w:val="006A4F6C"/>
    <w:rsid w:val="006A7069"/>
    <w:rsid w:val="006A7737"/>
    <w:rsid w:val="006B0174"/>
    <w:rsid w:val="006B33BA"/>
    <w:rsid w:val="006B53BF"/>
    <w:rsid w:val="006C0A0E"/>
    <w:rsid w:val="006C36D5"/>
    <w:rsid w:val="006C4AF4"/>
    <w:rsid w:val="006C4C82"/>
    <w:rsid w:val="006C4D21"/>
    <w:rsid w:val="006C51BA"/>
    <w:rsid w:val="006C5A65"/>
    <w:rsid w:val="006C6BCC"/>
    <w:rsid w:val="006D0536"/>
    <w:rsid w:val="006D095B"/>
    <w:rsid w:val="006D0DD5"/>
    <w:rsid w:val="006D2470"/>
    <w:rsid w:val="006D299F"/>
    <w:rsid w:val="006D2C3E"/>
    <w:rsid w:val="006D3F2F"/>
    <w:rsid w:val="006D444C"/>
    <w:rsid w:val="006D4F09"/>
    <w:rsid w:val="006D5913"/>
    <w:rsid w:val="006D5F4F"/>
    <w:rsid w:val="006D684E"/>
    <w:rsid w:val="006D6EF5"/>
    <w:rsid w:val="006D7AD9"/>
    <w:rsid w:val="006D7D98"/>
    <w:rsid w:val="006D7EF6"/>
    <w:rsid w:val="006E0A97"/>
    <w:rsid w:val="006E1327"/>
    <w:rsid w:val="006E2F2D"/>
    <w:rsid w:val="006E3536"/>
    <w:rsid w:val="006E6224"/>
    <w:rsid w:val="006E7AD3"/>
    <w:rsid w:val="006E7D40"/>
    <w:rsid w:val="006F01FF"/>
    <w:rsid w:val="006F0DDB"/>
    <w:rsid w:val="006F0F98"/>
    <w:rsid w:val="006F161F"/>
    <w:rsid w:val="006F371B"/>
    <w:rsid w:val="006F3833"/>
    <w:rsid w:val="006F4C01"/>
    <w:rsid w:val="006F5386"/>
    <w:rsid w:val="006F6B8A"/>
    <w:rsid w:val="006F729C"/>
    <w:rsid w:val="006F7965"/>
    <w:rsid w:val="006F7A74"/>
    <w:rsid w:val="007001D3"/>
    <w:rsid w:val="00700BE9"/>
    <w:rsid w:val="00700E8F"/>
    <w:rsid w:val="00701100"/>
    <w:rsid w:val="007025E1"/>
    <w:rsid w:val="0070274B"/>
    <w:rsid w:val="00702DA6"/>
    <w:rsid w:val="00703341"/>
    <w:rsid w:val="00703500"/>
    <w:rsid w:val="00704372"/>
    <w:rsid w:val="007048A1"/>
    <w:rsid w:val="00705CB0"/>
    <w:rsid w:val="00706583"/>
    <w:rsid w:val="00707D9E"/>
    <w:rsid w:val="00707EB2"/>
    <w:rsid w:val="00707FC6"/>
    <w:rsid w:val="00712FB3"/>
    <w:rsid w:val="007138BF"/>
    <w:rsid w:val="0071431D"/>
    <w:rsid w:val="00714488"/>
    <w:rsid w:val="00714680"/>
    <w:rsid w:val="00714902"/>
    <w:rsid w:val="007158C6"/>
    <w:rsid w:val="00716763"/>
    <w:rsid w:val="00716D40"/>
    <w:rsid w:val="0071737F"/>
    <w:rsid w:val="00720507"/>
    <w:rsid w:val="0072074F"/>
    <w:rsid w:val="007207A2"/>
    <w:rsid w:val="00720CD8"/>
    <w:rsid w:val="007215EF"/>
    <w:rsid w:val="00721B9A"/>
    <w:rsid w:val="007238D8"/>
    <w:rsid w:val="00725E9E"/>
    <w:rsid w:val="00726295"/>
    <w:rsid w:val="00726C4B"/>
    <w:rsid w:val="007301C9"/>
    <w:rsid w:val="00730A15"/>
    <w:rsid w:val="007321AB"/>
    <w:rsid w:val="0073223A"/>
    <w:rsid w:val="0073273B"/>
    <w:rsid w:val="00733219"/>
    <w:rsid w:val="00733313"/>
    <w:rsid w:val="00733F34"/>
    <w:rsid w:val="00734386"/>
    <w:rsid w:val="007354F4"/>
    <w:rsid w:val="00736079"/>
    <w:rsid w:val="00736647"/>
    <w:rsid w:val="007373F6"/>
    <w:rsid w:val="007407F4"/>
    <w:rsid w:val="00740F47"/>
    <w:rsid w:val="007427AB"/>
    <w:rsid w:val="00742F0D"/>
    <w:rsid w:val="00743548"/>
    <w:rsid w:val="00744120"/>
    <w:rsid w:val="00744551"/>
    <w:rsid w:val="0074489F"/>
    <w:rsid w:val="00747FFD"/>
    <w:rsid w:val="00750E6C"/>
    <w:rsid w:val="00751F67"/>
    <w:rsid w:val="0075386F"/>
    <w:rsid w:val="00753F5C"/>
    <w:rsid w:val="00755F1D"/>
    <w:rsid w:val="0075696E"/>
    <w:rsid w:val="007570BE"/>
    <w:rsid w:val="00760304"/>
    <w:rsid w:val="00760E1B"/>
    <w:rsid w:val="00761E36"/>
    <w:rsid w:val="00762DF8"/>
    <w:rsid w:val="00762F69"/>
    <w:rsid w:val="007649BB"/>
    <w:rsid w:val="00764FE1"/>
    <w:rsid w:val="007654BF"/>
    <w:rsid w:val="007654C7"/>
    <w:rsid w:val="007663DA"/>
    <w:rsid w:val="00766415"/>
    <w:rsid w:val="007669DE"/>
    <w:rsid w:val="00767E71"/>
    <w:rsid w:val="00767EAE"/>
    <w:rsid w:val="00770C45"/>
    <w:rsid w:val="00770DB0"/>
    <w:rsid w:val="00771B63"/>
    <w:rsid w:val="00771FD8"/>
    <w:rsid w:val="00772758"/>
    <w:rsid w:val="00772EB3"/>
    <w:rsid w:val="00773546"/>
    <w:rsid w:val="00773B9F"/>
    <w:rsid w:val="00773DB1"/>
    <w:rsid w:val="00773FB8"/>
    <w:rsid w:val="00775165"/>
    <w:rsid w:val="007754C4"/>
    <w:rsid w:val="007766B3"/>
    <w:rsid w:val="00777F84"/>
    <w:rsid w:val="00780416"/>
    <w:rsid w:val="00781446"/>
    <w:rsid w:val="00781A8D"/>
    <w:rsid w:val="00782698"/>
    <w:rsid w:val="0078302E"/>
    <w:rsid w:val="00783E6E"/>
    <w:rsid w:val="0078503C"/>
    <w:rsid w:val="007851EA"/>
    <w:rsid w:val="0078533C"/>
    <w:rsid w:val="00786105"/>
    <w:rsid w:val="00786CCA"/>
    <w:rsid w:val="00791788"/>
    <w:rsid w:val="007919D7"/>
    <w:rsid w:val="007919F6"/>
    <w:rsid w:val="00792649"/>
    <w:rsid w:val="00793941"/>
    <w:rsid w:val="007970BC"/>
    <w:rsid w:val="007971B1"/>
    <w:rsid w:val="00797985"/>
    <w:rsid w:val="00797DFC"/>
    <w:rsid w:val="00797F92"/>
    <w:rsid w:val="00797FB4"/>
    <w:rsid w:val="007A0363"/>
    <w:rsid w:val="007A36AE"/>
    <w:rsid w:val="007A3CB6"/>
    <w:rsid w:val="007A4824"/>
    <w:rsid w:val="007A7CFB"/>
    <w:rsid w:val="007B2906"/>
    <w:rsid w:val="007B2A6B"/>
    <w:rsid w:val="007B2AAB"/>
    <w:rsid w:val="007B2B21"/>
    <w:rsid w:val="007B2C14"/>
    <w:rsid w:val="007B37AC"/>
    <w:rsid w:val="007B5150"/>
    <w:rsid w:val="007B5A4C"/>
    <w:rsid w:val="007B61A0"/>
    <w:rsid w:val="007B7ECB"/>
    <w:rsid w:val="007C06C7"/>
    <w:rsid w:val="007C084F"/>
    <w:rsid w:val="007C10A5"/>
    <w:rsid w:val="007C134C"/>
    <w:rsid w:val="007C22CC"/>
    <w:rsid w:val="007C2CE1"/>
    <w:rsid w:val="007C3067"/>
    <w:rsid w:val="007C3475"/>
    <w:rsid w:val="007C3A5F"/>
    <w:rsid w:val="007C4151"/>
    <w:rsid w:val="007C4403"/>
    <w:rsid w:val="007C462B"/>
    <w:rsid w:val="007C46CE"/>
    <w:rsid w:val="007C47EB"/>
    <w:rsid w:val="007C4AD8"/>
    <w:rsid w:val="007C4F99"/>
    <w:rsid w:val="007C5C95"/>
    <w:rsid w:val="007C6373"/>
    <w:rsid w:val="007C6A0A"/>
    <w:rsid w:val="007C7706"/>
    <w:rsid w:val="007C7746"/>
    <w:rsid w:val="007C7A9D"/>
    <w:rsid w:val="007D02AB"/>
    <w:rsid w:val="007D0483"/>
    <w:rsid w:val="007D0D37"/>
    <w:rsid w:val="007D13BE"/>
    <w:rsid w:val="007D1569"/>
    <w:rsid w:val="007D1B33"/>
    <w:rsid w:val="007D25EB"/>
    <w:rsid w:val="007D2AE8"/>
    <w:rsid w:val="007D39A8"/>
    <w:rsid w:val="007D3D5C"/>
    <w:rsid w:val="007D4A37"/>
    <w:rsid w:val="007D617D"/>
    <w:rsid w:val="007D62C0"/>
    <w:rsid w:val="007D647D"/>
    <w:rsid w:val="007E13CB"/>
    <w:rsid w:val="007E19C4"/>
    <w:rsid w:val="007E1A38"/>
    <w:rsid w:val="007E210D"/>
    <w:rsid w:val="007E3373"/>
    <w:rsid w:val="007E3876"/>
    <w:rsid w:val="007E4382"/>
    <w:rsid w:val="007E67AD"/>
    <w:rsid w:val="007E6AA9"/>
    <w:rsid w:val="007F00F4"/>
    <w:rsid w:val="007F026C"/>
    <w:rsid w:val="007F0574"/>
    <w:rsid w:val="007F07BF"/>
    <w:rsid w:val="007F1389"/>
    <w:rsid w:val="007F22E7"/>
    <w:rsid w:val="007F479D"/>
    <w:rsid w:val="007F623F"/>
    <w:rsid w:val="007F72CF"/>
    <w:rsid w:val="00800515"/>
    <w:rsid w:val="00801516"/>
    <w:rsid w:val="008017BC"/>
    <w:rsid w:val="00801BEF"/>
    <w:rsid w:val="0080207D"/>
    <w:rsid w:val="0080322B"/>
    <w:rsid w:val="0080339C"/>
    <w:rsid w:val="008034EB"/>
    <w:rsid w:val="008035C3"/>
    <w:rsid w:val="0080384E"/>
    <w:rsid w:val="00803AB6"/>
    <w:rsid w:val="00803F26"/>
    <w:rsid w:val="00804B8B"/>
    <w:rsid w:val="0080605D"/>
    <w:rsid w:val="00806C8D"/>
    <w:rsid w:val="00806F63"/>
    <w:rsid w:val="0080792E"/>
    <w:rsid w:val="00807BF5"/>
    <w:rsid w:val="00807F06"/>
    <w:rsid w:val="00811196"/>
    <w:rsid w:val="0081327A"/>
    <w:rsid w:val="008138F6"/>
    <w:rsid w:val="0081533C"/>
    <w:rsid w:val="00816131"/>
    <w:rsid w:val="008161D7"/>
    <w:rsid w:val="008161FE"/>
    <w:rsid w:val="008171E2"/>
    <w:rsid w:val="00817910"/>
    <w:rsid w:val="0082030D"/>
    <w:rsid w:val="008203DE"/>
    <w:rsid w:val="00820661"/>
    <w:rsid w:val="00820F55"/>
    <w:rsid w:val="00821FF4"/>
    <w:rsid w:val="0082437F"/>
    <w:rsid w:val="00824A2C"/>
    <w:rsid w:val="008258C7"/>
    <w:rsid w:val="00825EBD"/>
    <w:rsid w:val="00827D31"/>
    <w:rsid w:val="0083033B"/>
    <w:rsid w:val="00830CB5"/>
    <w:rsid w:val="0083274A"/>
    <w:rsid w:val="00832928"/>
    <w:rsid w:val="008347E7"/>
    <w:rsid w:val="00835E54"/>
    <w:rsid w:val="00836262"/>
    <w:rsid w:val="00836E3A"/>
    <w:rsid w:val="00837210"/>
    <w:rsid w:val="008409FC"/>
    <w:rsid w:val="00841EF8"/>
    <w:rsid w:val="0084238D"/>
    <w:rsid w:val="0084256B"/>
    <w:rsid w:val="00842872"/>
    <w:rsid w:val="0084324E"/>
    <w:rsid w:val="00846106"/>
    <w:rsid w:val="008466DF"/>
    <w:rsid w:val="008472B8"/>
    <w:rsid w:val="00847472"/>
    <w:rsid w:val="00850E91"/>
    <w:rsid w:val="00851A72"/>
    <w:rsid w:val="00851B07"/>
    <w:rsid w:val="008529A2"/>
    <w:rsid w:val="00852E93"/>
    <w:rsid w:val="00853C0E"/>
    <w:rsid w:val="0085439B"/>
    <w:rsid w:val="00854867"/>
    <w:rsid w:val="00854D95"/>
    <w:rsid w:val="00855A35"/>
    <w:rsid w:val="0085694D"/>
    <w:rsid w:val="00856961"/>
    <w:rsid w:val="00856BAD"/>
    <w:rsid w:val="00857137"/>
    <w:rsid w:val="00857544"/>
    <w:rsid w:val="008579B4"/>
    <w:rsid w:val="00857CEB"/>
    <w:rsid w:val="00860686"/>
    <w:rsid w:val="00860D7D"/>
    <w:rsid w:val="00860DBC"/>
    <w:rsid w:val="00860DCF"/>
    <w:rsid w:val="00861555"/>
    <w:rsid w:val="0086219C"/>
    <w:rsid w:val="0086247C"/>
    <w:rsid w:val="0086249F"/>
    <w:rsid w:val="00863FFE"/>
    <w:rsid w:val="00864D80"/>
    <w:rsid w:val="008656AD"/>
    <w:rsid w:val="0086689F"/>
    <w:rsid w:val="00866FD4"/>
    <w:rsid w:val="00867D2B"/>
    <w:rsid w:val="00871A6C"/>
    <w:rsid w:val="00872A15"/>
    <w:rsid w:val="00872A6F"/>
    <w:rsid w:val="00874DDF"/>
    <w:rsid w:val="00875910"/>
    <w:rsid w:val="00875CCB"/>
    <w:rsid w:val="00875E39"/>
    <w:rsid w:val="00875ED8"/>
    <w:rsid w:val="00876276"/>
    <w:rsid w:val="0087717B"/>
    <w:rsid w:val="008807B5"/>
    <w:rsid w:val="00880835"/>
    <w:rsid w:val="008815CC"/>
    <w:rsid w:val="0088164C"/>
    <w:rsid w:val="00881845"/>
    <w:rsid w:val="00881AC0"/>
    <w:rsid w:val="0088295A"/>
    <w:rsid w:val="008833F3"/>
    <w:rsid w:val="00883533"/>
    <w:rsid w:val="00885198"/>
    <w:rsid w:val="00886120"/>
    <w:rsid w:val="008906F7"/>
    <w:rsid w:val="00891918"/>
    <w:rsid w:val="00891F66"/>
    <w:rsid w:val="00892710"/>
    <w:rsid w:val="00893509"/>
    <w:rsid w:val="00893EF5"/>
    <w:rsid w:val="008953FD"/>
    <w:rsid w:val="00896AEC"/>
    <w:rsid w:val="00897793"/>
    <w:rsid w:val="008A09DF"/>
    <w:rsid w:val="008A1632"/>
    <w:rsid w:val="008A2AAA"/>
    <w:rsid w:val="008A3200"/>
    <w:rsid w:val="008A36DF"/>
    <w:rsid w:val="008A3ACC"/>
    <w:rsid w:val="008A5D90"/>
    <w:rsid w:val="008A5E37"/>
    <w:rsid w:val="008A6F83"/>
    <w:rsid w:val="008A727D"/>
    <w:rsid w:val="008B0466"/>
    <w:rsid w:val="008B05C3"/>
    <w:rsid w:val="008B07D9"/>
    <w:rsid w:val="008B08F4"/>
    <w:rsid w:val="008B0EBF"/>
    <w:rsid w:val="008B11B6"/>
    <w:rsid w:val="008B1CA4"/>
    <w:rsid w:val="008B20D7"/>
    <w:rsid w:val="008B2CA4"/>
    <w:rsid w:val="008B36BC"/>
    <w:rsid w:val="008B4873"/>
    <w:rsid w:val="008B4965"/>
    <w:rsid w:val="008B4A90"/>
    <w:rsid w:val="008B599F"/>
    <w:rsid w:val="008B5F49"/>
    <w:rsid w:val="008B6974"/>
    <w:rsid w:val="008B6B53"/>
    <w:rsid w:val="008B6B5E"/>
    <w:rsid w:val="008B6C1D"/>
    <w:rsid w:val="008B78B1"/>
    <w:rsid w:val="008C1380"/>
    <w:rsid w:val="008C1CCF"/>
    <w:rsid w:val="008C2BA6"/>
    <w:rsid w:val="008C2C9B"/>
    <w:rsid w:val="008C3D0C"/>
    <w:rsid w:val="008C57F6"/>
    <w:rsid w:val="008C5D31"/>
    <w:rsid w:val="008C6D38"/>
    <w:rsid w:val="008C7AE5"/>
    <w:rsid w:val="008D13DD"/>
    <w:rsid w:val="008D19B5"/>
    <w:rsid w:val="008D19FD"/>
    <w:rsid w:val="008D1ABD"/>
    <w:rsid w:val="008D1E11"/>
    <w:rsid w:val="008D2114"/>
    <w:rsid w:val="008D3A0D"/>
    <w:rsid w:val="008D5152"/>
    <w:rsid w:val="008D55C4"/>
    <w:rsid w:val="008D59E0"/>
    <w:rsid w:val="008D5D48"/>
    <w:rsid w:val="008D734A"/>
    <w:rsid w:val="008E035C"/>
    <w:rsid w:val="008E1EF0"/>
    <w:rsid w:val="008E20D8"/>
    <w:rsid w:val="008E25D6"/>
    <w:rsid w:val="008E4490"/>
    <w:rsid w:val="008E607F"/>
    <w:rsid w:val="008E7509"/>
    <w:rsid w:val="008E7BD4"/>
    <w:rsid w:val="008E7F89"/>
    <w:rsid w:val="008F0A95"/>
    <w:rsid w:val="008F0F10"/>
    <w:rsid w:val="008F19D1"/>
    <w:rsid w:val="008F2418"/>
    <w:rsid w:val="008F3BC0"/>
    <w:rsid w:val="008F438A"/>
    <w:rsid w:val="008F4D58"/>
    <w:rsid w:val="008F4E13"/>
    <w:rsid w:val="008F567D"/>
    <w:rsid w:val="008F6F1A"/>
    <w:rsid w:val="008F7897"/>
    <w:rsid w:val="008F79CC"/>
    <w:rsid w:val="008F7E2C"/>
    <w:rsid w:val="0090137A"/>
    <w:rsid w:val="00901951"/>
    <w:rsid w:val="0090197F"/>
    <w:rsid w:val="00903370"/>
    <w:rsid w:val="00904A9F"/>
    <w:rsid w:val="009065B6"/>
    <w:rsid w:val="00912D07"/>
    <w:rsid w:val="00912E6A"/>
    <w:rsid w:val="00913191"/>
    <w:rsid w:val="0091349A"/>
    <w:rsid w:val="009140E7"/>
    <w:rsid w:val="00914283"/>
    <w:rsid w:val="00914399"/>
    <w:rsid w:val="0091530C"/>
    <w:rsid w:val="009154F8"/>
    <w:rsid w:val="009158BF"/>
    <w:rsid w:val="00915F1F"/>
    <w:rsid w:val="0091652B"/>
    <w:rsid w:val="00917085"/>
    <w:rsid w:val="00917342"/>
    <w:rsid w:val="009207C8"/>
    <w:rsid w:val="009210F6"/>
    <w:rsid w:val="009217F2"/>
    <w:rsid w:val="00922BB3"/>
    <w:rsid w:val="00922E3B"/>
    <w:rsid w:val="00923406"/>
    <w:rsid w:val="009248D2"/>
    <w:rsid w:val="0093043A"/>
    <w:rsid w:val="00931338"/>
    <w:rsid w:val="00931E6B"/>
    <w:rsid w:val="00933222"/>
    <w:rsid w:val="009333ED"/>
    <w:rsid w:val="00933E08"/>
    <w:rsid w:val="00933F28"/>
    <w:rsid w:val="009342FC"/>
    <w:rsid w:val="009349A6"/>
    <w:rsid w:val="00936068"/>
    <w:rsid w:val="00936D71"/>
    <w:rsid w:val="00940B90"/>
    <w:rsid w:val="0094185C"/>
    <w:rsid w:val="009430F4"/>
    <w:rsid w:val="00943716"/>
    <w:rsid w:val="00943806"/>
    <w:rsid w:val="0094399E"/>
    <w:rsid w:val="00944982"/>
    <w:rsid w:val="009462C5"/>
    <w:rsid w:val="00946351"/>
    <w:rsid w:val="009517CC"/>
    <w:rsid w:val="009527FE"/>
    <w:rsid w:val="0095417E"/>
    <w:rsid w:val="0095485F"/>
    <w:rsid w:val="00954A33"/>
    <w:rsid w:val="009605B0"/>
    <w:rsid w:val="00960A47"/>
    <w:rsid w:val="009615D4"/>
    <w:rsid w:val="00962905"/>
    <w:rsid w:val="009632CF"/>
    <w:rsid w:val="00966014"/>
    <w:rsid w:val="00966AA1"/>
    <w:rsid w:val="00967694"/>
    <w:rsid w:val="00970559"/>
    <w:rsid w:val="00970A20"/>
    <w:rsid w:val="0097163D"/>
    <w:rsid w:val="009721F8"/>
    <w:rsid w:val="00972BCB"/>
    <w:rsid w:val="00974677"/>
    <w:rsid w:val="0097517F"/>
    <w:rsid w:val="00975506"/>
    <w:rsid w:val="00976023"/>
    <w:rsid w:val="009800EB"/>
    <w:rsid w:val="00980461"/>
    <w:rsid w:val="009812DF"/>
    <w:rsid w:val="00981851"/>
    <w:rsid w:val="009822F7"/>
    <w:rsid w:val="00984C23"/>
    <w:rsid w:val="009860AD"/>
    <w:rsid w:val="009864AF"/>
    <w:rsid w:val="00987141"/>
    <w:rsid w:val="00987610"/>
    <w:rsid w:val="009876AE"/>
    <w:rsid w:val="00987839"/>
    <w:rsid w:val="009901F4"/>
    <w:rsid w:val="00990B64"/>
    <w:rsid w:val="00990E23"/>
    <w:rsid w:val="00992E2C"/>
    <w:rsid w:val="009936CE"/>
    <w:rsid w:val="009960D9"/>
    <w:rsid w:val="0099663A"/>
    <w:rsid w:val="009968DB"/>
    <w:rsid w:val="009969C3"/>
    <w:rsid w:val="00996FF1"/>
    <w:rsid w:val="00997189"/>
    <w:rsid w:val="0099719E"/>
    <w:rsid w:val="00997C00"/>
    <w:rsid w:val="009A170C"/>
    <w:rsid w:val="009A1DE5"/>
    <w:rsid w:val="009A2ED0"/>
    <w:rsid w:val="009A2F17"/>
    <w:rsid w:val="009A2FAD"/>
    <w:rsid w:val="009A3C2B"/>
    <w:rsid w:val="009A49FC"/>
    <w:rsid w:val="009A7697"/>
    <w:rsid w:val="009A7B2A"/>
    <w:rsid w:val="009B1E3C"/>
    <w:rsid w:val="009B2B33"/>
    <w:rsid w:val="009B4734"/>
    <w:rsid w:val="009B4E12"/>
    <w:rsid w:val="009B7582"/>
    <w:rsid w:val="009B79A7"/>
    <w:rsid w:val="009C0ECA"/>
    <w:rsid w:val="009C1FE0"/>
    <w:rsid w:val="009C3A05"/>
    <w:rsid w:val="009C6075"/>
    <w:rsid w:val="009C6825"/>
    <w:rsid w:val="009C7209"/>
    <w:rsid w:val="009C7378"/>
    <w:rsid w:val="009C743A"/>
    <w:rsid w:val="009C79FF"/>
    <w:rsid w:val="009D0C85"/>
    <w:rsid w:val="009D1304"/>
    <w:rsid w:val="009D1E81"/>
    <w:rsid w:val="009D24F5"/>
    <w:rsid w:val="009D29A0"/>
    <w:rsid w:val="009D3334"/>
    <w:rsid w:val="009D38BD"/>
    <w:rsid w:val="009D4500"/>
    <w:rsid w:val="009D7687"/>
    <w:rsid w:val="009E1646"/>
    <w:rsid w:val="009E182E"/>
    <w:rsid w:val="009E19A3"/>
    <w:rsid w:val="009E1CD2"/>
    <w:rsid w:val="009E2BF5"/>
    <w:rsid w:val="009E2C86"/>
    <w:rsid w:val="009E3265"/>
    <w:rsid w:val="009E4DC0"/>
    <w:rsid w:val="009E540D"/>
    <w:rsid w:val="009E5A59"/>
    <w:rsid w:val="009E7271"/>
    <w:rsid w:val="009E7EC7"/>
    <w:rsid w:val="009F0052"/>
    <w:rsid w:val="009F0643"/>
    <w:rsid w:val="009F3100"/>
    <w:rsid w:val="009F3424"/>
    <w:rsid w:val="009F42C6"/>
    <w:rsid w:val="009F4D07"/>
    <w:rsid w:val="009F57AF"/>
    <w:rsid w:val="009F5EC2"/>
    <w:rsid w:val="009F6B08"/>
    <w:rsid w:val="00A00121"/>
    <w:rsid w:val="00A027AF"/>
    <w:rsid w:val="00A02FC7"/>
    <w:rsid w:val="00A038C5"/>
    <w:rsid w:val="00A03F7C"/>
    <w:rsid w:val="00A04F19"/>
    <w:rsid w:val="00A0570C"/>
    <w:rsid w:val="00A06516"/>
    <w:rsid w:val="00A0699C"/>
    <w:rsid w:val="00A06BDD"/>
    <w:rsid w:val="00A07421"/>
    <w:rsid w:val="00A0757A"/>
    <w:rsid w:val="00A128B7"/>
    <w:rsid w:val="00A13043"/>
    <w:rsid w:val="00A13664"/>
    <w:rsid w:val="00A13ED6"/>
    <w:rsid w:val="00A143AD"/>
    <w:rsid w:val="00A154E7"/>
    <w:rsid w:val="00A15F26"/>
    <w:rsid w:val="00A176FD"/>
    <w:rsid w:val="00A1774F"/>
    <w:rsid w:val="00A17926"/>
    <w:rsid w:val="00A17FE7"/>
    <w:rsid w:val="00A210B1"/>
    <w:rsid w:val="00A210F9"/>
    <w:rsid w:val="00A2287C"/>
    <w:rsid w:val="00A229AC"/>
    <w:rsid w:val="00A246C4"/>
    <w:rsid w:val="00A24900"/>
    <w:rsid w:val="00A251CD"/>
    <w:rsid w:val="00A2592B"/>
    <w:rsid w:val="00A278D7"/>
    <w:rsid w:val="00A32911"/>
    <w:rsid w:val="00A329BD"/>
    <w:rsid w:val="00A3367A"/>
    <w:rsid w:val="00A33A5A"/>
    <w:rsid w:val="00A342D9"/>
    <w:rsid w:val="00A343EE"/>
    <w:rsid w:val="00A3484D"/>
    <w:rsid w:val="00A34FC6"/>
    <w:rsid w:val="00A35739"/>
    <w:rsid w:val="00A3696F"/>
    <w:rsid w:val="00A3725A"/>
    <w:rsid w:val="00A3796E"/>
    <w:rsid w:val="00A37A33"/>
    <w:rsid w:val="00A412B2"/>
    <w:rsid w:val="00A416AD"/>
    <w:rsid w:val="00A42EF6"/>
    <w:rsid w:val="00A44510"/>
    <w:rsid w:val="00A450A6"/>
    <w:rsid w:val="00A459E1"/>
    <w:rsid w:val="00A46135"/>
    <w:rsid w:val="00A47097"/>
    <w:rsid w:val="00A470C9"/>
    <w:rsid w:val="00A471AE"/>
    <w:rsid w:val="00A4781C"/>
    <w:rsid w:val="00A5067A"/>
    <w:rsid w:val="00A50CD9"/>
    <w:rsid w:val="00A50EC7"/>
    <w:rsid w:val="00A50F92"/>
    <w:rsid w:val="00A50FA6"/>
    <w:rsid w:val="00A51374"/>
    <w:rsid w:val="00A5182F"/>
    <w:rsid w:val="00A54601"/>
    <w:rsid w:val="00A54C14"/>
    <w:rsid w:val="00A5511D"/>
    <w:rsid w:val="00A55137"/>
    <w:rsid w:val="00A5529A"/>
    <w:rsid w:val="00A564E7"/>
    <w:rsid w:val="00A5703F"/>
    <w:rsid w:val="00A5719D"/>
    <w:rsid w:val="00A57AF4"/>
    <w:rsid w:val="00A60422"/>
    <w:rsid w:val="00A6095E"/>
    <w:rsid w:val="00A61C2B"/>
    <w:rsid w:val="00A62828"/>
    <w:rsid w:val="00A62B1C"/>
    <w:rsid w:val="00A63683"/>
    <w:rsid w:val="00A65DCB"/>
    <w:rsid w:val="00A66109"/>
    <w:rsid w:val="00A67382"/>
    <w:rsid w:val="00A70186"/>
    <w:rsid w:val="00A70D8C"/>
    <w:rsid w:val="00A75201"/>
    <w:rsid w:val="00A756E9"/>
    <w:rsid w:val="00A75DCB"/>
    <w:rsid w:val="00A7601D"/>
    <w:rsid w:val="00A76BC3"/>
    <w:rsid w:val="00A76E38"/>
    <w:rsid w:val="00A770F9"/>
    <w:rsid w:val="00A77F15"/>
    <w:rsid w:val="00A81429"/>
    <w:rsid w:val="00A81587"/>
    <w:rsid w:val="00A8183A"/>
    <w:rsid w:val="00A84575"/>
    <w:rsid w:val="00A85919"/>
    <w:rsid w:val="00A86051"/>
    <w:rsid w:val="00A8625F"/>
    <w:rsid w:val="00A86277"/>
    <w:rsid w:val="00A8661E"/>
    <w:rsid w:val="00A866BA"/>
    <w:rsid w:val="00A87AB4"/>
    <w:rsid w:val="00A90151"/>
    <w:rsid w:val="00A90256"/>
    <w:rsid w:val="00A9193F"/>
    <w:rsid w:val="00A91993"/>
    <w:rsid w:val="00A9287A"/>
    <w:rsid w:val="00A92A8A"/>
    <w:rsid w:val="00A92FDB"/>
    <w:rsid w:val="00A9359B"/>
    <w:rsid w:val="00A94C39"/>
    <w:rsid w:val="00A94DE0"/>
    <w:rsid w:val="00A9545C"/>
    <w:rsid w:val="00A970A6"/>
    <w:rsid w:val="00AA163B"/>
    <w:rsid w:val="00AA3569"/>
    <w:rsid w:val="00AA3EE5"/>
    <w:rsid w:val="00AA409E"/>
    <w:rsid w:val="00AA60BE"/>
    <w:rsid w:val="00AA646F"/>
    <w:rsid w:val="00AA6D85"/>
    <w:rsid w:val="00AB0859"/>
    <w:rsid w:val="00AB0B14"/>
    <w:rsid w:val="00AB10F4"/>
    <w:rsid w:val="00AB2375"/>
    <w:rsid w:val="00AB2D17"/>
    <w:rsid w:val="00AB34AD"/>
    <w:rsid w:val="00AB460F"/>
    <w:rsid w:val="00AB46E2"/>
    <w:rsid w:val="00AB4837"/>
    <w:rsid w:val="00AB48BC"/>
    <w:rsid w:val="00AB4BE3"/>
    <w:rsid w:val="00AB52A5"/>
    <w:rsid w:val="00AB6148"/>
    <w:rsid w:val="00AB630C"/>
    <w:rsid w:val="00AB77D3"/>
    <w:rsid w:val="00AB7AD5"/>
    <w:rsid w:val="00AB7E51"/>
    <w:rsid w:val="00AC051F"/>
    <w:rsid w:val="00AC0687"/>
    <w:rsid w:val="00AC155E"/>
    <w:rsid w:val="00AC19B3"/>
    <w:rsid w:val="00AC2D66"/>
    <w:rsid w:val="00AC4F7C"/>
    <w:rsid w:val="00AC587D"/>
    <w:rsid w:val="00AC58AB"/>
    <w:rsid w:val="00AC6BF3"/>
    <w:rsid w:val="00AC7F5C"/>
    <w:rsid w:val="00AD1AA2"/>
    <w:rsid w:val="00AD644E"/>
    <w:rsid w:val="00AD7225"/>
    <w:rsid w:val="00AD7A30"/>
    <w:rsid w:val="00AD7A84"/>
    <w:rsid w:val="00AE0539"/>
    <w:rsid w:val="00AE201C"/>
    <w:rsid w:val="00AE295B"/>
    <w:rsid w:val="00AE30F1"/>
    <w:rsid w:val="00AE3B7B"/>
    <w:rsid w:val="00AE3EE1"/>
    <w:rsid w:val="00AE40A1"/>
    <w:rsid w:val="00AE4781"/>
    <w:rsid w:val="00AE4969"/>
    <w:rsid w:val="00AE4F15"/>
    <w:rsid w:val="00AE53D3"/>
    <w:rsid w:val="00AE54A2"/>
    <w:rsid w:val="00AE5DF3"/>
    <w:rsid w:val="00AE7171"/>
    <w:rsid w:val="00AF07EB"/>
    <w:rsid w:val="00AF0ACA"/>
    <w:rsid w:val="00AF28A2"/>
    <w:rsid w:val="00AF3BD9"/>
    <w:rsid w:val="00AF479F"/>
    <w:rsid w:val="00AF5348"/>
    <w:rsid w:val="00AF5E5D"/>
    <w:rsid w:val="00AF6163"/>
    <w:rsid w:val="00AF6B4B"/>
    <w:rsid w:val="00AF6BDF"/>
    <w:rsid w:val="00AF716D"/>
    <w:rsid w:val="00AF734A"/>
    <w:rsid w:val="00AF7BCC"/>
    <w:rsid w:val="00B00041"/>
    <w:rsid w:val="00B01B6D"/>
    <w:rsid w:val="00B0367A"/>
    <w:rsid w:val="00B03B5B"/>
    <w:rsid w:val="00B040BC"/>
    <w:rsid w:val="00B044BC"/>
    <w:rsid w:val="00B05EB5"/>
    <w:rsid w:val="00B06218"/>
    <w:rsid w:val="00B0665B"/>
    <w:rsid w:val="00B069B5"/>
    <w:rsid w:val="00B0781A"/>
    <w:rsid w:val="00B11F80"/>
    <w:rsid w:val="00B13070"/>
    <w:rsid w:val="00B14C0B"/>
    <w:rsid w:val="00B1538E"/>
    <w:rsid w:val="00B159FC"/>
    <w:rsid w:val="00B17A5C"/>
    <w:rsid w:val="00B204A1"/>
    <w:rsid w:val="00B214C0"/>
    <w:rsid w:val="00B23258"/>
    <w:rsid w:val="00B23603"/>
    <w:rsid w:val="00B2365F"/>
    <w:rsid w:val="00B240FC"/>
    <w:rsid w:val="00B24612"/>
    <w:rsid w:val="00B2527F"/>
    <w:rsid w:val="00B2574E"/>
    <w:rsid w:val="00B26099"/>
    <w:rsid w:val="00B2789A"/>
    <w:rsid w:val="00B302FA"/>
    <w:rsid w:val="00B3054D"/>
    <w:rsid w:val="00B30956"/>
    <w:rsid w:val="00B3116B"/>
    <w:rsid w:val="00B31658"/>
    <w:rsid w:val="00B32231"/>
    <w:rsid w:val="00B32D6C"/>
    <w:rsid w:val="00B32DA0"/>
    <w:rsid w:val="00B332C1"/>
    <w:rsid w:val="00B33586"/>
    <w:rsid w:val="00B34048"/>
    <w:rsid w:val="00B34954"/>
    <w:rsid w:val="00B34AA0"/>
    <w:rsid w:val="00B34DC1"/>
    <w:rsid w:val="00B366CD"/>
    <w:rsid w:val="00B36DDB"/>
    <w:rsid w:val="00B3749D"/>
    <w:rsid w:val="00B40799"/>
    <w:rsid w:val="00B41059"/>
    <w:rsid w:val="00B422B1"/>
    <w:rsid w:val="00B4307E"/>
    <w:rsid w:val="00B4323B"/>
    <w:rsid w:val="00B43446"/>
    <w:rsid w:val="00B43AF4"/>
    <w:rsid w:val="00B43F47"/>
    <w:rsid w:val="00B443CC"/>
    <w:rsid w:val="00B458BF"/>
    <w:rsid w:val="00B46758"/>
    <w:rsid w:val="00B46CB8"/>
    <w:rsid w:val="00B471AE"/>
    <w:rsid w:val="00B4779F"/>
    <w:rsid w:val="00B47C0B"/>
    <w:rsid w:val="00B508E3"/>
    <w:rsid w:val="00B51108"/>
    <w:rsid w:val="00B512DC"/>
    <w:rsid w:val="00B51ACD"/>
    <w:rsid w:val="00B5297E"/>
    <w:rsid w:val="00B546A7"/>
    <w:rsid w:val="00B5567C"/>
    <w:rsid w:val="00B55709"/>
    <w:rsid w:val="00B55815"/>
    <w:rsid w:val="00B56299"/>
    <w:rsid w:val="00B56823"/>
    <w:rsid w:val="00B603CF"/>
    <w:rsid w:val="00B615FD"/>
    <w:rsid w:val="00B616B4"/>
    <w:rsid w:val="00B61B3C"/>
    <w:rsid w:val="00B6232D"/>
    <w:rsid w:val="00B62684"/>
    <w:rsid w:val="00B62786"/>
    <w:rsid w:val="00B63870"/>
    <w:rsid w:val="00B6414E"/>
    <w:rsid w:val="00B64257"/>
    <w:rsid w:val="00B642B0"/>
    <w:rsid w:val="00B643F4"/>
    <w:rsid w:val="00B64DAF"/>
    <w:rsid w:val="00B65AD9"/>
    <w:rsid w:val="00B65DAA"/>
    <w:rsid w:val="00B66A2A"/>
    <w:rsid w:val="00B66B2F"/>
    <w:rsid w:val="00B70AB8"/>
    <w:rsid w:val="00B70E44"/>
    <w:rsid w:val="00B720EC"/>
    <w:rsid w:val="00B72C91"/>
    <w:rsid w:val="00B72DAC"/>
    <w:rsid w:val="00B7338C"/>
    <w:rsid w:val="00B73B3C"/>
    <w:rsid w:val="00B74F7F"/>
    <w:rsid w:val="00B75B08"/>
    <w:rsid w:val="00B7627F"/>
    <w:rsid w:val="00B7663C"/>
    <w:rsid w:val="00B7698B"/>
    <w:rsid w:val="00B77B76"/>
    <w:rsid w:val="00B823FE"/>
    <w:rsid w:val="00B84701"/>
    <w:rsid w:val="00B84869"/>
    <w:rsid w:val="00B8539B"/>
    <w:rsid w:val="00B85AF1"/>
    <w:rsid w:val="00B85D3A"/>
    <w:rsid w:val="00B86607"/>
    <w:rsid w:val="00B86C31"/>
    <w:rsid w:val="00B87859"/>
    <w:rsid w:val="00B90AC2"/>
    <w:rsid w:val="00B90E05"/>
    <w:rsid w:val="00B9125A"/>
    <w:rsid w:val="00B91D47"/>
    <w:rsid w:val="00B94CF6"/>
    <w:rsid w:val="00B953E2"/>
    <w:rsid w:val="00B95C5C"/>
    <w:rsid w:val="00B96A42"/>
    <w:rsid w:val="00B9740C"/>
    <w:rsid w:val="00BA011A"/>
    <w:rsid w:val="00BA1828"/>
    <w:rsid w:val="00BA3CB8"/>
    <w:rsid w:val="00BA3F48"/>
    <w:rsid w:val="00BA6D1F"/>
    <w:rsid w:val="00BA7548"/>
    <w:rsid w:val="00BA7623"/>
    <w:rsid w:val="00BA7BB8"/>
    <w:rsid w:val="00BA7D66"/>
    <w:rsid w:val="00BB02B9"/>
    <w:rsid w:val="00BB086A"/>
    <w:rsid w:val="00BB15EE"/>
    <w:rsid w:val="00BB23BB"/>
    <w:rsid w:val="00BB2816"/>
    <w:rsid w:val="00BB47E1"/>
    <w:rsid w:val="00BB503B"/>
    <w:rsid w:val="00BB58E1"/>
    <w:rsid w:val="00BB5DCA"/>
    <w:rsid w:val="00BB6225"/>
    <w:rsid w:val="00BB6A80"/>
    <w:rsid w:val="00BB6B4C"/>
    <w:rsid w:val="00BC0AFC"/>
    <w:rsid w:val="00BC0DCE"/>
    <w:rsid w:val="00BC127C"/>
    <w:rsid w:val="00BC1599"/>
    <w:rsid w:val="00BC34CC"/>
    <w:rsid w:val="00BC5BA4"/>
    <w:rsid w:val="00BC623E"/>
    <w:rsid w:val="00BC6606"/>
    <w:rsid w:val="00BC70F1"/>
    <w:rsid w:val="00BC7962"/>
    <w:rsid w:val="00BC7C1B"/>
    <w:rsid w:val="00BD0186"/>
    <w:rsid w:val="00BD061B"/>
    <w:rsid w:val="00BD0904"/>
    <w:rsid w:val="00BD0CCA"/>
    <w:rsid w:val="00BD13CF"/>
    <w:rsid w:val="00BD190D"/>
    <w:rsid w:val="00BD49F2"/>
    <w:rsid w:val="00BD4CB5"/>
    <w:rsid w:val="00BD4F76"/>
    <w:rsid w:val="00BE5201"/>
    <w:rsid w:val="00BE5426"/>
    <w:rsid w:val="00BE68E0"/>
    <w:rsid w:val="00BE6A5A"/>
    <w:rsid w:val="00BF0EF2"/>
    <w:rsid w:val="00BF11A0"/>
    <w:rsid w:val="00BF1D34"/>
    <w:rsid w:val="00BF1DB2"/>
    <w:rsid w:val="00BF5E16"/>
    <w:rsid w:val="00BF5F6A"/>
    <w:rsid w:val="00BF68C8"/>
    <w:rsid w:val="00BF6B75"/>
    <w:rsid w:val="00BF7C3F"/>
    <w:rsid w:val="00C00A15"/>
    <w:rsid w:val="00C016A3"/>
    <w:rsid w:val="00C01E68"/>
    <w:rsid w:val="00C024CE"/>
    <w:rsid w:val="00C03DA5"/>
    <w:rsid w:val="00C046E8"/>
    <w:rsid w:val="00C048C3"/>
    <w:rsid w:val="00C04BB2"/>
    <w:rsid w:val="00C0780B"/>
    <w:rsid w:val="00C105F2"/>
    <w:rsid w:val="00C11924"/>
    <w:rsid w:val="00C11B72"/>
    <w:rsid w:val="00C12C73"/>
    <w:rsid w:val="00C13F0E"/>
    <w:rsid w:val="00C14016"/>
    <w:rsid w:val="00C14BDC"/>
    <w:rsid w:val="00C14C6D"/>
    <w:rsid w:val="00C155B7"/>
    <w:rsid w:val="00C15C62"/>
    <w:rsid w:val="00C163E3"/>
    <w:rsid w:val="00C16E4D"/>
    <w:rsid w:val="00C1716F"/>
    <w:rsid w:val="00C17B40"/>
    <w:rsid w:val="00C20106"/>
    <w:rsid w:val="00C20494"/>
    <w:rsid w:val="00C221A0"/>
    <w:rsid w:val="00C22CA8"/>
    <w:rsid w:val="00C236B6"/>
    <w:rsid w:val="00C237FC"/>
    <w:rsid w:val="00C238D1"/>
    <w:rsid w:val="00C25A70"/>
    <w:rsid w:val="00C25C46"/>
    <w:rsid w:val="00C26058"/>
    <w:rsid w:val="00C26C29"/>
    <w:rsid w:val="00C26E47"/>
    <w:rsid w:val="00C27BEE"/>
    <w:rsid w:val="00C31E23"/>
    <w:rsid w:val="00C326F9"/>
    <w:rsid w:val="00C327A4"/>
    <w:rsid w:val="00C329EA"/>
    <w:rsid w:val="00C34144"/>
    <w:rsid w:val="00C34D10"/>
    <w:rsid w:val="00C35958"/>
    <w:rsid w:val="00C36FFC"/>
    <w:rsid w:val="00C37A29"/>
    <w:rsid w:val="00C37E69"/>
    <w:rsid w:val="00C40BB4"/>
    <w:rsid w:val="00C40BF5"/>
    <w:rsid w:val="00C447E0"/>
    <w:rsid w:val="00C45ACA"/>
    <w:rsid w:val="00C45EDA"/>
    <w:rsid w:val="00C463F0"/>
    <w:rsid w:val="00C46A0F"/>
    <w:rsid w:val="00C46FBF"/>
    <w:rsid w:val="00C472D7"/>
    <w:rsid w:val="00C4752E"/>
    <w:rsid w:val="00C51E74"/>
    <w:rsid w:val="00C5235A"/>
    <w:rsid w:val="00C526A1"/>
    <w:rsid w:val="00C52C5D"/>
    <w:rsid w:val="00C53E75"/>
    <w:rsid w:val="00C55E53"/>
    <w:rsid w:val="00C56B3F"/>
    <w:rsid w:val="00C57404"/>
    <w:rsid w:val="00C5765F"/>
    <w:rsid w:val="00C60385"/>
    <w:rsid w:val="00C613D2"/>
    <w:rsid w:val="00C6333E"/>
    <w:rsid w:val="00C63D50"/>
    <w:rsid w:val="00C64B6A"/>
    <w:rsid w:val="00C6500C"/>
    <w:rsid w:val="00C65591"/>
    <w:rsid w:val="00C65702"/>
    <w:rsid w:val="00C66BB5"/>
    <w:rsid w:val="00C66DD9"/>
    <w:rsid w:val="00C70D80"/>
    <w:rsid w:val="00C70EFC"/>
    <w:rsid w:val="00C71688"/>
    <w:rsid w:val="00C732EF"/>
    <w:rsid w:val="00C734EA"/>
    <w:rsid w:val="00C7369A"/>
    <w:rsid w:val="00C73DC5"/>
    <w:rsid w:val="00C74984"/>
    <w:rsid w:val="00C74B46"/>
    <w:rsid w:val="00C75C56"/>
    <w:rsid w:val="00C75C60"/>
    <w:rsid w:val="00C7702E"/>
    <w:rsid w:val="00C774AA"/>
    <w:rsid w:val="00C81BC6"/>
    <w:rsid w:val="00C82021"/>
    <w:rsid w:val="00C82DBF"/>
    <w:rsid w:val="00C83F49"/>
    <w:rsid w:val="00C84711"/>
    <w:rsid w:val="00C84AEF"/>
    <w:rsid w:val="00C859F3"/>
    <w:rsid w:val="00C8696E"/>
    <w:rsid w:val="00C87396"/>
    <w:rsid w:val="00C8741A"/>
    <w:rsid w:val="00C914C3"/>
    <w:rsid w:val="00C9247A"/>
    <w:rsid w:val="00C932F3"/>
    <w:rsid w:val="00C9437D"/>
    <w:rsid w:val="00C95B75"/>
    <w:rsid w:val="00C968CA"/>
    <w:rsid w:val="00C97061"/>
    <w:rsid w:val="00C9795A"/>
    <w:rsid w:val="00C97F43"/>
    <w:rsid w:val="00CA0B3F"/>
    <w:rsid w:val="00CA0CA2"/>
    <w:rsid w:val="00CA1723"/>
    <w:rsid w:val="00CA34BF"/>
    <w:rsid w:val="00CA3DDE"/>
    <w:rsid w:val="00CA40C1"/>
    <w:rsid w:val="00CA4786"/>
    <w:rsid w:val="00CA5E9B"/>
    <w:rsid w:val="00CA6845"/>
    <w:rsid w:val="00CA755E"/>
    <w:rsid w:val="00CA7FF2"/>
    <w:rsid w:val="00CB00AD"/>
    <w:rsid w:val="00CB154C"/>
    <w:rsid w:val="00CB19F2"/>
    <w:rsid w:val="00CB2BCF"/>
    <w:rsid w:val="00CB40B8"/>
    <w:rsid w:val="00CB4A4A"/>
    <w:rsid w:val="00CB4B93"/>
    <w:rsid w:val="00CB4D37"/>
    <w:rsid w:val="00CB5990"/>
    <w:rsid w:val="00CB5DF6"/>
    <w:rsid w:val="00CB63DD"/>
    <w:rsid w:val="00CC12E3"/>
    <w:rsid w:val="00CC3DE4"/>
    <w:rsid w:val="00CC459B"/>
    <w:rsid w:val="00CC5F5B"/>
    <w:rsid w:val="00CC68E4"/>
    <w:rsid w:val="00CC6CD8"/>
    <w:rsid w:val="00CC7414"/>
    <w:rsid w:val="00CD0ECA"/>
    <w:rsid w:val="00CD1EFF"/>
    <w:rsid w:val="00CD2446"/>
    <w:rsid w:val="00CD3174"/>
    <w:rsid w:val="00CD3BFA"/>
    <w:rsid w:val="00CD4747"/>
    <w:rsid w:val="00CD5235"/>
    <w:rsid w:val="00CD5706"/>
    <w:rsid w:val="00CD6027"/>
    <w:rsid w:val="00CD6099"/>
    <w:rsid w:val="00CD61EB"/>
    <w:rsid w:val="00CD7C00"/>
    <w:rsid w:val="00CD7F44"/>
    <w:rsid w:val="00CE0148"/>
    <w:rsid w:val="00CE03F8"/>
    <w:rsid w:val="00CE08B1"/>
    <w:rsid w:val="00CE2958"/>
    <w:rsid w:val="00CE2BC0"/>
    <w:rsid w:val="00CE406A"/>
    <w:rsid w:val="00CE43AF"/>
    <w:rsid w:val="00CE46F5"/>
    <w:rsid w:val="00CE4AF2"/>
    <w:rsid w:val="00CE4D3A"/>
    <w:rsid w:val="00CE64FD"/>
    <w:rsid w:val="00CE7236"/>
    <w:rsid w:val="00CE7B88"/>
    <w:rsid w:val="00CF02F0"/>
    <w:rsid w:val="00CF23EE"/>
    <w:rsid w:val="00CF464A"/>
    <w:rsid w:val="00CF4BC6"/>
    <w:rsid w:val="00CF5823"/>
    <w:rsid w:val="00CF67E1"/>
    <w:rsid w:val="00CF6993"/>
    <w:rsid w:val="00CF6FFC"/>
    <w:rsid w:val="00CF7F06"/>
    <w:rsid w:val="00D0099D"/>
    <w:rsid w:val="00D01615"/>
    <w:rsid w:val="00D01C3D"/>
    <w:rsid w:val="00D01D76"/>
    <w:rsid w:val="00D01FDD"/>
    <w:rsid w:val="00D02433"/>
    <w:rsid w:val="00D0352E"/>
    <w:rsid w:val="00D03CD5"/>
    <w:rsid w:val="00D03FDC"/>
    <w:rsid w:val="00D0403A"/>
    <w:rsid w:val="00D0493A"/>
    <w:rsid w:val="00D04975"/>
    <w:rsid w:val="00D05944"/>
    <w:rsid w:val="00D073E9"/>
    <w:rsid w:val="00D106CF"/>
    <w:rsid w:val="00D10F14"/>
    <w:rsid w:val="00D116BA"/>
    <w:rsid w:val="00D11BDF"/>
    <w:rsid w:val="00D13782"/>
    <w:rsid w:val="00D15113"/>
    <w:rsid w:val="00D1523F"/>
    <w:rsid w:val="00D15847"/>
    <w:rsid w:val="00D15B7C"/>
    <w:rsid w:val="00D15B7D"/>
    <w:rsid w:val="00D15C91"/>
    <w:rsid w:val="00D16BFA"/>
    <w:rsid w:val="00D16F74"/>
    <w:rsid w:val="00D177BA"/>
    <w:rsid w:val="00D1789C"/>
    <w:rsid w:val="00D20772"/>
    <w:rsid w:val="00D2100A"/>
    <w:rsid w:val="00D22100"/>
    <w:rsid w:val="00D22A33"/>
    <w:rsid w:val="00D231AE"/>
    <w:rsid w:val="00D23750"/>
    <w:rsid w:val="00D24898"/>
    <w:rsid w:val="00D2525F"/>
    <w:rsid w:val="00D26947"/>
    <w:rsid w:val="00D26B3B"/>
    <w:rsid w:val="00D26C4C"/>
    <w:rsid w:val="00D279DD"/>
    <w:rsid w:val="00D305CE"/>
    <w:rsid w:val="00D30791"/>
    <w:rsid w:val="00D31D9D"/>
    <w:rsid w:val="00D31E3E"/>
    <w:rsid w:val="00D330CA"/>
    <w:rsid w:val="00D3316D"/>
    <w:rsid w:val="00D33D20"/>
    <w:rsid w:val="00D33FE8"/>
    <w:rsid w:val="00D35C15"/>
    <w:rsid w:val="00D35E34"/>
    <w:rsid w:val="00D3704A"/>
    <w:rsid w:val="00D3708D"/>
    <w:rsid w:val="00D37687"/>
    <w:rsid w:val="00D37882"/>
    <w:rsid w:val="00D4150D"/>
    <w:rsid w:val="00D4205A"/>
    <w:rsid w:val="00D425AA"/>
    <w:rsid w:val="00D42606"/>
    <w:rsid w:val="00D437BD"/>
    <w:rsid w:val="00D43CAB"/>
    <w:rsid w:val="00D44A63"/>
    <w:rsid w:val="00D44BC9"/>
    <w:rsid w:val="00D45075"/>
    <w:rsid w:val="00D45FD3"/>
    <w:rsid w:val="00D46824"/>
    <w:rsid w:val="00D46A95"/>
    <w:rsid w:val="00D46FD9"/>
    <w:rsid w:val="00D47F4C"/>
    <w:rsid w:val="00D51517"/>
    <w:rsid w:val="00D536BF"/>
    <w:rsid w:val="00D5450E"/>
    <w:rsid w:val="00D54BEB"/>
    <w:rsid w:val="00D5539F"/>
    <w:rsid w:val="00D560EF"/>
    <w:rsid w:val="00D57A5E"/>
    <w:rsid w:val="00D60649"/>
    <w:rsid w:val="00D609EE"/>
    <w:rsid w:val="00D6149E"/>
    <w:rsid w:val="00D61553"/>
    <w:rsid w:val="00D61E88"/>
    <w:rsid w:val="00D62B65"/>
    <w:rsid w:val="00D631BC"/>
    <w:rsid w:val="00D64990"/>
    <w:rsid w:val="00D6502C"/>
    <w:rsid w:val="00D65A1F"/>
    <w:rsid w:val="00D6651C"/>
    <w:rsid w:val="00D67860"/>
    <w:rsid w:val="00D7051D"/>
    <w:rsid w:val="00D713A6"/>
    <w:rsid w:val="00D72B44"/>
    <w:rsid w:val="00D7306A"/>
    <w:rsid w:val="00D73DD8"/>
    <w:rsid w:val="00D76A34"/>
    <w:rsid w:val="00D7778D"/>
    <w:rsid w:val="00D802F5"/>
    <w:rsid w:val="00D80728"/>
    <w:rsid w:val="00D807FC"/>
    <w:rsid w:val="00D81BB1"/>
    <w:rsid w:val="00D82FB3"/>
    <w:rsid w:val="00D83923"/>
    <w:rsid w:val="00D84A57"/>
    <w:rsid w:val="00D90620"/>
    <w:rsid w:val="00D90894"/>
    <w:rsid w:val="00D92552"/>
    <w:rsid w:val="00D92553"/>
    <w:rsid w:val="00D93640"/>
    <w:rsid w:val="00D9419D"/>
    <w:rsid w:val="00D94D04"/>
    <w:rsid w:val="00D94EFC"/>
    <w:rsid w:val="00D96F65"/>
    <w:rsid w:val="00D97532"/>
    <w:rsid w:val="00D97A8F"/>
    <w:rsid w:val="00DA0380"/>
    <w:rsid w:val="00DA136C"/>
    <w:rsid w:val="00DA1A6D"/>
    <w:rsid w:val="00DA3017"/>
    <w:rsid w:val="00DA3836"/>
    <w:rsid w:val="00DA5484"/>
    <w:rsid w:val="00DA73D9"/>
    <w:rsid w:val="00DA77D6"/>
    <w:rsid w:val="00DB01D1"/>
    <w:rsid w:val="00DB02EA"/>
    <w:rsid w:val="00DB1838"/>
    <w:rsid w:val="00DB256E"/>
    <w:rsid w:val="00DB2701"/>
    <w:rsid w:val="00DB2BA4"/>
    <w:rsid w:val="00DB3FCE"/>
    <w:rsid w:val="00DB4217"/>
    <w:rsid w:val="00DB465F"/>
    <w:rsid w:val="00DB5792"/>
    <w:rsid w:val="00DB7E8D"/>
    <w:rsid w:val="00DB7FEB"/>
    <w:rsid w:val="00DC020D"/>
    <w:rsid w:val="00DC05CC"/>
    <w:rsid w:val="00DC05E1"/>
    <w:rsid w:val="00DC1012"/>
    <w:rsid w:val="00DC18D8"/>
    <w:rsid w:val="00DC1B37"/>
    <w:rsid w:val="00DC3224"/>
    <w:rsid w:val="00DC47F0"/>
    <w:rsid w:val="00DC5870"/>
    <w:rsid w:val="00DC5DFF"/>
    <w:rsid w:val="00DC5FDB"/>
    <w:rsid w:val="00DC7473"/>
    <w:rsid w:val="00DC74CB"/>
    <w:rsid w:val="00DD0811"/>
    <w:rsid w:val="00DD134A"/>
    <w:rsid w:val="00DD1767"/>
    <w:rsid w:val="00DD2246"/>
    <w:rsid w:val="00DD37B8"/>
    <w:rsid w:val="00DD403D"/>
    <w:rsid w:val="00DD46B3"/>
    <w:rsid w:val="00DD5268"/>
    <w:rsid w:val="00DD5517"/>
    <w:rsid w:val="00DD6473"/>
    <w:rsid w:val="00DD77DF"/>
    <w:rsid w:val="00DD7BB5"/>
    <w:rsid w:val="00DD7FBD"/>
    <w:rsid w:val="00DE01C7"/>
    <w:rsid w:val="00DE0CBB"/>
    <w:rsid w:val="00DE2FBF"/>
    <w:rsid w:val="00DE3BA4"/>
    <w:rsid w:val="00DE3D71"/>
    <w:rsid w:val="00DE5603"/>
    <w:rsid w:val="00DE6C4F"/>
    <w:rsid w:val="00DE7790"/>
    <w:rsid w:val="00DF012E"/>
    <w:rsid w:val="00DF0778"/>
    <w:rsid w:val="00DF0995"/>
    <w:rsid w:val="00DF0C40"/>
    <w:rsid w:val="00DF20D2"/>
    <w:rsid w:val="00DF3EC2"/>
    <w:rsid w:val="00DF4BD4"/>
    <w:rsid w:val="00DF4E3E"/>
    <w:rsid w:val="00DF54FC"/>
    <w:rsid w:val="00DF57D9"/>
    <w:rsid w:val="00DF5999"/>
    <w:rsid w:val="00DF60B9"/>
    <w:rsid w:val="00DF63B7"/>
    <w:rsid w:val="00E00103"/>
    <w:rsid w:val="00E008BE"/>
    <w:rsid w:val="00E010CD"/>
    <w:rsid w:val="00E01637"/>
    <w:rsid w:val="00E020F3"/>
    <w:rsid w:val="00E02CE2"/>
    <w:rsid w:val="00E0453D"/>
    <w:rsid w:val="00E05FA6"/>
    <w:rsid w:val="00E0669C"/>
    <w:rsid w:val="00E06733"/>
    <w:rsid w:val="00E0683C"/>
    <w:rsid w:val="00E06AC4"/>
    <w:rsid w:val="00E1079A"/>
    <w:rsid w:val="00E119E0"/>
    <w:rsid w:val="00E126E2"/>
    <w:rsid w:val="00E128BA"/>
    <w:rsid w:val="00E13BBE"/>
    <w:rsid w:val="00E14A74"/>
    <w:rsid w:val="00E14E73"/>
    <w:rsid w:val="00E15A2F"/>
    <w:rsid w:val="00E16D59"/>
    <w:rsid w:val="00E245CB"/>
    <w:rsid w:val="00E24868"/>
    <w:rsid w:val="00E25474"/>
    <w:rsid w:val="00E25E29"/>
    <w:rsid w:val="00E26CB2"/>
    <w:rsid w:val="00E302C8"/>
    <w:rsid w:val="00E31678"/>
    <w:rsid w:val="00E3294E"/>
    <w:rsid w:val="00E329DD"/>
    <w:rsid w:val="00E32EE5"/>
    <w:rsid w:val="00E32F93"/>
    <w:rsid w:val="00E33935"/>
    <w:rsid w:val="00E34C36"/>
    <w:rsid w:val="00E351E8"/>
    <w:rsid w:val="00E352BB"/>
    <w:rsid w:val="00E353EC"/>
    <w:rsid w:val="00E379F7"/>
    <w:rsid w:val="00E41A2C"/>
    <w:rsid w:val="00E4368B"/>
    <w:rsid w:val="00E440F4"/>
    <w:rsid w:val="00E452DE"/>
    <w:rsid w:val="00E454FA"/>
    <w:rsid w:val="00E45A34"/>
    <w:rsid w:val="00E45D27"/>
    <w:rsid w:val="00E46511"/>
    <w:rsid w:val="00E46B69"/>
    <w:rsid w:val="00E47107"/>
    <w:rsid w:val="00E4766F"/>
    <w:rsid w:val="00E478FA"/>
    <w:rsid w:val="00E50248"/>
    <w:rsid w:val="00E52A9A"/>
    <w:rsid w:val="00E52AB3"/>
    <w:rsid w:val="00E536C2"/>
    <w:rsid w:val="00E53A3E"/>
    <w:rsid w:val="00E545FC"/>
    <w:rsid w:val="00E54708"/>
    <w:rsid w:val="00E54ACD"/>
    <w:rsid w:val="00E54B2B"/>
    <w:rsid w:val="00E567B9"/>
    <w:rsid w:val="00E57CD9"/>
    <w:rsid w:val="00E57FD3"/>
    <w:rsid w:val="00E600DD"/>
    <w:rsid w:val="00E61632"/>
    <w:rsid w:val="00E617A1"/>
    <w:rsid w:val="00E62DA6"/>
    <w:rsid w:val="00E64735"/>
    <w:rsid w:val="00E6550F"/>
    <w:rsid w:val="00E65716"/>
    <w:rsid w:val="00E65922"/>
    <w:rsid w:val="00E65B7E"/>
    <w:rsid w:val="00E65BE9"/>
    <w:rsid w:val="00E665C0"/>
    <w:rsid w:val="00E67220"/>
    <w:rsid w:val="00E672B9"/>
    <w:rsid w:val="00E67CE6"/>
    <w:rsid w:val="00E70DD7"/>
    <w:rsid w:val="00E71A81"/>
    <w:rsid w:val="00E7212E"/>
    <w:rsid w:val="00E72C82"/>
    <w:rsid w:val="00E72EE0"/>
    <w:rsid w:val="00E7359F"/>
    <w:rsid w:val="00E7376D"/>
    <w:rsid w:val="00E73A9F"/>
    <w:rsid w:val="00E73E97"/>
    <w:rsid w:val="00E741FB"/>
    <w:rsid w:val="00E75201"/>
    <w:rsid w:val="00E77FB8"/>
    <w:rsid w:val="00E803B2"/>
    <w:rsid w:val="00E805F3"/>
    <w:rsid w:val="00E80D74"/>
    <w:rsid w:val="00E8183E"/>
    <w:rsid w:val="00E81F79"/>
    <w:rsid w:val="00E83F8B"/>
    <w:rsid w:val="00E87546"/>
    <w:rsid w:val="00E90983"/>
    <w:rsid w:val="00E91A7E"/>
    <w:rsid w:val="00E91FED"/>
    <w:rsid w:val="00E92239"/>
    <w:rsid w:val="00E92A77"/>
    <w:rsid w:val="00E93709"/>
    <w:rsid w:val="00E93722"/>
    <w:rsid w:val="00E93BB2"/>
    <w:rsid w:val="00E970F4"/>
    <w:rsid w:val="00EA1943"/>
    <w:rsid w:val="00EA1DF7"/>
    <w:rsid w:val="00EA3807"/>
    <w:rsid w:val="00EA4446"/>
    <w:rsid w:val="00EA4D1B"/>
    <w:rsid w:val="00EA77EC"/>
    <w:rsid w:val="00EA7A6D"/>
    <w:rsid w:val="00EA7AEB"/>
    <w:rsid w:val="00EB0D23"/>
    <w:rsid w:val="00EB188C"/>
    <w:rsid w:val="00EB20D7"/>
    <w:rsid w:val="00EB3B7E"/>
    <w:rsid w:val="00EB3D60"/>
    <w:rsid w:val="00EB3E3E"/>
    <w:rsid w:val="00EB3F9D"/>
    <w:rsid w:val="00EB4EBC"/>
    <w:rsid w:val="00EB5DC6"/>
    <w:rsid w:val="00EB7037"/>
    <w:rsid w:val="00EB70D7"/>
    <w:rsid w:val="00EB79A8"/>
    <w:rsid w:val="00EC2976"/>
    <w:rsid w:val="00EC3860"/>
    <w:rsid w:val="00EC5067"/>
    <w:rsid w:val="00EC5224"/>
    <w:rsid w:val="00EC73B6"/>
    <w:rsid w:val="00EC7454"/>
    <w:rsid w:val="00EC78A3"/>
    <w:rsid w:val="00EC79B1"/>
    <w:rsid w:val="00ED140C"/>
    <w:rsid w:val="00ED3501"/>
    <w:rsid w:val="00ED4983"/>
    <w:rsid w:val="00ED4B10"/>
    <w:rsid w:val="00ED5196"/>
    <w:rsid w:val="00ED531C"/>
    <w:rsid w:val="00ED560D"/>
    <w:rsid w:val="00ED5908"/>
    <w:rsid w:val="00ED5A12"/>
    <w:rsid w:val="00ED5DAE"/>
    <w:rsid w:val="00ED6125"/>
    <w:rsid w:val="00ED6ACD"/>
    <w:rsid w:val="00ED7503"/>
    <w:rsid w:val="00ED77A4"/>
    <w:rsid w:val="00EE1317"/>
    <w:rsid w:val="00EE2318"/>
    <w:rsid w:val="00EE2A66"/>
    <w:rsid w:val="00EE2B41"/>
    <w:rsid w:val="00EE34D5"/>
    <w:rsid w:val="00EE3B9B"/>
    <w:rsid w:val="00EE3CAE"/>
    <w:rsid w:val="00EE6F14"/>
    <w:rsid w:val="00EE6FE7"/>
    <w:rsid w:val="00EE7076"/>
    <w:rsid w:val="00EF0B89"/>
    <w:rsid w:val="00EF1DA9"/>
    <w:rsid w:val="00EF2E71"/>
    <w:rsid w:val="00EF37E2"/>
    <w:rsid w:val="00EF3F23"/>
    <w:rsid w:val="00EF506E"/>
    <w:rsid w:val="00F0051F"/>
    <w:rsid w:val="00F011B8"/>
    <w:rsid w:val="00F015A4"/>
    <w:rsid w:val="00F02521"/>
    <w:rsid w:val="00F03E70"/>
    <w:rsid w:val="00F04042"/>
    <w:rsid w:val="00F043E7"/>
    <w:rsid w:val="00F04EA7"/>
    <w:rsid w:val="00F050AC"/>
    <w:rsid w:val="00F050BC"/>
    <w:rsid w:val="00F05227"/>
    <w:rsid w:val="00F0641E"/>
    <w:rsid w:val="00F06767"/>
    <w:rsid w:val="00F06806"/>
    <w:rsid w:val="00F109C3"/>
    <w:rsid w:val="00F11180"/>
    <w:rsid w:val="00F1186A"/>
    <w:rsid w:val="00F11F3A"/>
    <w:rsid w:val="00F1212A"/>
    <w:rsid w:val="00F12449"/>
    <w:rsid w:val="00F133D2"/>
    <w:rsid w:val="00F13BC5"/>
    <w:rsid w:val="00F162D4"/>
    <w:rsid w:val="00F16932"/>
    <w:rsid w:val="00F17728"/>
    <w:rsid w:val="00F2058B"/>
    <w:rsid w:val="00F21221"/>
    <w:rsid w:val="00F21D79"/>
    <w:rsid w:val="00F2204E"/>
    <w:rsid w:val="00F2290E"/>
    <w:rsid w:val="00F22947"/>
    <w:rsid w:val="00F22A7C"/>
    <w:rsid w:val="00F22F45"/>
    <w:rsid w:val="00F24913"/>
    <w:rsid w:val="00F24B89"/>
    <w:rsid w:val="00F25AE6"/>
    <w:rsid w:val="00F25F78"/>
    <w:rsid w:val="00F2795D"/>
    <w:rsid w:val="00F309B4"/>
    <w:rsid w:val="00F30F04"/>
    <w:rsid w:val="00F313F0"/>
    <w:rsid w:val="00F31755"/>
    <w:rsid w:val="00F3209B"/>
    <w:rsid w:val="00F3214C"/>
    <w:rsid w:val="00F33304"/>
    <w:rsid w:val="00F33D8E"/>
    <w:rsid w:val="00F33F0B"/>
    <w:rsid w:val="00F33F8D"/>
    <w:rsid w:val="00F34C0D"/>
    <w:rsid w:val="00F35140"/>
    <w:rsid w:val="00F35A28"/>
    <w:rsid w:val="00F37220"/>
    <w:rsid w:val="00F37CB6"/>
    <w:rsid w:val="00F37F65"/>
    <w:rsid w:val="00F4010B"/>
    <w:rsid w:val="00F402CE"/>
    <w:rsid w:val="00F404C4"/>
    <w:rsid w:val="00F410C5"/>
    <w:rsid w:val="00F418E8"/>
    <w:rsid w:val="00F41D87"/>
    <w:rsid w:val="00F43D6C"/>
    <w:rsid w:val="00F45023"/>
    <w:rsid w:val="00F46E42"/>
    <w:rsid w:val="00F4702C"/>
    <w:rsid w:val="00F471FB"/>
    <w:rsid w:val="00F50169"/>
    <w:rsid w:val="00F505B8"/>
    <w:rsid w:val="00F50D58"/>
    <w:rsid w:val="00F5158A"/>
    <w:rsid w:val="00F53EFE"/>
    <w:rsid w:val="00F5423C"/>
    <w:rsid w:val="00F54BC4"/>
    <w:rsid w:val="00F55327"/>
    <w:rsid w:val="00F557D6"/>
    <w:rsid w:val="00F559F7"/>
    <w:rsid w:val="00F567C8"/>
    <w:rsid w:val="00F57214"/>
    <w:rsid w:val="00F57976"/>
    <w:rsid w:val="00F6020B"/>
    <w:rsid w:val="00F6047A"/>
    <w:rsid w:val="00F6061C"/>
    <w:rsid w:val="00F60B21"/>
    <w:rsid w:val="00F60BA2"/>
    <w:rsid w:val="00F60C72"/>
    <w:rsid w:val="00F60F8D"/>
    <w:rsid w:val="00F620D1"/>
    <w:rsid w:val="00F625C9"/>
    <w:rsid w:val="00F634F6"/>
    <w:rsid w:val="00F63FC7"/>
    <w:rsid w:val="00F646A0"/>
    <w:rsid w:val="00F64A82"/>
    <w:rsid w:val="00F64C39"/>
    <w:rsid w:val="00F65756"/>
    <w:rsid w:val="00F65B18"/>
    <w:rsid w:val="00F67CE3"/>
    <w:rsid w:val="00F70B06"/>
    <w:rsid w:val="00F711AF"/>
    <w:rsid w:val="00F733B2"/>
    <w:rsid w:val="00F74079"/>
    <w:rsid w:val="00F75A6B"/>
    <w:rsid w:val="00F75C3B"/>
    <w:rsid w:val="00F77326"/>
    <w:rsid w:val="00F777E0"/>
    <w:rsid w:val="00F77B4D"/>
    <w:rsid w:val="00F801A3"/>
    <w:rsid w:val="00F809FC"/>
    <w:rsid w:val="00F80A19"/>
    <w:rsid w:val="00F8134B"/>
    <w:rsid w:val="00F81751"/>
    <w:rsid w:val="00F81C26"/>
    <w:rsid w:val="00F82288"/>
    <w:rsid w:val="00F82FA0"/>
    <w:rsid w:val="00F83171"/>
    <w:rsid w:val="00F84511"/>
    <w:rsid w:val="00F84924"/>
    <w:rsid w:val="00F8531E"/>
    <w:rsid w:val="00F85A25"/>
    <w:rsid w:val="00F86A5C"/>
    <w:rsid w:val="00F86CB2"/>
    <w:rsid w:val="00F87B07"/>
    <w:rsid w:val="00F90161"/>
    <w:rsid w:val="00F9032F"/>
    <w:rsid w:val="00F90A14"/>
    <w:rsid w:val="00F91290"/>
    <w:rsid w:val="00F9270A"/>
    <w:rsid w:val="00F935A7"/>
    <w:rsid w:val="00F93BD9"/>
    <w:rsid w:val="00F94880"/>
    <w:rsid w:val="00F9489A"/>
    <w:rsid w:val="00F94E43"/>
    <w:rsid w:val="00F94EF5"/>
    <w:rsid w:val="00F9542C"/>
    <w:rsid w:val="00F96782"/>
    <w:rsid w:val="00F97614"/>
    <w:rsid w:val="00F979B6"/>
    <w:rsid w:val="00F97BDE"/>
    <w:rsid w:val="00FA01A6"/>
    <w:rsid w:val="00FA0437"/>
    <w:rsid w:val="00FA11C8"/>
    <w:rsid w:val="00FA2431"/>
    <w:rsid w:val="00FA2736"/>
    <w:rsid w:val="00FA27F8"/>
    <w:rsid w:val="00FA33D2"/>
    <w:rsid w:val="00FA52D8"/>
    <w:rsid w:val="00FA58A6"/>
    <w:rsid w:val="00FA5A9C"/>
    <w:rsid w:val="00FA60CB"/>
    <w:rsid w:val="00FA6293"/>
    <w:rsid w:val="00FB016C"/>
    <w:rsid w:val="00FB0E8A"/>
    <w:rsid w:val="00FB2BB1"/>
    <w:rsid w:val="00FB4C27"/>
    <w:rsid w:val="00FB4E93"/>
    <w:rsid w:val="00FB5F92"/>
    <w:rsid w:val="00FB681D"/>
    <w:rsid w:val="00FC1A16"/>
    <w:rsid w:val="00FC1AE7"/>
    <w:rsid w:val="00FC2D8B"/>
    <w:rsid w:val="00FC2DC5"/>
    <w:rsid w:val="00FC393C"/>
    <w:rsid w:val="00FC4761"/>
    <w:rsid w:val="00FC4C4E"/>
    <w:rsid w:val="00FC4F44"/>
    <w:rsid w:val="00FC5842"/>
    <w:rsid w:val="00FC73F7"/>
    <w:rsid w:val="00FD0BB9"/>
    <w:rsid w:val="00FD2690"/>
    <w:rsid w:val="00FD2E69"/>
    <w:rsid w:val="00FD3283"/>
    <w:rsid w:val="00FD3306"/>
    <w:rsid w:val="00FD36B1"/>
    <w:rsid w:val="00FD6649"/>
    <w:rsid w:val="00FE0B97"/>
    <w:rsid w:val="00FE11C4"/>
    <w:rsid w:val="00FE1D0D"/>
    <w:rsid w:val="00FE2EB6"/>
    <w:rsid w:val="00FE3451"/>
    <w:rsid w:val="00FE4E2F"/>
    <w:rsid w:val="00FE5227"/>
    <w:rsid w:val="00FE560D"/>
    <w:rsid w:val="00FE59FD"/>
    <w:rsid w:val="00FE60A8"/>
    <w:rsid w:val="00FE7D72"/>
    <w:rsid w:val="00FE7F98"/>
    <w:rsid w:val="00FF021B"/>
    <w:rsid w:val="00FF26A4"/>
    <w:rsid w:val="00FF2CDE"/>
    <w:rsid w:val="00FF2E7F"/>
    <w:rsid w:val="00FF306D"/>
    <w:rsid w:val="00FF5250"/>
    <w:rsid w:val="00FF56DC"/>
    <w:rsid w:val="00FF5712"/>
    <w:rsid w:val="00FF704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B4058"/>
  <w15:chartTrackingRefBased/>
  <w15:docId w15:val="{2FE9AA66-1E22-4773-A70C-82440AC1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8D19B5"/>
    <w:pPr>
      <w:spacing w:before="120" w:after="120" w:line="280" w:lineRule="atLeast"/>
    </w:pPr>
    <w:rPr>
      <w:sz w:val="20"/>
      <w:szCs w:val="20"/>
    </w:rPr>
  </w:style>
  <w:style w:type="paragraph" w:styleId="Heading1">
    <w:name w:val="heading 1"/>
    <w:basedOn w:val="Normal"/>
    <w:next w:val="BodyText"/>
    <w:link w:val="Heading1Char"/>
    <w:uiPriority w:val="9"/>
    <w:qFormat/>
    <w:rsid w:val="008D19B5"/>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8D19B5"/>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8D19B5"/>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8D19B5"/>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8D19B5"/>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8D19B5"/>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8D19B5"/>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8D19B5"/>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8D19B5"/>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9B5"/>
    <w:rPr>
      <w:color w:val="808080"/>
    </w:rPr>
  </w:style>
  <w:style w:type="paragraph" w:styleId="Date">
    <w:name w:val="Date"/>
    <w:basedOn w:val="Normal"/>
    <w:next w:val="Normal"/>
    <w:link w:val="DateChar"/>
    <w:uiPriority w:val="99"/>
    <w:unhideWhenUsed/>
    <w:rsid w:val="008D19B5"/>
    <w:pPr>
      <w:spacing w:after="360" w:line="293" w:lineRule="auto"/>
    </w:pPr>
  </w:style>
  <w:style w:type="character" w:customStyle="1" w:styleId="DateChar">
    <w:name w:val="Date Char"/>
    <w:basedOn w:val="DefaultParagraphFont"/>
    <w:link w:val="Date"/>
    <w:uiPriority w:val="99"/>
    <w:rsid w:val="008D19B5"/>
    <w:rPr>
      <w:sz w:val="20"/>
      <w:szCs w:val="20"/>
    </w:rPr>
  </w:style>
  <w:style w:type="paragraph" w:styleId="NoSpacing">
    <w:name w:val="No Spacing"/>
    <w:basedOn w:val="Normal"/>
    <w:link w:val="NoSpacingChar"/>
    <w:uiPriority w:val="10"/>
    <w:qFormat/>
    <w:rsid w:val="008D19B5"/>
    <w:pPr>
      <w:spacing w:before="0" w:after="0"/>
    </w:pPr>
  </w:style>
  <w:style w:type="paragraph" w:styleId="ListBullet">
    <w:name w:val="List Bullet"/>
    <w:basedOn w:val="Normal"/>
    <w:link w:val="ListBulletChar"/>
    <w:uiPriority w:val="1"/>
    <w:qFormat/>
    <w:rsid w:val="008D19B5"/>
    <w:pPr>
      <w:numPr>
        <w:numId w:val="15"/>
      </w:numPr>
      <w:contextualSpacing/>
    </w:pPr>
  </w:style>
  <w:style w:type="paragraph" w:styleId="ListBullet2">
    <w:name w:val="List Bullet 2"/>
    <w:basedOn w:val="Normal"/>
    <w:uiPriority w:val="1"/>
    <w:qFormat/>
    <w:rsid w:val="008D19B5"/>
    <w:pPr>
      <w:numPr>
        <w:ilvl w:val="1"/>
        <w:numId w:val="15"/>
      </w:numPr>
      <w:contextualSpacing/>
    </w:pPr>
  </w:style>
  <w:style w:type="paragraph" w:styleId="ListNumber">
    <w:name w:val="List Number"/>
    <w:basedOn w:val="Normal"/>
    <w:uiPriority w:val="2"/>
    <w:qFormat/>
    <w:rsid w:val="008D19B5"/>
    <w:pPr>
      <w:numPr>
        <w:numId w:val="19"/>
      </w:numPr>
      <w:spacing w:before="60"/>
      <w:contextualSpacing/>
    </w:pPr>
  </w:style>
  <w:style w:type="numbering" w:customStyle="1" w:styleId="Bullets">
    <w:name w:val="Bullets"/>
    <w:uiPriority w:val="99"/>
    <w:rsid w:val="008D19B5"/>
    <w:pPr>
      <w:numPr>
        <w:numId w:val="5"/>
      </w:numPr>
    </w:pPr>
  </w:style>
  <w:style w:type="character" w:customStyle="1" w:styleId="Heading1Char">
    <w:name w:val="Heading 1 Char"/>
    <w:basedOn w:val="DefaultParagraphFont"/>
    <w:link w:val="Heading1"/>
    <w:uiPriority w:val="9"/>
    <w:rsid w:val="008D19B5"/>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8D19B5"/>
    <w:pPr>
      <w:numPr>
        <w:ilvl w:val="1"/>
        <w:numId w:val="19"/>
      </w:numPr>
      <w:spacing w:before="60"/>
      <w:contextualSpacing/>
    </w:pPr>
  </w:style>
  <w:style w:type="character" w:customStyle="1" w:styleId="Heading2Char">
    <w:name w:val="Heading 2 Char"/>
    <w:basedOn w:val="DefaultParagraphFont"/>
    <w:link w:val="Heading2"/>
    <w:uiPriority w:val="9"/>
    <w:rsid w:val="008D19B5"/>
    <w:rPr>
      <w:rFonts w:asciiTheme="majorHAnsi" w:eastAsiaTheme="majorEastAsia" w:hAnsiTheme="majorHAnsi" w:cstheme="majorBidi"/>
      <w:sz w:val="30"/>
      <w:szCs w:val="60"/>
    </w:rPr>
  </w:style>
  <w:style w:type="paragraph" w:styleId="ListParagraph">
    <w:name w:val="List Paragraph"/>
    <w:basedOn w:val="Normal"/>
    <w:uiPriority w:val="34"/>
    <w:rsid w:val="008D19B5"/>
    <w:pPr>
      <w:spacing w:line="293" w:lineRule="auto"/>
      <w:ind w:left="284"/>
      <w:contextualSpacing/>
    </w:pPr>
  </w:style>
  <w:style w:type="paragraph" w:styleId="Header">
    <w:name w:val="header"/>
    <w:basedOn w:val="Normal"/>
    <w:link w:val="HeaderChar"/>
    <w:uiPriority w:val="99"/>
    <w:unhideWhenUsed/>
    <w:rsid w:val="008D19B5"/>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8D19B5"/>
    <w:rPr>
      <w:sz w:val="16"/>
      <w:szCs w:val="20"/>
    </w:rPr>
  </w:style>
  <w:style w:type="paragraph" w:styleId="Footer">
    <w:name w:val="footer"/>
    <w:basedOn w:val="Normal"/>
    <w:link w:val="FooterChar"/>
    <w:uiPriority w:val="11"/>
    <w:rsid w:val="008D19B5"/>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8D19B5"/>
    <w:rPr>
      <w:rFonts w:asciiTheme="majorHAnsi" w:hAnsiTheme="majorHAnsi"/>
      <w:sz w:val="17"/>
    </w:rPr>
  </w:style>
  <w:style w:type="numbering" w:customStyle="1" w:styleId="Numbering">
    <w:name w:val="Numbering"/>
    <w:uiPriority w:val="99"/>
    <w:rsid w:val="008D19B5"/>
    <w:pPr>
      <w:numPr>
        <w:numId w:val="14"/>
      </w:numPr>
    </w:pPr>
  </w:style>
  <w:style w:type="paragraph" w:styleId="ListBullet3">
    <w:name w:val="List Bullet 3"/>
    <w:basedOn w:val="Normal"/>
    <w:uiPriority w:val="1"/>
    <w:qFormat/>
    <w:rsid w:val="008D19B5"/>
    <w:pPr>
      <w:numPr>
        <w:ilvl w:val="2"/>
        <w:numId w:val="15"/>
      </w:numPr>
      <w:contextualSpacing/>
    </w:pPr>
  </w:style>
  <w:style w:type="paragraph" w:styleId="ListContinue2">
    <w:name w:val="List Continue 2"/>
    <w:basedOn w:val="Normal"/>
    <w:uiPriority w:val="3"/>
    <w:unhideWhenUsed/>
    <w:qFormat/>
    <w:rsid w:val="008D19B5"/>
    <w:pPr>
      <w:spacing w:before="60"/>
      <w:ind w:left="454"/>
    </w:pPr>
  </w:style>
  <w:style w:type="paragraph" w:styleId="ListNumber3">
    <w:name w:val="List Number 3"/>
    <w:basedOn w:val="Normal"/>
    <w:uiPriority w:val="13"/>
    <w:semiHidden/>
    <w:qFormat/>
    <w:rsid w:val="008D19B5"/>
    <w:pPr>
      <w:numPr>
        <w:ilvl w:val="2"/>
        <w:numId w:val="19"/>
      </w:numPr>
      <w:spacing w:before="60"/>
      <w:contextualSpacing/>
    </w:pPr>
  </w:style>
  <w:style w:type="paragraph" w:styleId="ListNumber4">
    <w:name w:val="List Number 4"/>
    <w:basedOn w:val="Normal"/>
    <w:uiPriority w:val="13"/>
    <w:semiHidden/>
    <w:qFormat/>
    <w:rsid w:val="008D19B5"/>
    <w:pPr>
      <w:numPr>
        <w:ilvl w:val="3"/>
        <w:numId w:val="19"/>
      </w:numPr>
      <w:spacing w:after="200" w:line="293" w:lineRule="auto"/>
      <w:contextualSpacing/>
    </w:pPr>
  </w:style>
  <w:style w:type="paragraph" w:styleId="ListNumber5">
    <w:name w:val="List Number 5"/>
    <w:basedOn w:val="Normal"/>
    <w:uiPriority w:val="13"/>
    <w:semiHidden/>
    <w:rsid w:val="008D19B5"/>
    <w:pPr>
      <w:numPr>
        <w:ilvl w:val="4"/>
        <w:numId w:val="19"/>
      </w:numPr>
      <w:spacing w:after="200" w:line="293" w:lineRule="auto"/>
      <w:contextualSpacing/>
    </w:pPr>
  </w:style>
  <w:style w:type="paragraph" w:styleId="ListContinue">
    <w:name w:val="List Continue"/>
    <w:basedOn w:val="Normal"/>
    <w:uiPriority w:val="3"/>
    <w:unhideWhenUsed/>
    <w:qFormat/>
    <w:rsid w:val="008D19B5"/>
    <w:pPr>
      <w:spacing w:before="60"/>
      <w:ind w:left="227"/>
    </w:pPr>
  </w:style>
  <w:style w:type="paragraph" w:styleId="ListContinue3">
    <w:name w:val="List Continue 3"/>
    <w:basedOn w:val="Normal"/>
    <w:uiPriority w:val="3"/>
    <w:unhideWhenUsed/>
    <w:qFormat/>
    <w:rsid w:val="008D19B5"/>
    <w:pPr>
      <w:spacing w:before="60"/>
      <w:ind w:left="907"/>
    </w:pPr>
  </w:style>
  <w:style w:type="paragraph" w:styleId="ListContinue4">
    <w:name w:val="List Continue 4"/>
    <w:basedOn w:val="Normal"/>
    <w:uiPriority w:val="3"/>
    <w:unhideWhenUsed/>
    <w:qFormat/>
    <w:rsid w:val="008D19B5"/>
    <w:pPr>
      <w:spacing w:line="293" w:lineRule="auto"/>
      <w:ind w:left="907"/>
      <w:contextualSpacing/>
    </w:pPr>
  </w:style>
  <w:style w:type="character" w:customStyle="1" w:styleId="Heading3Char">
    <w:name w:val="Heading 3 Char"/>
    <w:basedOn w:val="DefaultParagraphFont"/>
    <w:link w:val="Heading3"/>
    <w:uiPriority w:val="9"/>
    <w:rsid w:val="008D19B5"/>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8D19B5"/>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8D19B5"/>
    <w:rPr>
      <w:rFonts w:eastAsiaTheme="majorEastAsia" w:cstheme="majorBidi"/>
      <w:b/>
      <w:color w:val="265A9A" w:themeColor="background2"/>
      <w:szCs w:val="29"/>
    </w:rPr>
  </w:style>
  <w:style w:type="numbering" w:customStyle="1" w:styleId="ListHeadings">
    <w:name w:val="List Headings"/>
    <w:uiPriority w:val="99"/>
    <w:rsid w:val="008D19B5"/>
    <w:pPr>
      <w:numPr>
        <w:numId w:val="12"/>
      </w:numPr>
    </w:pPr>
  </w:style>
  <w:style w:type="paragraph" w:styleId="Title">
    <w:name w:val="Title"/>
    <w:basedOn w:val="Heading1"/>
    <w:next w:val="Normal"/>
    <w:link w:val="TitleChar"/>
    <w:uiPriority w:val="39"/>
    <w:rsid w:val="008D19B5"/>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8D19B5"/>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8D19B5"/>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8D19B5"/>
    <w:rPr>
      <w:b/>
    </w:rPr>
  </w:style>
  <w:style w:type="character" w:customStyle="1" w:styleId="Pull-outQuoteChar">
    <w:name w:val="Pull-out Quote Char"/>
    <w:basedOn w:val="DefaultParagraphFont"/>
    <w:link w:val="Pull-outQuote"/>
    <w:uiPriority w:val="99"/>
    <w:semiHidden/>
    <w:rsid w:val="008D19B5"/>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8D19B5"/>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8D19B5"/>
  </w:style>
  <w:style w:type="paragraph" w:customStyle="1" w:styleId="NumberedHeading2">
    <w:name w:val="Numbered Heading 2"/>
    <w:basedOn w:val="Heading2"/>
    <w:next w:val="Normal"/>
    <w:link w:val="NumberedHeading2Char"/>
    <w:uiPriority w:val="9"/>
    <w:semiHidden/>
    <w:rsid w:val="008D19B5"/>
  </w:style>
  <w:style w:type="character" w:customStyle="1" w:styleId="NumberedHeading1Char">
    <w:name w:val="Numbered Heading 1 Char"/>
    <w:basedOn w:val="Heading1Char"/>
    <w:link w:val="NumberedHeading1"/>
    <w:uiPriority w:val="9"/>
    <w:semiHidden/>
    <w:rsid w:val="008D19B5"/>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8D19B5"/>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8D19B5"/>
    <w:pPr>
      <w:ind w:left="1134"/>
      <w:contextualSpacing/>
    </w:pPr>
  </w:style>
  <w:style w:type="table" w:styleId="TableGrid">
    <w:name w:val="Table Grid"/>
    <w:basedOn w:val="TableNormal"/>
    <w:uiPriority w:val="39"/>
    <w:rsid w:val="008D1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8D19B5"/>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8D19B5"/>
    <w:pPr>
      <w:numPr>
        <w:numId w:val="9"/>
      </w:numPr>
      <w:spacing w:before="60"/>
    </w:pPr>
  </w:style>
  <w:style w:type="paragraph" w:styleId="List2">
    <w:name w:val="List 2"/>
    <w:basedOn w:val="Normal"/>
    <w:uiPriority w:val="99"/>
    <w:semiHidden/>
    <w:qFormat/>
    <w:rsid w:val="008D19B5"/>
    <w:pPr>
      <w:numPr>
        <w:ilvl w:val="1"/>
        <w:numId w:val="9"/>
      </w:numPr>
      <w:spacing w:before="60"/>
    </w:pPr>
  </w:style>
  <w:style w:type="numbering" w:customStyle="1" w:styleId="LetteredList">
    <w:name w:val="Lettered List"/>
    <w:uiPriority w:val="99"/>
    <w:rsid w:val="008D19B5"/>
    <w:pPr>
      <w:numPr>
        <w:numId w:val="8"/>
      </w:numPr>
    </w:pPr>
  </w:style>
  <w:style w:type="paragraph" w:styleId="Subtitle">
    <w:name w:val="Subtitle"/>
    <w:basedOn w:val="Normal"/>
    <w:next w:val="Normal"/>
    <w:link w:val="SubtitleChar"/>
    <w:uiPriority w:val="39"/>
    <w:rsid w:val="008D19B5"/>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8D19B5"/>
    <w:rPr>
      <w:rFonts w:eastAsiaTheme="minorEastAsia"/>
      <w:color w:val="FFFFFF" w:themeColor="background1"/>
      <w:sz w:val="52"/>
      <w:szCs w:val="20"/>
    </w:rPr>
  </w:style>
  <w:style w:type="character" w:styleId="Strong">
    <w:name w:val="Strong"/>
    <w:basedOn w:val="DefaultParagraphFont"/>
    <w:uiPriority w:val="22"/>
    <w:qFormat/>
    <w:rsid w:val="008D19B5"/>
    <w:rPr>
      <w:rFonts w:asciiTheme="minorHAnsi" w:hAnsiTheme="minorHAnsi"/>
      <w:b/>
      <w:bCs/>
    </w:rPr>
  </w:style>
  <w:style w:type="paragraph" w:customStyle="1" w:styleId="Header-Keyline">
    <w:name w:val="Header - Keyline"/>
    <w:basedOn w:val="Header"/>
    <w:link w:val="Header-KeylineChar"/>
    <w:uiPriority w:val="99"/>
    <w:rsid w:val="008D19B5"/>
    <w:pPr>
      <w:pBdr>
        <w:bottom w:val="single" w:sz="4" w:space="31" w:color="66BCDB" w:themeColor="text2"/>
      </w:pBdr>
      <w:spacing w:after="600"/>
    </w:pPr>
  </w:style>
  <w:style w:type="character" w:customStyle="1" w:styleId="Heading6Char">
    <w:name w:val="Heading 6 Char"/>
    <w:basedOn w:val="DefaultParagraphFont"/>
    <w:link w:val="Heading6"/>
    <w:uiPriority w:val="9"/>
    <w:rsid w:val="008D19B5"/>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8D19B5"/>
    <w:rPr>
      <w:sz w:val="16"/>
      <w:szCs w:val="20"/>
    </w:rPr>
  </w:style>
  <w:style w:type="character" w:customStyle="1" w:styleId="Heading7Char">
    <w:name w:val="Heading 7 Char"/>
    <w:basedOn w:val="DefaultParagraphFont"/>
    <w:link w:val="Heading7"/>
    <w:uiPriority w:val="9"/>
    <w:semiHidden/>
    <w:rsid w:val="008D19B5"/>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8D19B5"/>
    <w:rPr>
      <w:rFonts w:eastAsiaTheme="majorEastAsia" w:cstheme="majorBidi"/>
      <w:b/>
      <w:sz w:val="18"/>
      <w:szCs w:val="21"/>
    </w:rPr>
  </w:style>
  <w:style w:type="table" w:customStyle="1" w:styleId="ProductivityCommissionTable1">
    <w:name w:val="Productivity Commission Table 1"/>
    <w:basedOn w:val="TableNormal"/>
    <w:uiPriority w:val="99"/>
    <w:rsid w:val="008D19B5"/>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8D19B5"/>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8D19B5"/>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8D19B5"/>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8D19B5"/>
    <w:pPr>
      <w:spacing w:before="60" w:after="60" w:line="293" w:lineRule="auto"/>
      <w:contextualSpacing/>
    </w:pPr>
    <w:rPr>
      <w:sz w:val="18"/>
    </w:rPr>
  </w:style>
  <w:style w:type="paragraph" w:styleId="TOC1">
    <w:name w:val="toc 1"/>
    <w:basedOn w:val="Normal"/>
    <w:next w:val="BodyText"/>
    <w:autoRedefine/>
    <w:uiPriority w:val="39"/>
    <w:unhideWhenUsed/>
    <w:rsid w:val="008D19B5"/>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8D19B5"/>
    <w:rPr>
      <w:sz w:val="18"/>
      <w:szCs w:val="20"/>
    </w:rPr>
  </w:style>
  <w:style w:type="character" w:styleId="FootnoteReference">
    <w:name w:val="footnote reference"/>
    <w:basedOn w:val="DefaultParagraphFont"/>
    <w:uiPriority w:val="99"/>
    <w:unhideWhenUsed/>
    <w:rsid w:val="008D19B5"/>
    <w:rPr>
      <w:vertAlign w:val="superscript"/>
    </w:rPr>
  </w:style>
  <w:style w:type="character" w:styleId="Hyperlink">
    <w:name w:val="Hyperlink"/>
    <w:basedOn w:val="DefaultParagraphFont"/>
    <w:uiPriority w:val="99"/>
    <w:unhideWhenUsed/>
    <w:rsid w:val="008D19B5"/>
    <w:rPr>
      <w:color w:val="000000" w:themeColor="hyperlink"/>
      <w:u w:val="single"/>
    </w:rPr>
  </w:style>
  <w:style w:type="character" w:styleId="HTMLVariable">
    <w:name w:val="HTML Variable"/>
    <w:basedOn w:val="DefaultParagraphFont"/>
    <w:uiPriority w:val="99"/>
    <w:unhideWhenUsed/>
    <w:rsid w:val="008D19B5"/>
    <w:rPr>
      <w:i/>
      <w:iCs/>
    </w:rPr>
  </w:style>
  <w:style w:type="paragraph" w:styleId="TOC2">
    <w:name w:val="toc 2"/>
    <w:basedOn w:val="Normal"/>
    <w:next w:val="Normal"/>
    <w:autoRedefine/>
    <w:uiPriority w:val="39"/>
    <w:unhideWhenUsed/>
    <w:rsid w:val="008D19B5"/>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8D19B5"/>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8D19B5"/>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8D19B5"/>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8D19B5"/>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8D19B5"/>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8D19B5"/>
    <w:rPr>
      <w:sz w:val="20"/>
      <w:szCs w:val="20"/>
    </w:rPr>
  </w:style>
  <w:style w:type="character" w:customStyle="1" w:styleId="Copyrightpage-Heading2Char">
    <w:name w:val="Copyright page-Heading 2 Char"/>
    <w:basedOn w:val="NoSpacingChar"/>
    <w:link w:val="Copyrightpage-Heading2"/>
    <w:uiPriority w:val="19"/>
    <w:rsid w:val="008D19B5"/>
    <w:rPr>
      <w:b/>
      <w:color w:val="FFFFFF" w:themeColor="background1"/>
      <w:sz w:val="16"/>
      <w:szCs w:val="16"/>
    </w:rPr>
  </w:style>
  <w:style w:type="paragraph" w:customStyle="1" w:styleId="Copyrightpage-Heading">
    <w:name w:val="Copyright page-Heading"/>
    <w:basedOn w:val="Subtitle2"/>
    <w:link w:val="Copyrightpage-HeadingChar"/>
    <w:uiPriority w:val="19"/>
    <w:rsid w:val="008D19B5"/>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8D19B5"/>
    <w:rPr>
      <w:color w:val="FFFFFF" w:themeColor="background1"/>
      <w:sz w:val="16"/>
      <w:szCs w:val="20"/>
    </w:rPr>
  </w:style>
  <w:style w:type="paragraph" w:customStyle="1" w:styleId="Subtitle4">
    <w:name w:val="Subtitle 4"/>
    <w:basedOn w:val="Copyrightpage-Heading"/>
    <w:link w:val="Subtitle4Char"/>
    <w:uiPriority w:val="39"/>
    <w:rsid w:val="008D19B5"/>
    <w:pPr>
      <w:spacing w:after="40"/>
    </w:pPr>
    <w:rPr>
      <w:b/>
      <w:sz w:val="16"/>
    </w:rPr>
  </w:style>
  <w:style w:type="character" w:customStyle="1" w:styleId="Copyrightpage-HeadingChar">
    <w:name w:val="Copyright page-Heading Char"/>
    <w:basedOn w:val="Subtitle2Char"/>
    <w:link w:val="Copyrightpage-Heading"/>
    <w:uiPriority w:val="19"/>
    <w:rsid w:val="008D19B5"/>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8D19B5"/>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8D19B5"/>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8D19B5"/>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8D19B5"/>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8D19B5"/>
    <w:pPr>
      <w:spacing w:line="360" w:lineRule="auto"/>
      <w:jc w:val="right"/>
    </w:pPr>
    <w:rPr>
      <w:sz w:val="16"/>
    </w:rPr>
  </w:style>
  <w:style w:type="paragraph" w:customStyle="1" w:styleId="Letterlogo">
    <w:name w:val="Letter logo"/>
    <w:basedOn w:val="LetterRight"/>
    <w:uiPriority w:val="99"/>
    <w:rsid w:val="008D19B5"/>
    <w:pPr>
      <w:spacing w:after="320"/>
    </w:pPr>
  </w:style>
  <w:style w:type="character" w:customStyle="1" w:styleId="LetterRightChar">
    <w:name w:val="Letter Right Char"/>
    <w:basedOn w:val="DefaultParagraphFont"/>
    <w:link w:val="LetterRight"/>
    <w:uiPriority w:val="99"/>
    <w:rsid w:val="008D19B5"/>
    <w:rPr>
      <w:sz w:val="16"/>
      <w:szCs w:val="20"/>
    </w:rPr>
  </w:style>
  <w:style w:type="character" w:styleId="UnresolvedMention">
    <w:name w:val="Unresolved Mention"/>
    <w:basedOn w:val="DefaultParagraphFont"/>
    <w:uiPriority w:val="99"/>
    <w:semiHidden/>
    <w:unhideWhenUsed/>
    <w:rsid w:val="008D19B5"/>
    <w:rPr>
      <w:color w:val="605E5C"/>
      <w:shd w:val="clear" w:color="auto" w:fill="E1DFDD"/>
    </w:rPr>
  </w:style>
  <w:style w:type="paragraph" w:customStyle="1" w:styleId="LetterRight-NoSpace">
    <w:name w:val="Letter Right-No Space"/>
    <w:basedOn w:val="LetterRight"/>
    <w:uiPriority w:val="99"/>
    <w:rsid w:val="008D19B5"/>
    <w:pPr>
      <w:spacing w:after="0"/>
    </w:pPr>
  </w:style>
  <w:style w:type="table" w:customStyle="1" w:styleId="Blank">
    <w:name w:val="Blank"/>
    <w:basedOn w:val="TableNormal"/>
    <w:uiPriority w:val="99"/>
    <w:rsid w:val="008D19B5"/>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8D19B5"/>
    <w:pPr>
      <w:numPr>
        <w:numId w:val="11"/>
      </w:numPr>
      <w:contextualSpacing/>
    </w:pPr>
  </w:style>
  <w:style w:type="paragraph" w:customStyle="1" w:styleId="Coverdate">
    <w:name w:val="Cover date"/>
    <w:basedOn w:val="Normal"/>
    <w:uiPriority w:val="29"/>
    <w:rsid w:val="008D19B5"/>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8D19B5"/>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8D19B5"/>
    <w:rPr>
      <w:color w:val="FFFFFF" w:themeColor="background1"/>
    </w:rPr>
  </w:style>
  <w:style w:type="paragraph" w:customStyle="1" w:styleId="Copyrightpage-Keylinenotext">
    <w:name w:val="Copyright page-Keyline (no text)"/>
    <w:basedOn w:val="Copyrightpage-Heading2"/>
    <w:uiPriority w:val="19"/>
    <w:rsid w:val="008D19B5"/>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8D19B5"/>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8D19B5"/>
    <w:rPr>
      <w:b/>
    </w:rPr>
  </w:style>
  <w:style w:type="paragraph" w:customStyle="1" w:styleId="CoverImage">
    <w:name w:val="Cover Image"/>
    <w:basedOn w:val="Normal"/>
    <w:uiPriority w:val="29"/>
    <w:rsid w:val="008D19B5"/>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8D19B5"/>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8D19B5"/>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8D19B5"/>
    <w:pPr>
      <w:spacing w:before="60"/>
      <w:ind w:left="113" w:right="851"/>
    </w:pPr>
    <w:rPr>
      <w:color w:val="58585B"/>
    </w:rPr>
  </w:style>
  <w:style w:type="numbering" w:customStyle="1" w:styleId="TOCList">
    <w:name w:val="TOC List"/>
    <w:uiPriority w:val="99"/>
    <w:rsid w:val="008D19B5"/>
    <w:pPr>
      <w:numPr>
        <w:numId w:val="17"/>
      </w:numPr>
    </w:pPr>
  </w:style>
  <w:style w:type="paragraph" w:customStyle="1" w:styleId="Heading1-Section-fullpage">
    <w:name w:val="Heading 1-Section-full page"/>
    <w:basedOn w:val="Heading1-nobackground"/>
    <w:uiPriority w:val="9"/>
    <w:qFormat/>
    <w:rsid w:val="008D19B5"/>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8D19B5"/>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8D19B5"/>
    <w:pPr>
      <w:keepNext/>
      <w:spacing w:before="240"/>
    </w:pPr>
  </w:style>
  <w:style w:type="paragraph" w:customStyle="1" w:styleId="Source">
    <w:name w:val="Source"/>
    <w:basedOn w:val="Normal"/>
    <w:uiPriority w:val="9"/>
    <w:qFormat/>
    <w:rsid w:val="008D19B5"/>
    <w:pPr>
      <w:spacing w:before="80" w:after="240" w:line="216" w:lineRule="atLeast"/>
    </w:pPr>
    <w:rPr>
      <w:sz w:val="18"/>
    </w:rPr>
  </w:style>
  <w:style w:type="paragraph" w:customStyle="1" w:styleId="Note">
    <w:name w:val="Note"/>
    <w:basedOn w:val="Source"/>
    <w:uiPriority w:val="9"/>
    <w:qFormat/>
    <w:rsid w:val="008D19B5"/>
    <w:pPr>
      <w:spacing w:after="20"/>
    </w:pPr>
  </w:style>
  <w:style w:type="numbering" w:customStyle="1" w:styleId="Figure">
    <w:name w:val="Figure"/>
    <w:uiPriority w:val="99"/>
    <w:rsid w:val="008D19B5"/>
    <w:pPr>
      <w:numPr>
        <w:numId w:val="6"/>
      </w:numPr>
    </w:pPr>
  </w:style>
  <w:style w:type="table" w:customStyle="1" w:styleId="Boxtable">
    <w:name w:val="Box table"/>
    <w:basedOn w:val="Texttable-Paleblue"/>
    <w:uiPriority w:val="99"/>
    <w:rsid w:val="008D19B5"/>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8D19B5"/>
    <w:pPr>
      <w:numPr>
        <w:numId w:val="4"/>
      </w:numPr>
    </w:pPr>
  </w:style>
  <w:style w:type="paragraph" w:customStyle="1" w:styleId="BoxHeading2">
    <w:name w:val="Box Heading 2"/>
    <w:basedOn w:val="Normal"/>
    <w:next w:val="BodyText"/>
    <w:uiPriority w:val="4"/>
    <w:qFormat/>
    <w:rsid w:val="008D19B5"/>
    <w:rPr>
      <w:b/>
    </w:rPr>
  </w:style>
  <w:style w:type="table" w:customStyle="1" w:styleId="ProductivityCommissionTable2-Dark">
    <w:name w:val="Productivity Commission Table 2 - Dark"/>
    <w:basedOn w:val="ProductivityCommissionTable2"/>
    <w:uiPriority w:val="99"/>
    <w:rsid w:val="008D19B5"/>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8D19B5"/>
    <w:rPr>
      <w:i/>
    </w:rPr>
  </w:style>
  <w:style w:type="paragraph" w:customStyle="1" w:styleId="TableHeading">
    <w:name w:val="Table Heading"/>
    <w:basedOn w:val="NoSpacing"/>
    <w:uiPriority w:val="4"/>
    <w:qFormat/>
    <w:rsid w:val="008D19B5"/>
    <w:pPr>
      <w:spacing w:after="20"/>
      <w:ind w:left="57"/>
    </w:pPr>
    <w:rPr>
      <w:b/>
      <w:color w:val="265A9A" w:themeColor="background2"/>
      <w:sz w:val="18"/>
    </w:rPr>
  </w:style>
  <w:style w:type="paragraph" w:customStyle="1" w:styleId="BodyText-Blue">
    <w:name w:val="Body Text-Blue"/>
    <w:basedOn w:val="BodyText"/>
    <w:link w:val="BodyText-BlueChar"/>
    <w:semiHidden/>
    <w:qFormat/>
    <w:rsid w:val="008D19B5"/>
    <w:rPr>
      <w:color w:val="265A9A" w:themeColor="background2"/>
    </w:rPr>
  </w:style>
  <w:style w:type="table" w:customStyle="1" w:styleId="Texttable-Keyline">
    <w:name w:val="Text table-Keyline"/>
    <w:basedOn w:val="Texttable-Paleblue"/>
    <w:uiPriority w:val="99"/>
    <w:rsid w:val="008D19B5"/>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8D19B5"/>
    <w:pPr>
      <w:jc w:val="right"/>
    </w:pPr>
  </w:style>
  <w:style w:type="table" w:customStyle="1" w:styleId="CopyrightPage">
    <w:name w:val="Copyright Page"/>
    <w:basedOn w:val="OverviewPageBannerTableStyle"/>
    <w:uiPriority w:val="99"/>
    <w:rsid w:val="008D19B5"/>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8D19B5"/>
    <w:pPr>
      <w:spacing w:line="312" w:lineRule="atLeast"/>
    </w:pPr>
    <w:rPr>
      <w:color w:val="2C9BC2"/>
    </w:rPr>
  </w:style>
  <w:style w:type="paragraph" w:styleId="BodyText">
    <w:name w:val="Body Text"/>
    <w:basedOn w:val="Normal"/>
    <w:link w:val="BodyTextChar"/>
    <w:qFormat/>
    <w:rsid w:val="008D19B5"/>
  </w:style>
  <w:style w:type="character" w:customStyle="1" w:styleId="BodyTextChar">
    <w:name w:val="Body Text Char"/>
    <w:basedOn w:val="DefaultParagraphFont"/>
    <w:link w:val="BodyText"/>
    <w:rsid w:val="008D19B5"/>
    <w:rPr>
      <w:sz w:val="20"/>
      <w:szCs w:val="20"/>
    </w:rPr>
  </w:style>
  <w:style w:type="paragraph" w:styleId="List4">
    <w:name w:val="List 4"/>
    <w:basedOn w:val="Normal"/>
    <w:uiPriority w:val="99"/>
    <w:semiHidden/>
    <w:rsid w:val="008D19B5"/>
    <w:pPr>
      <w:numPr>
        <w:ilvl w:val="3"/>
        <w:numId w:val="9"/>
      </w:numPr>
      <w:contextualSpacing/>
    </w:pPr>
  </w:style>
  <w:style w:type="paragraph" w:styleId="List3">
    <w:name w:val="List 3"/>
    <w:basedOn w:val="Normal"/>
    <w:uiPriority w:val="99"/>
    <w:semiHidden/>
    <w:rsid w:val="008D19B5"/>
    <w:pPr>
      <w:numPr>
        <w:ilvl w:val="2"/>
        <w:numId w:val="9"/>
      </w:numPr>
      <w:contextualSpacing/>
    </w:pPr>
  </w:style>
  <w:style w:type="paragraph" w:customStyle="1" w:styleId="Heading1-nonumber">
    <w:name w:val="Heading 1-no number"/>
    <w:basedOn w:val="Heading1"/>
    <w:next w:val="BodyText"/>
    <w:uiPriority w:val="9"/>
    <w:qFormat/>
    <w:rsid w:val="008D19B5"/>
    <w:pPr>
      <w:numPr>
        <w:numId w:val="0"/>
      </w:numPr>
      <w:ind w:left="567"/>
    </w:pPr>
  </w:style>
  <w:style w:type="paragraph" w:customStyle="1" w:styleId="ListAlpha1">
    <w:name w:val="List Alpha 1"/>
    <w:basedOn w:val="Normal"/>
    <w:uiPriority w:val="3"/>
    <w:qFormat/>
    <w:rsid w:val="008D19B5"/>
    <w:pPr>
      <w:numPr>
        <w:numId w:val="10"/>
      </w:numPr>
      <w:spacing w:before="60"/>
      <w:contextualSpacing/>
    </w:pPr>
  </w:style>
  <w:style w:type="paragraph" w:customStyle="1" w:styleId="ListAlpha2">
    <w:name w:val="List Alpha 2"/>
    <w:basedOn w:val="ListAlpha1"/>
    <w:uiPriority w:val="3"/>
    <w:qFormat/>
    <w:rsid w:val="008D19B5"/>
    <w:pPr>
      <w:numPr>
        <w:ilvl w:val="1"/>
      </w:numPr>
    </w:pPr>
  </w:style>
  <w:style w:type="paragraph" w:customStyle="1" w:styleId="ListAlpha3">
    <w:name w:val="List Alpha 3"/>
    <w:basedOn w:val="ListAlpha2"/>
    <w:uiPriority w:val="3"/>
    <w:qFormat/>
    <w:rsid w:val="008D19B5"/>
    <w:pPr>
      <w:numPr>
        <w:ilvl w:val="2"/>
      </w:numPr>
    </w:pPr>
  </w:style>
  <w:style w:type="paragraph" w:customStyle="1" w:styleId="ListAlpha4">
    <w:name w:val="List Alpha 4"/>
    <w:basedOn w:val="ListAlpha3"/>
    <w:uiPriority w:val="3"/>
    <w:qFormat/>
    <w:rsid w:val="008D19B5"/>
    <w:pPr>
      <w:numPr>
        <w:ilvl w:val="3"/>
      </w:numPr>
    </w:pPr>
  </w:style>
  <w:style w:type="numbering" w:customStyle="1" w:styleId="Alphalist">
    <w:name w:val="Alpha list"/>
    <w:uiPriority w:val="99"/>
    <w:rsid w:val="008D19B5"/>
    <w:pPr>
      <w:numPr>
        <w:numId w:val="1"/>
      </w:numPr>
    </w:pPr>
  </w:style>
  <w:style w:type="paragraph" w:customStyle="1" w:styleId="KeyPoints-Bold">
    <w:name w:val="Key Points-Bold"/>
    <w:basedOn w:val="Normal"/>
    <w:uiPriority w:val="10"/>
    <w:qFormat/>
    <w:rsid w:val="008D19B5"/>
    <w:pPr>
      <w:spacing w:before="40" w:after="60" w:line="274" w:lineRule="atLeast"/>
    </w:pPr>
    <w:rPr>
      <w:b/>
      <w:sz w:val="18"/>
    </w:rPr>
  </w:style>
  <w:style w:type="paragraph" w:customStyle="1" w:styleId="Copyrightpage-BodyBold">
    <w:name w:val="Copyright page-Body Bold"/>
    <w:basedOn w:val="Copyrightpage-BodyText"/>
    <w:uiPriority w:val="19"/>
    <w:rsid w:val="008D19B5"/>
    <w:rPr>
      <w:b/>
    </w:rPr>
  </w:style>
  <w:style w:type="paragraph" w:customStyle="1" w:styleId="KeyPoints-Bullet">
    <w:name w:val="Key Points-Bullet"/>
    <w:basedOn w:val="ListBullet"/>
    <w:uiPriority w:val="10"/>
    <w:qFormat/>
    <w:rsid w:val="008D19B5"/>
    <w:pPr>
      <w:spacing w:after="60" w:line="274" w:lineRule="atLeast"/>
    </w:pPr>
    <w:rPr>
      <w:sz w:val="18"/>
    </w:rPr>
  </w:style>
  <w:style w:type="paragraph" w:customStyle="1" w:styleId="BodyText-Grey">
    <w:name w:val="Body Text-Grey"/>
    <w:basedOn w:val="BodyText"/>
    <w:link w:val="BodyText-GreyChar"/>
    <w:semiHidden/>
    <w:qFormat/>
    <w:rsid w:val="008D19B5"/>
    <w:rPr>
      <w:color w:val="58585B"/>
    </w:rPr>
  </w:style>
  <w:style w:type="character" w:customStyle="1" w:styleId="BodyText-GreyChar">
    <w:name w:val="Body Text-Grey Char"/>
    <w:basedOn w:val="BodyTextChar"/>
    <w:link w:val="BodyText-Grey"/>
    <w:semiHidden/>
    <w:rsid w:val="008D19B5"/>
    <w:rPr>
      <w:color w:val="58585B"/>
      <w:sz w:val="20"/>
      <w:szCs w:val="20"/>
    </w:rPr>
  </w:style>
  <w:style w:type="paragraph" w:styleId="BalloonText">
    <w:name w:val="Balloon Text"/>
    <w:basedOn w:val="Normal"/>
    <w:link w:val="BalloonTextChar"/>
    <w:uiPriority w:val="99"/>
    <w:semiHidden/>
    <w:unhideWhenUsed/>
    <w:rsid w:val="008D1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9B5"/>
    <w:rPr>
      <w:rFonts w:ascii="Segoe UI" w:hAnsi="Segoe UI" w:cs="Segoe UI"/>
      <w:sz w:val="18"/>
      <w:szCs w:val="18"/>
    </w:rPr>
  </w:style>
  <w:style w:type="character" w:styleId="CommentReference">
    <w:name w:val="annotation reference"/>
    <w:basedOn w:val="DefaultParagraphFont"/>
    <w:uiPriority w:val="99"/>
    <w:semiHidden/>
    <w:unhideWhenUsed/>
    <w:rsid w:val="008D19B5"/>
    <w:rPr>
      <w:sz w:val="16"/>
      <w:szCs w:val="16"/>
    </w:rPr>
  </w:style>
  <w:style w:type="paragraph" w:styleId="CommentText">
    <w:name w:val="annotation text"/>
    <w:basedOn w:val="Normal"/>
    <w:link w:val="CommentTextChar"/>
    <w:uiPriority w:val="99"/>
    <w:unhideWhenUsed/>
    <w:rsid w:val="008D19B5"/>
    <w:pPr>
      <w:spacing w:line="240" w:lineRule="auto"/>
    </w:pPr>
  </w:style>
  <w:style w:type="character" w:customStyle="1" w:styleId="CommentTextChar">
    <w:name w:val="Comment Text Char"/>
    <w:basedOn w:val="DefaultParagraphFont"/>
    <w:link w:val="CommentText"/>
    <w:uiPriority w:val="99"/>
    <w:rsid w:val="008D19B5"/>
    <w:rPr>
      <w:sz w:val="20"/>
      <w:szCs w:val="20"/>
    </w:rPr>
  </w:style>
  <w:style w:type="paragraph" w:styleId="CommentSubject">
    <w:name w:val="annotation subject"/>
    <w:basedOn w:val="CommentText"/>
    <w:next w:val="CommentText"/>
    <w:link w:val="CommentSubjectChar"/>
    <w:uiPriority w:val="99"/>
    <w:semiHidden/>
    <w:unhideWhenUsed/>
    <w:rsid w:val="008D19B5"/>
    <w:rPr>
      <w:b/>
      <w:bCs/>
    </w:rPr>
  </w:style>
  <w:style w:type="character" w:customStyle="1" w:styleId="CommentSubjectChar">
    <w:name w:val="Comment Subject Char"/>
    <w:basedOn w:val="CommentTextChar"/>
    <w:link w:val="CommentSubject"/>
    <w:uiPriority w:val="99"/>
    <w:semiHidden/>
    <w:rsid w:val="008D19B5"/>
    <w:rPr>
      <w:b/>
      <w:bCs/>
      <w:sz w:val="20"/>
      <w:szCs w:val="20"/>
    </w:rPr>
  </w:style>
  <w:style w:type="character" w:customStyle="1" w:styleId="ColourBlue">
    <w:name w:val="Colour Blue"/>
    <w:basedOn w:val="DefaultParagraphFont"/>
    <w:uiPriority w:val="22"/>
    <w:qFormat/>
    <w:rsid w:val="008D19B5"/>
    <w:rPr>
      <w:color w:val="66BCDB" w:themeColor="text2"/>
    </w:rPr>
  </w:style>
  <w:style w:type="character" w:customStyle="1" w:styleId="ColourDarkBlue">
    <w:name w:val="Colour Dark Blue"/>
    <w:basedOn w:val="ColourBlue"/>
    <w:uiPriority w:val="22"/>
    <w:qFormat/>
    <w:rsid w:val="008D19B5"/>
    <w:rPr>
      <w:color w:val="265A9A" w:themeColor="background2"/>
    </w:rPr>
  </w:style>
  <w:style w:type="paragraph" w:customStyle="1" w:styleId="BodyText-Beforebullet">
    <w:name w:val="Body Text-Before bullet"/>
    <w:basedOn w:val="BodyText"/>
    <w:link w:val="BodyText-BeforebulletChar"/>
    <w:semiHidden/>
    <w:unhideWhenUsed/>
    <w:rsid w:val="008D19B5"/>
    <w:pPr>
      <w:spacing w:after="20"/>
    </w:pPr>
  </w:style>
  <w:style w:type="paragraph" w:customStyle="1" w:styleId="PullQuote">
    <w:name w:val="Pull Quote"/>
    <w:basedOn w:val="BodyText"/>
    <w:next w:val="BodyText"/>
    <w:uiPriority w:val="10"/>
    <w:qFormat/>
    <w:rsid w:val="008D19B5"/>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8D19B5"/>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8D19B5"/>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8D19B5"/>
    <w:pPr>
      <w:spacing w:before="60"/>
      <w:jc w:val="right"/>
    </w:pPr>
  </w:style>
  <w:style w:type="paragraph" w:customStyle="1" w:styleId="FigureTableSubheading">
    <w:name w:val="Figure/Table Subheading"/>
    <w:basedOn w:val="FigureTableHeading"/>
    <w:uiPriority w:val="4"/>
    <w:qFormat/>
    <w:rsid w:val="008D19B5"/>
    <w:pPr>
      <w:spacing w:before="40"/>
    </w:pPr>
    <w:rPr>
      <w:color w:val="58585B"/>
    </w:rPr>
  </w:style>
  <w:style w:type="table" w:customStyle="1" w:styleId="TextTable-Grey">
    <w:name w:val="Text Table-Grey"/>
    <w:basedOn w:val="Texttable-Paleblue"/>
    <w:uiPriority w:val="99"/>
    <w:rsid w:val="008D19B5"/>
    <w:rPr>
      <w:color w:val="265A9A" w:themeColor="background2"/>
    </w:rPr>
    <w:tblPr/>
    <w:tcPr>
      <w:shd w:val="clear" w:color="auto" w:fill="F2F2F2"/>
    </w:tcPr>
  </w:style>
  <w:style w:type="character" w:customStyle="1" w:styleId="BodyText-BlueChar">
    <w:name w:val="Body Text-Blue Char"/>
    <w:basedOn w:val="BodyTextChar"/>
    <w:link w:val="BodyText-Blue"/>
    <w:semiHidden/>
    <w:rsid w:val="008D19B5"/>
    <w:rPr>
      <w:color w:val="265A9A" w:themeColor="background2"/>
      <w:sz w:val="20"/>
      <w:szCs w:val="20"/>
    </w:rPr>
  </w:style>
  <w:style w:type="paragraph" w:customStyle="1" w:styleId="Heading3-nonumber">
    <w:name w:val="Heading 3-no number"/>
    <w:basedOn w:val="Heading3"/>
    <w:uiPriority w:val="9"/>
    <w:semiHidden/>
    <w:qFormat/>
    <w:rsid w:val="008D19B5"/>
  </w:style>
  <w:style w:type="paragraph" w:customStyle="1" w:styleId="Heading1-nobackground">
    <w:name w:val="Heading 1-no background"/>
    <w:basedOn w:val="Heading1"/>
    <w:next w:val="BodyText"/>
    <w:uiPriority w:val="9"/>
    <w:qFormat/>
    <w:rsid w:val="008D19B5"/>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8D19B5"/>
    <w:rPr>
      <w:color w:val="58585B"/>
      <w:sz w:val="20"/>
      <w:szCs w:val="20"/>
    </w:rPr>
  </w:style>
  <w:style w:type="paragraph" w:customStyle="1" w:styleId="TableHeading-numbered">
    <w:name w:val="Table Heading-numbered"/>
    <w:basedOn w:val="Normal"/>
    <w:semiHidden/>
    <w:qFormat/>
    <w:rsid w:val="008D19B5"/>
    <w:pPr>
      <w:numPr>
        <w:numId w:val="16"/>
      </w:numPr>
      <w:spacing w:before="60"/>
      <w:contextualSpacing/>
    </w:pPr>
    <w:rPr>
      <w:b/>
      <w:color w:val="265A9A" w:themeColor="background2"/>
    </w:rPr>
  </w:style>
  <w:style w:type="numbering" w:customStyle="1" w:styleId="TableList">
    <w:name w:val="TableList"/>
    <w:uiPriority w:val="99"/>
    <w:rsid w:val="008D19B5"/>
    <w:pPr>
      <w:numPr>
        <w:numId w:val="16"/>
      </w:numPr>
    </w:pPr>
  </w:style>
  <w:style w:type="paragraph" w:customStyle="1" w:styleId="Footer-right">
    <w:name w:val="Footer-right"/>
    <w:basedOn w:val="Footer"/>
    <w:uiPriority w:val="11"/>
    <w:rsid w:val="008D19B5"/>
    <w:pPr>
      <w:jc w:val="right"/>
    </w:pPr>
    <w:rPr>
      <w:szCs w:val="24"/>
    </w:rPr>
  </w:style>
  <w:style w:type="paragraph" w:customStyle="1" w:styleId="Heading2-nonumber">
    <w:name w:val="Heading 2-no number"/>
    <w:basedOn w:val="Heading2"/>
    <w:uiPriority w:val="9"/>
    <w:qFormat/>
    <w:rsid w:val="008D19B5"/>
    <w:pPr>
      <w:numPr>
        <w:ilvl w:val="0"/>
        <w:numId w:val="0"/>
      </w:numPr>
    </w:pPr>
  </w:style>
  <w:style w:type="paragraph" w:customStyle="1" w:styleId="Heading-Appendix">
    <w:name w:val="Heading-Appendix"/>
    <w:basedOn w:val="Heading1-nonumber"/>
    <w:next w:val="BodyText"/>
    <w:uiPriority w:val="9"/>
    <w:qFormat/>
    <w:rsid w:val="008D19B5"/>
    <w:pPr>
      <w:numPr>
        <w:numId w:val="7"/>
      </w:numPr>
    </w:pPr>
  </w:style>
  <w:style w:type="numbering" w:customStyle="1" w:styleId="AppendixHeading">
    <w:name w:val="AppendixHeading"/>
    <w:uiPriority w:val="99"/>
    <w:rsid w:val="008D19B5"/>
    <w:pPr>
      <w:numPr>
        <w:numId w:val="3"/>
      </w:numPr>
    </w:pPr>
  </w:style>
  <w:style w:type="paragraph" w:customStyle="1" w:styleId="DraftingNote">
    <w:name w:val="Drafting Note"/>
    <w:basedOn w:val="BodyText"/>
    <w:link w:val="DraftingNoteChar"/>
    <w:qFormat/>
    <w:rsid w:val="008D19B5"/>
    <w:pPr>
      <w:contextualSpacing/>
    </w:pPr>
    <w:rPr>
      <w:color w:val="A22D2B"/>
      <w:sz w:val="24"/>
      <w:u w:val="dotted"/>
    </w:rPr>
  </w:style>
  <w:style w:type="character" w:customStyle="1" w:styleId="DraftingNoteChar">
    <w:name w:val="Drafting Note Char"/>
    <w:basedOn w:val="BodyTextChar"/>
    <w:link w:val="DraftingNote"/>
    <w:rsid w:val="008D19B5"/>
    <w:rPr>
      <w:color w:val="A22D2B"/>
      <w:sz w:val="24"/>
      <w:szCs w:val="20"/>
      <w:u w:val="dotted"/>
    </w:rPr>
  </w:style>
  <w:style w:type="paragraph" w:customStyle="1" w:styleId="BoxHeading1">
    <w:name w:val="Box Heading 1"/>
    <w:basedOn w:val="FigureTableHeading"/>
    <w:next w:val="BodyText"/>
    <w:uiPriority w:val="4"/>
    <w:qFormat/>
    <w:rsid w:val="008D19B5"/>
    <w:pPr>
      <w:spacing w:after="0"/>
    </w:pPr>
  </w:style>
  <w:style w:type="character" w:styleId="Emphasis">
    <w:name w:val="Emphasis"/>
    <w:basedOn w:val="DefaultParagraphFont"/>
    <w:uiPriority w:val="22"/>
    <w:qFormat/>
    <w:rsid w:val="008D19B5"/>
    <w:rPr>
      <w:i/>
      <w:iCs/>
    </w:rPr>
  </w:style>
  <w:style w:type="paragraph" w:customStyle="1" w:styleId="Reference">
    <w:name w:val="Reference"/>
    <w:basedOn w:val="BodyText"/>
    <w:qFormat/>
    <w:rsid w:val="008D19B5"/>
    <w:pPr>
      <w:spacing w:before="0" w:after="60" w:line="200" w:lineRule="exact"/>
    </w:pPr>
    <w:rPr>
      <w:sz w:val="16"/>
    </w:rPr>
  </w:style>
  <w:style w:type="paragraph" w:customStyle="1" w:styleId="Keypoints-heading">
    <w:name w:val="Key points-heading"/>
    <w:basedOn w:val="Heading3"/>
    <w:uiPriority w:val="10"/>
    <w:qFormat/>
    <w:rsid w:val="008D19B5"/>
    <w:rPr>
      <w:color w:val="auto"/>
    </w:rPr>
  </w:style>
  <w:style w:type="paragraph" w:customStyle="1" w:styleId="Heading2-Appendix">
    <w:name w:val="Heading 2-Appendix"/>
    <w:basedOn w:val="Heading2-nonumber"/>
    <w:next w:val="Normal"/>
    <w:uiPriority w:val="10"/>
    <w:qFormat/>
    <w:rsid w:val="008D19B5"/>
    <w:pPr>
      <w:numPr>
        <w:ilvl w:val="1"/>
        <w:numId w:val="7"/>
      </w:numPr>
    </w:pPr>
  </w:style>
  <w:style w:type="numbering" w:customStyle="1" w:styleId="AppendixHeadingList">
    <w:name w:val="Appendix Heading List"/>
    <w:uiPriority w:val="99"/>
    <w:rsid w:val="008D19B5"/>
    <w:pPr>
      <w:numPr>
        <w:numId w:val="2"/>
      </w:numPr>
    </w:pPr>
  </w:style>
  <w:style w:type="paragraph" w:customStyle="1" w:styleId="Space">
    <w:name w:val="Space"/>
    <w:basedOn w:val="BodyText"/>
    <w:uiPriority w:val="1"/>
    <w:rsid w:val="008D19B5"/>
    <w:pPr>
      <w:spacing w:before="0" w:after="0"/>
    </w:pPr>
  </w:style>
  <w:style w:type="paragraph" w:customStyle="1" w:styleId="QuoteBullet">
    <w:name w:val="Quote Bullet"/>
    <w:basedOn w:val="ListBullet"/>
    <w:link w:val="QuoteBulletChar"/>
    <w:uiPriority w:val="1"/>
    <w:qFormat/>
    <w:rsid w:val="008D19B5"/>
    <w:pPr>
      <w:spacing w:before="60"/>
      <w:ind w:left="340" w:right="851"/>
    </w:pPr>
    <w:rPr>
      <w:color w:val="58585B"/>
    </w:rPr>
  </w:style>
  <w:style w:type="character" w:customStyle="1" w:styleId="ListBulletChar">
    <w:name w:val="List Bullet Char"/>
    <w:basedOn w:val="DefaultParagraphFont"/>
    <w:link w:val="ListBullet"/>
    <w:uiPriority w:val="1"/>
    <w:rsid w:val="008D19B5"/>
    <w:rPr>
      <w:sz w:val="20"/>
      <w:szCs w:val="20"/>
    </w:rPr>
  </w:style>
  <w:style w:type="character" w:customStyle="1" w:styleId="QuoteBulletChar">
    <w:name w:val="Quote Bullet Char"/>
    <w:basedOn w:val="ListBulletChar"/>
    <w:link w:val="QuoteBullet"/>
    <w:uiPriority w:val="1"/>
    <w:rsid w:val="008D19B5"/>
    <w:rPr>
      <w:color w:val="58585B"/>
      <w:sz w:val="20"/>
      <w:szCs w:val="20"/>
    </w:rPr>
  </w:style>
  <w:style w:type="paragraph" w:customStyle="1" w:styleId="Figurecharttitle">
    <w:name w:val="Figure chart title"/>
    <w:basedOn w:val="BodyText"/>
    <w:uiPriority w:val="10"/>
    <w:qFormat/>
    <w:rsid w:val="008D19B5"/>
    <w:pPr>
      <w:spacing w:before="0" w:after="0"/>
      <w:ind w:left="284" w:hanging="284"/>
    </w:pPr>
    <w:rPr>
      <w:sz w:val="18"/>
      <w:szCs w:val="18"/>
    </w:rPr>
  </w:style>
  <w:style w:type="paragraph" w:customStyle="1" w:styleId="CoverdisclaimerwhiteCover">
    <w:name w:val="Cover – disclaimer (white) (Cover)"/>
    <w:basedOn w:val="Normal"/>
    <w:uiPriority w:val="99"/>
    <w:rsid w:val="004F7BE2"/>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PullQuoteNoSpacing">
    <w:name w:val="Pull Quote No Spacing"/>
    <w:basedOn w:val="NoSpacing"/>
    <w:link w:val="PullQuoteNoSpacingChar"/>
    <w:uiPriority w:val="10"/>
    <w:qFormat/>
    <w:rsid w:val="008D19B5"/>
    <w:pPr>
      <w:spacing w:line="160" w:lineRule="exact"/>
    </w:pPr>
  </w:style>
  <w:style w:type="character" w:customStyle="1" w:styleId="PullQuoteNoSpacingChar">
    <w:name w:val="Pull Quote No Spacing Char"/>
    <w:basedOn w:val="NoSpacingChar"/>
    <w:link w:val="PullQuoteNoSpacing"/>
    <w:uiPriority w:val="10"/>
    <w:rsid w:val="008D19B5"/>
    <w:rPr>
      <w:sz w:val="20"/>
      <w:szCs w:val="20"/>
    </w:rPr>
  </w:style>
  <w:style w:type="paragraph" w:customStyle="1" w:styleId="PullQuote-Indigenous">
    <w:name w:val="Pull Quote-Indigenous"/>
    <w:basedOn w:val="PullQuote"/>
    <w:uiPriority w:val="10"/>
    <w:qFormat/>
    <w:rsid w:val="008D19B5"/>
    <w:pPr>
      <w:ind w:right="680"/>
    </w:pPr>
    <w:rPr>
      <w:rFonts w:ascii="Arial" w:hAnsi="Arial" w:cs="Arial"/>
      <w:color w:val="auto"/>
      <w:spacing w:val="6"/>
      <w:sz w:val="22"/>
      <w:szCs w:val="22"/>
    </w:rPr>
  </w:style>
  <w:style w:type="paragraph" w:customStyle="1" w:styleId="TableListBullet">
    <w:name w:val="Table List Bullet"/>
    <w:basedOn w:val="ListBullet"/>
    <w:uiPriority w:val="10"/>
    <w:qFormat/>
    <w:rsid w:val="008D19B5"/>
    <w:pPr>
      <w:spacing w:before="0" w:after="20"/>
      <w:ind w:left="170" w:hanging="113"/>
    </w:pPr>
  </w:style>
  <w:style w:type="paragraph" w:styleId="NormalWeb">
    <w:name w:val="Normal (Web)"/>
    <w:basedOn w:val="Normal"/>
    <w:uiPriority w:val="99"/>
    <w:unhideWhenUsed/>
    <w:rsid w:val="00255BC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255BC9"/>
    <w:rPr>
      <w:color w:val="2B579A"/>
      <w:shd w:val="clear" w:color="auto" w:fill="E1DFDD"/>
    </w:rPr>
  </w:style>
  <w:style w:type="numbering" w:customStyle="1" w:styleId="Bullets1">
    <w:name w:val="Bullets1"/>
    <w:uiPriority w:val="99"/>
    <w:rsid w:val="00255BC9"/>
  </w:style>
  <w:style w:type="character" w:customStyle="1" w:styleId="eop">
    <w:name w:val="eop"/>
    <w:basedOn w:val="DefaultParagraphFont"/>
    <w:rsid w:val="00255BC9"/>
  </w:style>
  <w:style w:type="paragraph" w:styleId="Bibliography">
    <w:name w:val="Bibliography"/>
    <w:basedOn w:val="Normal"/>
    <w:next w:val="Normal"/>
    <w:uiPriority w:val="37"/>
    <w:unhideWhenUsed/>
    <w:rsid w:val="00255BC9"/>
    <w:pPr>
      <w:spacing w:after="240" w:line="240" w:lineRule="atLeast"/>
      <w:ind w:left="720" w:hanging="720"/>
    </w:pPr>
  </w:style>
  <w:style w:type="paragraph" w:customStyle="1" w:styleId="Footerend">
    <w:name w:val="Footer end"/>
    <w:basedOn w:val="Footer"/>
    <w:uiPriority w:val="99"/>
    <w:unhideWhenUsed/>
    <w:rsid w:val="00255BC9"/>
    <w:pPr>
      <w:spacing w:before="0" w:line="20" w:lineRule="exact"/>
      <w:contextualSpacing w:val="0"/>
    </w:pPr>
    <w:rPr>
      <w:rFonts w:ascii="Arial" w:hAnsi="Arial"/>
      <w:color w:val="595959" w:themeColor="text1" w:themeTint="A6"/>
      <w:sz w:val="18"/>
      <w:szCs w:val="18"/>
    </w:rPr>
  </w:style>
  <w:style w:type="paragraph" w:customStyle="1" w:styleId="Securitymarking">
    <w:name w:val="Security marking"/>
    <w:basedOn w:val="Normal"/>
    <w:uiPriority w:val="99"/>
    <w:unhideWhenUsed/>
    <w:rsid w:val="00255BC9"/>
    <w:pPr>
      <w:spacing w:before="0" w:after="0" w:line="240" w:lineRule="auto"/>
      <w:jc w:val="center"/>
    </w:pPr>
    <w:rPr>
      <w:rFonts w:ascii="Arial" w:hAnsi="Arial"/>
      <w:b/>
      <w:bCs/>
      <w:color w:val="FF0000"/>
      <w:sz w:val="24"/>
      <w:szCs w:val="24"/>
    </w:rPr>
  </w:style>
  <w:style w:type="paragraph" w:customStyle="1" w:styleId="pf0">
    <w:name w:val="pf0"/>
    <w:basedOn w:val="Normal"/>
    <w:rsid w:val="00255BC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255BC9"/>
    <w:rPr>
      <w:rFonts w:ascii="Segoe UI" w:hAnsi="Segoe UI" w:cs="Segoe UI" w:hint="default"/>
      <w:sz w:val="18"/>
      <w:szCs w:val="18"/>
    </w:rPr>
  </w:style>
  <w:style w:type="character" w:customStyle="1" w:styleId="ui-provider">
    <w:name w:val="ui-provider"/>
    <w:basedOn w:val="DefaultParagraphFont"/>
    <w:rsid w:val="00255BC9"/>
  </w:style>
  <w:style w:type="character" w:styleId="EndnoteReference">
    <w:name w:val="endnote reference"/>
    <w:basedOn w:val="DefaultParagraphFont"/>
    <w:uiPriority w:val="99"/>
    <w:semiHidden/>
    <w:unhideWhenUsed/>
    <w:rsid w:val="00255BC9"/>
    <w:rPr>
      <w:vertAlign w:val="superscript"/>
    </w:rPr>
  </w:style>
  <w:style w:type="character" w:customStyle="1" w:styleId="normaltextrun">
    <w:name w:val="normaltextrun"/>
    <w:basedOn w:val="DefaultParagraphFont"/>
    <w:rsid w:val="00255BC9"/>
  </w:style>
  <w:style w:type="paragraph" w:customStyle="1" w:styleId="Default">
    <w:name w:val="Default"/>
    <w:rsid w:val="0035654A"/>
    <w:pPr>
      <w:autoSpaceDE w:val="0"/>
      <w:autoSpaceDN w:val="0"/>
      <w:adjustRightInd w:val="0"/>
      <w:spacing w:after="0" w:line="240" w:lineRule="auto"/>
    </w:pPr>
    <w:rPr>
      <w:rFonts w:ascii="Calibri" w:hAnsi="Calibri" w:cs="Calibri"/>
      <w:color w:val="000000"/>
      <w:sz w:val="24"/>
      <w:szCs w:val="24"/>
    </w:rPr>
  </w:style>
  <w:style w:type="numbering" w:customStyle="1" w:styleId="Bullets2">
    <w:name w:val="Bullets2"/>
    <w:uiPriority w:val="99"/>
    <w:rsid w:val="0035654A"/>
  </w:style>
  <w:style w:type="character" w:customStyle="1" w:styleId="highlight">
    <w:name w:val="highlight"/>
    <w:basedOn w:val="DefaultParagraphFont"/>
    <w:rsid w:val="0035654A"/>
  </w:style>
  <w:style w:type="character" w:customStyle="1" w:styleId="citation">
    <w:name w:val="citation"/>
    <w:basedOn w:val="DefaultParagraphFont"/>
    <w:rsid w:val="0035654A"/>
  </w:style>
  <w:style w:type="character" w:customStyle="1" w:styleId="citation-item">
    <w:name w:val="citation-item"/>
    <w:basedOn w:val="DefaultParagraphFont"/>
    <w:rsid w:val="0035654A"/>
  </w:style>
  <w:style w:type="numbering" w:customStyle="1" w:styleId="Bullets3">
    <w:name w:val="Bullets3"/>
    <w:uiPriority w:val="99"/>
    <w:rsid w:val="0035654A"/>
  </w:style>
  <w:style w:type="numbering" w:customStyle="1" w:styleId="Bullets4">
    <w:name w:val="Bullets4"/>
    <w:uiPriority w:val="99"/>
    <w:rsid w:val="0035654A"/>
  </w:style>
  <w:style w:type="numbering" w:customStyle="1" w:styleId="Bullets5">
    <w:name w:val="Bullets5"/>
    <w:uiPriority w:val="99"/>
    <w:rsid w:val="0035654A"/>
  </w:style>
  <w:style w:type="numbering" w:customStyle="1" w:styleId="Bullets6">
    <w:name w:val="Bullets6"/>
    <w:uiPriority w:val="99"/>
    <w:rsid w:val="0035654A"/>
  </w:style>
  <w:style w:type="numbering" w:customStyle="1" w:styleId="Bullets7">
    <w:name w:val="Bullets7"/>
    <w:uiPriority w:val="99"/>
    <w:rsid w:val="0035654A"/>
  </w:style>
  <w:style w:type="numbering" w:customStyle="1" w:styleId="Bullets8">
    <w:name w:val="Bullets8"/>
    <w:uiPriority w:val="99"/>
    <w:rsid w:val="0035654A"/>
  </w:style>
  <w:style w:type="numbering" w:customStyle="1" w:styleId="Bullets9">
    <w:name w:val="Bullets9"/>
    <w:uiPriority w:val="99"/>
    <w:rsid w:val="0035654A"/>
  </w:style>
  <w:style w:type="numbering" w:customStyle="1" w:styleId="Bullets10">
    <w:name w:val="Bullets10"/>
    <w:uiPriority w:val="99"/>
    <w:rsid w:val="0035654A"/>
  </w:style>
  <w:style w:type="paragraph" w:customStyle="1" w:styleId="paragraph">
    <w:name w:val="paragraph"/>
    <w:basedOn w:val="Normal"/>
    <w:rsid w:val="0035654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35654A"/>
    <w:pPr>
      <w:spacing w:before="0" w:after="0" w:line="240" w:lineRule="auto"/>
    </w:pPr>
  </w:style>
  <w:style w:type="character" w:customStyle="1" w:styleId="EndnoteTextChar">
    <w:name w:val="Endnote Text Char"/>
    <w:basedOn w:val="DefaultParagraphFont"/>
    <w:link w:val="EndnoteText"/>
    <w:uiPriority w:val="99"/>
    <w:semiHidden/>
    <w:rsid w:val="0035654A"/>
    <w:rPr>
      <w:sz w:val="20"/>
      <w:szCs w:val="20"/>
    </w:rPr>
  </w:style>
  <w:style w:type="character" w:styleId="FollowedHyperlink">
    <w:name w:val="FollowedHyperlink"/>
    <w:basedOn w:val="DefaultParagraphFont"/>
    <w:uiPriority w:val="99"/>
    <w:semiHidden/>
    <w:unhideWhenUsed/>
    <w:rsid w:val="0035654A"/>
    <w:rPr>
      <w:color w:val="BFBFBF" w:themeColor="followedHyperlink"/>
      <w:u w:val="single"/>
    </w:rPr>
  </w:style>
  <w:style w:type="numbering" w:customStyle="1" w:styleId="Bullets11">
    <w:name w:val="Bullets11"/>
    <w:uiPriority w:val="99"/>
    <w:rsid w:val="0035654A"/>
  </w:style>
  <w:style w:type="numbering" w:customStyle="1" w:styleId="Numbering1">
    <w:name w:val="Numbering1"/>
    <w:uiPriority w:val="99"/>
    <w:rsid w:val="0035654A"/>
  </w:style>
  <w:style w:type="numbering" w:customStyle="1" w:styleId="ListHeadings1">
    <w:name w:val="List Headings1"/>
    <w:uiPriority w:val="99"/>
    <w:rsid w:val="0035654A"/>
  </w:style>
  <w:style w:type="numbering" w:customStyle="1" w:styleId="LetteredList1">
    <w:name w:val="Lettered List1"/>
    <w:uiPriority w:val="99"/>
    <w:rsid w:val="0035654A"/>
  </w:style>
  <w:style w:type="table" w:customStyle="1" w:styleId="ProductivityCommissionTable21">
    <w:name w:val="Productivity Commission Table 21"/>
    <w:basedOn w:val="ProductivityCommissionTable1"/>
    <w:uiPriority w:val="99"/>
    <w:rsid w:val="0035654A"/>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table" w:customStyle="1" w:styleId="ProductivityCommissionTable41">
    <w:name w:val="Productivity Commission Table 41"/>
    <w:basedOn w:val="ProductivityCommissionTable3"/>
    <w:uiPriority w:val="99"/>
    <w:rsid w:val="0035654A"/>
    <w:pPr>
      <w:jc w:val="left"/>
    </w:pPr>
    <w:tblPr/>
    <w:tblStylePr w:type="firstRow">
      <w:rPr>
        <w:b/>
        <w:color w:val="265A9A" w:themeColor="background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numbering" w:customStyle="1" w:styleId="TOCList1">
    <w:name w:val="TOC List1"/>
    <w:uiPriority w:val="99"/>
    <w:rsid w:val="0035654A"/>
  </w:style>
  <w:style w:type="numbering" w:customStyle="1" w:styleId="Figure1">
    <w:name w:val="Figure1"/>
    <w:uiPriority w:val="99"/>
    <w:rsid w:val="0035654A"/>
  </w:style>
  <w:style w:type="numbering" w:customStyle="1" w:styleId="BoxList1">
    <w:name w:val="Box List1"/>
    <w:uiPriority w:val="99"/>
    <w:rsid w:val="0035654A"/>
  </w:style>
  <w:style w:type="table" w:customStyle="1" w:styleId="ProductivityCommissionTable2-Dark1">
    <w:name w:val="Productivity Commission Table 2 - Dark1"/>
    <w:basedOn w:val="ProductivityCommissionTable2"/>
    <w:uiPriority w:val="99"/>
    <w:rsid w:val="0035654A"/>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numbering" w:customStyle="1" w:styleId="Alphalist1">
    <w:name w:val="Alpha list1"/>
    <w:uiPriority w:val="99"/>
    <w:rsid w:val="0035654A"/>
  </w:style>
  <w:style w:type="table" w:styleId="PlainTable5">
    <w:name w:val="Plain Table 5"/>
    <w:basedOn w:val="TableNormal"/>
    <w:uiPriority w:val="45"/>
    <w:rsid w:val="0035654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Bullets12">
    <w:name w:val="Bullets12"/>
    <w:uiPriority w:val="99"/>
    <w:rsid w:val="0035654A"/>
  </w:style>
  <w:style w:type="numbering" w:customStyle="1" w:styleId="Figure2">
    <w:name w:val="Figure2"/>
    <w:uiPriority w:val="99"/>
    <w:rsid w:val="0035654A"/>
  </w:style>
  <w:style w:type="numbering" w:customStyle="1" w:styleId="Alphalist2">
    <w:name w:val="Alpha list2"/>
    <w:uiPriority w:val="99"/>
    <w:rsid w:val="0035654A"/>
  </w:style>
  <w:style w:type="paragraph" w:customStyle="1" w:styleId="CommentText1">
    <w:name w:val="Comment Text1"/>
    <w:basedOn w:val="Normal"/>
    <w:next w:val="CommentText"/>
    <w:uiPriority w:val="99"/>
    <w:unhideWhenUsed/>
    <w:rsid w:val="0035654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4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header" Target="header8.xml"/><Relationship Id="rId21" Type="http://schemas.openxmlformats.org/officeDocument/2006/relationships/image" Target="media/image5.svg"/><Relationship Id="rId34" Type="http://schemas.openxmlformats.org/officeDocument/2006/relationships/image" Target="media/image9.png"/><Relationship Id="rId42" Type="http://schemas.openxmlformats.org/officeDocument/2006/relationships/footer" Target="footer9.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image" Target="media/image8.emf"/><Relationship Id="rId37" Type="http://schemas.openxmlformats.org/officeDocument/2006/relationships/image" Target="media/image12.png"/><Relationship Id="rId40" Type="http://schemas.openxmlformats.org/officeDocument/2006/relationships/header" Target="header9.xml"/><Relationship Id="rId45"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image" Target="media/image11.svg"/><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image" Target="media/image7.svg"/><Relationship Id="rId44"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pc.gov.au/inquiries/current/future-drought-fund" TargetMode="External"/><Relationship Id="rId27" Type="http://schemas.openxmlformats.org/officeDocument/2006/relationships/header" Target="header6.xml"/><Relationship Id="rId30" Type="http://schemas.openxmlformats.org/officeDocument/2006/relationships/image" Target="media/image6.png"/><Relationship Id="rId35" Type="http://schemas.openxmlformats.org/officeDocument/2006/relationships/image" Target="media/image10.png"/><Relationship Id="rId43" Type="http://schemas.openxmlformats.org/officeDocument/2006/relationships/header" Target="header10.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header" Target="header7.xml"/><Relationship Id="rId38" Type="http://schemas.openxmlformats.org/officeDocument/2006/relationships/image" Target="media/image13.svg"/><Relationship Id="rId46" Type="http://schemas.openxmlformats.org/officeDocument/2006/relationships/fontTable" Target="fontTable.xml"/><Relationship Id="rId20" Type="http://schemas.openxmlformats.org/officeDocument/2006/relationships/image" Target="media/image4.png"/><Relationship Id="rId41" Type="http://schemas.openxmlformats.org/officeDocument/2006/relationships/footer" Target="footer8.xml"/></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urner\AppData\Local\Temp\Templafy\WordVsto\prelims-draft%20report.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TemplateConfiguration><![CDATA[{"elementsMetadata":[],"transformationConfigurations":[],"templateName":"prelims-draft report","templateDescription":"Prelims for draft inquiry and study reports","enableDocumentContentUpdater":false,"version":"2.0"}]]></TemplafyTemplate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mplafyFormConfiguration><![CDATA[{"formFields":[],"formDataEntries":[]}]]></TemplafyFormConfiguration>
</file>

<file path=customXml/item5.xml><?xml version="1.0" encoding="utf-8"?>
<ct:contentTypeSchema xmlns:ct="http://schemas.microsoft.com/office/2006/metadata/contentType" xmlns:ma="http://schemas.microsoft.com/office/2006/metadata/properties/metaAttributes" ct:_="" ma:_="" ma:contentTypeName="Document" ma:contentTypeID="0x0101007867F88EF198744F97DA24D7FC68D6E7" ma:contentTypeVersion="9" ma:contentTypeDescription="Create a new document." ma:contentTypeScope="" ma:versionID="10415431daad1d74df51b4d08972ccff">
  <xsd:schema xmlns:xsd="http://www.w3.org/2001/XMLSchema" xmlns:xs="http://www.w3.org/2001/XMLSchema" xmlns:p="http://schemas.microsoft.com/office/2006/metadata/properties" xmlns:ns2="de507232-5ada-4ba6-a12c-d12dce6ca489" xmlns:ns3="32d688a2-cd90-4767-a38d-7f765ef2a752" targetNamespace="http://schemas.microsoft.com/office/2006/metadata/properties" ma:root="true" ma:fieldsID="fd7543ff95861e2d266e9b258c3ffa3d" ns2:_="" ns3:_="">
    <xsd:import namespace="de507232-5ada-4ba6-a12c-d12dce6ca489"/>
    <xsd:import namespace="32d688a2-cd90-4767-a38d-7f765ef2a752"/>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07232-5ada-4ba6-a12c-d12dce6ca489"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249090e-c690-4f18-a578-5d5f77bdc5cc}" ma:internalName="TaxCatchAll" ma:showField="CatchAllData" ma:web="de507232-5ada-4ba6-a12c-d12dce6ca489">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688a2-cd90-4767-a38d-7f765ef2a7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0f84bba906045b4af568ee102a52dcb xmlns="de507232-5ada-4ba6-a12c-d12dce6ca48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de507232-5ada-4ba6-a12c-d12dce6ca489">
      <Value>1</Value>
    </TaxCatchAll>
  </documentManagement>
</p:properties>
</file>

<file path=customXml/itemProps1.xml><?xml version="1.0" encoding="utf-8"?>
<ds:datastoreItem xmlns:ds="http://schemas.openxmlformats.org/officeDocument/2006/customXml" ds:itemID="{32A2A959-CA86-46A8-9E04-8EA93D25C6CE}">
  <ds:schemaRefs>
    <ds:schemaRef ds:uri="http://schemas.openxmlformats.org/officeDocument/2006/bibliography"/>
  </ds:schemaRefs>
</ds:datastoreItem>
</file>

<file path=customXml/itemProps2.xml><?xml version="1.0" encoding="utf-8"?>
<ds:datastoreItem xmlns:ds="http://schemas.openxmlformats.org/officeDocument/2006/customXml" ds:itemID="{5CCDCE8C-2FF2-479D-91C1-79A7A7683D3C}">
  <ds:schemaRefs/>
</ds:datastoreItem>
</file>

<file path=customXml/itemProps3.xml><?xml version="1.0" encoding="utf-8"?>
<ds:datastoreItem xmlns:ds="http://schemas.openxmlformats.org/officeDocument/2006/customXml" ds:itemID="{26A2EEC2-0DA6-4EE1-AC70-D303DC456DB5}">
  <ds:schemaRefs>
    <ds:schemaRef ds:uri="http://schemas.microsoft.com/sharepoint/v3/contenttype/forms"/>
  </ds:schemaRefs>
</ds:datastoreItem>
</file>

<file path=customXml/itemProps4.xml><?xml version="1.0" encoding="utf-8"?>
<ds:datastoreItem xmlns:ds="http://schemas.openxmlformats.org/officeDocument/2006/customXml" ds:itemID="{9897F752-2238-441E-ABA5-DB8C10DEA577}">
  <ds:schemaRefs/>
</ds:datastoreItem>
</file>

<file path=customXml/itemProps5.xml><?xml version="1.0" encoding="utf-8"?>
<ds:datastoreItem xmlns:ds="http://schemas.openxmlformats.org/officeDocument/2006/customXml" ds:itemID="{5500077A-AC38-4FF8-B54D-72BEADC4C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07232-5ada-4ba6-a12c-d12dce6ca489"/>
    <ds:schemaRef ds:uri="32d688a2-cd90-4767-a38d-7f765ef2a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F508CB5-1EA4-4576-866F-6593D5F2C05F}">
  <ds:schemaRefs>
    <ds:schemaRef ds:uri="http://schemas.microsoft.com/office/2006/metadata/properties"/>
    <ds:schemaRef ds:uri="http://schemas.microsoft.com/office/infopath/2007/PartnerControls"/>
    <ds:schemaRef ds:uri="de507232-5ada-4ba6-a12c-d12dce6ca489"/>
  </ds:schemaRefs>
</ds:datastoreItem>
</file>

<file path=docProps/app.xml><?xml version="1.0" encoding="utf-8"?>
<Properties xmlns="http://schemas.openxmlformats.org/officeDocument/2006/extended-properties" xmlns:vt="http://schemas.openxmlformats.org/officeDocument/2006/docPropsVTypes">
  <Template>prelims-draft report</Template>
  <TotalTime>18</TotalTime>
  <Pages>34</Pages>
  <Words>10715</Words>
  <Characters>61082</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Executive summary - Interim report - Review of Part 3 of the Future Drought Fund Act</vt:lpstr>
    </vt:vector>
  </TitlesOfParts>
  <Company>Productivity Commission</Company>
  <LinksUpToDate>false</LinksUpToDate>
  <CharactersWithSpaces>71654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 Interim report - Review of Part 3 of the Future Drought Fund Act</dc:title>
  <dc:subject/>
  <dc:creator>Productivity Commission</dc:creator>
  <cp:keywords/>
  <dc:description/>
  <cp:lastModifiedBy>Chris Alston</cp:lastModifiedBy>
  <cp:revision>19</cp:revision>
  <cp:lastPrinted>2023-06-08T05:22:00Z</cp:lastPrinted>
  <dcterms:created xsi:type="dcterms:W3CDTF">2023-06-08T04:44:00Z</dcterms:created>
  <dcterms:modified xsi:type="dcterms:W3CDTF">2023-06-12T22:16:00Z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637629323326921041</vt:lpwstr>
  </property>
  <property fmtid="{D5CDD505-2E9C-101B-9397-08002B2CF9AE}" pid="4" name="TemplafyUserProfileId">
    <vt:lpwstr>637818571730646786</vt:lpwstr>
  </property>
  <property fmtid="{D5CDD505-2E9C-101B-9397-08002B2CF9AE}" pid="5" name="TemplafyFromBlank">
    <vt:bool>false</vt:bool>
  </property>
  <property fmtid="{D5CDD505-2E9C-101B-9397-08002B2CF9AE}" pid="6" name="ZOTERO_PREF_1">
    <vt:lpwstr>&lt;data data-version="3" zotero-version="6.0.9"&gt;&lt;session id="f9YWiWdl"/&gt;&lt;style id="http://www.zotero.org/styles/Productivity-Commission" hasBibliography="1" bibliographyStyleHasBeenSet="1"/&gt;&lt;prefs&gt;&lt;pref name="fieldType" value="Field"/&gt;&lt;pref name="automaticJ</vt:lpwstr>
  </property>
  <property fmtid="{D5CDD505-2E9C-101B-9397-08002B2CF9AE}" pid="7" name="ZOTERO_PREF_2">
    <vt:lpwstr>ournalAbbreviations" value="true"/&gt;&lt;/prefs&gt;&lt;/data&gt;</vt:lpwstr>
  </property>
  <property fmtid="{D5CDD505-2E9C-101B-9397-08002B2CF9AE}" pid="8" name="ContentTypeId">
    <vt:lpwstr>0x0101007867F88EF198744F97DA24D7FC68D6E7</vt:lpwstr>
  </property>
  <property fmtid="{D5CDD505-2E9C-101B-9397-08002B2CF9AE}" pid="9" name="RevIMBCS">
    <vt:lpwstr>1;#Unclassified|3955eeb1-2d18-4582-aeb2-00144ec3aaf5</vt:lpwstr>
  </property>
</Properties>
</file>