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FF" w:rsidRPr="00CF5F65" w:rsidRDefault="00EC6319" w:rsidP="00CD7106">
      <w:pPr>
        <w:pStyle w:val="Heading1"/>
        <w:spacing w:before="0" w:after="960"/>
        <w:rPr>
          <w:rFonts w:asciiTheme="majorHAnsi" w:hAnsiTheme="majorHAnsi" w:cstheme="majorHAnsi"/>
        </w:rPr>
      </w:pPr>
      <w:bookmarkStart w:id="0" w:name="ChapterTitle"/>
      <w:r w:rsidRPr="00CF5F65">
        <w:rPr>
          <w:rFonts w:asciiTheme="majorHAnsi" w:hAnsiTheme="majorHAnsi" w:cstheme="majorHAnsi"/>
        </w:rPr>
        <w:t xml:space="preserve">A roadmap to our </w:t>
      </w:r>
      <w:r w:rsidR="00A17584">
        <w:rPr>
          <w:rFonts w:asciiTheme="majorHAnsi" w:hAnsiTheme="majorHAnsi" w:cstheme="majorHAnsi"/>
        </w:rPr>
        <w:t>HFE</w:t>
      </w:r>
      <w:r w:rsidRPr="00CF5F65">
        <w:rPr>
          <w:rFonts w:asciiTheme="majorHAnsi" w:hAnsiTheme="majorHAnsi" w:cstheme="majorHAnsi"/>
        </w:rPr>
        <w:t xml:space="preserve"> report</w:t>
      </w:r>
      <w:bookmarkEnd w:id="0"/>
    </w:p>
    <w:p w:rsidR="003740DA" w:rsidRDefault="003740DA" w:rsidP="003740DA">
      <w:pPr>
        <w:pStyle w:val="Figurespace"/>
      </w:pPr>
      <w:bookmarkStart w:id="1" w:name="begin"/>
      <w:bookmarkEnd w:id="1"/>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740DA" w:rsidTr="009C1BBB">
        <w:trPr>
          <w:tblHeader/>
        </w:trPr>
        <w:tc>
          <w:tcPr>
            <w:tcW w:w="5000" w:type="pct"/>
            <w:tcBorders>
              <w:top w:val="single" w:sz="12" w:space="0" w:color="78A22F" w:themeColor="accent1"/>
              <w:left w:val="nil"/>
              <w:bottom w:val="nil"/>
              <w:right w:val="nil"/>
            </w:tcBorders>
            <w:shd w:val="clear" w:color="auto" w:fill="auto"/>
          </w:tcPr>
          <w:p w:rsidR="003740DA" w:rsidRPr="00176D3F" w:rsidRDefault="00A17584" w:rsidP="00A17584">
            <w:pPr>
              <w:pStyle w:val="FigureTitle"/>
            </w:pPr>
            <w:r>
              <w:t>HFE</w:t>
            </w:r>
            <w:r w:rsidR="003740DA">
              <w:t xml:space="preserve"> inquiry: </w:t>
            </w:r>
            <w:r>
              <w:t>final</w:t>
            </w:r>
            <w:r w:rsidR="00EC6319">
              <w:t xml:space="preserve"> </w:t>
            </w:r>
            <w:r w:rsidR="003740DA">
              <w:t>report roadmap</w:t>
            </w:r>
          </w:p>
        </w:tc>
      </w:tr>
      <w:tr w:rsidR="003740DA" w:rsidTr="00AE7FAA">
        <w:tc>
          <w:tcPr>
            <w:tcW w:w="5000" w:type="pct"/>
            <w:tcBorders>
              <w:top w:val="nil"/>
              <w:left w:val="nil"/>
              <w:bottom w:val="nil"/>
              <w:right w:val="nil"/>
            </w:tcBorders>
            <w:shd w:val="clear" w:color="auto" w:fill="auto"/>
            <w:tcMar>
              <w:top w:w="57" w:type="dxa"/>
              <w:left w:w="57" w:type="dxa"/>
              <w:bottom w:w="57" w:type="dxa"/>
              <w:right w:w="57"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675"/>
            </w:tblGrid>
            <w:tr w:rsidR="003740DA" w:rsidRPr="00B1465D" w:rsidTr="00A833A5">
              <w:trPr>
                <w:tblHeader/>
                <w:jc w:val="center"/>
              </w:trPr>
              <w:tc>
                <w:tcPr>
                  <w:tcW w:w="5000" w:type="pct"/>
                  <w:tcBorders>
                    <w:top w:val="nil"/>
                    <w:bottom w:val="nil"/>
                  </w:tcBorders>
                </w:tcPr>
                <w:p w:rsidR="003740DA" w:rsidRPr="00B1465D" w:rsidRDefault="00AE7FAA" w:rsidP="00A833A5">
                  <w:pPr>
                    <w:pStyle w:val="Figure"/>
                    <w:spacing w:before="60" w:after="60"/>
                    <w:rPr>
                      <w:rFonts w:ascii="Arial" w:hAnsi="Arial" w:cs="Arial"/>
                      <w:sz w:val="18"/>
                      <w:szCs w:val="18"/>
                    </w:rPr>
                  </w:pPr>
                  <w:r w:rsidRPr="00AE7FAA">
                    <w:rPr>
                      <w:rFonts w:ascii="Arial" w:hAnsi="Arial" w:cs="Arial"/>
                      <w:noProof/>
                      <w:sz w:val="18"/>
                      <w:szCs w:val="18"/>
                    </w:rPr>
                    <w:drawing>
                      <wp:inline distT="0" distB="0" distL="0" distR="0" wp14:anchorId="6FB59096" wp14:editId="6FB59097">
                        <wp:extent cx="5532755" cy="5340350"/>
                        <wp:effectExtent l="0" t="0" r="0" b="0"/>
                        <wp:docPr id="10" name="Picture 10" descr="Read follow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404"/>
                                <a:stretch/>
                              </pic:blipFill>
                              <pic:spPr bwMode="auto">
                                <a:xfrm>
                                  <a:off x="0" y="0"/>
                                  <a:ext cx="5534973" cy="534249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740DA" w:rsidRDefault="003740DA" w:rsidP="00A833A5">
            <w:pPr>
              <w:pStyle w:val="Figure"/>
            </w:pPr>
          </w:p>
        </w:tc>
        <w:bookmarkStart w:id="2" w:name="_GoBack"/>
        <w:bookmarkEnd w:id="2"/>
      </w:tr>
      <w:tr w:rsidR="003740DA" w:rsidTr="009C1BBB">
        <w:tc>
          <w:tcPr>
            <w:tcW w:w="5000" w:type="pct"/>
            <w:tcBorders>
              <w:top w:val="nil"/>
              <w:left w:val="nil"/>
              <w:bottom w:val="single" w:sz="12" w:space="0" w:color="78A22F"/>
              <w:right w:val="nil"/>
            </w:tcBorders>
            <w:shd w:val="clear" w:color="auto" w:fill="auto"/>
          </w:tcPr>
          <w:p w:rsidR="003740DA" w:rsidRDefault="003740DA" w:rsidP="00A833A5">
            <w:pPr>
              <w:pStyle w:val="Figurespace"/>
            </w:pPr>
          </w:p>
        </w:tc>
      </w:tr>
      <w:tr w:rsidR="003740DA" w:rsidRPr="000863A5" w:rsidTr="009C1BBB">
        <w:tc>
          <w:tcPr>
            <w:tcW w:w="5000" w:type="pct"/>
            <w:tcBorders>
              <w:top w:val="single" w:sz="12" w:space="0" w:color="78A22F"/>
              <w:left w:val="nil"/>
              <w:bottom w:val="nil"/>
              <w:right w:val="nil"/>
            </w:tcBorders>
          </w:tcPr>
          <w:p w:rsidR="003740DA" w:rsidRPr="00626D32" w:rsidRDefault="003740DA" w:rsidP="00A833A5">
            <w:pPr>
              <w:pStyle w:val="BoxSpaceBelow"/>
            </w:pPr>
          </w:p>
        </w:tc>
      </w:tr>
    </w:tbl>
    <w:p w:rsidR="00F3295E" w:rsidRDefault="009B4E9B" w:rsidP="00EC6319">
      <w:pPr>
        <w:pStyle w:val="BodyText"/>
      </w:pPr>
      <w:r>
        <w:t>The next 1</w:t>
      </w:r>
      <w:r w:rsidR="00F3295E">
        <w:t>1</w:t>
      </w:r>
      <w:r w:rsidR="00EC6319" w:rsidRPr="00B718DC">
        <w:t xml:space="preserve"> pages provide a roadmap to help you quickly navigate your way to the figures, </w:t>
      </w:r>
      <w:r w:rsidR="001D4878">
        <w:t>tables</w:t>
      </w:r>
      <w:r w:rsidR="00EC6319" w:rsidRPr="00B718DC">
        <w:t xml:space="preserve"> and text that support our report’s pr</w:t>
      </w:r>
      <w:r w:rsidR="005050D7">
        <w:t>imary key points and findings. </w:t>
      </w:r>
      <w:r w:rsidR="00EC6319" w:rsidRPr="00B718DC">
        <w:t>The roadmap is set out by chapter.</w:t>
      </w:r>
    </w:p>
    <w:p w:rsidR="00F3295E" w:rsidRDefault="00F3295E">
      <w:pPr>
        <w:rPr>
          <w:szCs w:val="20"/>
        </w:rPr>
      </w:pPr>
      <w:r>
        <w:br w:type="page"/>
      </w:r>
    </w:p>
    <w:tbl>
      <w:tblPr>
        <w:tblW w:w="5243" w:type="pct"/>
        <w:tblInd w:w="-42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7495"/>
        <w:gridCol w:w="304"/>
        <w:gridCol w:w="1417"/>
      </w:tblGrid>
      <w:tr w:rsidR="00F3295E" w:rsidTr="00C22B32">
        <w:trPr>
          <w:trHeight w:val="482"/>
        </w:trPr>
        <w:tc>
          <w:tcPr>
            <w:tcW w:w="4066" w:type="pct"/>
            <w:tcBorders>
              <w:top w:val="single" w:sz="12" w:space="0" w:color="78A22F"/>
              <w:left w:val="nil"/>
              <w:bottom w:val="nil"/>
              <w:right w:val="nil"/>
            </w:tcBorders>
            <w:shd w:val="clear" w:color="auto" w:fill="F2F2F2" w:themeFill="background1" w:themeFillShade="F2"/>
          </w:tcPr>
          <w:p w:rsidR="00F3295E" w:rsidRPr="007047E8" w:rsidRDefault="00F3295E" w:rsidP="00F3295E">
            <w:pPr>
              <w:pStyle w:val="BoxTitle"/>
            </w:pPr>
            <w:r>
              <w:lastRenderedPageBreak/>
              <w:t>Overview</w:t>
            </w:r>
          </w:p>
        </w:tc>
        <w:tc>
          <w:tcPr>
            <w:tcW w:w="165" w:type="pct"/>
            <w:tcBorders>
              <w:top w:val="single" w:sz="12" w:space="0" w:color="78A22F"/>
              <w:left w:val="nil"/>
              <w:bottom w:val="nil"/>
              <w:right w:val="nil"/>
            </w:tcBorders>
            <w:shd w:val="clear" w:color="auto" w:fill="F2F2F2" w:themeFill="background1" w:themeFillShade="F2"/>
          </w:tcPr>
          <w:p w:rsidR="00F3295E" w:rsidRDefault="00F3295E" w:rsidP="00C22B32">
            <w:pPr>
              <w:pStyle w:val="BoxTitle"/>
            </w:pPr>
          </w:p>
        </w:tc>
        <w:tc>
          <w:tcPr>
            <w:tcW w:w="769" w:type="pct"/>
            <w:tcBorders>
              <w:top w:val="single" w:sz="12" w:space="0" w:color="78A22F"/>
              <w:left w:val="nil"/>
              <w:bottom w:val="nil"/>
              <w:right w:val="nil"/>
            </w:tcBorders>
            <w:shd w:val="clear" w:color="auto" w:fill="F2F2F2" w:themeFill="background1" w:themeFillShade="F2"/>
          </w:tcPr>
          <w:p w:rsidR="00F3295E" w:rsidRDefault="00F3295E" w:rsidP="00C22B32">
            <w:pPr>
              <w:pStyle w:val="BoxTitle"/>
            </w:pPr>
            <w:r>
              <w:t>For more</w:t>
            </w:r>
          </w:p>
        </w:tc>
      </w:tr>
      <w:tr w:rsidR="00F3295E" w:rsidTr="00C22B32">
        <w:tc>
          <w:tcPr>
            <w:tcW w:w="4066" w:type="pct"/>
            <w:tcBorders>
              <w:top w:val="nil"/>
              <w:left w:val="nil"/>
              <w:bottom w:val="nil"/>
              <w:right w:val="nil"/>
            </w:tcBorders>
            <w:shd w:val="clear" w:color="auto" w:fill="F2F2F2" w:themeFill="background1" w:themeFillShade="F2"/>
          </w:tcPr>
          <w:p w:rsidR="00F3295E" w:rsidRDefault="00F3295E" w:rsidP="00697DF1">
            <w:pPr>
              <w:pStyle w:val="KeyPointsListBullet"/>
              <w:numPr>
                <w:ilvl w:val="0"/>
                <w:numId w:val="26"/>
              </w:numPr>
              <w:spacing w:line="230" w:lineRule="exact"/>
              <w:ind w:left="357" w:hanging="357"/>
            </w:pPr>
            <w:r>
              <w:t>The basic premise of Horizontal Fiscal Equalisation — fiscal equality in the Australian federation — has broad support from all levels of government.</w:t>
            </w:r>
          </w:p>
          <w:p w:rsidR="00F3295E" w:rsidRDefault="00F3295E" w:rsidP="00697DF1">
            <w:pPr>
              <w:pStyle w:val="KeyPointsListBullet"/>
              <w:numPr>
                <w:ilvl w:val="0"/>
                <w:numId w:val="26"/>
              </w:numPr>
              <w:spacing w:line="230" w:lineRule="exact"/>
              <w:ind w:left="357" w:hanging="357"/>
            </w:pPr>
            <w:r>
              <w:t>The current practice of HFE seeks to give all States the same fiscal capacity to deliver public services. To do this, all States are brought up to the fiscal capacity of the fiscally strongest State (currently, as assessed by the Commonwealth Grants Commission, Western Australia).</w:t>
            </w:r>
          </w:p>
          <w:p w:rsidR="00F3295E" w:rsidRDefault="00F3295E" w:rsidP="00697DF1">
            <w:pPr>
              <w:pStyle w:val="KeyPointsListBullet"/>
              <w:numPr>
                <w:ilvl w:val="0"/>
                <w:numId w:val="26"/>
              </w:numPr>
              <w:spacing w:line="230" w:lineRule="exact"/>
              <w:ind w:left="357" w:hanging="357"/>
            </w:pPr>
            <w:r>
              <w:t>This approach to HFE is under intense scrutiny at present as Western Australia’s share of the GST has fallen to a record low. Even so, the current system of HFE has strengths.</w:t>
            </w:r>
          </w:p>
          <w:p w:rsidR="00F3295E" w:rsidRDefault="00F3295E" w:rsidP="00697DF1">
            <w:pPr>
              <w:pStyle w:val="KeyPointsListBullet2"/>
              <w:numPr>
                <w:ilvl w:val="0"/>
                <w:numId w:val="27"/>
              </w:numPr>
              <w:spacing w:line="230" w:lineRule="exact"/>
              <w:ind w:left="568" w:hanging="284"/>
            </w:pPr>
            <w:r>
              <w:t>It compensates States for their structural disadvantages and achieves an almost complete degree of fiscal equalisation — unique among OECD countries.</w:t>
            </w:r>
          </w:p>
          <w:p w:rsidR="00F3295E" w:rsidRDefault="00F3295E" w:rsidP="00697DF1">
            <w:pPr>
              <w:pStyle w:val="KeyPointsListBullet2"/>
              <w:numPr>
                <w:ilvl w:val="0"/>
                <w:numId w:val="27"/>
              </w:numPr>
              <w:spacing w:line="230" w:lineRule="exact"/>
              <w:ind w:left="568" w:hanging="284"/>
            </w:pPr>
            <w:r>
              <w:t>The independent and expert CGC is well placed to recommend GST relativities. It has well</w:t>
            </w:r>
            <w:r>
              <w:noBreakHyphen/>
              <w:t>established processes that involve consultation and regular methodology reviews.</w:t>
            </w:r>
          </w:p>
          <w:p w:rsidR="00F3295E" w:rsidRDefault="00F3295E" w:rsidP="00697DF1">
            <w:pPr>
              <w:pStyle w:val="KeyPointsListBullet"/>
              <w:numPr>
                <w:ilvl w:val="0"/>
                <w:numId w:val="26"/>
              </w:numPr>
              <w:spacing w:line="230" w:lineRule="exact"/>
              <w:ind w:left="357" w:hanging="357"/>
            </w:pPr>
            <w:r>
              <w:t>But the current approach also has significant weaknesses. Reform and development opportunities are likely being missed at the expense of community wellbeing over time.</w:t>
            </w:r>
          </w:p>
          <w:p w:rsidR="00F3295E" w:rsidRDefault="00F3295E" w:rsidP="00697DF1">
            <w:pPr>
              <w:pStyle w:val="KeyPointsListBullet2"/>
              <w:numPr>
                <w:ilvl w:val="0"/>
                <w:numId w:val="27"/>
              </w:numPr>
              <w:spacing w:line="230" w:lineRule="exact"/>
              <w:ind w:left="568" w:hanging="284"/>
            </w:pPr>
            <w:r>
              <w:t>There is much scope for the system to discourage State policy for major tax reform and desirable mineral and energy policies (royalties and development).</w:t>
            </w:r>
          </w:p>
          <w:p w:rsidR="00F3295E" w:rsidRDefault="00F3295E" w:rsidP="00697DF1">
            <w:pPr>
              <w:pStyle w:val="KeyPointsListBullet2"/>
              <w:numPr>
                <w:ilvl w:val="0"/>
                <w:numId w:val="27"/>
              </w:numPr>
              <w:spacing w:line="230" w:lineRule="exact"/>
              <w:ind w:left="568" w:hanging="284"/>
            </w:pPr>
            <w:r>
              <w:t>Full fiscal equalisation does not systematically allow States to retain the dividends of their policy efforts. This raises concerns about the fairness of equalisation outcomes and corrodes public confidence in the system.</w:t>
            </w:r>
          </w:p>
          <w:p w:rsidR="00F3295E" w:rsidRDefault="00F3295E" w:rsidP="00697DF1">
            <w:pPr>
              <w:pStyle w:val="KeyPointsListBullet2"/>
              <w:numPr>
                <w:ilvl w:val="0"/>
                <w:numId w:val="27"/>
              </w:numPr>
              <w:spacing w:line="230" w:lineRule="exact"/>
              <w:ind w:left="568" w:hanging="284"/>
            </w:pPr>
            <w:r>
              <w:t xml:space="preserve">The system is very poorly understood by the public and indeed by most within government — lending itself to a myriad of myths and confused accountability. </w:t>
            </w:r>
          </w:p>
          <w:p w:rsidR="00F3295E" w:rsidRDefault="00F3295E" w:rsidP="00697DF1">
            <w:pPr>
              <w:pStyle w:val="KeyPointsListBullet"/>
              <w:numPr>
                <w:ilvl w:val="0"/>
                <w:numId w:val="26"/>
              </w:numPr>
              <w:spacing w:line="230" w:lineRule="exact"/>
              <w:ind w:left="357" w:hanging="357"/>
            </w:pPr>
            <w:r>
              <w:t>While equity should remain at the heart of HFE, there is a need for a better balance between equity and efficiency.</w:t>
            </w:r>
          </w:p>
          <w:p w:rsidR="00F3295E" w:rsidRDefault="00F3295E" w:rsidP="00697DF1">
            <w:pPr>
              <w:pStyle w:val="KeyPointsListBullet2"/>
              <w:numPr>
                <w:ilvl w:val="0"/>
                <w:numId w:val="27"/>
              </w:numPr>
              <w:spacing w:line="230" w:lineRule="exact"/>
              <w:ind w:left="568" w:hanging="284"/>
            </w:pPr>
            <w:r>
              <w:t xml:space="preserve">The Commonwealth Government should set a revised objective for HFE to provide States with the fiscal capacity to deliver a </w:t>
            </w:r>
            <w:r>
              <w:rPr>
                <w:b/>
              </w:rPr>
              <w:t>reasonable standard</w:t>
            </w:r>
            <w:r>
              <w:t xml:space="preserve"> of services. Changing the objective is an essential precursor to further improvements to the HFE system. </w:t>
            </w:r>
          </w:p>
          <w:p w:rsidR="00F3295E" w:rsidRDefault="00F3295E" w:rsidP="00697DF1">
            <w:pPr>
              <w:pStyle w:val="KeyPointsListBullet"/>
              <w:numPr>
                <w:ilvl w:val="0"/>
                <w:numId w:val="26"/>
              </w:numPr>
              <w:spacing w:line="230" w:lineRule="exact"/>
              <w:ind w:left="357" w:hanging="357"/>
            </w:pPr>
            <w:r>
              <w:t>Governance reforms are also needed. This includes the CGC playing a more prominent communication role to inform the public discourse on HFE.</w:t>
            </w:r>
          </w:p>
          <w:p w:rsidR="00F3295E" w:rsidRDefault="00F3295E" w:rsidP="00697DF1">
            <w:pPr>
              <w:pStyle w:val="KeyPointsListBullet"/>
              <w:numPr>
                <w:ilvl w:val="0"/>
                <w:numId w:val="26"/>
              </w:numPr>
              <w:spacing w:line="230" w:lineRule="exact"/>
              <w:ind w:left="357" w:hanging="357"/>
            </w:pPr>
            <w:r>
              <w:t>The CGC should be directed (without delay) to pursue more simple and policy</w:t>
            </w:r>
            <w:r>
              <w:noBreakHyphen/>
              <w:t>neutral assessments, and increase its materiality thresholds, in line with achieving a reasonable level of equalisation. Other ‘in</w:t>
            </w:r>
            <w:r>
              <w:noBreakHyphen/>
              <w:t>system’ changes proposed by others, such as mining discounts, do not resolve HFE’s deficiencies and pose too much of a risk to fiscal equality.</w:t>
            </w:r>
          </w:p>
          <w:p w:rsidR="00697DF1" w:rsidRDefault="00697DF1" w:rsidP="00697DF1">
            <w:pPr>
              <w:pStyle w:val="Continued"/>
            </w:pPr>
            <w:r>
              <w:t>(continued)</w:t>
            </w:r>
          </w:p>
        </w:tc>
        <w:tc>
          <w:tcPr>
            <w:tcW w:w="165" w:type="pct"/>
            <w:tcBorders>
              <w:top w:val="nil"/>
              <w:left w:val="nil"/>
              <w:bottom w:val="nil"/>
              <w:right w:val="nil"/>
            </w:tcBorders>
            <w:shd w:val="clear" w:color="auto" w:fill="F2F2F2" w:themeFill="background1" w:themeFillShade="F2"/>
          </w:tcPr>
          <w:p w:rsidR="00F3295E" w:rsidRPr="00FF33F3" w:rsidRDefault="00F3295E" w:rsidP="00C22B32">
            <w:pPr>
              <w:pStyle w:val="BoxListBullet"/>
              <w:numPr>
                <w:ilvl w:val="0"/>
                <w:numId w:val="0"/>
              </w:numPr>
              <w:ind w:left="284"/>
            </w:pPr>
          </w:p>
        </w:tc>
        <w:tc>
          <w:tcPr>
            <w:tcW w:w="769" w:type="pct"/>
            <w:tcBorders>
              <w:top w:val="nil"/>
              <w:left w:val="nil"/>
              <w:bottom w:val="nil"/>
              <w:right w:val="nil"/>
            </w:tcBorders>
            <w:shd w:val="clear" w:color="auto" w:fill="F2F2F2" w:themeFill="background1" w:themeFillShade="F2"/>
          </w:tcPr>
          <w:p w:rsidR="00697DF1" w:rsidRDefault="00FE2C38" w:rsidP="00697DF1">
            <w:pPr>
              <w:pStyle w:val="BodyText"/>
              <w:spacing w:before="100" w:line="230" w:lineRule="exact"/>
              <w:jc w:val="left"/>
              <w:rPr>
                <w:rFonts w:ascii="Arial" w:hAnsi="Arial" w:cs="Arial"/>
                <w:sz w:val="20"/>
              </w:rPr>
            </w:pPr>
            <w:r>
              <w:rPr>
                <w:rFonts w:ascii="Arial" w:hAnsi="Arial" w:cs="Arial"/>
                <w:sz w:val="20"/>
              </w:rPr>
              <w:t>Box 1 (p. 5); p. 57</w:t>
            </w:r>
          </w:p>
          <w:p w:rsidR="00697DF1" w:rsidRDefault="00FE2C38" w:rsidP="00697DF1">
            <w:pPr>
              <w:pStyle w:val="BodyText"/>
              <w:spacing w:before="100" w:line="230" w:lineRule="exact"/>
              <w:jc w:val="left"/>
              <w:rPr>
                <w:rFonts w:ascii="Arial" w:hAnsi="Arial" w:cs="Arial"/>
                <w:sz w:val="20"/>
              </w:rPr>
            </w:pPr>
            <w:r>
              <w:rPr>
                <w:rFonts w:ascii="Arial" w:hAnsi="Arial" w:cs="Arial"/>
                <w:sz w:val="20"/>
              </w:rPr>
              <w:t>p</w:t>
            </w:r>
            <w:r w:rsidR="00877DA0">
              <w:rPr>
                <w:rFonts w:ascii="Arial" w:hAnsi="Arial" w:cs="Arial"/>
                <w:sz w:val="20"/>
              </w:rPr>
              <w:t>p. 9; 82</w:t>
            </w:r>
            <w:r w:rsidR="00F3295E">
              <w:rPr>
                <w:rFonts w:ascii="Arial" w:hAnsi="Arial" w:cs="Arial"/>
                <w:sz w:val="20"/>
              </w:rPr>
              <w:br/>
            </w:r>
            <w:r w:rsidR="00902E6E">
              <w:rPr>
                <w:rFonts w:ascii="Arial" w:hAnsi="Arial" w:cs="Arial"/>
                <w:sz w:val="20"/>
              </w:rPr>
              <w:br/>
            </w:r>
          </w:p>
          <w:p w:rsidR="00877DA0" w:rsidRDefault="00877DA0" w:rsidP="00697DF1">
            <w:pPr>
              <w:pStyle w:val="BodyText"/>
              <w:spacing w:before="100" w:line="230" w:lineRule="exact"/>
              <w:jc w:val="left"/>
              <w:rPr>
                <w:rFonts w:ascii="Arial" w:hAnsi="Arial" w:cs="Arial"/>
                <w:sz w:val="20"/>
              </w:rPr>
            </w:pPr>
          </w:p>
          <w:p w:rsidR="00697DF1" w:rsidRDefault="00877DA0" w:rsidP="00697DF1">
            <w:pPr>
              <w:pStyle w:val="BodyText"/>
              <w:spacing w:before="100" w:line="230" w:lineRule="exact"/>
              <w:jc w:val="left"/>
              <w:rPr>
                <w:rFonts w:ascii="Arial" w:hAnsi="Arial" w:cs="Arial"/>
                <w:sz w:val="20"/>
              </w:rPr>
            </w:pPr>
            <w:r>
              <w:rPr>
                <w:rFonts w:ascii="Arial" w:hAnsi="Arial" w:cs="Arial"/>
                <w:sz w:val="20"/>
              </w:rPr>
              <w:t>pp. 3</w:t>
            </w:r>
            <w:r>
              <w:rPr>
                <w:rFonts w:ascii="Arial" w:hAnsi="Arial" w:cs="Arial"/>
                <w:sz w:val="20"/>
              </w:rPr>
              <w:noBreakHyphen/>
              <w:t>4;48</w:t>
            </w:r>
            <w:r w:rsidR="00F3295E">
              <w:rPr>
                <w:rFonts w:ascii="Arial" w:hAnsi="Arial" w:cs="Arial"/>
                <w:sz w:val="20"/>
              </w:rPr>
              <w:br/>
            </w:r>
          </w:p>
          <w:p w:rsidR="00877DA0" w:rsidRDefault="00877DA0" w:rsidP="00697DF1">
            <w:pPr>
              <w:pStyle w:val="BodyText"/>
              <w:spacing w:before="100" w:line="230" w:lineRule="exact"/>
              <w:jc w:val="left"/>
              <w:rPr>
                <w:rFonts w:ascii="Arial" w:hAnsi="Arial" w:cs="Arial"/>
                <w:sz w:val="20"/>
              </w:rPr>
            </w:pPr>
          </w:p>
          <w:p w:rsidR="00697DF1" w:rsidRDefault="00902E6E" w:rsidP="00697DF1">
            <w:pPr>
              <w:pStyle w:val="BodyText"/>
              <w:spacing w:before="100" w:line="230" w:lineRule="exact"/>
              <w:jc w:val="left"/>
              <w:rPr>
                <w:rFonts w:ascii="Arial" w:hAnsi="Arial" w:cs="Arial"/>
                <w:sz w:val="20"/>
              </w:rPr>
            </w:pPr>
            <w:r>
              <w:rPr>
                <w:rFonts w:ascii="Arial" w:hAnsi="Arial" w:cs="Arial"/>
                <w:sz w:val="20"/>
              </w:rPr>
              <w:t>p</w:t>
            </w:r>
            <w:r w:rsidR="00877DA0">
              <w:rPr>
                <w:rFonts w:ascii="Arial" w:hAnsi="Arial" w:cs="Arial"/>
                <w:sz w:val="20"/>
              </w:rPr>
              <w:t>p</w:t>
            </w:r>
            <w:r>
              <w:rPr>
                <w:rFonts w:ascii="Arial" w:hAnsi="Arial" w:cs="Arial"/>
                <w:sz w:val="20"/>
              </w:rPr>
              <w:t>. 7; 94</w:t>
            </w:r>
            <w:r>
              <w:rPr>
                <w:rFonts w:ascii="Arial" w:hAnsi="Arial" w:cs="Arial"/>
                <w:sz w:val="20"/>
              </w:rPr>
              <w:noBreakHyphen/>
              <w:t xml:space="preserve">95; </w:t>
            </w:r>
            <w:r w:rsidR="00877DA0">
              <w:rPr>
                <w:rFonts w:ascii="Arial" w:hAnsi="Arial" w:cs="Arial"/>
                <w:sz w:val="20"/>
              </w:rPr>
              <w:t>349</w:t>
            </w:r>
          </w:p>
          <w:p w:rsidR="00697DF1" w:rsidRDefault="00877DA0" w:rsidP="00697DF1">
            <w:pPr>
              <w:pStyle w:val="BodyText"/>
              <w:spacing w:before="100" w:line="230" w:lineRule="exact"/>
              <w:jc w:val="left"/>
              <w:rPr>
                <w:rFonts w:ascii="Arial" w:hAnsi="Arial" w:cs="Arial"/>
                <w:sz w:val="20"/>
              </w:rPr>
            </w:pPr>
            <w:r>
              <w:rPr>
                <w:rFonts w:ascii="Arial" w:hAnsi="Arial" w:cs="Arial"/>
                <w:sz w:val="20"/>
              </w:rPr>
              <w:t>pp. 17; 54;</w:t>
            </w:r>
            <w:r w:rsidR="00902E6E">
              <w:rPr>
                <w:rFonts w:ascii="Arial" w:hAnsi="Arial" w:cs="Arial"/>
                <w:sz w:val="20"/>
              </w:rPr>
              <w:t>169</w:t>
            </w:r>
            <w:r w:rsidR="00902E6E">
              <w:rPr>
                <w:rFonts w:ascii="Arial" w:hAnsi="Arial" w:cs="Arial"/>
                <w:sz w:val="20"/>
              </w:rPr>
              <w:br/>
            </w:r>
          </w:p>
          <w:p w:rsidR="00902E6E" w:rsidRDefault="00902E6E" w:rsidP="00697DF1">
            <w:pPr>
              <w:pStyle w:val="BodyText"/>
              <w:spacing w:before="100" w:line="230" w:lineRule="exact"/>
              <w:jc w:val="left"/>
              <w:rPr>
                <w:rFonts w:ascii="Arial" w:hAnsi="Arial" w:cs="Arial"/>
                <w:sz w:val="20"/>
              </w:rPr>
            </w:pPr>
            <w:r>
              <w:rPr>
                <w:rFonts w:ascii="Arial" w:hAnsi="Arial" w:cs="Arial"/>
                <w:sz w:val="20"/>
              </w:rPr>
              <w:t>p. 18</w:t>
            </w:r>
            <w:r>
              <w:rPr>
                <w:rFonts w:ascii="Arial" w:hAnsi="Arial" w:cs="Arial"/>
                <w:sz w:val="20"/>
              </w:rPr>
              <w:br/>
            </w:r>
            <w:r>
              <w:rPr>
                <w:rFonts w:ascii="Arial" w:hAnsi="Arial" w:cs="Arial"/>
                <w:sz w:val="20"/>
              </w:rPr>
              <w:br/>
            </w:r>
          </w:p>
          <w:p w:rsidR="00697DF1" w:rsidRDefault="00877DA0" w:rsidP="00697DF1">
            <w:pPr>
              <w:pStyle w:val="BodyText"/>
              <w:spacing w:before="100" w:line="230" w:lineRule="exact"/>
              <w:jc w:val="left"/>
              <w:rPr>
                <w:rFonts w:ascii="Arial" w:hAnsi="Arial" w:cs="Arial"/>
                <w:sz w:val="20"/>
              </w:rPr>
            </w:pPr>
            <w:r>
              <w:rPr>
                <w:rFonts w:ascii="Arial" w:hAnsi="Arial" w:cs="Arial"/>
                <w:sz w:val="20"/>
              </w:rPr>
              <w:t>pp. 13</w:t>
            </w:r>
            <w:r>
              <w:rPr>
                <w:rFonts w:ascii="Arial" w:hAnsi="Arial" w:cs="Arial"/>
                <w:sz w:val="20"/>
              </w:rPr>
              <w:noBreakHyphen/>
              <w:t>15; 102;110</w:t>
            </w:r>
            <w:r>
              <w:rPr>
                <w:rFonts w:ascii="Arial" w:hAnsi="Arial" w:cs="Arial"/>
                <w:sz w:val="20"/>
              </w:rPr>
              <w:noBreakHyphen/>
              <w:t>111</w:t>
            </w:r>
            <w:r w:rsidR="00902E6E">
              <w:rPr>
                <w:rFonts w:ascii="Arial" w:hAnsi="Arial" w:cs="Arial"/>
                <w:sz w:val="20"/>
              </w:rPr>
              <w:br/>
            </w:r>
          </w:p>
          <w:p w:rsidR="00697DF1" w:rsidRDefault="00877DA0" w:rsidP="00697DF1">
            <w:pPr>
              <w:pStyle w:val="BodyText"/>
              <w:spacing w:before="100" w:line="230" w:lineRule="exact"/>
              <w:jc w:val="left"/>
              <w:rPr>
                <w:rFonts w:ascii="Arial" w:hAnsi="Arial" w:cs="Arial"/>
                <w:sz w:val="20"/>
              </w:rPr>
            </w:pPr>
            <w:r>
              <w:rPr>
                <w:rFonts w:ascii="Arial" w:hAnsi="Arial" w:cs="Arial"/>
                <w:sz w:val="20"/>
              </w:rPr>
              <w:t>pp. 5;18;58</w:t>
            </w:r>
            <w:r w:rsidR="00F3295E">
              <w:rPr>
                <w:rFonts w:ascii="Arial" w:hAnsi="Arial" w:cs="Arial"/>
                <w:sz w:val="20"/>
              </w:rPr>
              <w:br/>
            </w:r>
          </w:p>
          <w:p w:rsidR="00877DA0" w:rsidRDefault="00877DA0" w:rsidP="00697DF1">
            <w:pPr>
              <w:pStyle w:val="BodyText"/>
              <w:spacing w:before="100" w:line="230" w:lineRule="exact"/>
              <w:jc w:val="left"/>
              <w:rPr>
                <w:rFonts w:ascii="Arial" w:hAnsi="Arial" w:cs="Arial"/>
                <w:sz w:val="20"/>
              </w:rPr>
            </w:pPr>
          </w:p>
          <w:p w:rsidR="00697DF1" w:rsidRDefault="00F3357C" w:rsidP="00697DF1">
            <w:pPr>
              <w:pStyle w:val="BodyText"/>
              <w:spacing w:before="100" w:line="230" w:lineRule="exact"/>
              <w:jc w:val="left"/>
              <w:rPr>
                <w:rFonts w:ascii="Arial" w:hAnsi="Arial" w:cs="Arial"/>
                <w:sz w:val="20"/>
              </w:rPr>
            </w:pPr>
            <w:r>
              <w:rPr>
                <w:rFonts w:ascii="Arial" w:hAnsi="Arial" w:cs="Arial"/>
                <w:sz w:val="20"/>
              </w:rPr>
              <w:t>p</w:t>
            </w:r>
            <w:r w:rsidR="00877DA0">
              <w:rPr>
                <w:rFonts w:ascii="Arial" w:hAnsi="Arial" w:cs="Arial"/>
                <w:sz w:val="20"/>
              </w:rPr>
              <w:t>p. 18;170</w:t>
            </w:r>
            <w:r w:rsidR="00F3295E" w:rsidRPr="00EE6DF9">
              <w:rPr>
                <w:rFonts w:ascii="Arial" w:hAnsi="Arial" w:cs="Arial"/>
                <w:sz w:val="20"/>
              </w:rPr>
              <w:br/>
            </w:r>
          </w:p>
          <w:p w:rsidR="00877DA0" w:rsidRDefault="00877DA0" w:rsidP="00697DF1">
            <w:pPr>
              <w:pStyle w:val="BodyText"/>
              <w:spacing w:before="100" w:line="230" w:lineRule="exact"/>
              <w:jc w:val="left"/>
              <w:rPr>
                <w:rFonts w:ascii="Arial" w:hAnsi="Arial" w:cs="Arial"/>
                <w:sz w:val="20"/>
              </w:rPr>
            </w:pPr>
          </w:p>
          <w:p w:rsidR="00877DA0" w:rsidRDefault="00877DA0" w:rsidP="00697DF1">
            <w:pPr>
              <w:pStyle w:val="BodyText"/>
              <w:spacing w:before="100" w:line="230" w:lineRule="exact"/>
              <w:jc w:val="left"/>
              <w:rPr>
                <w:rFonts w:ascii="Arial" w:hAnsi="Arial" w:cs="Arial"/>
                <w:sz w:val="20"/>
              </w:rPr>
            </w:pPr>
          </w:p>
          <w:p w:rsidR="00697DF1" w:rsidRDefault="00F3357C" w:rsidP="00697DF1">
            <w:pPr>
              <w:pStyle w:val="BodyText"/>
              <w:spacing w:before="100" w:line="230" w:lineRule="exact"/>
              <w:jc w:val="left"/>
              <w:rPr>
                <w:rFonts w:ascii="Arial" w:hAnsi="Arial" w:cs="Arial"/>
                <w:sz w:val="20"/>
              </w:rPr>
            </w:pPr>
            <w:r>
              <w:rPr>
                <w:rFonts w:ascii="Arial" w:hAnsi="Arial" w:cs="Arial"/>
                <w:sz w:val="20"/>
              </w:rPr>
              <w:t>pp. 18</w:t>
            </w:r>
            <w:r>
              <w:rPr>
                <w:rFonts w:ascii="Arial" w:hAnsi="Arial" w:cs="Arial"/>
                <w:sz w:val="20"/>
              </w:rPr>
              <w:noBreakHyphen/>
              <w:t>19;</w:t>
            </w:r>
            <w:r w:rsidR="00877DA0">
              <w:rPr>
                <w:rFonts w:ascii="Arial" w:hAnsi="Arial" w:cs="Arial"/>
                <w:sz w:val="20"/>
              </w:rPr>
              <w:t xml:space="preserve"> 176-179</w:t>
            </w:r>
            <w:r w:rsidR="00F3295E">
              <w:rPr>
                <w:rFonts w:ascii="Arial" w:hAnsi="Arial" w:cs="Arial"/>
                <w:sz w:val="20"/>
              </w:rPr>
              <w:br/>
            </w:r>
          </w:p>
          <w:p w:rsidR="00877DA0" w:rsidRDefault="00877DA0" w:rsidP="00697DF1">
            <w:pPr>
              <w:pStyle w:val="BodyText"/>
              <w:spacing w:before="100" w:line="230" w:lineRule="exact"/>
              <w:jc w:val="left"/>
              <w:rPr>
                <w:rFonts w:ascii="Arial" w:hAnsi="Arial" w:cs="Arial"/>
                <w:sz w:val="20"/>
              </w:rPr>
            </w:pPr>
          </w:p>
          <w:p w:rsidR="00697DF1" w:rsidRDefault="00F3295E" w:rsidP="00697DF1">
            <w:pPr>
              <w:pStyle w:val="BodyText"/>
              <w:spacing w:before="100" w:line="230" w:lineRule="exact"/>
              <w:jc w:val="left"/>
              <w:rPr>
                <w:rFonts w:ascii="Arial" w:hAnsi="Arial" w:cs="Arial"/>
                <w:sz w:val="20"/>
              </w:rPr>
            </w:pPr>
            <w:r>
              <w:rPr>
                <w:rFonts w:ascii="Arial" w:hAnsi="Arial" w:cs="Arial"/>
                <w:sz w:val="20"/>
              </w:rPr>
              <w:t>p</w:t>
            </w:r>
            <w:r w:rsidR="00F3357C">
              <w:rPr>
                <w:rFonts w:ascii="Arial" w:hAnsi="Arial" w:cs="Arial"/>
                <w:sz w:val="20"/>
              </w:rPr>
              <w:t>p. 19</w:t>
            </w:r>
            <w:r w:rsidR="00F3357C">
              <w:rPr>
                <w:rFonts w:ascii="Arial" w:hAnsi="Arial" w:cs="Arial"/>
                <w:sz w:val="20"/>
              </w:rPr>
              <w:noBreakHyphen/>
              <w:t xml:space="preserve">20; </w:t>
            </w:r>
            <w:r w:rsidR="00444896">
              <w:rPr>
                <w:rFonts w:ascii="Arial" w:hAnsi="Arial" w:cs="Arial"/>
                <w:sz w:val="20"/>
              </w:rPr>
              <w:t>181</w:t>
            </w:r>
            <w:r w:rsidR="00444896">
              <w:rPr>
                <w:rFonts w:ascii="Arial" w:hAnsi="Arial" w:cs="Arial"/>
                <w:sz w:val="20"/>
              </w:rPr>
              <w:noBreakHyphen/>
              <w:t>190</w:t>
            </w:r>
          </w:p>
          <w:p w:rsidR="00376598" w:rsidRDefault="00376598" w:rsidP="00877DA0">
            <w:pPr>
              <w:pStyle w:val="BodyText"/>
              <w:spacing w:before="100" w:line="230" w:lineRule="exact"/>
              <w:jc w:val="left"/>
              <w:rPr>
                <w:rFonts w:ascii="Arial" w:hAnsi="Arial" w:cs="Arial"/>
                <w:sz w:val="20"/>
              </w:rPr>
            </w:pPr>
          </w:p>
          <w:p w:rsidR="00F3295E" w:rsidRPr="00902E6E" w:rsidRDefault="00877DA0" w:rsidP="00877DA0">
            <w:pPr>
              <w:pStyle w:val="BodyText"/>
              <w:spacing w:before="100" w:line="230" w:lineRule="exact"/>
              <w:jc w:val="left"/>
              <w:rPr>
                <w:rFonts w:ascii="Arial" w:hAnsi="Arial" w:cs="Arial"/>
                <w:sz w:val="20"/>
              </w:rPr>
            </w:pPr>
            <w:r>
              <w:rPr>
                <w:rFonts w:ascii="Arial" w:hAnsi="Arial" w:cs="Arial"/>
                <w:sz w:val="20"/>
              </w:rPr>
              <w:t>pp. 23</w:t>
            </w:r>
            <w:r>
              <w:rPr>
                <w:rFonts w:ascii="Arial" w:hAnsi="Arial" w:cs="Arial"/>
                <w:sz w:val="20"/>
              </w:rPr>
              <w:noBreakHyphen/>
              <w:t>25; 200;205;207</w:t>
            </w:r>
          </w:p>
        </w:tc>
      </w:tr>
      <w:tr w:rsidR="00F3295E" w:rsidTr="00C22B32">
        <w:tc>
          <w:tcPr>
            <w:tcW w:w="4066" w:type="pct"/>
            <w:tcBorders>
              <w:top w:val="nil"/>
              <w:left w:val="nil"/>
              <w:bottom w:val="single" w:sz="12" w:space="0" w:color="78A22F"/>
              <w:right w:val="nil"/>
            </w:tcBorders>
            <w:shd w:val="clear" w:color="auto" w:fill="F2F2F2" w:themeFill="background1" w:themeFillShade="F2"/>
          </w:tcPr>
          <w:p w:rsidR="00F3295E" w:rsidRDefault="00F3295E" w:rsidP="00C22B32">
            <w:pPr>
              <w:pStyle w:val="Box"/>
              <w:spacing w:before="0" w:line="120" w:lineRule="exact"/>
            </w:pPr>
          </w:p>
        </w:tc>
        <w:tc>
          <w:tcPr>
            <w:tcW w:w="165" w:type="pct"/>
            <w:tcBorders>
              <w:top w:val="nil"/>
              <w:left w:val="nil"/>
              <w:bottom w:val="single" w:sz="12" w:space="0" w:color="78A22F"/>
              <w:right w:val="nil"/>
            </w:tcBorders>
            <w:shd w:val="clear" w:color="auto" w:fill="F2F2F2" w:themeFill="background1" w:themeFillShade="F2"/>
          </w:tcPr>
          <w:p w:rsidR="00F3295E" w:rsidRDefault="00F3295E" w:rsidP="00C22B32">
            <w:pPr>
              <w:pStyle w:val="Box"/>
              <w:spacing w:before="0" w:line="120" w:lineRule="exact"/>
            </w:pPr>
          </w:p>
        </w:tc>
        <w:tc>
          <w:tcPr>
            <w:tcW w:w="769" w:type="pct"/>
            <w:tcBorders>
              <w:top w:val="nil"/>
              <w:left w:val="nil"/>
              <w:bottom w:val="single" w:sz="12" w:space="0" w:color="78A22F"/>
              <w:right w:val="nil"/>
            </w:tcBorders>
            <w:shd w:val="clear" w:color="auto" w:fill="F2F2F2" w:themeFill="background1" w:themeFillShade="F2"/>
          </w:tcPr>
          <w:p w:rsidR="00F3295E" w:rsidRDefault="00F3295E" w:rsidP="00C22B32">
            <w:pPr>
              <w:pStyle w:val="Box"/>
              <w:spacing w:before="0" w:line="120" w:lineRule="exact"/>
              <w:jc w:val="left"/>
            </w:pPr>
          </w:p>
        </w:tc>
      </w:tr>
      <w:tr w:rsidR="00F3295E" w:rsidRPr="000863A5" w:rsidTr="00C22B32">
        <w:tc>
          <w:tcPr>
            <w:tcW w:w="4066" w:type="pct"/>
            <w:tcBorders>
              <w:top w:val="single" w:sz="12" w:space="0" w:color="78A22F"/>
              <w:left w:val="nil"/>
              <w:bottom w:val="nil"/>
              <w:right w:val="nil"/>
            </w:tcBorders>
          </w:tcPr>
          <w:p w:rsidR="00F3295E" w:rsidRPr="00626D32" w:rsidRDefault="00F3295E" w:rsidP="00C22B32">
            <w:pPr>
              <w:pStyle w:val="BoxSpaceBelow"/>
            </w:pPr>
          </w:p>
        </w:tc>
        <w:tc>
          <w:tcPr>
            <w:tcW w:w="165" w:type="pct"/>
            <w:tcBorders>
              <w:top w:val="single" w:sz="12" w:space="0" w:color="78A22F"/>
              <w:left w:val="nil"/>
              <w:bottom w:val="nil"/>
              <w:right w:val="nil"/>
            </w:tcBorders>
            <w:shd w:val="clear" w:color="auto" w:fill="FFFFFF" w:themeFill="background1"/>
          </w:tcPr>
          <w:p w:rsidR="00F3295E" w:rsidRPr="00626D32" w:rsidRDefault="00F3295E" w:rsidP="00C22B32">
            <w:pPr>
              <w:pStyle w:val="BoxSpaceBelow"/>
            </w:pPr>
          </w:p>
        </w:tc>
        <w:tc>
          <w:tcPr>
            <w:tcW w:w="769" w:type="pct"/>
            <w:tcBorders>
              <w:top w:val="single" w:sz="12" w:space="0" w:color="78A22F"/>
              <w:left w:val="nil"/>
              <w:bottom w:val="nil"/>
              <w:right w:val="nil"/>
            </w:tcBorders>
          </w:tcPr>
          <w:p w:rsidR="00F3295E" w:rsidRPr="00626D32" w:rsidRDefault="00F3295E" w:rsidP="00C22B32">
            <w:pPr>
              <w:pStyle w:val="BoxSpaceBelow"/>
              <w:jc w:val="left"/>
            </w:pPr>
          </w:p>
        </w:tc>
      </w:tr>
      <w:tr w:rsidR="00F3295E" w:rsidRPr="0004094B" w:rsidTr="00C22B32">
        <w:tc>
          <w:tcPr>
            <w:tcW w:w="4066" w:type="pct"/>
            <w:tcBorders>
              <w:top w:val="single" w:sz="12" w:space="0" w:color="78A22F"/>
              <w:left w:val="nil"/>
              <w:bottom w:val="nil"/>
              <w:right w:val="nil"/>
            </w:tcBorders>
            <w:shd w:val="clear" w:color="auto" w:fill="F2F2F2" w:themeFill="background1" w:themeFillShade="F2"/>
          </w:tcPr>
          <w:p w:rsidR="00F3295E" w:rsidRPr="005C6086" w:rsidRDefault="00F3295E" w:rsidP="00F3295E">
            <w:pPr>
              <w:pStyle w:val="BoxTitle"/>
              <w:rPr>
                <w:b w:val="0"/>
                <w:sz w:val="18"/>
                <w:szCs w:val="18"/>
              </w:rPr>
            </w:pPr>
            <w:r w:rsidRPr="005C6086">
              <w:rPr>
                <w:b w:val="0"/>
                <w:sz w:val="18"/>
                <w:szCs w:val="18"/>
              </w:rPr>
              <w:lastRenderedPageBreak/>
              <w:t>(continued)</w:t>
            </w:r>
          </w:p>
        </w:tc>
        <w:tc>
          <w:tcPr>
            <w:tcW w:w="165" w:type="pct"/>
            <w:tcBorders>
              <w:top w:val="single" w:sz="12" w:space="0" w:color="78A22F"/>
              <w:left w:val="nil"/>
              <w:bottom w:val="nil"/>
              <w:right w:val="nil"/>
            </w:tcBorders>
            <w:shd w:val="clear" w:color="auto" w:fill="F2F2F2" w:themeFill="background1" w:themeFillShade="F2"/>
          </w:tcPr>
          <w:p w:rsidR="00F3295E" w:rsidRPr="0004094B" w:rsidRDefault="00F3295E" w:rsidP="00C22B32">
            <w:pPr>
              <w:pStyle w:val="BoxTitle"/>
            </w:pPr>
          </w:p>
        </w:tc>
        <w:tc>
          <w:tcPr>
            <w:tcW w:w="769" w:type="pct"/>
            <w:tcBorders>
              <w:top w:val="single" w:sz="12" w:space="0" w:color="78A22F"/>
              <w:left w:val="nil"/>
              <w:bottom w:val="nil"/>
              <w:right w:val="nil"/>
            </w:tcBorders>
            <w:shd w:val="clear" w:color="auto" w:fill="F2F2F2" w:themeFill="background1" w:themeFillShade="F2"/>
          </w:tcPr>
          <w:p w:rsidR="00F3295E" w:rsidRPr="0004094B" w:rsidRDefault="00F3295E" w:rsidP="00C22B32">
            <w:pPr>
              <w:pStyle w:val="BoxTitle"/>
            </w:pPr>
            <w:r w:rsidRPr="0004094B">
              <w:t>For more</w:t>
            </w:r>
          </w:p>
        </w:tc>
      </w:tr>
      <w:tr w:rsidR="00F3295E" w:rsidRPr="009B2F08" w:rsidTr="00C22B32">
        <w:tc>
          <w:tcPr>
            <w:tcW w:w="4066" w:type="pct"/>
            <w:tcBorders>
              <w:top w:val="nil"/>
              <w:left w:val="nil"/>
              <w:bottom w:val="nil"/>
              <w:right w:val="nil"/>
            </w:tcBorders>
            <w:shd w:val="clear" w:color="auto" w:fill="F2F2F2" w:themeFill="background1" w:themeFillShade="F2"/>
          </w:tcPr>
          <w:p w:rsidR="00F3295E" w:rsidRDefault="00F3295E" w:rsidP="005C6086">
            <w:pPr>
              <w:pStyle w:val="KeyPointsListBullet"/>
              <w:numPr>
                <w:ilvl w:val="0"/>
                <w:numId w:val="26"/>
              </w:numPr>
              <w:spacing w:line="240" w:lineRule="atLeast"/>
              <w:ind w:left="357" w:hanging="357"/>
            </w:pPr>
            <w:r>
              <w:t>In</w:t>
            </w:r>
            <w:r>
              <w:noBreakHyphen/>
              <w:t xml:space="preserve">system and governance changes will improve HFE but can only go so far. Additional efficiency gains are only in prospect from an alternative equalisation benchmark, which many would regard as a fairer outcome. </w:t>
            </w:r>
          </w:p>
          <w:p w:rsidR="00F3295E" w:rsidRDefault="00F3295E" w:rsidP="005C6086">
            <w:pPr>
              <w:pStyle w:val="KeyPointsListBullet2"/>
              <w:numPr>
                <w:ilvl w:val="0"/>
                <w:numId w:val="27"/>
              </w:numPr>
              <w:spacing w:line="240" w:lineRule="atLeast"/>
              <w:ind w:left="568" w:hanging="284"/>
            </w:pPr>
            <w:r>
              <w:t>Amongst a number of options designed to equalise to a</w:t>
            </w:r>
            <w:r>
              <w:rPr>
                <w:b/>
              </w:rPr>
              <w:t xml:space="preserve"> reasonable standard</w:t>
            </w:r>
            <w:r>
              <w:t xml:space="preserve">, equalisation to the average of all States (rather than to the strongest State) is judged to provide a better balance between fiscal equality, fairness and efficiency. </w:t>
            </w:r>
          </w:p>
          <w:p w:rsidR="00F3295E" w:rsidRDefault="00F3295E" w:rsidP="005C6086">
            <w:pPr>
              <w:pStyle w:val="KeyPointsListBullet"/>
              <w:numPr>
                <w:ilvl w:val="0"/>
                <w:numId w:val="26"/>
              </w:numPr>
              <w:spacing w:line="240" w:lineRule="atLeast"/>
              <w:ind w:left="357" w:hanging="357"/>
            </w:pPr>
            <w:r>
              <w:t xml:space="preserve">Changing the benchmark in the current fiscal environment will lead to a material redistribution of the GST. This change is likely to prove manageable for all States if phased. Transition should be funded by the beneficiary States and by hastening slowly, such that no State sees a reduction in its GST from one year to the next of more than 2 per cent of its overall revenue. </w:t>
            </w:r>
          </w:p>
          <w:p w:rsidR="00F3295E" w:rsidRDefault="00F3295E" w:rsidP="005C6086">
            <w:pPr>
              <w:pStyle w:val="KeyPointsListBullet"/>
              <w:numPr>
                <w:ilvl w:val="0"/>
                <w:numId w:val="26"/>
              </w:numPr>
              <w:spacing w:line="240" w:lineRule="atLeast"/>
              <w:ind w:left="357" w:hanging="357"/>
            </w:pPr>
            <w:r>
              <w:t>The transition paths outlined in this report would soften any year</w:t>
            </w:r>
            <w:r>
              <w:noBreakHyphen/>
              <w:t>on</w:t>
            </w:r>
            <w:r>
              <w:noBreakHyphen/>
              <w:t xml:space="preserve">year impact, to less than 1 per cent of State revenue. </w:t>
            </w:r>
          </w:p>
          <w:p w:rsidR="00F3295E" w:rsidRPr="009B2F08" w:rsidRDefault="00F3295E" w:rsidP="005C6086">
            <w:pPr>
              <w:pStyle w:val="KeyPointsListBullet"/>
              <w:spacing w:line="240" w:lineRule="atLeast"/>
            </w:pPr>
            <w:r>
              <w:t>Improving HFE will deliver benefits to the Australian community. But ultimately, greater benefits will only come from more fundamental reforms to Australia’s federal financial relations: namely, to spending and revenue raising responsibilities and ensuing accountabilities.</w:t>
            </w:r>
          </w:p>
        </w:tc>
        <w:tc>
          <w:tcPr>
            <w:tcW w:w="165" w:type="pct"/>
            <w:tcBorders>
              <w:top w:val="nil"/>
              <w:left w:val="nil"/>
              <w:bottom w:val="nil"/>
              <w:right w:val="nil"/>
            </w:tcBorders>
            <w:shd w:val="clear" w:color="auto" w:fill="F2F2F2" w:themeFill="background1" w:themeFillShade="F2"/>
          </w:tcPr>
          <w:p w:rsidR="00F3295E" w:rsidRPr="009B2F08" w:rsidRDefault="00F3295E" w:rsidP="005C6086">
            <w:pPr>
              <w:pStyle w:val="BoxListBullet"/>
              <w:numPr>
                <w:ilvl w:val="0"/>
                <w:numId w:val="0"/>
              </w:numPr>
              <w:spacing w:line="240" w:lineRule="atLeast"/>
              <w:ind w:left="284"/>
            </w:pPr>
          </w:p>
        </w:tc>
        <w:tc>
          <w:tcPr>
            <w:tcW w:w="769" w:type="pct"/>
            <w:tcBorders>
              <w:top w:val="nil"/>
              <w:left w:val="nil"/>
              <w:bottom w:val="nil"/>
              <w:right w:val="nil"/>
            </w:tcBorders>
            <w:shd w:val="clear" w:color="auto" w:fill="F2F2F2" w:themeFill="background1" w:themeFillShade="F2"/>
            <w:tcMar>
              <w:left w:w="113" w:type="dxa"/>
              <w:right w:w="113" w:type="dxa"/>
            </w:tcMar>
          </w:tcPr>
          <w:p w:rsidR="00697DF1" w:rsidRDefault="00444896" w:rsidP="005C6086">
            <w:pPr>
              <w:pStyle w:val="BodyText"/>
              <w:spacing w:before="100" w:line="240" w:lineRule="atLeast"/>
              <w:jc w:val="left"/>
              <w:rPr>
                <w:rFonts w:ascii="Arial" w:hAnsi="Arial" w:cs="Arial"/>
                <w:sz w:val="20"/>
              </w:rPr>
            </w:pPr>
            <w:r>
              <w:rPr>
                <w:rFonts w:ascii="Arial" w:hAnsi="Arial" w:cs="Arial"/>
                <w:sz w:val="20"/>
              </w:rPr>
              <w:t>p. 219</w:t>
            </w:r>
            <w:r>
              <w:rPr>
                <w:rFonts w:ascii="Arial" w:hAnsi="Arial" w:cs="Arial"/>
                <w:sz w:val="20"/>
              </w:rPr>
              <w:br/>
            </w:r>
            <w:r>
              <w:rPr>
                <w:rFonts w:ascii="Arial" w:hAnsi="Arial" w:cs="Arial"/>
                <w:sz w:val="20"/>
              </w:rPr>
              <w:br/>
            </w:r>
          </w:p>
          <w:p w:rsidR="00697DF1" w:rsidRDefault="00376598" w:rsidP="005C6086">
            <w:pPr>
              <w:pStyle w:val="BodyText"/>
              <w:spacing w:before="100" w:line="240" w:lineRule="atLeast"/>
              <w:jc w:val="left"/>
              <w:rPr>
                <w:rFonts w:ascii="Arial" w:hAnsi="Arial" w:cs="Arial"/>
                <w:sz w:val="20"/>
              </w:rPr>
            </w:pPr>
            <w:r>
              <w:rPr>
                <w:rFonts w:ascii="Arial" w:hAnsi="Arial" w:cs="Arial"/>
                <w:sz w:val="20"/>
              </w:rPr>
              <w:t>pp. 25</w:t>
            </w:r>
            <w:r>
              <w:rPr>
                <w:rFonts w:ascii="Arial" w:hAnsi="Arial" w:cs="Arial"/>
                <w:sz w:val="20"/>
              </w:rPr>
              <w:noBreakHyphen/>
              <w:t>29;    232-236; 248;254</w:t>
            </w:r>
            <w:r w:rsidR="00444896">
              <w:rPr>
                <w:rFonts w:ascii="Arial" w:hAnsi="Arial" w:cs="Arial"/>
                <w:sz w:val="20"/>
              </w:rPr>
              <w:br/>
            </w:r>
            <w:r w:rsidR="00444896">
              <w:rPr>
                <w:rFonts w:ascii="Arial" w:hAnsi="Arial" w:cs="Arial"/>
                <w:sz w:val="20"/>
              </w:rPr>
              <w:br/>
            </w:r>
          </w:p>
          <w:p w:rsidR="00697DF1" w:rsidRDefault="00444896" w:rsidP="005C6086">
            <w:pPr>
              <w:pStyle w:val="BodyText"/>
              <w:spacing w:before="100" w:line="240" w:lineRule="atLeast"/>
              <w:jc w:val="left"/>
              <w:rPr>
                <w:rFonts w:ascii="Arial" w:hAnsi="Arial" w:cs="Arial"/>
                <w:sz w:val="20"/>
              </w:rPr>
            </w:pPr>
            <w:r>
              <w:rPr>
                <w:rFonts w:ascii="Arial" w:hAnsi="Arial" w:cs="Arial"/>
                <w:sz w:val="20"/>
              </w:rPr>
              <w:t>pp. 32</w:t>
            </w:r>
            <w:r>
              <w:rPr>
                <w:rFonts w:ascii="Arial" w:hAnsi="Arial" w:cs="Arial"/>
                <w:sz w:val="20"/>
              </w:rPr>
              <w:noBreakHyphen/>
              <w:t>33;</w:t>
            </w:r>
            <w:r w:rsidR="00697DF1">
              <w:rPr>
                <w:rFonts w:ascii="Arial" w:hAnsi="Arial" w:cs="Arial"/>
                <w:sz w:val="20"/>
              </w:rPr>
              <w:br/>
            </w:r>
            <w:r w:rsidR="00376598">
              <w:rPr>
                <w:rFonts w:ascii="Arial" w:hAnsi="Arial" w:cs="Arial"/>
                <w:sz w:val="20"/>
              </w:rPr>
              <w:t>258</w:t>
            </w:r>
            <w:r w:rsidR="00376598">
              <w:rPr>
                <w:rFonts w:ascii="Arial" w:hAnsi="Arial" w:cs="Arial"/>
                <w:sz w:val="20"/>
              </w:rPr>
              <w:noBreakHyphen/>
              <w:t>263</w:t>
            </w:r>
            <w:r>
              <w:rPr>
                <w:rFonts w:ascii="Arial" w:hAnsi="Arial" w:cs="Arial"/>
                <w:sz w:val="20"/>
              </w:rPr>
              <w:br/>
            </w:r>
            <w:r>
              <w:rPr>
                <w:rFonts w:ascii="Arial" w:hAnsi="Arial" w:cs="Arial"/>
                <w:sz w:val="20"/>
              </w:rPr>
              <w:br/>
            </w:r>
            <w:r>
              <w:rPr>
                <w:rFonts w:ascii="Arial" w:hAnsi="Arial" w:cs="Arial"/>
                <w:sz w:val="20"/>
              </w:rPr>
              <w:br/>
              <w:t>pp. 34</w:t>
            </w:r>
            <w:r>
              <w:rPr>
                <w:rFonts w:ascii="Arial" w:hAnsi="Arial" w:cs="Arial"/>
                <w:sz w:val="20"/>
              </w:rPr>
              <w:noBreakHyphen/>
              <w:t>35;</w:t>
            </w:r>
            <w:r w:rsidR="00376598">
              <w:rPr>
                <w:rFonts w:ascii="Arial" w:hAnsi="Arial" w:cs="Arial"/>
                <w:sz w:val="20"/>
              </w:rPr>
              <w:t xml:space="preserve"> 266; </w:t>
            </w:r>
            <w:r w:rsidR="00AB6DB6">
              <w:rPr>
                <w:rFonts w:ascii="Arial" w:hAnsi="Arial" w:cs="Arial"/>
                <w:sz w:val="20"/>
              </w:rPr>
              <w:t>App</w:t>
            </w:r>
            <w:r w:rsidR="005C5A71">
              <w:rPr>
                <w:rFonts w:ascii="Arial" w:hAnsi="Arial" w:cs="Arial"/>
                <w:sz w:val="20"/>
              </w:rPr>
              <w:t>endix</w:t>
            </w:r>
            <w:r w:rsidR="00AB6DB6">
              <w:rPr>
                <w:rFonts w:ascii="Arial" w:hAnsi="Arial" w:cs="Arial"/>
                <w:sz w:val="20"/>
              </w:rPr>
              <w:t> F</w:t>
            </w:r>
          </w:p>
          <w:p w:rsidR="00376598" w:rsidRDefault="00376598" w:rsidP="005C6086">
            <w:pPr>
              <w:pStyle w:val="BodyText"/>
              <w:spacing w:before="100" w:line="240" w:lineRule="atLeast"/>
              <w:jc w:val="left"/>
              <w:rPr>
                <w:rFonts w:ascii="Arial" w:hAnsi="Arial" w:cs="Arial"/>
                <w:sz w:val="20"/>
              </w:rPr>
            </w:pPr>
          </w:p>
          <w:p w:rsidR="00F3295E" w:rsidRPr="00752DBB" w:rsidRDefault="00AB6DB6" w:rsidP="00376598">
            <w:pPr>
              <w:pStyle w:val="BodyText"/>
              <w:spacing w:before="100" w:line="240" w:lineRule="atLeast"/>
              <w:jc w:val="left"/>
              <w:rPr>
                <w:rFonts w:ascii="Arial" w:hAnsi="Arial" w:cs="Arial"/>
                <w:sz w:val="20"/>
              </w:rPr>
            </w:pPr>
            <w:r>
              <w:rPr>
                <w:rFonts w:ascii="Arial" w:hAnsi="Arial" w:cs="Arial"/>
                <w:sz w:val="20"/>
              </w:rPr>
              <w:t>p</w:t>
            </w:r>
            <w:r w:rsidR="00376598">
              <w:rPr>
                <w:rFonts w:ascii="Arial" w:hAnsi="Arial" w:cs="Arial"/>
                <w:sz w:val="20"/>
              </w:rPr>
              <w:t>p</w:t>
            </w:r>
            <w:r>
              <w:rPr>
                <w:rFonts w:ascii="Arial" w:hAnsi="Arial" w:cs="Arial"/>
                <w:sz w:val="20"/>
              </w:rPr>
              <w:t xml:space="preserve">. 20; </w:t>
            </w:r>
            <w:r w:rsidR="00376598">
              <w:rPr>
                <w:rFonts w:ascii="Arial" w:hAnsi="Arial" w:cs="Arial"/>
                <w:sz w:val="20"/>
              </w:rPr>
              <w:t>278-284</w:t>
            </w:r>
          </w:p>
        </w:tc>
      </w:tr>
      <w:tr w:rsidR="00F3295E" w:rsidTr="00C22B32">
        <w:tc>
          <w:tcPr>
            <w:tcW w:w="4066" w:type="pct"/>
            <w:tcBorders>
              <w:top w:val="nil"/>
              <w:left w:val="nil"/>
              <w:bottom w:val="single" w:sz="12" w:space="0" w:color="78A22F"/>
              <w:right w:val="nil"/>
            </w:tcBorders>
            <w:shd w:val="clear" w:color="auto" w:fill="F2F2F2" w:themeFill="background1" w:themeFillShade="F2"/>
          </w:tcPr>
          <w:p w:rsidR="00F3295E" w:rsidRDefault="00F3295E" w:rsidP="00C22B32">
            <w:pPr>
              <w:pStyle w:val="Box"/>
              <w:spacing w:before="0" w:line="120" w:lineRule="exact"/>
            </w:pPr>
          </w:p>
        </w:tc>
        <w:tc>
          <w:tcPr>
            <w:tcW w:w="165" w:type="pct"/>
            <w:tcBorders>
              <w:top w:val="nil"/>
              <w:left w:val="nil"/>
              <w:bottom w:val="single" w:sz="12" w:space="0" w:color="78A22F"/>
              <w:right w:val="nil"/>
            </w:tcBorders>
            <w:shd w:val="clear" w:color="auto" w:fill="F2F2F2" w:themeFill="background1" w:themeFillShade="F2"/>
          </w:tcPr>
          <w:p w:rsidR="00F3295E" w:rsidRDefault="00F3295E" w:rsidP="00C22B32">
            <w:pPr>
              <w:pStyle w:val="Box"/>
              <w:spacing w:before="0" w:line="120" w:lineRule="exact"/>
            </w:pPr>
          </w:p>
        </w:tc>
        <w:tc>
          <w:tcPr>
            <w:tcW w:w="769" w:type="pct"/>
            <w:tcBorders>
              <w:top w:val="nil"/>
              <w:left w:val="nil"/>
              <w:bottom w:val="single" w:sz="12" w:space="0" w:color="78A22F"/>
              <w:right w:val="nil"/>
            </w:tcBorders>
            <w:shd w:val="clear" w:color="auto" w:fill="F2F2F2" w:themeFill="background1" w:themeFillShade="F2"/>
          </w:tcPr>
          <w:p w:rsidR="00F3295E" w:rsidRDefault="00F3295E" w:rsidP="00C22B32">
            <w:pPr>
              <w:pStyle w:val="Box"/>
              <w:spacing w:before="0" w:line="120" w:lineRule="exact"/>
              <w:jc w:val="left"/>
            </w:pPr>
          </w:p>
        </w:tc>
      </w:tr>
    </w:tbl>
    <w:p w:rsidR="001C0AED" w:rsidRDefault="00A33DFF" w:rsidP="00120072">
      <w:pPr>
        <w:pStyle w:val="BodyText"/>
      </w:pPr>
      <w:r>
        <w:br w:type="page"/>
      </w:r>
    </w:p>
    <w:tbl>
      <w:tblPr>
        <w:tblW w:w="5243" w:type="pct"/>
        <w:tblInd w:w="-42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7495"/>
        <w:gridCol w:w="304"/>
        <w:gridCol w:w="1417"/>
      </w:tblGrid>
      <w:tr w:rsidR="003740DA" w:rsidTr="009C4D91">
        <w:trPr>
          <w:trHeight w:val="482"/>
        </w:trPr>
        <w:tc>
          <w:tcPr>
            <w:tcW w:w="4066" w:type="pct"/>
            <w:tcBorders>
              <w:top w:val="single" w:sz="12" w:space="0" w:color="78A22F"/>
              <w:left w:val="nil"/>
              <w:bottom w:val="nil"/>
              <w:right w:val="nil"/>
            </w:tcBorders>
            <w:shd w:val="clear" w:color="auto" w:fill="F2F2F2"/>
          </w:tcPr>
          <w:p w:rsidR="003740DA" w:rsidRPr="007047E8" w:rsidRDefault="003740DA" w:rsidP="009C1BBB">
            <w:pPr>
              <w:pStyle w:val="BoxTitle"/>
            </w:pPr>
            <w:r>
              <w:lastRenderedPageBreak/>
              <w:t xml:space="preserve">Chapter </w:t>
            </w:r>
            <w:r w:rsidR="009C1BBB">
              <w:t>1</w:t>
            </w:r>
            <w:r>
              <w:t xml:space="preserve">: </w:t>
            </w:r>
            <w:r w:rsidR="009C1BBB">
              <w:t>About this inquiry</w:t>
            </w:r>
          </w:p>
        </w:tc>
        <w:tc>
          <w:tcPr>
            <w:tcW w:w="165" w:type="pct"/>
            <w:tcBorders>
              <w:top w:val="single" w:sz="12" w:space="0" w:color="78A22F"/>
              <w:left w:val="nil"/>
              <w:bottom w:val="nil"/>
              <w:right w:val="nil"/>
            </w:tcBorders>
            <w:shd w:val="clear" w:color="auto" w:fill="FFFFFF" w:themeFill="background1"/>
          </w:tcPr>
          <w:p w:rsidR="003740DA" w:rsidRDefault="003740DA" w:rsidP="00A833A5">
            <w:pPr>
              <w:pStyle w:val="BoxTitle"/>
            </w:pPr>
          </w:p>
        </w:tc>
        <w:tc>
          <w:tcPr>
            <w:tcW w:w="769" w:type="pct"/>
            <w:tcBorders>
              <w:top w:val="single" w:sz="12" w:space="0" w:color="78A22F"/>
              <w:left w:val="nil"/>
              <w:bottom w:val="nil"/>
              <w:right w:val="nil"/>
            </w:tcBorders>
            <w:shd w:val="clear" w:color="auto" w:fill="F2F2F2"/>
          </w:tcPr>
          <w:p w:rsidR="003740DA" w:rsidRDefault="003740DA" w:rsidP="0064694C">
            <w:pPr>
              <w:pStyle w:val="BoxTitle"/>
            </w:pPr>
            <w:r>
              <w:t>For more</w:t>
            </w:r>
          </w:p>
        </w:tc>
      </w:tr>
      <w:tr w:rsidR="003740DA" w:rsidTr="009C4D91">
        <w:tc>
          <w:tcPr>
            <w:tcW w:w="4066" w:type="pct"/>
            <w:tcBorders>
              <w:top w:val="nil"/>
              <w:left w:val="nil"/>
              <w:bottom w:val="nil"/>
              <w:right w:val="nil"/>
            </w:tcBorders>
            <w:shd w:val="clear" w:color="auto" w:fill="F2F2F2"/>
          </w:tcPr>
          <w:p w:rsidR="009C1BBB" w:rsidRPr="00363A70" w:rsidRDefault="009C1BBB" w:rsidP="005C6086">
            <w:pPr>
              <w:pStyle w:val="KeyPointsListBullet"/>
              <w:numPr>
                <w:ilvl w:val="0"/>
                <w:numId w:val="1"/>
              </w:numPr>
              <w:spacing w:line="240" w:lineRule="exact"/>
              <w:rPr>
                <w:rStyle w:val="apple-converted-space"/>
              </w:rPr>
            </w:pPr>
            <w:r>
              <w:rPr>
                <w:rStyle w:val="normaltextrun"/>
                <w:color w:val="000000"/>
              </w:rPr>
              <w:t>Australia’s system of horizontal fiscal equalisation (HFE) acts to distribute revenue among the States — seeking to equalise States’ fiscal capacities to deliver public services.</w:t>
            </w:r>
            <w:r>
              <w:rPr>
                <w:rStyle w:val="apple-converted-space"/>
                <w:color w:val="000000"/>
              </w:rPr>
              <w:t> </w:t>
            </w:r>
            <w:r>
              <w:t>HFE is achieved primarily through the Commonwealth’s distribution of GST revenue to the States.</w:t>
            </w:r>
          </w:p>
          <w:p w:rsidR="009C1BBB" w:rsidRPr="004A6642" w:rsidRDefault="009C1BBB" w:rsidP="005C6086">
            <w:pPr>
              <w:pStyle w:val="KeyPointsListBullet2"/>
              <w:spacing w:line="240" w:lineRule="exact"/>
              <w:rPr>
                <w:rFonts w:ascii="Times New Roman" w:hAnsi="Times New Roman"/>
                <w:sz w:val="24"/>
                <w:szCs w:val="24"/>
              </w:rPr>
            </w:pPr>
            <w:r w:rsidRPr="004B09A7">
              <w:rPr>
                <w:rStyle w:val="apple-converted-space"/>
                <w:color w:val="000000"/>
              </w:rPr>
              <w:t xml:space="preserve">HFE </w:t>
            </w:r>
            <w:r>
              <w:rPr>
                <w:rStyle w:val="apple-converted-space"/>
                <w:color w:val="000000"/>
              </w:rPr>
              <w:t xml:space="preserve">broadly </w:t>
            </w:r>
            <w:r w:rsidRPr="004B09A7">
              <w:rPr>
                <w:rStyle w:val="apple-converted-space"/>
                <w:color w:val="000000"/>
              </w:rPr>
              <w:t>pursues ‘horizontal equity’, whereby</w:t>
            </w:r>
            <w:r>
              <w:rPr>
                <w:rStyle w:val="apple-converted-space"/>
                <w:color w:val="000000"/>
              </w:rPr>
              <w:t xml:space="preserve"> </w:t>
            </w:r>
            <w:r>
              <w:t>people in similar circumstances, but in different States, should have access to similar levels of public services.</w:t>
            </w:r>
          </w:p>
          <w:p w:rsidR="009C1BBB" w:rsidRPr="004A6642" w:rsidRDefault="009C1BBB" w:rsidP="005C6086">
            <w:pPr>
              <w:pStyle w:val="KeyPointsListBullet2"/>
              <w:spacing w:line="240" w:lineRule="exact"/>
              <w:rPr>
                <w:rFonts w:ascii="Times New Roman" w:hAnsi="Times New Roman"/>
                <w:sz w:val="24"/>
                <w:szCs w:val="24"/>
              </w:rPr>
            </w:pPr>
            <w:r>
              <w:t>The HFE system coexists with a vertical fiscal imbalance (VFI) and a complex web of other payments from the Commonwealth to the States.</w:t>
            </w:r>
          </w:p>
          <w:p w:rsidR="009C1BBB" w:rsidRDefault="009C1BBB" w:rsidP="005C6086">
            <w:pPr>
              <w:pStyle w:val="KeyPointsListBullet"/>
              <w:spacing w:line="240" w:lineRule="exact"/>
            </w:pPr>
            <w:r>
              <w:t>Each year, the Commonwealth Grants Commission (CGC) calculates a relativity for each State, based on its assessed fiscal capacity. This assessment takes into account both the revenue and expenditure sides of State budgets.</w:t>
            </w:r>
          </w:p>
          <w:p w:rsidR="009C1BBB" w:rsidRDefault="009C1BBB" w:rsidP="005C6086">
            <w:pPr>
              <w:pStyle w:val="KeyPointsListBullet"/>
              <w:spacing w:line="240" w:lineRule="exact"/>
            </w:pPr>
            <w:r>
              <w:t>The specific practice of HFE has often been debated amongst the States. But in recent years, the divergence between some States’ relativities has reached an unprecedented level, and contention around HFE has escalated.</w:t>
            </w:r>
          </w:p>
          <w:p w:rsidR="009C1BBB" w:rsidRDefault="009C1BBB" w:rsidP="005C6086">
            <w:pPr>
              <w:pStyle w:val="KeyPointsListBullet2"/>
              <w:spacing w:line="240" w:lineRule="exact"/>
            </w:pPr>
            <w:r>
              <w:t>A major factor is Western Australia’s share of the GST, which has fallen to an unprecedented low as the impact of the mining investment and construction boom flows through the CGC’s formula, even as the Western Australian economy is no longer at its peak.</w:t>
            </w:r>
          </w:p>
          <w:p w:rsidR="009C1BBB" w:rsidRDefault="009C1BBB" w:rsidP="005C6086">
            <w:pPr>
              <w:pStyle w:val="KeyPointsListBullet"/>
              <w:spacing w:line="240" w:lineRule="exact"/>
            </w:pPr>
            <w:r>
              <w:t>Critics have suggested that the HFE system impedes economic growth by acting as a disincentive for State Governments to pursue economic development, or to undertake efficiency</w:t>
            </w:r>
            <w:r>
              <w:noBreakHyphen/>
              <w:t>enhancing reforms. Others have argued that HFE is crucial to providing a level of equity in the public services used by all Australians.</w:t>
            </w:r>
          </w:p>
          <w:p w:rsidR="009C1BBB" w:rsidRDefault="009C1BBB" w:rsidP="005C6086">
            <w:pPr>
              <w:pStyle w:val="KeyPointsListBullet"/>
              <w:spacing w:line="240" w:lineRule="exact"/>
            </w:pPr>
            <w:r>
              <w:t xml:space="preserve">The Productivity Commission has been asked to examine how the current HFE system </w:t>
            </w:r>
            <w:r w:rsidRPr="0051168F">
              <w:t>impact</w:t>
            </w:r>
            <w:r>
              <w:t>s</w:t>
            </w:r>
            <w:r w:rsidRPr="0051168F">
              <w:t xml:space="preserve"> the Australian community, economy and State and Territory </w:t>
            </w:r>
            <w:r>
              <w:t>G</w:t>
            </w:r>
            <w:r w:rsidRPr="0051168F">
              <w:t>overnments</w:t>
            </w:r>
            <w:r>
              <w:t>, and to identify desirable improvements or alternatives to the current system.</w:t>
            </w:r>
          </w:p>
          <w:p w:rsidR="003740DA" w:rsidRDefault="009C1BBB" w:rsidP="005C6086">
            <w:pPr>
              <w:pStyle w:val="BoxListBullet"/>
              <w:spacing w:line="240" w:lineRule="exact"/>
            </w:pPr>
            <w:r>
              <w:t xml:space="preserve">The Commission has assessed the current HFE system, and a range of potential alternative approaches, against a framework built on the criteria of </w:t>
            </w:r>
            <w:r w:rsidRPr="00B14880">
              <w:rPr>
                <w:b/>
              </w:rPr>
              <w:t xml:space="preserve">equity, efficiency, </w:t>
            </w:r>
            <w:r w:rsidRPr="00B14880">
              <w:t>and</w:t>
            </w:r>
            <w:r w:rsidRPr="00B14880">
              <w:rPr>
                <w:b/>
              </w:rPr>
              <w:t xml:space="preserve"> transparency and accountability</w:t>
            </w:r>
            <w:r>
              <w:t>. In carrying out this assessment, t</w:t>
            </w:r>
            <w:r w:rsidRPr="00D3021A">
              <w:t xml:space="preserve">he Commission has </w:t>
            </w:r>
            <w:r>
              <w:t xml:space="preserve">constructed a set of ‘cameos’ to </w:t>
            </w:r>
            <w:r w:rsidRPr="00D3021A">
              <w:t xml:space="preserve">illustrate the effects of </w:t>
            </w:r>
            <w:r>
              <w:t>possible</w:t>
            </w:r>
            <w:r w:rsidRPr="00D3021A">
              <w:t xml:space="preserve"> State policy changes on GST shares</w:t>
            </w:r>
            <w:r>
              <w:t xml:space="preserve"> (and to estimate</w:t>
            </w:r>
            <w:r w:rsidRPr="00D3021A">
              <w:t xml:space="preserve"> the distributional impacts, and possible incentive effects</w:t>
            </w:r>
            <w:r>
              <w:t>, of the current HFE system).</w:t>
            </w:r>
          </w:p>
        </w:tc>
        <w:tc>
          <w:tcPr>
            <w:tcW w:w="165" w:type="pct"/>
            <w:tcBorders>
              <w:top w:val="nil"/>
              <w:left w:val="nil"/>
              <w:bottom w:val="nil"/>
              <w:right w:val="nil"/>
            </w:tcBorders>
            <w:shd w:val="clear" w:color="auto" w:fill="FFFFFF" w:themeFill="background1"/>
          </w:tcPr>
          <w:p w:rsidR="003740DA" w:rsidRPr="00FF33F3" w:rsidRDefault="003740DA" w:rsidP="00A833A5">
            <w:pPr>
              <w:pStyle w:val="BoxListBullet"/>
              <w:numPr>
                <w:ilvl w:val="0"/>
                <w:numId w:val="0"/>
              </w:numPr>
              <w:ind w:left="284"/>
            </w:pPr>
          </w:p>
        </w:tc>
        <w:tc>
          <w:tcPr>
            <w:tcW w:w="769" w:type="pct"/>
            <w:tcBorders>
              <w:top w:val="nil"/>
              <w:left w:val="nil"/>
              <w:bottom w:val="nil"/>
              <w:right w:val="nil"/>
            </w:tcBorders>
            <w:shd w:val="clear" w:color="auto" w:fill="F2F2F2"/>
          </w:tcPr>
          <w:p w:rsidR="005C6086" w:rsidRDefault="008C1D34" w:rsidP="005C6086">
            <w:pPr>
              <w:pStyle w:val="BodyText"/>
              <w:spacing w:before="100" w:line="240" w:lineRule="atLeast"/>
              <w:jc w:val="left"/>
              <w:rPr>
                <w:rFonts w:ascii="Arial" w:hAnsi="Arial" w:cs="Arial"/>
                <w:sz w:val="20"/>
              </w:rPr>
            </w:pPr>
            <w:r>
              <w:rPr>
                <w:rFonts w:ascii="Arial" w:hAnsi="Arial" w:cs="Arial"/>
                <w:sz w:val="20"/>
              </w:rPr>
              <w:t>p</w:t>
            </w:r>
            <w:r w:rsidR="009C1BBB">
              <w:rPr>
                <w:rFonts w:ascii="Arial" w:hAnsi="Arial" w:cs="Arial"/>
                <w:sz w:val="20"/>
              </w:rPr>
              <w:t>p. 46</w:t>
            </w:r>
            <w:r w:rsidR="009C1BBB">
              <w:rPr>
                <w:rFonts w:ascii="Arial" w:hAnsi="Arial" w:cs="Arial"/>
                <w:sz w:val="20"/>
              </w:rPr>
              <w:noBreakHyphen/>
              <w:t>48</w:t>
            </w:r>
            <w:r w:rsidR="00DD78EA">
              <w:rPr>
                <w:rFonts w:ascii="Arial" w:hAnsi="Arial" w:cs="Arial"/>
                <w:sz w:val="20"/>
              </w:rPr>
              <w:br/>
            </w:r>
            <w:r w:rsidR="00DD78EA">
              <w:rPr>
                <w:rFonts w:ascii="Arial" w:hAnsi="Arial" w:cs="Arial"/>
                <w:sz w:val="20"/>
              </w:rPr>
              <w:br/>
            </w:r>
            <w:r w:rsidR="00DD78EA">
              <w:rPr>
                <w:rFonts w:ascii="Arial" w:hAnsi="Arial" w:cs="Arial"/>
                <w:sz w:val="20"/>
              </w:rPr>
              <w:br/>
            </w:r>
          </w:p>
          <w:p w:rsidR="005C6086" w:rsidRDefault="009C1BBB" w:rsidP="005C6086">
            <w:pPr>
              <w:pStyle w:val="BodyText"/>
              <w:spacing w:before="100" w:line="240" w:lineRule="atLeast"/>
              <w:jc w:val="left"/>
              <w:rPr>
                <w:rFonts w:ascii="Arial" w:hAnsi="Arial" w:cs="Arial"/>
                <w:sz w:val="20"/>
              </w:rPr>
            </w:pPr>
            <w:r>
              <w:rPr>
                <w:rFonts w:ascii="Arial" w:hAnsi="Arial" w:cs="Arial"/>
                <w:sz w:val="20"/>
              </w:rPr>
              <w:t>Box 1.2 (p. 56)</w:t>
            </w:r>
            <w:r w:rsidR="00DD78EA">
              <w:rPr>
                <w:rFonts w:ascii="Arial" w:hAnsi="Arial" w:cs="Arial"/>
                <w:sz w:val="20"/>
              </w:rPr>
              <w:br/>
            </w:r>
          </w:p>
          <w:p w:rsidR="005C6086" w:rsidRDefault="009C1BBB" w:rsidP="005C6086">
            <w:pPr>
              <w:pStyle w:val="BodyText"/>
              <w:spacing w:before="100" w:line="240" w:lineRule="atLeast"/>
              <w:jc w:val="left"/>
              <w:rPr>
                <w:rFonts w:ascii="Arial" w:hAnsi="Arial" w:cs="Arial"/>
                <w:sz w:val="20"/>
              </w:rPr>
            </w:pPr>
            <w:r>
              <w:rPr>
                <w:rFonts w:ascii="Arial" w:hAnsi="Arial" w:cs="Arial"/>
                <w:sz w:val="20"/>
              </w:rPr>
              <w:t>Table 1.1</w:t>
            </w:r>
            <w:r w:rsidR="008C1D34">
              <w:rPr>
                <w:rFonts w:ascii="Arial" w:hAnsi="Arial" w:cs="Arial"/>
                <w:sz w:val="20"/>
              </w:rPr>
              <w:t xml:space="preserve"> (p. </w:t>
            </w:r>
            <w:r>
              <w:rPr>
                <w:rFonts w:ascii="Arial" w:hAnsi="Arial" w:cs="Arial"/>
                <w:sz w:val="20"/>
              </w:rPr>
              <w:t>50</w:t>
            </w:r>
            <w:r w:rsidR="008C1D34">
              <w:rPr>
                <w:rFonts w:ascii="Arial" w:hAnsi="Arial" w:cs="Arial"/>
                <w:sz w:val="20"/>
              </w:rPr>
              <w:t>)</w:t>
            </w:r>
          </w:p>
          <w:p w:rsidR="00183C55" w:rsidRDefault="00183C55" w:rsidP="005C6086">
            <w:pPr>
              <w:pStyle w:val="BodyText"/>
              <w:spacing w:before="100" w:line="240" w:lineRule="atLeast"/>
              <w:jc w:val="left"/>
              <w:rPr>
                <w:rFonts w:ascii="Arial" w:hAnsi="Arial" w:cs="Arial"/>
                <w:sz w:val="20"/>
              </w:rPr>
            </w:pPr>
          </w:p>
          <w:p w:rsidR="005C6086" w:rsidRDefault="007425B4" w:rsidP="005C6086">
            <w:pPr>
              <w:pStyle w:val="BodyText"/>
              <w:spacing w:before="100" w:line="240" w:lineRule="atLeast"/>
              <w:jc w:val="left"/>
              <w:rPr>
                <w:rFonts w:ascii="Arial" w:hAnsi="Arial" w:cs="Arial"/>
                <w:sz w:val="20"/>
              </w:rPr>
            </w:pPr>
            <w:r>
              <w:rPr>
                <w:rFonts w:ascii="Arial" w:hAnsi="Arial" w:cs="Arial"/>
                <w:sz w:val="20"/>
              </w:rPr>
              <w:t>p</w:t>
            </w:r>
            <w:r w:rsidR="009C1BBB">
              <w:rPr>
                <w:rFonts w:ascii="Arial" w:hAnsi="Arial" w:cs="Arial"/>
                <w:sz w:val="20"/>
              </w:rPr>
              <w:t>p</w:t>
            </w:r>
            <w:r>
              <w:rPr>
                <w:rFonts w:ascii="Arial" w:hAnsi="Arial" w:cs="Arial"/>
                <w:sz w:val="20"/>
              </w:rPr>
              <w:t>. </w:t>
            </w:r>
            <w:r w:rsidR="009C1BBB">
              <w:rPr>
                <w:rFonts w:ascii="Arial" w:hAnsi="Arial" w:cs="Arial"/>
                <w:sz w:val="20"/>
              </w:rPr>
              <w:t>48</w:t>
            </w:r>
            <w:r w:rsidR="009C1BBB">
              <w:rPr>
                <w:rFonts w:ascii="Arial" w:hAnsi="Arial" w:cs="Arial"/>
                <w:sz w:val="20"/>
              </w:rPr>
              <w:noBreakHyphen/>
              <w:t>51</w:t>
            </w:r>
            <w:r w:rsidR="008C1D34" w:rsidRPr="00EE6DF9">
              <w:rPr>
                <w:rFonts w:ascii="Arial" w:hAnsi="Arial" w:cs="Arial"/>
                <w:sz w:val="20"/>
              </w:rPr>
              <w:br/>
            </w:r>
            <w:r w:rsidR="004E3FEF">
              <w:rPr>
                <w:rFonts w:ascii="Arial" w:hAnsi="Arial" w:cs="Arial"/>
                <w:sz w:val="20"/>
              </w:rPr>
              <w:br/>
            </w:r>
            <w:r w:rsidR="00DD78EA">
              <w:rPr>
                <w:rFonts w:ascii="Arial" w:hAnsi="Arial" w:cs="Arial"/>
                <w:sz w:val="20"/>
              </w:rPr>
              <w:br/>
            </w:r>
            <w:r w:rsidR="003740DA">
              <w:rPr>
                <w:rFonts w:ascii="Arial" w:hAnsi="Arial" w:cs="Arial"/>
                <w:sz w:val="20"/>
              </w:rPr>
              <w:t xml:space="preserve">Figure </w:t>
            </w:r>
            <w:r w:rsidR="009C1BBB">
              <w:rPr>
                <w:rFonts w:ascii="Arial" w:hAnsi="Arial" w:cs="Arial"/>
                <w:sz w:val="20"/>
              </w:rPr>
              <w:t>1.1</w:t>
            </w:r>
            <w:r w:rsidR="008C1D34">
              <w:rPr>
                <w:rFonts w:ascii="Arial" w:hAnsi="Arial" w:cs="Arial"/>
                <w:sz w:val="20"/>
              </w:rPr>
              <w:t xml:space="preserve"> (p. </w:t>
            </w:r>
            <w:r w:rsidR="009C1BBB">
              <w:rPr>
                <w:rFonts w:ascii="Arial" w:hAnsi="Arial" w:cs="Arial"/>
                <w:sz w:val="20"/>
              </w:rPr>
              <w:t>49</w:t>
            </w:r>
            <w:r w:rsidR="008C1D34">
              <w:rPr>
                <w:rFonts w:ascii="Arial" w:hAnsi="Arial" w:cs="Arial"/>
                <w:sz w:val="20"/>
              </w:rPr>
              <w:t>)</w:t>
            </w:r>
            <w:r w:rsidR="004E3FEF">
              <w:rPr>
                <w:rFonts w:ascii="Arial" w:hAnsi="Arial" w:cs="Arial"/>
                <w:sz w:val="20"/>
              </w:rPr>
              <w:br/>
            </w:r>
          </w:p>
          <w:p w:rsidR="005C6086" w:rsidRDefault="009C1BBB" w:rsidP="005C6086">
            <w:pPr>
              <w:pStyle w:val="BodyText"/>
              <w:spacing w:before="100" w:line="240" w:lineRule="atLeast"/>
              <w:jc w:val="left"/>
              <w:rPr>
                <w:rFonts w:ascii="Arial" w:hAnsi="Arial" w:cs="Arial"/>
                <w:sz w:val="20"/>
              </w:rPr>
            </w:pPr>
            <w:r>
              <w:rPr>
                <w:rFonts w:ascii="Arial" w:hAnsi="Arial" w:cs="Arial"/>
                <w:sz w:val="20"/>
              </w:rPr>
              <w:t>p. 51</w:t>
            </w:r>
            <w:r w:rsidR="00DD78EA">
              <w:rPr>
                <w:rFonts w:ascii="Arial" w:hAnsi="Arial" w:cs="Arial"/>
                <w:sz w:val="20"/>
              </w:rPr>
              <w:br/>
            </w:r>
            <w:r w:rsidR="00DD78EA">
              <w:rPr>
                <w:rFonts w:ascii="Arial" w:hAnsi="Arial" w:cs="Arial"/>
                <w:sz w:val="20"/>
              </w:rPr>
              <w:br/>
            </w:r>
            <w:r w:rsidR="00DD78EA">
              <w:rPr>
                <w:rFonts w:ascii="Arial" w:hAnsi="Arial" w:cs="Arial"/>
                <w:sz w:val="20"/>
              </w:rPr>
              <w:br/>
            </w:r>
          </w:p>
          <w:p w:rsidR="005C6086" w:rsidRDefault="009C1BBB" w:rsidP="005C6086">
            <w:pPr>
              <w:pStyle w:val="BodyText"/>
              <w:spacing w:before="100" w:line="240" w:lineRule="atLeast"/>
              <w:jc w:val="left"/>
              <w:rPr>
                <w:rFonts w:ascii="Arial" w:hAnsi="Arial" w:cs="Arial"/>
                <w:sz w:val="20"/>
              </w:rPr>
            </w:pPr>
            <w:r>
              <w:rPr>
                <w:rFonts w:ascii="Arial" w:hAnsi="Arial" w:cs="Arial"/>
                <w:sz w:val="20"/>
              </w:rPr>
              <w:t>p</w:t>
            </w:r>
            <w:r w:rsidR="008C1D34">
              <w:rPr>
                <w:rFonts w:ascii="Arial" w:hAnsi="Arial" w:cs="Arial"/>
                <w:sz w:val="20"/>
              </w:rPr>
              <w:t>p. </w:t>
            </w:r>
            <w:r>
              <w:rPr>
                <w:rFonts w:ascii="Arial" w:hAnsi="Arial" w:cs="Arial"/>
                <w:sz w:val="20"/>
              </w:rPr>
              <w:t>51</w:t>
            </w:r>
            <w:r>
              <w:rPr>
                <w:rFonts w:ascii="Arial" w:hAnsi="Arial" w:cs="Arial"/>
                <w:sz w:val="20"/>
              </w:rPr>
              <w:noBreakHyphen/>
              <w:t>54</w:t>
            </w:r>
            <w:r w:rsidR="004E3FEF">
              <w:rPr>
                <w:rFonts w:ascii="Arial" w:hAnsi="Arial" w:cs="Arial"/>
                <w:sz w:val="20"/>
              </w:rPr>
              <w:br/>
            </w:r>
            <w:r w:rsidR="004E3FEF">
              <w:rPr>
                <w:rFonts w:ascii="Arial" w:hAnsi="Arial" w:cs="Arial"/>
                <w:sz w:val="20"/>
              </w:rPr>
              <w:br/>
            </w:r>
            <w:r w:rsidR="00DD78EA">
              <w:rPr>
                <w:rFonts w:ascii="Arial" w:hAnsi="Arial" w:cs="Arial"/>
                <w:sz w:val="20"/>
              </w:rPr>
              <w:br/>
            </w:r>
            <w:r w:rsidR="00DD78EA">
              <w:rPr>
                <w:rFonts w:ascii="Arial" w:hAnsi="Arial" w:cs="Arial"/>
                <w:sz w:val="20"/>
              </w:rPr>
              <w:br/>
            </w:r>
          </w:p>
          <w:p w:rsidR="003740DA" w:rsidRDefault="009C1BBB" w:rsidP="005C6086">
            <w:pPr>
              <w:pStyle w:val="BodyText"/>
              <w:spacing w:before="100" w:line="240" w:lineRule="atLeast"/>
              <w:jc w:val="left"/>
              <w:rPr>
                <w:rFonts w:ascii="Arial" w:hAnsi="Arial" w:cs="Arial"/>
                <w:sz w:val="20"/>
              </w:rPr>
            </w:pPr>
            <w:r>
              <w:rPr>
                <w:rFonts w:ascii="Arial" w:hAnsi="Arial" w:cs="Arial"/>
                <w:sz w:val="20"/>
              </w:rPr>
              <w:t>pp. 55</w:t>
            </w:r>
            <w:r>
              <w:rPr>
                <w:rFonts w:ascii="Arial" w:hAnsi="Arial" w:cs="Arial"/>
                <w:sz w:val="20"/>
              </w:rPr>
              <w:noBreakHyphen/>
            </w:r>
            <w:r w:rsidR="009C6FFA">
              <w:rPr>
                <w:rFonts w:ascii="Arial" w:hAnsi="Arial" w:cs="Arial"/>
                <w:sz w:val="20"/>
              </w:rPr>
              <w:t>63</w:t>
            </w:r>
          </w:p>
          <w:p w:rsidR="009E69F3" w:rsidRDefault="009E69F3" w:rsidP="005C6086">
            <w:pPr>
              <w:pStyle w:val="BodyText"/>
              <w:spacing w:before="100" w:line="240" w:lineRule="atLeast"/>
              <w:jc w:val="left"/>
              <w:rPr>
                <w:rFonts w:ascii="Arial" w:hAnsi="Arial" w:cs="Arial"/>
                <w:sz w:val="20"/>
              </w:rPr>
            </w:pPr>
          </w:p>
          <w:p w:rsidR="009E69F3" w:rsidRDefault="009E69F3" w:rsidP="005C6086">
            <w:pPr>
              <w:pStyle w:val="BodyText"/>
              <w:spacing w:before="100" w:line="240" w:lineRule="atLeast"/>
              <w:jc w:val="left"/>
            </w:pPr>
          </w:p>
          <w:p w:rsidR="009E69F3" w:rsidRPr="00FF33F3" w:rsidRDefault="009E69F3" w:rsidP="005C6086">
            <w:pPr>
              <w:pStyle w:val="BodyText"/>
              <w:spacing w:before="100" w:line="240" w:lineRule="atLeast"/>
              <w:jc w:val="left"/>
            </w:pPr>
            <w:r w:rsidRPr="009E69F3">
              <w:rPr>
                <w:rFonts w:ascii="Arial" w:hAnsi="Arial" w:cs="Arial"/>
                <w:sz w:val="20"/>
              </w:rPr>
              <w:t>p.53</w:t>
            </w:r>
          </w:p>
        </w:tc>
      </w:tr>
      <w:tr w:rsidR="003740DA" w:rsidTr="009C4D91">
        <w:tc>
          <w:tcPr>
            <w:tcW w:w="4066" w:type="pct"/>
            <w:tcBorders>
              <w:top w:val="nil"/>
              <w:left w:val="nil"/>
              <w:bottom w:val="single" w:sz="12" w:space="0" w:color="78A22F"/>
              <w:right w:val="nil"/>
            </w:tcBorders>
            <w:shd w:val="clear" w:color="auto" w:fill="F2F2F2"/>
          </w:tcPr>
          <w:p w:rsidR="003740DA" w:rsidRDefault="003740DA" w:rsidP="00A833A5">
            <w:pPr>
              <w:pStyle w:val="Box"/>
              <w:spacing w:before="0" w:line="120" w:lineRule="exact"/>
            </w:pPr>
          </w:p>
        </w:tc>
        <w:tc>
          <w:tcPr>
            <w:tcW w:w="165" w:type="pct"/>
            <w:tcBorders>
              <w:top w:val="nil"/>
              <w:left w:val="nil"/>
              <w:bottom w:val="single" w:sz="12" w:space="0" w:color="78A22F"/>
              <w:right w:val="nil"/>
            </w:tcBorders>
            <w:shd w:val="clear" w:color="auto" w:fill="FFFFFF" w:themeFill="background1"/>
          </w:tcPr>
          <w:p w:rsidR="003740DA" w:rsidRDefault="003740DA" w:rsidP="00A833A5">
            <w:pPr>
              <w:pStyle w:val="Box"/>
              <w:spacing w:before="0" w:line="120" w:lineRule="exact"/>
            </w:pPr>
          </w:p>
        </w:tc>
        <w:tc>
          <w:tcPr>
            <w:tcW w:w="769" w:type="pct"/>
            <w:tcBorders>
              <w:top w:val="nil"/>
              <w:left w:val="nil"/>
              <w:bottom w:val="single" w:sz="12" w:space="0" w:color="78A22F"/>
              <w:right w:val="nil"/>
            </w:tcBorders>
            <w:shd w:val="clear" w:color="auto" w:fill="F2F2F2"/>
          </w:tcPr>
          <w:p w:rsidR="003740DA" w:rsidRDefault="003740DA" w:rsidP="0064694C">
            <w:pPr>
              <w:pStyle w:val="Box"/>
              <w:spacing w:before="0" w:line="120" w:lineRule="exact"/>
              <w:jc w:val="left"/>
            </w:pPr>
          </w:p>
        </w:tc>
      </w:tr>
      <w:tr w:rsidR="003740DA" w:rsidRPr="000863A5" w:rsidTr="009C4D91">
        <w:tc>
          <w:tcPr>
            <w:tcW w:w="4066" w:type="pct"/>
            <w:tcBorders>
              <w:top w:val="single" w:sz="12" w:space="0" w:color="78A22F"/>
              <w:left w:val="nil"/>
              <w:bottom w:val="nil"/>
              <w:right w:val="nil"/>
            </w:tcBorders>
          </w:tcPr>
          <w:p w:rsidR="003740DA" w:rsidRPr="00626D32" w:rsidRDefault="003740DA" w:rsidP="00A833A5">
            <w:pPr>
              <w:pStyle w:val="BoxSpaceBelow"/>
            </w:pPr>
          </w:p>
        </w:tc>
        <w:tc>
          <w:tcPr>
            <w:tcW w:w="165" w:type="pct"/>
            <w:tcBorders>
              <w:top w:val="single" w:sz="12" w:space="0" w:color="78A22F"/>
              <w:left w:val="nil"/>
              <w:bottom w:val="nil"/>
              <w:right w:val="nil"/>
            </w:tcBorders>
            <w:shd w:val="clear" w:color="auto" w:fill="FFFFFF" w:themeFill="background1"/>
          </w:tcPr>
          <w:p w:rsidR="003740DA" w:rsidRPr="00626D32" w:rsidRDefault="003740DA" w:rsidP="00A833A5">
            <w:pPr>
              <w:pStyle w:val="BoxSpaceBelow"/>
            </w:pPr>
          </w:p>
        </w:tc>
        <w:tc>
          <w:tcPr>
            <w:tcW w:w="769" w:type="pct"/>
            <w:tcBorders>
              <w:top w:val="single" w:sz="12" w:space="0" w:color="78A22F"/>
              <w:left w:val="nil"/>
              <w:bottom w:val="nil"/>
              <w:right w:val="nil"/>
            </w:tcBorders>
          </w:tcPr>
          <w:p w:rsidR="003740DA" w:rsidRPr="00626D32" w:rsidRDefault="003740DA" w:rsidP="0064694C">
            <w:pPr>
              <w:pStyle w:val="BoxSpaceBelow"/>
              <w:jc w:val="left"/>
            </w:pPr>
          </w:p>
        </w:tc>
      </w:tr>
    </w:tbl>
    <w:p w:rsidR="003740DA" w:rsidRDefault="003740DA" w:rsidP="003740DA">
      <w:pPr>
        <w:spacing w:after="160" w:line="259" w:lineRule="auto"/>
      </w:pPr>
      <w:r>
        <w:br w:type="page"/>
      </w:r>
    </w:p>
    <w:tbl>
      <w:tblPr>
        <w:tblW w:w="5243" w:type="pct"/>
        <w:tblInd w:w="-42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7495"/>
        <w:gridCol w:w="304"/>
        <w:gridCol w:w="1417"/>
      </w:tblGrid>
      <w:tr w:rsidR="00A169D6" w:rsidRPr="00A169D6" w:rsidTr="00E810E4">
        <w:tc>
          <w:tcPr>
            <w:tcW w:w="4066" w:type="pct"/>
            <w:tcBorders>
              <w:top w:val="single" w:sz="12" w:space="0" w:color="78A22F"/>
              <w:left w:val="nil"/>
              <w:bottom w:val="nil"/>
              <w:right w:val="nil"/>
            </w:tcBorders>
            <w:shd w:val="clear" w:color="auto" w:fill="F2F2F2"/>
          </w:tcPr>
          <w:p w:rsidR="00A169D6" w:rsidRPr="00A169D6" w:rsidRDefault="00A169D6" w:rsidP="00D7798D">
            <w:pPr>
              <w:pStyle w:val="BoxTitle"/>
              <w:spacing w:before="80" w:line="260" w:lineRule="exact"/>
            </w:pPr>
            <w:r w:rsidRPr="00A169D6">
              <w:t xml:space="preserve">Chapter </w:t>
            </w:r>
            <w:r w:rsidR="009C1BBB">
              <w:t>2</w:t>
            </w:r>
            <w:r w:rsidRPr="00A169D6">
              <w:t xml:space="preserve">: </w:t>
            </w:r>
            <w:r w:rsidR="009C1BBB">
              <w:t>How does HFE work in Australia?</w:t>
            </w:r>
          </w:p>
        </w:tc>
        <w:tc>
          <w:tcPr>
            <w:tcW w:w="165" w:type="pct"/>
            <w:tcBorders>
              <w:top w:val="single" w:sz="12" w:space="0" w:color="78A22F"/>
              <w:left w:val="nil"/>
              <w:bottom w:val="nil"/>
              <w:right w:val="nil"/>
            </w:tcBorders>
            <w:shd w:val="clear" w:color="auto" w:fill="FFFFFF" w:themeFill="background1"/>
          </w:tcPr>
          <w:p w:rsidR="00A169D6" w:rsidRPr="00A169D6" w:rsidRDefault="00A169D6" w:rsidP="00D7798D">
            <w:pPr>
              <w:pStyle w:val="BoxTitle"/>
              <w:spacing w:before="80" w:line="260" w:lineRule="exact"/>
            </w:pPr>
          </w:p>
        </w:tc>
        <w:tc>
          <w:tcPr>
            <w:tcW w:w="769" w:type="pct"/>
            <w:tcBorders>
              <w:top w:val="single" w:sz="12" w:space="0" w:color="78A22F"/>
              <w:left w:val="nil"/>
              <w:bottom w:val="nil"/>
              <w:right w:val="nil"/>
            </w:tcBorders>
            <w:shd w:val="clear" w:color="auto" w:fill="F2F2F2"/>
          </w:tcPr>
          <w:p w:rsidR="00A169D6" w:rsidRPr="00A169D6" w:rsidRDefault="00A169D6" w:rsidP="00D7798D">
            <w:pPr>
              <w:pStyle w:val="BoxTitle"/>
              <w:spacing w:before="80" w:line="260" w:lineRule="exact"/>
            </w:pPr>
            <w:r w:rsidRPr="00A169D6">
              <w:t>For more</w:t>
            </w:r>
          </w:p>
        </w:tc>
      </w:tr>
      <w:tr w:rsidR="00A169D6" w:rsidRPr="009C1BBB" w:rsidTr="00E810E4">
        <w:tc>
          <w:tcPr>
            <w:tcW w:w="4066" w:type="pct"/>
            <w:tcBorders>
              <w:top w:val="nil"/>
              <w:left w:val="nil"/>
              <w:bottom w:val="nil"/>
              <w:right w:val="nil"/>
            </w:tcBorders>
            <w:shd w:val="clear" w:color="auto" w:fill="F2F2F2"/>
          </w:tcPr>
          <w:p w:rsidR="009C1BBB" w:rsidRPr="009C1BBB" w:rsidRDefault="009C1BBB" w:rsidP="005C6086">
            <w:pPr>
              <w:pStyle w:val="BoxListBullet"/>
              <w:spacing w:line="230" w:lineRule="exact"/>
              <w:rPr>
                <w:spacing w:val="-2"/>
              </w:rPr>
            </w:pPr>
            <w:r w:rsidRPr="009C1BBB">
              <w:rPr>
                <w:spacing w:val="-2"/>
              </w:rPr>
              <w:t>Since Federation, the fiscal power of the Commonwealth relative to the States has increased. Key developments marking this shift were the Commonwealth’s introduction of income tax, and the High Court’s disallowance of State indirect taxes on goods.</w:t>
            </w:r>
          </w:p>
          <w:p w:rsidR="009C1BBB" w:rsidRPr="009C1BBB" w:rsidRDefault="009C1BBB" w:rsidP="005C6086">
            <w:pPr>
              <w:pStyle w:val="BoxListBullet"/>
              <w:spacing w:line="230" w:lineRule="exact"/>
              <w:rPr>
                <w:spacing w:val="-2"/>
              </w:rPr>
            </w:pPr>
            <w:r w:rsidRPr="009C1BBB">
              <w:rPr>
                <w:spacing w:val="-2"/>
              </w:rPr>
              <w:t>Some form of horizontal fiscal equalisation (HFE) has been in place in Australia since Federation, to address both the imbalance between revenue raising capabilities and expenditure responsibilities between the States and the Commonwealth, and differences in fiscal capacities across the States.</w:t>
            </w:r>
          </w:p>
          <w:p w:rsidR="009C1BBB" w:rsidRPr="009C1BBB" w:rsidRDefault="009C1BBB" w:rsidP="005C6086">
            <w:pPr>
              <w:pStyle w:val="BoxListBullet"/>
              <w:spacing w:line="230" w:lineRule="exact"/>
              <w:rPr>
                <w:spacing w:val="-2"/>
              </w:rPr>
            </w:pPr>
            <w:r w:rsidRPr="009C1BBB">
              <w:rPr>
                <w:spacing w:val="-2"/>
              </w:rPr>
              <w:t>The Commonwealth Grants Commission (CGC) plays a prominent role in HFE. It was established in 1933 following numerous ad hoc measures to provide assistance to financially weaker States and the threat of Western Australia’s secession.</w:t>
            </w:r>
          </w:p>
          <w:p w:rsidR="009C1BBB" w:rsidRPr="009C1BBB" w:rsidRDefault="009C1BBB" w:rsidP="005C6086">
            <w:pPr>
              <w:pStyle w:val="BoxListBullet"/>
              <w:spacing w:line="230" w:lineRule="exact"/>
              <w:rPr>
                <w:spacing w:val="-2"/>
              </w:rPr>
            </w:pPr>
            <w:r w:rsidRPr="009C1BBB">
              <w:rPr>
                <w:spacing w:val="-2"/>
              </w:rPr>
              <w:t>The definition of equalisation adopted by the CGC and its methods have evolved over time. Many of the changes have been driven primarily by the CGC, in consultation with the States.</w:t>
            </w:r>
          </w:p>
          <w:p w:rsidR="009C1BBB" w:rsidRPr="009C1BBB" w:rsidRDefault="009C1BBB" w:rsidP="005C6086">
            <w:pPr>
              <w:pStyle w:val="BoxListBullet2"/>
              <w:spacing w:line="230" w:lineRule="exact"/>
              <w:rPr>
                <w:spacing w:val="-2"/>
              </w:rPr>
            </w:pPr>
            <w:r w:rsidRPr="009C1BBB">
              <w:rPr>
                <w:spacing w:val="-2"/>
              </w:rPr>
              <w:t>Up until 1981, the CGC’s role in HFE was to recommend special grants to those States making claims for financial assistance — ‘recipient’ States.</w:t>
            </w:r>
          </w:p>
          <w:p w:rsidR="009C1BBB" w:rsidRPr="009C1BBB" w:rsidRDefault="009C1BBB" w:rsidP="005C6086">
            <w:pPr>
              <w:pStyle w:val="BoxListBullet2"/>
              <w:spacing w:line="230" w:lineRule="exact"/>
              <w:rPr>
                <w:spacing w:val="-2"/>
              </w:rPr>
            </w:pPr>
            <w:r w:rsidRPr="009C1BBB">
              <w:rPr>
                <w:spacing w:val="-2"/>
              </w:rPr>
              <w:t>In 1981, the CGC commenced full equalisation, in which a given pool of funds were to be distributed amongst the six States (later joined by the Northern Territory and the ACT), marking the beginning of the ‘zero sum’ distribution.</w:t>
            </w:r>
          </w:p>
          <w:p w:rsidR="009C1BBB" w:rsidRPr="009C1BBB" w:rsidRDefault="009C1BBB" w:rsidP="005C6086">
            <w:pPr>
              <w:pStyle w:val="BoxListBullet2"/>
              <w:spacing w:line="230" w:lineRule="exact"/>
              <w:rPr>
                <w:spacing w:val="-2"/>
              </w:rPr>
            </w:pPr>
            <w:r w:rsidRPr="009C1BBB">
              <w:rPr>
                <w:spacing w:val="-2"/>
              </w:rPr>
              <w:t xml:space="preserve">At this time, the definition of equalisation referred to payments to enable States to provide services ‘not appreciably different’, but by 1999, this had evolved to ‘the same standard’ at the behest of the CGC. Unsurprisingly, the current definition of equalisation is not reflected in the </w:t>
            </w:r>
            <w:r w:rsidRPr="009C1BBB">
              <w:rPr>
                <w:i/>
                <w:spacing w:val="-2"/>
              </w:rPr>
              <w:t>Commonwealth Grants Commission Act 1973</w:t>
            </w:r>
            <w:r w:rsidRPr="009C1BBB">
              <w:rPr>
                <w:spacing w:val="-2"/>
              </w:rPr>
              <w:t xml:space="preserve"> (</w:t>
            </w:r>
            <w:proofErr w:type="spellStart"/>
            <w:r w:rsidRPr="009C1BBB">
              <w:rPr>
                <w:spacing w:val="-2"/>
              </w:rPr>
              <w:t>Cwlth</w:t>
            </w:r>
            <w:proofErr w:type="spellEnd"/>
            <w:r w:rsidRPr="009C1BBB">
              <w:rPr>
                <w:spacing w:val="-2"/>
              </w:rPr>
              <w:t>).</w:t>
            </w:r>
          </w:p>
          <w:p w:rsidR="009C1BBB" w:rsidRPr="009C1BBB" w:rsidRDefault="009C1BBB" w:rsidP="005C6086">
            <w:pPr>
              <w:pStyle w:val="BoxListBullet2"/>
              <w:spacing w:line="230" w:lineRule="exact"/>
              <w:rPr>
                <w:spacing w:val="-2"/>
              </w:rPr>
            </w:pPr>
            <w:r w:rsidRPr="009C1BBB">
              <w:rPr>
                <w:spacing w:val="-2"/>
              </w:rPr>
              <w:t xml:space="preserve">Since 2000, the Commonwealth has not played a substantive role in determining the amount of revenue to be distributed amongst the States for the purposes of HFE, with it being solely funded by the GST pool (with the exception of Health Care Grants until 2009). </w:t>
            </w:r>
          </w:p>
          <w:p w:rsidR="009C1BBB" w:rsidRPr="009C1BBB" w:rsidRDefault="009C1BBB" w:rsidP="005C6086">
            <w:pPr>
              <w:pStyle w:val="BoxListBullet"/>
              <w:spacing w:line="230" w:lineRule="exact"/>
              <w:rPr>
                <w:spacing w:val="-2"/>
              </w:rPr>
            </w:pPr>
            <w:r w:rsidRPr="009C1BBB">
              <w:rPr>
                <w:spacing w:val="-2"/>
              </w:rPr>
              <w:t>Most of the GST pool is distributed on an equal per capita (EPC) basis, with only about 10 per cent redistributed away from EPC.</w:t>
            </w:r>
          </w:p>
          <w:p w:rsidR="009C1BBB" w:rsidRPr="009C1BBB" w:rsidRDefault="009C1BBB" w:rsidP="005C6086">
            <w:pPr>
              <w:pStyle w:val="BoxListBullet2"/>
              <w:spacing w:line="230" w:lineRule="exact"/>
              <w:rPr>
                <w:spacing w:val="-2"/>
              </w:rPr>
            </w:pPr>
            <w:r w:rsidRPr="009C1BBB">
              <w:rPr>
                <w:spacing w:val="-2"/>
              </w:rPr>
              <w:t>The pool has increased (in real terms) from about $25 billion in 1981</w:t>
            </w:r>
            <w:r w:rsidRPr="009C1BBB">
              <w:rPr>
                <w:spacing w:val="-2"/>
              </w:rPr>
              <w:noBreakHyphen/>
              <w:t>82 to $36 billion in 2000</w:t>
            </w:r>
            <w:r w:rsidRPr="009C1BBB">
              <w:rPr>
                <w:spacing w:val="-2"/>
              </w:rPr>
              <w:noBreakHyphen/>
              <w:t>01 (GST only), and is estimated to be over $62 billion in 2017</w:t>
            </w:r>
            <w:r w:rsidRPr="009C1BBB">
              <w:rPr>
                <w:spacing w:val="-2"/>
              </w:rPr>
              <w:noBreakHyphen/>
              <w:t>18. However, the annual growth rate of the GST pool roughly halved between 2000–08 and 2009–17.</w:t>
            </w:r>
          </w:p>
          <w:p w:rsidR="009C1BBB" w:rsidRPr="009C1BBB" w:rsidRDefault="009C1BBB" w:rsidP="005C6086">
            <w:pPr>
              <w:pStyle w:val="BoxListBullet"/>
              <w:spacing w:line="230" w:lineRule="exact"/>
              <w:rPr>
                <w:spacing w:val="-2"/>
              </w:rPr>
            </w:pPr>
            <w:r w:rsidRPr="009C1BBB">
              <w:rPr>
                <w:spacing w:val="-2"/>
              </w:rPr>
              <w:t>Australia’s system of HFE is aspirational — seeking to comprehensively and fully equalise fiscal capacities across the States. In reality it achieves proximate equalisation.</w:t>
            </w:r>
          </w:p>
          <w:p w:rsidR="009C1BBB" w:rsidRPr="009C1BBB" w:rsidRDefault="009C1BBB" w:rsidP="005C6086">
            <w:pPr>
              <w:pStyle w:val="BoxListBullet2"/>
              <w:spacing w:line="230" w:lineRule="exact"/>
              <w:rPr>
                <w:spacing w:val="-2"/>
              </w:rPr>
            </w:pPr>
            <w:r w:rsidRPr="009C1BBB">
              <w:rPr>
                <w:spacing w:val="-2"/>
              </w:rPr>
              <w:t>It does not equalise aspects such as living standards across States, regions, communities, or individuals — that is, it does not focus on interpersonal outcomes.</w:t>
            </w:r>
          </w:p>
          <w:p w:rsidR="009C1BBB" w:rsidRPr="009C1BBB" w:rsidRDefault="009C1BBB" w:rsidP="005C6086">
            <w:pPr>
              <w:pStyle w:val="BoxListBullet2"/>
              <w:spacing w:line="230" w:lineRule="exact"/>
              <w:rPr>
                <w:spacing w:val="-2"/>
              </w:rPr>
            </w:pPr>
            <w:r w:rsidRPr="009C1BBB">
              <w:rPr>
                <w:spacing w:val="-2"/>
              </w:rPr>
              <w:t>Data and conceptual considerations mean that in practice, much is either unassessed or discounted — over 35 per cent of revenues were assessed on an EPC basis in 2016</w:t>
            </w:r>
            <w:r w:rsidRPr="009C1BBB">
              <w:rPr>
                <w:spacing w:val="-2"/>
              </w:rPr>
              <w:noBreakHyphen/>
              <w:t>17.</w:t>
            </w:r>
          </w:p>
          <w:p w:rsidR="009C1BBB" w:rsidRPr="009C1BBB" w:rsidRDefault="009C1BBB" w:rsidP="005C6086">
            <w:pPr>
              <w:pStyle w:val="BoxListBullet"/>
              <w:spacing w:line="230" w:lineRule="exact"/>
              <w:rPr>
                <w:spacing w:val="-2"/>
              </w:rPr>
            </w:pPr>
            <w:r w:rsidRPr="009C1BBB">
              <w:rPr>
                <w:spacing w:val="-2"/>
              </w:rPr>
              <w:t xml:space="preserve">The key factors that currently lead to redistribution among the States are mining production, population growth, Indigeneity, remoteness and property sales. </w:t>
            </w:r>
          </w:p>
          <w:p w:rsidR="00A169D6" w:rsidRPr="009C1BBB" w:rsidRDefault="009C1BBB" w:rsidP="005C6086">
            <w:pPr>
              <w:pStyle w:val="KeyPointsListBullet"/>
              <w:spacing w:line="230" w:lineRule="exact"/>
              <w:ind w:left="284" w:hanging="284"/>
              <w:rPr>
                <w:spacing w:val="-2"/>
              </w:rPr>
            </w:pPr>
            <w:r w:rsidRPr="009C1BBB">
              <w:rPr>
                <w:spacing w:val="-2"/>
              </w:rPr>
              <w:t>Australia achieves a higher degree of fiscal equalisation compared with other federations.</w:t>
            </w:r>
          </w:p>
        </w:tc>
        <w:tc>
          <w:tcPr>
            <w:tcW w:w="165" w:type="pct"/>
            <w:tcBorders>
              <w:top w:val="nil"/>
              <w:left w:val="nil"/>
              <w:bottom w:val="nil"/>
              <w:right w:val="nil"/>
            </w:tcBorders>
            <w:shd w:val="clear" w:color="auto" w:fill="FFFFFF" w:themeFill="background1"/>
          </w:tcPr>
          <w:p w:rsidR="00A169D6" w:rsidRPr="009C1BBB" w:rsidRDefault="00A169D6" w:rsidP="009C1BBB">
            <w:pPr>
              <w:pStyle w:val="BoxListBullet"/>
              <w:numPr>
                <w:ilvl w:val="0"/>
                <w:numId w:val="0"/>
              </w:numPr>
              <w:spacing w:before="80"/>
              <w:ind w:left="284"/>
              <w:rPr>
                <w:color w:val="F15A25" w:themeColor="accent4"/>
                <w:spacing w:val="-2"/>
              </w:rPr>
            </w:pPr>
          </w:p>
        </w:tc>
        <w:tc>
          <w:tcPr>
            <w:tcW w:w="769" w:type="pct"/>
            <w:tcBorders>
              <w:top w:val="nil"/>
              <w:left w:val="nil"/>
              <w:bottom w:val="nil"/>
              <w:right w:val="nil"/>
            </w:tcBorders>
            <w:shd w:val="clear" w:color="auto" w:fill="F2F2F2"/>
          </w:tcPr>
          <w:p w:rsidR="005C6086" w:rsidRDefault="00C22714" w:rsidP="005C6086">
            <w:pPr>
              <w:pStyle w:val="BodyText"/>
              <w:spacing w:before="100" w:line="230" w:lineRule="atLeast"/>
              <w:jc w:val="left"/>
              <w:rPr>
                <w:rFonts w:ascii="Arial" w:hAnsi="Arial" w:cs="Arial"/>
                <w:spacing w:val="-2"/>
                <w:sz w:val="20"/>
              </w:rPr>
            </w:pPr>
            <w:r>
              <w:rPr>
                <w:rFonts w:ascii="Arial" w:hAnsi="Arial" w:cs="Arial"/>
                <w:spacing w:val="-2"/>
                <w:sz w:val="20"/>
              </w:rPr>
              <w:t>pp. 68</w:t>
            </w:r>
            <w:r>
              <w:rPr>
                <w:rFonts w:ascii="Arial" w:hAnsi="Arial" w:cs="Arial"/>
                <w:spacing w:val="-2"/>
                <w:sz w:val="20"/>
              </w:rPr>
              <w:noBreakHyphen/>
              <w:t>7</w:t>
            </w:r>
            <w:r w:rsidR="00CF6AFC">
              <w:rPr>
                <w:rFonts w:ascii="Arial" w:hAnsi="Arial" w:cs="Arial"/>
                <w:spacing w:val="-2"/>
                <w:sz w:val="20"/>
              </w:rPr>
              <w:t>1</w:t>
            </w:r>
            <w:r w:rsidR="004E3FEF" w:rsidRPr="009C1BBB">
              <w:rPr>
                <w:rFonts w:ascii="Arial" w:hAnsi="Arial" w:cs="Arial"/>
                <w:spacing w:val="-2"/>
                <w:sz w:val="20"/>
              </w:rPr>
              <w:br/>
            </w:r>
            <w:r w:rsidR="00DD78EA">
              <w:rPr>
                <w:rFonts w:ascii="Arial" w:hAnsi="Arial" w:cs="Arial"/>
                <w:spacing w:val="-2"/>
                <w:sz w:val="20"/>
              </w:rPr>
              <w:br/>
            </w:r>
            <w:r w:rsidR="00DD78EA">
              <w:rPr>
                <w:rFonts w:ascii="Arial" w:hAnsi="Arial" w:cs="Arial"/>
                <w:spacing w:val="-2"/>
                <w:sz w:val="20"/>
              </w:rPr>
              <w:br/>
            </w:r>
          </w:p>
          <w:p w:rsidR="005C6086" w:rsidRDefault="00A169D6" w:rsidP="005C6086">
            <w:pPr>
              <w:pStyle w:val="BodyText"/>
              <w:spacing w:before="100" w:line="230" w:lineRule="atLeast"/>
              <w:jc w:val="left"/>
              <w:rPr>
                <w:rFonts w:ascii="Arial" w:hAnsi="Arial" w:cs="Arial"/>
                <w:spacing w:val="-2"/>
                <w:sz w:val="20"/>
              </w:rPr>
            </w:pPr>
            <w:r w:rsidRPr="009C1BBB">
              <w:rPr>
                <w:rFonts w:ascii="Arial" w:hAnsi="Arial" w:cs="Arial"/>
                <w:spacing w:val="-2"/>
                <w:sz w:val="20"/>
              </w:rPr>
              <w:t>p</w:t>
            </w:r>
            <w:r w:rsidR="00C22714">
              <w:rPr>
                <w:rFonts w:ascii="Arial" w:hAnsi="Arial" w:cs="Arial"/>
                <w:spacing w:val="-2"/>
                <w:sz w:val="20"/>
              </w:rPr>
              <w:t xml:space="preserve">. 68; </w:t>
            </w:r>
            <w:r w:rsidR="00305F57">
              <w:rPr>
                <w:rFonts w:ascii="Arial" w:hAnsi="Arial" w:cs="Arial"/>
                <w:spacing w:val="-2"/>
                <w:sz w:val="20"/>
              </w:rPr>
              <w:t>F</w:t>
            </w:r>
            <w:r w:rsidR="00C22714">
              <w:rPr>
                <w:rFonts w:ascii="Arial" w:hAnsi="Arial" w:cs="Arial"/>
                <w:spacing w:val="-2"/>
                <w:sz w:val="20"/>
              </w:rPr>
              <w:t>igure 2.1 (p. 69)</w:t>
            </w:r>
            <w:r w:rsidR="004E3FEF" w:rsidRPr="009C1BBB">
              <w:rPr>
                <w:rFonts w:ascii="Arial" w:hAnsi="Arial" w:cs="Arial"/>
                <w:spacing w:val="-2"/>
                <w:sz w:val="20"/>
              </w:rPr>
              <w:br/>
            </w:r>
          </w:p>
          <w:p w:rsidR="005C6086" w:rsidRDefault="00C22714" w:rsidP="005C6086">
            <w:pPr>
              <w:pStyle w:val="BodyText"/>
              <w:spacing w:before="100" w:line="230" w:lineRule="atLeast"/>
              <w:jc w:val="left"/>
              <w:rPr>
                <w:rFonts w:ascii="Arial" w:hAnsi="Arial" w:cs="Arial"/>
                <w:spacing w:val="-2"/>
                <w:sz w:val="20"/>
              </w:rPr>
            </w:pPr>
            <w:r>
              <w:rPr>
                <w:rFonts w:ascii="Arial" w:hAnsi="Arial" w:cs="Arial"/>
                <w:spacing w:val="-2"/>
                <w:sz w:val="20"/>
              </w:rPr>
              <w:t>p. 71</w:t>
            </w:r>
            <w:r w:rsidR="004E3FEF" w:rsidRPr="009C1BBB">
              <w:rPr>
                <w:rFonts w:ascii="Arial" w:hAnsi="Arial" w:cs="Arial"/>
                <w:spacing w:val="-2"/>
                <w:sz w:val="20"/>
              </w:rPr>
              <w:br/>
            </w:r>
            <w:r w:rsidR="00DD78EA">
              <w:rPr>
                <w:rFonts w:ascii="Arial" w:hAnsi="Arial" w:cs="Arial"/>
                <w:spacing w:val="-2"/>
                <w:sz w:val="20"/>
              </w:rPr>
              <w:br/>
            </w:r>
            <w:r w:rsidR="004F3E95">
              <w:rPr>
                <w:rFonts w:ascii="Arial" w:hAnsi="Arial" w:cs="Arial"/>
                <w:spacing w:val="-2"/>
                <w:sz w:val="20"/>
              </w:rPr>
              <w:br/>
            </w:r>
          </w:p>
          <w:p w:rsidR="000B6620" w:rsidRDefault="005C3150" w:rsidP="005C6086">
            <w:pPr>
              <w:pStyle w:val="BodyText"/>
              <w:spacing w:before="100" w:line="230" w:lineRule="atLeast"/>
              <w:jc w:val="left"/>
              <w:rPr>
                <w:rFonts w:ascii="Arial" w:hAnsi="Arial" w:cs="Arial"/>
                <w:spacing w:val="-2"/>
                <w:sz w:val="20"/>
              </w:rPr>
            </w:pPr>
            <w:r w:rsidRPr="009C1BBB">
              <w:rPr>
                <w:rFonts w:ascii="Arial" w:hAnsi="Arial" w:cs="Arial"/>
                <w:spacing w:val="-2"/>
                <w:sz w:val="20"/>
              </w:rPr>
              <w:t xml:space="preserve">Figure </w:t>
            </w:r>
            <w:r w:rsidR="00C22714">
              <w:rPr>
                <w:rFonts w:ascii="Arial" w:hAnsi="Arial" w:cs="Arial"/>
                <w:spacing w:val="-2"/>
                <w:sz w:val="20"/>
              </w:rPr>
              <w:t>2.1</w:t>
            </w:r>
            <w:r w:rsidR="00A169D6" w:rsidRPr="009C1BBB">
              <w:rPr>
                <w:rFonts w:ascii="Arial" w:hAnsi="Arial" w:cs="Arial"/>
                <w:spacing w:val="-2"/>
                <w:sz w:val="20"/>
              </w:rPr>
              <w:t xml:space="preserve"> (p. </w:t>
            </w:r>
            <w:r w:rsidR="00B8268C">
              <w:rPr>
                <w:rFonts w:ascii="Arial" w:hAnsi="Arial" w:cs="Arial"/>
                <w:spacing w:val="-2"/>
                <w:sz w:val="20"/>
              </w:rPr>
              <w:t>69</w:t>
            </w:r>
            <w:r w:rsidR="00A169D6" w:rsidRPr="009C1BBB">
              <w:rPr>
                <w:rFonts w:ascii="Arial" w:hAnsi="Arial" w:cs="Arial"/>
                <w:spacing w:val="-2"/>
                <w:sz w:val="20"/>
              </w:rPr>
              <w:t>)</w:t>
            </w:r>
            <w:r w:rsidR="00C22714">
              <w:rPr>
                <w:rFonts w:ascii="Arial" w:hAnsi="Arial" w:cs="Arial"/>
                <w:spacing w:val="-2"/>
                <w:sz w:val="20"/>
              </w:rPr>
              <w:t xml:space="preserve"> </w:t>
            </w:r>
          </w:p>
          <w:p w:rsidR="00B83107" w:rsidRDefault="00B83107" w:rsidP="005C6086">
            <w:pPr>
              <w:pStyle w:val="BodyText"/>
              <w:spacing w:before="100" w:line="230" w:lineRule="atLeast"/>
              <w:jc w:val="left"/>
              <w:rPr>
                <w:rFonts w:ascii="Arial" w:hAnsi="Arial" w:cs="Arial"/>
                <w:spacing w:val="-4"/>
                <w:sz w:val="20"/>
              </w:rPr>
            </w:pPr>
          </w:p>
          <w:p w:rsidR="005C6086" w:rsidRDefault="000B6620" w:rsidP="005C6086">
            <w:pPr>
              <w:pStyle w:val="BodyText"/>
              <w:spacing w:before="100" w:line="230" w:lineRule="atLeast"/>
              <w:jc w:val="left"/>
              <w:rPr>
                <w:rFonts w:ascii="Arial" w:hAnsi="Arial" w:cs="Arial"/>
                <w:spacing w:val="-2"/>
                <w:sz w:val="20"/>
              </w:rPr>
            </w:pPr>
            <w:r>
              <w:rPr>
                <w:rFonts w:ascii="Arial" w:hAnsi="Arial" w:cs="Arial"/>
                <w:spacing w:val="-4"/>
                <w:sz w:val="20"/>
              </w:rPr>
              <w:t>F</w:t>
            </w:r>
            <w:r w:rsidR="00C22714" w:rsidRPr="005C6086">
              <w:rPr>
                <w:rFonts w:ascii="Arial" w:hAnsi="Arial" w:cs="Arial"/>
                <w:spacing w:val="-4"/>
                <w:sz w:val="20"/>
              </w:rPr>
              <w:t>igure 2.3 (p. 72)</w:t>
            </w:r>
          </w:p>
          <w:p w:rsidR="005C6086" w:rsidRDefault="00C22714" w:rsidP="005C6086">
            <w:pPr>
              <w:pStyle w:val="BodyText"/>
              <w:spacing w:before="120" w:line="230" w:lineRule="atLeast"/>
              <w:jc w:val="left"/>
              <w:rPr>
                <w:rFonts w:ascii="Arial" w:hAnsi="Arial" w:cs="Arial"/>
                <w:spacing w:val="-2"/>
                <w:sz w:val="20"/>
              </w:rPr>
            </w:pPr>
            <w:r>
              <w:rPr>
                <w:rFonts w:ascii="Arial" w:hAnsi="Arial" w:cs="Arial"/>
                <w:spacing w:val="-2"/>
                <w:sz w:val="20"/>
              </w:rPr>
              <w:t>p</w:t>
            </w:r>
            <w:r w:rsidR="000B6620">
              <w:rPr>
                <w:rFonts w:ascii="Arial" w:hAnsi="Arial" w:cs="Arial"/>
                <w:spacing w:val="-2"/>
                <w:sz w:val="20"/>
              </w:rPr>
              <w:t>p</w:t>
            </w:r>
            <w:r>
              <w:rPr>
                <w:rFonts w:ascii="Arial" w:hAnsi="Arial" w:cs="Arial"/>
                <w:spacing w:val="-2"/>
                <w:sz w:val="20"/>
              </w:rPr>
              <w:t>. 74</w:t>
            </w:r>
            <w:r w:rsidR="009D0FC9">
              <w:rPr>
                <w:rFonts w:ascii="Arial" w:hAnsi="Arial" w:cs="Arial"/>
                <w:spacing w:val="-2"/>
                <w:sz w:val="20"/>
              </w:rPr>
              <w:t>-75</w:t>
            </w:r>
          </w:p>
          <w:p w:rsidR="005C6086" w:rsidRDefault="00A97571" w:rsidP="005C6086">
            <w:pPr>
              <w:pStyle w:val="BodyText"/>
              <w:spacing w:before="100" w:line="230" w:lineRule="atLeast"/>
              <w:jc w:val="left"/>
              <w:rPr>
                <w:rFonts w:ascii="Arial" w:hAnsi="Arial" w:cs="Arial"/>
                <w:spacing w:val="-2"/>
                <w:sz w:val="20"/>
              </w:rPr>
            </w:pPr>
            <w:r w:rsidRPr="009C1BBB">
              <w:rPr>
                <w:rFonts w:ascii="Arial" w:hAnsi="Arial" w:cs="Arial"/>
                <w:spacing w:val="-2"/>
                <w:sz w:val="20"/>
              </w:rPr>
              <w:br/>
            </w:r>
            <w:r w:rsidR="004E3FEF" w:rsidRPr="009C1BBB">
              <w:rPr>
                <w:rFonts w:ascii="Arial" w:hAnsi="Arial" w:cs="Arial"/>
                <w:spacing w:val="-2"/>
                <w:sz w:val="20"/>
              </w:rPr>
              <w:br/>
            </w:r>
            <w:r w:rsidR="00C22714">
              <w:rPr>
                <w:rFonts w:ascii="Arial" w:hAnsi="Arial" w:cs="Arial"/>
                <w:spacing w:val="-2"/>
                <w:sz w:val="20"/>
              </w:rPr>
              <w:t>pp. 76</w:t>
            </w:r>
            <w:r w:rsidR="00C22714">
              <w:rPr>
                <w:rFonts w:ascii="Arial" w:hAnsi="Arial" w:cs="Arial"/>
                <w:spacing w:val="-2"/>
                <w:sz w:val="20"/>
              </w:rPr>
              <w:noBreakHyphen/>
              <w:t>78</w:t>
            </w:r>
            <w:r w:rsidR="00B83107">
              <w:rPr>
                <w:rFonts w:ascii="Arial" w:hAnsi="Arial" w:cs="Arial"/>
                <w:spacing w:val="-2"/>
                <w:sz w:val="20"/>
              </w:rPr>
              <w:t>; 175</w:t>
            </w:r>
            <w:r w:rsidR="004E3FEF" w:rsidRPr="009C1BBB">
              <w:rPr>
                <w:rFonts w:ascii="Arial" w:hAnsi="Arial" w:cs="Arial"/>
                <w:spacing w:val="-2"/>
                <w:sz w:val="20"/>
              </w:rPr>
              <w:br/>
            </w:r>
            <w:r w:rsidR="00DD78EA">
              <w:rPr>
                <w:rFonts w:ascii="Arial" w:hAnsi="Arial" w:cs="Arial"/>
                <w:spacing w:val="-2"/>
                <w:sz w:val="20"/>
              </w:rPr>
              <w:br/>
            </w:r>
            <w:r w:rsidR="00DD78EA">
              <w:rPr>
                <w:rFonts w:ascii="Arial" w:hAnsi="Arial" w:cs="Arial"/>
                <w:spacing w:val="-2"/>
                <w:sz w:val="20"/>
              </w:rPr>
              <w:br/>
            </w:r>
            <w:r w:rsidR="00DD78EA">
              <w:rPr>
                <w:rFonts w:ascii="Arial" w:hAnsi="Arial" w:cs="Arial"/>
                <w:spacing w:val="-2"/>
                <w:sz w:val="20"/>
              </w:rPr>
              <w:br/>
            </w:r>
          </w:p>
          <w:p w:rsidR="005C5A71" w:rsidRDefault="00C4611A" w:rsidP="005C6086">
            <w:pPr>
              <w:pStyle w:val="BodyText"/>
              <w:spacing w:before="100" w:line="230" w:lineRule="atLeast"/>
              <w:jc w:val="left"/>
              <w:rPr>
                <w:rFonts w:ascii="Arial" w:hAnsi="Arial" w:cs="Arial"/>
                <w:spacing w:val="-2"/>
                <w:sz w:val="20"/>
              </w:rPr>
            </w:pPr>
            <w:r>
              <w:rPr>
                <w:rFonts w:ascii="Arial" w:hAnsi="Arial" w:cs="Arial"/>
                <w:spacing w:val="-2"/>
                <w:sz w:val="20"/>
              </w:rPr>
              <w:br/>
            </w:r>
            <w:r w:rsidR="005C6086">
              <w:rPr>
                <w:rFonts w:ascii="Arial" w:hAnsi="Arial" w:cs="Arial"/>
                <w:spacing w:val="-2"/>
                <w:sz w:val="20"/>
              </w:rPr>
              <w:br/>
            </w:r>
            <w:r w:rsidR="009D7749">
              <w:rPr>
                <w:rFonts w:ascii="Arial" w:hAnsi="Arial" w:cs="Arial"/>
                <w:spacing w:val="-2"/>
                <w:sz w:val="20"/>
              </w:rPr>
              <w:t>Figure 2.8 (p. 92)</w:t>
            </w:r>
            <w:r w:rsidR="00C22714">
              <w:rPr>
                <w:rFonts w:ascii="Arial" w:hAnsi="Arial" w:cs="Arial"/>
                <w:spacing w:val="-2"/>
                <w:sz w:val="20"/>
              </w:rPr>
              <w:t xml:space="preserve"> </w:t>
            </w:r>
            <w:r w:rsidR="004E3FEF" w:rsidRPr="009C1BBB">
              <w:rPr>
                <w:rFonts w:ascii="Arial" w:hAnsi="Arial" w:cs="Arial"/>
                <w:spacing w:val="-2"/>
                <w:sz w:val="20"/>
              </w:rPr>
              <w:br/>
            </w:r>
          </w:p>
          <w:p w:rsidR="005C5A71" w:rsidRDefault="005C5A71" w:rsidP="005C6086">
            <w:pPr>
              <w:pStyle w:val="BodyText"/>
              <w:spacing w:before="100" w:line="230" w:lineRule="atLeast"/>
              <w:jc w:val="left"/>
              <w:rPr>
                <w:rFonts w:ascii="Arial" w:hAnsi="Arial" w:cs="Arial"/>
                <w:spacing w:val="-2"/>
                <w:sz w:val="20"/>
              </w:rPr>
            </w:pPr>
          </w:p>
          <w:p w:rsidR="005C6086" w:rsidRDefault="00902160" w:rsidP="005C6086">
            <w:pPr>
              <w:pStyle w:val="BodyText"/>
              <w:spacing w:before="100" w:line="230" w:lineRule="atLeast"/>
              <w:jc w:val="left"/>
              <w:rPr>
                <w:rFonts w:ascii="Arial" w:hAnsi="Arial" w:cs="Arial"/>
                <w:spacing w:val="-2"/>
                <w:sz w:val="20"/>
              </w:rPr>
            </w:pPr>
            <w:r>
              <w:rPr>
                <w:rFonts w:ascii="Arial" w:hAnsi="Arial" w:cs="Arial"/>
                <w:spacing w:val="-2"/>
                <w:sz w:val="20"/>
              </w:rPr>
              <w:t>pp. </w:t>
            </w:r>
            <w:r w:rsidR="00BE1283">
              <w:rPr>
                <w:rFonts w:ascii="Arial" w:hAnsi="Arial" w:cs="Arial"/>
                <w:spacing w:val="-2"/>
                <w:sz w:val="20"/>
              </w:rPr>
              <w:t>86</w:t>
            </w:r>
            <w:r w:rsidR="00BE1283">
              <w:rPr>
                <w:rFonts w:ascii="Arial" w:hAnsi="Arial" w:cs="Arial"/>
                <w:spacing w:val="-2"/>
                <w:sz w:val="20"/>
              </w:rPr>
              <w:noBreakHyphen/>
              <w:t xml:space="preserve">89; </w:t>
            </w:r>
            <w:r w:rsidR="00BF1446">
              <w:rPr>
                <w:rFonts w:ascii="Arial" w:hAnsi="Arial" w:cs="Arial"/>
                <w:spacing w:val="-2"/>
                <w:sz w:val="20"/>
              </w:rPr>
              <w:t>pp. </w:t>
            </w:r>
            <w:r>
              <w:rPr>
                <w:rFonts w:ascii="Arial" w:hAnsi="Arial" w:cs="Arial"/>
                <w:spacing w:val="-2"/>
                <w:sz w:val="20"/>
              </w:rPr>
              <w:t>94</w:t>
            </w:r>
            <w:r>
              <w:rPr>
                <w:rFonts w:ascii="Arial" w:hAnsi="Arial" w:cs="Arial"/>
                <w:spacing w:val="-2"/>
                <w:sz w:val="20"/>
              </w:rPr>
              <w:noBreakHyphen/>
              <w:t>97</w:t>
            </w:r>
            <w:r w:rsidR="004E3FEF" w:rsidRPr="009C1BBB">
              <w:rPr>
                <w:rFonts w:ascii="Arial" w:hAnsi="Arial" w:cs="Arial"/>
                <w:spacing w:val="-2"/>
                <w:sz w:val="20"/>
              </w:rPr>
              <w:br/>
            </w:r>
            <w:r w:rsidR="004E3FEF" w:rsidRPr="009C1BBB">
              <w:rPr>
                <w:rFonts w:ascii="Arial" w:hAnsi="Arial" w:cs="Arial"/>
                <w:spacing w:val="-2"/>
                <w:sz w:val="20"/>
              </w:rPr>
              <w:br/>
            </w:r>
            <w:r w:rsidR="002431C3">
              <w:rPr>
                <w:rFonts w:ascii="Arial" w:hAnsi="Arial" w:cs="Arial"/>
                <w:spacing w:val="-2"/>
                <w:sz w:val="20"/>
              </w:rPr>
              <w:t>p.</w:t>
            </w:r>
            <w:r w:rsidR="004F3E95">
              <w:rPr>
                <w:rFonts w:ascii="Arial" w:hAnsi="Arial" w:cs="Arial"/>
                <w:spacing w:val="-2"/>
                <w:sz w:val="20"/>
              </w:rPr>
              <w:t> </w:t>
            </w:r>
            <w:r w:rsidR="002431C3">
              <w:rPr>
                <w:rFonts w:ascii="Arial" w:hAnsi="Arial" w:cs="Arial"/>
                <w:spacing w:val="-2"/>
                <w:sz w:val="20"/>
              </w:rPr>
              <w:t>82</w:t>
            </w:r>
            <w:r w:rsidR="00C4611A">
              <w:rPr>
                <w:rFonts w:ascii="Arial" w:hAnsi="Arial" w:cs="Arial"/>
                <w:spacing w:val="-2"/>
                <w:sz w:val="20"/>
              </w:rPr>
              <w:br/>
            </w:r>
            <w:r w:rsidR="00C4611A">
              <w:rPr>
                <w:rFonts w:ascii="Arial" w:hAnsi="Arial" w:cs="Arial"/>
                <w:spacing w:val="-2"/>
                <w:sz w:val="20"/>
              </w:rPr>
              <w:br/>
            </w:r>
          </w:p>
          <w:p w:rsidR="002F05F7" w:rsidRDefault="002F05F7" w:rsidP="005C6086">
            <w:pPr>
              <w:pStyle w:val="BodyText"/>
              <w:spacing w:before="100" w:line="230" w:lineRule="atLeast"/>
              <w:jc w:val="left"/>
              <w:rPr>
                <w:rFonts w:ascii="Arial" w:hAnsi="Arial" w:cs="Arial"/>
                <w:spacing w:val="-2"/>
                <w:sz w:val="20"/>
              </w:rPr>
            </w:pPr>
          </w:p>
          <w:p w:rsidR="002F05F7" w:rsidRDefault="002F05F7" w:rsidP="005C6086">
            <w:pPr>
              <w:pStyle w:val="BodyText"/>
              <w:spacing w:before="100" w:line="230" w:lineRule="atLeast"/>
              <w:jc w:val="left"/>
              <w:rPr>
                <w:rFonts w:ascii="Arial" w:hAnsi="Arial" w:cs="Arial"/>
                <w:spacing w:val="-2"/>
                <w:sz w:val="20"/>
              </w:rPr>
            </w:pPr>
          </w:p>
          <w:p w:rsidR="005C6086" w:rsidRDefault="00902160" w:rsidP="005C6086">
            <w:pPr>
              <w:pStyle w:val="BodyText"/>
              <w:spacing w:before="100" w:line="230" w:lineRule="atLeast"/>
              <w:jc w:val="left"/>
              <w:rPr>
                <w:rFonts w:ascii="Arial" w:hAnsi="Arial" w:cs="Arial"/>
                <w:spacing w:val="-2"/>
                <w:sz w:val="20"/>
              </w:rPr>
            </w:pPr>
            <w:r>
              <w:rPr>
                <w:rFonts w:ascii="Arial" w:hAnsi="Arial" w:cs="Arial"/>
                <w:spacing w:val="-2"/>
                <w:sz w:val="20"/>
              </w:rPr>
              <w:t>Figure</w:t>
            </w:r>
            <w:r w:rsidR="004F3E95">
              <w:rPr>
                <w:rFonts w:ascii="Arial" w:hAnsi="Arial" w:cs="Arial"/>
                <w:spacing w:val="-2"/>
                <w:sz w:val="20"/>
              </w:rPr>
              <w:t> </w:t>
            </w:r>
            <w:r w:rsidR="00CA1CD0">
              <w:rPr>
                <w:rFonts w:ascii="Arial" w:hAnsi="Arial" w:cs="Arial"/>
                <w:spacing w:val="-2"/>
                <w:sz w:val="20"/>
              </w:rPr>
              <w:t>2.8 (p. 89)</w:t>
            </w:r>
            <w:r>
              <w:rPr>
                <w:rFonts w:ascii="Arial" w:hAnsi="Arial" w:cs="Arial"/>
                <w:spacing w:val="-2"/>
                <w:sz w:val="20"/>
              </w:rPr>
              <w:t xml:space="preserve">  </w:t>
            </w:r>
            <w:r w:rsidR="00DD78EA">
              <w:rPr>
                <w:rFonts w:ascii="Arial" w:hAnsi="Arial" w:cs="Arial"/>
                <w:spacing w:val="-2"/>
                <w:sz w:val="20"/>
              </w:rPr>
              <w:br/>
            </w:r>
          </w:p>
          <w:p w:rsidR="005C6086" w:rsidRDefault="00902160" w:rsidP="005C6086">
            <w:pPr>
              <w:pStyle w:val="BodyText"/>
              <w:spacing w:before="100" w:line="230" w:lineRule="atLeast"/>
              <w:jc w:val="left"/>
              <w:rPr>
                <w:rFonts w:ascii="Arial" w:hAnsi="Arial" w:cs="Arial"/>
                <w:spacing w:val="-2"/>
                <w:sz w:val="20"/>
              </w:rPr>
            </w:pPr>
            <w:r>
              <w:rPr>
                <w:rFonts w:ascii="Arial" w:hAnsi="Arial" w:cs="Arial"/>
                <w:spacing w:val="-2"/>
                <w:sz w:val="20"/>
              </w:rPr>
              <w:t>Table 2.4 (p. 94)</w:t>
            </w:r>
            <w:r w:rsidR="00BE1283">
              <w:rPr>
                <w:rFonts w:ascii="Arial" w:hAnsi="Arial" w:cs="Arial"/>
                <w:spacing w:val="-2"/>
                <w:sz w:val="20"/>
              </w:rPr>
              <w:br/>
            </w:r>
          </w:p>
          <w:p w:rsidR="00902160" w:rsidRPr="009C1BBB" w:rsidRDefault="00902160" w:rsidP="005C6086">
            <w:pPr>
              <w:pStyle w:val="BodyText"/>
              <w:spacing w:before="100" w:line="230" w:lineRule="atLeast"/>
              <w:jc w:val="left"/>
              <w:rPr>
                <w:spacing w:val="-2"/>
              </w:rPr>
            </w:pPr>
            <w:r>
              <w:rPr>
                <w:rFonts w:ascii="Arial" w:hAnsi="Arial" w:cs="Arial"/>
                <w:spacing w:val="-2"/>
                <w:sz w:val="20"/>
              </w:rPr>
              <w:t>pp. 94</w:t>
            </w:r>
            <w:r>
              <w:rPr>
                <w:rFonts w:ascii="Arial" w:hAnsi="Arial" w:cs="Arial"/>
                <w:spacing w:val="-2"/>
                <w:sz w:val="20"/>
              </w:rPr>
              <w:noBreakHyphen/>
              <w:t>95</w:t>
            </w:r>
          </w:p>
        </w:tc>
      </w:tr>
      <w:tr w:rsidR="00D7798D" w:rsidRPr="009C1BBB" w:rsidTr="00E810E4">
        <w:tc>
          <w:tcPr>
            <w:tcW w:w="4066" w:type="pct"/>
            <w:tcBorders>
              <w:top w:val="nil"/>
              <w:left w:val="nil"/>
              <w:bottom w:val="single" w:sz="12" w:space="0" w:color="78A22F"/>
              <w:right w:val="nil"/>
            </w:tcBorders>
            <w:shd w:val="clear" w:color="auto" w:fill="F2F2F2"/>
          </w:tcPr>
          <w:p w:rsidR="00D7798D" w:rsidRPr="009C1BBB" w:rsidRDefault="00D7798D" w:rsidP="00C4611A">
            <w:pPr>
              <w:pStyle w:val="Figurespace"/>
              <w:keepNext w:val="0"/>
            </w:pPr>
          </w:p>
        </w:tc>
        <w:tc>
          <w:tcPr>
            <w:tcW w:w="165" w:type="pct"/>
            <w:tcBorders>
              <w:top w:val="nil"/>
              <w:left w:val="nil"/>
              <w:bottom w:val="single" w:sz="12" w:space="0" w:color="78A22F"/>
              <w:right w:val="nil"/>
            </w:tcBorders>
            <w:shd w:val="clear" w:color="auto" w:fill="FFFFFF" w:themeFill="background1"/>
          </w:tcPr>
          <w:p w:rsidR="00D7798D" w:rsidRPr="005C6086" w:rsidRDefault="00D7798D" w:rsidP="00C4611A">
            <w:pPr>
              <w:pStyle w:val="Figurespace"/>
              <w:keepNext w:val="0"/>
            </w:pPr>
          </w:p>
        </w:tc>
        <w:tc>
          <w:tcPr>
            <w:tcW w:w="769" w:type="pct"/>
            <w:tcBorders>
              <w:top w:val="nil"/>
              <w:left w:val="nil"/>
              <w:bottom w:val="single" w:sz="12" w:space="0" w:color="78A22F"/>
              <w:right w:val="nil"/>
            </w:tcBorders>
            <w:shd w:val="clear" w:color="auto" w:fill="F2F2F2"/>
          </w:tcPr>
          <w:p w:rsidR="00D7798D" w:rsidRPr="009C1BBB" w:rsidRDefault="00D7798D" w:rsidP="00C4611A">
            <w:pPr>
              <w:pStyle w:val="Figurespace"/>
              <w:keepNext w:val="0"/>
              <w:rPr>
                <w:rFonts w:cs="Arial"/>
              </w:rPr>
            </w:pPr>
          </w:p>
        </w:tc>
      </w:tr>
      <w:tr w:rsidR="00D7798D" w:rsidRPr="00902160" w:rsidTr="00E810E4">
        <w:tc>
          <w:tcPr>
            <w:tcW w:w="4066" w:type="pct"/>
            <w:tcBorders>
              <w:top w:val="single" w:sz="12" w:space="0" w:color="78A22F"/>
              <w:left w:val="nil"/>
              <w:bottom w:val="nil"/>
              <w:right w:val="nil"/>
            </w:tcBorders>
            <w:shd w:val="clear" w:color="auto" w:fill="F2F2F2"/>
          </w:tcPr>
          <w:p w:rsidR="00D7798D" w:rsidRPr="00902160" w:rsidRDefault="00D7798D" w:rsidP="005E0743">
            <w:pPr>
              <w:pStyle w:val="BoxTitle"/>
              <w:ind w:left="0" w:firstLine="0"/>
              <w:rPr>
                <w:rFonts w:ascii="Arial Bold" w:hAnsi="Arial Bold"/>
                <w:spacing w:val="-2"/>
              </w:rPr>
            </w:pPr>
            <w:r w:rsidRPr="00902160">
              <w:rPr>
                <w:rFonts w:ascii="Arial Bold" w:hAnsi="Arial Bold"/>
                <w:spacing w:val="-2"/>
              </w:rPr>
              <w:t xml:space="preserve">Chapter </w:t>
            </w:r>
            <w:r w:rsidR="00C22714" w:rsidRPr="00902160">
              <w:rPr>
                <w:rFonts w:ascii="Arial Bold" w:hAnsi="Arial Bold"/>
                <w:spacing w:val="-2"/>
              </w:rPr>
              <w:t>3</w:t>
            </w:r>
            <w:r w:rsidRPr="00902160">
              <w:rPr>
                <w:rFonts w:ascii="Arial Bold" w:hAnsi="Arial Bold"/>
                <w:spacing w:val="-2"/>
              </w:rPr>
              <w:t xml:space="preserve">: </w:t>
            </w:r>
            <w:r w:rsidR="00902160" w:rsidRPr="00902160">
              <w:rPr>
                <w:rFonts w:ascii="Arial Bold" w:hAnsi="Arial Bold"/>
                <w:spacing w:val="-2"/>
              </w:rPr>
              <w:t>Does HFE influence States’ incentives to undertake reform</w:t>
            </w:r>
            <w:r w:rsidR="00902160">
              <w:rPr>
                <w:rFonts w:ascii="Arial Bold" w:hAnsi="Arial Bold"/>
                <w:spacing w:val="-2"/>
              </w:rPr>
              <w:t>s</w:t>
            </w:r>
            <w:r w:rsidRPr="00902160">
              <w:rPr>
                <w:rFonts w:ascii="Arial Bold" w:hAnsi="Arial Bold"/>
                <w:spacing w:val="-2"/>
              </w:rPr>
              <w:t>?</w:t>
            </w:r>
          </w:p>
        </w:tc>
        <w:tc>
          <w:tcPr>
            <w:tcW w:w="165" w:type="pct"/>
            <w:tcBorders>
              <w:top w:val="single" w:sz="12" w:space="0" w:color="78A22F"/>
              <w:left w:val="nil"/>
              <w:bottom w:val="nil"/>
              <w:right w:val="nil"/>
            </w:tcBorders>
            <w:shd w:val="clear" w:color="auto" w:fill="FFFFFF" w:themeFill="background1"/>
          </w:tcPr>
          <w:p w:rsidR="00D7798D" w:rsidRPr="00902160" w:rsidRDefault="00D7798D" w:rsidP="00A833A5">
            <w:pPr>
              <w:pStyle w:val="BoxTitle"/>
              <w:rPr>
                <w:rFonts w:ascii="Arial Bold" w:hAnsi="Arial Bold"/>
                <w:spacing w:val="-2"/>
              </w:rPr>
            </w:pPr>
          </w:p>
        </w:tc>
        <w:tc>
          <w:tcPr>
            <w:tcW w:w="769" w:type="pct"/>
            <w:tcBorders>
              <w:top w:val="single" w:sz="12" w:space="0" w:color="78A22F"/>
              <w:left w:val="nil"/>
              <w:bottom w:val="nil"/>
              <w:right w:val="nil"/>
            </w:tcBorders>
            <w:shd w:val="clear" w:color="auto" w:fill="F2F2F2"/>
          </w:tcPr>
          <w:p w:rsidR="00D7798D" w:rsidRPr="00902160" w:rsidRDefault="00D7798D" w:rsidP="00A833A5">
            <w:pPr>
              <w:pStyle w:val="BoxTitle"/>
              <w:rPr>
                <w:rFonts w:ascii="Arial Bold" w:hAnsi="Arial Bold"/>
                <w:spacing w:val="-2"/>
              </w:rPr>
            </w:pPr>
            <w:r w:rsidRPr="00902160">
              <w:rPr>
                <w:rFonts w:ascii="Arial Bold" w:hAnsi="Arial Bold"/>
                <w:spacing w:val="-2"/>
              </w:rPr>
              <w:t>For more</w:t>
            </w:r>
          </w:p>
        </w:tc>
      </w:tr>
      <w:tr w:rsidR="00D7798D" w:rsidRPr="00E853E7" w:rsidTr="00AB6DB6">
        <w:tc>
          <w:tcPr>
            <w:tcW w:w="4066" w:type="pct"/>
            <w:tcBorders>
              <w:top w:val="nil"/>
              <w:left w:val="nil"/>
              <w:bottom w:val="nil"/>
              <w:right w:val="nil"/>
            </w:tcBorders>
            <w:shd w:val="clear" w:color="auto" w:fill="F2F2F2"/>
          </w:tcPr>
          <w:p w:rsidR="00902160" w:rsidRDefault="00902160" w:rsidP="00902160">
            <w:pPr>
              <w:pStyle w:val="KeyPointsListBullet"/>
              <w:spacing w:line="244" w:lineRule="atLeast"/>
            </w:pPr>
            <w:r>
              <w:t>Despite the CGC’s aspiration and endeavour, Australia’s HFE system</w:t>
            </w:r>
            <w:r w:rsidRPr="00B73BF0">
              <w:t xml:space="preserve"> is not policy neutral. State policy decisions can and do influence the share of GST revenue flowing to</w:t>
            </w:r>
            <w:r>
              <w:t xml:space="preserve"> each State.</w:t>
            </w:r>
          </w:p>
          <w:p w:rsidR="00902160" w:rsidRDefault="00902160" w:rsidP="00902160">
            <w:pPr>
              <w:pStyle w:val="KeyPointsListBullet"/>
              <w:spacing w:line="244" w:lineRule="atLeast"/>
            </w:pPr>
            <w:r>
              <w:t>On the revenue side, changes in one State’s tax rates generally have a small impact on GST shares. However, the effect can be substantial in some circumstances — such as large tax reforms where one State departs from what other States do on average, or where State policy has a significant influence on the size of a tax base (such as mining activity in some States).</w:t>
            </w:r>
          </w:p>
          <w:p w:rsidR="00902160" w:rsidRDefault="00902160" w:rsidP="00902160">
            <w:pPr>
              <w:pStyle w:val="KeyPointsListBullet2"/>
              <w:spacing w:line="244" w:lineRule="atLeast"/>
            </w:pPr>
            <w:r>
              <w:t>HFE can discourage efficiency</w:t>
            </w:r>
            <w:r>
              <w:noBreakHyphen/>
              <w:t>enhancing reform or resource development where, as a consequence, a State experiences a large reduction in GST payments, or where the GST impacts of reform are uncertain. Though there is no direct evidence to link such incentives to individual policy changes, there is likely to be an effect on policy decisions at the margin.</w:t>
            </w:r>
          </w:p>
          <w:p w:rsidR="00902160" w:rsidRDefault="00902160" w:rsidP="00902160">
            <w:pPr>
              <w:pStyle w:val="KeyPointsListBullet2"/>
              <w:spacing w:line="244" w:lineRule="atLeast"/>
            </w:pPr>
            <w:r>
              <w:t>The impacts can be pronounced where a State significantly reforms an existing tax. Policy cameos suggest that revenue</w:t>
            </w:r>
            <w:r>
              <w:noBreakHyphen/>
              <w:t>neutral reform can have significant effects on GST payments for some States — especially if done unilaterally — which would pose a first</w:t>
            </w:r>
            <w:r>
              <w:noBreakHyphen/>
              <w:t>mover disadvantage to reform.</w:t>
            </w:r>
          </w:p>
          <w:p w:rsidR="00902160" w:rsidRDefault="00902160" w:rsidP="00902160">
            <w:pPr>
              <w:pStyle w:val="KeyPointsListBullet"/>
              <w:spacing w:line="244" w:lineRule="atLeast"/>
            </w:pPr>
            <w:r>
              <w:t>Definitive evidence that HFE influences State policy decisions is unsurprisingly scant, although there is some limited international evidence.</w:t>
            </w:r>
          </w:p>
          <w:p w:rsidR="00902160" w:rsidRDefault="00902160" w:rsidP="00902160">
            <w:pPr>
              <w:pStyle w:val="KeyPointsListBullet"/>
              <w:spacing w:line="244" w:lineRule="atLeast"/>
            </w:pPr>
            <w:r>
              <w:t>On the expenditure side, changes in State policy can affect GST shares, though the potential to do so is much lower than on the revenue side. T</w:t>
            </w:r>
            <w:r w:rsidRPr="00433917">
              <w:t xml:space="preserve">here is no compelling </w:t>
            </w:r>
            <w:r>
              <w:t>case</w:t>
            </w:r>
            <w:r w:rsidRPr="00433917">
              <w:t xml:space="preserve"> that Australia’s HFE system</w:t>
            </w:r>
            <w:r>
              <w:t xml:space="preserve"> </w:t>
            </w:r>
            <w:r w:rsidRPr="00433917">
              <w:t>systematically bias</w:t>
            </w:r>
            <w:r>
              <w:t>es</w:t>
            </w:r>
            <w:r w:rsidRPr="00433917">
              <w:t xml:space="preserve"> State</w:t>
            </w:r>
            <w:r>
              <w:t xml:space="preserve"> expenditure policy.</w:t>
            </w:r>
          </w:p>
          <w:p w:rsidR="00902160" w:rsidRDefault="00902160" w:rsidP="00902160">
            <w:pPr>
              <w:pStyle w:val="KeyPointsListBullet2"/>
              <w:spacing w:line="244" w:lineRule="atLeast"/>
            </w:pPr>
            <w:r>
              <w:t>HFE is unlikely to directly discourage (</w:t>
            </w:r>
            <w:r w:rsidRPr="005152A0">
              <w:t xml:space="preserve">nor </w:t>
            </w:r>
            <w:r>
              <w:t>encourage)</w:t>
            </w:r>
            <w:r w:rsidRPr="005152A0">
              <w:t xml:space="preserve"> States from</w:t>
            </w:r>
            <w:r>
              <w:t xml:space="preserve"> improving the efficiency of service delivery or</w:t>
            </w:r>
            <w:r w:rsidRPr="005152A0">
              <w:t xml:space="preserve"> addressing </w:t>
            </w:r>
            <w:r>
              <w:t xml:space="preserve">their </w:t>
            </w:r>
            <w:r w:rsidRPr="005152A0">
              <w:t xml:space="preserve">structural disadvantages given the broader benefits </w:t>
            </w:r>
            <w:r>
              <w:t xml:space="preserve">of doing so </w:t>
            </w:r>
            <w:r w:rsidRPr="005152A0">
              <w:t>to the community</w:t>
            </w:r>
            <w:r>
              <w:t>. A greater driver of expenditure effort is accountability, which is lacking due to vertical fiscal imbalance and blurred funding responsibilities.</w:t>
            </w:r>
          </w:p>
          <w:p w:rsidR="00902160" w:rsidRDefault="00902160" w:rsidP="00902160">
            <w:pPr>
              <w:pStyle w:val="KeyPointsListBullet"/>
              <w:spacing w:line="244" w:lineRule="atLeast"/>
            </w:pPr>
            <w:r>
              <w:t>The potential for HFE to distort State policy is pronounced for mineral and energy resources. States that increase mineral production or royalty rates will lose much of the additional revenue to equalisation — such that they retain as little as their population share of any increase in revenue or bear as little as their population share of any decrease.</w:t>
            </w:r>
          </w:p>
          <w:p w:rsidR="00902160" w:rsidRDefault="00902160" w:rsidP="00902160">
            <w:pPr>
              <w:pStyle w:val="KeyPointsListBullet2"/>
              <w:spacing w:line="244" w:lineRule="atLeast"/>
            </w:pPr>
            <w:r>
              <w:t>These perverse incentives are largely driven by the high concentration of mineral production in several States, and were exacerbated by the mining boom. The incentives have the potential to distort trade</w:t>
            </w:r>
            <w:r>
              <w:noBreakHyphen/>
              <w:t>offs States make between fiscal and other policy objectives, includ</w:t>
            </w:r>
            <w:r w:rsidRPr="00346328">
              <w:t xml:space="preserve">ing </w:t>
            </w:r>
            <w:r>
              <w:t xml:space="preserve">controversial </w:t>
            </w:r>
            <w:r w:rsidRPr="00346328">
              <w:t xml:space="preserve">decisions to </w:t>
            </w:r>
            <w:r>
              <w:t>facilitate or restrict</w:t>
            </w:r>
            <w:r w:rsidRPr="00346328">
              <w:t xml:space="preserve"> resource extraction</w:t>
            </w:r>
            <w:r>
              <w:t>.</w:t>
            </w:r>
          </w:p>
          <w:p w:rsidR="00902160" w:rsidRDefault="00902160" w:rsidP="00902160">
            <w:pPr>
              <w:pStyle w:val="KeyPointsListBullet2"/>
              <w:spacing w:line="244" w:lineRule="atLeast"/>
            </w:pPr>
            <w:r>
              <w:t>To some extent, these incentives are an inevitable consequence of pursuing full and comprehensive equalisation with disparate treatment of revenues, which has embedded policy non</w:t>
            </w:r>
            <w:r>
              <w:noBreakHyphen/>
              <w:t>neutrality in the HFE system.</w:t>
            </w:r>
          </w:p>
          <w:p w:rsidR="00D7798D" w:rsidRPr="008E7584" w:rsidRDefault="00902160" w:rsidP="00902160">
            <w:pPr>
              <w:pStyle w:val="KeyPointsListBullet2"/>
            </w:pPr>
            <w:r w:rsidRPr="00DC40C0">
              <w:t xml:space="preserve">Previous reviews have dealt extensively with the equalisation of </w:t>
            </w:r>
            <w:r>
              <w:t>resource</w:t>
            </w:r>
            <w:r w:rsidRPr="00DC40C0">
              <w:t xml:space="preserve"> development costs. The Commission has not received any new or co</w:t>
            </w:r>
            <w:r>
              <w:t>mpelling</w:t>
            </w:r>
            <w:r w:rsidRPr="00DC40C0">
              <w:t xml:space="preserve"> evidence that the treatment of mining</w:t>
            </w:r>
            <w:r>
              <w:noBreakHyphen/>
            </w:r>
            <w:r w:rsidRPr="00DC40C0">
              <w:t>related expen</w:t>
            </w:r>
            <w:r>
              <w:t>ditures requires change.</w:t>
            </w:r>
          </w:p>
        </w:tc>
        <w:tc>
          <w:tcPr>
            <w:tcW w:w="165" w:type="pct"/>
            <w:tcBorders>
              <w:top w:val="nil"/>
              <w:left w:val="nil"/>
              <w:bottom w:val="nil"/>
              <w:right w:val="nil"/>
            </w:tcBorders>
            <w:shd w:val="clear" w:color="auto" w:fill="FFFFFF" w:themeFill="background1"/>
          </w:tcPr>
          <w:p w:rsidR="00D7798D" w:rsidRPr="008E7584" w:rsidRDefault="00D7798D" w:rsidP="00A833A5">
            <w:pPr>
              <w:pStyle w:val="BoxListBullet"/>
              <w:numPr>
                <w:ilvl w:val="0"/>
                <w:numId w:val="0"/>
              </w:numPr>
              <w:ind w:left="284"/>
              <w:rPr>
                <w:color w:val="F15A25" w:themeColor="accent4"/>
              </w:rPr>
            </w:pPr>
          </w:p>
        </w:tc>
        <w:tc>
          <w:tcPr>
            <w:tcW w:w="769" w:type="pct"/>
            <w:tcBorders>
              <w:top w:val="nil"/>
              <w:left w:val="nil"/>
              <w:bottom w:val="nil"/>
              <w:right w:val="nil"/>
            </w:tcBorders>
            <w:shd w:val="clear" w:color="auto" w:fill="F2F2F2"/>
            <w:tcMar>
              <w:left w:w="113" w:type="dxa"/>
              <w:right w:w="113" w:type="dxa"/>
            </w:tcMar>
          </w:tcPr>
          <w:p w:rsidR="004B683D" w:rsidRDefault="00D7798D" w:rsidP="00A833A5">
            <w:pPr>
              <w:pStyle w:val="BodyText"/>
              <w:spacing w:before="100" w:line="260" w:lineRule="atLeast"/>
              <w:jc w:val="left"/>
              <w:rPr>
                <w:rFonts w:ascii="Arial" w:hAnsi="Arial" w:cs="Arial"/>
                <w:sz w:val="20"/>
              </w:rPr>
            </w:pPr>
            <w:r>
              <w:rPr>
                <w:rFonts w:ascii="Arial" w:hAnsi="Arial" w:cs="Arial"/>
                <w:sz w:val="20"/>
              </w:rPr>
              <w:br/>
            </w:r>
            <w:r>
              <w:rPr>
                <w:rFonts w:ascii="Arial" w:hAnsi="Arial" w:cs="Arial"/>
                <w:sz w:val="20"/>
              </w:rPr>
              <w:br/>
            </w:r>
            <w:r>
              <w:rPr>
                <w:rFonts w:ascii="Arial" w:hAnsi="Arial" w:cs="Arial"/>
                <w:sz w:val="20"/>
              </w:rPr>
              <w:br/>
            </w:r>
            <w:r w:rsidR="004E333E">
              <w:rPr>
                <w:rFonts w:ascii="Arial" w:hAnsi="Arial" w:cs="Arial"/>
                <w:sz w:val="20"/>
              </w:rPr>
              <w:t>pp. 100</w:t>
            </w:r>
            <w:r w:rsidR="004E333E">
              <w:rPr>
                <w:rFonts w:ascii="Arial" w:hAnsi="Arial" w:cs="Arial"/>
                <w:sz w:val="20"/>
              </w:rPr>
              <w:noBreakHyphen/>
              <w:t xml:space="preserve">105; </w:t>
            </w:r>
            <w:r w:rsidR="0073497B">
              <w:rPr>
                <w:rFonts w:ascii="Arial" w:hAnsi="Arial" w:cs="Arial"/>
                <w:sz w:val="20"/>
              </w:rPr>
              <w:t xml:space="preserve">table </w:t>
            </w:r>
            <w:r w:rsidR="004E333E">
              <w:rPr>
                <w:rFonts w:ascii="Arial" w:hAnsi="Arial" w:cs="Arial"/>
                <w:sz w:val="20"/>
              </w:rPr>
              <w:t>3.</w:t>
            </w:r>
            <w:r w:rsidR="0073497B">
              <w:rPr>
                <w:rFonts w:ascii="Arial" w:hAnsi="Arial" w:cs="Arial"/>
                <w:sz w:val="20"/>
              </w:rPr>
              <w:t>1</w:t>
            </w:r>
            <w:r w:rsidR="004E333E">
              <w:rPr>
                <w:rFonts w:ascii="Arial" w:hAnsi="Arial" w:cs="Arial"/>
                <w:sz w:val="20"/>
              </w:rPr>
              <w:t xml:space="preserve"> (p. </w:t>
            </w:r>
            <w:r w:rsidR="0073497B">
              <w:rPr>
                <w:rFonts w:ascii="Arial" w:hAnsi="Arial" w:cs="Arial"/>
                <w:sz w:val="20"/>
              </w:rPr>
              <w:t>106</w:t>
            </w:r>
            <w:r w:rsidR="004E333E">
              <w:rPr>
                <w:rFonts w:ascii="Arial" w:hAnsi="Arial" w:cs="Arial"/>
                <w:sz w:val="20"/>
              </w:rPr>
              <w:t>)</w:t>
            </w:r>
            <w:r w:rsidR="00AB6DB6">
              <w:rPr>
                <w:rFonts w:ascii="Arial" w:hAnsi="Arial" w:cs="Arial"/>
                <w:sz w:val="20"/>
              </w:rPr>
              <w:t>;</w:t>
            </w:r>
            <w:r w:rsidR="004B683D">
              <w:rPr>
                <w:rFonts w:ascii="Arial" w:hAnsi="Arial" w:cs="Arial"/>
                <w:sz w:val="20"/>
              </w:rPr>
              <w:br/>
            </w:r>
            <w:r w:rsidR="00AB6DB6">
              <w:rPr>
                <w:rFonts w:ascii="Arial" w:hAnsi="Arial" w:cs="Arial"/>
                <w:sz w:val="20"/>
              </w:rPr>
              <w:t>(Appendix C)</w:t>
            </w:r>
            <w:r>
              <w:rPr>
                <w:rFonts w:ascii="Arial" w:hAnsi="Arial" w:cs="Arial"/>
                <w:sz w:val="20"/>
              </w:rPr>
              <w:br/>
            </w:r>
            <w:r w:rsidR="004B683D">
              <w:rPr>
                <w:rFonts w:ascii="Arial" w:hAnsi="Arial" w:cs="Arial"/>
                <w:sz w:val="20"/>
              </w:rPr>
              <w:br/>
            </w:r>
            <w:r>
              <w:rPr>
                <w:rFonts w:ascii="Arial" w:hAnsi="Arial" w:cs="Arial"/>
                <w:sz w:val="20"/>
              </w:rPr>
              <w:br/>
            </w:r>
            <w:r w:rsidR="004E333E">
              <w:rPr>
                <w:rFonts w:ascii="Arial" w:hAnsi="Arial" w:cs="Arial"/>
                <w:sz w:val="20"/>
              </w:rPr>
              <w:t>pp. 106</w:t>
            </w:r>
            <w:r w:rsidR="004E333E">
              <w:rPr>
                <w:rFonts w:ascii="Arial" w:hAnsi="Arial" w:cs="Arial"/>
                <w:sz w:val="20"/>
              </w:rPr>
              <w:noBreakHyphen/>
              <w:t>107</w:t>
            </w:r>
            <w:r w:rsidR="004B683D">
              <w:rPr>
                <w:rFonts w:ascii="Arial" w:hAnsi="Arial" w:cs="Arial"/>
                <w:sz w:val="20"/>
              </w:rPr>
              <w:br/>
            </w:r>
            <w:r w:rsidR="004B683D">
              <w:rPr>
                <w:rFonts w:ascii="Arial" w:hAnsi="Arial" w:cs="Arial"/>
                <w:sz w:val="20"/>
              </w:rPr>
              <w:br/>
            </w:r>
            <w:r w:rsidR="004B683D">
              <w:rPr>
                <w:rFonts w:ascii="Arial" w:hAnsi="Arial" w:cs="Arial"/>
                <w:sz w:val="20"/>
              </w:rPr>
              <w:br/>
            </w:r>
            <w:r w:rsidR="004B683D">
              <w:rPr>
                <w:rFonts w:ascii="Arial" w:hAnsi="Arial" w:cs="Arial"/>
                <w:sz w:val="20"/>
              </w:rPr>
              <w:br/>
            </w:r>
            <w:r w:rsidR="004B683D">
              <w:rPr>
                <w:rFonts w:ascii="Arial" w:hAnsi="Arial" w:cs="Arial"/>
                <w:sz w:val="20"/>
              </w:rPr>
              <w:br/>
            </w:r>
            <w:r w:rsidR="0093565F">
              <w:rPr>
                <w:rFonts w:ascii="Arial" w:hAnsi="Arial" w:cs="Arial"/>
                <w:sz w:val="20"/>
              </w:rPr>
              <w:t xml:space="preserve">Table 3.2 </w:t>
            </w:r>
            <w:r w:rsidR="001A384C">
              <w:rPr>
                <w:rFonts w:ascii="Arial" w:hAnsi="Arial" w:cs="Arial"/>
                <w:sz w:val="20"/>
              </w:rPr>
              <w:t>p</w:t>
            </w:r>
            <w:r w:rsidR="0093565F">
              <w:rPr>
                <w:rFonts w:ascii="Arial" w:hAnsi="Arial" w:cs="Arial"/>
                <w:sz w:val="20"/>
              </w:rPr>
              <w:t>. </w:t>
            </w:r>
            <w:r w:rsidR="004E333E">
              <w:rPr>
                <w:rFonts w:ascii="Arial" w:hAnsi="Arial" w:cs="Arial"/>
                <w:sz w:val="20"/>
              </w:rPr>
              <w:t>110</w:t>
            </w:r>
            <w:r w:rsidR="004B683D">
              <w:rPr>
                <w:rFonts w:ascii="Arial" w:hAnsi="Arial" w:cs="Arial"/>
                <w:sz w:val="20"/>
              </w:rPr>
              <w:br/>
            </w:r>
          </w:p>
          <w:p w:rsidR="00BF1446" w:rsidRDefault="001A384C" w:rsidP="00BF1446">
            <w:pPr>
              <w:pStyle w:val="BodyText"/>
              <w:spacing w:before="100" w:line="260" w:lineRule="atLeast"/>
              <w:jc w:val="left"/>
              <w:rPr>
                <w:rFonts w:ascii="Arial" w:hAnsi="Arial" w:cs="Arial"/>
                <w:sz w:val="20"/>
              </w:rPr>
            </w:pPr>
            <w:r>
              <w:rPr>
                <w:rFonts w:ascii="Arial" w:hAnsi="Arial" w:cs="Arial"/>
                <w:sz w:val="20"/>
              </w:rPr>
              <w:t>p</w:t>
            </w:r>
            <w:r w:rsidR="004E333E">
              <w:rPr>
                <w:rFonts w:ascii="Arial" w:hAnsi="Arial" w:cs="Arial"/>
                <w:sz w:val="20"/>
              </w:rPr>
              <w:t>. 111</w:t>
            </w:r>
            <w:r>
              <w:rPr>
                <w:rFonts w:ascii="Arial" w:hAnsi="Arial" w:cs="Arial"/>
                <w:sz w:val="20"/>
              </w:rPr>
              <w:t>; box</w:t>
            </w:r>
            <w:r w:rsidR="00BF1446">
              <w:rPr>
                <w:rFonts w:ascii="Arial" w:hAnsi="Arial" w:cs="Arial"/>
                <w:sz w:val="20"/>
              </w:rPr>
              <w:t> </w:t>
            </w:r>
            <w:r>
              <w:rPr>
                <w:rFonts w:ascii="Arial" w:hAnsi="Arial" w:cs="Arial"/>
                <w:sz w:val="20"/>
              </w:rPr>
              <w:t>3.6 (p.</w:t>
            </w:r>
            <w:r w:rsidR="00BF1446">
              <w:rPr>
                <w:rFonts w:ascii="Arial" w:hAnsi="Arial" w:cs="Arial"/>
                <w:sz w:val="20"/>
              </w:rPr>
              <w:t> </w:t>
            </w:r>
            <w:r w:rsidR="004E333E">
              <w:rPr>
                <w:rFonts w:ascii="Arial" w:hAnsi="Arial" w:cs="Arial"/>
                <w:sz w:val="20"/>
              </w:rPr>
              <w:t>113</w:t>
            </w:r>
            <w:r>
              <w:rPr>
                <w:rFonts w:ascii="Arial" w:hAnsi="Arial" w:cs="Arial"/>
                <w:sz w:val="20"/>
              </w:rPr>
              <w:t>)</w:t>
            </w:r>
            <w:r w:rsidR="00D7798D">
              <w:rPr>
                <w:rFonts w:ascii="Arial" w:hAnsi="Arial" w:cs="Arial"/>
                <w:sz w:val="20"/>
              </w:rPr>
              <w:br/>
            </w:r>
            <w:r w:rsidR="004B683D">
              <w:rPr>
                <w:rFonts w:ascii="Arial" w:hAnsi="Arial" w:cs="Arial"/>
                <w:sz w:val="20"/>
              </w:rPr>
              <w:br/>
            </w:r>
            <w:r w:rsidR="00BF1446">
              <w:rPr>
                <w:rFonts w:ascii="Arial" w:hAnsi="Arial" w:cs="Arial"/>
                <w:sz w:val="20"/>
              </w:rPr>
              <w:t>pp. 114</w:t>
            </w:r>
            <w:r w:rsidR="00BF1446">
              <w:rPr>
                <w:rFonts w:ascii="Arial" w:hAnsi="Arial" w:cs="Arial"/>
                <w:sz w:val="20"/>
              </w:rPr>
              <w:noBreakHyphen/>
              <w:t>120</w:t>
            </w:r>
            <w:r w:rsidR="00BF1446">
              <w:rPr>
                <w:rFonts w:ascii="Arial" w:hAnsi="Arial" w:cs="Arial"/>
                <w:sz w:val="20"/>
              </w:rPr>
              <w:br/>
            </w:r>
          </w:p>
          <w:p w:rsidR="00BF1446" w:rsidRDefault="002A1CF9" w:rsidP="00BF1446">
            <w:pPr>
              <w:pStyle w:val="BodyText"/>
              <w:spacing w:before="80" w:line="260" w:lineRule="atLeast"/>
              <w:jc w:val="left"/>
              <w:rPr>
                <w:rFonts w:ascii="Arial" w:hAnsi="Arial" w:cs="Arial"/>
                <w:sz w:val="20"/>
              </w:rPr>
            </w:pPr>
            <w:r>
              <w:rPr>
                <w:rFonts w:ascii="Arial" w:hAnsi="Arial" w:cs="Arial"/>
                <w:sz w:val="20"/>
              </w:rPr>
              <w:t>pp. 119</w:t>
            </w:r>
            <w:r>
              <w:rPr>
                <w:rFonts w:ascii="Arial" w:hAnsi="Arial" w:cs="Arial"/>
                <w:sz w:val="20"/>
              </w:rPr>
              <w:noBreakHyphen/>
              <w:t>120</w:t>
            </w:r>
            <w:r w:rsidR="00D7798D">
              <w:rPr>
                <w:rFonts w:ascii="Arial" w:hAnsi="Arial" w:cs="Arial"/>
                <w:sz w:val="20"/>
              </w:rPr>
              <w:br/>
            </w:r>
            <w:r w:rsidR="00D7798D">
              <w:rPr>
                <w:rFonts w:ascii="Arial" w:hAnsi="Arial" w:cs="Arial"/>
                <w:sz w:val="20"/>
              </w:rPr>
              <w:br/>
            </w:r>
            <w:r w:rsidR="00D7798D">
              <w:rPr>
                <w:rFonts w:ascii="Arial" w:hAnsi="Arial" w:cs="Arial"/>
                <w:sz w:val="20"/>
              </w:rPr>
              <w:br/>
            </w:r>
            <w:r w:rsidR="00D7798D">
              <w:rPr>
                <w:rFonts w:ascii="Arial" w:hAnsi="Arial" w:cs="Arial"/>
                <w:sz w:val="20"/>
              </w:rPr>
              <w:br/>
            </w:r>
            <w:r w:rsidR="00D7798D">
              <w:rPr>
                <w:rFonts w:ascii="Arial" w:hAnsi="Arial" w:cs="Arial"/>
                <w:sz w:val="20"/>
              </w:rPr>
              <w:br/>
            </w:r>
            <w:r w:rsidR="00F22E2E">
              <w:rPr>
                <w:rFonts w:ascii="Arial" w:hAnsi="Arial" w:cs="Arial"/>
                <w:sz w:val="20"/>
              </w:rPr>
              <w:t>pp. 122</w:t>
            </w:r>
            <w:r w:rsidR="00F22E2E">
              <w:rPr>
                <w:rFonts w:ascii="Arial" w:hAnsi="Arial" w:cs="Arial"/>
                <w:sz w:val="20"/>
              </w:rPr>
              <w:noBreakHyphen/>
              <w:t>127</w:t>
            </w:r>
            <w:r w:rsidR="00D7798D">
              <w:rPr>
                <w:rFonts w:ascii="Arial" w:hAnsi="Arial" w:cs="Arial"/>
                <w:sz w:val="20"/>
              </w:rPr>
              <w:br/>
            </w:r>
            <w:r w:rsidR="00BF1446">
              <w:rPr>
                <w:rFonts w:ascii="Arial" w:hAnsi="Arial" w:cs="Arial"/>
                <w:sz w:val="20"/>
              </w:rPr>
              <w:br/>
            </w:r>
            <w:r w:rsidR="00BF1446">
              <w:rPr>
                <w:rFonts w:ascii="Arial" w:hAnsi="Arial" w:cs="Arial"/>
                <w:sz w:val="20"/>
              </w:rPr>
              <w:br/>
            </w:r>
            <w:r w:rsidR="00BF1446">
              <w:rPr>
                <w:rFonts w:ascii="Arial" w:hAnsi="Arial" w:cs="Arial"/>
                <w:sz w:val="20"/>
              </w:rPr>
              <w:br/>
            </w:r>
          </w:p>
          <w:p w:rsidR="00BF1446" w:rsidRDefault="002A1CF9" w:rsidP="00BF1446">
            <w:pPr>
              <w:pStyle w:val="BodyText"/>
              <w:spacing w:before="80" w:line="260" w:lineRule="atLeast"/>
              <w:jc w:val="left"/>
              <w:rPr>
                <w:rFonts w:ascii="Arial" w:hAnsi="Arial" w:cs="Arial"/>
                <w:sz w:val="20"/>
              </w:rPr>
            </w:pPr>
            <w:r>
              <w:rPr>
                <w:rFonts w:ascii="Arial" w:hAnsi="Arial" w:cs="Arial"/>
                <w:sz w:val="20"/>
              </w:rPr>
              <w:t>Figure 3.2 (p. 121); pp. 124, 127</w:t>
            </w:r>
            <w:r w:rsidR="004B683D">
              <w:rPr>
                <w:rFonts w:ascii="Arial" w:hAnsi="Arial" w:cs="Arial"/>
                <w:sz w:val="20"/>
              </w:rPr>
              <w:br/>
            </w:r>
            <w:r w:rsidR="004B683D">
              <w:rPr>
                <w:rFonts w:ascii="Arial" w:hAnsi="Arial" w:cs="Arial"/>
                <w:sz w:val="20"/>
              </w:rPr>
              <w:br/>
            </w:r>
            <w:r w:rsidR="004B683D">
              <w:rPr>
                <w:rFonts w:ascii="Arial" w:hAnsi="Arial" w:cs="Arial"/>
                <w:sz w:val="20"/>
              </w:rPr>
              <w:br/>
            </w:r>
            <w:r w:rsidR="004B683D">
              <w:rPr>
                <w:rFonts w:ascii="Arial" w:hAnsi="Arial" w:cs="Arial"/>
                <w:sz w:val="20"/>
              </w:rPr>
              <w:br/>
            </w:r>
            <w:r w:rsidR="004B683D">
              <w:rPr>
                <w:rFonts w:ascii="Arial" w:hAnsi="Arial" w:cs="Arial"/>
                <w:sz w:val="20"/>
              </w:rPr>
              <w:br/>
            </w:r>
          </w:p>
          <w:p w:rsidR="002A1CF9" w:rsidRPr="00BF1446" w:rsidRDefault="002A1CF9" w:rsidP="00BF1446">
            <w:pPr>
              <w:pStyle w:val="BodyText"/>
              <w:spacing w:before="80" w:line="260" w:lineRule="atLeast"/>
              <w:jc w:val="left"/>
              <w:rPr>
                <w:rFonts w:ascii="Arial" w:hAnsi="Arial" w:cs="Arial"/>
                <w:sz w:val="20"/>
              </w:rPr>
            </w:pPr>
            <w:r>
              <w:rPr>
                <w:rFonts w:ascii="Arial" w:hAnsi="Arial" w:cs="Arial"/>
                <w:sz w:val="20"/>
              </w:rPr>
              <w:t>p. 126</w:t>
            </w:r>
          </w:p>
        </w:tc>
      </w:tr>
      <w:tr w:rsidR="00D7798D" w:rsidTr="00E810E4">
        <w:tc>
          <w:tcPr>
            <w:tcW w:w="4066" w:type="pct"/>
            <w:tcBorders>
              <w:top w:val="nil"/>
              <w:left w:val="nil"/>
              <w:bottom w:val="single" w:sz="12" w:space="0" w:color="78A22F"/>
              <w:right w:val="nil"/>
            </w:tcBorders>
            <w:shd w:val="clear" w:color="auto" w:fill="F2F2F2"/>
          </w:tcPr>
          <w:p w:rsidR="00D7798D" w:rsidRDefault="00D7798D" w:rsidP="00A833A5">
            <w:pPr>
              <w:pStyle w:val="Box"/>
              <w:spacing w:before="0" w:line="120" w:lineRule="exact"/>
            </w:pPr>
          </w:p>
        </w:tc>
        <w:tc>
          <w:tcPr>
            <w:tcW w:w="165" w:type="pct"/>
            <w:tcBorders>
              <w:top w:val="nil"/>
              <w:left w:val="nil"/>
              <w:bottom w:val="single" w:sz="12" w:space="0" w:color="78A22F"/>
              <w:right w:val="nil"/>
            </w:tcBorders>
            <w:shd w:val="clear" w:color="auto" w:fill="FFFFFF" w:themeFill="background1"/>
          </w:tcPr>
          <w:p w:rsidR="00D7798D" w:rsidRDefault="00D7798D" w:rsidP="00A833A5">
            <w:pPr>
              <w:pStyle w:val="Box"/>
              <w:spacing w:before="0" w:line="120" w:lineRule="exact"/>
            </w:pPr>
          </w:p>
        </w:tc>
        <w:tc>
          <w:tcPr>
            <w:tcW w:w="769" w:type="pct"/>
            <w:tcBorders>
              <w:top w:val="nil"/>
              <w:left w:val="nil"/>
              <w:bottom w:val="single" w:sz="12" w:space="0" w:color="78A22F"/>
              <w:right w:val="nil"/>
            </w:tcBorders>
            <w:shd w:val="clear" w:color="auto" w:fill="F2F2F2"/>
          </w:tcPr>
          <w:p w:rsidR="00D7798D" w:rsidRDefault="00D7798D" w:rsidP="00A833A5">
            <w:pPr>
              <w:pStyle w:val="Box"/>
              <w:spacing w:before="0" w:line="120" w:lineRule="exact"/>
              <w:jc w:val="left"/>
            </w:pPr>
          </w:p>
        </w:tc>
      </w:tr>
      <w:tr w:rsidR="00E853E7" w:rsidRPr="00E810E4" w:rsidTr="00E810E4">
        <w:tc>
          <w:tcPr>
            <w:tcW w:w="4065" w:type="pct"/>
            <w:tcBorders>
              <w:top w:val="single" w:sz="12" w:space="0" w:color="78A22F"/>
              <w:left w:val="nil"/>
              <w:bottom w:val="nil"/>
              <w:right w:val="nil"/>
            </w:tcBorders>
            <w:shd w:val="clear" w:color="auto" w:fill="F2F2F2"/>
          </w:tcPr>
          <w:p w:rsidR="00E853E7" w:rsidRPr="00E810E4" w:rsidRDefault="00E853E7" w:rsidP="00E810E4">
            <w:pPr>
              <w:pStyle w:val="BoxTitle"/>
              <w:rPr>
                <w:rFonts w:ascii="Arial Bold" w:hAnsi="Arial Bold"/>
                <w:spacing w:val="-2"/>
              </w:rPr>
            </w:pPr>
            <w:r w:rsidRPr="00E810E4">
              <w:rPr>
                <w:rFonts w:ascii="Arial Bold" w:hAnsi="Arial Bold"/>
                <w:spacing w:val="-2"/>
              </w:rPr>
              <w:t xml:space="preserve">Chapter </w:t>
            </w:r>
            <w:r w:rsidR="00E810E4" w:rsidRPr="00E810E4">
              <w:rPr>
                <w:rFonts w:ascii="Arial Bold" w:hAnsi="Arial Bold"/>
                <w:spacing w:val="-2"/>
              </w:rPr>
              <w:t>4</w:t>
            </w:r>
            <w:r w:rsidRPr="00E810E4">
              <w:rPr>
                <w:rFonts w:ascii="Arial Bold" w:hAnsi="Arial Bold"/>
                <w:spacing w:val="-2"/>
              </w:rPr>
              <w:t xml:space="preserve">: </w:t>
            </w:r>
            <w:r w:rsidR="00E810E4" w:rsidRPr="00E810E4">
              <w:rPr>
                <w:rFonts w:ascii="Arial Bold" w:hAnsi="Arial Bold"/>
                <w:spacing w:val="-2"/>
              </w:rPr>
              <w:t>How does HFE affect State budget management?</w:t>
            </w:r>
          </w:p>
        </w:tc>
        <w:tc>
          <w:tcPr>
            <w:tcW w:w="165" w:type="pct"/>
            <w:tcBorders>
              <w:top w:val="single" w:sz="12" w:space="0" w:color="78A22F"/>
              <w:left w:val="nil"/>
              <w:bottom w:val="nil"/>
              <w:right w:val="nil"/>
            </w:tcBorders>
            <w:shd w:val="clear" w:color="auto" w:fill="FFFFFF" w:themeFill="background1"/>
          </w:tcPr>
          <w:p w:rsidR="00E853E7" w:rsidRPr="00E810E4" w:rsidRDefault="00E853E7" w:rsidP="00E853E7">
            <w:pPr>
              <w:pStyle w:val="BoxTitle"/>
              <w:rPr>
                <w:rFonts w:ascii="Arial Bold" w:hAnsi="Arial Bold"/>
                <w:spacing w:val="-2"/>
              </w:rPr>
            </w:pPr>
          </w:p>
        </w:tc>
        <w:tc>
          <w:tcPr>
            <w:tcW w:w="769" w:type="pct"/>
            <w:tcBorders>
              <w:top w:val="single" w:sz="12" w:space="0" w:color="78A22F"/>
              <w:left w:val="nil"/>
              <w:bottom w:val="nil"/>
              <w:right w:val="nil"/>
            </w:tcBorders>
            <w:shd w:val="clear" w:color="auto" w:fill="F2F2F2"/>
          </w:tcPr>
          <w:p w:rsidR="00E853E7" w:rsidRPr="00E810E4" w:rsidRDefault="00E853E7" w:rsidP="0064694C">
            <w:pPr>
              <w:pStyle w:val="BoxTitle"/>
              <w:rPr>
                <w:rFonts w:ascii="Arial Bold" w:hAnsi="Arial Bold"/>
                <w:spacing w:val="-2"/>
              </w:rPr>
            </w:pPr>
            <w:r w:rsidRPr="00E810E4">
              <w:rPr>
                <w:rFonts w:ascii="Arial Bold" w:hAnsi="Arial Bold"/>
                <w:spacing w:val="-2"/>
              </w:rPr>
              <w:t>For more</w:t>
            </w:r>
          </w:p>
        </w:tc>
      </w:tr>
      <w:tr w:rsidR="00841E2B" w:rsidRPr="00841E2B" w:rsidTr="00E810E4">
        <w:tc>
          <w:tcPr>
            <w:tcW w:w="4065" w:type="pct"/>
            <w:tcBorders>
              <w:top w:val="nil"/>
              <w:left w:val="nil"/>
              <w:bottom w:val="nil"/>
              <w:right w:val="nil"/>
            </w:tcBorders>
            <w:shd w:val="clear" w:color="auto" w:fill="F2F2F2"/>
          </w:tcPr>
          <w:p w:rsidR="00E810E4" w:rsidRPr="00B06FBF" w:rsidRDefault="00E810E4" w:rsidP="005C6086">
            <w:pPr>
              <w:pStyle w:val="KeyPointsListBullet"/>
              <w:spacing w:line="230" w:lineRule="exact"/>
              <w:ind w:left="284" w:hanging="284"/>
              <w:rPr>
                <w:spacing w:val="-2"/>
              </w:rPr>
            </w:pPr>
            <w:r w:rsidRPr="00B06FBF">
              <w:rPr>
                <w:spacing w:val="-2"/>
              </w:rPr>
              <w:t xml:space="preserve">Australia’s HFE system provides </w:t>
            </w:r>
            <w:r>
              <w:rPr>
                <w:spacing w:val="-2"/>
              </w:rPr>
              <w:t xml:space="preserve">most </w:t>
            </w:r>
            <w:r w:rsidRPr="00B06FBF">
              <w:rPr>
                <w:spacing w:val="-2"/>
              </w:rPr>
              <w:t xml:space="preserve">State </w:t>
            </w:r>
            <w:r>
              <w:rPr>
                <w:spacing w:val="-2"/>
              </w:rPr>
              <w:t>G</w:t>
            </w:r>
            <w:r w:rsidRPr="00B06FBF">
              <w:rPr>
                <w:spacing w:val="-2"/>
              </w:rPr>
              <w:t xml:space="preserve">overnments with a substantial share of their overall revenue, and its implementation can impact State budget management. </w:t>
            </w:r>
          </w:p>
          <w:p w:rsidR="00E810E4" w:rsidRPr="00B06FBF" w:rsidRDefault="00E810E4" w:rsidP="005C6086">
            <w:pPr>
              <w:pStyle w:val="KeyPointsListBullet"/>
              <w:spacing w:line="230" w:lineRule="exact"/>
              <w:ind w:left="284" w:hanging="284"/>
              <w:rPr>
                <w:spacing w:val="-2"/>
              </w:rPr>
            </w:pPr>
            <w:r w:rsidRPr="00B06FBF">
              <w:rPr>
                <w:spacing w:val="-2"/>
              </w:rPr>
              <w:t>The lack of contemporaneity of Australia’s HFE system has mixed impacts on State budget management, but changes do not offer unequivocal improvements</w:t>
            </w:r>
            <w:r>
              <w:rPr>
                <w:spacing w:val="-2"/>
              </w:rPr>
              <w:t>.</w:t>
            </w:r>
            <w:r w:rsidRPr="00B06FBF">
              <w:rPr>
                <w:spacing w:val="-2"/>
              </w:rPr>
              <w:t xml:space="preserve"> </w:t>
            </w:r>
          </w:p>
          <w:p w:rsidR="00E810E4" w:rsidRPr="00B06FBF" w:rsidRDefault="00E810E4" w:rsidP="005C6086">
            <w:pPr>
              <w:pStyle w:val="KeyPointsListBullet2"/>
              <w:spacing w:line="230" w:lineRule="exact"/>
              <w:rPr>
                <w:spacing w:val="-2"/>
              </w:rPr>
            </w:pPr>
            <w:r w:rsidRPr="00B06FBF">
              <w:rPr>
                <w:spacing w:val="-2"/>
              </w:rPr>
              <w:t>The three</w:t>
            </w:r>
            <w:r w:rsidRPr="00B06FBF">
              <w:rPr>
                <w:spacing w:val="-2"/>
              </w:rPr>
              <w:noBreakHyphen/>
              <w:t>year assessment period and two</w:t>
            </w:r>
            <w:r w:rsidRPr="00B06FBF">
              <w:rPr>
                <w:spacing w:val="-2"/>
              </w:rPr>
              <w:noBreakHyphen/>
              <w:t xml:space="preserve">year </w:t>
            </w:r>
            <w:r>
              <w:rPr>
                <w:spacing w:val="-2"/>
              </w:rPr>
              <w:t>data</w:t>
            </w:r>
            <w:r w:rsidRPr="00B06FBF">
              <w:rPr>
                <w:spacing w:val="-2"/>
              </w:rPr>
              <w:t xml:space="preserve"> lag limit the responsiveness of GST payments to changes in States’ budget positions. This can exacerbate the fiscal impact of economic cycles when States experience large, localised economic shocks. This appears to have been the case with Western Australia through the mining investment and construction boom, which is still influencing its GST payments.</w:t>
            </w:r>
          </w:p>
          <w:p w:rsidR="00E810E4" w:rsidRPr="00B06FBF" w:rsidRDefault="00E810E4" w:rsidP="005C6086">
            <w:pPr>
              <w:pStyle w:val="KeyPointsListBullet2"/>
              <w:spacing w:line="230" w:lineRule="exact"/>
              <w:rPr>
                <w:spacing w:val="-2"/>
              </w:rPr>
            </w:pPr>
            <w:r w:rsidRPr="00B06FBF">
              <w:rPr>
                <w:spacing w:val="-2"/>
              </w:rPr>
              <w:t xml:space="preserve">These impacts can generally be accommodated by sound budget management processes, and do not represent a case for </w:t>
            </w:r>
            <w:r>
              <w:rPr>
                <w:spacing w:val="-2"/>
              </w:rPr>
              <w:t xml:space="preserve">significant </w:t>
            </w:r>
            <w:r w:rsidRPr="00B06FBF">
              <w:rPr>
                <w:spacing w:val="-2"/>
              </w:rPr>
              <w:t>change</w:t>
            </w:r>
            <w:r>
              <w:rPr>
                <w:spacing w:val="-2"/>
              </w:rPr>
              <w:t>.</w:t>
            </w:r>
          </w:p>
          <w:p w:rsidR="00E810E4" w:rsidRPr="00B06FBF" w:rsidRDefault="00E810E4" w:rsidP="005C6086">
            <w:pPr>
              <w:pStyle w:val="KeyPointsListBullet2"/>
              <w:spacing w:line="230" w:lineRule="exact"/>
              <w:rPr>
                <w:spacing w:val="-2"/>
              </w:rPr>
            </w:pPr>
            <w:r w:rsidRPr="00B06FBF">
              <w:rPr>
                <w:spacing w:val="-2"/>
              </w:rPr>
              <w:t>Introducing a shorter assessment period would not offer unequivocal improvements, as there is a trade</w:t>
            </w:r>
            <w:r>
              <w:rPr>
                <w:spacing w:val="-2"/>
              </w:rPr>
              <w:noBreakHyphen/>
            </w:r>
            <w:r w:rsidRPr="00B06FBF">
              <w:rPr>
                <w:spacing w:val="-2"/>
              </w:rPr>
              <w:t xml:space="preserve">off between contemporaneity and smoother, more predictable GST payments. </w:t>
            </w:r>
            <w:r>
              <w:rPr>
                <w:spacing w:val="-2"/>
              </w:rPr>
              <w:t>Further, the</w:t>
            </w:r>
            <w:r w:rsidRPr="00B06FBF">
              <w:rPr>
                <w:spacing w:val="-2"/>
              </w:rPr>
              <w:t xml:space="preserve"> stability of overall revenues is more important for State budget management than GST </w:t>
            </w:r>
            <w:r>
              <w:rPr>
                <w:spacing w:val="-2"/>
              </w:rPr>
              <w:t>payments</w:t>
            </w:r>
            <w:r w:rsidRPr="00B06FBF">
              <w:rPr>
                <w:spacing w:val="-2"/>
              </w:rPr>
              <w:t xml:space="preserve"> alone.</w:t>
            </w:r>
          </w:p>
          <w:p w:rsidR="00E810E4" w:rsidRPr="00B06FBF" w:rsidRDefault="00E810E4" w:rsidP="005C6086">
            <w:pPr>
              <w:pStyle w:val="KeyPointsListBullet2"/>
              <w:spacing w:line="230" w:lineRule="exact"/>
              <w:rPr>
                <w:spacing w:val="-2"/>
              </w:rPr>
            </w:pPr>
            <w:r w:rsidRPr="00B06FBF">
              <w:rPr>
                <w:spacing w:val="-2"/>
              </w:rPr>
              <w:t>Reducing the data availability lag would require the use of forecasts, which would introduce additional complexity, volatility and the potential for unintended consequences.</w:t>
            </w:r>
          </w:p>
          <w:p w:rsidR="00E810E4" w:rsidRPr="00B06FBF" w:rsidRDefault="00E810E4" w:rsidP="005C6086">
            <w:pPr>
              <w:pStyle w:val="KeyPointsListBullet"/>
              <w:spacing w:line="230" w:lineRule="exact"/>
              <w:ind w:left="284" w:hanging="284"/>
              <w:rPr>
                <w:spacing w:val="-2"/>
              </w:rPr>
            </w:pPr>
            <w:r w:rsidRPr="00B06FBF">
              <w:rPr>
                <w:spacing w:val="-2"/>
              </w:rPr>
              <w:t>The three</w:t>
            </w:r>
            <w:r w:rsidRPr="00B06FBF">
              <w:rPr>
                <w:spacing w:val="-2"/>
              </w:rPr>
              <w:noBreakHyphen/>
              <w:t xml:space="preserve">year assessment period reduces the volatility of GST payments. Compared with other sources of State </w:t>
            </w:r>
            <w:r>
              <w:rPr>
                <w:spacing w:val="-2"/>
              </w:rPr>
              <w:t>G</w:t>
            </w:r>
            <w:r w:rsidRPr="00B06FBF">
              <w:rPr>
                <w:spacing w:val="-2"/>
              </w:rPr>
              <w:t>overnment revenue, GST payments are relatively stable. Despite this, States have experienced mixed results in budget forecasting.</w:t>
            </w:r>
          </w:p>
          <w:p w:rsidR="00E810E4" w:rsidRPr="00B06FBF" w:rsidRDefault="00E810E4" w:rsidP="005C6086">
            <w:pPr>
              <w:pStyle w:val="KeyPointsListBullet"/>
              <w:spacing w:line="230" w:lineRule="exact"/>
              <w:ind w:left="284" w:hanging="284"/>
              <w:rPr>
                <w:spacing w:val="-2"/>
              </w:rPr>
            </w:pPr>
            <w:r w:rsidRPr="00B06FBF">
              <w:rPr>
                <w:spacing w:val="-2"/>
              </w:rPr>
              <w:t xml:space="preserve">GST payments have not been the steady, growing source of revenue for States that was first envisaged. However, this is largely a product of </w:t>
            </w:r>
            <w:r>
              <w:rPr>
                <w:spacing w:val="-2"/>
              </w:rPr>
              <w:t>a rising share</w:t>
            </w:r>
            <w:r w:rsidRPr="00B06FBF">
              <w:rPr>
                <w:spacing w:val="-2"/>
              </w:rPr>
              <w:t xml:space="preserve"> of consumption on education and health services —</w:t>
            </w:r>
            <w:r>
              <w:rPr>
                <w:spacing w:val="-2"/>
              </w:rPr>
              <w:t xml:space="preserve"> </w:t>
            </w:r>
            <w:r w:rsidRPr="00B06FBF">
              <w:rPr>
                <w:spacing w:val="-2"/>
              </w:rPr>
              <w:t xml:space="preserve">which are exempt from the GST tax base — rather than a lack of contemporaneity in how HFE is enacted. </w:t>
            </w:r>
          </w:p>
          <w:p w:rsidR="00E810E4" w:rsidRPr="007075F5" w:rsidRDefault="00E810E4" w:rsidP="005C6086">
            <w:pPr>
              <w:pStyle w:val="KeyPointsListBullet"/>
              <w:spacing w:line="230" w:lineRule="exact"/>
              <w:ind w:left="284" w:hanging="284"/>
            </w:pPr>
            <w:r w:rsidRPr="00302D36">
              <w:rPr>
                <w:spacing w:val="-2"/>
              </w:rPr>
              <w:t xml:space="preserve">Although Western Australia currently receives less GST than it would under fully contemporaneous equalisation, it </w:t>
            </w:r>
            <w:r>
              <w:rPr>
                <w:spacing w:val="-2"/>
              </w:rPr>
              <w:t xml:space="preserve">benefited from the lack of contemporaneity </w:t>
            </w:r>
            <w:r w:rsidRPr="00302D36">
              <w:rPr>
                <w:spacing w:val="-2"/>
              </w:rPr>
              <w:t>(</w:t>
            </w:r>
            <w:r>
              <w:rPr>
                <w:spacing w:val="-2"/>
              </w:rPr>
              <w:t>by about</w:t>
            </w:r>
            <w:r w:rsidRPr="00302D36">
              <w:rPr>
                <w:spacing w:val="-2"/>
              </w:rPr>
              <w:t xml:space="preserve"> $7 billion) </w:t>
            </w:r>
            <w:r w:rsidRPr="00B60ED5" w:rsidDel="00B03BB3">
              <w:t>b</w:t>
            </w:r>
            <w:r w:rsidRPr="00B60ED5">
              <w:t>efore the construction phase of the mining boom came to an end</w:t>
            </w:r>
            <w:r>
              <w:t xml:space="preserve"> and while iron</w:t>
            </w:r>
            <w:r w:rsidRPr="00302D36">
              <w:rPr>
                <w:spacing w:val="-2"/>
              </w:rPr>
              <w:t xml:space="preserve"> ore royalties were increasing </w:t>
            </w:r>
            <w:r>
              <w:rPr>
                <w:spacing w:val="-2"/>
              </w:rPr>
              <w:t>(</w:t>
            </w:r>
            <w:r w:rsidRPr="00302D36">
              <w:rPr>
                <w:spacing w:val="-2"/>
              </w:rPr>
              <w:t>between 2010</w:t>
            </w:r>
            <w:r>
              <w:rPr>
                <w:spacing w:val="-2"/>
              </w:rPr>
              <w:noBreakHyphen/>
              <w:t>11 and 2015</w:t>
            </w:r>
            <w:r>
              <w:rPr>
                <w:spacing w:val="-2"/>
              </w:rPr>
              <w:noBreakHyphen/>
            </w:r>
            <w:r w:rsidRPr="00302D36">
              <w:rPr>
                <w:spacing w:val="-2"/>
              </w:rPr>
              <w:t>16</w:t>
            </w:r>
            <w:r>
              <w:rPr>
                <w:spacing w:val="-2"/>
              </w:rPr>
              <w:t>)</w:t>
            </w:r>
            <w:r>
              <w:t>.</w:t>
            </w:r>
            <w:r w:rsidRPr="00B60ED5">
              <w:t xml:space="preserve"> </w:t>
            </w:r>
            <w:r>
              <w:t>Moreover, i</w:t>
            </w:r>
            <w:r w:rsidRPr="00B60ED5">
              <w:t>t is possible that this sum may never be completely ‘unwound’</w:t>
            </w:r>
            <w:r w:rsidRPr="00302D36">
              <w:rPr>
                <w:spacing w:val="-2"/>
              </w:rPr>
              <w:t>.</w:t>
            </w:r>
          </w:p>
          <w:p w:rsidR="00E810E4" w:rsidRPr="00302D36" w:rsidRDefault="00E810E4" w:rsidP="005C6086">
            <w:pPr>
              <w:pStyle w:val="KeyPointsListBullet"/>
              <w:spacing w:line="230" w:lineRule="exact"/>
              <w:ind w:left="284" w:hanging="284"/>
              <w:rPr>
                <w:spacing w:val="-2"/>
              </w:rPr>
            </w:pPr>
            <w:r w:rsidRPr="00302D36">
              <w:rPr>
                <w:spacing w:val="-2"/>
              </w:rPr>
              <w:t>Western Australia’s revenue</w:t>
            </w:r>
            <w:r>
              <w:rPr>
                <w:spacing w:val="-2"/>
              </w:rPr>
              <w:noBreakHyphen/>
            </w:r>
            <w:r w:rsidRPr="00302D36">
              <w:rPr>
                <w:spacing w:val="-2"/>
              </w:rPr>
              <w:t>raising capacity remains structurally higher than it was before the mining construction boom</w:t>
            </w:r>
            <w:r>
              <w:rPr>
                <w:spacing w:val="-2"/>
              </w:rPr>
              <w:t xml:space="preserve"> </w:t>
            </w:r>
            <w:r w:rsidRPr="00302D36">
              <w:rPr>
                <w:spacing w:val="-2"/>
              </w:rPr>
              <w:t xml:space="preserve">and </w:t>
            </w:r>
            <w:r>
              <w:rPr>
                <w:spacing w:val="-2"/>
              </w:rPr>
              <w:t>the highest of all the</w:t>
            </w:r>
            <w:r w:rsidRPr="00302D36">
              <w:rPr>
                <w:spacing w:val="-2"/>
              </w:rPr>
              <w:t xml:space="preserve"> States</w:t>
            </w:r>
            <w:r>
              <w:rPr>
                <w:spacing w:val="-2"/>
              </w:rPr>
              <w:t>. Its</w:t>
            </w:r>
            <w:r w:rsidRPr="00302D36">
              <w:rPr>
                <w:spacing w:val="-2"/>
              </w:rPr>
              <w:t xml:space="preserve"> </w:t>
            </w:r>
            <w:r w:rsidRPr="005C2F2F">
              <w:rPr>
                <w:spacing w:val="-2"/>
              </w:rPr>
              <w:t>current (</w:t>
            </w:r>
            <w:r w:rsidRPr="00302D36">
              <w:rPr>
                <w:spacing w:val="-2"/>
              </w:rPr>
              <w:t>low</w:t>
            </w:r>
            <w:r w:rsidRPr="005C2F2F">
              <w:rPr>
                <w:spacing w:val="-2"/>
              </w:rPr>
              <w:t>)</w:t>
            </w:r>
            <w:r w:rsidRPr="00302D36">
              <w:rPr>
                <w:spacing w:val="-2"/>
              </w:rPr>
              <w:t xml:space="preserve"> GST payments are </w:t>
            </w:r>
            <w:r>
              <w:rPr>
                <w:spacing w:val="-2"/>
              </w:rPr>
              <w:t xml:space="preserve">chiefly reflective of this relative </w:t>
            </w:r>
            <w:r w:rsidRPr="005C2F2F">
              <w:rPr>
                <w:spacing w:val="-2"/>
              </w:rPr>
              <w:t xml:space="preserve">fiscal </w:t>
            </w:r>
            <w:r>
              <w:rPr>
                <w:spacing w:val="-2"/>
              </w:rPr>
              <w:t>strength</w:t>
            </w:r>
            <w:r w:rsidRPr="00302D36">
              <w:rPr>
                <w:spacing w:val="-2"/>
              </w:rPr>
              <w:t>.</w:t>
            </w:r>
          </w:p>
          <w:p w:rsidR="00E853E7" w:rsidRPr="00841E2B" w:rsidRDefault="00E810E4" w:rsidP="005C6086">
            <w:pPr>
              <w:pStyle w:val="KeyPointsListBullet"/>
              <w:spacing w:line="230" w:lineRule="exact"/>
            </w:pPr>
            <w:r w:rsidRPr="00B06FBF">
              <w:rPr>
                <w:spacing w:val="-2"/>
              </w:rPr>
              <w:t xml:space="preserve">The current implementation of HFE blurs accountability for State budget outcomes, as it </w:t>
            </w:r>
            <w:r>
              <w:rPr>
                <w:spacing w:val="-2"/>
              </w:rPr>
              <w:t>seeks to address</w:t>
            </w:r>
            <w:r w:rsidRPr="00B06FBF">
              <w:rPr>
                <w:spacing w:val="-2"/>
              </w:rPr>
              <w:t xml:space="preserve"> both vertical and horizontal equalisation. This is exacerbated by overlaps in funding </w:t>
            </w:r>
            <w:r>
              <w:rPr>
                <w:spacing w:val="-2"/>
              </w:rPr>
              <w:t xml:space="preserve">and service delivery </w:t>
            </w:r>
            <w:r w:rsidRPr="00B06FBF">
              <w:rPr>
                <w:spacing w:val="-2"/>
              </w:rPr>
              <w:t xml:space="preserve">responsibilities between the Commonwealth and States. </w:t>
            </w:r>
            <w:r>
              <w:rPr>
                <w:spacing w:val="-2"/>
              </w:rPr>
              <w:t xml:space="preserve">The need for </w:t>
            </w:r>
            <w:r w:rsidRPr="00B06FBF">
              <w:rPr>
                <w:spacing w:val="-2"/>
              </w:rPr>
              <w:t>sustainable and accountable fiscal management by States</w:t>
            </w:r>
            <w:r>
              <w:rPr>
                <w:spacing w:val="-2"/>
              </w:rPr>
              <w:t xml:space="preserve"> is not negated by Australia’s current HFE arrangement.</w:t>
            </w:r>
          </w:p>
        </w:tc>
        <w:tc>
          <w:tcPr>
            <w:tcW w:w="165" w:type="pct"/>
            <w:tcBorders>
              <w:top w:val="nil"/>
              <w:left w:val="nil"/>
              <w:bottom w:val="nil"/>
              <w:right w:val="nil"/>
            </w:tcBorders>
            <w:shd w:val="clear" w:color="auto" w:fill="FFFFFF" w:themeFill="background1"/>
          </w:tcPr>
          <w:p w:rsidR="00E853E7" w:rsidRPr="00841E2B" w:rsidRDefault="00E853E7" w:rsidP="00A833A5">
            <w:pPr>
              <w:pStyle w:val="BoxListBullet"/>
              <w:numPr>
                <w:ilvl w:val="0"/>
                <w:numId w:val="0"/>
              </w:numPr>
              <w:ind w:left="284"/>
            </w:pPr>
          </w:p>
        </w:tc>
        <w:tc>
          <w:tcPr>
            <w:tcW w:w="769" w:type="pct"/>
            <w:tcBorders>
              <w:top w:val="nil"/>
              <w:left w:val="nil"/>
              <w:bottom w:val="nil"/>
              <w:right w:val="nil"/>
            </w:tcBorders>
            <w:shd w:val="clear" w:color="auto" w:fill="F2F2F2"/>
          </w:tcPr>
          <w:p w:rsidR="004B683D" w:rsidRDefault="00E810E4" w:rsidP="005C6086">
            <w:pPr>
              <w:pStyle w:val="BodyText"/>
              <w:spacing w:before="100" w:line="230" w:lineRule="exact"/>
              <w:jc w:val="left"/>
              <w:rPr>
                <w:rFonts w:ascii="Arial" w:hAnsi="Arial" w:cs="Arial"/>
                <w:sz w:val="20"/>
              </w:rPr>
            </w:pPr>
            <w:r>
              <w:rPr>
                <w:rFonts w:ascii="Arial" w:hAnsi="Arial" w:cs="Arial"/>
                <w:sz w:val="20"/>
              </w:rPr>
              <w:t>Figure</w:t>
            </w:r>
            <w:r w:rsidR="00BF1446">
              <w:rPr>
                <w:rFonts w:ascii="Arial" w:hAnsi="Arial" w:cs="Arial"/>
                <w:sz w:val="20"/>
              </w:rPr>
              <w:t> </w:t>
            </w:r>
            <w:r>
              <w:rPr>
                <w:rFonts w:ascii="Arial" w:hAnsi="Arial" w:cs="Arial"/>
                <w:sz w:val="20"/>
              </w:rPr>
              <w:t>4.1 (p. 133)</w:t>
            </w:r>
            <w:r w:rsidR="004E3FEF">
              <w:rPr>
                <w:rFonts w:ascii="Arial" w:hAnsi="Arial" w:cs="Arial"/>
                <w:sz w:val="20"/>
              </w:rPr>
              <w:br/>
            </w:r>
          </w:p>
          <w:p w:rsidR="005C6086" w:rsidRDefault="00E810E4" w:rsidP="005C6086">
            <w:pPr>
              <w:pStyle w:val="BodyText"/>
              <w:spacing w:before="100" w:line="230" w:lineRule="exact"/>
              <w:jc w:val="left"/>
              <w:rPr>
                <w:rFonts w:ascii="Arial" w:hAnsi="Arial" w:cs="Arial"/>
                <w:sz w:val="20"/>
              </w:rPr>
            </w:pPr>
            <w:r>
              <w:rPr>
                <w:rFonts w:ascii="Arial" w:hAnsi="Arial" w:cs="Arial"/>
                <w:sz w:val="20"/>
              </w:rPr>
              <w:t>pp. 132</w:t>
            </w:r>
            <w:r>
              <w:rPr>
                <w:rFonts w:ascii="Arial" w:hAnsi="Arial" w:cs="Arial"/>
                <w:sz w:val="20"/>
              </w:rPr>
              <w:noBreakHyphen/>
              <w:t>144</w:t>
            </w:r>
            <w:r w:rsidR="004E3FEF">
              <w:rPr>
                <w:rFonts w:ascii="Arial" w:hAnsi="Arial" w:cs="Arial"/>
                <w:sz w:val="20"/>
              </w:rPr>
              <w:br/>
            </w:r>
          </w:p>
          <w:p w:rsidR="005C6086" w:rsidRDefault="001E5184" w:rsidP="005C6086">
            <w:pPr>
              <w:pStyle w:val="BodyText"/>
              <w:spacing w:before="100" w:line="230" w:lineRule="exact"/>
              <w:jc w:val="left"/>
              <w:rPr>
                <w:rFonts w:ascii="Arial" w:hAnsi="Arial" w:cs="Arial"/>
                <w:sz w:val="20"/>
              </w:rPr>
            </w:pPr>
            <w:r>
              <w:rPr>
                <w:rFonts w:ascii="Arial" w:hAnsi="Arial" w:cs="Arial"/>
                <w:sz w:val="20"/>
              </w:rPr>
              <w:t>Figure</w:t>
            </w:r>
            <w:r w:rsidR="00BF1446">
              <w:rPr>
                <w:rFonts w:ascii="Arial" w:hAnsi="Arial" w:cs="Arial"/>
                <w:sz w:val="20"/>
              </w:rPr>
              <w:t> </w:t>
            </w:r>
            <w:r>
              <w:rPr>
                <w:rFonts w:ascii="Arial" w:hAnsi="Arial" w:cs="Arial"/>
                <w:sz w:val="20"/>
              </w:rPr>
              <w:t>4.2 (p. 136); box 4.2 (p. 139); pp. 134</w:t>
            </w:r>
            <w:r>
              <w:rPr>
                <w:rFonts w:ascii="Arial" w:hAnsi="Arial" w:cs="Arial"/>
                <w:sz w:val="20"/>
              </w:rPr>
              <w:noBreakHyphen/>
              <w:t>137</w:t>
            </w:r>
            <w:r w:rsidR="004E3FEF">
              <w:rPr>
                <w:rFonts w:ascii="Arial" w:hAnsi="Arial" w:cs="Arial"/>
                <w:sz w:val="20"/>
              </w:rPr>
              <w:br/>
            </w:r>
          </w:p>
          <w:p w:rsidR="005C6086" w:rsidRDefault="001E5184" w:rsidP="005C6086">
            <w:pPr>
              <w:pStyle w:val="BodyText"/>
              <w:spacing w:before="100" w:line="230" w:lineRule="exact"/>
              <w:jc w:val="left"/>
              <w:rPr>
                <w:rFonts w:ascii="Arial" w:hAnsi="Arial" w:cs="Arial"/>
                <w:sz w:val="20"/>
              </w:rPr>
            </w:pPr>
            <w:r>
              <w:rPr>
                <w:rFonts w:ascii="Arial" w:hAnsi="Arial" w:cs="Arial"/>
                <w:sz w:val="20"/>
              </w:rPr>
              <w:t>pp. 138-139</w:t>
            </w:r>
            <w:r w:rsidR="004B683D">
              <w:rPr>
                <w:rFonts w:ascii="Arial" w:hAnsi="Arial" w:cs="Arial"/>
                <w:sz w:val="20"/>
              </w:rPr>
              <w:br/>
            </w:r>
          </w:p>
          <w:p w:rsidR="005C6086" w:rsidRDefault="001E5184" w:rsidP="005C6086">
            <w:pPr>
              <w:pStyle w:val="BodyText"/>
              <w:spacing w:before="100" w:line="230" w:lineRule="exact"/>
              <w:jc w:val="left"/>
              <w:rPr>
                <w:rFonts w:ascii="Arial" w:hAnsi="Arial" w:cs="Arial"/>
                <w:sz w:val="20"/>
              </w:rPr>
            </w:pPr>
            <w:r>
              <w:rPr>
                <w:rFonts w:ascii="Arial" w:hAnsi="Arial" w:cs="Arial"/>
                <w:sz w:val="20"/>
              </w:rPr>
              <w:t>Figure</w:t>
            </w:r>
            <w:r w:rsidR="00BF1446">
              <w:rPr>
                <w:rFonts w:ascii="Arial" w:hAnsi="Arial" w:cs="Arial"/>
                <w:sz w:val="20"/>
              </w:rPr>
              <w:t> </w:t>
            </w:r>
            <w:r>
              <w:rPr>
                <w:rFonts w:ascii="Arial" w:hAnsi="Arial" w:cs="Arial"/>
                <w:sz w:val="20"/>
              </w:rPr>
              <w:t>4.4 (p. 141); pp. 140</w:t>
            </w:r>
            <w:r>
              <w:rPr>
                <w:rFonts w:ascii="Arial" w:hAnsi="Arial" w:cs="Arial"/>
                <w:sz w:val="20"/>
              </w:rPr>
              <w:noBreakHyphen/>
              <w:t>142</w:t>
            </w:r>
            <w:r w:rsidR="004B683D">
              <w:rPr>
                <w:rFonts w:ascii="Arial" w:hAnsi="Arial" w:cs="Arial"/>
                <w:sz w:val="20"/>
              </w:rPr>
              <w:br/>
            </w:r>
            <w:r w:rsidR="004B683D">
              <w:rPr>
                <w:rFonts w:ascii="Arial" w:hAnsi="Arial" w:cs="Arial"/>
                <w:sz w:val="20"/>
              </w:rPr>
              <w:br/>
            </w:r>
          </w:p>
          <w:p w:rsidR="005C6086" w:rsidRDefault="001E5184" w:rsidP="005C6086">
            <w:pPr>
              <w:pStyle w:val="BodyText"/>
              <w:spacing w:before="100" w:line="230" w:lineRule="exact"/>
              <w:jc w:val="left"/>
              <w:rPr>
                <w:rFonts w:ascii="Arial" w:hAnsi="Arial" w:cs="Arial"/>
                <w:sz w:val="20"/>
              </w:rPr>
            </w:pPr>
            <w:r>
              <w:rPr>
                <w:rFonts w:ascii="Arial" w:hAnsi="Arial" w:cs="Arial"/>
                <w:sz w:val="20"/>
              </w:rPr>
              <w:t>pp. 142</w:t>
            </w:r>
            <w:r>
              <w:rPr>
                <w:rFonts w:ascii="Arial" w:hAnsi="Arial" w:cs="Arial"/>
                <w:sz w:val="20"/>
              </w:rPr>
              <w:noBreakHyphen/>
              <w:t>144</w:t>
            </w:r>
            <w:r w:rsidR="00E853E7" w:rsidRPr="00841E2B">
              <w:rPr>
                <w:rFonts w:ascii="Arial" w:hAnsi="Arial" w:cs="Arial"/>
                <w:sz w:val="20"/>
              </w:rPr>
              <w:t xml:space="preserve"> </w:t>
            </w:r>
            <w:r w:rsidR="004B683D">
              <w:rPr>
                <w:rFonts w:ascii="Arial" w:hAnsi="Arial" w:cs="Arial"/>
                <w:sz w:val="20"/>
              </w:rPr>
              <w:br/>
            </w:r>
            <w:r w:rsidR="004B683D">
              <w:rPr>
                <w:rFonts w:ascii="Arial" w:hAnsi="Arial" w:cs="Arial"/>
                <w:sz w:val="20"/>
              </w:rPr>
              <w:br/>
            </w:r>
          </w:p>
          <w:p w:rsidR="005C6086" w:rsidRDefault="001E5184" w:rsidP="005C6086">
            <w:pPr>
              <w:pStyle w:val="BodyText"/>
              <w:spacing w:before="100" w:line="230" w:lineRule="exact"/>
              <w:jc w:val="left"/>
              <w:rPr>
                <w:rFonts w:ascii="Arial" w:hAnsi="Arial" w:cs="Arial"/>
                <w:sz w:val="20"/>
              </w:rPr>
            </w:pPr>
            <w:r>
              <w:rPr>
                <w:rFonts w:ascii="Arial" w:hAnsi="Arial" w:cs="Arial"/>
                <w:sz w:val="20"/>
              </w:rPr>
              <w:t>Figure</w:t>
            </w:r>
            <w:r w:rsidR="00BF1446">
              <w:rPr>
                <w:rFonts w:ascii="Arial" w:hAnsi="Arial" w:cs="Arial"/>
                <w:sz w:val="20"/>
              </w:rPr>
              <w:t> </w:t>
            </w:r>
            <w:r>
              <w:rPr>
                <w:rFonts w:ascii="Arial" w:hAnsi="Arial" w:cs="Arial"/>
                <w:sz w:val="20"/>
              </w:rPr>
              <w:t>4.6 (p. 147); pp. 145</w:t>
            </w:r>
            <w:r>
              <w:rPr>
                <w:rFonts w:ascii="Arial" w:hAnsi="Arial" w:cs="Arial"/>
                <w:sz w:val="20"/>
              </w:rPr>
              <w:noBreakHyphen/>
              <w:t>148</w:t>
            </w:r>
            <w:r w:rsidR="004E3FEF">
              <w:rPr>
                <w:rFonts w:ascii="Arial" w:hAnsi="Arial" w:cs="Arial"/>
                <w:sz w:val="20"/>
              </w:rPr>
              <w:br/>
            </w:r>
          </w:p>
          <w:p w:rsidR="005C6086" w:rsidRDefault="001E5184" w:rsidP="005C6086">
            <w:pPr>
              <w:pStyle w:val="BodyText"/>
              <w:spacing w:before="100" w:line="230" w:lineRule="exact"/>
              <w:jc w:val="left"/>
              <w:rPr>
                <w:rFonts w:ascii="Arial" w:hAnsi="Arial" w:cs="Arial"/>
                <w:sz w:val="20"/>
              </w:rPr>
            </w:pPr>
            <w:r>
              <w:rPr>
                <w:rFonts w:ascii="Arial" w:hAnsi="Arial" w:cs="Arial"/>
                <w:sz w:val="20"/>
              </w:rPr>
              <w:t>p. 149</w:t>
            </w:r>
            <w:r w:rsidR="004E3FEF">
              <w:rPr>
                <w:rFonts w:ascii="Arial" w:hAnsi="Arial" w:cs="Arial"/>
                <w:sz w:val="20"/>
              </w:rPr>
              <w:br/>
            </w:r>
            <w:r w:rsidR="004B683D">
              <w:rPr>
                <w:rFonts w:ascii="Arial" w:hAnsi="Arial" w:cs="Arial"/>
                <w:sz w:val="20"/>
              </w:rPr>
              <w:br/>
            </w:r>
            <w:r w:rsidR="004B683D">
              <w:rPr>
                <w:rFonts w:ascii="Arial" w:hAnsi="Arial" w:cs="Arial"/>
                <w:sz w:val="20"/>
              </w:rPr>
              <w:br/>
            </w:r>
          </w:p>
          <w:p w:rsidR="005C6086" w:rsidRDefault="001E5184" w:rsidP="005C6086">
            <w:pPr>
              <w:pStyle w:val="BodyText"/>
              <w:spacing w:before="100" w:line="230" w:lineRule="exact"/>
              <w:jc w:val="left"/>
              <w:rPr>
                <w:rFonts w:ascii="Arial" w:hAnsi="Arial" w:cs="Arial"/>
                <w:sz w:val="20"/>
              </w:rPr>
            </w:pPr>
            <w:r>
              <w:rPr>
                <w:rFonts w:ascii="Arial" w:hAnsi="Arial" w:cs="Arial"/>
                <w:sz w:val="20"/>
              </w:rPr>
              <w:t>Box</w:t>
            </w:r>
            <w:r w:rsidR="00BF1446">
              <w:rPr>
                <w:rFonts w:ascii="Arial" w:hAnsi="Arial" w:cs="Arial"/>
                <w:sz w:val="20"/>
              </w:rPr>
              <w:t> </w:t>
            </w:r>
            <w:r>
              <w:rPr>
                <w:rFonts w:ascii="Arial" w:hAnsi="Arial" w:cs="Arial"/>
                <w:sz w:val="20"/>
              </w:rPr>
              <w:t>4.2 (p. 139)</w:t>
            </w:r>
            <w:r w:rsidR="004E3FEF">
              <w:rPr>
                <w:rFonts w:ascii="Arial" w:hAnsi="Arial" w:cs="Arial"/>
                <w:sz w:val="20"/>
              </w:rPr>
              <w:br/>
            </w:r>
            <w:r w:rsidR="004B683D">
              <w:rPr>
                <w:rFonts w:ascii="Arial" w:hAnsi="Arial" w:cs="Arial"/>
                <w:sz w:val="20"/>
              </w:rPr>
              <w:br/>
            </w:r>
            <w:r w:rsidR="004B683D">
              <w:rPr>
                <w:rFonts w:ascii="Arial" w:hAnsi="Arial" w:cs="Arial"/>
                <w:sz w:val="20"/>
              </w:rPr>
              <w:br/>
            </w:r>
          </w:p>
          <w:p w:rsidR="005C6086" w:rsidRDefault="001E5184" w:rsidP="005C6086">
            <w:pPr>
              <w:pStyle w:val="BodyText"/>
              <w:spacing w:before="100" w:line="230" w:lineRule="exact"/>
              <w:jc w:val="left"/>
              <w:rPr>
                <w:rFonts w:ascii="Arial" w:hAnsi="Arial" w:cs="Arial"/>
                <w:sz w:val="20"/>
              </w:rPr>
            </w:pPr>
            <w:r>
              <w:rPr>
                <w:rFonts w:ascii="Arial" w:hAnsi="Arial" w:cs="Arial"/>
                <w:sz w:val="20"/>
              </w:rPr>
              <w:t>Figure</w:t>
            </w:r>
            <w:r w:rsidR="00BF1446">
              <w:rPr>
                <w:rFonts w:ascii="Arial" w:hAnsi="Arial" w:cs="Arial"/>
                <w:sz w:val="20"/>
              </w:rPr>
              <w:t> </w:t>
            </w:r>
            <w:r>
              <w:rPr>
                <w:rFonts w:ascii="Arial" w:hAnsi="Arial" w:cs="Arial"/>
                <w:sz w:val="20"/>
              </w:rPr>
              <w:t>4.3 (p. 138)</w:t>
            </w:r>
            <w:r w:rsidR="004E3FEF">
              <w:rPr>
                <w:rFonts w:ascii="Arial" w:hAnsi="Arial" w:cs="Arial"/>
                <w:sz w:val="20"/>
              </w:rPr>
              <w:br/>
            </w:r>
          </w:p>
          <w:p w:rsidR="00E853E7" w:rsidRPr="00841E2B" w:rsidRDefault="002D2EA0" w:rsidP="005C6086">
            <w:pPr>
              <w:pStyle w:val="BodyText"/>
              <w:spacing w:before="100" w:line="230" w:lineRule="exact"/>
              <w:jc w:val="left"/>
            </w:pPr>
            <w:r>
              <w:rPr>
                <w:rFonts w:ascii="Arial" w:hAnsi="Arial" w:cs="Arial"/>
                <w:sz w:val="20"/>
              </w:rPr>
              <w:t xml:space="preserve">pp. </w:t>
            </w:r>
            <w:r w:rsidR="001E5184">
              <w:rPr>
                <w:rFonts w:ascii="Arial" w:hAnsi="Arial" w:cs="Arial"/>
                <w:sz w:val="20"/>
              </w:rPr>
              <w:t>148</w:t>
            </w:r>
            <w:r w:rsidR="001E5184">
              <w:rPr>
                <w:rFonts w:ascii="Arial" w:hAnsi="Arial" w:cs="Arial"/>
                <w:sz w:val="20"/>
              </w:rPr>
              <w:noBreakHyphen/>
              <w:t>150</w:t>
            </w:r>
          </w:p>
        </w:tc>
      </w:tr>
      <w:tr w:rsidR="00E853E7" w:rsidTr="00E810E4">
        <w:tc>
          <w:tcPr>
            <w:tcW w:w="4065" w:type="pct"/>
            <w:tcBorders>
              <w:top w:val="nil"/>
              <w:left w:val="nil"/>
              <w:bottom w:val="single" w:sz="12" w:space="0" w:color="78A22F"/>
              <w:right w:val="nil"/>
            </w:tcBorders>
            <w:shd w:val="clear" w:color="auto" w:fill="F2F2F2"/>
          </w:tcPr>
          <w:p w:rsidR="00E853E7" w:rsidRDefault="00E853E7" w:rsidP="00A833A5">
            <w:pPr>
              <w:pStyle w:val="Box"/>
              <w:spacing w:before="0" w:line="120" w:lineRule="exact"/>
            </w:pPr>
          </w:p>
        </w:tc>
        <w:tc>
          <w:tcPr>
            <w:tcW w:w="165" w:type="pct"/>
            <w:tcBorders>
              <w:top w:val="nil"/>
              <w:left w:val="nil"/>
              <w:bottom w:val="single" w:sz="12" w:space="0" w:color="78A22F"/>
              <w:right w:val="nil"/>
            </w:tcBorders>
            <w:shd w:val="clear" w:color="auto" w:fill="FFFFFF" w:themeFill="background1"/>
          </w:tcPr>
          <w:p w:rsidR="00E853E7" w:rsidRDefault="00E853E7" w:rsidP="00A833A5">
            <w:pPr>
              <w:pStyle w:val="Box"/>
              <w:spacing w:before="0" w:line="120" w:lineRule="exact"/>
            </w:pPr>
          </w:p>
        </w:tc>
        <w:tc>
          <w:tcPr>
            <w:tcW w:w="769" w:type="pct"/>
            <w:tcBorders>
              <w:top w:val="nil"/>
              <w:left w:val="nil"/>
              <w:bottom w:val="single" w:sz="12" w:space="0" w:color="78A22F"/>
              <w:right w:val="nil"/>
            </w:tcBorders>
            <w:shd w:val="clear" w:color="auto" w:fill="F2F2F2"/>
          </w:tcPr>
          <w:p w:rsidR="00E853E7" w:rsidRDefault="00E853E7" w:rsidP="0064694C">
            <w:pPr>
              <w:pStyle w:val="Box"/>
              <w:spacing w:before="0" w:line="120" w:lineRule="exact"/>
              <w:jc w:val="left"/>
            </w:pPr>
          </w:p>
        </w:tc>
      </w:tr>
      <w:tr w:rsidR="00E853E7" w:rsidRPr="000863A5" w:rsidTr="00E810E4">
        <w:tc>
          <w:tcPr>
            <w:tcW w:w="4065" w:type="pct"/>
            <w:tcBorders>
              <w:top w:val="single" w:sz="12" w:space="0" w:color="78A22F"/>
              <w:left w:val="nil"/>
              <w:bottom w:val="nil"/>
              <w:right w:val="nil"/>
            </w:tcBorders>
          </w:tcPr>
          <w:p w:rsidR="00E853E7" w:rsidRPr="00626D32" w:rsidRDefault="00E853E7" w:rsidP="00A833A5">
            <w:pPr>
              <w:pStyle w:val="BoxSpaceBelow"/>
            </w:pPr>
          </w:p>
        </w:tc>
        <w:tc>
          <w:tcPr>
            <w:tcW w:w="165" w:type="pct"/>
            <w:tcBorders>
              <w:top w:val="single" w:sz="12" w:space="0" w:color="78A22F"/>
              <w:left w:val="nil"/>
              <w:bottom w:val="nil"/>
              <w:right w:val="nil"/>
            </w:tcBorders>
            <w:shd w:val="clear" w:color="auto" w:fill="FFFFFF" w:themeFill="background1"/>
          </w:tcPr>
          <w:p w:rsidR="00E853E7" w:rsidRPr="00626D32" w:rsidRDefault="00E853E7" w:rsidP="00A833A5">
            <w:pPr>
              <w:pStyle w:val="BoxSpaceBelow"/>
            </w:pPr>
          </w:p>
        </w:tc>
        <w:tc>
          <w:tcPr>
            <w:tcW w:w="769" w:type="pct"/>
            <w:tcBorders>
              <w:top w:val="single" w:sz="12" w:space="0" w:color="78A22F"/>
              <w:left w:val="nil"/>
              <w:bottom w:val="nil"/>
              <w:right w:val="nil"/>
            </w:tcBorders>
          </w:tcPr>
          <w:p w:rsidR="00E853E7" w:rsidRPr="00626D32" w:rsidRDefault="00E853E7" w:rsidP="0064694C">
            <w:pPr>
              <w:pStyle w:val="BoxSpaceBelow"/>
              <w:jc w:val="left"/>
            </w:pPr>
          </w:p>
        </w:tc>
      </w:tr>
    </w:tbl>
    <w:p w:rsidR="00841E2B" w:rsidRDefault="00841E2B" w:rsidP="00841E2B">
      <w:pPr>
        <w:pStyle w:val="BodyText"/>
      </w:pPr>
      <w:r>
        <w:br w:type="page"/>
      </w:r>
    </w:p>
    <w:tbl>
      <w:tblPr>
        <w:tblW w:w="5242" w:type="pct"/>
        <w:tblInd w:w="-42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7493"/>
        <w:gridCol w:w="304"/>
        <w:gridCol w:w="1417"/>
      </w:tblGrid>
      <w:tr w:rsidR="0004094B" w:rsidRPr="0004094B" w:rsidTr="001E5184">
        <w:tc>
          <w:tcPr>
            <w:tcW w:w="4066" w:type="pct"/>
            <w:tcBorders>
              <w:top w:val="single" w:sz="12" w:space="0" w:color="78A22F"/>
              <w:left w:val="nil"/>
              <w:bottom w:val="nil"/>
              <w:right w:val="nil"/>
            </w:tcBorders>
            <w:shd w:val="clear" w:color="auto" w:fill="F2F2F2"/>
          </w:tcPr>
          <w:p w:rsidR="00841E2B" w:rsidRPr="0004094B" w:rsidRDefault="00841E2B" w:rsidP="001E5184">
            <w:pPr>
              <w:pStyle w:val="BoxTitle"/>
            </w:pPr>
            <w:r w:rsidRPr="0004094B">
              <w:t xml:space="preserve">Chapter </w:t>
            </w:r>
            <w:r w:rsidR="001E5184">
              <w:t>5</w:t>
            </w:r>
            <w:r w:rsidRPr="0004094B">
              <w:t xml:space="preserve">: </w:t>
            </w:r>
            <w:r w:rsidR="001E5184">
              <w:t>Does HFE influence interstate migration?</w:t>
            </w:r>
          </w:p>
        </w:tc>
        <w:tc>
          <w:tcPr>
            <w:tcW w:w="165" w:type="pct"/>
            <w:tcBorders>
              <w:top w:val="single" w:sz="12" w:space="0" w:color="78A22F"/>
              <w:left w:val="nil"/>
              <w:bottom w:val="nil"/>
              <w:right w:val="nil"/>
            </w:tcBorders>
            <w:shd w:val="clear" w:color="auto" w:fill="FFFFFF" w:themeFill="background1"/>
          </w:tcPr>
          <w:p w:rsidR="00841E2B" w:rsidRPr="0004094B" w:rsidRDefault="00841E2B" w:rsidP="00A833A5">
            <w:pPr>
              <w:pStyle w:val="BoxTitle"/>
            </w:pPr>
          </w:p>
        </w:tc>
        <w:tc>
          <w:tcPr>
            <w:tcW w:w="769" w:type="pct"/>
            <w:tcBorders>
              <w:top w:val="single" w:sz="12" w:space="0" w:color="78A22F"/>
              <w:left w:val="nil"/>
              <w:bottom w:val="nil"/>
              <w:right w:val="nil"/>
            </w:tcBorders>
            <w:shd w:val="clear" w:color="auto" w:fill="F2F2F2"/>
          </w:tcPr>
          <w:p w:rsidR="00841E2B" w:rsidRPr="0004094B" w:rsidRDefault="00841E2B" w:rsidP="0064694C">
            <w:pPr>
              <w:pStyle w:val="BoxTitle"/>
            </w:pPr>
            <w:r w:rsidRPr="0004094B">
              <w:t>For more</w:t>
            </w:r>
          </w:p>
        </w:tc>
      </w:tr>
      <w:tr w:rsidR="009B2F08" w:rsidRPr="009B2F08" w:rsidTr="001E5184">
        <w:tc>
          <w:tcPr>
            <w:tcW w:w="4066" w:type="pct"/>
            <w:tcBorders>
              <w:top w:val="nil"/>
              <w:left w:val="nil"/>
              <w:bottom w:val="nil"/>
              <w:right w:val="nil"/>
            </w:tcBorders>
            <w:shd w:val="clear" w:color="auto" w:fill="F2F2F2"/>
          </w:tcPr>
          <w:p w:rsidR="001E5184" w:rsidRDefault="001E5184" w:rsidP="001E5184">
            <w:pPr>
              <w:pStyle w:val="KeyPointsListBullet"/>
            </w:pPr>
            <w:r>
              <w:t>HFE in Australia has mainly been focused on providing fiscal equity. HFE’s influence on economic efficiency and productivity remains a secondary and subsidiary concern for the Commonwealth Grants Commission.</w:t>
            </w:r>
          </w:p>
          <w:p w:rsidR="001E5184" w:rsidRDefault="001E5184" w:rsidP="001E5184">
            <w:pPr>
              <w:pStyle w:val="KeyPointsListBullet"/>
            </w:pPr>
            <w:r>
              <w:t>The traditional focus of how HFE bears on efficiency has been its impact on the interstate movement of labour and capital. There are two schools of thought.</w:t>
            </w:r>
          </w:p>
          <w:p w:rsidR="001E5184" w:rsidRPr="00D324B3" w:rsidRDefault="001E5184" w:rsidP="001E5184">
            <w:pPr>
              <w:pStyle w:val="KeyPointsListBullet2"/>
            </w:pPr>
            <w:r w:rsidRPr="00D324B3">
              <w:t>The most common is that fiscal equalisation can counteract distortions caused by movements of labour and capital that are fiscally induced (the ‘efficiency in migration’ theory).</w:t>
            </w:r>
          </w:p>
          <w:p w:rsidR="001E5184" w:rsidRPr="00D324B3" w:rsidRDefault="001E5184" w:rsidP="001E5184">
            <w:pPr>
              <w:pStyle w:val="KeyPointsListBullet2"/>
            </w:pPr>
            <w:r w:rsidRPr="00D324B3">
              <w:t>An alternative is that HFE dulls economic signals for labour and capital to move to where they are most productive. That is, HFE can make it more attractive for labour and capital to remain in fiscally weaker States even though they are less productive and it is more costly to deliver government services.</w:t>
            </w:r>
          </w:p>
          <w:p w:rsidR="001E5184" w:rsidRDefault="001E5184" w:rsidP="001E5184">
            <w:pPr>
              <w:pStyle w:val="KeyPointsListBullet"/>
            </w:pPr>
            <w:r w:rsidRPr="002318A7">
              <w:t xml:space="preserve">Modelling </w:t>
            </w:r>
            <w:r>
              <w:t>result</w:t>
            </w:r>
            <w:r w:rsidRPr="002318A7">
              <w:t xml:space="preserve">s provide no clear evidence on whether </w:t>
            </w:r>
            <w:r>
              <w:t>HFE’s influence on migration</w:t>
            </w:r>
            <w:r w:rsidRPr="002318A7">
              <w:t xml:space="preserve"> enhances or reduces efficiency. Model outcomes are largely driven by </w:t>
            </w:r>
            <w:r>
              <w:t xml:space="preserve">assumptions of </w:t>
            </w:r>
            <w:r w:rsidRPr="002318A7">
              <w:t xml:space="preserve">whether HFE is good or bad for efficiency, rather than having this determined by the model itself. </w:t>
            </w:r>
          </w:p>
          <w:p w:rsidR="001E5184" w:rsidRDefault="001E5184" w:rsidP="001E5184">
            <w:pPr>
              <w:pStyle w:val="KeyPointsListBullet"/>
            </w:pPr>
            <w:r>
              <w:t xml:space="preserve">Bearing these caveats in mind, the </w:t>
            </w:r>
            <w:r w:rsidRPr="002318A7">
              <w:t xml:space="preserve">modelling </w:t>
            </w:r>
            <w:r>
              <w:t>results available suggest</w:t>
            </w:r>
            <w:r w:rsidRPr="002318A7">
              <w:t xml:space="preserve"> that the size of HFE’s impact </w:t>
            </w:r>
            <w:r>
              <w:t xml:space="preserve">on interstate migration of labour is </w:t>
            </w:r>
            <w:r w:rsidRPr="002318A7">
              <w:t>small.</w:t>
            </w:r>
            <w:r>
              <w:t xml:space="preserve"> Other factors, such as differences in work opportunities between States, and family reasons, are a bigger driver of interstate migration.</w:t>
            </w:r>
          </w:p>
          <w:p w:rsidR="00841E2B" w:rsidRPr="009B2F08" w:rsidRDefault="001E5184" w:rsidP="001E5184">
            <w:pPr>
              <w:pStyle w:val="KeyPointsListBullet"/>
            </w:pPr>
            <w:r>
              <w:t xml:space="preserve">However, the current HFE redistribution task in Australia is historically high. To the extent there are (migration) efficiency effects at the margin, these would be more pronounced in the current environment. Similarly, fiscally </w:t>
            </w:r>
            <w:r w:rsidRPr="00151DF0">
              <w:t>induced movement</w:t>
            </w:r>
            <w:r>
              <w:t xml:space="preserve"> m</w:t>
            </w:r>
            <w:r w:rsidRPr="001F6755">
              <w:t>ay become apparent if State fiscal capacities were to diverge over a sustained period</w:t>
            </w:r>
            <w:r>
              <w:t>, although the gap in fiscal capacities would need to be substantial for it to have a material influence on migration decisions.</w:t>
            </w:r>
          </w:p>
        </w:tc>
        <w:tc>
          <w:tcPr>
            <w:tcW w:w="165" w:type="pct"/>
            <w:tcBorders>
              <w:top w:val="nil"/>
              <w:left w:val="nil"/>
              <w:bottom w:val="nil"/>
              <w:right w:val="nil"/>
            </w:tcBorders>
            <w:shd w:val="clear" w:color="auto" w:fill="FFFFFF" w:themeFill="background1"/>
          </w:tcPr>
          <w:p w:rsidR="00841E2B" w:rsidRPr="009B2F08" w:rsidRDefault="00841E2B" w:rsidP="00A833A5">
            <w:pPr>
              <w:pStyle w:val="BoxListBullet"/>
              <w:numPr>
                <w:ilvl w:val="0"/>
                <w:numId w:val="0"/>
              </w:numPr>
              <w:ind w:left="284"/>
            </w:pPr>
          </w:p>
        </w:tc>
        <w:tc>
          <w:tcPr>
            <w:tcW w:w="769" w:type="pct"/>
            <w:tcBorders>
              <w:top w:val="nil"/>
              <w:left w:val="nil"/>
              <w:bottom w:val="nil"/>
              <w:right w:val="nil"/>
            </w:tcBorders>
            <w:shd w:val="clear" w:color="auto" w:fill="F2F2F2"/>
          </w:tcPr>
          <w:p w:rsidR="005C6086" w:rsidRDefault="0033378D" w:rsidP="005C6086">
            <w:pPr>
              <w:pStyle w:val="BodyText"/>
              <w:spacing w:before="100" w:line="260" w:lineRule="atLeast"/>
              <w:jc w:val="left"/>
              <w:rPr>
                <w:rFonts w:ascii="Arial" w:hAnsi="Arial" w:cs="Arial"/>
                <w:sz w:val="20"/>
              </w:rPr>
            </w:pPr>
            <w:r>
              <w:rPr>
                <w:rFonts w:ascii="Arial" w:hAnsi="Arial" w:cs="Arial"/>
                <w:sz w:val="20"/>
              </w:rPr>
              <w:t>p.</w:t>
            </w:r>
            <w:r w:rsidR="00BF1446">
              <w:rPr>
                <w:rFonts w:ascii="Arial" w:hAnsi="Arial" w:cs="Arial"/>
                <w:sz w:val="20"/>
              </w:rPr>
              <w:t> </w:t>
            </w:r>
            <w:r>
              <w:rPr>
                <w:rFonts w:ascii="Arial" w:hAnsi="Arial" w:cs="Arial"/>
                <w:sz w:val="20"/>
              </w:rPr>
              <w:t>63</w:t>
            </w:r>
            <w:r w:rsidR="005C6086">
              <w:rPr>
                <w:rFonts w:ascii="Arial" w:hAnsi="Arial" w:cs="Arial"/>
                <w:sz w:val="20"/>
              </w:rPr>
              <w:br/>
            </w:r>
            <w:r w:rsidR="00752DBB">
              <w:rPr>
                <w:rFonts w:ascii="Arial" w:hAnsi="Arial" w:cs="Arial"/>
                <w:sz w:val="20"/>
              </w:rPr>
              <w:br/>
            </w:r>
          </w:p>
          <w:p w:rsidR="005C6086" w:rsidRDefault="00833B7F" w:rsidP="005C6086">
            <w:pPr>
              <w:pStyle w:val="BodyText"/>
              <w:spacing w:before="100" w:line="260" w:lineRule="atLeast"/>
              <w:jc w:val="left"/>
              <w:rPr>
                <w:rFonts w:ascii="Arial" w:hAnsi="Arial" w:cs="Arial"/>
                <w:sz w:val="20"/>
              </w:rPr>
            </w:pPr>
            <w:r>
              <w:rPr>
                <w:rFonts w:ascii="Arial" w:hAnsi="Arial" w:cs="Arial"/>
                <w:sz w:val="20"/>
              </w:rPr>
              <w:t>pp. 152</w:t>
            </w:r>
            <w:r>
              <w:rPr>
                <w:rFonts w:ascii="Arial" w:hAnsi="Arial" w:cs="Arial"/>
                <w:sz w:val="20"/>
              </w:rPr>
              <w:noBreakHyphen/>
              <w:t>15</w:t>
            </w:r>
            <w:r w:rsidR="0033378D">
              <w:rPr>
                <w:rFonts w:ascii="Arial" w:hAnsi="Arial" w:cs="Arial"/>
                <w:sz w:val="20"/>
              </w:rPr>
              <w:t>4</w:t>
            </w:r>
            <w:r w:rsidR="00956E32">
              <w:rPr>
                <w:rFonts w:ascii="Arial" w:hAnsi="Arial" w:cs="Arial"/>
                <w:sz w:val="20"/>
              </w:rPr>
              <w:t>; box</w:t>
            </w:r>
            <w:r w:rsidR="00BF1446">
              <w:rPr>
                <w:rFonts w:ascii="Arial" w:hAnsi="Arial" w:cs="Arial"/>
                <w:sz w:val="20"/>
              </w:rPr>
              <w:t> </w:t>
            </w:r>
            <w:r w:rsidR="00956E32">
              <w:rPr>
                <w:rFonts w:ascii="Arial" w:hAnsi="Arial" w:cs="Arial"/>
                <w:sz w:val="20"/>
              </w:rPr>
              <w:t>5.2 (p. 156)</w:t>
            </w:r>
          </w:p>
          <w:p w:rsidR="005C6086" w:rsidRDefault="0033378D" w:rsidP="005C6086">
            <w:pPr>
              <w:pStyle w:val="BodyText"/>
              <w:spacing w:before="100" w:line="260" w:lineRule="atLeast"/>
              <w:jc w:val="left"/>
              <w:rPr>
                <w:rFonts w:ascii="Arial" w:hAnsi="Arial" w:cs="Arial"/>
                <w:sz w:val="20"/>
              </w:rPr>
            </w:pPr>
            <w:r>
              <w:rPr>
                <w:rFonts w:ascii="Arial" w:hAnsi="Arial" w:cs="Arial"/>
                <w:sz w:val="20"/>
              </w:rPr>
              <w:t>(App.</w:t>
            </w:r>
            <w:r w:rsidR="00BF1446">
              <w:rPr>
                <w:rFonts w:ascii="Arial" w:hAnsi="Arial" w:cs="Arial"/>
                <w:sz w:val="20"/>
              </w:rPr>
              <w:t> </w:t>
            </w:r>
            <w:r>
              <w:rPr>
                <w:rFonts w:ascii="Arial" w:hAnsi="Arial" w:cs="Arial"/>
                <w:sz w:val="20"/>
              </w:rPr>
              <w:t>D)</w:t>
            </w:r>
            <w:r w:rsidR="004B683D">
              <w:rPr>
                <w:rFonts w:ascii="Arial" w:hAnsi="Arial" w:cs="Arial"/>
                <w:sz w:val="20"/>
              </w:rPr>
              <w:br/>
            </w:r>
            <w:r w:rsidR="00CC30C8">
              <w:rPr>
                <w:rFonts w:ascii="Arial" w:hAnsi="Arial" w:cs="Arial"/>
                <w:sz w:val="20"/>
              </w:rPr>
              <w:br/>
            </w:r>
          </w:p>
          <w:p w:rsidR="005C6086" w:rsidRDefault="00CC30C8" w:rsidP="005C6086">
            <w:pPr>
              <w:pStyle w:val="BodyText"/>
              <w:spacing w:before="100" w:line="260" w:lineRule="atLeast"/>
              <w:jc w:val="left"/>
              <w:rPr>
                <w:rFonts w:ascii="Arial" w:hAnsi="Arial" w:cs="Arial"/>
                <w:sz w:val="20"/>
              </w:rPr>
            </w:pPr>
            <w:r>
              <w:rPr>
                <w:rFonts w:ascii="Arial" w:hAnsi="Arial" w:cs="Arial"/>
                <w:sz w:val="20"/>
              </w:rPr>
              <w:br/>
            </w:r>
            <w:r w:rsidR="00752DBB">
              <w:rPr>
                <w:rFonts w:ascii="Arial" w:hAnsi="Arial" w:cs="Arial"/>
                <w:sz w:val="20"/>
              </w:rPr>
              <w:br/>
            </w:r>
            <w:r w:rsidR="004B683D">
              <w:rPr>
                <w:rFonts w:ascii="Arial" w:hAnsi="Arial" w:cs="Arial"/>
                <w:sz w:val="20"/>
              </w:rPr>
              <w:br/>
            </w:r>
            <w:r w:rsidR="004B683D">
              <w:rPr>
                <w:rFonts w:ascii="Arial" w:hAnsi="Arial" w:cs="Arial"/>
                <w:sz w:val="20"/>
              </w:rPr>
              <w:br/>
            </w:r>
          </w:p>
          <w:p w:rsidR="004B683D" w:rsidRDefault="00833B7F" w:rsidP="005C6086">
            <w:pPr>
              <w:pStyle w:val="BodyText"/>
              <w:spacing w:before="100" w:line="260" w:lineRule="atLeast"/>
              <w:jc w:val="left"/>
              <w:rPr>
                <w:rFonts w:ascii="Arial" w:hAnsi="Arial" w:cs="Arial"/>
                <w:sz w:val="20"/>
              </w:rPr>
            </w:pPr>
            <w:r>
              <w:rPr>
                <w:rFonts w:ascii="Arial" w:hAnsi="Arial" w:cs="Arial"/>
                <w:sz w:val="20"/>
              </w:rPr>
              <w:t>p</w:t>
            </w:r>
            <w:r w:rsidR="0033378D">
              <w:rPr>
                <w:rFonts w:ascii="Arial" w:hAnsi="Arial" w:cs="Arial"/>
                <w:sz w:val="20"/>
              </w:rPr>
              <w:t>p</w:t>
            </w:r>
            <w:r>
              <w:rPr>
                <w:rFonts w:ascii="Arial" w:hAnsi="Arial" w:cs="Arial"/>
                <w:sz w:val="20"/>
              </w:rPr>
              <w:t>. 154</w:t>
            </w:r>
            <w:r w:rsidR="0033378D">
              <w:rPr>
                <w:rFonts w:ascii="Arial" w:hAnsi="Arial" w:cs="Arial"/>
                <w:sz w:val="20"/>
              </w:rPr>
              <w:t>-155</w:t>
            </w:r>
            <w:r w:rsidR="004B683D">
              <w:rPr>
                <w:rFonts w:ascii="Arial" w:hAnsi="Arial" w:cs="Arial"/>
                <w:sz w:val="20"/>
              </w:rPr>
              <w:br/>
            </w:r>
            <w:r w:rsidR="004B683D">
              <w:rPr>
                <w:rFonts w:ascii="Arial" w:hAnsi="Arial" w:cs="Arial"/>
                <w:sz w:val="20"/>
              </w:rPr>
              <w:br/>
            </w:r>
            <w:r w:rsidR="009B3A37">
              <w:rPr>
                <w:rFonts w:ascii="Arial" w:hAnsi="Arial" w:cs="Arial"/>
                <w:sz w:val="20"/>
              </w:rPr>
              <w:br/>
            </w:r>
          </w:p>
          <w:p w:rsidR="009B3A37" w:rsidRDefault="00956E32" w:rsidP="005C6086">
            <w:pPr>
              <w:pStyle w:val="BodyText"/>
              <w:spacing w:before="100" w:line="260" w:lineRule="atLeast"/>
              <w:jc w:val="left"/>
              <w:rPr>
                <w:rFonts w:ascii="Arial" w:hAnsi="Arial" w:cs="Arial"/>
                <w:sz w:val="20"/>
              </w:rPr>
            </w:pPr>
            <w:r>
              <w:rPr>
                <w:rFonts w:ascii="Arial" w:hAnsi="Arial" w:cs="Arial"/>
                <w:sz w:val="20"/>
              </w:rPr>
              <w:t>Figures</w:t>
            </w:r>
            <w:r w:rsidR="00BF1446">
              <w:rPr>
                <w:rFonts w:ascii="Arial" w:hAnsi="Arial" w:cs="Arial"/>
                <w:sz w:val="20"/>
              </w:rPr>
              <w:t> </w:t>
            </w:r>
            <w:r>
              <w:rPr>
                <w:rFonts w:ascii="Arial" w:hAnsi="Arial" w:cs="Arial"/>
                <w:sz w:val="20"/>
              </w:rPr>
              <w:t>5.2 (p. 160),</w:t>
            </w:r>
            <w:r w:rsidR="00BF1446">
              <w:rPr>
                <w:rFonts w:ascii="Arial" w:hAnsi="Arial" w:cs="Arial"/>
                <w:sz w:val="20"/>
              </w:rPr>
              <w:t xml:space="preserve"> </w:t>
            </w:r>
            <w:r>
              <w:rPr>
                <w:rFonts w:ascii="Arial" w:hAnsi="Arial" w:cs="Arial"/>
                <w:sz w:val="20"/>
              </w:rPr>
              <w:t>5.3 (p. 161); pp. 155</w:t>
            </w:r>
            <w:r>
              <w:rPr>
                <w:rFonts w:ascii="Arial" w:hAnsi="Arial" w:cs="Arial"/>
                <w:sz w:val="20"/>
              </w:rPr>
              <w:noBreakHyphen/>
              <w:t>161</w:t>
            </w:r>
          </w:p>
          <w:p w:rsidR="009B2F08" w:rsidRPr="00752DBB" w:rsidRDefault="009B2F08" w:rsidP="005C6086">
            <w:pPr>
              <w:pStyle w:val="BodyText"/>
              <w:spacing w:before="100" w:line="260" w:lineRule="atLeast"/>
              <w:jc w:val="left"/>
              <w:rPr>
                <w:rFonts w:ascii="Arial" w:hAnsi="Arial" w:cs="Arial"/>
                <w:sz w:val="20"/>
              </w:rPr>
            </w:pPr>
            <w:r w:rsidRPr="009B2F08">
              <w:rPr>
                <w:rFonts w:ascii="Arial" w:hAnsi="Arial" w:cs="Arial"/>
                <w:sz w:val="20"/>
              </w:rPr>
              <w:t>p. </w:t>
            </w:r>
            <w:r w:rsidR="00956E32">
              <w:rPr>
                <w:rFonts w:ascii="Arial" w:hAnsi="Arial" w:cs="Arial"/>
                <w:sz w:val="20"/>
              </w:rPr>
              <w:t>162</w:t>
            </w:r>
          </w:p>
        </w:tc>
      </w:tr>
      <w:tr w:rsidR="00841E2B" w:rsidTr="001E5184">
        <w:tc>
          <w:tcPr>
            <w:tcW w:w="4066" w:type="pct"/>
            <w:tcBorders>
              <w:top w:val="nil"/>
              <w:left w:val="nil"/>
              <w:bottom w:val="single" w:sz="12" w:space="0" w:color="78A22F"/>
              <w:right w:val="nil"/>
            </w:tcBorders>
            <w:shd w:val="clear" w:color="auto" w:fill="F2F2F2"/>
          </w:tcPr>
          <w:p w:rsidR="00841E2B" w:rsidRDefault="00841E2B" w:rsidP="00A833A5">
            <w:pPr>
              <w:pStyle w:val="Box"/>
              <w:spacing w:before="0" w:line="120" w:lineRule="exact"/>
            </w:pPr>
          </w:p>
        </w:tc>
        <w:tc>
          <w:tcPr>
            <w:tcW w:w="165" w:type="pct"/>
            <w:tcBorders>
              <w:top w:val="nil"/>
              <w:left w:val="nil"/>
              <w:bottom w:val="single" w:sz="12" w:space="0" w:color="78A22F"/>
              <w:right w:val="nil"/>
            </w:tcBorders>
            <w:shd w:val="clear" w:color="auto" w:fill="FFFFFF" w:themeFill="background1"/>
          </w:tcPr>
          <w:p w:rsidR="00841E2B" w:rsidRDefault="00841E2B" w:rsidP="00A833A5">
            <w:pPr>
              <w:pStyle w:val="Box"/>
              <w:spacing w:before="0" w:line="120" w:lineRule="exact"/>
            </w:pPr>
          </w:p>
        </w:tc>
        <w:tc>
          <w:tcPr>
            <w:tcW w:w="769" w:type="pct"/>
            <w:tcBorders>
              <w:top w:val="nil"/>
              <w:left w:val="nil"/>
              <w:bottom w:val="single" w:sz="12" w:space="0" w:color="78A22F"/>
              <w:right w:val="nil"/>
            </w:tcBorders>
            <w:shd w:val="clear" w:color="auto" w:fill="F2F2F2"/>
          </w:tcPr>
          <w:p w:rsidR="00841E2B" w:rsidRDefault="00841E2B" w:rsidP="0064694C">
            <w:pPr>
              <w:pStyle w:val="Box"/>
              <w:spacing w:before="0" w:line="120" w:lineRule="exact"/>
              <w:jc w:val="left"/>
            </w:pPr>
          </w:p>
        </w:tc>
      </w:tr>
    </w:tbl>
    <w:p w:rsidR="00F54AAE" w:rsidRDefault="00F54AAE">
      <w:r>
        <w:rPr>
          <w:b/>
        </w:rPr>
        <w:br w:type="page"/>
      </w:r>
    </w:p>
    <w:tbl>
      <w:tblPr>
        <w:tblW w:w="5242" w:type="pct"/>
        <w:tblInd w:w="-42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7493"/>
        <w:gridCol w:w="304"/>
        <w:gridCol w:w="1417"/>
      </w:tblGrid>
      <w:tr w:rsidR="00DF109C" w:rsidRPr="00DF109C" w:rsidTr="006354A8">
        <w:tc>
          <w:tcPr>
            <w:tcW w:w="4066" w:type="pct"/>
            <w:tcBorders>
              <w:top w:val="single" w:sz="12" w:space="0" w:color="78A22F"/>
              <w:left w:val="nil"/>
              <w:bottom w:val="nil"/>
              <w:right w:val="nil"/>
            </w:tcBorders>
            <w:shd w:val="clear" w:color="auto" w:fill="F2F2F2"/>
          </w:tcPr>
          <w:p w:rsidR="00E63363" w:rsidRPr="00DF109C" w:rsidRDefault="00E63363" w:rsidP="006354A8">
            <w:pPr>
              <w:pStyle w:val="BoxTitle"/>
              <w:rPr>
                <w:color w:val="000000" w:themeColor="text1"/>
              </w:rPr>
            </w:pPr>
            <w:r w:rsidRPr="00DF109C">
              <w:rPr>
                <w:color w:val="000000" w:themeColor="text1"/>
              </w:rPr>
              <w:t xml:space="preserve">Chapter </w:t>
            </w:r>
            <w:r w:rsidR="006354A8">
              <w:rPr>
                <w:color w:val="000000" w:themeColor="text1"/>
              </w:rPr>
              <w:t>6</w:t>
            </w:r>
            <w:r w:rsidRPr="00DF109C">
              <w:rPr>
                <w:color w:val="000000" w:themeColor="text1"/>
              </w:rPr>
              <w:t xml:space="preserve">: </w:t>
            </w:r>
            <w:r w:rsidR="006354A8">
              <w:rPr>
                <w:color w:val="000000" w:themeColor="text1"/>
              </w:rPr>
              <w:t>Summing up the need for change</w:t>
            </w:r>
          </w:p>
        </w:tc>
        <w:tc>
          <w:tcPr>
            <w:tcW w:w="165" w:type="pct"/>
            <w:tcBorders>
              <w:top w:val="single" w:sz="12" w:space="0" w:color="78A22F"/>
              <w:left w:val="nil"/>
              <w:bottom w:val="nil"/>
              <w:right w:val="nil"/>
            </w:tcBorders>
            <w:shd w:val="clear" w:color="auto" w:fill="FFFFFF" w:themeFill="background1"/>
          </w:tcPr>
          <w:p w:rsidR="00E63363" w:rsidRPr="00DF109C" w:rsidRDefault="00E63363" w:rsidP="00A833A5">
            <w:pPr>
              <w:pStyle w:val="BoxTitle"/>
              <w:rPr>
                <w:color w:val="000000" w:themeColor="text1"/>
              </w:rPr>
            </w:pPr>
          </w:p>
        </w:tc>
        <w:tc>
          <w:tcPr>
            <w:tcW w:w="769" w:type="pct"/>
            <w:tcBorders>
              <w:top w:val="single" w:sz="12" w:space="0" w:color="78A22F"/>
              <w:left w:val="nil"/>
              <w:bottom w:val="nil"/>
              <w:right w:val="nil"/>
            </w:tcBorders>
            <w:shd w:val="clear" w:color="auto" w:fill="F2F2F2"/>
          </w:tcPr>
          <w:p w:rsidR="00E63363" w:rsidRPr="00DF109C" w:rsidRDefault="00E63363" w:rsidP="0064694C">
            <w:pPr>
              <w:pStyle w:val="BoxTitle"/>
              <w:rPr>
                <w:color w:val="000000" w:themeColor="text1"/>
              </w:rPr>
            </w:pPr>
            <w:r w:rsidRPr="00DF109C">
              <w:rPr>
                <w:color w:val="000000" w:themeColor="text1"/>
              </w:rPr>
              <w:t>For more</w:t>
            </w:r>
          </w:p>
        </w:tc>
      </w:tr>
      <w:tr w:rsidR="00DF109C" w:rsidRPr="00DF109C" w:rsidTr="006354A8">
        <w:tc>
          <w:tcPr>
            <w:tcW w:w="4066" w:type="pct"/>
            <w:tcBorders>
              <w:top w:val="nil"/>
              <w:left w:val="nil"/>
              <w:bottom w:val="nil"/>
              <w:right w:val="nil"/>
            </w:tcBorders>
            <w:shd w:val="clear" w:color="auto" w:fill="F2F2F2"/>
          </w:tcPr>
          <w:p w:rsidR="007338FF" w:rsidRPr="007338FF" w:rsidRDefault="007338FF" w:rsidP="008B1238">
            <w:pPr>
              <w:pStyle w:val="KeyPointsListBullet"/>
              <w:spacing w:line="240" w:lineRule="atLeast"/>
              <w:rPr>
                <w:spacing w:val="-2"/>
              </w:rPr>
            </w:pPr>
            <w:r w:rsidRPr="007338FF">
              <w:rPr>
                <w:spacing w:val="-2"/>
              </w:rPr>
              <w:t xml:space="preserve">Australia’s system of HFE mostly delivers equitable fiscal outcomes with a degree of transparency and few distortions to economic activity. However, it has some major shortcomings. </w:t>
            </w:r>
          </w:p>
          <w:p w:rsidR="007338FF" w:rsidRPr="007338FF" w:rsidRDefault="007338FF" w:rsidP="008B1238">
            <w:pPr>
              <w:pStyle w:val="KeyPointsListBullet2"/>
              <w:spacing w:line="240" w:lineRule="atLeast"/>
              <w:rPr>
                <w:spacing w:val="-2"/>
              </w:rPr>
            </w:pPr>
            <w:r w:rsidRPr="007338FF">
              <w:rPr>
                <w:spacing w:val="-2"/>
              </w:rPr>
              <w:t>On equity, HFE achieves almost complete fiscal equalisation; as such, it enables all States to provide the average national level of services and mostly adjusts for fiscal disadvantages that are out of States’ control. But it does not systematically provide for State Governments to retain a reasonable share of the fiscal dividends of their policy efforts or economic development (without them being equalised away), raising concerns about fairness.</w:t>
            </w:r>
          </w:p>
          <w:p w:rsidR="007338FF" w:rsidRPr="007338FF" w:rsidRDefault="007338FF" w:rsidP="008B1238">
            <w:pPr>
              <w:pStyle w:val="KeyPointsListBullet2"/>
              <w:spacing w:line="240" w:lineRule="atLeast"/>
              <w:rPr>
                <w:spacing w:val="-2"/>
              </w:rPr>
            </w:pPr>
            <w:r w:rsidRPr="007338FF">
              <w:rPr>
                <w:spacing w:val="-2"/>
              </w:rPr>
              <w:t>On efficiency, there is no clear evidence that the HFE system distorts patterns of interstate migration. And GST payments are mostly unaffected by changes in State policy settings. But in some cases, there can be material disincentives for a State embarking on significant tax reforms and resource development policies, especially where it is a first mover.</w:t>
            </w:r>
          </w:p>
          <w:p w:rsidR="007338FF" w:rsidRPr="007338FF" w:rsidRDefault="007338FF" w:rsidP="008B1238">
            <w:pPr>
              <w:pStyle w:val="KeyPointsListBullet2"/>
              <w:spacing w:line="240" w:lineRule="atLeast"/>
              <w:rPr>
                <w:spacing w:val="-2"/>
              </w:rPr>
            </w:pPr>
            <w:r w:rsidRPr="007338FF">
              <w:rPr>
                <w:spacing w:val="-2"/>
              </w:rPr>
              <w:t>The independent CGC is highly regarded. It carries out the GST distribution at arm’s length from government and with generally transparent processes for consultation with the States. But concerns have been raised with the CGC’s decision</w:t>
            </w:r>
            <w:r w:rsidRPr="007338FF">
              <w:rPr>
                <w:spacing w:val="-2"/>
              </w:rPr>
              <w:noBreakHyphen/>
              <w:t>making framework and insufficient leadership from the Commonwealth Government.</w:t>
            </w:r>
          </w:p>
          <w:p w:rsidR="007338FF" w:rsidRPr="007338FF" w:rsidRDefault="007338FF" w:rsidP="008B1238">
            <w:pPr>
              <w:pStyle w:val="KeyPointsListBullet"/>
              <w:spacing w:line="240" w:lineRule="atLeast"/>
              <w:rPr>
                <w:spacing w:val="-2"/>
              </w:rPr>
            </w:pPr>
            <w:r w:rsidRPr="007338FF">
              <w:rPr>
                <w:spacing w:val="-2"/>
              </w:rPr>
              <w:t xml:space="preserve">Many of these problems are due to the pursuit, above all else, of comprehensive equalisation of fiscal capacities. In doing so, it is likely that opportunities are being missed to achieve broader equity outcomes (which incorporate fairness by rewarding States for their policy efforts) and to improve efficiency in the Australian economy. </w:t>
            </w:r>
          </w:p>
          <w:p w:rsidR="007338FF" w:rsidRPr="007338FF" w:rsidRDefault="007338FF" w:rsidP="008B1238">
            <w:pPr>
              <w:pStyle w:val="KeyPointsListBullet"/>
              <w:spacing w:line="240" w:lineRule="atLeast"/>
              <w:rPr>
                <w:spacing w:val="-2"/>
              </w:rPr>
            </w:pPr>
            <w:r w:rsidRPr="007338FF">
              <w:rPr>
                <w:spacing w:val="-2"/>
              </w:rPr>
              <w:t>The objective of HFE should be reframed to allow for trade</w:t>
            </w:r>
            <w:r w:rsidRPr="007338FF">
              <w:rPr>
                <w:spacing w:val="-2"/>
              </w:rPr>
              <w:noBreakHyphen/>
              <w:t xml:space="preserve">offs to be made between equity and efficiency. The system should enable State Governments to provide a ‘reasonable’ standard of services, rather than the ‘same’ as under the current system. </w:t>
            </w:r>
          </w:p>
          <w:p w:rsidR="007338FF" w:rsidRPr="007338FF" w:rsidRDefault="007338FF" w:rsidP="008B1238">
            <w:pPr>
              <w:pStyle w:val="KeyPointsListBullet"/>
              <w:spacing w:line="240" w:lineRule="atLeast"/>
              <w:rPr>
                <w:spacing w:val="-2"/>
              </w:rPr>
            </w:pPr>
            <w:r w:rsidRPr="007338FF">
              <w:rPr>
                <w:spacing w:val="-2"/>
              </w:rPr>
              <w:t>Governance changes are also needed to enhance transparency and accountability.</w:t>
            </w:r>
          </w:p>
          <w:p w:rsidR="007338FF" w:rsidRPr="007338FF" w:rsidRDefault="007338FF" w:rsidP="008B1238">
            <w:pPr>
              <w:pStyle w:val="KeyPointsListBullet2"/>
              <w:spacing w:line="240" w:lineRule="atLeast"/>
              <w:rPr>
                <w:spacing w:val="-2"/>
              </w:rPr>
            </w:pPr>
            <w:r w:rsidRPr="007338FF">
              <w:rPr>
                <w:spacing w:val="-2"/>
              </w:rPr>
              <w:t xml:space="preserve">Greater leadership from the Commonwealth Government is required. Further, the CGC should play a more prominent public communication role to inform the public discourse on HFE. It should also provide the States with ‘draft rulings’ on the HFE implications of a proposed policy change. </w:t>
            </w:r>
          </w:p>
          <w:p w:rsidR="007338FF" w:rsidRPr="007338FF" w:rsidRDefault="007338FF" w:rsidP="008B1238">
            <w:pPr>
              <w:pStyle w:val="KeyPointsListBullet2"/>
              <w:spacing w:line="240" w:lineRule="atLeast"/>
              <w:rPr>
                <w:spacing w:val="-2"/>
              </w:rPr>
            </w:pPr>
            <w:r w:rsidRPr="007338FF">
              <w:rPr>
                <w:spacing w:val="-2"/>
              </w:rPr>
              <w:t xml:space="preserve">The Commonwealth Treasury should provide input into the CGC’s consultation processes. This will ensure the CGC’s judgements can be informed by perspectives that take into account the costs and benefits for the community as a whole. </w:t>
            </w:r>
          </w:p>
          <w:p w:rsidR="007338FF" w:rsidRPr="007338FF" w:rsidRDefault="007338FF" w:rsidP="008B1238">
            <w:pPr>
              <w:pStyle w:val="KeyPointsListBullet2"/>
              <w:spacing w:line="240" w:lineRule="atLeast"/>
              <w:rPr>
                <w:spacing w:val="-2"/>
              </w:rPr>
            </w:pPr>
            <w:r w:rsidRPr="007338FF">
              <w:rPr>
                <w:spacing w:val="-2"/>
              </w:rPr>
              <w:t>Outlining clear guidelines detailing the basis on which Commonwealth payments are to be quarantined from HFE by the Commonwealth Treasurer would ensure the CGC’s relativities are not undermined or the objective of HFE compromised.</w:t>
            </w:r>
          </w:p>
          <w:p w:rsidR="00E63363" w:rsidRPr="007338FF" w:rsidRDefault="007338FF" w:rsidP="008B1238">
            <w:pPr>
              <w:pStyle w:val="KeyPointsListBullet2"/>
              <w:spacing w:line="240" w:lineRule="atLeast"/>
              <w:rPr>
                <w:color w:val="000000" w:themeColor="text1"/>
              </w:rPr>
            </w:pPr>
            <w:r w:rsidRPr="007338FF">
              <w:t>Public release of data provided by the States (as well as the CGC’s calculations) would improve government accountability in the HFE system.</w:t>
            </w:r>
          </w:p>
        </w:tc>
        <w:tc>
          <w:tcPr>
            <w:tcW w:w="165" w:type="pct"/>
            <w:tcBorders>
              <w:top w:val="nil"/>
              <w:left w:val="nil"/>
              <w:bottom w:val="nil"/>
              <w:right w:val="nil"/>
            </w:tcBorders>
            <w:shd w:val="clear" w:color="auto" w:fill="FFFFFF" w:themeFill="background1"/>
          </w:tcPr>
          <w:p w:rsidR="00E63363" w:rsidRPr="00DF109C" w:rsidRDefault="00E63363" w:rsidP="00A833A5">
            <w:pPr>
              <w:pStyle w:val="BoxListBullet"/>
              <w:numPr>
                <w:ilvl w:val="0"/>
                <w:numId w:val="0"/>
              </w:numPr>
              <w:ind w:left="284"/>
              <w:rPr>
                <w:color w:val="000000" w:themeColor="text1"/>
              </w:rPr>
            </w:pPr>
          </w:p>
        </w:tc>
        <w:tc>
          <w:tcPr>
            <w:tcW w:w="769" w:type="pct"/>
            <w:tcBorders>
              <w:top w:val="nil"/>
              <w:left w:val="nil"/>
              <w:bottom w:val="nil"/>
              <w:right w:val="nil"/>
            </w:tcBorders>
            <w:shd w:val="clear" w:color="auto" w:fill="F2F2F2"/>
          </w:tcPr>
          <w:p w:rsidR="008B1238" w:rsidRDefault="00752DBB" w:rsidP="008B1238">
            <w:pPr>
              <w:pStyle w:val="BodyText"/>
              <w:spacing w:before="100" w:line="240" w:lineRule="atLeast"/>
              <w:jc w:val="left"/>
              <w:rPr>
                <w:rFonts w:ascii="Arial" w:hAnsi="Arial" w:cs="Arial"/>
                <w:color w:val="000000" w:themeColor="text1"/>
                <w:sz w:val="20"/>
              </w:rPr>
            </w:pPr>
            <w:r>
              <w:rPr>
                <w:rFonts w:ascii="Arial" w:hAnsi="Arial" w:cs="Arial"/>
                <w:color w:val="000000" w:themeColor="text1"/>
                <w:sz w:val="20"/>
              </w:rPr>
              <w:br/>
            </w:r>
            <w:r>
              <w:rPr>
                <w:rFonts w:ascii="Arial" w:hAnsi="Arial" w:cs="Arial"/>
                <w:color w:val="000000" w:themeColor="text1"/>
                <w:sz w:val="20"/>
              </w:rPr>
              <w:br/>
            </w:r>
          </w:p>
          <w:p w:rsidR="008B1238" w:rsidRDefault="007338FF" w:rsidP="008B1238">
            <w:pPr>
              <w:pStyle w:val="BodyText"/>
              <w:spacing w:before="100" w:line="240" w:lineRule="atLeast"/>
              <w:jc w:val="left"/>
              <w:rPr>
                <w:rFonts w:ascii="Arial" w:hAnsi="Arial" w:cs="Arial"/>
                <w:color w:val="000000" w:themeColor="text1"/>
                <w:sz w:val="20"/>
              </w:rPr>
            </w:pPr>
            <w:r>
              <w:rPr>
                <w:rFonts w:ascii="Arial" w:hAnsi="Arial" w:cs="Arial"/>
                <w:color w:val="000000" w:themeColor="text1"/>
                <w:sz w:val="20"/>
              </w:rPr>
              <w:t>pp. 164</w:t>
            </w:r>
            <w:r>
              <w:rPr>
                <w:rFonts w:ascii="Arial" w:hAnsi="Arial" w:cs="Arial"/>
                <w:color w:val="000000" w:themeColor="text1"/>
                <w:sz w:val="20"/>
              </w:rPr>
              <w:noBreakHyphen/>
              <w:t>16</w:t>
            </w:r>
            <w:r w:rsidR="00006F0F">
              <w:rPr>
                <w:rFonts w:ascii="Arial" w:hAnsi="Arial" w:cs="Arial"/>
                <w:color w:val="000000" w:themeColor="text1"/>
                <w:sz w:val="20"/>
              </w:rPr>
              <w:t>5</w:t>
            </w:r>
            <w:r w:rsidR="00752DBB">
              <w:rPr>
                <w:rFonts w:ascii="Arial" w:hAnsi="Arial" w:cs="Arial"/>
                <w:color w:val="000000" w:themeColor="text1"/>
                <w:sz w:val="20"/>
              </w:rPr>
              <w:br/>
            </w:r>
            <w:r w:rsidR="00752DBB">
              <w:rPr>
                <w:rFonts w:ascii="Arial" w:hAnsi="Arial" w:cs="Arial"/>
                <w:color w:val="000000" w:themeColor="text1"/>
                <w:sz w:val="20"/>
              </w:rPr>
              <w:br/>
            </w:r>
            <w:r w:rsidR="00752DBB">
              <w:rPr>
                <w:rFonts w:ascii="Arial" w:hAnsi="Arial" w:cs="Arial"/>
                <w:color w:val="000000" w:themeColor="text1"/>
                <w:sz w:val="20"/>
              </w:rPr>
              <w:br/>
            </w:r>
            <w:r>
              <w:rPr>
                <w:rFonts w:ascii="Arial" w:hAnsi="Arial" w:cs="Arial"/>
                <w:color w:val="000000" w:themeColor="text1"/>
                <w:sz w:val="20"/>
              </w:rPr>
              <w:br/>
            </w:r>
            <w:r w:rsidR="004B683D">
              <w:rPr>
                <w:rFonts w:ascii="Arial" w:hAnsi="Arial" w:cs="Arial"/>
                <w:color w:val="000000" w:themeColor="text1"/>
                <w:sz w:val="20"/>
              </w:rPr>
              <w:br/>
            </w:r>
          </w:p>
          <w:p w:rsidR="008B1238" w:rsidRDefault="007338FF" w:rsidP="008B1238">
            <w:pPr>
              <w:pStyle w:val="BodyText"/>
              <w:spacing w:before="100" w:line="240" w:lineRule="atLeast"/>
              <w:jc w:val="left"/>
              <w:rPr>
                <w:rFonts w:ascii="Arial" w:hAnsi="Arial" w:cs="Arial"/>
                <w:color w:val="000000" w:themeColor="text1"/>
                <w:sz w:val="20"/>
              </w:rPr>
            </w:pPr>
            <w:r>
              <w:rPr>
                <w:rFonts w:ascii="Arial" w:hAnsi="Arial" w:cs="Arial"/>
                <w:color w:val="000000" w:themeColor="text1"/>
                <w:sz w:val="20"/>
              </w:rPr>
              <w:t>pp. 166</w:t>
            </w:r>
            <w:r>
              <w:rPr>
                <w:rFonts w:ascii="Arial" w:hAnsi="Arial" w:cs="Arial"/>
                <w:color w:val="000000" w:themeColor="text1"/>
                <w:sz w:val="20"/>
              </w:rPr>
              <w:noBreakHyphen/>
              <w:t>16</w:t>
            </w:r>
            <w:r w:rsidR="00212982">
              <w:rPr>
                <w:rFonts w:ascii="Arial" w:hAnsi="Arial" w:cs="Arial"/>
                <w:color w:val="000000" w:themeColor="text1"/>
                <w:sz w:val="20"/>
              </w:rPr>
              <w:t>8</w:t>
            </w:r>
            <w:r w:rsidR="000063F5">
              <w:rPr>
                <w:rFonts w:ascii="Arial" w:hAnsi="Arial" w:cs="Arial"/>
                <w:color w:val="000000" w:themeColor="text1"/>
                <w:sz w:val="20"/>
              </w:rPr>
              <w:br/>
            </w:r>
            <w:r w:rsidR="00752DBB">
              <w:rPr>
                <w:rFonts w:ascii="Arial" w:hAnsi="Arial" w:cs="Arial"/>
                <w:color w:val="000000" w:themeColor="text1"/>
                <w:sz w:val="20"/>
              </w:rPr>
              <w:br/>
            </w:r>
            <w:r w:rsidR="004B683D">
              <w:rPr>
                <w:rFonts w:ascii="Arial" w:hAnsi="Arial" w:cs="Arial"/>
                <w:color w:val="000000" w:themeColor="text1"/>
                <w:sz w:val="20"/>
              </w:rPr>
              <w:br/>
            </w:r>
            <w:r w:rsidR="004B683D">
              <w:rPr>
                <w:rFonts w:ascii="Arial" w:hAnsi="Arial" w:cs="Arial"/>
                <w:color w:val="000000" w:themeColor="text1"/>
                <w:sz w:val="20"/>
              </w:rPr>
              <w:br/>
            </w:r>
          </w:p>
          <w:p w:rsidR="008B1238" w:rsidRDefault="00DF109C" w:rsidP="008B1238">
            <w:pPr>
              <w:pStyle w:val="BodyText"/>
              <w:spacing w:before="100" w:line="240" w:lineRule="atLeast"/>
              <w:jc w:val="left"/>
              <w:rPr>
                <w:rFonts w:ascii="Arial" w:hAnsi="Arial" w:cs="Arial"/>
                <w:color w:val="000000" w:themeColor="text1"/>
                <w:sz w:val="20"/>
              </w:rPr>
            </w:pPr>
            <w:r w:rsidRPr="00DF109C">
              <w:rPr>
                <w:rFonts w:ascii="Arial" w:hAnsi="Arial" w:cs="Arial"/>
                <w:color w:val="000000" w:themeColor="text1"/>
                <w:sz w:val="20"/>
              </w:rPr>
              <w:t xml:space="preserve">pp. </w:t>
            </w:r>
            <w:r w:rsidR="007338FF">
              <w:rPr>
                <w:rFonts w:ascii="Arial" w:hAnsi="Arial" w:cs="Arial"/>
                <w:color w:val="000000" w:themeColor="text1"/>
                <w:sz w:val="20"/>
              </w:rPr>
              <w:t>1</w:t>
            </w:r>
            <w:r w:rsidR="00137247">
              <w:rPr>
                <w:rFonts w:ascii="Arial" w:hAnsi="Arial" w:cs="Arial"/>
                <w:color w:val="000000" w:themeColor="text1"/>
                <w:sz w:val="20"/>
              </w:rPr>
              <w:t>71-172</w:t>
            </w:r>
            <w:r w:rsidR="00752DBB">
              <w:rPr>
                <w:rFonts w:ascii="Arial" w:hAnsi="Arial" w:cs="Arial"/>
                <w:color w:val="000000" w:themeColor="text1"/>
                <w:sz w:val="20"/>
              </w:rPr>
              <w:br/>
            </w:r>
            <w:r w:rsidR="00752DBB">
              <w:rPr>
                <w:rFonts w:ascii="Arial" w:hAnsi="Arial" w:cs="Arial"/>
                <w:color w:val="000000" w:themeColor="text1"/>
                <w:sz w:val="20"/>
              </w:rPr>
              <w:br/>
            </w:r>
            <w:r w:rsidR="00752DBB">
              <w:rPr>
                <w:rFonts w:ascii="Arial" w:hAnsi="Arial" w:cs="Arial"/>
                <w:color w:val="000000" w:themeColor="text1"/>
                <w:sz w:val="20"/>
              </w:rPr>
              <w:br/>
            </w:r>
            <w:r w:rsidR="004B683D">
              <w:rPr>
                <w:rFonts w:ascii="Arial" w:hAnsi="Arial" w:cs="Arial"/>
                <w:color w:val="000000" w:themeColor="text1"/>
                <w:sz w:val="20"/>
              </w:rPr>
              <w:br/>
            </w:r>
          </w:p>
          <w:p w:rsidR="008B1238" w:rsidRDefault="00E63363" w:rsidP="008B1238">
            <w:pPr>
              <w:pStyle w:val="BodyText"/>
              <w:spacing w:before="100" w:line="240" w:lineRule="atLeast"/>
              <w:jc w:val="left"/>
              <w:rPr>
                <w:rFonts w:ascii="Arial" w:hAnsi="Arial" w:cs="Arial"/>
                <w:color w:val="000000" w:themeColor="text1"/>
                <w:sz w:val="20"/>
              </w:rPr>
            </w:pPr>
            <w:r w:rsidRPr="00DF109C">
              <w:rPr>
                <w:rFonts w:ascii="Arial" w:hAnsi="Arial" w:cs="Arial"/>
                <w:color w:val="000000" w:themeColor="text1"/>
                <w:sz w:val="20"/>
              </w:rPr>
              <w:t xml:space="preserve">pp. </w:t>
            </w:r>
            <w:r w:rsidR="007338FF">
              <w:rPr>
                <w:rFonts w:ascii="Arial" w:hAnsi="Arial" w:cs="Arial"/>
                <w:color w:val="000000" w:themeColor="text1"/>
                <w:sz w:val="20"/>
              </w:rPr>
              <w:t>174</w:t>
            </w:r>
            <w:r w:rsidR="007338FF">
              <w:rPr>
                <w:rFonts w:ascii="Arial" w:hAnsi="Arial" w:cs="Arial"/>
                <w:color w:val="000000" w:themeColor="text1"/>
                <w:sz w:val="20"/>
              </w:rPr>
              <w:noBreakHyphen/>
              <w:t>175</w:t>
            </w:r>
            <w:r w:rsidR="004B683D">
              <w:rPr>
                <w:rFonts w:ascii="Arial" w:hAnsi="Arial" w:cs="Arial"/>
                <w:color w:val="000000" w:themeColor="text1"/>
                <w:sz w:val="20"/>
              </w:rPr>
              <w:br/>
            </w:r>
            <w:r w:rsidR="00203064">
              <w:rPr>
                <w:rFonts w:ascii="Arial" w:hAnsi="Arial" w:cs="Arial"/>
                <w:color w:val="000000" w:themeColor="text1"/>
                <w:sz w:val="20"/>
              </w:rPr>
              <w:br/>
            </w:r>
            <w:r w:rsidR="004B683D">
              <w:rPr>
                <w:rFonts w:ascii="Arial" w:hAnsi="Arial" w:cs="Arial"/>
                <w:color w:val="000000" w:themeColor="text1"/>
                <w:sz w:val="20"/>
              </w:rPr>
              <w:br/>
            </w:r>
            <w:r w:rsidR="004B683D">
              <w:rPr>
                <w:rFonts w:ascii="Arial" w:hAnsi="Arial" w:cs="Arial"/>
                <w:color w:val="000000" w:themeColor="text1"/>
                <w:sz w:val="20"/>
              </w:rPr>
              <w:br/>
            </w:r>
          </w:p>
          <w:p w:rsidR="008B1238" w:rsidRDefault="00DF109C" w:rsidP="008B1238">
            <w:pPr>
              <w:pStyle w:val="BodyText"/>
              <w:spacing w:before="100" w:line="240" w:lineRule="atLeast"/>
              <w:jc w:val="left"/>
              <w:rPr>
                <w:rFonts w:ascii="Arial" w:hAnsi="Arial" w:cs="Arial"/>
                <w:color w:val="000000" w:themeColor="text1"/>
                <w:sz w:val="20"/>
              </w:rPr>
            </w:pPr>
            <w:r w:rsidRPr="00DF109C">
              <w:rPr>
                <w:rFonts w:ascii="Arial" w:hAnsi="Arial" w:cs="Arial"/>
                <w:color w:val="000000" w:themeColor="text1"/>
                <w:sz w:val="20"/>
              </w:rPr>
              <w:t xml:space="preserve">pp. </w:t>
            </w:r>
            <w:r w:rsidR="007338FF">
              <w:rPr>
                <w:rFonts w:ascii="Arial" w:hAnsi="Arial" w:cs="Arial"/>
                <w:color w:val="000000" w:themeColor="text1"/>
                <w:sz w:val="20"/>
              </w:rPr>
              <w:t>176</w:t>
            </w:r>
            <w:r w:rsidR="007338FF">
              <w:rPr>
                <w:rFonts w:ascii="Arial" w:hAnsi="Arial" w:cs="Arial"/>
                <w:color w:val="000000" w:themeColor="text1"/>
                <w:sz w:val="20"/>
              </w:rPr>
              <w:noBreakHyphen/>
              <w:t>179</w:t>
            </w:r>
            <w:r w:rsidR="00752DBB">
              <w:rPr>
                <w:rFonts w:ascii="Arial" w:hAnsi="Arial" w:cs="Arial"/>
                <w:color w:val="000000" w:themeColor="text1"/>
                <w:sz w:val="20"/>
              </w:rPr>
              <w:br/>
            </w:r>
            <w:r w:rsidR="00752DBB">
              <w:rPr>
                <w:rFonts w:ascii="Arial" w:hAnsi="Arial" w:cs="Arial"/>
                <w:color w:val="000000" w:themeColor="text1"/>
                <w:sz w:val="20"/>
              </w:rPr>
              <w:br/>
            </w:r>
            <w:r w:rsidR="00752DBB">
              <w:rPr>
                <w:rFonts w:ascii="Arial" w:hAnsi="Arial" w:cs="Arial"/>
                <w:color w:val="000000" w:themeColor="text1"/>
                <w:sz w:val="20"/>
              </w:rPr>
              <w:br/>
            </w:r>
          </w:p>
          <w:p w:rsidR="008B1238" w:rsidRDefault="00752DBB" w:rsidP="008B1238">
            <w:pPr>
              <w:pStyle w:val="BodyText"/>
              <w:spacing w:before="100" w:line="240" w:lineRule="atLeast"/>
              <w:jc w:val="left"/>
              <w:rPr>
                <w:rFonts w:ascii="Arial" w:hAnsi="Arial" w:cs="Arial"/>
                <w:color w:val="000000" w:themeColor="text1"/>
                <w:sz w:val="20"/>
              </w:rPr>
            </w:pPr>
            <w:r>
              <w:rPr>
                <w:rFonts w:ascii="Arial" w:hAnsi="Arial" w:cs="Arial"/>
                <w:color w:val="000000" w:themeColor="text1"/>
                <w:sz w:val="20"/>
              </w:rPr>
              <w:br/>
            </w:r>
          </w:p>
          <w:p w:rsidR="008B1238" w:rsidRDefault="00E63363" w:rsidP="008B1238">
            <w:pPr>
              <w:pStyle w:val="BodyText"/>
              <w:spacing w:before="100" w:line="240" w:lineRule="atLeast"/>
              <w:jc w:val="left"/>
              <w:rPr>
                <w:rFonts w:ascii="Arial" w:hAnsi="Arial" w:cs="Arial"/>
                <w:color w:val="000000" w:themeColor="text1"/>
                <w:sz w:val="20"/>
              </w:rPr>
            </w:pPr>
            <w:r w:rsidRPr="00DF109C">
              <w:rPr>
                <w:rFonts w:ascii="Arial" w:hAnsi="Arial" w:cs="Arial"/>
                <w:color w:val="000000" w:themeColor="text1"/>
                <w:sz w:val="20"/>
              </w:rPr>
              <w:t>p</w:t>
            </w:r>
            <w:r w:rsidR="00DF664E">
              <w:rPr>
                <w:rFonts w:ascii="Arial" w:hAnsi="Arial" w:cs="Arial"/>
                <w:color w:val="000000" w:themeColor="text1"/>
                <w:sz w:val="20"/>
              </w:rPr>
              <w:t>p. 180;</w:t>
            </w:r>
            <w:r w:rsidR="00BF1446">
              <w:rPr>
                <w:rFonts w:ascii="Arial" w:hAnsi="Arial" w:cs="Arial"/>
                <w:color w:val="000000" w:themeColor="text1"/>
                <w:sz w:val="20"/>
              </w:rPr>
              <w:t> </w:t>
            </w:r>
            <w:r w:rsidR="007338FF">
              <w:rPr>
                <w:rFonts w:ascii="Arial" w:hAnsi="Arial" w:cs="Arial"/>
                <w:color w:val="000000" w:themeColor="text1"/>
                <w:sz w:val="20"/>
              </w:rPr>
              <w:t>182</w:t>
            </w:r>
            <w:r w:rsidR="007338FF">
              <w:rPr>
                <w:rFonts w:ascii="Arial" w:hAnsi="Arial" w:cs="Arial"/>
                <w:color w:val="000000" w:themeColor="text1"/>
                <w:sz w:val="20"/>
              </w:rPr>
              <w:noBreakHyphen/>
              <w:t>184</w:t>
            </w:r>
            <w:r w:rsidR="004B683D">
              <w:rPr>
                <w:rFonts w:ascii="Arial" w:hAnsi="Arial" w:cs="Arial"/>
                <w:color w:val="000000" w:themeColor="text1"/>
                <w:sz w:val="20"/>
              </w:rPr>
              <w:br/>
            </w:r>
            <w:r w:rsidR="004B683D">
              <w:rPr>
                <w:rFonts w:ascii="Arial" w:hAnsi="Arial" w:cs="Arial"/>
                <w:color w:val="000000" w:themeColor="text1"/>
                <w:sz w:val="20"/>
              </w:rPr>
              <w:br/>
            </w:r>
          </w:p>
          <w:p w:rsidR="008B1238" w:rsidRDefault="007338FF" w:rsidP="008B1238">
            <w:pPr>
              <w:pStyle w:val="BodyText"/>
              <w:spacing w:before="100" w:line="240" w:lineRule="atLeast"/>
              <w:jc w:val="left"/>
              <w:rPr>
                <w:rFonts w:ascii="Arial" w:hAnsi="Arial" w:cs="Arial"/>
                <w:color w:val="000000" w:themeColor="text1"/>
                <w:sz w:val="20"/>
              </w:rPr>
            </w:pPr>
            <w:r>
              <w:rPr>
                <w:rFonts w:ascii="Arial" w:hAnsi="Arial" w:cs="Arial"/>
                <w:color w:val="000000" w:themeColor="text1"/>
                <w:sz w:val="20"/>
              </w:rPr>
              <w:t>pp. 186</w:t>
            </w:r>
            <w:r>
              <w:rPr>
                <w:rFonts w:ascii="Arial" w:hAnsi="Arial" w:cs="Arial"/>
                <w:color w:val="000000" w:themeColor="text1"/>
                <w:sz w:val="20"/>
              </w:rPr>
              <w:noBreakHyphen/>
              <w:t>187</w:t>
            </w:r>
            <w:r w:rsidR="004B683D">
              <w:rPr>
                <w:rFonts w:ascii="Arial" w:hAnsi="Arial" w:cs="Arial"/>
                <w:color w:val="000000" w:themeColor="text1"/>
                <w:sz w:val="20"/>
              </w:rPr>
              <w:br/>
            </w:r>
            <w:r w:rsidR="004B683D">
              <w:rPr>
                <w:rFonts w:ascii="Arial" w:hAnsi="Arial" w:cs="Arial"/>
                <w:color w:val="000000" w:themeColor="text1"/>
                <w:sz w:val="20"/>
              </w:rPr>
              <w:br/>
            </w:r>
            <w:r w:rsidR="004B683D">
              <w:rPr>
                <w:rFonts w:ascii="Arial" w:hAnsi="Arial" w:cs="Arial"/>
                <w:color w:val="000000" w:themeColor="text1"/>
                <w:sz w:val="20"/>
              </w:rPr>
              <w:br/>
            </w:r>
          </w:p>
          <w:p w:rsidR="008B1238" w:rsidRDefault="008564FB" w:rsidP="008B1238">
            <w:pPr>
              <w:pStyle w:val="BodyText"/>
              <w:spacing w:before="100" w:line="240" w:lineRule="atLeast"/>
              <w:jc w:val="left"/>
              <w:rPr>
                <w:rFonts w:ascii="Arial" w:hAnsi="Arial" w:cs="Arial"/>
                <w:color w:val="000000" w:themeColor="text1"/>
                <w:sz w:val="20"/>
              </w:rPr>
            </w:pPr>
            <w:r>
              <w:rPr>
                <w:rFonts w:ascii="Arial" w:hAnsi="Arial" w:cs="Arial"/>
                <w:color w:val="000000" w:themeColor="text1"/>
                <w:sz w:val="20"/>
              </w:rPr>
              <w:t>pp. 185</w:t>
            </w:r>
            <w:r>
              <w:rPr>
                <w:rFonts w:ascii="Arial" w:hAnsi="Arial" w:cs="Arial"/>
                <w:color w:val="000000" w:themeColor="text1"/>
                <w:sz w:val="20"/>
              </w:rPr>
              <w:noBreakHyphen/>
              <w:t>186</w:t>
            </w:r>
            <w:r w:rsidR="004B683D">
              <w:rPr>
                <w:rFonts w:ascii="Arial" w:hAnsi="Arial" w:cs="Arial"/>
                <w:color w:val="000000" w:themeColor="text1"/>
                <w:sz w:val="20"/>
              </w:rPr>
              <w:br/>
            </w:r>
            <w:r w:rsidR="004B683D">
              <w:rPr>
                <w:rFonts w:ascii="Arial" w:hAnsi="Arial" w:cs="Arial"/>
                <w:color w:val="000000" w:themeColor="text1"/>
                <w:sz w:val="20"/>
              </w:rPr>
              <w:br/>
            </w:r>
            <w:r w:rsidR="004B683D">
              <w:rPr>
                <w:rFonts w:ascii="Arial" w:hAnsi="Arial" w:cs="Arial"/>
                <w:color w:val="000000" w:themeColor="text1"/>
                <w:sz w:val="20"/>
              </w:rPr>
              <w:br/>
            </w:r>
          </w:p>
          <w:p w:rsidR="007338FF" w:rsidRPr="00752DBB" w:rsidRDefault="007338FF" w:rsidP="008B1238">
            <w:pPr>
              <w:pStyle w:val="BodyText"/>
              <w:spacing w:before="100" w:line="240" w:lineRule="atLeast"/>
              <w:jc w:val="left"/>
              <w:rPr>
                <w:rFonts w:ascii="Arial" w:hAnsi="Arial" w:cs="Arial"/>
                <w:color w:val="000000" w:themeColor="text1"/>
                <w:sz w:val="20"/>
              </w:rPr>
            </w:pPr>
            <w:r>
              <w:rPr>
                <w:rFonts w:ascii="Arial" w:hAnsi="Arial" w:cs="Arial"/>
                <w:color w:val="000000" w:themeColor="text1"/>
                <w:sz w:val="20"/>
              </w:rPr>
              <w:t>pp. 188</w:t>
            </w:r>
            <w:r>
              <w:rPr>
                <w:rFonts w:ascii="Arial" w:hAnsi="Arial" w:cs="Arial"/>
                <w:color w:val="000000" w:themeColor="text1"/>
                <w:sz w:val="20"/>
              </w:rPr>
              <w:noBreakHyphen/>
              <w:t>190</w:t>
            </w:r>
          </w:p>
        </w:tc>
      </w:tr>
      <w:tr w:rsidR="00DF109C" w:rsidRPr="00DF109C" w:rsidTr="006354A8">
        <w:tc>
          <w:tcPr>
            <w:tcW w:w="4066" w:type="pct"/>
            <w:tcBorders>
              <w:top w:val="nil"/>
              <w:left w:val="nil"/>
              <w:bottom w:val="single" w:sz="12" w:space="0" w:color="78A22F"/>
              <w:right w:val="nil"/>
            </w:tcBorders>
            <w:shd w:val="clear" w:color="auto" w:fill="F2F2F2"/>
          </w:tcPr>
          <w:p w:rsidR="00E63363" w:rsidRPr="00DF109C" w:rsidRDefault="00E63363" w:rsidP="00A833A5">
            <w:pPr>
              <w:pStyle w:val="Box"/>
              <w:spacing w:before="0" w:line="120" w:lineRule="exact"/>
              <w:rPr>
                <w:color w:val="000000" w:themeColor="text1"/>
              </w:rPr>
            </w:pPr>
          </w:p>
        </w:tc>
        <w:tc>
          <w:tcPr>
            <w:tcW w:w="165" w:type="pct"/>
            <w:tcBorders>
              <w:top w:val="nil"/>
              <w:left w:val="nil"/>
              <w:bottom w:val="single" w:sz="12" w:space="0" w:color="78A22F"/>
              <w:right w:val="nil"/>
            </w:tcBorders>
            <w:shd w:val="clear" w:color="auto" w:fill="FFFFFF" w:themeFill="background1"/>
          </w:tcPr>
          <w:p w:rsidR="00E63363" w:rsidRPr="00DF109C" w:rsidRDefault="00E63363" w:rsidP="00A833A5">
            <w:pPr>
              <w:pStyle w:val="Box"/>
              <w:spacing w:before="0" w:line="120" w:lineRule="exact"/>
              <w:rPr>
                <w:color w:val="000000" w:themeColor="text1"/>
              </w:rPr>
            </w:pPr>
          </w:p>
        </w:tc>
        <w:tc>
          <w:tcPr>
            <w:tcW w:w="769" w:type="pct"/>
            <w:tcBorders>
              <w:top w:val="nil"/>
              <w:left w:val="nil"/>
              <w:bottom w:val="single" w:sz="12" w:space="0" w:color="78A22F"/>
              <w:right w:val="nil"/>
            </w:tcBorders>
            <w:shd w:val="clear" w:color="auto" w:fill="F2F2F2"/>
          </w:tcPr>
          <w:p w:rsidR="00E63363" w:rsidRPr="00DF109C" w:rsidRDefault="00E63363" w:rsidP="0064694C">
            <w:pPr>
              <w:pStyle w:val="Box"/>
              <w:spacing w:before="0" w:line="120" w:lineRule="exact"/>
              <w:jc w:val="left"/>
              <w:rPr>
                <w:color w:val="000000" w:themeColor="text1"/>
              </w:rPr>
            </w:pPr>
          </w:p>
        </w:tc>
      </w:tr>
    </w:tbl>
    <w:p w:rsidR="008B1238" w:rsidRDefault="008B1238"/>
    <w:tbl>
      <w:tblPr>
        <w:tblW w:w="5242" w:type="pct"/>
        <w:tblInd w:w="-42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7493"/>
        <w:gridCol w:w="304"/>
        <w:gridCol w:w="1417"/>
      </w:tblGrid>
      <w:tr w:rsidR="006E5630" w:rsidRPr="006354A8" w:rsidTr="006354A8">
        <w:tc>
          <w:tcPr>
            <w:tcW w:w="4066" w:type="pct"/>
            <w:tcBorders>
              <w:top w:val="single" w:sz="12" w:space="0" w:color="78A22F"/>
              <w:left w:val="nil"/>
              <w:bottom w:val="nil"/>
              <w:right w:val="nil"/>
            </w:tcBorders>
            <w:shd w:val="clear" w:color="auto" w:fill="F2F2F2"/>
            <w:tcMar>
              <w:left w:w="57" w:type="dxa"/>
              <w:right w:w="57" w:type="dxa"/>
            </w:tcMar>
          </w:tcPr>
          <w:p w:rsidR="006E5630" w:rsidRPr="006354A8" w:rsidRDefault="006E5630" w:rsidP="006354A8">
            <w:pPr>
              <w:pStyle w:val="BoxTitle"/>
              <w:rPr>
                <w:rFonts w:ascii="Arial Bold" w:hAnsi="Arial Bold"/>
                <w:spacing w:val="-2"/>
              </w:rPr>
            </w:pPr>
            <w:r w:rsidRPr="006354A8">
              <w:rPr>
                <w:rFonts w:ascii="Arial Bold" w:hAnsi="Arial Bold"/>
                <w:spacing w:val="-2"/>
              </w:rPr>
              <w:t xml:space="preserve">Chapter </w:t>
            </w:r>
            <w:r w:rsidR="006354A8" w:rsidRPr="006354A8">
              <w:rPr>
                <w:rFonts w:ascii="Arial Bold" w:hAnsi="Arial Bold"/>
                <w:spacing w:val="-2"/>
              </w:rPr>
              <w:t>7</w:t>
            </w:r>
            <w:r w:rsidRPr="006354A8">
              <w:rPr>
                <w:rFonts w:ascii="Arial Bold" w:hAnsi="Arial Bold"/>
                <w:spacing w:val="-2"/>
              </w:rPr>
              <w:t xml:space="preserve">: </w:t>
            </w:r>
            <w:r w:rsidR="006354A8" w:rsidRPr="006354A8">
              <w:rPr>
                <w:rFonts w:ascii="Arial Bold" w:hAnsi="Arial Bold"/>
                <w:spacing w:val="-2"/>
              </w:rPr>
              <w:t>Are there better ways to assess fiscal capacity?</w:t>
            </w:r>
          </w:p>
        </w:tc>
        <w:tc>
          <w:tcPr>
            <w:tcW w:w="165" w:type="pct"/>
            <w:tcBorders>
              <w:top w:val="single" w:sz="12" w:space="0" w:color="78A22F"/>
              <w:left w:val="nil"/>
              <w:bottom w:val="nil"/>
              <w:right w:val="nil"/>
            </w:tcBorders>
            <w:shd w:val="clear" w:color="auto" w:fill="FFFFFF" w:themeFill="background1"/>
          </w:tcPr>
          <w:p w:rsidR="006E5630" w:rsidRPr="006354A8" w:rsidRDefault="006E5630" w:rsidP="006E5630">
            <w:pPr>
              <w:pStyle w:val="BoxTitle"/>
              <w:rPr>
                <w:rFonts w:ascii="Arial Bold" w:hAnsi="Arial Bold"/>
                <w:spacing w:val="-2"/>
              </w:rPr>
            </w:pPr>
          </w:p>
        </w:tc>
        <w:tc>
          <w:tcPr>
            <w:tcW w:w="769" w:type="pct"/>
            <w:tcBorders>
              <w:top w:val="single" w:sz="12" w:space="0" w:color="78A22F"/>
              <w:left w:val="nil"/>
              <w:bottom w:val="nil"/>
              <w:right w:val="nil"/>
            </w:tcBorders>
            <w:shd w:val="clear" w:color="auto" w:fill="F2F2F2"/>
          </w:tcPr>
          <w:p w:rsidR="006E5630" w:rsidRPr="006354A8" w:rsidRDefault="006E5630" w:rsidP="0064694C">
            <w:pPr>
              <w:pStyle w:val="BoxTitle"/>
              <w:rPr>
                <w:rFonts w:ascii="Arial Bold" w:hAnsi="Arial Bold"/>
                <w:spacing w:val="-2"/>
              </w:rPr>
            </w:pPr>
            <w:r w:rsidRPr="006354A8">
              <w:rPr>
                <w:rFonts w:ascii="Arial Bold" w:hAnsi="Arial Bold"/>
                <w:spacing w:val="-2"/>
              </w:rPr>
              <w:t>For more</w:t>
            </w:r>
          </w:p>
        </w:tc>
      </w:tr>
      <w:tr w:rsidR="00085631" w:rsidRPr="00085631" w:rsidTr="00D4698B">
        <w:tc>
          <w:tcPr>
            <w:tcW w:w="4066" w:type="pct"/>
            <w:tcBorders>
              <w:top w:val="nil"/>
              <w:left w:val="nil"/>
              <w:bottom w:val="nil"/>
              <w:right w:val="nil"/>
            </w:tcBorders>
            <w:shd w:val="clear" w:color="auto" w:fill="F2F2F2"/>
          </w:tcPr>
          <w:p w:rsidR="00871BEA" w:rsidRPr="00871BEA" w:rsidRDefault="00871BEA" w:rsidP="008B1238">
            <w:pPr>
              <w:pStyle w:val="KeyPointsListBullet"/>
              <w:spacing w:line="240" w:lineRule="exact"/>
              <w:rPr>
                <w:spacing w:val="-1"/>
              </w:rPr>
            </w:pPr>
            <w:r w:rsidRPr="00871BEA">
              <w:rPr>
                <w:spacing w:val="-1"/>
              </w:rPr>
              <w:t>The HFE methodology could be improved to help address some of the problems with Australia’s HFE system, in conjunction with the changes to the HFE objective and governance proposed in chapter 6.</w:t>
            </w:r>
          </w:p>
          <w:p w:rsidR="00871BEA" w:rsidRPr="00871BEA" w:rsidRDefault="00871BEA" w:rsidP="008B1238">
            <w:pPr>
              <w:pStyle w:val="KeyPointsListBullet"/>
              <w:spacing w:line="240" w:lineRule="exact"/>
              <w:rPr>
                <w:spacing w:val="-1"/>
              </w:rPr>
            </w:pPr>
            <w:r w:rsidRPr="00871BEA">
              <w:rPr>
                <w:spacing w:val="-1"/>
              </w:rPr>
              <w:t xml:space="preserve">Introducing more policy-neutral indicators (of fiscal capacity) and higher materiality thresholds for what is incorporated into the equalisation process would partially mitigate some of the HFE system’s problems, and complement any reform to the equalisation benchmark. </w:t>
            </w:r>
          </w:p>
          <w:p w:rsidR="00871BEA" w:rsidRPr="00871BEA" w:rsidRDefault="00871BEA" w:rsidP="008B1238">
            <w:pPr>
              <w:pStyle w:val="KeyPointsListBullet2"/>
              <w:spacing w:line="240" w:lineRule="exact"/>
              <w:rPr>
                <w:spacing w:val="-1"/>
              </w:rPr>
            </w:pPr>
            <w:r w:rsidRPr="00871BEA">
              <w:rPr>
                <w:spacing w:val="-1"/>
              </w:rPr>
              <w:t>The CGC should be</w:t>
            </w:r>
            <w:r w:rsidRPr="00871BEA" w:rsidDel="00F76A06">
              <w:rPr>
                <w:spacing w:val="-1"/>
              </w:rPr>
              <w:t xml:space="preserve"> </w:t>
            </w:r>
            <w:r w:rsidRPr="00871BEA">
              <w:rPr>
                <w:spacing w:val="-1"/>
              </w:rPr>
              <w:t>directed to develop simpler and more policy</w:t>
            </w:r>
            <w:r w:rsidRPr="00871BEA">
              <w:rPr>
                <w:spacing w:val="-1"/>
              </w:rPr>
              <w:noBreakHyphen/>
              <w:t>neutral indicators for its 2020 methodology review (such as by aggregating taxes with similar bases) as a way to better balance equity and efficiency</w:t>
            </w:r>
            <w:r w:rsidRPr="00871BEA" w:rsidDel="00BA3B02">
              <w:rPr>
                <w:spacing w:val="-1"/>
              </w:rPr>
              <w:t>.</w:t>
            </w:r>
            <w:r w:rsidRPr="00871BEA">
              <w:rPr>
                <w:spacing w:val="-1"/>
              </w:rPr>
              <w:t xml:space="preserve"> This would be supported by a significant (and overdue) increase in materiality thresholds.</w:t>
            </w:r>
          </w:p>
          <w:p w:rsidR="00871BEA" w:rsidRPr="00871BEA" w:rsidRDefault="00871BEA" w:rsidP="008B1238">
            <w:pPr>
              <w:pStyle w:val="KeyPointsListBullet"/>
              <w:spacing w:line="240" w:lineRule="exact"/>
              <w:rPr>
                <w:spacing w:val="-1"/>
              </w:rPr>
            </w:pPr>
            <w:r w:rsidRPr="00871BEA">
              <w:rPr>
                <w:spacing w:val="-1"/>
              </w:rPr>
              <w:t>Some other in</w:t>
            </w:r>
            <w:r w:rsidRPr="00871BEA">
              <w:rPr>
                <w:spacing w:val="-1"/>
              </w:rPr>
              <w:noBreakHyphen/>
              <w:t>system changes offer prospective benefits, but on balance are not practicable.</w:t>
            </w:r>
          </w:p>
          <w:p w:rsidR="00871BEA" w:rsidRPr="00871BEA" w:rsidRDefault="00871BEA" w:rsidP="008B1238">
            <w:pPr>
              <w:pStyle w:val="KeyPointsListBullet2"/>
              <w:spacing w:line="240" w:lineRule="exact"/>
              <w:rPr>
                <w:spacing w:val="-1"/>
              </w:rPr>
            </w:pPr>
            <w:r w:rsidRPr="00871BEA">
              <w:rPr>
                <w:spacing w:val="-1"/>
              </w:rPr>
              <w:t>Benchmark costs — set to reflect efficient costs of service delivery (what States ‘should do’) — would encourage greater efficiency, but face daunting practical difficulties and much scope for dispute.</w:t>
            </w:r>
          </w:p>
          <w:p w:rsidR="00871BEA" w:rsidRPr="00871BEA" w:rsidRDefault="00871BEA" w:rsidP="008B1238">
            <w:pPr>
              <w:pStyle w:val="KeyPointsListBullet2"/>
              <w:spacing w:line="240" w:lineRule="exact"/>
              <w:rPr>
                <w:spacing w:val="-1"/>
              </w:rPr>
            </w:pPr>
            <w:r w:rsidRPr="00871BEA">
              <w:rPr>
                <w:spacing w:val="-1"/>
              </w:rPr>
              <w:t>Using a single broad indicator (such as gross state product) to assess fiscal capacity offers the prospect of a radically simpler and genuinely policy neutral approach. But most indicators do not adequately reflect States’ revenue</w:t>
            </w:r>
            <w:r w:rsidRPr="00871BEA">
              <w:rPr>
                <w:spacing w:val="-1"/>
              </w:rPr>
              <w:noBreakHyphen/>
              <w:t>raising capacities or expenditure needs and therefore pose a significant risk to fiscal equity.</w:t>
            </w:r>
          </w:p>
          <w:p w:rsidR="00871BEA" w:rsidRPr="00871BEA" w:rsidRDefault="00871BEA" w:rsidP="008B1238">
            <w:pPr>
              <w:pStyle w:val="KeyPointsListBullet2"/>
              <w:spacing w:line="240" w:lineRule="exact"/>
              <w:rPr>
                <w:spacing w:val="-1"/>
              </w:rPr>
            </w:pPr>
            <w:r w:rsidRPr="00871BEA">
              <w:rPr>
                <w:spacing w:val="-1"/>
              </w:rPr>
              <w:t>Elasticity adjustments may help to mitigate the impact of policy</w:t>
            </w:r>
            <w:r w:rsidRPr="00871BEA">
              <w:rPr>
                <w:spacing w:val="-1"/>
              </w:rPr>
              <w:noBreakHyphen/>
              <w:t>induced changes to tax bases on the GST distribution (albeit only those arising from tax rate changes), but would be difficult to implement, subject to dispute, and only possible to apply on an ad hoc basis.</w:t>
            </w:r>
          </w:p>
          <w:p w:rsidR="00871BEA" w:rsidRPr="00871BEA" w:rsidRDefault="00871BEA" w:rsidP="008B1238">
            <w:pPr>
              <w:pStyle w:val="KeyPointsListBullet"/>
              <w:spacing w:line="240" w:lineRule="exact"/>
              <w:rPr>
                <w:spacing w:val="-1"/>
              </w:rPr>
            </w:pPr>
            <w:r w:rsidRPr="00871BEA">
              <w:rPr>
                <w:spacing w:val="-1"/>
              </w:rPr>
              <w:t>Blunter approaches to assess fiscal capacity, such as discounting entire revenue categories (for instance, mining), would come at too high a cost to fiscal equity.</w:t>
            </w:r>
          </w:p>
          <w:p w:rsidR="00871BEA" w:rsidRPr="00871BEA" w:rsidRDefault="00871BEA" w:rsidP="008B1238">
            <w:pPr>
              <w:pStyle w:val="KeyPointsListBullet"/>
              <w:spacing w:line="240" w:lineRule="exact"/>
              <w:rPr>
                <w:spacing w:val="-1"/>
              </w:rPr>
            </w:pPr>
            <w:r w:rsidRPr="00871BEA">
              <w:rPr>
                <w:spacing w:val="-1"/>
              </w:rPr>
              <w:t>Another way to help address policy non</w:t>
            </w:r>
            <w:r w:rsidRPr="00871BEA">
              <w:rPr>
                <w:spacing w:val="-1"/>
              </w:rPr>
              <w:noBreakHyphen/>
              <w:t>neutrality problems, especially in regard to the mining assessment, would be to apply discounts relating to future tax rate changes. This has recently been proposed by the CGC.</w:t>
            </w:r>
          </w:p>
          <w:p w:rsidR="00871BEA" w:rsidRPr="00871BEA" w:rsidRDefault="00871BEA" w:rsidP="008B1238">
            <w:pPr>
              <w:pStyle w:val="KeyPointsListBullet2"/>
              <w:spacing w:line="240" w:lineRule="exact"/>
              <w:rPr>
                <w:spacing w:val="-1"/>
              </w:rPr>
            </w:pPr>
            <w:r w:rsidRPr="00871BEA">
              <w:rPr>
                <w:spacing w:val="-1"/>
              </w:rPr>
              <w:t>However, this departure from full equalisation represents a limited and poorly targeted way to reduce disincentives to reform. It would only address policy influence on average mineral tax rates, and only for Western Australia for the foreseeable future. Moreover, it is not well suited to addressing policy influence over tax bases or other non</w:t>
            </w:r>
            <w:r w:rsidRPr="00871BEA">
              <w:rPr>
                <w:spacing w:val="-1"/>
              </w:rPr>
              <w:noBreakHyphen/>
              <w:t>mining tax rates.</w:t>
            </w:r>
          </w:p>
          <w:p w:rsidR="00871BEA" w:rsidRPr="00871BEA" w:rsidRDefault="00871BEA" w:rsidP="008B1238">
            <w:pPr>
              <w:pStyle w:val="KeyPointsListBullet2"/>
              <w:spacing w:line="240" w:lineRule="exact"/>
              <w:rPr>
                <w:spacing w:val="-1"/>
              </w:rPr>
            </w:pPr>
            <w:r w:rsidRPr="00871BEA">
              <w:rPr>
                <w:spacing w:val="-1"/>
              </w:rPr>
              <w:t>There are no obvious approaches (including use of policy-neutral indicators) that would mitigate the policy non</w:t>
            </w:r>
            <w:r w:rsidRPr="00871BEA">
              <w:rPr>
                <w:spacing w:val="-1"/>
              </w:rPr>
              <w:noBreakHyphen/>
              <w:t>neutrality problems that beset the mining assessment — the biggest driver of redistribution within HFE for the foreseeable future.</w:t>
            </w:r>
          </w:p>
          <w:p w:rsidR="006E5630" w:rsidRPr="00085631" w:rsidRDefault="00871BEA" w:rsidP="008B1238">
            <w:pPr>
              <w:pStyle w:val="KeyPointsListBullet"/>
              <w:spacing w:line="240" w:lineRule="exact"/>
            </w:pPr>
            <w:r w:rsidRPr="00871BEA">
              <w:rPr>
                <w:spacing w:val="-1"/>
              </w:rPr>
              <w:t>Some of the disincentive effects within HFE — namely, those arising from the equalisation of tax bases — are inherent to equalisation itself and cannot be removed completely by way of methodological adjustments. The only way to address such disincentives would be to reduce the extent of equalisation (such that changes in States’ tax bases do not impact their GST payments).</w:t>
            </w:r>
          </w:p>
        </w:tc>
        <w:tc>
          <w:tcPr>
            <w:tcW w:w="165" w:type="pct"/>
            <w:tcBorders>
              <w:top w:val="nil"/>
              <w:left w:val="nil"/>
              <w:bottom w:val="nil"/>
              <w:right w:val="nil"/>
            </w:tcBorders>
            <w:shd w:val="clear" w:color="auto" w:fill="FFFFFF" w:themeFill="background1"/>
          </w:tcPr>
          <w:p w:rsidR="006E5630" w:rsidRPr="00085631" w:rsidRDefault="006E5630" w:rsidP="008B1238">
            <w:pPr>
              <w:pStyle w:val="BoxListBullet"/>
              <w:numPr>
                <w:ilvl w:val="0"/>
                <w:numId w:val="0"/>
              </w:numPr>
              <w:spacing w:line="240" w:lineRule="exact"/>
              <w:ind w:left="284"/>
            </w:pPr>
          </w:p>
        </w:tc>
        <w:tc>
          <w:tcPr>
            <w:tcW w:w="769" w:type="pct"/>
            <w:tcBorders>
              <w:top w:val="nil"/>
              <w:left w:val="nil"/>
              <w:bottom w:val="nil"/>
              <w:right w:val="nil"/>
            </w:tcBorders>
            <w:shd w:val="clear" w:color="auto" w:fill="F2F2F2"/>
            <w:tcMar>
              <w:left w:w="113" w:type="dxa"/>
              <w:right w:w="57" w:type="dxa"/>
            </w:tcMar>
          </w:tcPr>
          <w:p w:rsidR="008B1238" w:rsidRDefault="004B683D" w:rsidP="008B1238">
            <w:pPr>
              <w:pStyle w:val="BodyText"/>
              <w:spacing w:before="100" w:line="240" w:lineRule="exact"/>
              <w:jc w:val="left"/>
              <w:rPr>
                <w:rFonts w:ascii="Arial" w:hAnsi="Arial" w:cs="Arial"/>
                <w:sz w:val="20"/>
              </w:rPr>
            </w:pPr>
            <w:r>
              <w:rPr>
                <w:rFonts w:ascii="Arial" w:hAnsi="Arial" w:cs="Arial"/>
                <w:sz w:val="20"/>
              </w:rPr>
              <w:br/>
            </w:r>
            <w:r>
              <w:rPr>
                <w:rFonts w:ascii="Arial" w:hAnsi="Arial" w:cs="Arial"/>
                <w:sz w:val="20"/>
              </w:rPr>
              <w:br/>
            </w:r>
          </w:p>
          <w:p w:rsidR="008B1238" w:rsidRDefault="006D2CF0" w:rsidP="008B1238">
            <w:pPr>
              <w:pStyle w:val="BodyText"/>
              <w:spacing w:before="100" w:line="240" w:lineRule="exact"/>
              <w:jc w:val="left"/>
              <w:rPr>
                <w:rFonts w:ascii="Arial" w:hAnsi="Arial" w:cs="Arial"/>
                <w:sz w:val="20"/>
              </w:rPr>
            </w:pPr>
            <w:r w:rsidDel="005B41C1">
              <w:rPr>
                <w:rFonts w:ascii="Arial" w:hAnsi="Arial" w:cs="Arial"/>
                <w:sz w:val="20"/>
              </w:rPr>
              <w:t>p</w:t>
            </w:r>
            <w:r>
              <w:rPr>
                <w:rFonts w:ascii="Arial" w:hAnsi="Arial" w:cs="Arial"/>
                <w:sz w:val="20"/>
              </w:rPr>
              <w:t>. 200</w:t>
            </w:r>
            <w:r w:rsidR="00752DBB">
              <w:rPr>
                <w:rFonts w:ascii="Arial" w:hAnsi="Arial" w:cs="Arial"/>
                <w:sz w:val="20"/>
              </w:rPr>
              <w:br/>
            </w:r>
            <w:r w:rsidR="00752DBB">
              <w:rPr>
                <w:rFonts w:ascii="Arial" w:hAnsi="Arial" w:cs="Arial"/>
                <w:sz w:val="20"/>
              </w:rPr>
              <w:br/>
            </w:r>
            <w:r w:rsidR="004B683D">
              <w:rPr>
                <w:rFonts w:ascii="Arial" w:hAnsi="Arial" w:cs="Arial"/>
                <w:sz w:val="20"/>
              </w:rPr>
              <w:br/>
            </w:r>
          </w:p>
          <w:p w:rsidR="008B1238" w:rsidRDefault="006D2CF0" w:rsidP="00BF1446">
            <w:pPr>
              <w:pStyle w:val="BodyText"/>
              <w:spacing w:before="80" w:line="240" w:lineRule="exact"/>
              <w:jc w:val="left"/>
              <w:rPr>
                <w:rFonts w:ascii="Arial" w:hAnsi="Arial" w:cs="Arial"/>
                <w:sz w:val="20"/>
              </w:rPr>
            </w:pPr>
            <w:r>
              <w:rPr>
                <w:rFonts w:ascii="Arial" w:hAnsi="Arial" w:cs="Arial"/>
                <w:sz w:val="20"/>
              </w:rPr>
              <w:t>p. 209</w:t>
            </w:r>
            <w:r w:rsidR="008B1238">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p>
          <w:p w:rsidR="00BF1446" w:rsidRDefault="00BF1446" w:rsidP="008B1238">
            <w:pPr>
              <w:pStyle w:val="BodyText"/>
              <w:spacing w:before="100" w:line="240" w:lineRule="exact"/>
              <w:jc w:val="left"/>
              <w:rPr>
                <w:rFonts w:ascii="Arial" w:hAnsi="Arial" w:cs="Arial"/>
                <w:sz w:val="20"/>
              </w:rPr>
            </w:pPr>
            <w:r>
              <w:rPr>
                <w:rFonts w:ascii="Arial" w:hAnsi="Arial" w:cs="Arial"/>
                <w:sz w:val="20"/>
              </w:rPr>
              <w:br/>
            </w:r>
          </w:p>
          <w:p w:rsidR="008B1238" w:rsidRDefault="00871BEA" w:rsidP="008B1238">
            <w:pPr>
              <w:pStyle w:val="BodyText"/>
              <w:spacing w:before="100" w:line="240" w:lineRule="exact"/>
              <w:jc w:val="left"/>
              <w:rPr>
                <w:rFonts w:ascii="Arial" w:hAnsi="Arial" w:cs="Arial"/>
                <w:sz w:val="20"/>
              </w:rPr>
            </w:pPr>
            <w:r w:rsidDel="005B41C1">
              <w:rPr>
                <w:rFonts w:ascii="Arial" w:hAnsi="Arial" w:cs="Arial"/>
                <w:sz w:val="20"/>
              </w:rPr>
              <w:t>p</w:t>
            </w:r>
            <w:r w:rsidR="00085631">
              <w:rPr>
                <w:rFonts w:ascii="Arial" w:hAnsi="Arial" w:cs="Arial"/>
                <w:sz w:val="20"/>
              </w:rPr>
              <w:t>. </w:t>
            </w:r>
            <w:r>
              <w:rPr>
                <w:rFonts w:ascii="Arial" w:hAnsi="Arial" w:cs="Arial"/>
                <w:sz w:val="20"/>
              </w:rPr>
              <w:t>192</w:t>
            </w:r>
            <w:r w:rsidR="00752DBB">
              <w:rPr>
                <w:rFonts w:ascii="Arial" w:hAnsi="Arial" w:cs="Arial"/>
                <w:sz w:val="20"/>
              </w:rPr>
              <w:br/>
            </w:r>
          </w:p>
          <w:p w:rsidR="008B1238" w:rsidRDefault="00BF1446" w:rsidP="008B1238">
            <w:pPr>
              <w:pStyle w:val="BodyText"/>
              <w:spacing w:before="100" w:line="240" w:lineRule="exact"/>
              <w:jc w:val="left"/>
              <w:rPr>
                <w:rFonts w:ascii="Arial" w:hAnsi="Arial" w:cs="Arial"/>
                <w:sz w:val="20"/>
              </w:rPr>
            </w:pPr>
            <w:r>
              <w:rPr>
                <w:rFonts w:ascii="Arial" w:hAnsi="Arial" w:cs="Arial"/>
                <w:sz w:val="20"/>
              </w:rPr>
              <w:br/>
            </w:r>
            <w:r w:rsidR="007E6260">
              <w:rPr>
                <w:rFonts w:ascii="Arial" w:hAnsi="Arial" w:cs="Arial"/>
                <w:sz w:val="20"/>
              </w:rPr>
              <w:t>pp. 19</w:t>
            </w:r>
            <w:r w:rsidR="005B41C1">
              <w:rPr>
                <w:rFonts w:ascii="Arial" w:hAnsi="Arial" w:cs="Arial"/>
                <w:sz w:val="20"/>
              </w:rPr>
              <w:t>7</w:t>
            </w:r>
            <w:r w:rsidR="007E6260">
              <w:rPr>
                <w:rFonts w:ascii="Arial" w:hAnsi="Arial" w:cs="Arial"/>
                <w:sz w:val="20"/>
              </w:rPr>
              <w:noBreakHyphen/>
              <w:t>19</w:t>
            </w:r>
            <w:r w:rsidR="005B41C1">
              <w:rPr>
                <w:rFonts w:ascii="Arial" w:hAnsi="Arial" w:cs="Arial"/>
                <w:sz w:val="20"/>
              </w:rPr>
              <w:t>9</w:t>
            </w:r>
            <w:r w:rsidR="00D4698B">
              <w:rPr>
                <w:rFonts w:ascii="Arial" w:hAnsi="Arial" w:cs="Arial"/>
                <w:sz w:val="20"/>
              </w:rPr>
              <w:t>; table 7.1 (p. 198)</w:t>
            </w:r>
          </w:p>
          <w:p w:rsidR="008B1238" w:rsidRDefault="00BF1446" w:rsidP="008B1238">
            <w:pPr>
              <w:pStyle w:val="BodyText"/>
              <w:spacing w:before="100" w:line="240" w:lineRule="exact"/>
              <w:jc w:val="left"/>
              <w:rPr>
                <w:rFonts w:ascii="Arial" w:hAnsi="Arial" w:cs="Arial"/>
                <w:sz w:val="20"/>
              </w:rPr>
            </w:pPr>
            <w:r>
              <w:rPr>
                <w:rFonts w:ascii="Arial" w:hAnsi="Arial" w:cs="Arial"/>
                <w:sz w:val="20"/>
              </w:rPr>
              <w:br/>
            </w:r>
            <w:r>
              <w:rPr>
                <w:rFonts w:ascii="Arial" w:hAnsi="Arial" w:cs="Arial"/>
                <w:sz w:val="20"/>
              </w:rPr>
              <w:br/>
            </w:r>
            <w:r w:rsidR="007E6260">
              <w:rPr>
                <w:rFonts w:ascii="Arial" w:hAnsi="Arial" w:cs="Arial"/>
                <w:sz w:val="20"/>
              </w:rPr>
              <w:t>p. 217</w:t>
            </w:r>
            <w:r w:rsidR="00752DBB">
              <w:rPr>
                <w:rFonts w:ascii="Arial" w:hAnsi="Arial" w:cs="Arial"/>
                <w:sz w:val="20"/>
              </w:rPr>
              <w:br/>
            </w:r>
            <w:r w:rsidR="00752DBB">
              <w:rPr>
                <w:rFonts w:ascii="Arial" w:hAnsi="Arial" w:cs="Arial"/>
                <w:sz w:val="20"/>
              </w:rPr>
              <w:br/>
            </w:r>
            <w:r w:rsidR="00752DBB">
              <w:rPr>
                <w:rFonts w:ascii="Arial" w:hAnsi="Arial" w:cs="Arial"/>
                <w:sz w:val="20"/>
              </w:rPr>
              <w:br/>
            </w:r>
          </w:p>
          <w:p w:rsidR="00BF1446" w:rsidRDefault="00085631" w:rsidP="008B1238">
            <w:pPr>
              <w:pStyle w:val="BodyText"/>
              <w:spacing w:before="100" w:line="240" w:lineRule="exact"/>
              <w:jc w:val="left"/>
              <w:rPr>
                <w:rFonts w:ascii="Arial" w:hAnsi="Arial" w:cs="Arial"/>
                <w:sz w:val="20"/>
              </w:rPr>
            </w:pPr>
            <w:r w:rsidRPr="00085631">
              <w:rPr>
                <w:rFonts w:ascii="Arial" w:hAnsi="Arial" w:cs="Arial"/>
                <w:sz w:val="20"/>
              </w:rPr>
              <w:t xml:space="preserve">pp. </w:t>
            </w:r>
            <w:r w:rsidR="007E6260">
              <w:rPr>
                <w:rFonts w:ascii="Arial" w:hAnsi="Arial" w:cs="Arial"/>
                <w:sz w:val="20"/>
              </w:rPr>
              <w:t>209</w:t>
            </w:r>
            <w:r w:rsidR="007E6260">
              <w:rPr>
                <w:rFonts w:ascii="Arial" w:hAnsi="Arial" w:cs="Arial"/>
                <w:sz w:val="20"/>
              </w:rPr>
              <w:noBreakHyphen/>
              <w:t>211</w:t>
            </w:r>
            <w:r w:rsidR="00752DBB">
              <w:rPr>
                <w:rFonts w:ascii="Arial" w:hAnsi="Arial" w:cs="Arial"/>
                <w:sz w:val="20"/>
              </w:rPr>
              <w:br/>
            </w:r>
            <w:r w:rsidR="00752DBB">
              <w:rPr>
                <w:rFonts w:ascii="Arial" w:hAnsi="Arial" w:cs="Arial"/>
                <w:sz w:val="20"/>
              </w:rPr>
              <w:br/>
            </w:r>
          </w:p>
          <w:p w:rsidR="008B1238" w:rsidRDefault="007E6260" w:rsidP="008B1238">
            <w:pPr>
              <w:pStyle w:val="BodyText"/>
              <w:spacing w:before="100" w:line="240" w:lineRule="exact"/>
              <w:jc w:val="left"/>
              <w:rPr>
                <w:rFonts w:ascii="Arial" w:hAnsi="Arial" w:cs="Arial"/>
                <w:sz w:val="20"/>
              </w:rPr>
            </w:pPr>
            <w:r w:rsidDel="005B41C1">
              <w:rPr>
                <w:rFonts w:ascii="Arial" w:hAnsi="Arial" w:cs="Arial"/>
                <w:sz w:val="20"/>
              </w:rPr>
              <w:t>p</w:t>
            </w:r>
            <w:r>
              <w:rPr>
                <w:rFonts w:ascii="Arial" w:hAnsi="Arial" w:cs="Arial"/>
                <w:sz w:val="20"/>
              </w:rPr>
              <w:t>. 213</w:t>
            </w:r>
            <w:r w:rsidR="00752DBB">
              <w:rPr>
                <w:rFonts w:ascii="Arial" w:hAnsi="Arial" w:cs="Arial"/>
                <w:sz w:val="20"/>
              </w:rPr>
              <w:br/>
            </w:r>
            <w:r w:rsidR="00752DBB" w:rsidRPr="00D4698B">
              <w:rPr>
                <w:rFonts w:ascii="Arial" w:hAnsi="Arial" w:cs="Arial"/>
                <w:sz w:val="18"/>
              </w:rPr>
              <w:br/>
            </w:r>
          </w:p>
          <w:p w:rsidR="008B1238" w:rsidRDefault="006E5630" w:rsidP="008B1238">
            <w:pPr>
              <w:pStyle w:val="BodyText"/>
              <w:spacing w:before="100" w:line="240" w:lineRule="exact"/>
              <w:jc w:val="left"/>
              <w:rPr>
                <w:rFonts w:ascii="Arial" w:hAnsi="Arial" w:cs="Arial"/>
                <w:sz w:val="20"/>
              </w:rPr>
            </w:pPr>
            <w:r w:rsidRPr="00085631">
              <w:rPr>
                <w:rFonts w:ascii="Arial" w:hAnsi="Arial" w:cs="Arial"/>
                <w:sz w:val="20"/>
              </w:rPr>
              <w:t>p</w:t>
            </w:r>
            <w:r w:rsidR="007E6260">
              <w:rPr>
                <w:rFonts w:ascii="Arial" w:hAnsi="Arial" w:cs="Arial"/>
                <w:sz w:val="20"/>
              </w:rPr>
              <w:t>p. 214, 216</w:t>
            </w:r>
            <w:r w:rsidR="00D4698B">
              <w:rPr>
                <w:rFonts w:ascii="Arial" w:hAnsi="Arial" w:cs="Arial"/>
                <w:sz w:val="20"/>
              </w:rPr>
              <w:t>; figure 7.1 (p. 214); box 7.7 (p. 215)</w:t>
            </w:r>
          </w:p>
          <w:p w:rsidR="008B1238" w:rsidRDefault="007E6260" w:rsidP="008B1238">
            <w:pPr>
              <w:pStyle w:val="BodyText"/>
              <w:spacing w:before="100" w:line="240" w:lineRule="exact"/>
              <w:jc w:val="left"/>
              <w:rPr>
                <w:rFonts w:ascii="Arial" w:hAnsi="Arial" w:cs="Arial"/>
                <w:sz w:val="20"/>
              </w:rPr>
            </w:pPr>
            <w:r>
              <w:rPr>
                <w:rFonts w:ascii="Arial" w:hAnsi="Arial" w:cs="Arial"/>
                <w:sz w:val="20"/>
              </w:rPr>
              <w:t>p. 219</w:t>
            </w:r>
            <w:r w:rsidR="006E5630" w:rsidRPr="00085631">
              <w:rPr>
                <w:rFonts w:ascii="Arial" w:hAnsi="Arial" w:cs="Arial"/>
                <w:sz w:val="20"/>
              </w:rPr>
              <w:t xml:space="preserve"> </w:t>
            </w:r>
            <w:r w:rsidR="00330F5A">
              <w:rPr>
                <w:rFonts w:ascii="Arial" w:hAnsi="Arial" w:cs="Arial"/>
                <w:sz w:val="20"/>
              </w:rPr>
              <w:br/>
            </w:r>
            <w:r w:rsidR="00BF1446">
              <w:rPr>
                <w:rFonts w:ascii="Arial" w:hAnsi="Arial" w:cs="Arial"/>
                <w:sz w:val="20"/>
              </w:rPr>
              <w:br/>
            </w:r>
            <w:r w:rsidR="00330F5A">
              <w:rPr>
                <w:rFonts w:ascii="Arial" w:hAnsi="Arial" w:cs="Arial"/>
                <w:sz w:val="20"/>
              </w:rPr>
              <w:br/>
            </w:r>
          </w:p>
          <w:p w:rsidR="007E6260" w:rsidRPr="00752DBB" w:rsidRDefault="007E6260" w:rsidP="008B1238">
            <w:pPr>
              <w:pStyle w:val="BodyText"/>
              <w:spacing w:before="100" w:line="240" w:lineRule="exact"/>
              <w:jc w:val="left"/>
              <w:rPr>
                <w:rFonts w:ascii="Arial" w:hAnsi="Arial" w:cs="Arial"/>
                <w:sz w:val="20"/>
              </w:rPr>
            </w:pPr>
            <w:r>
              <w:rPr>
                <w:rFonts w:ascii="Arial" w:hAnsi="Arial" w:cs="Arial"/>
                <w:sz w:val="20"/>
              </w:rPr>
              <w:t>p. 219</w:t>
            </w:r>
          </w:p>
        </w:tc>
      </w:tr>
      <w:tr w:rsidR="00085631" w:rsidRPr="00085631" w:rsidTr="006354A8">
        <w:tc>
          <w:tcPr>
            <w:tcW w:w="4066" w:type="pct"/>
            <w:tcBorders>
              <w:top w:val="nil"/>
              <w:left w:val="nil"/>
              <w:bottom w:val="single" w:sz="12" w:space="0" w:color="78A22F"/>
              <w:right w:val="nil"/>
            </w:tcBorders>
            <w:shd w:val="clear" w:color="auto" w:fill="F2F2F2"/>
          </w:tcPr>
          <w:p w:rsidR="006E5630" w:rsidRPr="00085631" w:rsidRDefault="006E5630" w:rsidP="00A833A5">
            <w:pPr>
              <w:pStyle w:val="Box"/>
              <w:spacing w:before="0" w:line="120" w:lineRule="exact"/>
            </w:pPr>
          </w:p>
        </w:tc>
        <w:tc>
          <w:tcPr>
            <w:tcW w:w="165" w:type="pct"/>
            <w:tcBorders>
              <w:top w:val="nil"/>
              <w:left w:val="nil"/>
              <w:bottom w:val="single" w:sz="12" w:space="0" w:color="78A22F"/>
              <w:right w:val="nil"/>
            </w:tcBorders>
            <w:shd w:val="clear" w:color="auto" w:fill="FFFFFF" w:themeFill="background1"/>
          </w:tcPr>
          <w:p w:rsidR="006E5630" w:rsidRPr="00085631" w:rsidRDefault="006E5630" w:rsidP="00A833A5">
            <w:pPr>
              <w:pStyle w:val="Box"/>
              <w:spacing w:before="0" w:line="120" w:lineRule="exact"/>
            </w:pPr>
          </w:p>
        </w:tc>
        <w:tc>
          <w:tcPr>
            <w:tcW w:w="769" w:type="pct"/>
            <w:tcBorders>
              <w:top w:val="nil"/>
              <w:left w:val="nil"/>
              <w:bottom w:val="single" w:sz="12" w:space="0" w:color="78A22F"/>
              <w:right w:val="nil"/>
            </w:tcBorders>
            <w:shd w:val="clear" w:color="auto" w:fill="F2F2F2"/>
          </w:tcPr>
          <w:p w:rsidR="006E5630" w:rsidRPr="00085631" w:rsidRDefault="006E5630" w:rsidP="0064694C">
            <w:pPr>
              <w:pStyle w:val="Box"/>
              <w:spacing w:before="0" w:line="120" w:lineRule="exact"/>
              <w:jc w:val="left"/>
            </w:pPr>
          </w:p>
        </w:tc>
      </w:tr>
      <w:tr w:rsidR="008F03F4" w:rsidRPr="006354A8" w:rsidTr="006354A8">
        <w:tc>
          <w:tcPr>
            <w:tcW w:w="4066" w:type="pct"/>
            <w:tcBorders>
              <w:top w:val="single" w:sz="12" w:space="0" w:color="78A22F"/>
              <w:left w:val="nil"/>
              <w:bottom w:val="nil"/>
              <w:right w:val="nil"/>
            </w:tcBorders>
            <w:shd w:val="clear" w:color="auto" w:fill="F2F2F2"/>
            <w:tcMar>
              <w:left w:w="57" w:type="dxa"/>
              <w:right w:w="57" w:type="dxa"/>
            </w:tcMar>
          </w:tcPr>
          <w:p w:rsidR="008F03F4" w:rsidRPr="006354A8" w:rsidRDefault="00F54AAE" w:rsidP="0038749A">
            <w:pPr>
              <w:pStyle w:val="BoxTitle"/>
              <w:spacing w:before="100" w:line="260" w:lineRule="exact"/>
              <w:rPr>
                <w:rFonts w:ascii="Arial Bold" w:hAnsi="Arial Bold"/>
                <w:spacing w:val="-2"/>
              </w:rPr>
            </w:pPr>
            <w:r>
              <w:br w:type="page"/>
            </w:r>
            <w:r w:rsidR="008F03F4" w:rsidRPr="006354A8">
              <w:rPr>
                <w:rFonts w:ascii="Arial Bold" w:hAnsi="Arial Bold"/>
                <w:spacing w:val="-2"/>
              </w:rPr>
              <w:t xml:space="preserve">Chapter </w:t>
            </w:r>
            <w:r w:rsidR="006354A8" w:rsidRPr="006354A8">
              <w:rPr>
                <w:rFonts w:ascii="Arial Bold" w:hAnsi="Arial Bold"/>
                <w:spacing w:val="-2"/>
              </w:rPr>
              <w:t>8</w:t>
            </w:r>
            <w:r w:rsidR="008F03F4" w:rsidRPr="006354A8">
              <w:rPr>
                <w:rFonts w:ascii="Arial Bold" w:hAnsi="Arial Bold"/>
                <w:spacing w:val="-2"/>
              </w:rPr>
              <w:t xml:space="preserve">: </w:t>
            </w:r>
            <w:r w:rsidR="006354A8" w:rsidRPr="006354A8">
              <w:rPr>
                <w:rFonts w:ascii="Arial Bold" w:hAnsi="Arial Bold"/>
                <w:spacing w:val="-2"/>
              </w:rPr>
              <w:t>Is there a preferred benchmark for fiscal equalisation?</w:t>
            </w:r>
          </w:p>
        </w:tc>
        <w:tc>
          <w:tcPr>
            <w:tcW w:w="165" w:type="pct"/>
            <w:tcBorders>
              <w:top w:val="single" w:sz="12" w:space="0" w:color="78A22F"/>
              <w:left w:val="nil"/>
              <w:bottom w:val="nil"/>
              <w:right w:val="nil"/>
            </w:tcBorders>
            <w:shd w:val="clear" w:color="auto" w:fill="FFFFFF" w:themeFill="background1"/>
          </w:tcPr>
          <w:p w:rsidR="008F03F4" w:rsidRPr="006354A8" w:rsidRDefault="008F03F4" w:rsidP="0038749A">
            <w:pPr>
              <w:pStyle w:val="BoxTitle"/>
              <w:spacing w:before="100" w:line="260" w:lineRule="exact"/>
              <w:rPr>
                <w:rFonts w:ascii="Arial Bold" w:hAnsi="Arial Bold"/>
                <w:spacing w:val="-2"/>
              </w:rPr>
            </w:pPr>
          </w:p>
        </w:tc>
        <w:tc>
          <w:tcPr>
            <w:tcW w:w="769" w:type="pct"/>
            <w:tcBorders>
              <w:top w:val="single" w:sz="12" w:space="0" w:color="78A22F"/>
              <w:left w:val="nil"/>
              <w:bottom w:val="nil"/>
              <w:right w:val="nil"/>
            </w:tcBorders>
            <w:shd w:val="clear" w:color="auto" w:fill="F2F2F2"/>
          </w:tcPr>
          <w:p w:rsidR="008F03F4" w:rsidRPr="006354A8" w:rsidRDefault="008F03F4" w:rsidP="0038749A">
            <w:pPr>
              <w:pStyle w:val="BoxTitle"/>
              <w:spacing w:before="100" w:line="260" w:lineRule="exact"/>
              <w:rPr>
                <w:rFonts w:ascii="Arial Bold" w:hAnsi="Arial Bold"/>
                <w:spacing w:val="-2"/>
              </w:rPr>
            </w:pPr>
            <w:r w:rsidRPr="006354A8">
              <w:rPr>
                <w:rFonts w:ascii="Arial Bold" w:hAnsi="Arial Bold"/>
                <w:spacing w:val="-2"/>
              </w:rPr>
              <w:t>For more</w:t>
            </w:r>
          </w:p>
        </w:tc>
      </w:tr>
      <w:tr w:rsidR="008F03F4" w:rsidRPr="008F03F4" w:rsidTr="006354A8">
        <w:tc>
          <w:tcPr>
            <w:tcW w:w="4066" w:type="pct"/>
            <w:tcBorders>
              <w:top w:val="nil"/>
              <w:left w:val="nil"/>
              <w:bottom w:val="nil"/>
              <w:right w:val="nil"/>
            </w:tcBorders>
            <w:shd w:val="clear" w:color="auto" w:fill="F2F2F2"/>
          </w:tcPr>
          <w:p w:rsidR="0038749A" w:rsidRDefault="0038749A" w:rsidP="008B1238">
            <w:pPr>
              <w:pStyle w:val="BoxListBullet"/>
              <w:spacing w:line="240" w:lineRule="exact"/>
            </w:pPr>
            <w:r>
              <w:t>Alternative approaches to distributing the GST involve trade</w:t>
            </w:r>
            <w:r>
              <w:noBreakHyphen/>
              <w:t>offs between equity, efficiency, and transparency and accountability. The current approach to managing these trade</w:t>
            </w:r>
            <w:r>
              <w:noBreakHyphen/>
              <w:t>offs is manifest in the equalisation benchmark, which to date has been set by the CGC as equalising to the same standard and thus to the strongest State plus an equal per capita (EPC) amount.</w:t>
            </w:r>
          </w:p>
          <w:p w:rsidR="0038749A" w:rsidRDefault="0038749A" w:rsidP="008B1238">
            <w:pPr>
              <w:pStyle w:val="BoxListBullet"/>
              <w:spacing w:line="240" w:lineRule="exact"/>
            </w:pPr>
            <w:r>
              <w:t>Several alternative equalisation benchmarks (proposed by inquiry participants) would not deliver a reasonable level of equalisation and do not provide a clear improvement over the current system.</w:t>
            </w:r>
          </w:p>
          <w:p w:rsidR="0038749A" w:rsidRDefault="0038749A" w:rsidP="008B1238">
            <w:pPr>
              <w:pStyle w:val="BoxListBullet2"/>
              <w:spacing w:line="240" w:lineRule="exact"/>
            </w:pPr>
            <w:r>
              <w:t>An EPC benchmark appealed to some participants, and it performs well in terms of efficiency, fairness (reward for policy effort) and transparency, but does not equalise the fiscal capacities of States (to any benchmark) and, thus, is inimical to HFE.</w:t>
            </w:r>
          </w:p>
          <w:p w:rsidR="0038749A" w:rsidRDefault="0038749A" w:rsidP="008B1238">
            <w:pPr>
              <w:pStyle w:val="BoxListBullet2"/>
              <w:spacing w:line="240" w:lineRule="exact"/>
            </w:pPr>
            <w:r>
              <w:t>An EPC benchmark with top</w:t>
            </w:r>
            <w:r>
              <w:noBreakHyphen/>
              <w:t xml:space="preserve">up funding could limit these downsides and offer benefits for transparency. However, </w:t>
            </w:r>
            <w:r w:rsidRPr="00203587">
              <w:t xml:space="preserve">funding </w:t>
            </w:r>
            <w:r>
              <w:t>the top up c</w:t>
            </w:r>
            <w:r w:rsidRPr="00203587">
              <w:t xml:space="preserve">ould </w:t>
            </w:r>
            <w:r>
              <w:t>cre</w:t>
            </w:r>
            <w:r w:rsidRPr="00203587">
              <w:t xml:space="preserve">ate </w:t>
            </w:r>
            <w:r>
              <w:t xml:space="preserve">other </w:t>
            </w:r>
            <w:r w:rsidRPr="00203587">
              <w:t>losers</w:t>
            </w:r>
            <w:r>
              <w:t xml:space="preserve">, and should only be contemplated as part of broader reform to federal financial relations. Moreover, such funding is not certain and </w:t>
            </w:r>
            <w:r w:rsidRPr="009F50A5">
              <w:t xml:space="preserve">subject to </w:t>
            </w:r>
            <w:r>
              <w:t>the vagaries of the Commonwealth</w:t>
            </w:r>
            <w:r w:rsidRPr="009F50A5">
              <w:t xml:space="preserve"> </w:t>
            </w:r>
            <w:r>
              <w:t>b</w:t>
            </w:r>
            <w:r w:rsidRPr="009F50A5">
              <w:t>udget</w:t>
            </w:r>
            <w:r>
              <w:t>.</w:t>
            </w:r>
          </w:p>
          <w:p w:rsidR="0038749A" w:rsidRDefault="0038749A" w:rsidP="008B1238">
            <w:pPr>
              <w:pStyle w:val="BoxListBullet2"/>
              <w:spacing w:line="240" w:lineRule="exact"/>
            </w:pPr>
            <w:r>
              <w:t xml:space="preserve">A relativity floor is not well targeted at the efficiency and fairness problems of the HFE system, such as disincentives to undertake major tax reform (efficiency) and receiving reward for policy effort (fairness). </w:t>
            </w:r>
          </w:p>
          <w:p w:rsidR="0038749A" w:rsidRDefault="0038749A" w:rsidP="008B1238">
            <w:pPr>
              <w:pStyle w:val="BoxListBullet"/>
              <w:spacing w:line="240" w:lineRule="exact"/>
            </w:pPr>
            <w:r>
              <w:t xml:space="preserve">Other options for equalising fiscal capacities to less than that of the strongest State (which the Productivity Commission considers a desirable change) hold more promise. These options can deliver (to varying degrees) a reasonable level of equalisation and at the same time enhance the efficiency and fairness of the HFE system. </w:t>
            </w:r>
          </w:p>
          <w:p w:rsidR="0038749A" w:rsidRDefault="0038749A" w:rsidP="008B1238">
            <w:pPr>
              <w:pStyle w:val="BoxListBullet"/>
              <w:spacing w:line="240" w:lineRule="exact"/>
            </w:pPr>
            <w:r>
              <w:t>Options include equalising to the fiscal capacity of the second strongest State, to the average of the fiscally strong States, or to the average of all States. Other options involve full equalisation for the smallest States only and 90 per cent full equalisation (with 10 per cent EPC).</w:t>
            </w:r>
          </w:p>
          <w:p w:rsidR="0038749A" w:rsidRDefault="0038749A" w:rsidP="008B1238">
            <w:pPr>
              <w:pStyle w:val="BoxListBullet"/>
              <w:spacing w:line="240" w:lineRule="exact"/>
            </w:pPr>
            <w:r>
              <w:t>No option is unambiguously superior. On balance, equalising to the average (ETA) fiscal capacity of all States is judged to be the preferred alternative. ETA is expected to provide the greatest scope for efficiency gains and to improve fairness compared with the alternatives. It would enable fiscally stronger States to keep a greater portion of the fiscal dividends of their policy effort, and the fiscal impacts are likely to be modest and manageable using a careful transition approach.</w:t>
            </w:r>
          </w:p>
          <w:p w:rsidR="0038749A" w:rsidRDefault="0038749A" w:rsidP="008B1238">
            <w:pPr>
              <w:pStyle w:val="KeyPointsListBullet2"/>
              <w:spacing w:line="240" w:lineRule="exact"/>
            </w:pPr>
            <w:r>
              <w:t>For those States that would receive less GST (compared to the current system), the largest revenue reduction (without transition) is 2.5 per cent or less of State revenue.</w:t>
            </w:r>
          </w:p>
          <w:p w:rsidR="0038749A" w:rsidRDefault="0038749A" w:rsidP="008B1238">
            <w:pPr>
              <w:pStyle w:val="KeyPointsListBullet2"/>
              <w:spacing w:line="240" w:lineRule="exact"/>
            </w:pPr>
            <w:r>
              <w:t>All States would be able to meet a high level (at least 97 per cent) of their assessed expenditure needs.</w:t>
            </w:r>
          </w:p>
          <w:p w:rsidR="008F03F4" w:rsidRPr="008F03F4" w:rsidRDefault="0038749A" w:rsidP="008B1238">
            <w:pPr>
              <w:pStyle w:val="KeyPointsListBullet2"/>
              <w:spacing w:line="240" w:lineRule="exact"/>
            </w:pPr>
            <w:r>
              <w:t>States can choose (as they do already) to prioritise the way they spend their GST payments to ensure that key services continue to be funded to meet community expectations.</w:t>
            </w:r>
          </w:p>
        </w:tc>
        <w:tc>
          <w:tcPr>
            <w:tcW w:w="165" w:type="pct"/>
            <w:tcBorders>
              <w:top w:val="nil"/>
              <w:left w:val="nil"/>
              <w:bottom w:val="nil"/>
              <w:right w:val="nil"/>
            </w:tcBorders>
            <w:shd w:val="clear" w:color="auto" w:fill="FFFFFF" w:themeFill="background1"/>
          </w:tcPr>
          <w:p w:rsidR="008F03F4" w:rsidRPr="008F03F4" w:rsidRDefault="008F03F4" w:rsidP="00A833A5">
            <w:pPr>
              <w:pStyle w:val="BoxListBullet"/>
              <w:numPr>
                <w:ilvl w:val="0"/>
                <w:numId w:val="0"/>
              </w:numPr>
              <w:ind w:left="284"/>
            </w:pPr>
          </w:p>
        </w:tc>
        <w:tc>
          <w:tcPr>
            <w:tcW w:w="769" w:type="pct"/>
            <w:tcBorders>
              <w:top w:val="nil"/>
              <w:left w:val="nil"/>
              <w:bottom w:val="nil"/>
              <w:right w:val="nil"/>
            </w:tcBorders>
            <w:shd w:val="clear" w:color="auto" w:fill="F2F2F2"/>
          </w:tcPr>
          <w:p w:rsidR="008B1238" w:rsidRDefault="00424D95" w:rsidP="008B1238">
            <w:pPr>
              <w:pStyle w:val="BodyText"/>
              <w:spacing w:before="100" w:line="240" w:lineRule="exact"/>
              <w:jc w:val="left"/>
              <w:rPr>
                <w:rFonts w:ascii="Arial" w:hAnsi="Arial" w:cs="Arial"/>
                <w:sz w:val="20"/>
              </w:rPr>
            </w:pPr>
            <w:r>
              <w:rPr>
                <w:rFonts w:ascii="Arial" w:hAnsi="Arial" w:cs="Arial"/>
                <w:sz w:val="20"/>
              </w:rPr>
              <w:t>p. 222</w:t>
            </w:r>
            <w:r w:rsidR="00752DBB">
              <w:rPr>
                <w:rFonts w:ascii="Arial" w:hAnsi="Arial" w:cs="Arial"/>
                <w:sz w:val="20"/>
              </w:rPr>
              <w:br/>
            </w:r>
            <w:r w:rsidR="00752DBB">
              <w:rPr>
                <w:rFonts w:ascii="Arial" w:hAnsi="Arial" w:cs="Arial"/>
                <w:sz w:val="20"/>
              </w:rPr>
              <w:br/>
            </w:r>
            <w:r w:rsidR="00330F5A">
              <w:rPr>
                <w:rFonts w:ascii="Arial" w:hAnsi="Arial" w:cs="Arial"/>
                <w:sz w:val="20"/>
              </w:rPr>
              <w:br/>
            </w:r>
            <w:r w:rsidR="00752DBB">
              <w:rPr>
                <w:rFonts w:ascii="Arial" w:hAnsi="Arial" w:cs="Arial"/>
                <w:sz w:val="20"/>
              </w:rPr>
              <w:br/>
            </w:r>
          </w:p>
          <w:p w:rsidR="008B1238" w:rsidRDefault="00330F5A" w:rsidP="008B1238">
            <w:pPr>
              <w:pStyle w:val="BodyText"/>
              <w:spacing w:before="100" w:line="240" w:lineRule="exact"/>
              <w:jc w:val="left"/>
              <w:rPr>
                <w:rFonts w:ascii="Arial" w:hAnsi="Arial" w:cs="Arial"/>
                <w:sz w:val="20"/>
              </w:rPr>
            </w:pPr>
            <w:r>
              <w:rPr>
                <w:rFonts w:ascii="Arial" w:hAnsi="Arial" w:cs="Arial"/>
                <w:sz w:val="20"/>
              </w:rPr>
              <w:br/>
            </w:r>
            <w:r>
              <w:rPr>
                <w:rFonts w:ascii="Arial" w:hAnsi="Arial" w:cs="Arial"/>
                <w:sz w:val="20"/>
              </w:rPr>
              <w:br/>
            </w:r>
          </w:p>
          <w:p w:rsidR="008B1238" w:rsidRDefault="00424D95" w:rsidP="008B1238">
            <w:pPr>
              <w:pStyle w:val="BodyText"/>
              <w:spacing w:before="100" w:line="240" w:lineRule="exact"/>
              <w:jc w:val="left"/>
              <w:rPr>
                <w:rFonts w:ascii="Arial" w:hAnsi="Arial" w:cs="Arial"/>
                <w:sz w:val="20"/>
              </w:rPr>
            </w:pPr>
            <w:r>
              <w:rPr>
                <w:rFonts w:ascii="Arial" w:hAnsi="Arial" w:cs="Arial"/>
                <w:sz w:val="20"/>
              </w:rPr>
              <w:t>pp. </w:t>
            </w:r>
            <w:r w:rsidR="00DD6462">
              <w:rPr>
                <w:rFonts w:ascii="Arial" w:hAnsi="Arial" w:cs="Arial"/>
                <w:sz w:val="20"/>
              </w:rPr>
              <w:t>22</w:t>
            </w:r>
            <w:r w:rsidR="005873BF">
              <w:rPr>
                <w:rFonts w:ascii="Arial" w:hAnsi="Arial" w:cs="Arial"/>
                <w:sz w:val="20"/>
              </w:rPr>
              <w:t>4</w:t>
            </w:r>
            <w:r>
              <w:rPr>
                <w:rFonts w:ascii="Arial" w:hAnsi="Arial" w:cs="Arial"/>
                <w:sz w:val="20"/>
              </w:rPr>
              <w:noBreakHyphen/>
              <w:t>225</w:t>
            </w:r>
            <w:r w:rsidR="00752DBB">
              <w:rPr>
                <w:rFonts w:ascii="Arial" w:hAnsi="Arial" w:cs="Arial"/>
                <w:sz w:val="20"/>
              </w:rPr>
              <w:br/>
            </w:r>
            <w:r w:rsidR="00752DBB">
              <w:rPr>
                <w:rFonts w:ascii="Arial" w:hAnsi="Arial" w:cs="Arial"/>
                <w:sz w:val="20"/>
              </w:rPr>
              <w:br/>
            </w:r>
            <w:r w:rsidR="00330F5A">
              <w:rPr>
                <w:rFonts w:ascii="Arial" w:hAnsi="Arial" w:cs="Arial"/>
                <w:sz w:val="20"/>
              </w:rPr>
              <w:br/>
            </w:r>
          </w:p>
          <w:p w:rsidR="008B1238" w:rsidRDefault="008F03F4" w:rsidP="008B1238">
            <w:pPr>
              <w:pStyle w:val="BodyText"/>
              <w:spacing w:before="100" w:line="240" w:lineRule="exact"/>
              <w:jc w:val="left"/>
              <w:rPr>
                <w:rFonts w:ascii="Arial" w:hAnsi="Arial" w:cs="Arial"/>
                <w:sz w:val="20"/>
              </w:rPr>
            </w:pPr>
            <w:r w:rsidRPr="008F03F4">
              <w:rPr>
                <w:rFonts w:ascii="Arial" w:hAnsi="Arial" w:cs="Arial"/>
                <w:sz w:val="20"/>
              </w:rPr>
              <w:t>p</w:t>
            </w:r>
            <w:r w:rsidR="00424D95">
              <w:rPr>
                <w:rFonts w:ascii="Arial" w:hAnsi="Arial" w:cs="Arial"/>
                <w:sz w:val="20"/>
              </w:rPr>
              <w:t>p. 22</w:t>
            </w:r>
            <w:r w:rsidR="005873BF">
              <w:rPr>
                <w:rFonts w:ascii="Arial" w:hAnsi="Arial" w:cs="Arial"/>
                <w:sz w:val="20"/>
              </w:rPr>
              <w:t>7</w:t>
            </w:r>
            <w:r w:rsidR="00424D95">
              <w:rPr>
                <w:rFonts w:ascii="Arial" w:hAnsi="Arial" w:cs="Arial"/>
                <w:sz w:val="20"/>
              </w:rPr>
              <w:noBreakHyphen/>
              <w:t>228</w:t>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p>
          <w:p w:rsidR="008B1238" w:rsidRDefault="00424D95" w:rsidP="008B1238">
            <w:pPr>
              <w:pStyle w:val="BodyText"/>
              <w:spacing w:before="100" w:line="240" w:lineRule="exact"/>
              <w:jc w:val="left"/>
              <w:rPr>
                <w:rFonts w:ascii="Arial" w:hAnsi="Arial" w:cs="Arial"/>
                <w:sz w:val="18"/>
              </w:rPr>
            </w:pPr>
            <w:r>
              <w:rPr>
                <w:rFonts w:ascii="Arial" w:hAnsi="Arial" w:cs="Arial"/>
                <w:sz w:val="20"/>
              </w:rPr>
              <w:t>p. 23</w:t>
            </w:r>
            <w:r w:rsidR="005873BF">
              <w:rPr>
                <w:rFonts w:ascii="Arial" w:hAnsi="Arial" w:cs="Arial"/>
                <w:sz w:val="20"/>
              </w:rPr>
              <w:t>0</w:t>
            </w:r>
            <w:r w:rsidR="00752DBB">
              <w:rPr>
                <w:rFonts w:ascii="Arial" w:hAnsi="Arial" w:cs="Arial"/>
                <w:sz w:val="20"/>
              </w:rPr>
              <w:br/>
            </w:r>
            <w:r w:rsidR="00330F5A">
              <w:rPr>
                <w:rFonts w:ascii="Arial" w:hAnsi="Arial" w:cs="Arial"/>
                <w:sz w:val="18"/>
              </w:rPr>
              <w:br/>
            </w:r>
          </w:p>
          <w:p w:rsidR="008B1238" w:rsidRDefault="008F03F4" w:rsidP="008B1238">
            <w:pPr>
              <w:pStyle w:val="BodyText"/>
              <w:spacing w:before="100" w:line="240" w:lineRule="exact"/>
              <w:jc w:val="left"/>
              <w:rPr>
                <w:rFonts w:ascii="Arial" w:hAnsi="Arial" w:cs="Arial"/>
                <w:sz w:val="20"/>
              </w:rPr>
            </w:pPr>
            <w:r w:rsidRPr="008F03F4">
              <w:rPr>
                <w:rFonts w:ascii="Arial" w:hAnsi="Arial" w:cs="Arial"/>
                <w:sz w:val="20"/>
              </w:rPr>
              <w:t>p</w:t>
            </w:r>
            <w:r w:rsidR="00424D95">
              <w:rPr>
                <w:rFonts w:ascii="Arial" w:hAnsi="Arial" w:cs="Arial"/>
                <w:sz w:val="20"/>
              </w:rPr>
              <w:t>. 232</w:t>
            </w:r>
            <w:r w:rsidR="00752DBB">
              <w:rPr>
                <w:rFonts w:ascii="Arial" w:hAnsi="Arial" w:cs="Arial"/>
                <w:sz w:val="20"/>
              </w:rPr>
              <w:br/>
            </w:r>
            <w:r w:rsidR="00752DBB">
              <w:rPr>
                <w:rFonts w:ascii="Arial" w:hAnsi="Arial" w:cs="Arial"/>
                <w:sz w:val="20"/>
              </w:rPr>
              <w:br/>
            </w:r>
            <w:r w:rsidR="00424D95">
              <w:rPr>
                <w:rFonts w:ascii="Arial" w:hAnsi="Arial" w:cs="Arial"/>
                <w:sz w:val="20"/>
              </w:rPr>
              <w:br/>
            </w:r>
            <w:r w:rsidR="00424D95">
              <w:rPr>
                <w:rFonts w:ascii="Arial" w:hAnsi="Arial" w:cs="Arial"/>
                <w:sz w:val="20"/>
              </w:rPr>
              <w:br/>
            </w:r>
          </w:p>
          <w:p w:rsidR="008B1238" w:rsidRDefault="008F03F4" w:rsidP="008B1238">
            <w:pPr>
              <w:pStyle w:val="BodyText"/>
              <w:spacing w:before="100" w:line="240" w:lineRule="exact"/>
              <w:jc w:val="left"/>
              <w:rPr>
                <w:rFonts w:ascii="Arial" w:hAnsi="Arial" w:cs="Arial"/>
                <w:sz w:val="20"/>
              </w:rPr>
            </w:pPr>
            <w:r w:rsidRPr="008F03F4" w:rsidDel="005873BF">
              <w:rPr>
                <w:rFonts w:ascii="Arial" w:hAnsi="Arial" w:cs="Arial"/>
                <w:sz w:val="20"/>
              </w:rPr>
              <w:t>p</w:t>
            </w:r>
            <w:r w:rsidRPr="008F03F4">
              <w:rPr>
                <w:rFonts w:ascii="Arial" w:hAnsi="Arial" w:cs="Arial"/>
                <w:sz w:val="20"/>
              </w:rPr>
              <w:t>.</w:t>
            </w:r>
            <w:r w:rsidR="00424D95">
              <w:rPr>
                <w:rFonts w:ascii="Arial" w:hAnsi="Arial" w:cs="Arial"/>
                <w:sz w:val="20"/>
              </w:rPr>
              <w:t> 233</w:t>
            </w:r>
            <w:r w:rsidR="00752DBB">
              <w:rPr>
                <w:rFonts w:ascii="Arial" w:hAnsi="Arial" w:cs="Arial"/>
                <w:sz w:val="20"/>
              </w:rPr>
              <w:br/>
            </w:r>
            <w:r w:rsidR="00424D95">
              <w:rPr>
                <w:rFonts w:ascii="Arial" w:hAnsi="Arial" w:cs="Arial"/>
                <w:sz w:val="20"/>
              </w:rPr>
              <w:br/>
            </w:r>
            <w:r w:rsidR="00424D95">
              <w:rPr>
                <w:rFonts w:ascii="Arial" w:hAnsi="Arial" w:cs="Arial"/>
                <w:sz w:val="20"/>
              </w:rPr>
              <w:br/>
            </w:r>
          </w:p>
          <w:p w:rsidR="00330F5A" w:rsidRDefault="008F03F4" w:rsidP="008B1238">
            <w:pPr>
              <w:pStyle w:val="BodyText"/>
              <w:spacing w:before="100" w:line="240" w:lineRule="exact"/>
              <w:jc w:val="left"/>
              <w:rPr>
                <w:rFonts w:ascii="Arial" w:hAnsi="Arial" w:cs="Arial"/>
                <w:sz w:val="20"/>
              </w:rPr>
            </w:pPr>
            <w:r w:rsidRPr="008F03F4" w:rsidDel="005873BF">
              <w:rPr>
                <w:rFonts w:ascii="Arial" w:hAnsi="Arial" w:cs="Arial"/>
                <w:sz w:val="20"/>
              </w:rPr>
              <w:t>pp.</w:t>
            </w:r>
            <w:r w:rsidR="00424D95" w:rsidDel="005873BF">
              <w:rPr>
                <w:rFonts w:ascii="Arial" w:hAnsi="Arial" w:cs="Arial"/>
                <w:sz w:val="20"/>
              </w:rPr>
              <w:t> </w:t>
            </w:r>
            <w:r w:rsidR="00424D95">
              <w:rPr>
                <w:rFonts w:ascii="Arial" w:hAnsi="Arial" w:cs="Arial"/>
                <w:sz w:val="20"/>
              </w:rPr>
              <w:t>25</w:t>
            </w:r>
            <w:r w:rsidR="005873BF">
              <w:rPr>
                <w:rFonts w:ascii="Arial" w:hAnsi="Arial" w:cs="Arial"/>
                <w:sz w:val="20"/>
              </w:rPr>
              <w:t>4</w:t>
            </w:r>
            <w:r w:rsidR="00424D95">
              <w:rPr>
                <w:rFonts w:ascii="Arial" w:hAnsi="Arial" w:cs="Arial"/>
                <w:sz w:val="20"/>
              </w:rPr>
              <w:noBreakHyphen/>
              <w:t>25</w:t>
            </w:r>
            <w:r w:rsidR="005873BF">
              <w:rPr>
                <w:rFonts w:ascii="Arial" w:hAnsi="Arial" w:cs="Arial"/>
                <w:sz w:val="20"/>
              </w:rPr>
              <w:t>5</w:t>
            </w:r>
            <w:r w:rsidR="00424D95">
              <w:rPr>
                <w:rFonts w:ascii="Arial" w:hAnsi="Arial" w:cs="Arial"/>
                <w:sz w:val="20"/>
              </w:rPr>
              <w:t xml:space="preserve">; </w:t>
            </w:r>
            <w:r w:rsidR="005873BF">
              <w:rPr>
                <w:rFonts w:ascii="Arial" w:hAnsi="Arial" w:cs="Arial"/>
                <w:sz w:val="20"/>
              </w:rPr>
              <w:t>table 8.4 (page 240);</w:t>
            </w:r>
            <w:r w:rsidR="00424D95">
              <w:rPr>
                <w:rFonts w:ascii="Arial" w:hAnsi="Arial" w:cs="Arial"/>
                <w:sz w:val="20"/>
              </w:rPr>
              <w:t xml:space="preserve"> box 8.3 (p. 249)</w:t>
            </w:r>
            <w:r w:rsidR="008B1238">
              <w:rPr>
                <w:rFonts w:ascii="Arial" w:hAnsi="Arial" w:cs="Arial"/>
                <w:sz w:val="20"/>
              </w:rPr>
              <w:br/>
            </w:r>
          </w:p>
          <w:p w:rsidR="007304F6" w:rsidRDefault="00424D95" w:rsidP="008B1238">
            <w:pPr>
              <w:pStyle w:val="BodyText"/>
              <w:spacing w:before="100" w:line="240" w:lineRule="exact"/>
              <w:jc w:val="left"/>
              <w:rPr>
                <w:rFonts w:ascii="Arial" w:hAnsi="Arial" w:cs="Arial"/>
                <w:sz w:val="20"/>
              </w:rPr>
            </w:pPr>
            <w:r>
              <w:rPr>
                <w:rFonts w:ascii="Arial" w:hAnsi="Arial" w:cs="Arial"/>
                <w:sz w:val="20"/>
              </w:rPr>
              <w:t xml:space="preserve">Table 8.5 (p. 243); </w:t>
            </w:r>
          </w:p>
          <w:p w:rsidR="007304F6" w:rsidRDefault="007304F6" w:rsidP="008B1238">
            <w:pPr>
              <w:pStyle w:val="BodyText"/>
              <w:spacing w:before="100" w:line="240" w:lineRule="exact"/>
              <w:jc w:val="left"/>
              <w:rPr>
                <w:rFonts w:ascii="Arial" w:hAnsi="Arial" w:cs="Arial"/>
                <w:sz w:val="20"/>
              </w:rPr>
            </w:pPr>
          </w:p>
          <w:p w:rsidR="008B1238" w:rsidRDefault="007304F6" w:rsidP="008B1238">
            <w:pPr>
              <w:pStyle w:val="BodyText"/>
              <w:spacing w:before="100" w:line="240" w:lineRule="exact"/>
              <w:jc w:val="left"/>
              <w:rPr>
                <w:rFonts w:ascii="Arial" w:hAnsi="Arial" w:cs="Arial"/>
                <w:sz w:val="20"/>
              </w:rPr>
            </w:pPr>
            <w:r>
              <w:rPr>
                <w:rFonts w:ascii="Arial" w:hAnsi="Arial" w:cs="Arial"/>
                <w:sz w:val="20"/>
              </w:rPr>
              <w:t>Figure</w:t>
            </w:r>
            <w:r w:rsidR="00424D95">
              <w:rPr>
                <w:rFonts w:ascii="Arial" w:hAnsi="Arial" w:cs="Arial"/>
                <w:sz w:val="20"/>
              </w:rPr>
              <w:t xml:space="preserve"> 8.6 (p. 24</w:t>
            </w:r>
            <w:r>
              <w:rPr>
                <w:rFonts w:ascii="Arial" w:hAnsi="Arial" w:cs="Arial"/>
                <w:sz w:val="20"/>
              </w:rPr>
              <w:t>5</w:t>
            </w:r>
            <w:r w:rsidR="00424D95">
              <w:rPr>
                <w:rFonts w:ascii="Arial" w:hAnsi="Arial" w:cs="Arial"/>
                <w:sz w:val="20"/>
              </w:rPr>
              <w:t>)</w:t>
            </w:r>
            <w:r w:rsidR="00330F5A">
              <w:rPr>
                <w:rFonts w:ascii="Arial" w:hAnsi="Arial" w:cs="Arial"/>
                <w:sz w:val="20"/>
              </w:rPr>
              <w:t xml:space="preserve">; </w:t>
            </w:r>
            <w:r w:rsidR="005250F8">
              <w:rPr>
                <w:rFonts w:ascii="Arial" w:hAnsi="Arial" w:cs="Arial"/>
                <w:sz w:val="20"/>
              </w:rPr>
              <w:t>pp.</w:t>
            </w:r>
            <w:r w:rsidR="00330F5A">
              <w:rPr>
                <w:rFonts w:ascii="Arial" w:hAnsi="Arial" w:cs="Arial"/>
                <w:sz w:val="20"/>
              </w:rPr>
              <w:t> </w:t>
            </w:r>
            <w:r w:rsidR="005250F8">
              <w:rPr>
                <w:rFonts w:ascii="Arial" w:hAnsi="Arial" w:cs="Arial"/>
                <w:sz w:val="20"/>
              </w:rPr>
              <w:t>244-245</w:t>
            </w:r>
          </w:p>
          <w:p w:rsidR="008F03F4" w:rsidRPr="00752DBB" w:rsidRDefault="00424D95" w:rsidP="008B1238">
            <w:pPr>
              <w:pStyle w:val="BodyText"/>
              <w:spacing w:before="200" w:line="240" w:lineRule="exact"/>
              <w:jc w:val="left"/>
              <w:rPr>
                <w:rFonts w:ascii="Arial" w:hAnsi="Arial" w:cs="Arial"/>
                <w:sz w:val="20"/>
              </w:rPr>
            </w:pPr>
            <w:r>
              <w:rPr>
                <w:rFonts w:ascii="Arial" w:hAnsi="Arial" w:cs="Arial"/>
                <w:sz w:val="20"/>
              </w:rPr>
              <w:t>p. 245</w:t>
            </w:r>
          </w:p>
        </w:tc>
      </w:tr>
      <w:tr w:rsidR="008F03F4" w:rsidRPr="00085631" w:rsidTr="006354A8">
        <w:tc>
          <w:tcPr>
            <w:tcW w:w="4066" w:type="pct"/>
            <w:tcBorders>
              <w:top w:val="nil"/>
              <w:left w:val="nil"/>
              <w:bottom w:val="single" w:sz="12" w:space="0" w:color="78A22F"/>
              <w:right w:val="nil"/>
            </w:tcBorders>
            <w:shd w:val="clear" w:color="auto" w:fill="F2F2F2"/>
          </w:tcPr>
          <w:p w:rsidR="008F03F4" w:rsidRPr="00085631" w:rsidRDefault="008F03F4" w:rsidP="00A833A5">
            <w:pPr>
              <w:pStyle w:val="Box"/>
              <w:spacing w:before="0" w:line="120" w:lineRule="exact"/>
            </w:pPr>
          </w:p>
        </w:tc>
        <w:tc>
          <w:tcPr>
            <w:tcW w:w="165" w:type="pct"/>
            <w:tcBorders>
              <w:top w:val="nil"/>
              <w:left w:val="nil"/>
              <w:bottom w:val="single" w:sz="12" w:space="0" w:color="78A22F"/>
              <w:right w:val="nil"/>
            </w:tcBorders>
            <w:shd w:val="clear" w:color="auto" w:fill="FFFFFF" w:themeFill="background1"/>
          </w:tcPr>
          <w:p w:rsidR="008F03F4" w:rsidRPr="00085631" w:rsidRDefault="008F03F4" w:rsidP="00A833A5">
            <w:pPr>
              <w:pStyle w:val="Box"/>
              <w:spacing w:before="0" w:line="120" w:lineRule="exact"/>
            </w:pPr>
          </w:p>
        </w:tc>
        <w:tc>
          <w:tcPr>
            <w:tcW w:w="769" w:type="pct"/>
            <w:tcBorders>
              <w:top w:val="nil"/>
              <w:left w:val="nil"/>
              <w:bottom w:val="single" w:sz="12" w:space="0" w:color="78A22F"/>
              <w:right w:val="nil"/>
            </w:tcBorders>
            <w:shd w:val="clear" w:color="auto" w:fill="F2F2F2"/>
          </w:tcPr>
          <w:p w:rsidR="008F03F4" w:rsidRPr="00085631" w:rsidRDefault="008F03F4" w:rsidP="0064694C">
            <w:pPr>
              <w:pStyle w:val="Box"/>
              <w:spacing w:before="0" w:line="120" w:lineRule="exact"/>
              <w:jc w:val="left"/>
            </w:pPr>
          </w:p>
        </w:tc>
      </w:tr>
    </w:tbl>
    <w:p w:rsidR="008B1238" w:rsidRDefault="008B1238"/>
    <w:tbl>
      <w:tblPr>
        <w:tblW w:w="5242" w:type="pct"/>
        <w:tblInd w:w="-42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7493"/>
        <w:gridCol w:w="304"/>
        <w:gridCol w:w="1417"/>
      </w:tblGrid>
      <w:tr w:rsidR="00B13991" w:rsidRPr="006E5630" w:rsidTr="009C4D91">
        <w:tc>
          <w:tcPr>
            <w:tcW w:w="4066" w:type="pct"/>
            <w:tcBorders>
              <w:top w:val="single" w:sz="12" w:space="0" w:color="78A22F"/>
              <w:left w:val="nil"/>
              <w:bottom w:val="nil"/>
              <w:right w:val="nil"/>
            </w:tcBorders>
            <w:shd w:val="clear" w:color="auto" w:fill="F2F2F2"/>
          </w:tcPr>
          <w:p w:rsidR="00B13991" w:rsidRPr="006E5630" w:rsidRDefault="00B13991" w:rsidP="0038749A">
            <w:pPr>
              <w:pStyle w:val="BoxTitle"/>
              <w:spacing w:before="100" w:line="260" w:lineRule="exact"/>
            </w:pPr>
            <w:r w:rsidRPr="006E5630">
              <w:t xml:space="preserve">Chapter </w:t>
            </w:r>
            <w:r w:rsidR="006354A8">
              <w:t>9</w:t>
            </w:r>
            <w:r w:rsidRPr="006E5630">
              <w:t xml:space="preserve">: </w:t>
            </w:r>
            <w:r w:rsidR="006354A8">
              <w:t>The way ahead</w:t>
            </w:r>
          </w:p>
        </w:tc>
        <w:tc>
          <w:tcPr>
            <w:tcW w:w="165" w:type="pct"/>
            <w:tcBorders>
              <w:top w:val="single" w:sz="12" w:space="0" w:color="78A22F"/>
              <w:left w:val="nil"/>
              <w:bottom w:val="nil"/>
              <w:right w:val="nil"/>
            </w:tcBorders>
            <w:shd w:val="clear" w:color="auto" w:fill="FFFFFF" w:themeFill="background1"/>
          </w:tcPr>
          <w:p w:rsidR="00B13991" w:rsidRPr="006E5630" w:rsidRDefault="00B13991" w:rsidP="0038749A">
            <w:pPr>
              <w:pStyle w:val="BoxTitle"/>
              <w:spacing w:before="100" w:line="260" w:lineRule="exact"/>
            </w:pPr>
          </w:p>
        </w:tc>
        <w:tc>
          <w:tcPr>
            <w:tcW w:w="769" w:type="pct"/>
            <w:tcBorders>
              <w:top w:val="single" w:sz="12" w:space="0" w:color="78A22F"/>
              <w:left w:val="nil"/>
              <w:bottom w:val="nil"/>
              <w:right w:val="nil"/>
            </w:tcBorders>
            <w:shd w:val="clear" w:color="auto" w:fill="F2F2F2"/>
          </w:tcPr>
          <w:p w:rsidR="00B13991" w:rsidRPr="006E5630" w:rsidRDefault="00B13991" w:rsidP="0038749A">
            <w:pPr>
              <w:pStyle w:val="BoxTitle"/>
              <w:spacing w:before="100" w:line="260" w:lineRule="exact"/>
            </w:pPr>
            <w:r w:rsidRPr="006E5630">
              <w:t>For more</w:t>
            </w:r>
          </w:p>
        </w:tc>
      </w:tr>
      <w:tr w:rsidR="00B13991" w:rsidRPr="00B13991" w:rsidTr="009C4D91">
        <w:tc>
          <w:tcPr>
            <w:tcW w:w="4066" w:type="pct"/>
            <w:tcBorders>
              <w:top w:val="nil"/>
              <w:left w:val="nil"/>
              <w:bottom w:val="nil"/>
              <w:right w:val="nil"/>
            </w:tcBorders>
            <w:shd w:val="clear" w:color="auto" w:fill="F2F2F2"/>
          </w:tcPr>
          <w:p w:rsidR="0038749A" w:rsidRPr="005E2BD3" w:rsidRDefault="0038749A" w:rsidP="008B1238">
            <w:pPr>
              <w:keepNext/>
              <w:numPr>
                <w:ilvl w:val="0"/>
                <w:numId w:val="1"/>
              </w:numPr>
              <w:spacing w:before="90" w:line="220" w:lineRule="exact"/>
              <w:jc w:val="both"/>
              <w:rPr>
                <w:rFonts w:ascii="Arial" w:hAnsi="Arial"/>
                <w:sz w:val="20"/>
                <w:szCs w:val="20"/>
              </w:rPr>
            </w:pPr>
            <w:r w:rsidRPr="005E2BD3">
              <w:rPr>
                <w:rFonts w:ascii="Arial" w:hAnsi="Arial"/>
                <w:sz w:val="20"/>
                <w:szCs w:val="20"/>
              </w:rPr>
              <w:t>Th</w:t>
            </w:r>
            <w:r>
              <w:rPr>
                <w:rFonts w:ascii="Arial" w:hAnsi="Arial"/>
                <w:sz w:val="20"/>
                <w:szCs w:val="20"/>
              </w:rPr>
              <w:t xml:space="preserve">e Commission </w:t>
            </w:r>
            <w:r w:rsidRPr="005E2BD3">
              <w:rPr>
                <w:rFonts w:ascii="Arial" w:hAnsi="Arial"/>
                <w:sz w:val="20"/>
                <w:szCs w:val="20"/>
              </w:rPr>
              <w:t xml:space="preserve">has identified a </w:t>
            </w:r>
            <w:r>
              <w:rPr>
                <w:rFonts w:ascii="Arial" w:hAnsi="Arial"/>
                <w:sz w:val="20"/>
                <w:szCs w:val="20"/>
              </w:rPr>
              <w:t>package</w:t>
            </w:r>
            <w:r w:rsidRPr="005E2BD3">
              <w:rPr>
                <w:rFonts w:ascii="Arial" w:hAnsi="Arial"/>
                <w:sz w:val="20"/>
                <w:szCs w:val="20"/>
              </w:rPr>
              <w:t xml:space="preserve"> of reforms that will improve the equity, efficiency and transparency and accountability of the HFE system. Most of these </w:t>
            </w:r>
            <w:r>
              <w:rPr>
                <w:rFonts w:ascii="Arial" w:hAnsi="Arial"/>
                <w:sz w:val="20"/>
                <w:szCs w:val="20"/>
              </w:rPr>
              <w:t xml:space="preserve">improvements </w:t>
            </w:r>
            <w:r w:rsidRPr="005E2BD3">
              <w:rPr>
                <w:rFonts w:ascii="Arial" w:hAnsi="Arial"/>
                <w:sz w:val="20"/>
                <w:szCs w:val="20"/>
              </w:rPr>
              <w:t>can be pursued without delay, including:</w:t>
            </w:r>
          </w:p>
          <w:p w:rsidR="0038749A" w:rsidRPr="005E2BD3" w:rsidRDefault="0038749A" w:rsidP="008B1238">
            <w:pPr>
              <w:keepNext/>
              <w:numPr>
                <w:ilvl w:val="0"/>
                <w:numId w:val="13"/>
              </w:numPr>
              <w:spacing w:before="90" w:line="220" w:lineRule="exact"/>
              <w:ind w:left="568" w:hanging="284"/>
              <w:jc w:val="both"/>
              <w:rPr>
                <w:rFonts w:ascii="Arial" w:hAnsi="Arial"/>
                <w:sz w:val="20"/>
                <w:szCs w:val="20"/>
              </w:rPr>
            </w:pPr>
            <w:r w:rsidRPr="005E2BD3">
              <w:rPr>
                <w:rFonts w:ascii="Arial" w:hAnsi="Arial"/>
                <w:sz w:val="20"/>
                <w:szCs w:val="20"/>
              </w:rPr>
              <w:t>revising the HFE objective to give States the capacity to deliver reasonable service levels</w:t>
            </w:r>
          </w:p>
          <w:p w:rsidR="0038749A" w:rsidRPr="005E2BD3" w:rsidRDefault="0038749A" w:rsidP="008B1238">
            <w:pPr>
              <w:keepNext/>
              <w:numPr>
                <w:ilvl w:val="0"/>
                <w:numId w:val="13"/>
              </w:numPr>
              <w:spacing w:before="90" w:line="220" w:lineRule="exact"/>
              <w:ind w:left="568" w:hanging="284"/>
              <w:jc w:val="both"/>
              <w:rPr>
                <w:rFonts w:ascii="Arial" w:hAnsi="Arial"/>
                <w:sz w:val="20"/>
                <w:szCs w:val="20"/>
              </w:rPr>
            </w:pPr>
            <w:r w:rsidRPr="005E2BD3">
              <w:rPr>
                <w:rFonts w:ascii="Arial" w:hAnsi="Arial"/>
                <w:sz w:val="20"/>
                <w:szCs w:val="20"/>
              </w:rPr>
              <w:t>governance changes to improve the transparency and accountability of the HFE system</w:t>
            </w:r>
          </w:p>
          <w:p w:rsidR="0038749A" w:rsidRPr="005E2BD3" w:rsidRDefault="0038749A" w:rsidP="008B1238">
            <w:pPr>
              <w:keepNext/>
              <w:numPr>
                <w:ilvl w:val="0"/>
                <w:numId w:val="13"/>
              </w:numPr>
              <w:spacing w:before="90" w:line="220" w:lineRule="exact"/>
              <w:ind w:left="568" w:hanging="284"/>
              <w:jc w:val="both"/>
              <w:rPr>
                <w:rFonts w:ascii="Arial" w:hAnsi="Arial"/>
                <w:sz w:val="20"/>
                <w:szCs w:val="20"/>
              </w:rPr>
            </w:pPr>
            <w:proofErr w:type="gramStart"/>
            <w:r>
              <w:rPr>
                <w:rFonts w:ascii="Arial" w:hAnsi="Arial"/>
                <w:sz w:val="20"/>
                <w:szCs w:val="20"/>
              </w:rPr>
              <w:t>in</w:t>
            </w:r>
            <w:r>
              <w:rPr>
                <w:rFonts w:ascii="Arial" w:hAnsi="Arial"/>
                <w:sz w:val="20"/>
                <w:szCs w:val="20"/>
              </w:rPr>
              <w:noBreakHyphen/>
              <w:t>system</w:t>
            </w:r>
            <w:proofErr w:type="gramEnd"/>
            <w:r w:rsidRPr="005E2BD3">
              <w:rPr>
                <w:rFonts w:ascii="Arial" w:hAnsi="Arial"/>
                <w:sz w:val="20"/>
                <w:szCs w:val="20"/>
              </w:rPr>
              <w:t xml:space="preserve"> changes to achieve simpler and more policy neutral assessments.</w:t>
            </w:r>
          </w:p>
          <w:p w:rsidR="0038749A" w:rsidRPr="005E2BD3" w:rsidRDefault="0038749A" w:rsidP="008B1238">
            <w:pPr>
              <w:keepNext/>
              <w:numPr>
                <w:ilvl w:val="0"/>
                <w:numId w:val="1"/>
              </w:numPr>
              <w:spacing w:before="90" w:line="220" w:lineRule="exact"/>
              <w:jc w:val="both"/>
              <w:rPr>
                <w:rFonts w:ascii="Arial" w:hAnsi="Arial"/>
                <w:sz w:val="20"/>
                <w:szCs w:val="20"/>
              </w:rPr>
            </w:pPr>
            <w:r>
              <w:rPr>
                <w:rFonts w:ascii="Arial" w:hAnsi="Arial"/>
                <w:sz w:val="20"/>
                <w:szCs w:val="20"/>
              </w:rPr>
              <w:t xml:space="preserve">These reforms can only go so far. Equalising to </w:t>
            </w:r>
            <w:r w:rsidRPr="005E2BD3">
              <w:rPr>
                <w:rFonts w:ascii="Arial" w:hAnsi="Arial"/>
                <w:sz w:val="20"/>
                <w:szCs w:val="20"/>
              </w:rPr>
              <w:t>the average fiscal capacity of the States (ETA)</w:t>
            </w:r>
            <w:r>
              <w:rPr>
                <w:rFonts w:ascii="Arial" w:hAnsi="Arial"/>
                <w:sz w:val="20"/>
                <w:szCs w:val="20"/>
              </w:rPr>
              <w:t xml:space="preserve"> would meet the revised objective and provide additional fairness and efficiency gains</w:t>
            </w:r>
            <w:r w:rsidRPr="005E2BD3">
              <w:rPr>
                <w:rFonts w:ascii="Arial" w:hAnsi="Arial"/>
                <w:sz w:val="20"/>
                <w:szCs w:val="20"/>
              </w:rPr>
              <w:t>. This change will require a transition period to ensure that States are able to adjust and manage their budgets,</w:t>
            </w:r>
            <w:r>
              <w:rPr>
                <w:rFonts w:ascii="Arial" w:hAnsi="Arial"/>
                <w:sz w:val="20"/>
                <w:szCs w:val="20"/>
              </w:rPr>
              <w:t xml:space="preserve"> </w:t>
            </w:r>
            <w:r w:rsidRPr="005E2BD3">
              <w:rPr>
                <w:rFonts w:ascii="Arial" w:hAnsi="Arial"/>
                <w:sz w:val="20"/>
                <w:szCs w:val="20"/>
              </w:rPr>
              <w:t xml:space="preserve">while also generating the </w:t>
            </w:r>
            <w:r>
              <w:rPr>
                <w:rFonts w:ascii="Arial" w:hAnsi="Arial"/>
                <w:sz w:val="20"/>
                <w:szCs w:val="20"/>
              </w:rPr>
              <w:t>reform</w:t>
            </w:r>
            <w:r w:rsidRPr="005E2BD3">
              <w:rPr>
                <w:rFonts w:ascii="Arial" w:hAnsi="Arial"/>
                <w:sz w:val="20"/>
                <w:szCs w:val="20"/>
              </w:rPr>
              <w:t xml:space="preserve"> benefits within an acceptable timeframe.</w:t>
            </w:r>
          </w:p>
          <w:p w:rsidR="0038749A" w:rsidRDefault="0038749A" w:rsidP="008B1238">
            <w:pPr>
              <w:pStyle w:val="BoxListBullet"/>
              <w:spacing w:before="90" w:line="220" w:lineRule="exact"/>
            </w:pPr>
            <w:r>
              <w:t xml:space="preserve">The most effective transition approach is one that: enables States to manage their budgets during the current forward estimates period, is fiscally sustainable for all governments and delivers the benefits of reform in a timely manner. </w:t>
            </w:r>
          </w:p>
          <w:p w:rsidR="0038749A" w:rsidRDefault="0038749A" w:rsidP="008B1238">
            <w:pPr>
              <w:pStyle w:val="BoxListBullet"/>
              <w:spacing w:before="90" w:line="220" w:lineRule="exact"/>
            </w:pPr>
            <w:r>
              <w:t xml:space="preserve">Either a four year or eight year transition path is judged to be manageable for the States. A four year transition would deliver the benefits of reform more quickly, but an eight year transition gives States more time to adjust and provides greater latitude to deal with changes in the future fiscal circumstances of the States. Both approaches would be ‘funded’ from within the GST pool. By delaying the full implementation of ETA, both transition paths are effectively funded by the States that stand to benefit the most from the new benchmark. </w:t>
            </w:r>
          </w:p>
          <w:p w:rsidR="0038749A" w:rsidRPr="00FF67EF" w:rsidRDefault="0038749A" w:rsidP="008B1238">
            <w:pPr>
              <w:pStyle w:val="BoxListBullet"/>
              <w:spacing w:before="90" w:line="220" w:lineRule="exact"/>
            </w:pPr>
            <w:r>
              <w:t>Both</w:t>
            </w:r>
            <w:r w:rsidRPr="00FF67EF">
              <w:t xml:space="preserve"> transition path</w:t>
            </w:r>
            <w:r>
              <w:t>s</w:t>
            </w:r>
            <w:r w:rsidRPr="00FF67EF">
              <w:t xml:space="preserve"> would soften any </w:t>
            </w:r>
            <w:r>
              <w:t xml:space="preserve">(negative) </w:t>
            </w:r>
            <w:r w:rsidRPr="00FF67EF">
              <w:t>year</w:t>
            </w:r>
            <w:r>
              <w:t>-</w:t>
            </w:r>
            <w:r w:rsidRPr="00FF67EF">
              <w:t>on</w:t>
            </w:r>
            <w:r>
              <w:t>-</w:t>
            </w:r>
            <w:r w:rsidRPr="00FF67EF">
              <w:t>year impact to less than 1 per cent of State revenue.</w:t>
            </w:r>
          </w:p>
          <w:p w:rsidR="0038749A" w:rsidRDefault="0038749A" w:rsidP="008B1238">
            <w:pPr>
              <w:keepNext/>
              <w:numPr>
                <w:ilvl w:val="0"/>
                <w:numId w:val="1"/>
              </w:numPr>
              <w:spacing w:before="90" w:line="220" w:lineRule="exact"/>
              <w:jc w:val="both"/>
              <w:rPr>
                <w:rFonts w:ascii="Arial" w:hAnsi="Arial"/>
                <w:sz w:val="20"/>
                <w:szCs w:val="20"/>
              </w:rPr>
            </w:pPr>
            <w:r w:rsidRPr="005E2BD3">
              <w:rPr>
                <w:rFonts w:ascii="Arial" w:hAnsi="Arial"/>
                <w:sz w:val="20"/>
                <w:szCs w:val="20"/>
              </w:rPr>
              <w:t>There is only so much an improved HFE system can deliver in isolation. The greatest benefits will come from broader reform to federal financial relations</w:t>
            </w:r>
            <w:r>
              <w:rPr>
                <w:rFonts w:ascii="Arial" w:hAnsi="Arial"/>
                <w:sz w:val="20"/>
                <w:szCs w:val="20"/>
              </w:rPr>
              <w:t xml:space="preserve">, addressing </w:t>
            </w:r>
            <w:r w:rsidRPr="001B108F">
              <w:rPr>
                <w:rFonts w:ascii="Arial" w:hAnsi="Arial"/>
                <w:sz w:val="20"/>
                <w:szCs w:val="20"/>
              </w:rPr>
              <w:t xml:space="preserve">the twin accountability issues of vertical fiscal imbalance </w:t>
            </w:r>
            <w:r>
              <w:rPr>
                <w:rFonts w:ascii="Arial" w:hAnsi="Arial"/>
                <w:sz w:val="20"/>
                <w:szCs w:val="20"/>
              </w:rPr>
              <w:t xml:space="preserve">(VFI) </w:t>
            </w:r>
            <w:r w:rsidRPr="001B108F">
              <w:rPr>
                <w:rFonts w:ascii="Arial" w:hAnsi="Arial"/>
                <w:sz w:val="20"/>
                <w:szCs w:val="20"/>
              </w:rPr>
              <w:t>and spending responsibilities</w:t>
            </w:r>
            <w:r w:rsidRPr="004F7AC3">
              <w:rPr>
                <w:rFonts w:ascii="Arial" w:hAnsi="Arial"/>
                <w:sz w:val="20"/>
                <w:szCs w:val="20"/>
              </w:rPr>
              <w:t>.</w:t>
            </w:r>
            <w:r w:rsidRPr="005E2BD3">
              <w:rPr>
                <w:rFonts w:ascii="Arial" w:hAnsi="Arial"/>
                <w:sz w:val="20"/>
                <w:szCs w:val="20"/>
              </w:rPr>
              <w:t xml:space="preserve"> </w:t>
            </w:r>
            <w:r>
              <w:rPr>
                <w:rFonts w:ascii="Arial" w:hAnsi="Arial"/>
                <w:sz w:val="20"/>
                <w:szCs w:val="20"/>
              </w:rPr>
              <w:t xml:space="preserve">This proved the single uniting view shared by States during the course of this inquiry. </w:t>
            </w:r>
          </w:p>
          <w:p w:rsidR="0038749A" w:rsidRPr="005E2BD3" w:rsidRDefault="0038749A" w:rsidP="008B1238">
            <w:pPr>
              <w:keepNext/>
              <w:numPr>
                <w:ilvl w:val="0"/>
                <w:numId w:val="1"/>
              </w:numPr>
              <w:spacing w:before="90" w:line="220" w:lineRule="exact"/>
              <w:jc w:val="both"/>
              <w:rPr>
                <w:rFonts w:ascii="Arial" w:hAnsi="Arial"/>
                <w:sz w:val="20"/>
                <w:szCs w:val="20"/>
              </w:rPr>
            </w:pPr>
            <w:r w:rsidRPr="005E2BD3">
              <w:rPr>
                <w:rFonts w:ascii="Arial" w:hAnsi="Arial"/>
                <w:sz w:val="20"/>
                <w:szCs w:val="20"/>
              </w:rPr>
              <w:t xml:space="preserve">Governments should </w:t>
            </w:r>
            <w:r>
              <w:rPr>
                <w:rFonts w:ascii="Arial" w:hAnsi="Arial"/>
                <w:sz w:val="20"/>
                <w:szCs w:val="20"/>
              </w:rPr>
              <w:t>renew their concerted endeavours</w:t>
            </w:r>
            <w:r w:rsidRPr="005E2BD3">
              <w:rPr>
                <w:rFonts w:ascii="Arial" w:hAnsi="Arial"/>
                <w:sz w:val="20"/>
                <w:szCs w:val="20"/>
              </w:rPr>
              <w:t xml:space="preserve"> towards</w:t>
            </w:r>
            <w:r w:rsidRPr="005E2BD3" w:rsidDel="00F86379">
              <w:rPr>
                <w:rFonts w:ascii="Arial" w:hAnsi="Arial"/>
                <w:sz w:val="20"/>
                <w:szCs w:val="20"/>
              </w:rPr>
              <w:t xml:space="preserve"> </w:t>
            </w:r>
            <w:r w:rsidRPr="005E2BD3">
              <w:rPr>
                <w:rFonts w:ascii="Arial" w:hAnsi="Arial"/>
                <w:sz w:val="20"/>
                <w:szCs w:val="20"/>
              </w:rPr>
              <w:t>broader reform to federal financial relations, led by the Council on Federal Financial Relations</w:t>
            </w:r>
            <w:r>
              <w:rPr>
                <w:rFonts w:ascii="Arial" w:hAnsi="Arial"/>
                <w:sz w:val="20"/>
                <w:szCs w:val="20"/>
              </w:rPr>
              <w:t xml:space="preserve"> and with the newly formed Board of Treasurers providing input and assuming a proactive role</w:t>
            </w:r>
            <w:r w:rsidRPr="005E2BD3">
              <w:rPr>
                <w:rFonts w:ascii="Arial" w:hAnsi="Arial"/>
                <w:sz w:val="20"/>
                <w:szCs w:val="20"/>
              </w:rPr>
              <w:t xml:space="preserve">. </w:t>
            </w:r>
          </w:p>
          <w:p w:rsidR="0038749A" w:rsidRPr="005E2BD3" w:rsidRDefault="0038749A" w:rsidP="008B1238">
            <w:pPr>
              <w:keepNext/>
              <w:numPr>
                <w:ilvl w:val="0"/>
                <w:numId w:val="13"/>
              </w:numPr>
              <w:spacing w:before="90" w:line="220" w:lineRule="exact"/>
              <w:ind w:left="568" w:hanging="284"/>
              <w:jc w:val="both"/>
              <w:rPr>
                <w:rFonts w:ascii="Arial" w:hAnsi="Arial"/>
                <w:sz w:val="20"/>
                <w:szCs w:val="20"/>
              </w:rPr>
            </w:pPr>
            <w:r w:rsidRPr="005E2BD3">
              <w:rPr>
                <w:rFonts w:ascii="Arial" w:hAnsi="Arial"/>
                <w:sz w:val="20"/>
                <w:szCs w:val="20"/>
              </w:rPr>
              <w:t>As a first step, the reform process should assess how Commonwealth payments to the States — both general revenue assistance and payments for specific purposes — interact.</w:t>
            </w:r>
          </w:p>
          <w:p w:rsidR="0038749A" w:rsidRDefault="0038749A" w:rsidP="008B1238">
            <w:pPr>
              <w:keepNext/>
              <w:numPr>
                <w:ilvl w:val="0"/>
                <w:numId w:val="13"/>
              </w:numPr>
              <w:spacing w:before="90" w:line="220" w:lineRule="exact"/>
              <w:ind w:left="568" w:hanging="284"/>
              <w:jc w:val="both"/>
              <w:rPr>
                <w:rFonts w:ascii="Arial" w:hAnsi="Arial"/>
                <w:sz w:val="20"/>
                <w:szCs w:val="20"/>
              </w:rPr>
            </w:pPr>
            <w:r w:rsidRPr="005E2BD3">
              <w:rPr>
                <w:rFonts w:ascii="Arial" w:hAnsi="Arial"/>
                <w:sz w:val="20"/>
                <w:szCs w:val="20"/>
              </w:rPr>
              <w:t>The process should also include consideration of a practical division of responsibilities between the States and the Commonwealth, and accompanying accountability and performance arrangements. Clearly defining responsibilities and establishing accountabilities for Indigenous policy should be given priority.</w:t>
            </w:r>
          </w:p>
          <w:p w:rsidR="0038749A" w:rsidRPr="004F7AC3" w:rsidRDefault="0038749A" w:rsidP="008B1238">
            <w:pPr>
              <w:keepNext/>
              <w:numPr>
                <w:ilvl w:val="0"/>
                <w:numId w:val="13"/>
              </w:numPr>
              <w:spacing w:before="90" w:line="220" w:lineRule="exact"/>
              <w:ind w:left="568" w:hanging="284"/>
              <w:jc w:val="both"/>
              <w:rPr>
                <w:rFonts w:ascii="Arial" w:hAnsi="Arial"/>
                <w:sz w:val="20"/>
                <w:szCs w:val="20"/>
              </w:rPr>
            </w:pPr>
            <w:r>
              <w:rPr>
                <w:rFonts w:ascii="Arial" w:hAnsi="Arial"/>
                <w:sz w:val="20"/>
                <w:szCs w:val="20"/>
              </w:rPr>
              <w:t>Following this, options for addressing VFI, and particularly the extent to which these options are able to improve accountability, should be considered and advanced.</w:t>
            </w:r>
          </w:p>
          <w:p w:rsidR="00B13991" w:rsidRPr="00B13991" w:rsidRDefault="0038749A" w:rsidP="008B1238">
            <w:pPr>
              <w:pStyle w:val="KeyPointsListBullet2"/>
              <w:spacing w:before="90" w:line="220" w:lineRule="exact"/>
            </w:pPr>
            <w:r w:rsidRPr="005E2BD3">
              <w:t xml:space="preserve">If there is sufficient progress towards broader reform </w:t>
            </w:r>
            <w:r>
              <w:t>(including in relation to VFI)</w:t>
            </w:r>
            <w:r w:rsidRPr="005E2BD3">
              <w:t xml:space="preserve">, the </w:t>
            </w:r>
            <w:r>
              <w:t>transitional impact on some States could be further reduced.</w:t>
            </w:r>
          </w:p>
        </w:tc>
        <w:tc>
          <w:tcPr>
            <w:tcW w:w="165" w:type="pct"/>
            <w:tcBorders>
              <w:top w:val="nil"/>
              <w:left w:val="nil"/>
              <w:bottom w:val="nil"/>
              <w:right w:val="nil"/>
            </w:tcBorders>
            <w:shd w:val="clear" w:color="auto" w:fill="FFFFFF" w:themeFill="background1"/>
          </w:tcPr>
          <w:p w:rsidR="00B13991" w:rsidRPr="00B13991" w:rsidRDefault="00B13991" w:rsidP="008B1238">
            <w:pPr>
              <w:pStyle w:val="BoxListBullet"/>
              <w:numPr>
                <w:ilvl w:val="0"/>
                <w:numId w:val="0"/>
              </w:numPr>
              <w:spacing w:before="90" w:line="200" w:lineRule="exact"/>
              <w:ind w:left="284"/>
            </w:pPr>
          </w:p>
        </w:tc>
        <w:tc>
          <w:tcPr>
            <w:tcW w:w="769" w:type="pct"/>
            <w:tcBorders>
              <w:top w:val="nil"/>
              <w:left w:val="nil"/>
              <w:bottom w:val="nil"/>
              <w:right w:val="nil"/>
            </w:tcBorders>
            <w:shd w:val="clear" w:color="auto" w:fill="F2F2F2"/>
          </w:tcPr>
          <w:p w:rsidR="008B1238" w:rsidRDefault="00B13991" w:rsidP="00E4149E">
            <w:pPr>
              <w:pStyle w:val="BodyText"/>
              <w:spacing w:before="90" w:line="220" w:lineRule="exact"/>
              <w:jc w:val="left"/>
              <w:rPr>
                <w:rFonts w:ascii="Arial" w:hAnsi="Arial" w:cs="Arial"/>
                <w:sz w:val="20"/>
              </w:rPr>
            </w:pPr>
            <w:r w:rsidRPr="00B13991">
              <w:rPr>
                <w:rFonts w:ascii="Arial" w:hAnsi="Arial" w:cs="Arial"/>
                <w:sz w:val="20"/>
              </w:rPr>
              <w:t>p</w:t>
            </w:r>
            <w:r w:rsidR="005B4AD7">
              <w:rPr>
                <w:rFonts w:ascii="Arial" w:hAnsi="Arial" w:cs="Arial"/>
                <w:sz w:val="20"/>
              </w:rPr>
              <w:t>. 258</w:t>
            </w:r>
            <w:r w:rsidR="00752DBB">
              <w:rPr>
                <w:rFonts w:ascii="Arial" w:hAnsi="Arial" w:cs="Arial"/>
                <w:sz w:val="20"/>
              </w:rPr>
              <w:br/>
            </w:r>
            <w:r w:rsidR="00752DBB">
              <w:rPr>
                <w:rFonts w:ascii="Arial" w:hAnsi="Arial" w:cs="Arial"/>
                <w:sz w:val="20"/>
              </w:rPr>
              <w:br/>
            </w:r>
          </w:p>
          <w:p w:rsidR="00B13991" w:rsidRPr="00B13991" w:rsidRDefault="00DF664E" w:rsidP="00E4149E">
            <w:pPr>
              <w:pStyle w:val="BodyText"/>
              <w:spacing w:before="90" w:line="220" w:lineRule="exact"/>
              <w:jc w:val="left"/>
              <w:rPr>
                <w:rFonts w:ascii="Arial" w:hAnsi="Arial" w:cs="Arial"/>
                <w:sz w:val="20"/>
              </w:rPr>
            </w:pPr>
            <w:r>
              <w:rPr>
                <w:rFonts w:ascii="Arial" w:hAnsi="Arial" w:cs="Arial"/>
                <w:sz w:val="20"/>
              </w:rPr>
              <w:t>p. 174</w:t>
            </w:r>
            <w:r w:rsidR="00752DBB">
              <w:rPr>
                <w:rFonts w:ascii="Arial" w:hAnsi="Arial" w:cs="Arial"/>
                <w:sz w:val="20"/>
              </w:rPr>
              <w:br/>
            </w:r>
          </w:p>
          <w:p w:rsidR="008B1238" w:rsidRDefault="00DF664E" w:rsidP="00E4149E">
            <w:pPr>
              <w:pStyle w:val="BodyText"/>
              <w:spacing w:before="90" w:line="220" w:lineRule="exact"/>
              <w:jc w:val="left"/>
              <w:rPr>
                <w:rFonts w:ascii="Arial" w:hAnsi="Arial" w:cs="Arial"/>
                <w:sz w:val="20"/>
              </w:rPr>
            </w:pPr>
            <w:r>
              <w:rPr>
                <w:rFonts w:ascii="Arial" w:hAnsi="Arial" w:cs="Arial"/>
                <w:sz w:val="20"/>
              </w:rPr>
              <w:t>pp. 181-90</w:t>
            </w:r>
            <w:r w:rsidR="00752DBB">
              <w:rPr>
                <w:rFonts w:ascii="Arial" w:hAnsi="Arial" w:cs="Arial"/>
                <w:sz w:val="20"/>
              </w:rPr>
              <w:br/>
            </w:r>
          </w:p>
          <w:p w:rsidR="005B4AD7" w:rsidRDefault="00DF664E" w:rsidP="00E4149E">
            <w:pPr>
              <w:pStyle w:val="BodyText"/>
              <w:spacing w:before="90" w:line="220" w:lineRule="exact"/>
              <w:jc w:val="left"/>
              <w:rPr>
                <w:rFonts w:ascii="Arial" w:hAnsi="Arial" w:cs="Arial"/>
                <w:sz w:val="20"/>
              </w:rPr>
            </w:pPr>
            <w:r>
              <w:rPr>
                <w:rFonts w:ascii="Arial" w:hAnsi="Arial" w:cs="Arial"/>
                <w:sz w:val="20"/>
              </w:rPr>
              <w:t>pp. 199-208</w:t>
            </w:r>
          </w:p>
          <w:p w:rsidR="00E4149E" w:rsidRDefault="005B4AD7" w:rsidP="00E4149E">
            <w:pPr>
              <w:pStyle w:val="BodyText"/>
              <w:spacing w:before="90" w:line="220" w:lineRule="exact"/>
              <w:jc w:val="left"/>
              <w:rPr>
                <w:rFonts w:ascii="Arial" w:hAnsi="Arial" w:cs="Arial"/>
                <w:sz w:val="20"/>
              </w:rPr>
            </w:pPr>
            <w:r>
              <w:rPr>
                <w:rFonts w:ascii="Arial" w:hAnsi="Arial" w:cs="Arial"/>
                <w:sz w:val="20"/>
              </w:rPr>
              <w:t>pp. 258</w:t>
            </w:r>
            <w:r>
              <w:rPr>
                <w:rFonts w:ascii="Arial" w:hAnsi="Arial" w:cs="Arial"/>
                <w:sz w:val="20"/>
              </w:rPr>
              <w:noBreakHyphen/>
              <w:t>259</w:t>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p>
          <w:p w:rsidR="00E4149E" w:rsidRDefault="00B13991" w:rsidP="00E4149E">
            <w:pPr>
              <w:pStyle w:val="BodyText"/>
              <w:spacing w:before="90" w:line="220" w:lineRule="exact"/>
              <w:jc w:val="left"/>
              <w:rPr>
                <w:rFonts w:ascii="Arial" w:hAnsi="Arial" w:cs="Arial"/>
                <w:sz w:val="20"/>
              </w:rPr>
            </w:pPr>
            <w:r w:rsidRPr="00B13991" w:rsidDel="007304F6">
              <w:rPr>
                <w:rFonts w:ascii="Arial" w:hAnsi="Arial" w:cs="Arial"/>
                <w:sz w:val="20"/>
              </w:rPr>
              <w:t>p</w:t>
            </w:r>
            <w:r w:rsidRPr="00B13991">
              <w:rPr>
                <w:rFonts w:ascii="Arial" w:hAnsi="Arial" w:cs="Arial"/>
                <w:sz w:val="20"/>
              </w:rPr>
              <w:t>.</w:t>
            </w:r>
            <w:r w:rsidR="005B4AD7">
              <w:rPr>
                <w:rFonts w:ascii="Arial" w:hAnsi="Arial" w:cs="Arial"/>
                <w:sz w:val="20"/>
              </w:rPr>
              <w:t> 259</w:t>
            </w:r>
            <w:r w:rsidR="00B43027">
              <w:rPr>
                <w:rFonts w:ascii="Arial" w:hAnsi="Arial" w:cs="Arial"/>
                <w:sz w:val="20"/>
              </w:rPr>
              <w:br/>
            </w:r>
            <w:r w:rsidR="00B43027">
              <w:rPr>
                <w:rFonts w:ascii="Arial" w:hAnsi="Arial" w:cs="Arial"/>
                <w:sz w:val="20"/>
              </w:rPr>
              <w:br/>
            </w:r>
          </w:p>
          <w:p w:rsidR="007304F6" w:rsidRDefault="005B4AD7" w:rsidP="00E4149E">
            <w:pPr>
              <w:pStyle w:val="BodyText"/>
              <w:spacing w:before="90" w:line="220" w:lineRule="exact"/>
              <w:jc w:val="left"/>
              <w:rPr>
                <w:rFonts w:ascii="Arial" w:hAnsi="Arial" w:cs="Arial"/>
                <w:sz w:val="20"/>
              </w:rPr>
            </w:pPr>
            <w:r>
              <w:rPr>
                <w:rFonts w:ascii="Arial" w:hAnsi="Arial" w:cs="Arial"/>
                <w:sz w:val="20"/>
              </w:rPr>
              <w:t>pp. 2</w:t>
            </w:r>
            <w:r w:rsidR="007304F6">
              <w:rPr>
                <w:rFonts w:ascii="Arial" w:hAnsi="Arial" w:cs="Arial"/>
                <w:sz w:val="20"/>
              </w:rPr>
              <w:t>70</w:t>
            </w:r>
            <w:r>
              <w:rPr>
                <w:rFonts w:ascii="Arial" w:hAnsi="Arial" w:cs="Arial"/>
                <w:sz w:val="20"/>
              </w:rPr>
              <w:noBreakHyphen/>
              <w:t>2</w:t>
            </w:r>
            <w:r w:rsidR="007304F6">
              <w:rPr>
                <w:rFonts w:ascii="Arial" w:hAnsi="Arial" w:cs="Arial"/>
                <w:sz w:val="20"/>
              </w:rPr>
              <w:t>71</w:t>
            </w:r>
            <w:r>
              <w:rPr>
                <w:rFonts w:ascii="Arial" w:hAnsi="Arial" w:cs="Arial"/>
                <w:sz w:val="20"/>
              </w:rPr>
              <w:t xml:space="preserve">; </w:t>
            </w:r>
            <w:r w:rsidDel="007304F6">
              <w:rPr>
                <w:rFonts w:ascii="Arial" w:hAnsi="Arial" w:cs="Arial"/>
                <w:sz w:val="20"/>
              </w:rPr>
              <w:t>figure 9.</w:t>
            </w:r>
            <w:r w:rsidR="007304F6">
              <w:rPr>
                <w:rFonts w:ascii="Arial" w:hAnsi="Arial" w:cs="Arial"/>
                <w:sz w:val="20"/>
              </w:rPr>
              <w:t>5</w:t>
            </w:r>
            <w:r w:rsidDel="007304F6">
              <w:rPr>
                <w:rFonts w:ascii="Arial" w:hAnsi="Arial" w:cs="Arial"/>
                <w:sz w:val="20"/>
              </w:rPr>
              <w:t xml:space="preserve"> (p. </w:t>
            </w:r>
            <w:r>
              <w:rPr>
                <w:rFonts w:ascii="Arial" w:hAnsi="Arial" w:cs="Arial"/>
                <w:sz w:val="20"/>
              </w:rPr>
              <w:t>26</w:t>
            </w:r>
            <w:r w:rsidR="007304F6">
              <w:rPr>
                <w:rFonts w:ascii="Arial" w:hAnsi="Arial" w:cs="Arial"/>
                <w:sz w:val="20"/>
              </w:rPr>
              <w:t>8</w:t>
            </w:r>
            <w:r>
              <w:rPr>
                <w:rFonts w:ascii="Arial" w:hAnsi="Arial" w:cs="Arial"/>
                <w:sz w:val="20"/>
              </w:rPr>
              <w:t>);</w:t>
            </w:r>
          </w:p>
          <w:p w:rsidR="007304F6" w:rsidRDefault="007304F6" w:rsidP="00E4149E">
            <w:pPr>
              <w:pStyle w:val="BodyText"/>
              <w:spacing w:before="90" w:line="220" w:lineRule="exact"/>
              <w:jc w:val="left"/>
              <w:rPr>
                <w:rFonts w:ascii="Arial" w:hAnsi="Arial" w:cs="Arial"/>
                <w:sz w:val="20"/>
              </w:rPr>
            </w:pPr>
          </w:p>
          <w:p w:rsidR="007304F6" w:rsidRDefault="007304F6" w:rsidP="00E4149E">
            <w:pPr>
              <w:pStyle w:val="BodyText"/>
              <w:spacing w:before="90" w:line="220" w:lineRule="exact"/>
              <w:jc w:val="left"/>
              <w:rPr>
                <w:rFonts w:ascii="Arial" w:hAnsi="Arial" w:cs="Arial"/>
                <w:sz w:val="20"/>
              </w:rPr>
            </w:pPr>
          </w:p>
          <w:p w:rsidR="007304F6" w:rsidRDefault="007304F6" w:rsidP="00E4149E">
            <w:pPr>
              <w:pStyle w:val="BodyText"/>
              <w:spacing w:before="90" w:line="220" w:lineRule="exact"/>
              <w:jc w:val="left"/>
              <w:rPr>
                <w:rFonts w:ascii="Arial" w:hAnsi="Arial" w:cs="Arial"/>
                <w:sz w:val="20"/>
              </w:rPr>
            </w:pPr>
          </w:p>
          <w:p w:rsidR="00E4149E" w:rsidRDefault="005B4AD7" w:rsidP="00E4149E">
            <w:pPr>
              <w:pStyle w:val="BodyText"/>
              <w:spacing w:before="90" w:line="220" w:lineRule="exact"/>
              <w:jc w:val="left"/>
              <w:rPr>
                <w:rFonts w:ascii="Arial" w:hAnsi="Arial" w:cs="Arial"/>
                <w:sz w:val="20"/>
              </w:rPr>
            </w:pPr>
            <w:r>
              <w:rPr>
                <w:rFonts w:ascii="Arial" w:hAnsi="Arial" w:cs="Arial"/>
                <w:sz w:val="20"/>
              </w:rPr>
              <w:t>Figure 9.5 (p. 268)</w:t>
            </w:r>
          </w:p>
          <w:p w:rsidR="00E4149E" w:rsidRDefault="005B4AD7" w:rsidP="00E4149E">
            <w:pPr>
              <w:pStyle w:val="BodyText"/>
              <w:spacing w:before="90" w:line="220" w:lineRule="exact"/>
              <w:jc w:val="left"/>
              <w:rPr>
                <w:rFonts w:ascii="Arial" w:hAnsi="Arial" w:cs="Arial"/>
                <w:sz w:val="20"/>
              </w:rPr>
            </w:pPr>
            <w:r>
              <w:rPr>
                <w:rFonts w:ascii="Arial" w:hAnsi="Arial" w:cs="Arial"/>
                <w:sz w:val="20"/>
              </w:rPr>
              <w:t>pp. 272</w:t>
            </w:r>
            <w:r>
              <w:rPr>
                <w:rFonts w:ascii="Arial" w:hAnsi="Arial" w:cs="Arial"/>
                <w:sz w:val="20"/>
              </w:rPr>
              <w:noBreakHyphen/>
              <w:t>27</w:t>
            </w:r>
            <w:r w:rsidR="007304F6">
              <w:rPr>
                <w:rFonts w:ascii="Arial" w:hAnsi="Arial" w:cs="Arial"/>
                <w:sz w:val="20"/>
              </w:rPr>
              <w:t>4</w:t>
            </w:r>
            <w:r>
              <w:rPr>
                <w:rFonts w:ascii="Arial" w:hAnsi="Arial" w:cs="Arial"/>
                <w:sz w:val="20"/>
              </w:rPr>
              <w:t>; box 9.6 (p. 279)</w:t>
            </w:r>
            <w:r w:rsidR="00B43027">
              <w:rPr>
                <w:rFonts w:ascii="Arial" w:hAnsi="Arial" w:cs="Arial"/>
                <w:sz w:val="20"/>
              </w:rPr>
              <w:br/>
            </w:r>
            <w:r w:rsidR="00F52500">
              <w:rPr>
                <w:rFonts w:ascii="Arial" w:hAnsi="Arial" w:cs="Arial"/>
                <w:sz w:val="20"/>
              </w:rPr>
              <w:br/>
            </w:r>
          </w:p>
          <w:p w:rsidR="00E4149E" w:rsidRDefault="005B4AD7" w:rsidP="00E4149E">
            <w:pPr>
              <w:pStyle w:val="BodyText"/>
              <w:spacing w:before="90" w:line="220" w:lineRule="exact"/>
              <w:jc w:val="left"/>
              <w:rPr>
                <w:rFonts w:ascii="Arial" w:hAnsi="Arial" w:cs="Arial"/>
                <w:sz w:val="20"/>
              </w:rPr>
            </w:pPr>
            <w:r w:rsidDel="007304F6">
              <w:rPr>
                <w:rFonts w:ascii="Arial" w:hAnsi="Arial" w:cs="Arial"/>
                <w:sz w:val="20"/>
              </w:rPr>
              <w:t>p</w:t>
            </w:r>
            <w:r>
              <w:rPr>
                <w:rFonts w:ascii="Arial" w:hAnsi="Arial" w:cs="Arial"/>
                <w:sz w:val="20"/>
              </w:rPr>
              <w:t>. 278</w:t>
            </w:r>
            <w:r w:rsidR="00B13991" w:rsidRPr="00B13991">
              <w:rPr>
                <w:rFonts w:ascii="Arial" w:hAnsi="Arial" w:cs="Arial"/>
                <w:sz w:val="20"/>
              </w:rPr>
              <w:br/>
            </w:r>
            <w:r w:rsidR="00B13991" w:rsidRPr="00B13991">
              <w:rPr>
                <w:rFonts w:ascii="Arial" w:hAnsi="Arial" w:cs="Arial"/>
                <w:sz w:val="20"/>
              </w:rPr>
              <w:br/>
            </w:r>
            <w:r w:rsidR="00B13991" w:rsidRPr="00B13991">
              <w:rPr>
                <w:rFonts w:ascii="Arial" w:hAnsi="Arial" w:cs="Arial"/>
                <w:sz w:val="20"/>
              </w:rPr>
              <w:br/>
            </w:r>
          </w:p>
          <w:p w:rsidR="00E4149E" w:rsidRDefault="00BF1446" w:rsidP="00E4149E">
            <w:pPr>
              <w:pStyle w:val="BodyText"/>
              <w:spacing w:before="90" w:line="220" w:lineRule="exact"/>
              <w:jc w:val="left"/>
              <w:rPr>
                <w:rFonts w:ascii="Arial" w:hAnsi="Arial" w:cs="Arial"/>
                <w:sz w:val="20"/>
              </w:rPr>
            </w:pPr>
            <w:r>
              <w:rPr>
                <w:rFonts w:ascii="Arial" w:hAnsi="Arial" w:cs="Arial"/>
                <w:sz w:val="20"/>
              </w:rPr>
              <w:t>p. </w:t>
            </w:r>
            <w:r w:rsidR="00A833A5">
              <w:rPr>
                <w:rFonts w:ascii="Arial" w:hAnsi="Arial" w:cs="Arial"/>
                <w:sz w:val="20"/>
              </w:rPr>
              <w:t>282</w:t>
            </w:r>
            <w:r w:rsidR="00B43027" w:rsidDel="00A833A5">
              <w:rPr>
                <w:rFonts w:ascii="Arial" w:hAnsi="Arial" w:cs="Arial"/>
                <w:sz w:val="20"/>
              </w:rPr>
              <w:br/>
            </w:r>
          </w:p>
          <w:p w:rsidR="007304F6" w:rsidRDefault="007304F6" w:rsidP="00E4149E">
            <w:pPr>
              <w:pStyle w:val="BodyText"/>
              <w:spacing w:before="90" w:line="220" w:lineRule="exact"/>
              <w:jc w:val="left"/>
              <w:rPr>
                <w:rFonts w:ascii="Arial" w:hAnsi="Arial" w:cs="Arial"/>
                <w:sz w:val="20"/>
              </w:rPr>
            </w:pPr>
          </w:p>
          <w:p w:rsidR="00E4149E" w:rsidRDefault="00BF1446" w:rsidP="00E4149E">
            <w:pPr>
              <w:pStyle w:val="BodyText"/>
              <w:spacing w:before="90" w:line="220" w:lineRule="exact"/>
              <w:jc w:val="left"/>
              <w:rPr>
                <w:rFonts w:ascii="Arial" w:hAnsi="Arial" w:cs="Arial"/>
                <w:sz w:val="20"/>
              </w:rPr>
            </w:pPr>
            <w:r>
              <w:rPr>
                <w:rFonts w:ascii="Arial" w:hAnsi="Arial" w:cs="Arial"/>
                <w:sz w:val="20"/>
              </w:rPr>
              <w:t>p. </w:t>
            </w:r>
            <w:r w:rsidR="00A833A5">
              <w:rPr>
                <w:rFonts w:ascii="Arial" w:hAnsi="Arial" w:cs="Arial"/>
                <w:sz w:val="20"/>
              </w:rPr>
              <w:t>282</w:t>
            </w:r>
            <w:r w:rsidR="000B4A83">
              <w:rPr>
                <w:rFonts w:ascii="Arial" w:hAnsi="Arial" w:cs="Arial"/>
                <w:sz w:val="20"/>
              </w:rPr>
              <w:t>; box 9.5 (p. 276)</w:t>
            </w:r>
            <w:r w:rsidR="00B43027">
              <w:rPr>
                <w:rFonts w:ascii="Arial" w:hAnsi="Arial" w:cs="Arial"/>
                <w:sz w:val="20"/>
              </w:rPr>
              <w:br/>
            </w:r>
          </w:p>
          <w:p w:rsidR="00E4149E" w:rsidRDefault="00BF1446" w:rsidP="00E4149E">
            <w:pPr>
              <w:pStyle w:val="BodyText"/>
              <w:spacing w:before="90" w:line="220" w:lineRule="exact"/>
              <w:jc w:val="left"/>
              <w:rPr>
                <w:rFonts w:ascii="Arial" w:hAnsi="Arial" w:cs="Arial"/>
                <w:sz w:val="20"/>
              </w:rPr>
            </w:pPr>
            <w:r>
              <w:rPr>
                <w:rFonts w:ascii="Arial" w:hAnsi="Arial" w:cs="Arial"/>
                <w:sz w:val="20"/>
              </w:rPr>
              <w:t>p. </w:t>
            </w:r>
            <w:r w:rsidR="00A833A5">
              <w:rPr>
                <w:rFonts w:ascii="Arial" w:hAnsi="Arial" w:cs="Arial"/>
                <w:sz w:val="20"/>
              </w:rPr>
              <w:t>283</w:t>
            </w:r>
            <w:r w:rsidR="000B4A83">
              <w:rPr>
                <w:rFonts w:ascii="Arial" w:hAnsi="Arial" w:cs="Arial"/>
                <w:sz w:val="20"/>
              </w:rPr>
              <w:t>; box 9.8 (p. 281)</w:t>
            </w:r>
          </w:p>
          <w:p w:rsidR="000B4A83" w:rsidRPr="00B43027" w:rsidRDefault="000B4A83" w:rsidP="007413F1">
            <w:pPr>
              <w:pStyle w:val="BodyText"/>
              <w:spacing w:before="90" w:line="220" w:lineRule="exact"/>
              <w:jc w:val="left"/>
              <w:rPr>
                <w:rFonts w:ascii="Arial" w:hAnsi="Arial" w:cs="Arial"/>
                <w:sz w:val="20"/>
              </w:rPr>
            </w:pPr>
            <w:r>
              <w:rPr>
                <w:rFonts w:ascii="Arial" w:hAnsi="Arial" w:cs="Arial"/>
                <w:sz w:val="20"/>
              </w:rPr>
              <w:t>p. 27</w:t>
            </w:r>
            <w:r w:rsidR="00EB5518">
              <w:rPr>
                <w:rFonts w:ascii="Arial" w:hAnsi="Arial" w:cs="Arial"/>
                <w:sz w:val="20"/>
              </w:rPr>
              <w:t>1</w:t>
            </w:r>
          </w:p>
        </w:tc>
      </w:tr>
      <w:tr w:rsidR="00B13991" w:rsidRPr="00085631" w:rsidTr="009C4D91">
        <w:tc>
          <w:tcPr>
            <w:tcW w:w="4066" w:type="pct"/>
            <w:tcBorders>
              <w:top w:val="nil"/>
              <w:left w:val="nil"/>
              <w:bottom w:val="single" w:sz="12" w:space="0" w:color="78A22F"/>
              <w:right w:val="nil"/>
            </w:tcBorders>
            <w:shd w:val="clear" w:color="auto" w:fill="F2F2F2"/>
          </w:tcPr>
          <w:p w:rsidR="00B13991" w:rsidRPr="00085631" w:rsidRDefault="00B13991" w:rsidP="0038749A">
            <w:pPr>
              <w:pStyle w:val="Figurespace"/>
            </w:pPr>
          </w:p>
        </w:tc>
        <w:tc>
          <w:tcPr>
            <w:tcW w:w="165" w:type="pct"/>
            <w:tcBorders>
              <w:top w:val="nil"/>
              <w:left w:val="nil"/>
              <w:bottom w:val="single" w:sz="12" w:space="0" w:color="78A22F"/>
              <w:right w:val="nil"/>
            </w:tcBorders>
            <w:shd w:val="clear" w:color="auto" w:fill="FFFFFF" w:themeFill="background1"/>
          </w:tcPr>
          <w:p w:rsidR="00B13991" w:rsidRPr="00085631" w:rsidRDefault="00B13991" w:rsidP="0038749A">
            <w:pPr>
              <w:pStyle w:val="Figurespace"/>
            </w:pPr>
          </w:p>
        </w:tc>
        <w:tc>
          <w:tcPr>
            <w:tcW w:w="769" w:type="pct"/>
            <w:tcBorders>
              <w:top w:val="nil"/>
              <w:left w:val="nil"/>
              <w:bottom w:val="single" w:sz="12" w:space="0" w:color="78A22F"/>
              <w:right w:val="nil"/>
            </w:tcBorders>
            <w:shd w:val="clear" w:color="auto" w:fill="F2F2F2"/>
          </w:tcPr>
          <w:p w:rsidR="00B13991" w:rsidRPr="00085631" w:rsidRDefault="00B13991" w:rsidP="0038749A">
            <w:pPr>
              <w:pStyle w:val="Figurespace"/>
            </w:pPr>
          </w:p>
        </w:tc>
      </w:tr>
    </w:tbl>
    <w:p w:rsidR="00933779" w:rsidRPr="001C5DE8" w:rsidRDefault="00933779" w:rsidP="00AB6DB6">
      <w:pPr>
        <w:pStyle w:val="BodyText"/>
        <w:spacing w:before="0"/>
        <w:rPr>
          <w:sz w:val="2"/>
          <w:szCs w:val="2"/>
        </w:rPr>
      </w:pPr>
    </w:p>
    <w:sectPr w:rsidR="00933779" w:rsidRPr="001C5DE8" w:rsidSect="00E4149E">
      <w:headerReference w:type="even" r:id="rId15"/>
      <w:headerReference w:type="default" r:id="rId16"/>
      <w:footerReference w:type="even" r:id="rId17"/>
      <w:footerReference w:type="default" r:id="rId18"/>
      <w:headerReference w:type="first" r:id="rId19"/>
      <w:footerReference w:type="first" r:id="rId20"/>
      <w:pgSz w:w="11907" w:h="16840" w:code="9"/>
      <w:pgMar w:top="2693" w:right="1304" w:bottom="992" w:left="1814" w:header="425" w:footer="403"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9A0" w:rsidRDefault="00F639A0">
      <w:r>
        <w:separator/>
      </w:r>
    </w:p>
  </w:endnote>
  <w:endnote w:type="continuationSeparator" w:id="0">
    <w:p w:rsidR="00F639A0" w:rsidRDefault="00F639A0">
      <w:r>
        <w:continuationSeparator/>
      </w:r>
    </w:p>
  </w:endnote>
  <w:endnote w:type="continuationNotice" w:id="1">
    <w:p w:rsidR="00F639A0" w:rsidRDefault="00F63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66BCDB" w:themeColor="text2"/>
      </w:rPr>
      <w:id w:val="1524890971"/>
      <w:docPartObj>
        <w:docPartGallery w:val="Page Numbers (Bottom of Page)"/>
        <w:docPartUnique/>
      </w:docPartObj>
    </w:sdtPr>
    <w:sdtEndPr>
      <w:rPr>
        <w:b/>
        <w:noProof/>
      </w:rPr>
    </w:sdtEndPr>
    <w:sdtContent>
      <w:p w:rsidR="009E77C6" w:rsidRPr="00FD72C6" w:rsidRDefault="009E77C6">
        <w:pPr>
          <w:pStyle w:val="Footer"/>
          <w:jc w:val="center"/>
          <w:rPr>
            <w:b/>
            <w:color w:val="66BCDB" w:themeColor="text2"/>
          </w:rPr>
        </w:pPr>
        <w:r w:rsidRPr="00FD72C6">
          <w:rPr>
            <w:b/>
            <w:color w:val="66BCDB" w:themeColor="text2"/>
          </w:rPr>
          <w:fldChar w:fldCharType="begin"/>
        </w:r>
        <w:r w:rsidRPr="00FD72C6">
          <w:rPr>
            <w:b/>
            <w:color w:val="66BCDB" w:themeColor="text2"/>
          </w:rPr>
          <w:instrText xml:space="preserve"> PAGE   \* MERGEFORMAT </w:instrText>
        </w:r>
        <w:r w:rsidRPr="00FD72C6">
          <w:rPr>
            <w:b/>
            <w:color w:val="66BCDB" w:themeColor="text2"/>
          </w:rPr>
          <w:fldChar w:fldCharType="separate"/>
        </w:r>
        <w:r>
          <w:rPr>
            <w:b/>
            <w:noProof/>
            <w:color w:val="66BCDB" w:themeColor="text2"/>
          </w:rPr>
          <w:t>4</w:t>
        </w:r>
        <w:r w:rsidRPr="00FD72C6">
          <w:rPr>
            <w:b/>
            <w:noProof/>
            <w:color w:val="66BCDB" w:themeColor="text2"/>
          </w:rPr>
          <w:fldChar w:fldCharType="end"/>
        </w:r>
      </w:p>
    </w:sdtContent>
  </w:sdt>
  <w:p w:rsidR="009E77C6" w:rsidRPr="00FD72C6" w:rsidRDefault="009E77C6" w:rsidP="00FD72C6">
    <w:pPr>
      <w:pStyle w:val="Footer"/>
      <w:jc w:val="center"/>
      <w:rPr>
        <w:color w:val="66BCDB" w:themeColor="text2"/>
      </w:rPr>
    </w:pPr>
    <w:r w:rsidRPr="00FD72C6">
      <w:rPr>
        <w:rFonts w:cs="Arial"/>
        <w:b/>
        <w:color w:val="66BCDB" w:themeColor="text2"/>
      </w:rPr>
      <w:t>Superannuation: efficiency and COMPETITIVENESS</w:t>
    </w:r>
    <w:r>
      <w:rPr>
        <w:rFonts w:cs="Arial"/>
        <w:b/>
        <w:color w:val="66BCDB" w:themeColor="text2"/>
      </w:rPr>
      <w:t xml:space="preserve"> | Draft report roadmap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7C6" w:rsidRDefault="009E77C6" w:rsidP="00FD72C6">
    <w:pPr>
      <w:pStyle w:val="Footer"/>
      <w:jc w:val="center"/>
      <w:rPr>
        <w:rFonts w:cs="Arial"/>
        <w:b/>
        <w:color w:val="FFFFFF" w:themeColor="background1"/>
      </w:rPr>
    </w:pPr>
    <w:r>
      <w:rPr>
        <w:noProof/>
        <w:color w:val="66BCDB" w:themeColor="text2"/>
      </w:rPr>
      <mc:AlternateContent>
        <mc:Choice Requires="wps">
          <w:drawing>
            <wp:anchor distT="0" distB="0" distL="114300" distR="114300" simplePos="0" relativeHeight="251658241" behindDoc="1" locked="0" layoutInCell="1" allowOverlap="1" wp14:anchorId="7AB82C1D" wp14:editId="4E72A081">
              <wp:simplePos x="0" y="0"/>
              <wp:positionH relativeFrom="page">
                <wp:align>right</wp:align>
              </wp:positionH>
              <wp:positionV relativeFrom="paragraph">
                <wp:posOffset>-186690</wp:posOffset>
              </wp:positionV>
              <wp:extent cx="7552800" cy="626400"/>
              <wp:effectExtent l="0" t="0" r="0" b="2540"/>
              <wp:wrapNone/>
              <wp:docPr id="42" name="Rectangle 42"/>
              <wp:cNvGraphicFramePr/>
              <a:graphic xmlns:a="http://schemas.openxmlformats.org/drawingml/2006/main">
                <a:graphicData uri="http://schemas.microsoft.com/office/word/2010/wordprocessingShape">
                  <wps:wsp>
                    <wps:cNvSpPr/>
                    <wps:spPr>
                      <a:xfrm>
                        <a:off x="0" y="0"/>
                        <a:ext cx="7552800" cy="6264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AD7FC" id="Rectangle 42" o:spid="_x0000_s1026" style="position:absolute;margin-left:543.5pt;margin-top:-14.7pt;width:594.7pt;height:49.3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" fillcolor="#5a5a5a [2109]" stroked="f" strokeweight="2pt">
              <w10:wrap anchorx="page"/>
            </v:rect>
          </w:pict>
        </mc:Fallback>
      </mc:AlternateContent>
    </w:r>
    <w:sdt>
      <w:sdtPr>
        <w:rPr>
          <w:color w:val="66BCDB" w:themeColor="text2"/>
        </w:rPr>
        <w:id w:val="525983454"/>
        <w:docPartObj>
          <w:docPartGallery w:val="Page Numbers (Bottom of Page)"/>
          <w:docPartUnique/>
        </w:docPartObj>
      </w:sdtPr>
      <w:sdtEndPr>
        <w:rPr>
          <w:b/>
          <w:noProof/>
          <w:color w:val="FFFFFF" w:themeColor="background1"/>
        </w:rPr>
      </w:sdtEndPr>
      <w:sdtContent>
        <w:r w:rsidRPr="00FD72C6">
          <w:rPr>
            <w:b/>
            <w:color w:val="FFFFFF" w:themeColor="background1"/>
          </w:rPr>
          <w:fldChar w:fldCharType="begin"/>
        </w:r>
        <w:r w:rsidRPr="00FD72C6">
          <w:rPr>
            <w:b/>
            <w:color w:val="FFFFFF" w:themeColor="background1"/>
          </w:rPr>
          <w:instrText xml:space="preserve"> PAGE   \* MERGEFORMAT </w:instrText>
        </w:r>
        <w:r w:rsidRPr="00FD72C6">
          <w:rPr>
            <w:b/>
            <w:color w:val="FFFFFF" w:themeColor="background1"/>
          </w:rPr>
          <w:fldChar w:fldCharType="separate"/>
        </w:r>
        <w:r w:rsidR="00B7634B">
          <w:rPr>
            <w:b/>
            <w:noProof/>
            <w:color w:val="FFFFFF" w:themeColor="background1"/>
          </w:rPr>
          <w:t>1</w:t>
        </w:r>
        <w:r w:rsidRPr="00FD72C6">
          <w:rPr>
            <w:b/>
            <w:noProof/>
            <w:color w:val="FFFFFF" w:themeColor="background1"/>
          </w:rPr>
          <w:fldChar w:fldCharType="end"/>
        </w:r>
      </w:sdtContent>
    </w:sdt>
    <w:r>
      <w:rPr>
        <w:rFonts w:cs="Arial"/>
        <w:b/>
        <w:color w:val="FFFFFF" w:themeColor="background1"/>
      </w:rPr>
      <w:t xml:space="preserve"> </w:t>
    </w:r>
    <w:r w:rsidRPr="00E4149E">
      <w:rPr>
        <w:rFonts w:cs="Arial"/>
        <w:b/>
        <w:color w:val="B1D673" w:themeColor="accent1" w:themeTint="99"/>
        <w:szCs w:val="16"/>
      </w:rPr>
      <w:t>|</w:t>
    </w:r>
    <w:r>
      <w:rPr>
        <w:rFonts w:cs="Arial"/>
        <w:b/>
        <w:color w:val="FFFFFF" w:themeColor="background1"/>
      </w:rPr>
      <w:t xml:space="preserve"> FINAL</w:t>
    </w:r>
    <w:r w:rsidRPr="00FD72C6">
      <w:rPr>
        <w:rFonts w:cs="Arial"/>
        <w:b/>
        <w:color w:val="FFFFFF" w:themeColor="background1"/>
      </w:rPr>
      <w:t xml:space="preserve"> report roadmap</w:t>
    </w:r>
    <w:r>
      <w:rPr>
        <w:rFonts w:cs="Arial"/>
        <w:b/>
        <w:color w:val="FFFFFF" w:themeColor="background1"/>
      </w:rPr>
      <w:t xml:space="preserve"> </w:t>
    </w:r>
    <w:r w:rsidRPr="00E4149E">
      <w:rPr>
        <w:rFonts w:cs="Arial"/>
        <w:b/>
        <w:color w:val="B1D673" w:themeColor="accent1" w:themeTint="99"/>
        <w:szCs w:val="16"/>
      </w:rPr>
      <w:t>|</w:t>
    </w:r>
    <w:r w:rsidRPr="00F9583E">
      <w:rPr>
        <w:rFonts w:cs="Arial"/>
        <w:b/>
        <w:color w:val="FFFFFF" w:themeColor="background1"/>
        <w:szCs w:val="16"/>
      </w:rPr>
      <w:t xml:space="preserve"> </w:t>
    </w:r>
    <w:r>
      <w:rPr>
        <w:rFonts w:cs="Arial"/>
        <w:b/>
        <w:color w:val="FFFFFF" w:themeColor="background1"/>
      </w:rPr>
      <w:t>HORIZONTAL FISCAL EQUALISATION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D4A" w:rsidRDefault="00EF7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9A0" w:rsidRDefault="00F639A0">
      <w:r>
        <w:separator/>
      </w:r>
    </w:p>
  </w:footnote>
  <w:footnote w:type="continuationSeparator" w:id="0">
    <w:p w:rsidR="00F639A0" w:rsidRDefault="00F639A0">
      <w:r>
        <w:continuationSeparator/>
      </w:r>
    </w:p>
  </w:footnote>
  <w:footnote w:type="continuationNotice" w:id="1">
    <w:p w:rsidR="00F639A0" w:rsidRDefault="00F63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7C6" w:rsidRDefault="009E77C6">
    <w:pPr>
      <w:pStyle w:val="Header"/>
    </w:pPr>
    <w:r>
      <w:rPr>
        <w:noProof/>
      </w:rPr>
      <w:drawing>
        <wp:anchor distT="0" distB="0" distL="114300" distR="114300" simplePos="0" relativeHeight="251658240" behindDoc="1" locked="0" layoutInCell="1" allowOverlap="1" wp14:anchorId="6FB590A3" wp14:editId="6FB590A4">
          <wp:simplePos x="0" y="0"/>
          <wp:positionH relativeFrom="page">
            <wp:align>center</wp:align>
          </wp:positionH>
          <wp:positionV relativeFrom="page">
            <wp:align>top</wp:align>
          </wp:positionV>
          <wp:extent cx="7560000" cy="1549792"/>
          <wp:effectExtent l="0" t="0" r="3175"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er-header-roadmap-came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4979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7C6" w:rsidRPr="00364645" w:rsidRDefault="009E77C6" w:rsidP="00364645">
    <w:pPr>
      <w:pStyle w:val="NormalWeb"/>
      <w:spacing w:before="360" w:beforeAutospacing="0" w:after="0" w:afterAutospacing="0"/>
      <w:jc w:val="right"/>
      <w:rPr>
        <w:rFonts w:asciiTheme="minorHAnsi" w:hAnsiTheme="minorHAnsi" w:cstheme="minorHAnsi"/>
        <w:color w:val="FFFFFF" w:themeColor="background1"/>
        <w:spacing w:val="2"/>
      </w:rPr>
    </w:pPr>
    <w:r w:rsidRPr="00364645">
      <w:rPr>
        <w:rFonts w:asciiTheme="minorHAnsi" w:hAnsiTheme="minorHAnsi" w:cstheme="minorHAnsi"/>
        <w:b/>
        <w:color w:val="FFFFFF" w:themeColor="background1"/>
        <w:spacing w:val="2"/>
        <w:kern w:val="24"/>
        <w:sz w:val="32"/>
        <w:szCs w:val="32"/>
      </w:rPr>
      <w:t>Horizontal Fiscal Equalisation</w:t>
    </w:r>
  </w:p>
  <w:p w:rsidR="009E77C6" w:rsidRDefault="009E77C6" w:rsidP="00364645">
    <w:pPr>
      <w:pStyle w:val="NormalWeb"/>
      <w:spacing w:before="0" w:beforeAutospacing="0" w:after="0" w:afterAutospacing="0"/>
      <w:jc w:val="right"/>
      <w:rPr>
        <w:rFonts w:asciiTheme="minorHAnsi" w:hAnsiTheme="minorHAnsi" w:cstheme="minorHAnsi"/>
        <w:color w:val="78A22F" w:themeColor="accent1"/>
        <w:spacing w:val="2"/>
        <w:kern w:val="24"/>
        <w:sz w:val="32"/>
        <w:szCs w:val="32"/>
      </w:rPr>
    </w:pPr>
    <w:r w:rsidRPr="00364645">
      <w:rPr>
        <w:rFonts w:asciiTheme="minorHAnsi" w:hAnsiTheme="minorHAnsi" w:cstheme="minorHAnsi"/>
        <w:color w:val="78A22F" w:themeColor="accent1"/>
        <w:spacing w:val="2"/>
        <w:kern w:val="24"/>
        <w:sz w:val="32"/>
        <w:szCs w:val="32"/>
      </w:rPr>
      <w:t>Final Report</w:t>
    </w:r>
  </w:p>
  <w:p w:rsidR="009E77C6" w:rsidRDefault="009E77C6" w:rsidP="00E669E2">
    <w:pPr>
      <w:pStyle w:val="HeaderEnd"/>
    </w:pPr>
    <w:r>
      <w:rPr>
        <w:rFonts w:ascii="Verdana" w:hAnsi="Verdana" w:cs="Arial"/>
        <w:b/>
        <w:noProof/>
        <w:color w:val="FFFFFF" w:themeColor="background1"/>
        <w:sz w:val="28"/>
        <w:szCs w:val="28"/>
      </w:rPr>
      <w:drawing>
        <wp:anchor distT="0" distB="0" distL="114300" distR="114300" simplePos="0" relativeHeight="251658242" behindDoc="1" locked="0" layoutInCell="1" allowOverlap="1" wp14:anchorId="67A52346" wp14:editId="1DD448F5">
          <wp:simplePos x="0" y="0"/>
          <wp:positionH relativeFrom="page">
            <wp:align>right</wp:align>
          </wp:positionH>
          <wp:positionV relativeFrom="page">
            <wp:posOffset>-17145</wp:posOffset>
          </wp:positionV>
          <wp:extent cx="7560000" cy="1580400"/>
          <wp:effectExtent l="0" t="0" r="3175" b="127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1.jpg"/>
                  <pic:cNvPicPr/>
                </pic:nvPicPr>
                <pic:blipFill rotWithShape="1">
                  <a:blip r:embed="rId1" cstate="print">
                    <a:extLst>
                      <a:ext uri="{28A0092B-C50C-407E-A947-70E740481C1C}">
                        <a14:useLocalDpi xmlns:a14="http://schemas.microsoft.com/office/drawing/2010/main" val="0"/>
                      </a:ext>
                    </a:extLst>
                  </a:blip>
                  <a:srcRect t="10753"/>
                  <a:stretch/>
                </pic:blipFill>
                <pic:spPr bwMode="auto">
                  <a:xfrm>
                    <a:off x="0" y="0"/>
                    <a:ext cx="7560000" cy="158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D4A" w:rsidRDefault="00EF7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7A420A"/>
    <w:multiLevelType w:val="hybridMultilevel"/>
    <w:tmpl w:val="FDECE362"/>
    <w:lvl w:ilvl="0" w:tplc="0C090001">
      <w:start w:val="1"/>
      <w:numFmt w:val="bullet"/>
      <w:lvlText w:val=""/>
      <w:lvlJc w:val="left"/>
      <w:pPr>
        <w:tabs>
          <w:tab w:val="num" w:pos="720"/>
        </w:tabs>
        <w:ind w:left="720" w:hanging="360"/>
      </w:pPr>
      <w:rPr>
        <w:rFonts w:ascii="Symbol" w:hAnsi="Symbol" w:hint="default"/>
      </w:rPr>
    </w:lvl>
    <w:lvl w:ilvl="1" w:tplc="9F7A8B0A">
      <w:start w:val="32"/>
      <w:numFmt w:val="bullet"/>
      <w:lvlText w:val="-"/>
      <w:lvlJc w:val="left"/>
      <w:pPr>
        <w:tabs>
          <w:tab w:val="num" w:pos="1440"/>
        </w:tabs>
        <w:ind w:left="1440" w:hanging="360"/>
      </w:pPr>
      <w:rPr>
        <w:rFonts w:ascii="Arial" w:hAnsi="Arial" w:hint="default"/>
      </w:rPr>
    </w:lvl>
    <w:lvl w:ilvl="2" w:tplc="A7E0CFF8" w:tentative="1">
      <w:start w:val="1"/>
      <w:numFmt w:val="bullet"/>
      <w:lvlText w:val="•"/>
      <w:lvlJc w:val="left"/>
      <w:pPr>
        <w:tabs>
          <w:tab w:val="num" w:pos="2160"/>
        </w:tabs>
        <w:ind w:left="2160" w:hanging="360"/>
      </w:pPr>
      <w:rPr>
        <w:rFonts w:ascii="Arial" w:hAnsi="Arial" w:hint="default"/>
      </w:rPr>
    </w:lvl>
    <w:lvl w:ilvl="3" w:tplc="12FA70A4" w:tentative="1">
      <w:start w:val="1"/>
      <w:numFmt w:val="bullet"/>
      <w:lvlText w:val="•"/>
      <w:lvlJc w:val="left"/>
      <w:pPr>
        <w:tabs>
          <w:tab w:val="num" w:pos="2880"/>
        </w:tabs>
        <w:ind w:left="2880" w:hanging="360"/>
      </w:pPr>
      <w:rPr>
        <w:rFonts w:ascii="Arial" w:hAnsi="Arial" w:hint="default"/>
      </w:rPr>
    </w:lvl>
    <w:lvl w:ilvl="4" w:tplc="A4A496AC" w:tentative="1">
      <w:start w:val="1"/>
      <w:numFmt w:val="bullet"/>
      <w:lvlText w:val="•"/>
      <w:lvlJc w:val="left"/>
      <w:pPr>
        <w:tabs>
          <w:tab w:val="num" w:pos="3600"/>
        </w:tabs>
        <w:ind w:left="3600" w:hanging="360"/>
      </w:pPr>
      <w:rPr>
        <w:rFonts w:ascii="Arial" w:hAnsi="Arial" w:hint="default"/>
      </w:rPr>
    </w:lvl>
    <w:lvl w:ilvl="5" w:tplc="EA64A492" w:tentative="1">
      <w:start w:val="1"/>
      <w:numFmt w:val="bullet"/>
      <w:lvlText w:val="•"/>
      <w:lvlJc w:val="left"/>
      <w:pPr>
        <w:tabs>
          <w:tab w:val="num" w:pos="4320"/>
        </w:tabs>
        <w:ind w:left="4320" w:hanging="360"/>
      </w:pPr>
      <w:rPr>
        <w:rFonts w:ascii="Arial" w:hAnsi="Arial" w:hint="default"/>
      </w:rPr>
    </w:lvl>
    <w:lvl w:ilvl="6" w:tplc="1DEC3740" w:tentative="1">
      <w:start w:val="1"/>
      <w:numFmt w:val="bullet"/>
      <w:lvlText w:val="•"/>
      <w:lvlJc w:val="left"/>
      <w:pPr>
        <w:tabs>
          <w:tab w:val="num" w:pos="5040"/>
        </w:tabs>
        <w:ind w:left="5040" w:hanging="360"/>
      </w:pPr>
      <w:rPr>
        <w:rFonts w:ascii="Arial" w:hAnsi="Arial" w:hint="default"/>
      </w:rPr>
    </w:lvl>
    <w:lvl w:ilvl="7" w:tplc="EA847D08" w:tentative="1">
      <w:start w:val="1"/>
      <w:numFmt w:val="bullet"/>
      <w:lvlText w:val="•"/>
      <w:lvlJc w:val="left"/>
      <w:pPr>
        <w:tabs>
          <w:tab w:val="num" w:pos="5760"/>
        </w:tabs>
        <w:ind w:left="5760" w:hanging="360"/>
      </w:pPr>
      <w:rPr>
        <w:rFonts w:ascii="Arial" w:hAnsi="Arial" w:hint="default"/>
      </w:rPr>
    </w:lvl>
    <w:lvl w:ilvl="8" w:tplc="FA32D9A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5D811CF"/>
    <w:multiLevelType w:val="hybridMultilevel"/>
    <w:tmpl w:val="E3F4B2B2"/>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lvl>
    <w:lvl w:ilvl="2">
      <w:start w:val="1"/>
      <w:numFmt w:val="lowerRoman"/>
      <w:lvlText w:val="%3)"/>
      <w:lvlJc w:val="left"/>
      <w:pPr>
        <w:tabs>
          <w:tab w:val="num" w:pos="1953"/>
        </w:tabs>
        <w:ind w:left="1953" w:hanging="360"/>
      </w:pPr>
    </w:lvl>
    <w:lvl w:ilvl="3">
      <w:start w:val="1"/>
      <w:numFmt w:val="decimal"/>
      <w:lvlText w:val="(%4)"/>
      <w:lvlJc w:val="left"/>
      <w:pPr>
        <w:tabs>
          <w:tab w:val="num" w:pos="2313"/>
        </w:tabs>
        <w:ind w:left="2313" w:hanging="360"/>
      </w:pPr>
    </w:lvl>
    <w:lvl w:ilvl="4">
      <w:start w:val="1"/>
      <w:numFmt w:val="lowerLetter"/>
      <w:lvlText w:val="(%5)"/>
      <w:lvlJc w:val="left"/>
      <w:pPr>
        <w:tabs>
          <w:tab w:val="num" w:pos="2673"/>
        </w:tabs>
        <w:ind w:left="2673" w:hanging="360"/>
      </w:pPr>
    </w:lvl>
    <w:lvl w:ilvl="5">
      <w:start w:val="1"/>
      <w:numFmt w:val="lowerRoman"/>
      <w:lvlText w:val="(%6)"/>
      <w:lvlJc w:val="left"/>
      <w:pPr>
        <w:tabs>
          <w:tab w:val="num" w:pos="3033"/>
        </w:tabs>
        <w:ind w:left="3033" w:hanging="360"/>
      </w:pPr>
    </w:lvl>
    <w:lvl w:ilvl="6">
      <w:start w:val="1"/>
      <w:numFmt w:val="decimal"/>
      <w:lvlText w:val="%7."/>
      <w:lvlJc w:val="left"/>
      <w:pPr>
        <w:tabs>
          <w:tab w:val="num" w:pos="3393"/>
        </w:tabs>
        <w:ind w:left="3393" w:hanging="360"/>
      </w:pPr>
    </w:lvl>
    <w:lvl w:ilvl="7">
      <w:start w:val="1"/>
      <w:numFmt w:val="lowerLetter"/>
      <w:lvlText w:val="%8."/>
      <w:lvlJc w:val="left"/>
      <w:pPr>
        <w:tabs>
          <w:tab w:val="num" w:pos="3753"/>
        </w:tabs>
        <w:ind w:left="3753" w:hanging="360"/>
      </w:pPr>
    </w:lvl>
    <w:lvl w:ilvl="8">
      <w:start w:val="1"/>
      <w:numFmt w:val="lowerRoman"/>
      <w:lvlText w:val="%9."/>
      <w:lvlJc w:val="left"/>
      <w:pPr>
        <w:tabs>
          <w:tab w:val="num" w:pos="4113"/>
        </w:tabs>
        <w:ind w:left="4113" w:hanging="360"/>
      </w:pPr>
    </w:lvl>
  </w:abstractNum>
  <w:abstractNum w:abstractNumId="2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2"/>
  </w:num>
  <w:num w:numId="3">
    <w:abstractNumId w:val="15"/>
  </w:num>
  <w:num w:numId="4">
    <w:abstractNumId w:val="3"/>
  </w:num>
  <w:num w:numId="5">
    <w:abstractNumId w:val="20"/>
  </w:num>
  <w:num w:numId="6">
    <w:abstractNumId w:val="17"/>
  </w:num>
  <w:num w:numId="7">
    <w:abstractNumId w:val="7"/>
  </w:num>
  <w:num w:numId="8">
    <w:abstractNumId w:val="16"/>
  </w:num>
  <w:num w:numId="9">
    <w:abstractNumId w:val="6"/>
  </w:num>
  <w:num w:numId="10">
    <w:abstractNumId w:val="5"/>
  </w:num>
  <w:num w:numId="11">
    <w:abstractNumId w:val="10"/>
  </w:num>
  <w:num w:numId="12">
    <w:abstractNumId w:val="12"/>
  </w:num>
  <w:num w:numId="13">
    <w:abstractNumId w:val="4"/>
  </w:num>
  <w:num w:numId="14">
    <w:abstractNumId w:val="18"/>
  </w:num>
  <w:num w:numId="15">
    <w:abstractNumId w:val="22"/>
  </w:num>
  <w:num w:numId="16">
    <w:abstractNumId w:val="14"/>
  </w:num>
  <w:num w:numId="17">
    <w:abstractNumId w:val="23"/>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9"/>
  </w:num>
  <w:num w:numId="21">
    <w:abstractNumId w:val="8"/>
  </w:num>
  <w:num w:numId="22">
    <w:abstractNumId w:val="11"/>
  </w:num>
  <w:num w:numId="23">
    <w:abstractNumId w:val="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Superannuation roadmap"/>
    <w:docVar w:name="ShortReportTitle" w:val="Superannuation roadmap"/>
  </w:docVars>
  <w:rsids>
    <w:rsidRoot w:val="003740DA"/>
    <w:rsid w:val="000063F5"/>
    <w:rsid w:val="00006F0F"/>
    <w:rsid w:val="000227D5"/>
    <w:rsid w:val="00024390"/>
    <w:rsid w:val="000245AA"/>
    <w:rsid w:val="0003664B"/>
    <w:rsid w:val="0003764B"/>
    <w:rsid w:val="0004094B"/>
    <w:rsid w:val="0004111F"/>
    <w:rsid w:val="000525E1"/>
    <w:rsid w:val="00055077"/>
    <w:rsid w:val="000565B3"/>
    <w:rsid w:val="0007150B"/>
    <w:rsid w:val="00084878"/>
    <w:rsid w:val="000850D9"/>
    <w:rsid w:val="00085631"/>
    <w:rsid w:val="00087E64"/>
    <w:rsid w:val="000938F5"/>
    <w:rsid w:val="00094C0F"/>
    <w:rsid w:val="00095663"/>
    <w:rsid w:val="00096E55"/>
    <w:rsid w:val="0009783E"/>
    <w:rsid w:val="000B1022"/>
    <w:rsid w:val="000B4A83"/>
    <w:rsid w:val="000B601B"/>
    <w:rsid w:val="000B6620"/>
    <w:rsid w:val="000C207E"/>
    <w:rsid w:val="000C2ECD"/>
    <w:rsid w:val="000D41E9"/>
    <w:rsid w:val="000D6D20"/>
    <w:rsid w:val="000F0035"/>
    <w:rsid w:val="000F04E7"/>
    <w:rsid w:val="000F060A"/>
    <w:rsid w:val="000F420B"/>
    <w:rsid w:val="000F539C"/>
    <w:rsid w:val="000F7377"/>
    <w:rsid w:val="00100488"/>
    <w:rsid w:val="0010123E"/>
    <w:rsid w:val="00110116"/>
    <w:rsid w:val="00110EB0"/>
    <w:rsid w:val="00115B17"/>
    <w:rsid w:val="00117858"/>
    <w:rsid w:val="001179C7"/>
    <w:rsid w:val="00120072"/>
    <w:rsid w:val="00126EB8"/>
    <w:rsid w:val="001274D4"/>
    <w:rsid w:val="0013172A"/>
    <w:rsid w:val="001363AA"/>
    <w:rsid w:val="00137247"/>
    <w:rsid w:val="0013739A"/>
    <w:rsid w:val="00142165"/>
    <w:rsid w:val="001443F6"/>
    <w:rsid w:val="00146530"/>
    <w:rsid w:val="00162434"/>
    <w:rsid w:val="00166C10"/>
    <w:rsid w:val="0017022C"/>
    <w:rsid w:val="0017645B"/>
    <w:rsid w:val="00183C55"/>
    <w:rsid w:val="00183E82"/>
    <w:rsid w:val="00185628"/>
    <w:rsid w:val="001878BB"/>
    <w:rsid w:val="00191AE0"/>
    <w:rsid w:val="0019293B"/>
    <w:rsid w:val="0019426B"/>
    <w:rsid w:val="001A384C"/>
    <w:rsid w:val="001A4538"/>
    <w:rsid w:val="001A6A4B"/>
    <w:rsid w:val="001C0865"/>
    <w:rsid w:val="001C0AED"/>
    <w:rsid w:val="001C2DC6"/>
    <w:rsid w:val="001C3ABA"/>
    <w:rsid w:val="001C5111"/>
    <w:rsid w:val="001C5546"/>
    <w:rsid w:val="001C5DE8"/>
    <w:rsid w:val="001C79C9"/>
    <w:rsid w:val="001D3360"/>
    <w:rsid w:val="001D4878"/>
    <w:rsid w:val="001E1014"/>
    <w:rsid w:val="001E4F60"/>
    <w:rsid w:val="001E5184"/>
    <w:rsid w:val="001E7BE8"/>
    <w:rsid w:val="001F0248"/>
    <w:rsid w:val="001F3EB3"/>
    <w:rsid w:val="001F4F86"/>
    <w:rsid w:val="00202C2C"/>
    <w:rsid w:val="00203050"/>
    <w:rsid w:val="00203064"/>
    <w:rsid w:val="00203B2E"/>
    <w:rsid w:val="00212982"/>
    <w:rsid w:val="002135AB"/>
    <w:rsid w:val="002144BE"/>
    <w:rsid w:val="002320B8"/>
    <w:rsid w:val="00234263"/>
    <w:rsid w:val="00242279"/>
    <w:rsid w:val="002431C3"/>
    <w:rsid w:val="00243997"/>
    <w:rsid w:val="0024516C"/>
    <w:rsid w:val="00245C82"/>
    <w:rsid w:val="0024766C"/>
    <w:rsid w:val="00251A4D"/>
    <w:rsid w:val="00263155"/>
    <w:rsid w:val="00264FC9"/>
    <w:rsid w:val="002724BA"/>
    <w:rsid w:val="002740F1"/>
    <w:rsid w:val="00291B40"/>
    <w:rsid w:val="00296B78"/>
    <w:rsid w:val="002A1CF9"/>
    <w:rsid w:val="002A5FBF"/>
    <w:rsid w:val="002B4008"/>
    <w:rsid w:val="002B628F"/>
    <w:rsid w:val="002C439F"/>
    <w:rsid w:val="002C5A8C"/>
    <w:rsid w:val="002C6BBC"/>
    <w:rsid w:val="002D0C42"/>
    <w:rsid w:val="002D0E8E"/>
    <w:rsid w:val="002D17B9"/>
    <w:rsid w:val="002D28D1"/>
    <w:rsid w:val="002D2EA0"/>
    <w:rsid w:val="002E4561"/>
    <w:rsid w:val="002F0301"/>
    <w:rsid w:val="002F05F7"/>
    <w:rsid w:val="002F23A8"/>
    <w:rsid w:val="00301189"/>
    <w:rsid w:val="00301E4A"/>
    <w:rsid w:val="00305D5F"/>
    <w:rsid w:val="00305F57"/>
    <w:rsid w:val="0031466C"/>
    <w:rsid w:val="003168B8"/>
    <w:rsid w:val="00316B2A"/>
    <w:rsid w:val="00322D64"/>
    <w:rsid w:val="00323E09"/>
    <w:rsid w:val="00330F5A"/>
    <w:rsid w:val="003329EB"/>
    <w:rsid w:val="0033378D"/>
    <w:rsid w:val="00333932"/>
    <w:rsid w:val="003518AA"/>
    <w:rsid w:val="00352165"/>
    <w:rsid w:val="00353182"/>
    <w:rsid w:val="003565D9"/>
    <w:rsid w:val="003602E1"/>
    <w:rsid w:val="00364645"/>
    <w:rsid w:val="00364919"/>
    <w:rsid w:val="0037026F"/>
    <w:rsid w:val="00371240"/>
    <w:rsid w:val="003740DA"/>
    <w:rsid w:val="00374731"/>
    <w:rsid w:val="00376598"/>
    <w:rsid w:val="00376E59"/>
    <w:rsid w:val="00377EC1"/>
    <w:rsid w:val="00380340"/>
    <w:rsid w:val="003830FE"/>
    <w:rsid w:val="0038749A"/>
    <w:rsid w:val="003919F9"/>
    <w:rsid w:val="003920CF"/>
    <w:rsid w:val="003A248A"/>
    <w:rsid w:val="003A6DB9"/>
    <w:rsid w:val="003B23C2"/>
    <w:rsid w:val="003B460E"/>
    <w:rsid w:val="003C0E32"/>
    <w:rsid w:val="003C38B5"/>
    <w:rsid w:val="003C5D99"/>
    <w:rsid w:val="003D1087"/>
    <w:rsid w:val="003D5027"/>
    <w:rsid w:val="003E2F59"/>
    <w:rsid w:val="003E48AB"/>
    <w:rsid w:val="003E746B"/>
    <w:rsid w:val="003F0789"/>
    <w:rsid w:val="003F6ACE"/>
    <w:rsid w:val="00401882"/>
    <w:rsid w:val="004100C8"/>
    <w:rsid w:val="00411DBD"/>
    <w:rsid w:val="00412ACE"/>
    <w:rsid w:val="004145D2"/>
    <w:rsid w:val="00424D95"/>
    <w:rsid w:val="00425128"/>
    <w:rsid w:val="00425A83"/>
    <w:rsid w:val="00426CB4"/>
    <w:rsid w:val="00431249"/>
    <w:rsid w:val="00434C19"/>
    <w:rsid w:val="00437E28"/>
    <w:rsid w:val="00442A8C"/>
    <w:rsid w:val="00444896"/>
    <w:rsid w:val="00450810"/>
    <w:rsid w:val="00456E0A"/>
    <w:rsid w:val="0046001C"/>
    <w:rsid w:val="00460F20"/>
    <w:rsid w:val="00462C59"/>
    <w:rsid w:val="004642A8"/>
    <w:rsid w:val="004649E2"/>
    <w:rsid w:val="00470737"/>
    <w:rsid w:val="00477144"/>
    <w:rsid w:val="00483DC2"/>
    <w:rsid w:val="00491380"/>
    <w:rsid w:val="0049459F"/>
    <w:rsid w:val="004A38DD"/>
    <w:rsid w:val="004B43AE"/>
    <w:rsid w:val="004B683D"/>
    <w:rsid w:val="004C30ED"/>
    <w:rsid w:val="004D5675"/>
    <w:rsid w:val="004E333E"/>
    <w:rsid w:val="004E3FEF"/>
    <w:rsid w:val="004E6400"/>
    <w:rsid w:val="004F3E95"/>
    <w:rsid w:val="005050D7"/>
    <w:rsid w:val="0051306E"/>
    <w:rsid w:val="005172FA"/>
    <w:rsid w:val="00517795"/>
    <w:rsid w:val="00523639"/>
    <w:rsid w:val="005250F8"/>
    <w:rsid w:val="00531FE5"/>
    <w:rsid w:val="00535BA1"/>
    <w:rsid w:val="005371BE"/>
    <w:rsid w:val="005402FA"/>
    <w:rsid w:val="00541E1A"/>
    <w:rsid w:val="00546106"/>
    <w:rsid w:val="0056264C"/>
    <w:rsid w:val="0057098F"/>
    <w:rsid w:val="005729BD"/>
    <w:rsid w:val="00573437"/>
    <w:rsid w:val="00573BE3"/>
    <w:rsid w:val="00580154"/>
    <w:rsid w:val="00583C39"/>
    <w:rsid w:val="00586884"/>
    <w:rsid w:val="00586A90"/>
    <w:rsid w:val="00586CE7"/>
    <w:rsid w:val="005873BF"/>
    <w:rsid w:val="00587F28"/>
    <w:rsid w:val="005909CF"/>
    <w:rsid w:val="00591E71"/>
    <w:rsid w:val="005A0D41"/>
    <w:rsid w:val="005A7D19"/>
    <w:rsid w:val="005B41C1"/>
    <w:rsid w:val="005B4AD7"/>
    <w:rsid w:val="005C04A2"/>
    <w:rsid w:val="005C0B98"/>
    <w:rsid w:val="005C3150"/>
    <w:rsid w:val="005C5A71"/>
    <w:rsid w:val="005C6086"/>
    <w:rsid w:val="005D329F"/>
    <w:rsid w:val="005E0743"/>
    <w:rsid w:val="005F48ED"/>
    <w:rsid w:val="005F4B6C"/>
    <w:rsid w:val="0060324F"/>
    <w:rsid w:val="00606E78"/>
    <w:rsid w:val="00607BF1"/>
    <w:rsid w:val="00615C54"/>
    <w:rsid w:val="0061637F"/>
    <w:rsid w:val="0061753A"/>
    <w:rsid w:val="006265C3"/>
    <w:rsid w:val="00630D4D"/>
    <w:rsid w:val="00632A74"/>
    <w:rsid w:val="006354A8"/>
    <w:rsid w:val="006465A5"/>
    <w:rsid w:val="0064694C"/>
    <w:rsid w:val="00654D42"/>
    <w:rsid w:val="00666E02"/>
    <w:rsid w:val="006966E5"/>
    <w:rsid w:val="00697DF1"/>
    <w:rsid w:val="006A1B33"/>
    <w:rsid w:val="006A4655"/>
    <w:rsid w:val="006B2B3C"/>
    <w:rsid w:val="006B75F9"/>
    <w:rsid w:val="006C0CF7"/>
    <w:rsid w:val="006C1D81"/>
    <w:rsid w:val="006C7038"/>
    <w:rsid w:val="006D2CF0"/>
    <w:rsid w:val="006D4080"/>
    <w:rsid w:val="006D7DEF"/>
    <w:rsid w:val="006E5630"/>
    <w:rsid w:val="006E73EF"/>
    <w:rsid w:val="0070462E"/>
    <w:rsid w:val="007079C9"/>
    <w:rsid w:val="007141A2"/>
    <w:rsid w:val="00714D4D"/>
    <w:rsid w:val="007266D3"/>
    <w:rsid w:val="00730360"/>
    <w:rsid w:val="007304F6"/>
    <w:rsid w:val="00732029"/>
    <w:rsid w:val="007338FF"/>
    <w:rsid w:val="00733FA7"/>
    <w:rsid w:val="0073497B"/>
    <w:rsid w:val="007413F1"/>
    <w:rsid w:val="007425B4"/>
    <w:rsid w:val="00747DFB"/>
    <w:rsid w:val="00752DBB"/>
    <w:rsid w:val="00757294"/>
    <w:rsid w:val="007572C4"/>
    <w:rsid w:val="007604BB"/>
    <w:rsid w:val="00772909"/>
    <w:rsid w:val="0077487B"/>
    <w:rsid w:val="00776D59"/>
    <w:rsid w:val="007801F8"/>
    <w:rsid w:val="00785232"/>
    <w:rsid w:val="0079701E"/>
    <w:rsid w:val="007A21EB"/>
    <w:rsid w:val="007B1A93"/>
    <w:rsid w:val="007C36C9"/>
    <w:rsid w:val="007D6401"/>
    <w:rsid w:val="007E01E4"/>
    <w:rsid w:val="007E15CD"/>
    <w:rsid w:val="007E5939"/>
    <w:rsid w:val="007E6260"/>
    <w:rsid w:val="007E78A9"/>
    <w:rsid w:val="007E7A12"/>
    <w:rsid w:val="007F49EA"/>
    <w:rsid w:val="007F4C88"/>
    <w:rsid w:val="007F7107"/>
    <w:rsid w:val="00800D4C"/>
    <w:rsid w:val="0081030F"/>
    <w:rsid w:val="00812F4A"/>
    <w:rsid w:val="0082087D"/>
    <w:rsid w:val="00833B7F"/>
    <w:rsid w:val="00835771"/>
    <w:rsid w:val="00841E2B"/>
    <w:rsid w:val="00842933"/>
    <w:rsid w:val="00850CC0"/>
    <w:rsid w:val="008554D4"/>
    <w:rsid w:val="008564FB"/>
    <w:rsid w:val="0086082C"/>
    <w:rsid w:val="0086194D"/>
    <w:rsid w:val="00864ADC"/>
    <w:rsid w:val="008659B7"/>
    <w:rsid w:val="00871BEA"/>
    <w:rsid w:val="00871E89"/>
    <w:rsid w:val="00875B4A"/>
    <w:rsid w:val="00877DA0"/>
    <w:rsid w:val="00880153"/>
    <w:rsid w:val="00880F97"/>
    <w:rsid w:val="0088133A"/>
    <w:rsid w:val="0089285E"/>
    <w:rsid w:val="0089436C"/>
    <w:rsid w:val="00896CA6"/>
    <w:rsid w:val="008A2C83"/>
    <w:rsid w:val="008A57F3"/>
    <w:rsid w:val="008B1238"/>
    <w:rsid w:val="008B3D99"/>
    <w:rsid w:val="008C1A73"/>
    <w:rsid w:val="008C1D34"/>
    <w:rsid w:val="008D2351"/>
    <w:rsid w:val="008D365C"/>
    <w:rsid w:val="008D74FA"/>
    <w:rsid w:val="008D7622"/>
    <w:rsid w:val="008E375A"/>
    <w:rsid w:val="008E7584"/>
    <w:rsid w:val="008F03F4"/>
    <w:rsid w:val="00902160"/>
    <w:rsid w:val="009021A6"/>
    <w:rsid w:val="00902E6E"/>
    <w:rsid w:val="009030BF"/>
    <w:rsid w:val="00903B52"/>
    <w:rsid w:val="0090520A"/>
    <w:rsid w:val="0091032F"/>
    <w:rsid w:val="00914368"/>
    <w:rsid w:val="0092618A"/>
    <w:rsid w:val="00931076"/>
    <w:rsid w:val="009315F0"/>
    <w:rsid w:val="00933779"/>
    <w:rsid w:val="00933F28"/>
    <w:rsid w:val="009345D9"/>
    <w:rsid w:val="00934B15"/>
    <w:rsid w:val="0093565F"/>
    <w:rsid w:val="00940C87"/>
    <w:rsid w:val="00942B62"/>
    <w:rsid w:val="0095323B"/>
    <w:rsid w:val="00956A0C"/>
    <w:rsid w:val="00956BD9"/>
    <w:rsid w:val="00956E32"/>
    <w:rsid w:val="00962489"/>
    <w:rsid w:val="00962DD8"/>
    <w:rsid w:val="00967CD3"/>
    <w:rsid w:val="00983AA6"/>
    <w:rsid w:val="009875E9"/>
    <w:rsid w:val="00990C2C"/>
    <w:rsid w:val="009A4B5E"/>
    <w:rsid w:val="009A5171"/>
    <w:rsid w:val="009B2F08"/>
    <w:rsid w:val="009B3A37"/>
    <w:rsid w:val="009B4E9B"/>
    <w:rsid w:val="009C1BBB"/>
    <w:rsid w:val="009C4D91"/>
    <w:rsid w:val="009C6FFA"/>
    <w:rsid w:val="009D0FC9"/>
    <w:rsid w:val="009D69D6"/>
    <w:rsid w:val="009D7749"/>
    <w:rsid w:val="009E0CE3"/>
    <w:rsid w:val="009E1844"/>
    <w:rsid w:val="009E279F"/>
    <w:rsid w:val="009E69F3"/>
    <w:rsid w:val="009E77C6"/>
    <w:rsid w:val="009F0D1B"/>
    <w:rsid w:val="009F53DD"/>
    <w:rsid w:val="009F5BBD"/>
    <w:rsid w:val="009F696D"/>
    <w:rsid w:val="009F6BC6"/>
    <w:rsid w:val="009F74EF"/>
    <w:rsid w:val="00A02826"/>
    <w:rsid w:val="00A037DE"/>
    <w:rsid w:val="00A15D5A"/>
    <w:rsid w:val="00A169D6"/>
    <w:rsid w:val="00A17328"/>
    <w:rsid w:val="00A17584"/>
    <w:rsid w:val="00A20145"/>
    <w:rsid w:val="00A23A20"/>
    <w:rsid w:val="00A24443"/>
    <w:rsid w:val="00A268B9"/>
    <w:rsid w:val="00A2703A"/>
    <w:rsid w:val="00A31F91"/>
    <w:rsid w:val="00A33DFF"/>
    <w:rsid w:val="00A35115"/>
    <w:rsid w:val="00A36D9A"/>
    <w:rsid w:val="00A43A45"/>
    <w:rsid w:val="00A451DC"/>
    <w:rsid w:val="00A554AB"/>
    <w:rsid w:val="00A57062"/>
    <w:rsid w:val="00A570D3"/>
    <w:rsid w:val="00A67781"/>
    <w:rsid w:val="00A7254B"/>
    <w:rsid w:val="00A761F9"/>
    <w:rsid w:val="00A833A5"/>
    <w:rsid w:val="00A90167"/>
    <w:rsid w:val="00A92B53"/>
    <w:rsid w:val="00A93A52"/>
    <w:rsid w:val="00A94FA6"/>
    <w:rsid w:val="00A97571"/>
    <w:rsid w:val="00AA49A0"/>
    <w:rsid w:val="00AA6710"/>
    <w:rsid w:val="00AB0681"/>
    <w:rsid w:val="00AB6DB6"/>
    <w:rsid w:val="00AB7CE5"/>
    <w:rsid w:val="00AC3A15"/>
    <w:rsid w:val="00AC411D"/>
    <w:rsid w:val="00AD520B"/>
    <w:rsid w:val="00AE3BCC"/>
    <w:rsid w:val="00AE7FAA"/>
    <w:rsid w:val="00AF4A99"/>
    <w:rsid w:val="00AF6A60"/>
    <w:rsid w:val="00B04D21"/>
    <w:rsid w:val="00B13991"/>
    <w:rsid w:val="00B249D2"/>
    <w:rsid w:val="00B26A59"/>
    <w:rsid w:val="00B406A6"/>
    <w:rsid w:val="00B425C3"/>
    <w:rsid w:val="00B43027"/>
    <w:rsid w:val="00B4373D"/>
    <w:rsid w:val="00B440AD"/>
    <w:rsid w:val="00B479BB"/>
    <w:rsid w:val="00B5271A"/>
    <w:rsid w:val="00B53E7E"/>
    <w:rsid w:val="00B6342E"/>
    <w:rsid w:val="00B65603"/>
    <w:rsid w:val="00B7113F"/>
    <w:rsid w:val="00B718DC"/>
    <w:rsid w:val="00B73E2F"/>
    <w:rsid w:val="00B7634B"/>
    <w:rsid w:val="00B8268C"/>
    <w:rsid w:val="00B83107"/>
    <w:rsid w:val="00B9271B"/>
    <w:rsid w:val="00B94F35"/>
    <w:rsid w:val="00BA2BCF"/>
    <w:rsid w:val="00BA4B07"/>
    <w:rsid w:val="00BA5B14"/>
    <w:rsid w:val="00BA73B6"/>
    <w:rsid w:val="00BA7E27"/>
    <w:rsid w:val="00BB2603"/>
    <w:rsid w:val="00BB4FCD"/>
    <w:rsid w:val="00BC04E9"/>
    <w:rsid w:val="00BC203B"/>
    <w:rsid w:val="00BD13EA"/>
    <w:rsid w:val="00BD1B4D"/>
    <w:rsid w:val="00BE1283"/>
    <w:rsid w:val="00BE3808"/>
    <w:rsid w:val="00BF1446"/>
    <w:rsid w:val="00BF25D3"/>
    <w:rsid w:val="00C0001B"/>
    <w:rsid w:val="00C03B88"/>
    <w:rsid w:val="00C062E9"/>
    <w:rsid w:val="00C069AA"/>
    <w:rsid w:val="00C07B64"/>
    <w:rsid w:val="00C12038"/>
    <w:rsid w:val="00C13721"/>
    <w:rsid w:val="00C14FE4"/>
    <w:rsid w:val="00C22714"/>
    <w:rsid w:val="00C22B32"/>
    <w:rsid w:val="00C23CAC"/>
    <w:rsid w:val="00C25D4F"/>
    <w:rsid w:val="00C3066D"/>
    <w:rsid w:val="00C4611A"/>
    <w:rsid w:val="00C522E7"/>
    <w:rsid w:val="00C52416"/>
    <w:rsid w:val="00C543F4"/>
    <w:rsid w:val="00C6291C"/>
    <w:rsid w:val="00C633CB"/>
    <w:rsid w:val="00C6368F"/>
    <w:rsid w:val="00C664CD"/>
    <w:rsid w:val="00C736B7"/>
    <w:rsid w:val="00C81D4A"/>
    <w:rsid w:val="00C8520B"/>
    <w:rsid w:val="00C8762C"/>
    <w:rsid w:val="00C950C1"/>
    <w:rsid w:val="00C97818"/>
    <w:rsid w:val="00CA00F9"/>
    <w:rsid w:val="00CA1CD0"/>
    <w:rsid w:val="00CA2961"/>
    <w:rsid w:val="00CB4745"/>
    <w:rsid w:val="00CB50D7"/>
    <w:rsid w:val="00CB7177"/>
    <w:rsid w:val="00CB7CED"/>
    <w:rsid w:val="00CC070F"/>
    <w:rsid w:val="00CC1998"/>
    <w:rsid w:val="00CC3066"/>
    <w:rsid w:val="00CC30C8"/>
    <w:rsid w:val="00CC3E36"/>
    <w:rsid w:val="00CC4946"/>
    <w:rsid w:val="00CC4EAA"/>
    <w:rsid w:val="00CC64A1"/>
    <w:rsid w:val="00CD7106"/>
    <w:rsid w:val="00CF3B11"/>
    <w:rsid w:val="00CF47F6"/>
    <w:rsid w:val="00CF5F65"/>
    <w:rsid w:val="00CF6AFC"/>
    <w:rsid w:val="00D05F5B"/>
    <w:rsid w:val="00D07177"/>
    <w:rsid w:val="00D270A4"/>
    <w:rsid w:val="00D31FE9"/>
    <w:rsid w:val="00D34E1B"/>
    <w:rsid w:val="00D376BA"/>
    <w:rsid w:val="00D434A0"/>
    <w:rsid w:val="00D45634"/>
    <w:rsid w:val="00D4698B"/>
    <w:rsid w:val="00D552AC"/>
    <w:rsid w:val="00D5568A"/>
    <w:rsid w:val="00D63D73"/>
    <w:rsid w:val="00D6424C"/>
    <w:rsid w:val="00D64452"/>
    <w:rsid w:val="00D66E1E"/>
    <w:rsid w:val="00D70696"/>
    <w:rsid w:val="00D75722"/>
    <w:rsid w:val="00D7798D"/>
    <w:rsid w:val="00D80CF5"/>
    <w:rsid w:val="00D91BDA"/>
    <w:rsid w:val="00D9232C"/>
    <w:rsid w:val="00DA5BBA"/>
    <w:rsid w:val="00DA7FE8"/>
    <w:rsid w:val="00DB26D2"/>
    <w:rsid w:val="00DB3C95"/>
    <w:rsid w:val="00DB67C9"/>
    <w:rsid w:val="00DC0C95"/>
    <w:rsid w:val="00DC4F0B"/>
    <w:rsid w:val="00DC5B72"/>
    <w:rsid w:val="00DD6462"/>
    <w:rsid w:val="00DD6580"/>
    <w:rsid w:val="00DD78EA"/>
    <w:rsid w:val="00DE6B5E"/>
    <w:rsid w:val="00DF109C"/>
    <w:rsid w:val="00DF664E"/>
    <w:rsid w:val="00E01D7F"/>
    <w:rsid w:val="00E03588"/>
    <w:rsid w:val="00E03DCB"/>
    <w:rsid w:val="00E05C03"/>
    <w:rsid w:val="00E12533"/>
    <w:rsid w:val="00E17C72"/>
    <w:rsid w:val="00E21FC6"/>
    <w:rsid w:val="00E251A1"/>
    <w:rsid w:val="00E4149E"/>
    <w:rsid w:val="00E431A9"/>
    <w:rsid w:val="00E45C48"/>
    <w:rsid w:val="00E47733"/>
    <w:rsid w:val="00E47E1E"/>
    <w:rsid w:val="00E63363"/>
    <w:rsid w:val="00E64ACF"/>
    <w:rsid w:val="00E669E2"/>
    <w:rsid w:val="00E76135"/>
    <w:rsid w:val="00E810E4"/>
    <w:rsid w:val="00E82F4F"/>
    <w:rsid w:val="00E853E7"/>
    <w:rsid w:val="00E864DF"/>
    <w:rsid w:val="00EA5179"/>
    <w:rsid w:val="00EB2CC3"/>
    <w:rsid w:val="00EB5518"/>
    <w:rsid w:val="00EC2844"/>
    <w:rsid w:val="00EC5500"/>
    <w:rsid w:val="00EC6319"/>
    <w:rsid w:val="00ED18F8"/>
    <w:rsid w:val="00ED1B60"/>
    <w:rsid w:val="00ED4CB3"/>
    <w:rsid w:val="00EE193A"/>
    <w:rsid w:val="00EE6EDA"/>
    <w:rsid w:val="00EE778E"/>
    <w:rsid w:val="00EF47D4"/>
    <w:rsid w:val="00EF4ECC"/>
    <w:rsid w:val="00EF6719"/>
    <w:rsid w:val="00EF6C6C"/>
    <w:rsid w:val="00EF6F6E"/>
    <w:rsid w:val="00EF7D4A"/>
    <w:rsid w:val="00F056FC"/>
    <w:rsid w:val="00F0632F"/>
    <w:rsid w:val="00F069AE"/>
    <w:rsid w:val="00F10476"/>
    <w:rsid w:val="00F135D8"/>
    <w:rsid w:val="00F21744"/>
    <w:rsid w:val="00F22E2E"/>
    <w:rsid w:val="00F31299"/>
    <w:rsid w:val="00F3295E"/>
    <w:rsid w:val="00F3357C"/>
    <w:rsid w:val="00F3534A"/>
    <w:rsid w:val="00F35BFB"/>
    <w:rsid w:val="00F35FC1"/>
    <w:rsid w:val="00F36ACC"/>
    <w:rsid w:val="00F51609"/>
    <w:rsid w:val="00F52500"/>
    <w:rsid w:val="00F529CC"/>
    <w:rsid w:val="00F54AAE"/>
    <w:rsid w:val="00F55C25"/>
    <w:rsid w:val="00F639A0"/>
    <w:rsid w:val="00F73727"/>
    <w:rsid w:val="00F766A7"/>
    <w:rsid w:val="00F77AD5"/>
    <w:rsid w:val="00F81006"/>
    <w:rsid w:val="00F845B0"/>
    <w:rsid w:val="00F85325"/>
    <w:rsid w:val="00F910D5"/>
    <w:rsid w:val="00F9583E"/>
    <w:rsid w:val="00FB4169"/>
    <w:rsid w:val="00FC744B"/>
    <w:rsid w:val="00FD1DD1"/>
    <w:rsid w:val="00FD22B1"/>
    <w:rsid w:val="00FD33F1"/>
    <w:rsid w:val="00FD3566"/>
    <w:rsid w:val="00FD72C6"/>
    <w:rsid w:val="00FE1379"/>
    <w:rsid w:val="00FE21D0"/>
    <w:rsid w:val="00FE2C38"/>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65857C0-1164-460B-8942-9041A658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40DA"/>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uiPriority w:val="99"/>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uiPriority w:val="99"/>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BoxChar">
    <w:name w:val="Box Char"/>
    <w:basedOn w:val="DefaultParagraphFont"/>
    <w:link w:val="Box"/>
    <w:locked/>
    <w:rsid w:val="003740DA"/>
    <w:rPr>
      <w:rFonts w:ascii="Arial" w:hAnsi="Arial"/>
    </w:rPr>
  </w:style>
  <w:style w:type="character" w:customStyle="1" w:styleId="BoxListBulletChar">
    <w:name w:val="Box List Bullet Char"/>
    <w:basedOn w:val="DefaultParagraphFont"/>
    <w:link w:val="BoxListBullet"/>
    <w:locked/>
    <w:rsid w:val="003740DA"/>
    <w:rPr>
      <w:rFonts w:ascii="Arial" w:hAnsi="Arial"/>
    </w:rPr>
  </w:style>
  <w:style w:type="paragraph" w:styleId="NormalWeb">
    <w:name w:val="Normal (Web)"/>
    <w:basedOn w:val="Normal"/>
    <w:uiPriority w:val="99"/>
    <w:semiHidden/>
    <w:unhideWhenUsed/>
    <w:rsid w:val="00A17584"/>
    <w:pPr>
      <w:spacing w:before="100" w:beforeAutospacing="1" w:after="100" w:afterAutospacing="1"/>
    </w:pPr>
    <w:rPr>
      <w:rFonts w:eastAsiaTheme="minorEastAsia"/>
    </w:rPr>
  </w:style>
  <w:style w:type="character" w:customStyle="1" w:styleId="normaltextrun">
    <w:name w:val="normaltextrun"/>
    <w:basedOn w:val="DefaultParagraphFont"/>
    <w:rsid w:val="009C1BBB"/>
  </w:style>
  <w:style w:type="character" w:customStyle="1" w:styleId="apple-converted-space">
    <w:name w:val="apple-converted-space"/>
    <w:basedOn w:val="DefaultParagraphFont"/>
    <w:rsid w:val="009C1BBB"/>
  </w:style>
  <w:style w:type="paragraph" w:customStyle="1" w:styleId="CGCBulletlist">
    <w:name w:val="CGC Bullet list"/>
    <w:aliases w:val="CGC List 1"/>
    <w:basedOn w:val="Normal"/>
    <w:qFormat/>
    <w:rsid w:val="009C1BBB"/>
    <w:pPr>
      <w:numPr>
        <w:numId w:val="25"/>
      </w:numPr>
      <w:tabs>
        <w:tab w:val="left" w:pos="1134"/>
      </w:tabs>
      <w:spacing w:before="80" w:after="80" w:line="300" w:lineRule="atLeast"/>
    </w:pPr>
    <w:rPr>
      <w:szCs w:val="20"/>
    </w:rPr>
  </w:style>
  <w:style w:type="paragraph" w:styleId="CommentSubject">
    <w:name w:val="annotation subject"/>
    <w:basedOn w:val="CommentText"/>
    <w:next w:val="CommentText"/>
    <w:link w:val="CommentSubjectChar"/>
    <w:semiHidden/>
    <w:unhideWhenUsed/>
    <w:rsid w:val="00D05F5B"/>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D05F5B"/>
    <w:rPr>
      <w:szCs w:val="24"/>
    </w:rPr>
  </w:style>
  <w:style w:type="character" w:customStyle="1" w:styleId="CommentSubjectChar">
    <w:name w:val="Comment Subject Char"/>
    <w:basedOn w:val="CommentTextChar"/>
    <w:link w:val="CommentSubject"/>
    <w:semiHidden/>
    <w:rsid w:val="00D05F5B"/>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853879">
      <w:bodyDiv w:val="1"/>
      <w:marLeft w:val="0"/>
      <w:marRight w:val="0"/>
      <w:marTop w:val="0"/>
      <w:marBottom w:val="0"/>
      <w:divBdr>
        <w:top w:val="none" w:sz="0" w:space="0" w:color="auto"/>
        <w:left w:val="none" w:sz="0" w:space="0" w:color="auto"/>
        <w:bottom w:val="none" w:sz="0" w:space="0" w:color="auto"/>
        <w:right w:val="none" w:sz="0" w:space="0" w:color="auto"/>
      </w:divBdr>
    </w:div>
    <w:div w:id="1547335856">
      <w:bodyDiv w:val="1"/>
      <w:marLeft w:val="0"/>
      <w:marRight w:val="0"/>
      <w:marTop w:val="0"/>
      <w:marBottom w:val="0"/>
      <w:divBdr>
        <w:top w:val="none" w:sz="0" w:space="0" w:color="auto"/>
        <w:left w:val="none" w:sz="0" w:space="0" w:color="auto"/>
        <w:bottom w:val="none" w:sz="0" w:space="0" w:color="auto"/>
        <w:right w:val="none" w:sz="0" w:space="0" w:color="auto"/>
      </w:divBdr>
    </w:div>
    <w:div w:id="1570068076">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4" PreviousValue="false"/>
</file>

<file path=customXml/item4.xml><?xml version="1.0" encoding="utf-8"?>
<p:properties xmlns:p="http://schemas.microsoft.com/office/2006/metadata/properties" xmlns:xsi="http://www.w3.org/2001/XMLSchema-instance" xmlns:pc="http://schemas.microsoft.com/office/infopath/2007/PartnerControls">
  <documentManagement>
    <Draft_x0020_Report_x0020_Status xmlns="3f4bcce7-ac1a-4c9d-aa3e-7e77695652db">
      <Value>In initial draft state</Value>
    </Draft_x0020_Report_x0020_Status>
    <TaxKeywordTaxHTField xmlns="3f4bcce7-ac1a-4c9d-aa3e-7e77695652db">
      <Terms xmlns="http://schemas.microsoft.com/office/infopath/2007/PartnerControls"/>
    </TaxKeywordTaxHTField>
    <V3Comments xmlns="http://schemas.microsoft.com/sharepoint/v3" xsi:nil="true"/>
    <h5f9b65cd6ce4f8686de7baeff8c5cd7 xmlns="00C4BD29-A545-4C95-99B3-E40348264967">
      <Terms xmlns="http://schemas.microsoft.com/office/infopath/2007/PartnerControls"/>
    </h5f9b65cd6ce4f8686de7baeff8c5cd7>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Routine Admin</TermName>
          <TermId xmlns="http://schemas.microsoft.com/office/infopath/2007/PartnerControls">a2ae55e0-0c20-4788-b23c-f56365307b78</TermId>
        </TermInfo>
      </Terms>
    </p7a0baa8c88445a78b6f55906390ba17>
    <TaxCatchAll xmlns="3f4bcce7-ac1a-4c9d-aa3e-7e77695652db">
      <Value>272</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Reports" ma:contentTypeID="0x0101007916246811615643A710C6FEAFF56A8711040006DF2AE8B8147948A737FCB4A54125B1" ma:contentTypeVersion="0" ma:contentTypeDescription="" ma:contentTypeScope="" ma:versionID="e43a6273e6d5686fc855ca1fe226b815">
  <xsd:schema xmlns:xsd="http://www.w3.org/2001/XMLSchema" xmlns:xs="http://www.w3.org/2001/XMLSchema" xmlns:p="http://schemas.microsoft.com/office/2006/metadata/properties" xmlns:ns1="http://schemas.microsoft.com/sharepoint/v3" xmlns:ns2="3f4bcce7-ac1a-4c9d-aa3e-7e77695652db" xmlns:ns4="00C4BD29-A545-4C95-99B3-E40348264967" targetNamespace="http://schemas.microsoft.com/office/2006/metadata/properties" ma:root="true" ma:fieldsID="72c16ca39ad5e5ec8ece7d1c80ce9c20" ns1:_="" ns2:_="" ns4:_="">
    <xsd:import namespace="http://schemas.microsoft.com/sharepoint/v3"/>
    <xsd:import namespace="3f4bcce7-ac1a-4c9d-aa3e-7e77695652db"/>
    <xsd:import namespace="00C4BD29-A545-4C95-99B3-E4034826496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element ref="ns1:V3Comments" minOccurs="0"/>
                <xsd:element ref="ns4:h5f9b65cd6ce4f8686de7baeff8c5c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609e2780-d171-4fcc-ba6e-ba515af27ffb"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adOnly="fals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C4BD29-A545-4C95-99B3-E40348264967" elementFormDefault="qualified">
    <xsd:import namespace="http://schemas.microsoft.com/office/2006/documentManagement/types"/>
    <xsd:import namespace="http://schemas.microsoft.com/office/infopath/2007/PartnerControls"/>
    <xsd:element name="h5f9b65cd6ce4f8686de7baeff8c5cd7" ma:index="21" nillable="true" ma:taxonomy="true" ma:internalName="h5f9b65cd6ce4f8686de7baeff8c5cd7" ma:taxonomyFieldName="Enterprise_x0020_Keywords" ma:displayName="Enterprise Keywords" ma:default="" ma:fieldId="{15f9b65c-d6ce-4f86-86de-7baeff8c5cd7}" ma:sspId="70da5c63-8548-4ac8-9616-83b0f373280e" ma:termSetId="e99b77ca-c000-4e3f-a77f-a64077d5e2f2" ma:anchorId="609e2780-d171-4fcc-ba6e-ba515af27ffb"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FE2E2-10A9-4E02-B090-66980D3B8EE0}">
  <ds:schemaRefs>
    <ds:schemaRef ds:uri="http://schemas.microsoft.com/sharepoint/events"/>
  </ds:schemaRefs>
</ds:datastoreItem>
</file>

<file path=customXml/itemProps2.xml><?xml version="1.0" encoding="utf-8"?>
<ds:datastoreItem xmlns:ds="http://schemas.openxmlformats.org/officeDocument/2006/customXml" ds:itemID="{11D5F091-D398-4371-B9DB-A383C8FE63D3}">
  <ds:schemaRefs>
    <ds:schemaRef ds:uri="http://schemas.microsoft.com/office/2006/metadata/customXsn"/>
  </ds:schemaRefs>
</ds:datastoreItem>
</file>

<file path=customXml/itemProps3.xml><?xml version="1.0" encoding="utf-8"?>
<ds:datastoreItem xmlns:ds="http://schemas.openxmlformats.org/officeDocument/2006/customXml" ds:itemID="{5EF70D63-456F-4988-A8BF-42F59CD6F28E}">
  <ds:schemaRefs>
    <ds:schemaRef ds:uri="Microsoft.SharePoint.Taxonomy.ContentTypeSync"/>
  </ds:schemaRefs>
</ds:datastoreItem>
</file>

<file path=customXml/itemProps4.xml><?xml version="1.0" encoding="utf-8"?>
<ds:datastoreItem xmlns:ds="http://schemas.openxmlformats.org/officeDocument/2006/customXml" ds:itemID="{A93CE49C-23E0-4FC5-97EB-098C9D5B4DEB}">
  <ds:schemaRefs>
    <ds:schemaRef ds:uri="http://schemas.microsoft.com/office/2006/documentManagement/types"/>
    <ds:schemaRef ds:uri="http://schemas.microsoft.com/office/infopath/2007/PartnerControls"/>
    <ds:schemaRef ds:uri="http://purl.org/dc/elements/1.1/"/>
    <ds:schemaRef ds:uri="00C4BD29-A545-4C95-99B3-E40348264967"/>
    <ds:schemaRef ds:uri="3f4bcce7-ac1a-4c9d-aa3e-7e77695652db"/>
    <ds:schemaRef ds:uri="http://www.w3.org/XML/1998/namespace"/>
    <ds:schemaRef ds:uri="http://schemas.openxmlformats.org/package/2006/metadata/core-properties"/>
    <ds:schemaRef ds:uri="http://purl.org/dc/terms/"/>
    <ds:schemaRef ds:uri="http://schemas.microsoft.com/sharepoint/v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6F7DD4B4-1B2B-4F89-B6E9-F449B146E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00C4BD29-A545-4C95-99B3-E40348264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566695-1166-40A7-B861-9289A830579A}">
  <ds:schemaRefs>
    <ds:schemaRef ds:uri="http://schemas.microsoft.com/sharepoint/v3/contenttype/forms"/>
  </ds:schemaRefs>
</ds:datastoreItem>
</file>

<file path=customXml/itemProps7.xml><?xml version="1.0" encoding="utf-8"?>
<ds:datastoreItem xmlns:ds="http://schemas.openxmlformats.org/officeDocument/2006/customXml" ds:itemID="{4ED25DC6-2FF9-4BF4-ACAE-3D8E0282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4937</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A roadmap to our inquiry report - Horizontal Fiscal Equalisation</vt:lpstr>
    </vt:vector>
  </TitlesOfParts>
  <Company>Productivity Commission</Company>
  <LinksUpToDate>false</LinksUpToDate>
  <CharactersWithSpaces>31750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roadmap to our inquiry report - Horizontal Fiscal Equalisation</dc:title>
  <dc:subject/>
  <dc:creator>Productivity Commission</dc:creator>
  <cp:keywords/>
  <dc:description/>
  <cp:lastModifiedBy>Productivity Commission</cp:lastModifiedBy>
  <cp:revision>25</cp:revision>
  <dcterms:created xsi:type="dcterms:W3CDTF">2018-06-26T05:06:00Z</dcterms:created>
  <dcterms:modified xsi:type="dcterms:W3CDTF">2018-07-03T05:57:00Z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0x0101007916246811615643A710C6FEAFF56A8711040006DF2AE8B8147948A737FCB4A54125B1</vt:lpwstr>
  </property>
  <property fmtid="{D5CDD505-2E9C-101B-9397-08002B2CF9AE}" pid="3" name="Record Tag">
    <vt:lpwstr>272;#Routine Admin|a2ae55e0-0c20-4788-b23c-f56365307b78</vt:lpwstr>
  </property>
  <property fmtid="{D5CDD505-2E9C-101B-9397-08002B2CF9AE}" pid="4" name="TaxKeyword">
    <vt:lpwstr/>
  </property>
  <property fmtid="{D5CDD505-2E9C-101B-9397-08002B2CF9AE}" pid="5" name="Enterprise Keywords">
    <vt:lpwstr/>
  </property>
</Properties>
</file>