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4F2F3" w14:textId="25D19683" w:rsidR="00A33DFF" w:rsidRDefault="00B464FC" w:rsidP="00B464FC">
      <w:pPr>
        <w:pStyle w:val="Chapter"/>
        <w:ind w:left="907" w:hanging="907"/>
      </w:pPr>
      <w:bookmarkStart w:id="0" w:name="_AppendixNotByChapter"/>
      <w:bookmarkStart w:id="1" w:name="ChapterNumber"/>
      <w:bookmarkEnd w:id="0"/>
      <w:r>
        <w:t>D</w:t>
      </w:r>
      <w:bookmarkEnd w:id="1"/>
      <w:r>
        <w:tab/>
      </w:r>
      <w:bookmarkStart w:id="2" w:name="ChapterTitle"/>
      <w:r>
        <w:t>International approaches to evaluation</w:t>
      </w:r>
      <w:bookmarkEnd w:id="2"/>
    </w:p>
    <w:p w14:paraId="32A65DBB" w14:textId="69D291D7" w:rsidR="0047525B" w:rsidRDefault="00D6640B" w:rsidP="00D6640B">
      <w:pPr>
        <w:pStyle w:val="BodyText"/>
      </w:pPr>
      <w:bookmarkStart w:id="3" w:name="begin"/>
      <w:bookmarkEnd w:id="3"/>
      <w:r>
        <w:t>This appendix provides a high level overview o</w:t>
      </w:r>
      <w:r w:rsidR="000E5D54">
        <w:t>f</w:t>
      </w:r>
      <w:r>
        <w:t xml:space="preserve"> how governments of other countries approach evaluation — both in a broad sense, and specifically </w:t>
      </w:r>
      <w:r w:rsidR="00A90059">
        <w:t xml:space="preserve">for </w:t>
      </w:r>
      <w:r>
        <w:t xml:space="preserve">policies and programs affecting </w:t>
      </w:r>
      <w:r w:rsidR="000F2842">
        <w:t>i</w:t>
      </w:r>
      <w:r>
        <w:t>ndigenous people</w:t>
      </w:r>
      <w:r w:rsidR="008B3391">
        <w:t>s</w:t>
      </w:r>
      <w:r w:rsidR="00C40340">
        <w:t>. The appendix</w:t>
      </w:r>
      <w:r w:rsidR="00093902">
        <w:t xml:space="preserve"> highlight</w:t>
      </w:r>
      <w:r w:rsidR="003C6B76">
        <w:t>s</w:t>
      </w:r>
      <w:r w:rsidR="00C40340">
        <w:t xml:space="preserve"> some key aspects of </w:t>
      </w:r>
      <w:r w:rsidR="00093902">
        <w:t>other countries’ approaches to evaluation</w:t>
      </w:r>
      <w:r w:rsidR="00FC7E6E">
        <w:t>.</w:t>
      </w:r>
    </w:p>
    <w:p w14:paraId="7C1B5E5D" w14:textId="4C11A47C" w:rsidR="00D6640B" w:rsidRDefault="000E5D54" w:rsidP="00D6640B">
      <w:pPr>
        <w:pStyle w:val="BodyText"/>
      </w:pPr>
      <w:r>
        <w:t>The appendix</w:t>
      </w:r>
      <w:r w:rsidR="0047525B">
        <w:t xml:space="preserve"> first takes a cross</w:t>
      </w:r>
      <w:r w:rsidR="00BB23BC">
        <w:noBreakHyphen/>
      </w:r>
      <w:r w:rsidR="0047525B">
        <w:t>country approach</w:t>
      </w:r>
      <w:r w:rsidR="006511D6" w:rsidRPr="003D5EE8">
        <w:rPr>
          <w:rStyle w:val="FootnoteReference"/>
        </w:rPr>
        <w:footnoteReference w:id="2"/>
      </w:r>
      <w:r w:rsidR="0047525B">
        <w:t xml:space="preserve"> to</w:t>
      </w:r>
      <w:r>
        <w:t xml:space="preserve"> examine:</w:t>
      </w:r>
    </w:p>
    <w:p w14:paraId="4E9BC078" w14:textId="357B927E" w:rsidR="000E5D54" w:rsidRDefault="000E5D54" w:rsidP="000E5D54">
      <w:pPr>
        <w:pStyle w:val="ListBullet"/>
      </w:pPr>
      <w:r>
        <w:t>the use of central evaluation frameworks in other countries (section D.1)</w:t>
      </w:r>
    </w:p>
    <w:p w14:paraId="598A9754" w14:textId="5CB061CE" w:rsidR="000E5D54" w:rsidRDefault="000E5D54" w:rsidP="000E5D54">
      <w:pPr>
        <w:pStyle w:val="ListBullet"/>
      </w:pPr>
      <w:r>
        <w:t>how other countries seek to ensure quality in their evaluations (section D.2)</w:t>
      </w:r>
    </w:p>
    <w:p w14:paraId="3F87ED88" w14:textId="142E6481" w:rsidR="000E5D54" w:rsidRDefault="000E5D54" w:rsidP="000E5D54">
      <w:pPr>
        <w:pStyle w:val="ListBullet"/>
      </w:pPr>
      <w:r>
        <w:t xml:space="preserve">how other countries promote evaluation use in </w:t>
      </w:r>
      <w:r w:rsidR="00DB4B36">
        <w:t xml:space="preserve">their </w:t>
      </w:r>
      <w:r>
        <w:t>decision making (section D.3)</w:t>
      </w:r>
      <w:r w:rsidR="00145E3A">
        <w:t>.</w:t>
      </w:r>
    </w:p>
    <w:p w14:paraId="3C24738D" w14:textId="680278B1" w:rsidR="00D6640B" w:rsidRDefault="0047525B" w:rsidP="00D6640B">
      <w:pPr>
        <w:pStyle w:val="BodyText"/>
      </w:pPr>
      <w:r>
        <w:t xml:space="preserve">It then </w:t>
      </w:r>
      <w:r w:rsidR="006511D6">
        <w:t>looks at the way</w:t>
      </w:r>
      <w:r>
        <w:t xml:space="preserve"> Canada, the United States and New Zealand approach evaluating policies and programs that affect </w:t>
      </w:r>
      <w:r w:rsidR="000F2842">
        <w:t>i</w:t>
      </w:r>
      <w:r>
        <w:t>ndigenous peoples</w:t>
      </w:r>
      <w:r w:rsidR="00061D5A">
        <w:t xml:space="preserve"> (section D.4)</w:t>
      </w:r>
      <w:r>
        <w:t>.</w:t>
      </w:r>
      <w:r w:rsidR="000E5D54">
        <w:t xml:space="preserve"> </w:t>
      </w:r>
    </w:p>
    <w:p w14:paraId="13996C14" w14:textId="2775CA01" w:rsidR="00D83268" w:rsidRDefault="00B464FC" w:rsidP="00D83268">
      <w:pPr>
        <w:pStyle w:val="Heading2"/>
      </w:pPr>
      <w:r>
        <w:t>D.</w:t>
      </w:r>
      <w:r w:rsidR="00907E08">
        <w:rPr>
          <w:noProof/>
        </w:rPr>
        <w:t>1</w:t>
      </w:r>
      <w:r w:rsidR="00D83268">
        <w:tab/>
      </w:r>
      <w:r w:rsidR="004D4A1D">
        <w:t>C</w:t>
      </w:r>
      <w:r w:rsidR="00D83268">
        <w:t>entral evaluation frameworks to govern evaluation</w:t>
      </w:r>
    </w:p>
    <w:p w14:paraId="7FD3F422" w14:textId="5F951D49" w:rsidR="00D83268" w:rsidRDefault="00D83268" w:rsidP="00D83268">
      <w:pPr>
        <w:pStyle w:val="BodyText"/>
      </w:pPr>
      <w:r>
        <w:t xml:space="preserve">Central frameworks seek to institutionalise evaluation by formally establishing arrangements about how evaluation will be organised and governed </w:t>
      </w:r>
      <w:r w:rsidR="003C6B76">
        <w:t xml:space="preserve">on </w:t>
      </w:r>
      <w:r>
        <w:t>a whole</w:t>
      </w:r>
      <w:r w:rsidR="00FC7E6E">
        <w:noBreakHyphen/>
      </w:r>
      <w:r>
        <w:t>of</w:t>
      </w:r>
      <w:r w:rsidR="00FC7E6E">
        <w:noBreakHyphen/>
      </w:r>
      <w:r>
        <w:t xml:space="preserve">government level. In some cases, these frameworks are established through law — for example, in </w:t>
      </w:r>
      <w:r>
        <w:rPr>
          <w:b/>
        </w:rPr>
        <w:t>France</w:t>
      </w:r>
      <w:r w:rsidR="0028585F">
        <w:t xml:space="preserve">, a legal framework for evaluation is embedded in primary and secondary legislation, as well as in the French Constitution </w:t>
      </w:r>
      <w:r w:rsidR="007F78E7" w:rsidRPr="007F78E7">
        <w:rPr>
          <w:szCs w:val="24"/>
        </w:rPr>
        <w:t>(OECD 2020a, p. 32)</w:t>
      </w:r>
      <w:r w:rsidR="0028585F">
        <w:t xml:space="preserve">. </w:t>
      </w:r>
    </w:p>
    <w:p w14:paraId="012F0CA4" w14:textId="4469E592" w:rsidR="00A90059" w:rsidRDefault="00D83268" w:rsidP="00D83268">
      <w:pPr>
        <w:pStyle w:val="BodyText"/>
      </w:pPr>
      <w:r>
        <w:t>Central evaluation frameworks can also be established through policy</w:t>
      </w:r>
      <w:r w:rsidR="006F3533">
        <w:t xml:space="preserve"> </w:t>
      </w:r>
      <w:r w:rsidR="0020019C">
        <w:t>(</w:t>
      </w:r>
      <w:r w:rsidR="006F3533">
        <w:t>with or without legislative</w:t>
      </w:r>
      <w:r w:rsidR="0020019C">
        <w:t xml:space="preserve"> underpinnings)</w:t>
      </w:r>
      <w:r>
        <w:t xml:space="preserve">. </w:t>
      </w:r>
      <w:r w:rsidR="00A90059">
        <w:t>E</w:t>
      </w:r>
      <w:r w:rsidR="00527665">
        <w:t>valuation policies</w:t>
      </w:r>
      <w:r w:rsidR="00803B7E">
        <w:t xml:space="preserve"> </w:t>
      </w:r>
      <w:r w:rsidR="00A90059">
        <w:t xml:space="preserve">are </w:t>
      </w:r>
      <w:r w:rsidR="00803B7E">
        <w:t>reasonably common</w:t>
      </w:r>
      <w:r>
        <w:t>.</w:t>
      </w:r>
      <w:r w:rsidRPr="00D83268">
        <w:t xml:space="preserve"> </w:t>
      </w:r>
      <w:r>
        <w:t xml:space="preserve">A recent survey of 42 countries — including all </w:t>
      </w:r>
      <w:r w:rsidR="00255104">
        <w:t>Organisation of Economic Cooperation and Development (OECD)</w:t>
      </w:r>
      <w:r w:rsidR="003C6B76">
        <w:t xml:space="preserve"> member countries </w:t>
      </w:r>
      <w:r w:rsidR="008A33D7">
        <w:t>with the exception of Luxembourg</w:t>
      </w:r>
      <w:r>
        <w:t xml:space="preserve"> — found that half have developed a policy</w:t>
      </w:r>
      <w:r w:rsidR="00920B8E">
        <w:t xml:space="preserve"> framework</w:t>
      </w:r>
      <w:r>
        <w:t xml:space="preserve"> </w:t>
      </w:r>
      <w:r w:rsidR="00CE660B">
        <w:t>to</w:t>
      </w:r>
      <w:r>
        <w:t xml:space="preserve"> organis</w:t>
      </w:r>
      <w:r w:rsidR="00AE3F2A">
        <w:t xml:space="preserve">e </w:t>
      </w:r>
      <w:r>
        <w:t>evaluation</w:t>
      </w:r>
      <w:r w:rsidR="00AE3F2A">
        <w:t xml:space="preserve"> activities</w:t>
      </w:r>
      <w:r>
        <w:t xml:space="preserve"> across government</w:t>
      </w:r>
      <w:r w:rsidR="00EB203A">
        <w:t xml:space="preserve"> </w:t>
      </w:r>
      <w:r w:rsidR="007F78E7" w:rsidRPr="007F78E7">
        <w:rPr>
          <w:szCs w:val="24"/>
        </w:rPr>
        <w:t>(OECD 2020a, p. 36)</w:t>
      </w:r>
      <w:r>
        <w:t>.</w:t>
      </w:r>
      <w:r w:rsidR="00EF2AE5">
        <w:t xml:space="preserve"> </w:t>
      </w:r>
    </w:p>
    <w:p w14:paraId="2A9B4A0D" w14:textId="229EA69F" w:rsidR="00A90059" w:rsidRDefault="00A90059" w:rsidP="00EB0FD4">
      <w:pPr>
        <w:pStyle w:val="BodyText"/>
        <w:keepNext/>
      </w:pPr>
      <w:r>
        <w:lastRenderedPageBreak/>
        <w:t xml:space="preserve">The </w:t>
      </w:r>
      <w:r w:rsidR="00D83268">
        <w:t xml:space="preserve">frameworks </w:t>
      </w:r>
      <w:r>
        <w:t xml:space="preserve">that </w:t>
      </w:r>
      <w:r w:rsidR="00D83268">
        <w:t>ha</w:t>
      </w:r>
      <w:r w:rsidR="003056DE">
        <w:t>ve</w:t>
      </w:r>
      <w:r w:rsidR="00D83268">
        <w:t xml:space="preserve"> been developed</w:t>
      </w:r>
      <w:r>
        <w:t xml:space="preserve"> </w:t>
      </w:r>
      <w:r w:rsidR="00D83268">
        <w:t xml:space="preserve">share a number of common elements. For example, </w:t>
      </w:r>
      <w:r>
        <w:t>of the frameworks developed by OECD countries:</w:t>
      </w:r>
    </w:p>
    <w:p w14:paraId="70A0C378" w14:textId="0801C4AE" w:rsidR="00A90059" w:rsidRDefault="00D83268" w:rsidP="00EB0FD4">
      <w:pPr>
        <w:pStyle w:val="ListBullet"/>
        <w:keepNext/>
      </w:pPr>
      <w:r>
        <w:t>8</w:t>
      </w:r>
      <w:r w:rsidR="009A3DAA">
        <w:t>8</w:t>
      </w:r>
      <w:r>
        <w:t xml:space="preserve"> per cent outlined the responsibilities of government institutions </w:t>
      </w:r>
      <w:r w:rsidR="00D43578">
        <w:t xml:space="preserve">with respect to </w:t>
      </w:r>
      <w:r>
        <w:t>evaluation</w:t>
      </w:r>
    </w:p>
    <w:p w14:paraId="460936DE" w14:textId="4CDBF64B" w:rsidR="00A90059" w:rsidRDefault="00D83268" w:rsidP="00EB0FD4">
      <w:pPr>
        <w:pStyle w:val="ListBullet"/>
        <w:keepNext/>
      </w:pPr>
      <w:r>
        <w:t>8</w:t>
      </w:r>
      <w:r w:rsidR="009A3DAA">
        <w:t>1</w:t>
      </w:r>
      <w:r>
        <w:t> per cent outlined the objectives or expected results of the evaluation policy</w:t>
      </w:r>
    </w:p>
    <w:p w14:paraId="0149B763" w14:textId="470335D2" w:rsidR="00D83268" w:rsidRDefault="00D83268" w:rsidP="00EB0FD4">
      <w:pPr>
        <w:pStyle w:val="ListBullet"/>
        <w:keepNext/>
      </w:pPr>
      <w:r>
        <w:t>7</w:t>
      </w:r>
      <w:r w:rsidR="009A3DAA">
        <w:t>5</w:t>
      </w:r>
      <w:r>
        <w:t xml:space="preserve"> per cent contained requirements for government institutions to undertake regular evaluations of their policies (figure </w:t>
      </w:r>
      <w:r w:rsidR="001B6883">
        <w:t>D</w:t>
      </w:r>
      <w:r>
        <w:t>.</w:t>
      </w:r>
      <w:r w:rsidR="001B6883">
        <w:t>1</w:t>
      </w:r>
      <w:r>
        <w:t>).</w:t>
      </w:r>
    </w:p>
    <w:p w14:paraId="03EBA3A8" w14:textId="39BB0F6D" w:rsidR="007845ED" w:rsidRDefault="007845ED" w:rsidP="00F962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845ED" w14:paraId="0DA18A43" w14:textId="77777777" w:rsidTr="003140BC">
        <w:trPr>
          <w:tblHeader/>
        </w:trPr>
        <w:tc>
          <w:tcPr>
            <w:tcW w:w="5000" w:type="pct"/>
            <w:tcBorders>
              <w:top w:val="single" w:sz="6" w:space="0" w:color="2493D1"/>
              <w:left w:val="nil"/>
              <w:bottom w:val="nil"/>
              <w:right w:val="nil"/>
            </w:tcBorders>
            <w:shd w:val="clear" w:color="auto" w:fill="auto"/>
          </w:tcPr>
          <w:p w14:paraId="01F21BAA" w14:textId="2FC3A2FB" w:rsidR="007845ED" w:rsidRDefault="007845ED" w:rsidP="007845ED">
            <w:pPr>
              <w:pStyle w:val="FigureTitle"/>
              <w:tabs>
                <w:tab w:val="left" w:pos="720"/>
                <w:tab w:val="left" w:pos="1440"/>
                <w:tab w:val="left" w:pos="2505"/>
              </w:tabs>
            </w:pPr>
            <w:r w:rsidRPr="00784A05">
              <w:rPr>
                <w:b w:val="0"/>
              </w:rPr>
              <w:t xml:space="preserve">Figure </w:t>
            </w:r>
            <w:r w:rsidR="00B464FC">
              <w:rPr>
                <w:b w:val="0"/>
              </w:rPr>
              <w:t>D.</w:t>
            </w:r>
            <w:r w:rsidR="00907E08">
              <w:rPr>
                <w:b w:val="0"/>
                <w:noProof/>
              </w:rPr>
              <w:t>1</w:t>
            </w:r>
            <w:r>
              <w:tab/>
              <w:t xml:space="preserve">There are common </w:t>
            </w:r>
            <w:r w:rsidR="004D4A1D">
              <w:t>features</w:t>
            </w:r>
            <w:r w:rsidR="00BB23BC">
              <w:t xml:space="preserve"> </w:t>
            </w:r>
            <w:r>
              <w:t>across the evaluation policies of different countries</w:t>
            </w:r>
          </w:p>
          <w:p w14:paraId="401C02BB" w14:textId="77777777" w:rsidR="007845ED" w:rsidRPr="00176D3F" w:rsidRDefault="007845ED" w:rsidP="00BB4DFD">
            <w:pPr>
              <w:pStyle w:val="Subtitle"/>
            </w:pPr>
            <w:r>
              <w:t>Per cent of evaluation policies that contain the identified element</w:t>
            </w:r>
            <w:r w:rsidR="00BB4DFD">
              <w:t xml:space="preserve"> (OECD member countries only)</w:t>
            </w:r>
          </w:p>
        </w:tc>
      </w:tr>
      <w:tr w:rsidR="007845ED" w14:paraId="214F2FB8" w14:textId="77777777" w:rsidTr="00F9621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7845ED" w:rsidRPr="00B1465D" w14:paraId="42955FAC" w14:textId="77777777" w:rsidTr="00F9621F">
              <w:trPr>
                <w:tblHeader/>
                <w:jc w:val="center"/>
              </w:trPr>
              <w:tc>
                <w:tcPr>
                  <w:tcW w:w="5000" w:type="pct"/>
                  <w:tcBorders>
                    <w:top w:val="nil"/>
                    <w:bottom w:val="nil"/>
                  </w:tcBorders>
                </w:tcPr>
                <w:p w14:paraId="0941F65F" w14:textId="328CC611" w:rsidR="007845ED" w:rsidRPr="007845ED" w:rsidRDefault="00FC2835" w:rsidP="003D3339">
                  <w:pPr>
                    <w:pStyle w:val="Figure"/>
                    <w:spacing w:before="60" w:after="60"/>
                    <w:rPr>
                      <w:rFonts w:ascii="Arial" w:hAnsi="Arial" w:cs="Arial"/>
                      <w:b/>
                      <w:sz w:val="18"/>
                      <w:szCs w:val="18"/>
                    </w:rPr>
                  </w:pPr>
                  <w:r w:rsidRPr="00FC2835">
                    <w:rPr>
                      <w:rFonts w:ascii="Arial" w:hAnsi="Arial" w:cs="Arial"/>
                      <w:b/>
                      <w:noProof/>
                      <w:sz w:val="18"/>
                      <w:szCs w:val="18"/>
                    </w:rPr>
                    <w:drawing>
                      <wp:inline distT="0" distB="0" distL="0" distR="0" wp14:anchorId="4CB57432" wp14:editId="6562BFBB">
                        <wp:extent cx="5401945" cy="4681855"/>
                        <wp:effectExtent l="0" t="0" r="0" b="4445"/>
                        <wp:docPr id="3" name="Picture 3" descr="Figure D.1. This is a bar chart showing the how common different elements are in OECD member countries’ evaluation policies.&#10;• 56 percent of policies had requirements related to stakeholder engagement&#10;• 56 per cent had requirements related to the quality standards of evaluation&#10;• 56 per cent had requirements related to the use of evaluation findings into policy planning/making&#10;• 56 per cent had standards for ethical conduct&#10;• 63 per cent had policy areas (thematic) or programs covered by the evaluation policy&#10;• 69 per cent had requirements related to evaluation reporting&#10;• 75 per cent requirement for government institutions to undertake regular evaluation of their policies&#10;• 81 per cent had objectives or expected results of the evaluation policy&#10;• 88 per cent had responsibilities of government institutions concerning policy evaluation&#10;" title="Figure D.1 There are common features across evaluation policies of different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1945" cy="4681855"/>
                                </a:xfrm>
                                <a:prstGeom prst="rect">
                                  <a:avLst/>
                                </a:prstGeom>
                                <a:noFill/>
                                <a:ln>
                                  <a:noFill/>
                                </a:ln>
                              </pic:spPr>
                            </pic:pic>
                          </a:graphicData>
                        </a:graphic>
                      </wp:inline>
                    </w:drawing>
                  </w:r>
                </w:p>
              </w:tc>
            </w:tr>
          </w:tbl>
          <w:p w14:paraId="7784160F" w14:textId="77777777" w:rsidR="007845ED" w:rsidRDefault="007845ED" w:rsidP="00F9621F">
            <w:pPr>
              <w:pStyle w:val="Figure"/>
            </w:pPr>
          </w:p>
        </w:tc>
        <w:bookmarkStart w:id="4" w:name="_GoBack"/>
        <w:bookmarkEnd w:id="4"/>
      </w:tr>
      <w:tr w:rsidR="007845ED" w:rsidRPr="00176D3F" w14:paraId="16A3AA9C" w14:textId="77777777" w:rsidTr="00F9621F">
        <w:tc>
          <w:tcPr>
            <w:tcW w:w="5000" w:type="pct"/>
            <w:tcBorders>
              <w:top w:val="nil"/>
              <w:left w:val="nil"/>
              <w:bottom w:val="nil"/>
              <w:right w:val="nil"/>
            </w:tcBorders>
            <w:shd w:val="clear" w:color="auto" w:fill="auto"/>
          </w:tcPr>
          <w:p w14:paraId="125D0C0B" w14:textId="20AF7900" w:rsidR="007845ED" w:rsidRPr="00176D3F" w:rsidRDefault="007845ED" w:rsidP="007F78E7">
            <w:pPr>
              <w:pStyle w:val="Source"/>
            </w:pPr>
            <w:r w:rsidRPr="00784A05">
              <w:rPr>
                <w:i/>
              </w:rPr>
              <w:t>Data source</w:t>
            </w:r>
            <w:r w:rsidRPr="00176D3F">
              <w:t>:</w:t>
            </w:r>
            <w:r w:rsidR="003D3339">
              <w:t xml:space="preserve"> OECD </w:t>
            </w:r>
            <w:r w:rsidR="007F78E7" w:rsidRPr="007F78E7">
              <w:rPr>
                <w:rFonts w:cs="Arial"/>
                <w:szCs w:val="24"/>
              </w:rPr>
              <w:t>(2020a, p. 37)</w:t>
            </w:r>
            <w:r w:rsidR="003D3339">
              <w:t>.</w:t>
            </w:r>
            <w:r w:rsidRPr="00176D3F">
              <w:t xml:space="preserve"> </w:t>
            </w:r>
          </w:p>
        </w:tc>
      </w:tr>
      <w:tr w:rsidR="007845ED" w14:paraId="45BD63BB" w14:textId="77777777" w:rsidTr="003140BC">
        <w:tc>
          <w:tcPr>
            <w:tcW w:w="5000" w:type="pct"/>
            <w:tcBorders>
              <w:top w:val="nil"/>
              <w:left w:val="nil"/>
              <w:bottom w:val="single" w:sz="6" w:space="0" w:color="2493D1"/>
              <w:right w:val="nil"/>
            </w:tcBorders>
            <w:shd w:val="clear" w:color="auto" w:fill="auto"/>
          </w:tcPr>
          <w:p w14:paraId="1FD4E762" w14:textId="77777777" w:rsidR="007845ED" w:rsidRDefault="007845ED" w:rsidP="00F9621F">
            <w:pPr>
              <w:pStyle w:val="Figurespace"/>
            </w:pPr>
          </w:p>
        </w:tc>
      </w:tr>
      <w:tr w:rsidR="007845ED" w:rsidRPr="000863A5" w14:paraId="7C8528FA" w14:textId="77777777" w:rsidTr="003140BC">
        <w:tc>
          <w:tcPr>
            <w:tcW w:w="5000" w:type="pct"/>
            <w:tcBorders>
              <w:top w:val="single" w:sz="6" w:space="0" w:color="2493D1"/>
              <w:left w:val="nil"/>
              <w:bottom w:val="nil"/>
              <w:right w:val="nil"/>
            </w:tcBorders>
          </w:tcPr>
          <w:p w14:paraId="0DA7E191" w14:textId="584B8D28" w:rsidR="007845ED" w:rsidRPr="00626D32" w:rsidRDefault="007845ED" w:rsidP="00F9621F">
            <w:pPr>
              <w:pStyle w:val="BoxSpaceBelow"/>
            </w:pPr>
          </w:p>
        </w:tc>
      </w:tr>
    </w:tbl>
    <w:p w14:paraId="1B81EC98" w14:textId="2B2EDA4A" w:rsidR="00843021" w:rsidRDefault="00843021" w:rsidP="00843021">
      <w:pPr>
        <w:pStyle w:val="BodyText"/>
      </w:pPr>
      <w:r>
        <w:rPr>
          <w:b/>
        </w:rPr>
        <w:t xml:space="preserve">Canada’s </w:t>
      </w:r>
      <w:r>
        <w:rPr>
          <w:i/>
        </w:rPr>
        <w:t xml:space="preserve">Policy on Results </w:t>
      </w:r>
      <w:r>
        <w:t xml:space="preserve">provides </w:t>
      </w:r>
      <w:r w:rsidR="0059025A">
        <w:t xml:space="preserve">a useful </w:t>
      </w:r>
      <w:r>
        <w:t>example of an evaluation policy that embodies several of these elements.</w:t>
      </w:r>
      <w:r>
        <w:rPr>
          <w:i/>
        </w:rPr>
        <w:t xml:space="preserve"> </w:t>
      </w:r>
      <w:r>
        <w:t>The</w:t>
      </w:r>
      <w:r w:rsidRPr="006511D6">
        <w:rPr>
          <w:i/>
        </w:rPr>
        <w:t xml:space="preserve"> Policy on Results</w:t>
      </w:r>
      <w:r>
        <w:t xml:space="preserve"> was implemented in 2016, and represents </w:t>
      </w:r>
      <w:r>
        <w:lastRenderedPageBreak/>
        <w:t xml:space="preserve">the latest iteration of a long line of central evaluation strategies </w:t>
      </w:r>
      <w:r w:rsidR="004D4A1D">
        <w:t xml:space="preserve">put in place </w:t>
      </w:r>
      <w:r w:rsidR="00A21A38">
        <w:t>by</w:t>
      </w:r>
      <w:r>
        <w:t xml:space="preserve"> the Canadian </w:t>
      </w:r>
      <w:r w:rsidR="00082A5E">
        <w:t xml:space="preserve">Federal </w:t>
      </w:r>
      <w:r>
        <w:t xml:space="preserve">Government </w:t>
      </w:r>
      <w:r w:rsidR="00EF7B9F">
        <w:t xml:space="preserve">from </w:t>
      </w:r>
      <w:r>
        <w:t>the late 1970s</w:t>
      </w:r>
      <w:r w:rsidR="00233D05">
        <w:t xml:space="preserve"> </w:t>
      </w:r>
      <w:r w:rsidR="00CA248F" w:rsidRPr="00CA248F">
        <w:rPr>
          <w:szCs w:val="24"/>
        </w:rPr>
        <w:t>(TBS 2010)</w:t>
      </w:r>
      <w:r>
        <w:t>.</w:t>
      </w:r>
      <w:r w:rsidR="00233D05">
        <w:t xml:space="preserve"> </w:t>
      </w:r>
    </w:p>
    <w:p w14:paraId="625E3ABD" w14:textId="395F448F" w:rsidR="00843021" w:rsidRDefault="0025024F" w:rsidP="0025024F">
      <w:pPr>
        <w:pStyle w:val="BodyText"/>
      </w:pPr>
      <w:r>
        <w:t>The Policy on Results has two overall objectives. First, it seeks to</w:t>
      </w:r>
      <w:r w:rsidR="00843021">
        <w:t xml:space="preserve"> improve the achievement of results across government</w:t>
      </w:r>
      <w:r>
        <w:t>,</w:t>
      </w:r>
      <w:r w:rsidR="00843021">
        <w:t xml:space="preserve"> and</w:t>
      </w:r>
      <w:r>
        <w:t xml:space="preserve"> second, it seeks to</w:t>
      </w:r>
      <w:r w:rsidR="00843021">
        <w:t xml:space="preserve"> enhance the understanding of government goals, achievements and resourcing inputs</w:t>
      </w:r>
      <w:r w:rsidR="005E23C0">
        <w:t xml:space="preserve"> </w:t>
      </w:r>
      <w:r w:rsidR="00B64C8F" w:rsidRPr="00B64C8F">
        <w:rPr>
          <w:szCs w:val="24"/>
        </w:rPr>
        <w:t>(Government of Canada 2016b)</w:t>
      </w:r>
      <w:r w:rsidR="00843021">
        <w:t>. These objectives are pursued, in part, by placing a number of obligations on federal departments</w:t>
      </w:r>
      <w:r w:rsidR="00E10029">
        <w:t xml:space="preserve"> with respect to performance measurement and evaluation</w:t>
      </w:r>
      <w:r w:rsidR="00843021">
        <w:t>. These obligations include:</w:t>
      </w:r>
    </w:p>
    <w:p w14:paraId="5400555A" w14:textId="77777777" w:rsidR="00843021" w:rsidRDefault="00843021" w:rsidP="00843021">
      <w:pPr>
        <w:pStyle w:val="ListBullet"/>
      </w:pPr>
      <w:r>
        <w:t xml:space="preserve">establishing a </w:t>
      </w:r>
      <w:r>
        <w:rPr>
          <w:i/>
        </w:rPr>
        <w:t xml:space="preserve">Departmental Results Framework </w:t>
      </w:r>
      <w:r>
        <w:t>that sets out:</w:t>
      </w:r>
    </w:p>
    <w:p w14:paraId="2BD73EBB" w14:textId="77777777" w:rsidR="00843021" w:rsidRDefault="00843021" w:rsidP="00843021">
      <w:pPr>
        <w:pStyle w:val="ListBullet2"/>
      </w:pPr>
      <w:r>
        <w:t xml:space="preserve">the core responsibilities of the department </w:t>
      </w:r>
    </w:p>
    <w:p w14:paraId="7B8E4806" w14:textId="77777777" w:rsidR="00843021" w:rsidRDefault="00843021" w:rsidP="00843021">
      <w:pPr>
        <w:pStyle w:val="ListBullet2"/>
      </w:pPr>
      <w:r>
        <w:t>departmental results (defined as the changes departments seek to influence)</w:t>
      </w:r>
    </w:p>
    <w:p w14:paraId="1C6E01F2" w14:textId="68EC84AE" w:rsidR="00843021" w:rsidRDefault="00843021" w:rsidP="00843021">
      <w:pPr>
        <w:pStyle w:val="ListBullet2"/>
      </w:pPr>
      <w:r>
        <w:t>departmental result indicators (factors or variables that provide a valid and reliable means to measure or describe progress on a departmental result)</w:t>
      </w:r>
      <w:r w:rsidR="00BB23BC">
        <w:t xml:space="preserve"> </w:t>
      </w:r>
    </w:p>
    <w:p w14:paraId="434D6CD1" w14:textId="5E0D1479" w:rsidR="00843021" w:rsidRDefault="00F075DE" w:rsidP="00843021">
      <w:pPr>
        <w:pStyle w:val="ListBullet"/>
      </w:pPr>
      <w:r>
        <w:t xml:space="preserve">implementing and </w:t>
      </w:r>
      <w:r w:rsidR="00843021">
        <w:t xml:space="preserve">maintaining a </w:t>
      </w:r>
      <w:r w:rsidR="00843021">
        <w:rPr>
          <w:i/>
        </w:rPr>
        <w:t xml:space="preserve">Program Inventory </w:t>
      </w:r>
      <w:r w:rsidR="00843021">
        <w:t xml:space="preserve">that identifies all of the department’s programs and how </w:t>
      </w:r>
      <w:r w:rsidR="006149E1">
        <w:t xml:space="preserve">resources are organised to </w:t>
      </w:r>
      <w:r w:rsidR="00843021">
        <w:t>contribute to the department’s responsibilities and results</w:t>
      </w:r>
    </w:p>
    <w:p w14:paraId="0C5467D8" w14:textId="77777777" w:rsidR="00843021" w:rsidRDefault="00843021" w:rsidP="00843021">
      <w:pPr>
        <w:pStyle w:val="ListBullet"/>
      </w:pPr>
      <w:r>
        <w:t xml:space="preserve">developing </w:t>
      </w:r>
      <w:r>
        <w:rPr>
          <w:i/>
        </w:rPr>
        <w:t xml:space="preserve">Performance Information Profiles </w:t>
      </w:r>
      <w:r>
        <w:t>that identify performance information for each program</w:t>
      </w:r>
    </w:p>
    <w:p w14:paraId="444BF759" w14:textId="6B2C2465" w:rsidR="008C26E4" w:rsidRDefault="00843021" w:rsidP="00843021">
      <w:pPr>
        <w:pStyle w:val="ListBullet"/>
      </w:pPr>
      <w:r>
        <w:t xml:space="preserve">developing, implementing and publicly releasing a </w:t>
      </w:r>
      <w:r>
        <w:rPr>
          <w:i/>
        </w:rPr>
        <w:t>rolling five</w:t>
      </w:r>
      <w:r w:rsidR="00BB23BC">
        <w:rPr>
          <w:i/>
        </w:rPr>
        <w:noBreakHyphen/>
      </w:r>
      <w:r>
        <w:rPr>
          <w:i/>
        </w:rPr>
        <w:t>year evaluation plan</w:t>
      </w:r>
      <w:r w:rsidR="008C26E4">
        <w:t xml:space="preserve">. This plan must include </w:t>
      </w:r>
      <w:r w:rsidR="0035151F">
        <w:t>evaluations</w:t>
      </w:r>
      <w:r w:rsidR="008C26E4">
        <w:t xml:space="preserve"> — at least once every five years — </w:t>
      </w:r>
      <w:r w:rsidR="008D0DCC">
        <w:t xml:space="preserve">of </w:t>
      </w:r>
      <w:r w:rsidR="008C26E4">
        <w:t>all ongoing programs of grants and contributions with a five</w:t>
      </w:r>
      <w:r w:rsidR="00BB23BC">
        <w:noBreakHyphen/>
      </w:r>
      <w:r w:rsidR="008C26E4">
        <w:t>year average (actual) expenditure of CAD</w:t>
      </w:r>
      <w:r w:rsidR="004A408E">
        <w:t> </w:t>
      </w:r>
      <w:r w:rsidR="008C26E4">
        <w:t>$5</w:t>
      </w:r>
      <w:r w:rsidR="008D0DCC">
        <w:t> </w:t>
      </w:r>
      <w:r w:rsidR="008C26E4">
        <w:t>million or more per year</w:t>
      </w:r>
      <w:r w:rsidR="008C26E4" w:rsidRPr="003D5EE8">
        <w:rPr>
          <w:rStyle w:val="FootnoteReference"/>
        </w:rPr>
        <w:footnoteReference w:id="3"/>
      </w:r>
      <w:r w:rsidR="00B64C8F">
        <w:t xml:space="preserve"> </w:t>
      </w:r>
      <w:r w:rsidR="00B64C8F" w:rsidRPr="00B64C8F">
        <w:rPr>
          <w:szCs w:val="24"/>
        </w:rPr>
        <w:t>(Government of Canada 2016a, 2016b)</w:t>
      </w:r>
      <w:r w:rsidR="00527574">
        <w:t>.</w:t>
      </w:r>
    </w:p>
    <w:p w14:paraId="023823A9" w14:textId="4C4E3911" w:rsidR="00843021" w:rsidRDefault="00843021" w:rsidP="00843021">
      <w:pPr>
        <w:pStyle w:val="BodyText"/>
      </w:pPr>
      <w:r>
        <w:t xml:space="preserve">The Policy also requires each department to establish </w:t>
      </w:r>
      <w:r w:rsidR="004109C2">
        <w:t xml:space="preserve">several </w:t>
      </w:r>
      <w:r>
        <w:t xml:space="preserve">roles to oversee evaluation. This includes establishing a </w:t>
      </w:r>
      <w:r>
        <w:rPr>
          <w:i/>
        </w:rPr>
        <w:t xml:space="preserve">Performance Measurement and Evaluation Committee </w:t>
      </w:r>
      <w:r>
        <w:t>— chaired by deputy department heads — to oversee departmental performance</w:t>
      </w:r>
      <w:r w:rsidR="000658F1">
        <w:t xml:space="preserve"> measurement</w:t>
      </w:r>
      <w:r>
        <w:t xml:space="preserve"> and evaluation, and a </w:t>
      </w:r>
      <w:r>
        <w:rPr>
          <w:i/>
        </w:rPr>
        <w:t xml:space="preserve">Head of </w:t>
      </w:r>
      <w:r w:rsidRPr="00715F9C">
        <w:rPr>
          <w:i/>
        </w:rPr>
        <w:t>Evaluation</w:t>
      </w:r>
      <w:r>
        <w:t xml:space="preserve"> who is </w:t>
      </w:r>
      <w:r w:rsidRPr="00715F9C">
        <w:t>responsible</w:t>
      </w:r>
      <w:r>
        <w:t xml:space="preserve"> for leading evaluation within the department. The department must also designate a </w:t>
      </w:r>
      <w:r>
        <w:rPr>
          <w:i/>
        </w:rPr>
        <w:t xml:space="preserve">Program Official </w:t>
      </w:r>
      <w:r>
        <w:t>f</w:t>
      </w:r>
      <w:r w:rsidR="0025024F">
        <w:t>or each</w:t>
      </w:r>
      <w:r w:rsidR="009A19E8">
        <w:t xml:space="preserve"> of its</w:t>
      </w:r>
      <w:r w:rsidR="0025024F">
        <w:t xml:space="preserve"> program</w:t>
      </w:r>
      <w:r w:rsidR="00A928D8">
        <w:t>s</w:t>
      </w:r>
      <w:r>
        <w:t xml:space="preserve"> who is responsible for</w:t>
      </w:r>
      <w:r w:rsidR="00024256">
        <w:t xml:space="preserve"> — among other functions —</w:t>
      </w:r>
      <w:r>
        <w:t xml:space="preserve"> ensuring that valid, reliable and useful performance information is collected for </w:t>
      </w:r>
      <w:r w:rsidR="0025024F">
        <w:t>that</w:t>
      </w:r>
      <w:r>
        <w:t xml:space="preserve"> program (figure </w:t>
      </w:r>
      <w:r w:rsidR="0025024F">
        <w:t>D</w:t>
      </w:r>
      <w:r>
        <w:t>.</w:t>
      </w:r>
      <w:r w:rsidR="0025024F">
        <w:t>2</w:t>
      </w:r>
      <w:r>
        <w:t>)</w:t>
      </w:r>
      <w:r w:rsidR="00340314">
        <w:t xml:space="preserve"> </w:t>
      </w:r>
      <w:r w:rsidR="00340314" w:rsidRPr="00340314">
        <w:rPr>
          <w:szCs w:val="24"/>
        </w:rPr>
        <w:t>(Government of Canada 2016b, 2016a)</w:t>
      </w:r>
      <w:r>
        <w:t>.</w:t>
      </w:r>
    </w:p>
    <w:p w14:paraId="3EBCB2A2" w14:textId="7CBAA981" w:rsidR="0025024F" w:rsidRDefault="0025024F" w:rsidP="00F962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5024F" w14:paraId="57524F5E" w14:textId="77777777" w:rsidTr="007402FA">
        <w:trPr>
          <w:tblHeader/>
        </w:trPr>
        <w:tc>
          <w:tcPr>
            <w:tcW w:w="5000" w:type="pct"/>
            <w:tcBorders>
              <w:top w:val="single" w:sz="6" w:space="0" w:color="2493D1"/>
              <w:left w:val="nil"/>
              <w:bottom w:val="nil"/>
              <w:right w:val="nil"/>
            </w:tcBorders>
            <w:shd w:val="clear" w:color="auto" w:fill="auto"/>
          </w:tcPr>
          <w:p w14:paraId="681DB915" w14:textId="03D50B58" w:rsidR="0025024F" w:rsidRPr="00176D3F" w:rsidRDefault="0025024F" w:rsidP="00E30674">
            <w:pPr>
              <w:pStyle w:val="FigureTitle"/>
            </w:pPr>
            <w:r w:rsidRPr="00784A05">
              <w:rPr>
                <w:b w:val="0"/>
              </w:rPr>
              <w:t xml:space="preserve">Figure </w:t>
            </w:r>
            <w:r w:rsidR="00B464FC">
              <w:rPr>
                <w:b w:val="0"/>
              </w:rPr>
              <w:t>D.</w:t>
            </w:r>
            <w:r w:rsidR="00907E08">
              <w:rPr>
                <w:b w:val="0"/>
                <w:noProof/>
              </w:rPr>
              <w:t>2</w:t>
            </w:r>
            <w:r>
              <w:tab/>
              <w:t xml:space="preserve">Roles required under the </w:t>
            </w:r>
            <w:r w:rsidRPr="008D0DCC">
              <w:rPr>
                <w:i/>
              </w:rPr>
              <w:t xml:space="preserve">Policy on </w:t>
            </w:r>
            <w:r w:rsidR="00E30674" w:rsidRPr="008D0DCC">
              <w:rPr>
                <w:i/>
              </w:rPr>
              <w:t>Results</w:t>
            </w:r>
          </w:p>
        </w:tc>
      </w:tr>
      <w:tr w:rsidR="0025024F" w14:paraId="541B7223" w14:textId="77777777" w:rsidTr="00F9621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5024F" w:rsidRPr="00B1465D" w14:paraId="3862D5D7" w14:textId="77777777" w:rsidTr="00F9621F">
              <w:trPr>
                <w:tblHeader/>
                <w:jc w:val="center"/>
              </w:trPr>
              <w:tc>
                <w:tcPr>
                  <w:tcW w:w="5000" w:type="pct"/>
                  <w:tcBorders>
                    <w:top w:val="nil"/>
                    <w:bottom w:val="nil"/>
                  </w:tcBorders>
                </w:tcPr>
                <w:p w14:paraId="0BBBA2D7" w14:textId="70AD2687" w:rsidR="0025024F" w:rsidRPr="00B1465D" w:rsidRDefault="005C17F5" w:rsidP="00F9621F">
                  <w:pPr>
                    <w:pStyle w:val="Figure"/>
                    <w:spacing w:before="60" w:after="60"/>
                    <w:rPr>
                      <w:rFonts w:ascii="Arial" w:hAnsi="Arial" w:cs="Arial"/>
                      <w:sz w:val="18"/>
                      <w:szCs w:val="18"/>
                    </w:rPr>
                  </w:pPr>
                  <w:r w:rsidRPr="005C17F5">
                    <w:rPr>
                      <w:rFonts w:ascii="Arial" w:hAnsi="Arial" w:cs="Arial"/>
                      <w:noProof/>
                      <w:sz w:val="18"/>
                      <w:szCs w:val="18"/>
                    </w:rPr>
                    <w:drawing>
                      <wp:inline distT="0" distB="0" distL="0" distR="0" wp14:anchorId="25D076A0" wp14:editId="2D2BD34F">
                        <wp:extent cx="5243830" cy="2424430"/>
                        <wp:effectExtent l="0" t="0" r="0" b="0"/>
                        <wp:docPr id="2" name="Picture 2" descr="This is a diagram of different roles required under the Policy on Results. &#10;• Deputy Department Heads ensure adherence to the policy on results&#10;• The Performance Measurement and Evaluation Committee oversees departmental performance measurement and evaluation&#10;• The Head of Performance Measurements leads the departmental performance measurement function &#10;• The Head of Evaluation leads the departmental evaluation function&#10;• Program Officials maintain performance information for their program. &#10;" title="Figure D.2 Roles required under the Policy on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3830" cy="2424430"/>
                                </a:xfrm>
                                <a:prstGeom prst="rect">
                                  <a:avLst/>
                                </a:prstGeom>
                                <a:noFill/>
                                <a:ln>
                                  <a:noFill/>
                                </a:ln>
                              </pic:spPr>
                            </pic:pic>
                          </a:graphicData>
                        </a:graphic>
                      </wp:inline>
                    </w:drawing>
                  </w:r>
                </w:p>
              </w:tc>
            </w:tr>
          </w:tbl>
          <w:p w14:paraId="42B27ABD" w14:textId="77777777" w:rsidR="0025024F" w:rsidRDefault="0025024F" w:rsidP="00F9621F">
            <w:pPr>
              <w:pStyle w:val="Figure"/>
            </w:pPr>
          </w:p>
        </w:tc>
      </w:tr>
      <w:tr w:rsidR="0025024F" w:rsidRPr="00176D3F" w14:paraId="25014564" w14:textId="77777777" w:rsidTr="00F9621F">
        <w:tc>
          <w:tcPr>
            <w:tcW w:w="5000" w:type="pct"/>
            <w:tcBorders>
              <w:top w:val="nil"/>
              <w:left w:val="nil"/>
              <w:bottom w:val="nil"/>
              <w:right w:val="nil"/>
            </w:tcBorders>
            <w:shd w:val="clear" w:color="auto" w:fill="auto"/>
          </w:tcPr>
          <w:p w14:paraId="18DB02A5" w14:textId="45199E4A" w:rsidR="0025024F" w:rsidRPr="00176D3F" w:rsidRDefault="00EA5077" w:rsidP="00EA5077">
            <w:pPr>
              <w:pStyle w:val="Source"/>
            </w:pPr>
            <w:r>
              <w:rPr>
                <w:i/>
              </w:rPr>
              <w:t>S</w:t>
            </w:r>
            <w:r w:rsidR="0025024F" w:rsidRPr="00784A05">
              <w:rPr>
                <w:i/>
              </w:rPr>
              <w:t>ource</w:t>
            </w:r>
            <w:r w:rsidR="0025024F" w:rsidRPr="00176D3F">
              <w:t>:</w:t>
            </w:r>
            <w:r>
              <w:t xml:space="preserve"> </w:t>
            </w:r>
            <w:r w:rsidR="004A0B39">
              <w:t xml:space="preserve">Adapted from </w:t>
            </w:r>
            <w:r>
              <w:t xml:space="preserve">Pagan </w:t>
            </w:r>
            <w:r w:rsidRPr="00EA5077">
              <w:rPr>
                <w:rFonts w:cs="Arial"/>
              </w:rPr>
              <w:t>(2016)</w:t>
            </w:r>
            <w:r>
              <w:t>.</w:t>
            </w:r>
            <w:r w:rsidR="0025024F" w:rsidRPr="00176D3F">
              <w:t xml:space="preserve"> </w:t>
            </w:r>
          </w:p>
        </w:tc>
      </w:tr>
      <w:tr w:rsidR="0025024F" w14:paraId="0BB0F328" w14:textId="77777777" w:rsidTr="007402FA">
        <w:tc>
          <w:tcPr>
            <w:tcW w:w="5000" w:type="pct"/>
            <w:tcBorders>
              <w:top w:val="nil"/>
              <w:left w:val="nil"/>
              <w:bottom w:val="single" w:sz="6" w:space="0" w:color="2493D1"/>
              <w:right w:val="nil"/>
            </w:tcBorders>
            <w:shd w:val="clear" w:color="auto" w:fill="auto"/>
          </w:tcPr>
          <w:p w14:paraId="3CCFD1D0" w14:textId="77777777" w:rsidR="0025024F" w:rsidRDefault="0025024F" w:rsidP="00F9621F">
            <w:pPr>
              <w:pStyle w:val="Figurespace"/>
            </w:pPr>
          </w:p>
        </w:tc>
      </w:tr>
      <w:tr w:rsidR="0025024F" w:rsidRPr="000863A5" w14:paraId="53520DA7" w14:textId="77777777" w:rsidTr="007402FA">
        <w:tc>
          <w:tcPr>
            <w:tcW w:w="5000" w:type="pct"/>
            <w:tcBorders>
              <w:top w:val="single" w:sz="6" w:space="0" w:color="2493D1"/>
              <w:left w:val="nil"/>
              <w:bottom w:val="nil"/>
              <w:right w:val="nil"/>
            </w:tcBorders>
          </w:tcPr>
          <w:p w14:paraId="1E6CE9CD" w14:textId="2005B965" w:rsidR="0025024F" w:rsidRPr="00626D32" w:rsidRDefault="0025024F" w:rsidP="00F9621F">
            <w:pPr>
              <w:pStyle w:val="BoxSpaceBelow"/>
            </w:pPr>
          </w:p>
        </w:tc>
      </w:tr>
    </w:tbl>
    <w:p w14:paraId="0DE291A5" w14:textId="102B23BC" w:rsidR="0025024F" w:rsidRDefault="0025024F" w:rsidP="0025024F">
      <w:pPr>
        <w:pStyle w:val="BodyText"/>
      </w:pPr>
      <w:r>
        <w:t>Implementation of — and compliance with — the Policy is overseen by the Canadian Treasury Board Secretariat.</w:t>
      </w:r>
      <w:r w:rsidR="005875F5" w:rsidRPr="003D5EE8">
        <w:rPr>
          <w:rStyle w:val="FootnoteReference"/>
        </w:rPr>
        <w:footnoteReference w:id="4"/>
      </w:r>
      <w:r>
        <w:t xml:space="preserve"> Its role includes:</w:t>
      </w:r>
    </w:p>
    <w:p w14:paraId="47FA0F7A" w14:textId="20A3F4D4" w:rsidR="0025024F" w:rsidRDefault="0025024F" w:rsidP="0025024F">
      <w:pPr>
        <w:pStyle w:val="ListBullet"/>
      </w:pPr>
      <w:r>
        <w:t xml:space="preserve">providing leadership for performance measurement and evaluation functions throughout the Canadian </w:t>
      </w:r>
      <w:r w:rsidR="00F335B5">
        <w:t>Government</w:t>
      </w:r>
    </w:p>
    <w:p w14:paraId="5F309F6C" w14:textId="77777777" w:rsidR="0025024F" w:rsidRDefault="0025024F" w:rsidP="0025024F">
      <w:pPr>
        <w:pStyle w:val="ListBullet"/>
      </w:pPr>
      <w:r>
        <w:t>reviewing each department’s evaluation plan, and requesting additional evaluations over and above those planned by a department if deemed necessary</w:t>
      </w:r>
    </w:p>
    <w:p w14:paraId="6760E5D9" w14:textId="7FAE22BD" w:rsidR="0025024F" w:rsidRDefault="0025024F" w:rsidP="0025024F">
      <w:pPr>
        <w:pStyle w:val="ListBullet"/>
      </w:pPr>
      <w:r>
        <w:t>initiating centrally</w:t>
      </w:r>
      <w:r w:rsidR="00BB23BC">
        <w:noBreakHyphen/>
      </w:r>
      <w:r>
        <w:t>led evaluations if deemed necessary</w:t>
      </w:r>
    </w:p>
    <w:p w14:paraId="0B5E9A17" w14:textId="603C85CA" w:rsidR="0025024F" w:rsidRDefault="0025024F" w:rsidP="0025024F">
      <w:pPr>
        <w:pStyle w:val="ListBullet"/>
      </w:pPr>
      <w:r>
        <w:t>raising any issues</w:t>
      </w:r>
      <w:r w:rsidR="00204ADF">
        <w:t xml:space="preserve"> with compliance with the Policy</w:t>
      </w:r>
      <w:r>
        <w:t xml:space="preserve"> </w:t>
      </w:r>
      <w:r w:rsidR="00453DCF">
        <w:t xml:space="preserve">with </w:t>
      </w:r>
      <w:r w:rsidR="006F02FC">
        <w:t>d</w:t>
      </w:r>
      <w:r w:rsidR="00453DCF">
        <w:t xml:space="preserve">eputy </w:t>
      </w:r>
      <w:r w:rsidR="006F02FC">
        <w:t>h</w:t>
      </w:r>
      <w:r w:rsidR="00453DCF">
        <w:t>ead</w:t>
      </w:r>
      <w:r w:rsidR="006F02FC">
        <w:t>s</w:t>
      </w:r>
      <w:r w:rsidR="00453DCF">
        <w:t xml:space="preserve"> </w:t>
      </w:r>
      <w:r w:rsidR="006F02FC">
        <w:t>or</w:t>
      </w:r>
      <w:r w:rsidR="00453DCF">
        <w:t xml:space="preserve"> the President of the Treasury Board (a Minister)</w:t>
      </w:r>
    </w:p>
    <w:p w14:paraId="474A192E" w14:textId="3D056D62" w:rsidR="0025024F" w:rsidRDefault="0025024F" w:rsidP="0025024F">
      <w:pPr>
        <w:pStyle w:val="ListBullet"/>
      </w:pPr>
      <w:r>
        <w:t xml:space="preserve">establishing competencies for the heads of performance measurement and heads of evaluation and amending these </w:t>
      </w:r>
      <w:r w:rsidR="00377494">
        <w:t>competencies</w:t>
      </w:r>
      <w:r>
        <w:t xml:space="preserve"> as appropriate</w:t>
      </w:r>
      <w:r w:rsidR="00035ADB">
        <w:t xml:space="preserve"> </w:t>
      </w:r>
      <w:r w:rsidR="00035ADB" w:rsidRPr="00035ADB">
        <w:rPr>
          <w:szCs w:val="24"/>
        </w:rPr>
        <w:t>(Government of Canada 2016b)</w:t>
      </w:r>
      <w:r w:rsidR="000F7A53">
        <w:t>.</w:t>
      </w:r>
    </w:p>
    <w:p w14:paraId="00B4D5BA" w14:textId="0239013C" w:rsidR="0059025A" w:rsidRDefault="0059025A" w:rsidP="0025024F">
      <w:pPr>
        <w:pStyle w:val="BodyText"/>
      </w:pPr>
      <w:r>
        <w:t>When undertaking evaluations</w:t>
      </w:r>
      <w:r w:rsidR="0025024F">
        <w:t>,</w:t>
      </w:r>
      <w:r>
        <w:t xml:space="preserve"> the</w:t>
      </w:r>
      <w:r w:rsidR="00B42B73">
        <w:t xml:space="preserve"> Directive accompanying the</w:t>
      </w:r>
      <w:r>
        <w:t xml:space="preserve"> </w:t>
      </w:r>
      <w:r w:rsidRPr="000A31E7">
        <w:rPr>
          <w:i/>
        </w:rPr>
        <w:t>Policy</w:t>
      </w:r>
      <w:r w:rsidR="00B42B73" w:rsidRPr="000A31E7">
        <w:rPr>
          <w:i/>
        </w:rPr>
        <w:t xml:space="preserve"> on Results</w:t>
      </w:r>
      <w:r>
        <w:t xml:space="preserve"> also mandates</w:t>
      </w:r>
      <w:r w:rsidR="00F06584">
        <w:t xml:space="preserve"> that</w:t>
      </w:r>
      <w:r w:rsidR="0025024F">
        <w:t xml:space="preserve"> Canad</w:t>
      </w:r>
      <w:r w:rsidR="0025024F" w:rsidRPr="00035ADB">
        <w:t xml:space="preserve">ian departments follow a broad </w:t>
      </w:r>
      <w:r w:rsidRPr="00035ADB">
        <w:t>set of requirements</w:t>
      </w:r>
      <w:r w:rsidR="0025024F" w:rsidRPr="00035ADB">
        <w:t xml:space="preserve"> called the </w:t>
      </w:r>
      <w:r w:rsidR="0025024F" w:rsidRPr="00035ADB">
        <w:rPr>
          <w:i/>
        </w:rPr>
        <w:t>Standard on Evaluation</w:t>
      </w:r>
      <w:r w:rsidR="00D028C8">
        <w:t xml:space="preserve"> </w:t>
      </w:r>
      <w:r w:rsidR="00D028C8" w:rsidRPr="00D028C8">
        <w:rPr>
          <w:szCs w:val="24"/>
        </w:rPr>
        <w:t>(Government of Canada 2016a)</w:t>
      </w:r>
      <w:r w:rsidR="0025024F" w:rsidRPr="00035ADB">
        <w:t>.</w:t>
      </w:r>
      <w:r w:rsidRPr="00035ADB">
        <w:t xml:space="preserve"> </w:t>
      </w:r>
      <w:r w:rsidR="00E76A02" w:rsidRPr="00035ADB">
        <w:t>This</w:t>
      </w:r>
      <w:r w:rsidR="00E76A02">
        <w:t xml:space="preserve"> includes that </w:t>
      </w:r>
      <w:r>
        <w:t xml:space="preserve">evaluations are planned </w:t>
      </w:r>
      <w:r w:rsidR="005B11E3">
        <w:t xml:space="preserve">with consideration of </w:t>
      </w:r>
      <w:r>
        <w:t>the ‘primary</w:t>
      </w:r>
      <w:r w:rsidR="00BA65ED">
        <w:t xml:space="preserve"> evaluation</w:t>
      </w:r>
      <w:r>
        <w:t xml:space="preserve"> issues’ of relevance, effectiveness and efficiency where </w:t>
      </w:r>
      <w:r w:rsidR="005B11E3">
        <w:t xml:space="preserve">relevant to the goals of the evaluation </w:t>
      </w:r>
      <w:r w:rsidR="00784051">
        <w:t>(box D.1)</w:t>
      </w:r>
      <w:r>
        <w:t>.</w:t>
      </w:r>
      <w:r w:rsidR="00FC7E6E">
        <w:t xml:space="preserve"> </w:t>
      </w:r>
    </w:p>
    <w:p w14:paraId="3477F625" w14:textId="7BED37F2" w:rsidR="005F38C8" w:rsidRDefault="005F38C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F38C8" w14:paraId="77D7A6BC" w14:textId="77777777" w:rsidTr="00492DE6">
        <w:trPr>
          <w:tblHeader/>
        </w:trPr>
        <w:tc>
          <w:tcPr>
            <w:tcW w:w="5000" w:type="pct"/>
            <w:tcBorders>
              <w:top w:val="single" w:sz="6" w:space="0" w:color="2493D1"/>
              <w:left w:val="nil"/>
              <w:bottom w:val="nil"/>
              <w:right w:val="nil"/>
            </w:tcBorders>
            <w:shd w:val="clear" w:color="auto" w:fill="F2F2F2"/>
          </w:tcPr>
          <w:p w14:paraId="792ABE68" w14:textId="71A8BCB5" w:rsidR="005F38C8" w:rsidRDefault="005F38C8">
            <w:pPr>
              <w:pStyle w:val="BoxTitle"/>
            </w:pPr>
            <w:r>
              <w:rPr>
                <w:b w:val="0"/>
              </w:rPr>
              <w:t xml:space="preserve">Box </w:t>
            </w:r>
            <w:r w:rsidR="00B464FC">
              <w:rPr>
                <w:b w:val="0"/>
              </w:rPr>
              <w:t>D.</w:t>
            </w:r>
            <w:r w:rsidR="00907E08">
              <w:rPr>
                <w:b w:val="0"/>
                <w:noProof/>
              </w:rPr>
              <w:t>1</w:t>
            </w:r>
            <w:r>
              <w:tab/>
              <w:t>Relevance, effectiveness and efficiency as defined by the</w:t>
            </w:r>
            <w:r w:rsidR="00647DE4">
              <w:t xml:space="preserve"> Canadian</w:t>
            </w:r>
            <w:r>
              <w:t xml:space="preserve"> </w:t>
            </w:r>
            <w:r w:rsidRPr="008D0DCC">
              <w:rPr>
                <w:i/>
              </w:rPr>
              <w:t>Standard</w:t>
            </w:r>
            <w:r w:rsidR="00647DE4" w:rsidRPr="008D0DCC">
              <w:rPr>
                <w:i/>
              </w:rPr>
              <w:t xml:space="preserve"> on Evaluation</w:t>
            </w:r>
          </w:p>
        </w:tc>
      </w:tr>
      <w:tr w:rsidR="005F38C8" w14:paraId="3EFEA714" w14:textId="77777777" w:rsidTr="00F9621F">
        <w:tc>
          <w:tcPr>
            <w:tcW w:w="5000" w:type="pct"/>
            <w:tcBorders>
              <w:top w:val="nil"/>
              <w:left w:val="nil"/>
              <w:bottom w:val="nil"/>
              <w:right w:val="nil"/>
            </w:tcBorders>
            <w:shd w:val="clear" w:color="auto" w:fill="F2F2F2"/>
          </w:tcPr>
          <w:p w14:paraId="272461C6" w14:textId="290C8D4B" w:rsidR="005F38C8" w:rsidRDefault="005F38C8" w:rsidP="005F38C8">
            <w:pPr>
              <w:pStyle w:val="Box"/>
            </w:pPr>
            <w:r>
              <w:t xml:space="preserve">The </w:t>
            </w:r>
            <w:r w:rsidRPr="008D0DCC">
              <w:rPr>
                <w:i/>
              </w:rPr>
              <w:t>Standard</w:t>
            </w:r>
            <w:r w:rsidR="00647DE4" w:rsidRPr="008D0DCC">
              <w:rPr>
                <w:i/>
              </w:rPr>
              <w:t xml:space="preserve"> on Evaluation</w:t>
            </w:r>
            <w:r>
              <w:t xml:space="preserve"> defines </w:t>
            </w:r>
            <w:r>
              <w:rPr>
                <w:b/>
              </w:rPr>
              <w:t xml:space="preserve">relevance </w:t>
            </w:r>
            <w:r>
              <w:t xml:space="preserve">as the extent to which a </w:t>
            </w:r>
            <w:r w:rsidR="00271FDE">
              <w:t>policy or program</w:t>
            </w:r>
            <w:r>
              <w:t xml:space="preserve"> addresses and is responsive to a demonstrable need. Relevance may also consider if a program or policy is a government priority or federal responsibility.</w:t>
            </w:r>
          </w:p>
          <w:p w14:paraId="39C7BCED" w14:textId="4A8B40D6" w:rsidR="005F38C8" w:rsidRDefault="005F38C8" w:rsidP="005F38C8">
            <w:pPr>
              <w:pStyle w:val="Box"/>
            </w:pPr>
            <w:r>
              <w:t xml:space="preserve">It defines </w:t>
            </w:r>
            <w:r>
              <w:rPr>
                <w:b/>
              </w:rPr>
              <w:t xml:space="preserve">effectiveness </w:t>
            </w:r>
            <w:r>
              <w:t>as the impacts of a policy or program, or the extent to which it is achieving</w:t>
            </w:r>
            <w:r w:rsidR="00D009DB">
              <w:t xml:space="preserve"> its</w:t>
            </w:r>
            <w:r>
              <w:t xml:space="preserve"> expected outcomes. </w:t>
            </w:r>
          </w:p>
          <w:p w14:paraId="3EA79B53" w14:textId="01DB68EA" w:rsidR="005F38C8" w:rsidRDefault="005F38C8" w:rsidP="005F38C8">
            <w:pPr>
              <w:pStyle w:val="Box"/>
            </w:pPr>
            <w:r>
              <w:t xml:space="preserve">It defines </w:t>
            </w:r>
            <w:r>
              <w:rPr>
                <w:b/>
              </w:rPr>
              <w:t xml:space="preserve">efficiency </w:t>
            </w:r>
            <w:r>
              <w:t>as the extent to which resources are used such that a greater level of output/outcome is produced with the same level of input, or a lower level of input is used to produce the same output/outcome.</w:t>
            </w:r>
          </w:p>
        </w:tc>
      </w:tr>
      <w:tr w:rsidR="005F38C8" w14:paraId="59E5F5BF" w14:textId="77777777" w:rsidTr="00F9621F">
        <w:tc>
          <w:tcPr>
            <w:tcW w:w="5000" w:type="pct"/>
            <w:tcBorders>
              <w:top w:val="nil"/>
              <w:left w:val="nil"/>
              <w:bottom w:val="nil"/>
              <w:right w:val="nil"/>
            </w:tcBorders>
            <w:shd w:val="clear" w:color="auto" w:fill="F2F2F2"/>
          </w:tcPr>
          <w:p w14:paraId="4A5C81A2" w14:textId="1D8A681E" w:rsidR="005F38C8" w:rsidRDefault="005F38C8" w:rsidP="00F93059">
            <w:pPr>
              <w:pStyle w:val="BoxSource"/>
            </w:pPr>
            <w:r>
              <w:rPr>
                <w:i/>
              </w:rPr>
              <w:t>Source</w:t>
            </w:r>
            <w:r w:rsidRPr="00167F06">
              <w:t>:</w:t>
            </w:r>
            <w:r w:rsidR="00F93059">
              <w:t xml:space="preserve"> Government of Canada </w:t>
            </w:r>
            <w:r w:rsidR="00F93059" w:rsidRPr="00F93059">
              <w:rPr>
                <w:rFonts w:cs="Arial"/>
              </w:rPr>
              <w:t>(2016a)</w:t>
            </w:r>
            <w:r w:rsidR="00F93059">
              <w:t>.</w:t>
            </w:r>
            <w:r w:rsidRPr="00167F06">
              <w:t xml:space="preserve"> </w:t>
            </w:r>
          </w:p>
        </w:tc>
      </w:tr>
      <w:tr w:rsidR="005F38C8" w14:paraId="4A9B9170" w14:textId="77777777" w:rsidTr="00492DE6">
        <w:tc>
          <w:tcPr>
            <w:tcW w:w="5000" w:type="pct"/>
            <w:tcBorders>
              <w:top w:val="nil"/>
              <w:left w:val="nil"/>
              <w:bottom w:val="single" w:sz="6" w:space="0" w:color="2493D1"/>
              <w:right w:val="nil"/>
            </w:tcBorders>
            <w:shd w:val="clear" w:color="auto" w:fill="F2F2F2"/>
          </w:tcPr>
          <w:p w14:paraId="66118EAE" w14:textId="77777777" w:rsidR="005F38C8" w:rsidRDefault="005F38C8">
            <w:pPr>
              <w:pStyle w:val="Box"/>
              <w:spacing w:before="0" w:line="120" w:lineRule="exact"/>
            </w:pPr>
          </w:p>
        </w:tc>
      </w:tr>
      <w:tr w:rsidR="005F38C8" w:rsidRPr="000863A5" w14:paraId="76317616" w14:textId="77777777" w:rsidTr="00492DE6">
        <w:tc>
          <w:tcPr>
            <w:tcW w:w="5000" w:type="pct"/>
            <w:tcBorders>
              <w:top w:val="single" w:sz="6" w:space="0" w:color="2493D1"/>
              <w:left w:val="nil"/>
              <w:bottom w:val="nil"/>
              <w:right w:val="nil"/>
            </w:tcBorders>
          </w:tcPr>
          <w:p w14:paraId="4D274290" w14:textId="568827E3" w:rsidR="005F38C8" w:rsidRPr="00626D32" w:rsidRDefault="005F38C8" w:rsidP="00F9621F">
            <w:pPr>
              <w:pStyle w:val="BoxSpaceBelow"/>
            </w:pPr>
          </w:p>
        </w:tc>
      </w:tr>
    </w:tbl>
    <w:p w14:paraId="7A5EDEB3" w14:textId="64A1BC39" w:rsidR="00CB1E0D" w:rsidRPr="00CB1E0D" w:rsidRDefault="00CB1E0D" w:rsidP="008D0DCC">
      <w:pPr>
        <w:pStyle w:val="BodyText"/>
      </w:pPr>
      <w:r>
        <w:t xml:space="preserve">The </w:t>
      </w:r>
      <w:r>
        <w:rPr>
          <w:i/>
        </w:rPr>
        <w:t xml:space="preserve">Standard </w:t>
      </w:r>
      <w:r>
        <w:t>also stipulates some requirements for evaluation reports, including that they</w:t>
      </w:r>
      <w:r w:rsidR="008D0DCC">
        <w:t>:</w:t>
      </w:r>
    </w:p>
    <w:p w14:paraId="16BDB0F4" w14:textId="15909EDD" w:rsidR="00CB1E0D" w:rsidRPr="00CB1E0D" w:rsidRDefault="008D0DCC" w:rsidP="008D0DCC">
      <w:pPr>
        <w:pStyle w:val="ListBullet"/>
      </w:pPr>
      <w:r>
        <w:t xml:space="preserve">be </w:t>
      </w:r>
      <w:r w:rsidR="009D08F3">
        <w:t>written and presented</w:t>
      </w:r>
      <w:r w:rsidR="00CB1E0D" w:rsidRPr="00CB1E0D">
        <w:t xml:space="preserve"> clearly and concisely</w:t>
      </w:r>
    </w:p>
    <w:p w14:paraId="063A3D69" w14:textId="77777777" w:rsidR="00CB1E0D" w:rsidRPr="009D08F3" w:rsidRDefault="00CB1E0D" w:rsidP="008D0DCC">
      <w:pPr>
        <w:pStyle w:val="ListBullet"/>
      </w:pPr>
      <w:r w:rsidRPr="00CB1E0D">
        <w:t>include the information required to understand and reasonably sustain finding</w:t>
      </w:r>
      <w:r w:rsidRPr="00F62F75">
        <w:t>s and conclusions, and present a logical flow of findings, conclusions and recommendations</w:t>
      </w:r>
    </w:p>
    <w:p w14:paraId="0352A48A" w14:textId="77777777" w:rsidR="00CB1E0D" w:rsidRPr="009D08F3" w:rsidRDefault="00CB1E0D" w:rsidP="008D0DCC">
      <w:pPr>
        <w:pStyle w:val="ListBullet"/>
      </w:pPr>
      <w:r w:rsidRPr="009D08F3">
        <w:t>provide readers with an appropriate context for the evaluation and the policy, program, priority, unit or theme being evaluated, including by identifying the limitations of the evaluation in a way that informs readers about the reliability of findings and conclusions</w:t>
      </w:r>
    </w:p>
    <w:p w14:paraId="147EE8E0" w14:textId="77777777" w:rsidR="00CB1E0D" w:rsidRPr="000B7488" w:rsidRDefault="00CB1E0D" w:rsidP="008D0DCC">
      <w:pPr>
        <w:pStyle w:val="ListBullet"/>
      </w:pPr>
      <w:r w:rsidRPr="001E23B1">
        <w:t>include an accurate assessment of the contribution of the program to its related government priorities and/or departmental results and priorities</w:t>
      </w:r>
    </w:p>
    <w:p w14:paraId="601E8EBF" w14:textId="6D8A478E" w:rsidR="00CB1E0D" w:rsidRDefault="00CB1E0D" w:rsidP="008D0DCC">
      <w:pPr>
        <w:pStyle w:val="ListBullet"/>
      </w:pPr>
      <w:r w:rsidRPr="00F62F75">
        <w:t>include</w:t>
      </w:r>
      <w:r w:rsidRPr="00CB6B9E">
        <w:t xml:space="preserve"> clear, actionable recommendations that aim to address the key issues or concerns identified</w:t>
      </w:r>
      <w:r w:rsidR="009D08F3">
        <w:t xml:space="preserve"> </w:t>
      </w:r>
      <w:r w:rsidR="009D08F3" w:rsidRPr="009D08F3">
        <w:rPr>
          <w:szCs w:val="24"/>
        </w:rPr>
        <w:t>(Government of Canada 2016a)</w:t>
      </w:r>
      <w:r w:rsidR="009D08F3">
        <w:t>.</w:t>
      </w:r>
    </w:p>
    <w:p w14:paraId="622C646C" w14:textId="5B0B605C" w:rsidR="00764F60" w:rsidRDefault="00784051" w:rsidP="00764F60">
      <w:pPr>
        <w:pStyle w:val="BodyText"/>
      </w:pPr>
      <w:r>
        <w:t xml:space="preserve">The </w:t>
      </w:r>
      <w:r>
        <w:rPr>
          <w:i/>
        </w:rPr>
        <w:t xml:space="preserve">Foundations </w:t>
      </w:r>
      <w:r w:rsidR="001E6C06">
        <w:rPr>
          <w:i/>
        </w:rPr>
        <w:t>for</w:t>
      </w:r>
      <w:r>
        <w:rPr>
          <w:i/>
        </w:rPr>
        <w:t xml:space="preserve"> Evidence</w:t>
      </w:r>
      <w:r w:rsidR="00BB23BC">
        <w:rPr>
          <w:i/>
        </w:rPr>
        <w:noBreakHyphen/>
      </w:r>
      <w:r>
        <w:rPr>
          <w:i/>
        </w:rPr>
        <w:t>Based Policy</w:t>
      </w:r>
      <w:r w:rsidR="00CA248F">
        <w:rPr>
          <w:i/>
        </w:rPr>
        <w:t>m</w:t>
      </w:r>
      <w:r>
        <w:rPr>
          <w:i/>
        </w:rPr>
        <w:t>aking Act</w:t>
      </w:r>
      <w:r w:rsidR="0037037F">
        <w:rPr>
          <w:i/>
        </w:rPr>
        <w:t xml:space="preserve"> </w:t>
      </w:r>
      <w:r w:rsidR="0037037F" w:rsidRPr="0037037F">
        <w:rPr>
          <w:i/>
        </w:rPr>
        <w:t>201</w:t>
      </w:r>
      <w:r w:rsidR="00903E5E">
        <w:rPr>
          <w:i/>
        </w:rPr>
        <w:t>8</w:t>
      </w:r>
      <w:r>
        <w:rPr>
          <w:i/>
        </w:rPr>
        <w:t xml:space="preserve"> </w:t>
      </w:r>
      <w:r w:rsidR="00F91701" w:rsidRPr="00F91701">
        <w:t>(US)</w:t>
      </w:r>
      <w:r w:rsidR="00F91701">
        <w:rPr>
          <w:i/>
        </w:rPr>
        <w:t xml:space="preserve"> </w:t>
      </w:r>
      <w:r>
        <w:t xml:space="preserve">of the </w:t>
      </w:r>
      <w:r>
        <w:rPr>
          <w:b/>
        </w:rPr>
        <w:t>United States</w:t>
      </w:r>
      <w:r>
        <w:t xml:space="preserve"> </w:t>
      </w:r>
      <w:r w:rsidR="00F70C21">
        <w:t xml:space="preserve">is </w:t>
      </w:r>
      <w:r>
        <w:t>another example of a whole</w:t>
      </w:r>
      <w:r w:rsidR="00BB23BC">
        <w:noBreakHyphen/>
      </w:r>
      <w:r>
        <w:t>of</w:t>
      </w:r>
      <w:r w:rsidR="00BB23BC">
        <w:noBreakHyphen/>
      </w:r>
      <w:r>
        <w:t xml:space="preserve">government framework for evaluation. The Act seeks to </w:t>
      </w:r>
      <w:r w:rsidR="00CA248F">
        <w:t xml:space="preserve">advance </w:t>
      </w:r>
      <w:r>
        <w:t>evidence building activities in US federal agencies</w:t>
      </w:r>
      <w:r w:rsidR="00CA248F">
        <w:t xml:space="preserve"> </w:t>
      </w:r>
      <w:r w:rsidR="00CA248F" w:rsidRPr="00CA248F">
        <w:rPr>
          <w:szCs w:val="24"/>
        </w:rPr>
        <w:t>(Executive Office of the President (US) 2019b s. 290.2)</w:t>
      </w:r>
      <w:r>
        <w:t xml:space="preserve">. Similar to the Canadian </w:t>
      </w:r>
      <w:r w:rsidRPr="000A31E7">
        <w:rPr>
          <w:i/>
        </w:rPr>
        <w:t>Policy on Results</w:t>
      </w:r>
      <w:r>
        <w:t xml:space="preserve">, the Act places several formal obligations on US federal agencies to plan and undertake evaluation. One of these obligations requires agencies </w:t>
      </w:r>
      <w:r w:rsidR="000E06DB">
        <w:t xml:space="preserve">to </w:t>
      </w:r>
      <w:r>
        <w:t xml:space="preserve">develop an </w:t>
      </w:r>
      <w:r w:rsidRPr="003643AA">
        <w:rPr>
          <w:i/>
        </w:rPr>
        <w:t>evidence building plan</w:t>
      </w:r>
      <w:r>
        <w:t xml:space="preserve">. </w:t>
      </w:r>
      <w:r w:rsidR="000461D5">
        <w:t>An evidence</w:t>
      </w:r>
      <w:r w:rsidR="007B77F6">
        <w:noBreakHyphen/>
      </w:r>
      <w:r w:rsidR="000461D5">
        <w:t>building plan ‘is a systematic plan for identifying and addressing policy questions relevant to the programs, policies and regulations of the agency’ that ‘identifies, prioritizes, and establishes strategies to develop evidence to answer important short</w:t>
      </w:r>
      <w:r w:rsidR="007B77F6">
        <w:noBreakHyphen/>
      </w:r>
      <w:r w:rsidR="000461D5">
        <w:t xml:space="preserve"> and long</w:t>
      </w:r>
      <w:r w:rsidR="007B77F6">
        <w:noBreakHyphen/>
      </w:r>
      <w:r w:rsidR="000461D5">
        <w:t>term strategic questions</w:t>
      </w:r>
      <w:r w:rsidR="007B77F6">
        <w:t xml:space="preserve"> </w:t>
      </w:r>
      <w:r w:rsidR="000461D5">
        <w:t>…</w:t>
      </w:r>
      <w:r w:rsidR="007B77F6">
        <w:t xml:space="preserve"> </w:t>
      </w:r>
      <w:r w:rsidR="00527574">
        <w:t>and operational questions</w:t>
      </w:r>
      <w:r w:rsidR="000461D5">
        <w:t xml:space="preserve">’ </w:t>
      </w:r>
      <w:r w:rsidR="000461D5" w:rsidRPr="000461D5">
        <w:rPr>
          <w:szCs w:val="24"/>
        </w:rPr>
        <w:t>(Executive Office of the President (US) 2019b s. 290.6)</w:t>
      </w:r>
      <w:r w:rsidR="000461D5">
        <w:t xml:space="preserve">. </w:t>
      </w:r>
    </w:p>
    <w:p w14:paraId="717DE488" w14:textId="5C157E31" w:rsidR="000461D5" w:rsidRDefault="000461D5" w:rsidP="00764F60">
      <w:pPr>
        <w:pStyle w:val="BodyText"/>
      </w:pPr>
      <w:r>
        <w:t xml:space="preserve">Under the Act, </w:t>
      </w:r>
      <w:r w:rsidR="00B30D19">
        <w:t>agencies are required to list (among other things):</w:t>
      </w:r>
    </w:p>
    <w:p w14:paraId="501A0213" w14:textId="5F7287C7" w:rsidR="00784051" w:rsidRDefault="00784051" w:rsidP="00764F60">
      <w:pPr>
        <w:pStyle w:val="ListBullet"/>
      </w:pPr>
      <w:r>
        <w:t>policy</w:t>
      </w:r>
      <w:r w:rsidR="00BB23BC">
        <w:noBreakHyphen/>
      </w:r>
      <w:r>
        <w:t>relevant questions for which the agency intends to develop evidence to support policymaking</w:t>
      </w:r>
    </w:p>
    <w:p w14:paraId="10CE822D" w14:textId="77777777" w:rsidR="00784051" w:rsidRDefault="00784051" w:rsidP="00784051">
      <w:pPr>
        <w:pStyle w:val="ListBullet"/>
      </w:pPr>
      <w:r>
        <w:lastRenderedPageBreak/>
        <w:t>data that the agency intends to collect, use or acquire to facilitate the use of evidence in policymaking</w:t>
      </w:r>
    </w:p>
    <w:p w14:paraId="5D64A1B5" w14:textId="77777777" w:rsidR="00784051" w:rsidRDefault="00784051" w:rsidP="00784051">
      <w:pPr>
        <w:pStyle w:val="ListBullet"/>
      </w:pPr>
      <w:r>
        <w:t>methods and analytical approaches that may be used to develop evidence to support policymaking</w:t>
      </w:r>
    </w:p>
    <w:p w14:paraId="789C80C8" w14:textId="3B84CD54" w:rsidR="00784051" w:rsidRDefault="00784051" w:rsidP="00784051">
      <w:pPr>
        <w:pStyle w:val="ListBullet"/>
      </w:pPr>
      <w:r>
        <w:t>any challenges to developing evidence to support policymaking, including any statutory or other restrictions to accessing relevant data.</w:t>
      </w:r>
      <w:r w:rsidR="00903E5E" w:rsidRPr="003D5EE8">
        <w:rPr>
          <w:rStyle w:val="FootnoteReference"/>
        </w:rPr>
        <w:footnoteReference w:id="5"/>
      </w:r>
    </w:p>
    <w:p w14:paraId="2705654E" w14:textId="7F1AF0B0" w:rsidR="00784051" w:rsidRDefault="004D4A1D" w:rsidP="00784051">
      <w:pPr>
        <w:pStyle w:val="BodyText"/>
      </w:pPr>
      <w:r>
        <w:t>T</w:t>
      </w:r>
      <w:r w:rsidR="00784051">
        <w:t xml:space="preserve">he Act </w:t>
      </w:r>
      <w:r>
        <w:t xml:space="preserve">also </w:t>
      </w:r>
      <w:r w:rsidR="00784051">
        <w:t xml:space="preserve">requires agencies to </w:t>
      </w:r>
      <w:r w:rsidR="00784051">
        <w:rPr>
          <w:i/>
        </w:rPr>
        <w:t>issue</w:t>
      </w:r>
      <w:r w:rsidR="00784051" w:rsidRPr="00DD4D06">
        <w:rPr>
          <w:i/>
        </w:rPr>
        <w:t xml:space="preserve"> an evaluation plan </w:t>
      </w:r>
      <w:r w:rsidR="00784051" w:rsidRPr="000A31E7">
        <w:t>for each fiscal year</w:t>
      </w:r>
      <w:r w:rsidR="00784051">
        <w:t xml:space="preserve"> </w:t>
      </w:r>
      <w:r w:rsidR="000C1F3C">
        <w:t xml:space="preserve">that </w:t>
      </w:r>
      <w:r w:rsidR="00784051">
        <w:t>describes the evaluation activities it plans to conduct.</w:t>
      </w:r>
      <w:r w:rsidR="00AC7594" w:rsidRPr="003D5EE8">
        <w:rPr>
          <w:rStyle w:val="FootnoteReference"/>
        </w:rPr>
        <w:footnoteReference w:id="6"/>
      </w:r>
      <w:r w:rsidR="00784051">
        <w:t xml:space="preserve"> These evaluation plans are required to describe:</w:t>
      </w:r>
    </w:p>
    <w:p w14:paraId="150C2380" w14:textId="3F596DE5" w:rsidR="00784051" w:rsidRDefault="00784051" w:rsidP="00784051">
      <w:pPr>
        <w:pStyle w:val="ListBullet"/>
      </w:pPr>
      <w:r>
        <w:t>the key questions that are to be addressed by each</w:t>
      </w:r>
      <w:r w:rsidR="0065790B">
        <w:t xml:space="preserve"> significant</w:t>
      </w:r>
      <w:r>
        <w:t xml:space="preserve"> evaluation. This may include discussion of a program’s purpose, goals and objectives and how program activities are linked to their intended effects</w:t>
      </w:r>
    </w:p>
    <w:p w14:paraId="6A51C95C" w14:textId="70D4997A" w:rsidR="0065790B" w:rsidRDefault="0065790B" w:rsidP="00784051">
      <w:pPr>
        <w:pStyle w:val="ListBullet"/>
      </w:pPr>
      <w:r>
        <w:t>the information needed for evaluations, including whether new information will be collected or whether existing information will be acquired</w:t>
      </w:r>
    </w:p>
    <w:p w14:paraId="0DBAA7E4" w14:textId="07F27284" w:rsidR="00784051" w:rsidRDefault="00784051" w:rsidP="00784051">
      <w:pPr>
        <w:pStyle w:val="ListBullet"/>
      </w:pPr>
      <w:r>
        <w:t>the methods to be used for evaluation</w:t>
      </w:r>
      <w:r w:rsidR="00A9342D">
        <w:t>s</w:t>
      </w:r>
      <w:r w:rsidR="00A076F7">
        <w:t xml:space="preserve"> included in the plan</w:t>
      </w:r>
      <w:r>
        <w:t>, including articulating — to the extent that is practicable — the design of</w:t>
      </w:r>
      <w:r w:rsidR="00A076F7">
        <w:t xml:space="preserve"> </w:t>
      </w:r>
      <w:r>
        <w:t>evaluations</w:t>
      </w:r>
    </w:p>
    <w:p w14:paraId="4CC786C1" w14:textId="77777777" w:rsidR="00784051" w:rsidRDefault="00784051" w:rsidP="00784051">
      <w:pPr>
        <w:pStyle w:val="ListBullet"/>
      </w:pPr>
      <w:r>
        <w:t>anticipated challenges posed by the evaluations included in the plan (to the extent that this is feasible and appropriate)</w:t>
      </w:r>
    </w:p>
    <w:p w14:paraId="1D898B68" w14:textId="5923BA77" w:rsidR="00784051" w:rsidRDefault="00784051" w:rsidP="00784051">
      <w:pPr>
        <w:pStyle w:val="ListBullet"/>
      </w:pPr>
      <w:r>
        <w:t>how the agency proposes to disseminate and use the results of evaluation</w:t>
      </w:r>
      <w:r w:rsidR="00421AD3">
        <w:t xml:space="preserve"> </w:t>
      </w:r>
      <w:r w:rsidR="00B84BAF" w:rsidRPr="00B84BAF">
        <w:rPr>
          <w:szCs w:val="24"/>
        </w:rPr>
        <w:t>(Executive Office of the President (US) 2019a, pp. 34–35)</w:t>
      </w:r>
      <w:r>
        <w:t>.</w:t>
      </w:r>
      <w:r w:rsidR="00421AD3">
        <w:t xml:space="preserve"> </w:t>
      </w:r>
    </w:p>
    <w:p w14:paraId="40B5E0D5" w14:textId="11E0F77A" w:rsidR="00784051" w:rsidRDefault="00784051" w:rsidP="00784051">
      <w:pPr>
        <w:pStyle w:val="BodyText"/>
      </w:pPr>
      <w:r>
        <w:t xml:space="preserve">The Act also obliges agency heads to designate a senior employee as the </w:t>
      </w:r>
      <w:r w:rsidRPr="00FA607B">
        <w:rPr>
          <w:i/>
        </w:rPr>
        <w:t>agency’s evaluation officer</w:t>
      </w:r>
      <w:r>
        <w:rPr>
          <w:i/>
        </w:rPr>
        <w:t>.</w:t>
      </w:r>
      <w:r w:rsidR="00942F84" w:rsidRPr="003D5EE8">
        <w:rPr>
          <w:rStyle w:val="FootnoteReference"/>
        </w:rPr>
        <w:footnoteReference w:id="7"/>
      </w:r>
      <w:r>
        <w:rPr>
          <w:i/>
        </w:rPr>
        <w:t xml:space="preserve"> </w:t>
      </w:r>
      <w:r w:rsidR="009A23F9">
        <w:t>Evaluation officers have substantial and wide</w:t>
      </w:r>
      <w:r w:rsidR="00BB23BC">
        <w:noBreakHyphen/>
      </w:r>
      <w:r w:rsidR="009A23F9">
        <w:t>ranging</w:t>
      </w:r>
      <w:r>
        <w:t xml:space="preserve"> responsibilities —</w:t>
      </w:r>
      <w:r w:rsidR="009A23F9">
        <w:t xml:space="preserve"> </w:t>
      </w:r>
      <w:r>
        <w:t>from the broad (such as being a champion for evaluation in the agency), to the more specific (such as overseeing the establishment and implementation of an agency evaluation policy) (</w:t>
      </w:r>
      <w:r w:rsidR="00B878A7">
        <w:t>box </w:t>
      </w:r>
      <w:r w:rsidR="005F38C8">
        <w:t>D</w:t>
      </w:r>
      <w:r>
        <w:t>.</w:t>
      </w:r>
      <w:r w:rsidR="005F38C8">
        <w:t>2</w:t>
      </w:r>
      <w:r>
        <w:t>)</w:t>
      </w:r>
      <w:r w:rsidR="005B1C92">
        <w:t>.</w:t>
      </w:r>
    </w:p>
    <w:p w14:paraId="57F74626" w14:textId="77777777" w:rsidR="00722655" w:rsidRDefault="00722655" w:rsidP="00722655">
      <w:pPr>
        <w:pStyle w:val="BodyText"/>
      </w:pPr>
      <w:r>
        <w:t>The Act requires the Office of Management and Budget to issue guidance for program evaluation for agencies that is consistent with widely accepted standards for evaluation and to identify best practices.</w:t>
      </w:r>
      <w:r w:rsidRPr="003D5EE8">
        <w:rPr>
          <w:rStyle w:val="FootnoteReference"/>
        </w:rPr>
        <w:footnoteReference w:id="8"/>
      </w:r>
    </w:p>
    <w:p w14:paraId="1C7F333B" w14:textId="0187E733" w:rsidR="005F38C8" w:rsidRDefault="005F38C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F38C8" w14:paraId="7E5A7765" w14:textId="77777777" w:rsidTr="00DC5D02">
        <w:trPr>
          <w:tblHeader/>
        </w:trPr>
        <w:tc>
          <w:tcPr>
            <w:tcW w:w="5000" w:type="pct"/>
            <w:tcBorders>
              <w:top w:val="single" w:sz="6" w:space="0" w:color="2493D1"/>
              <w:left w:val="nil"/>
              <w:bottom w:val="nil"/>
              <w:right w:val="nil"/>
            </w:tcBorders>
            <w:shd w:val="clear" w:color="auto" w:fill="F2F2F2"/>
          </w:tcPr>
          <w:p w14:paraId="56DD2ED5" w14:textId="129E6610" w:rsidR="005F38C8" w:rsidRDefault="005F38C8">
            <w:pPr>
              <w:pStyle w:val="BoxTitle"/>
            </w:pPr>
            <w:r>
              <w:rPr>
                <w:b w:val="0"/>
              </w:rPr>
              <w:t xml:space="preserve">Box </w:t>
            </w:r>
            <w:r w:rsidR="00B464FC">
              <w:rPr>
                <w:b w:val="0"/>
              </w:rPr>
              <w:t>D.</w:t>
            </w:r>
            <w:r w:rsidR="00907E08">
              <w:rPr>
                <w:b w:val="0"/>
                <w:noProof/>
              </w:rPr>
              <w:t>2</w:t>
            </w:r>
            <w:r>
              <w:tab/>
              <w:t>Responsibilities of evaluation officers</w:t>
            </w:r>
            <w:r w:rsidR="00CD4582">
              <w:t xml:space="preserve"> in the United States</w:t>
            </w:r>
          </w:p>
        </w:tc>
      </w:tr>
      <w:tr w:rsidR="005F38C8" w14:paraId="5B4BB884" w14:textId="77777777" w:rsidTr="00F9621F">
        <w:tc>
          <w:tcPr>
            <w:tcW w:w="5000" w:type="pct"/>
            <w:tcBorders>
              <w:top w:val="nil"/>
              <w:left w:val="nil"/>
              <w:bottom w:val="nil"/>
              <w:right w:val="nil"/>
            </w:tcBorders>
            <w:shd w:val="clear" w:color="auto" w:fill="F2F2F2"/>
          </w:tcPr>
          <w:p w14:paraId="6FA34B9C" w14:textId="5E56B87F" w:rsidR="005F38C8" w:rsidRDefault="005F38C8" w:rsidP="005F38C8">
            <w:pPr>
              <w:pStyle w:val="Box"/>
            </w:pPr>
            <w:r>
              <w:t xml:space="preserve">The expected responsibilities of evaluation officers are spelled out in a </w:t>
            </w:r>
            <w:r w:rsidR="004C3EE9">
              <w:t xml:space="preserve">circular </w:t>
            </w:r>
            <w:r>
              <w:t xml:space="preserve">sent from the </w:t>
            </w:r>
            <w:r w:rsidR="004C0EDC">
              <w:t>Executive Office of the President</w:t>
            </w:r>
            <w:r w:rsidR="004C3EE9">
              <w:t xml:space="preserve"> </w:t>
            </w:r>
            <w:r w:rsidR="00E54BC9">
              <w:t>regarding</w:t>
            </w:r>
            <w:r w:rsidR="004C3EE9">
              <w:t xml:space="preserve"> the preparation, submission and execution of the budget</w:t>
            </w:r>
            <w:r w:rsidR="001E17AB">
              <w:t xml:space="preserve"> in December 2019</w:t>
            </w:r>
            <w:r>
              <w:t>. These responsibilities include (but are not limited to):</w:t>
            </w:r>
          </w:p>
          <w:p w14:paraId="66988B7E" w14:textId="52532AF8" w:rsidR="005F38C8" w:rsidRDefault="005F38C8" w:rsidP="005F38C8">
            <w:pPr>
              <w:pStyle w:val="BoxListBullet"/>
            </w:pPr>
            <w:r>
              <w:t>serv</w:t>
            </w:r>
            <w:r w:rsidR="0044380D">
              <w:t>ing</w:t>
            </w:r>
            <w:r>
              <w:t xml:space="preserve"> as an agency champion for</w:t>
            </w:r>
            <w:r w:rsidR="00C55CC9">
              <w:t xml:space="preserve"> —</w:t>
            </w:r>
            <w:r>
              <w:t xml:space="preserve"> and educator of</w:t>
            </w:r>
            <w:r w:rsidR="00C55CC9">
              <w:t xml:space="preserve"> —</w:t>
            </w:r>
            <w:r>
              <w:t xml:space="preserve"> agency staff and leaders about evaluation</w:t>
            </w:r>
          </w:p>
          <w:p w14:paraId="052C494D" w14:textId="5BA45A89" w:rsidR="005F38C8" w:rsidRDefault="005F38C8" w:rsidP="005F38C8">
            <w:pPr>
              <w:pStyle w:val="BoxListBullet"/>
            </w:pPr>
            <w:r>
              <w:t>serv</w:t>
            </w:r>
            <w:r w:rsidR="0044380D">
              <w:t>ing</w:t>
            </w:r>
            <w:r>
              <w:t xml:space="preserve"> as a senior advisor to agency leaders on issues of evaluation policy and practice</w:t>
            </w:r>
          </w:p>
          <w:p w14:paraId="0F04D15D" w14:textId="7205212F" w:rsidR="005F38C8" w:rsidRDefault="005F38C8" w:rsidP="005F38C8">
            <w:pPr>
              <w:pStyle w:val="BoxListBullet"/>
            </w:pPr>
            <w:r>
              <w:t>serv</w:t>
            </w:r>
            <w:r w:rsidR="0044380D">
              <w:t>ing</w:t>
            </w:r>
            <w:r>
              <w:t xml:space="preserve"> as a senior agency contact on evaluation for agency</w:t>
            </w:r>
            <w:r w:rsidR="00BB23BC">
              <w:noBreakHyphen/>
            </w:r>
            <w:r>
              <w:t>wide and cross</w:t>
            </w:r>
            <w:r w:rsidR="00BB23BC">
              <w:noBreakHyphen/>
            </w:r>
            <w:r>
              <w:t>cutting evaluation efforts</w:t>
            </w:r>
            <w:r w:rsidR="00271FDE">
              <w:t>.</w:t>
            </w:r>
          </w:p>
          <w:p w14:paraId="32B5623C" w14:textId="38072201" w:rsidR="004C3EE9" w:rsidRDefault="004C3EE9" w:rsidP="004C3EE9">
            <w:pPr>
              <w:pStyle w:val="Box"/>
            </w:pPr>
            <w:r>
              <w:t>Evaluation officers also oversee or conduct:</w:t>
            </w:r>
          </w:p>
          <w:p w14:paraId="46E08DB7" w14:textId="12F27E73" w:rsidR="005F38C8" w:rsidRDefault="005F38C8" w:rsidP="005F38C8">
            <w:pPr>
              <w:pStyle w:val="BoxListBullet"/>
            </w:pPr>
            <w:r>
              <w:t>assessments of the coverage, quality, methods, effectiveness, objectivity, scientific integrity and balance of the portfolio of evaluations, policy research and ongoing evaluation activities of their agency</w:t>
            </w:r>
          </w:p>
          <w:p w14:paraId="2FA97069" w14:textId="212F5FD9" w:rsidR="005F38C8" w:rsidRDefault="005F38C8" w:rsidP="005F38C8">
            <w:pPr>
              <w:pStyle w:val="BoxListBullet"/>
            </w:pPr>
            <w:r>
              <w:t xml:space="preserve">improvements </w:t>
            </w:r>
            <w:r w:rsidR="00AF2380">
              <w:t>of</w:t>
            </w:r>
            <w:r>
              <w:t xml:space="preserve"> agency capacity to support the development and use of evaluation, </w:t>
            </w:r>
            <w:r w:rsidR="009B61D1">
              <w:t xml:space="preserve">coordinating </w:t>
            </w:r>
            <w:r>
              <w:t xml:space="preserve">and </w:t>
            </w:r>
            <w:r w:rsidR="009B61D1">
              <w:t xml:space="preserve">increasing </w:t>
            </w:r>
            <w:r>
              <w:t xml:space="preserve">technical expertise available for evaluation and </w:t>
            </w:r>
            <w:r w:rsidR="009B61D1">
              <w:t xml:space="preserve">improving </w:t>
            </w:r>
            <w:r>
              <w:t>the quality of evaluations and knowledge of evaluation methodology and standards</w:t>
            </w:r>
          </w:p>
          <w:p w14:paraId="124A3833" w14:textId="7CF292C6" w:rsidR="005F38C8" w:rsidRDefault="005F38C8" w:rsidP="005F38C8">
            <w:pPr>
              <w:pStyle w:val="BoxListBullet"/>
            </w:pPr>
            <w:r>
              <w:t xml:space="preserve">the establishment and implementation of an agency evaluation policy that affirms the agency’s commitment to conducting </w:t>
            </w:r>
            <w:r w:rsidR="00F86ECB">
              <w:t>rigorous</w:t>
            </w:r>
            <w:r>
              <w:t xml:space="preserve">, relevant evaluations and to using evidence from evaluations to inform policy and practice </w:t>
            </w:r>
          </w:p>
          <w:p w14:paraId="445ABE04" w14:textId="40818804" w:rsidR="005F38C8" w:rsidRDefault="005F38C8" w:rsidP="005F38C8">
            <w:pPr>
              <w:pStyle w:val="BoxListBullet"/>
            </w:pPr>
            <w:r>
              <w:t>the</w:t>
            </w:r>
            <w:r w:rsidR="00F45B79">
              <w:t xml:space="preserve"> required</w:t>
            </w:r>
            <w:r>
              <w:t xml:space="preserve"> coordination, development and implementation of plans required under the Act, including annual evaluation plans</w:t>
            </w:r>
          </w:p>
          <w:p w14:paraId="68386FD9" w14:textId="7E1B12BC" w:rsidR="005F38C8" w:rsidRDefault="005F38C8" w:rsidP="005F38C8">
            <w:pPr>
              <w:pStyle w:val="BoxListBullet"/>
            </w:pPr>
            <w:r>
              <w:t>the development of new or improve</w:t>
            </w:r>
            <w:r w:rsidR="009A23F9">
              <w:t>d</w:t>
            </w:r>
            <w:r>
              <w:t xml:space="preserve"> processes to integrate evaluation findings into agency decision</w:t>
            </w:r>
            <w:r w:rsidR="00BB23BC">
              <w:noBreakHyphen/>
            </w:r>
            <w:r>
              <w:t>making and other functions</w:t>
            </w:r>
          </w:p>
          <w:p w14:paraId="5827D436" w14:textId="3009B12C" w:rsidR="005F38C8" w:rsidRDefault="005F38C8" w:rsidP="005F38C8">
            <w:pPr>
              <w:pStyle w:val="BoxListBullet"/>
            </w:pPr>
            <w:r>
              <w:t>management of agency</w:t>
            </w:r>
            <w:r w:rsidR="00BB23BC">
              <w:noBreakHyphen/>
            </w:r>
            <w:r>
              <w:t>wide evaluation standards and requirements to ensure the scientific integrity of the agency’s evaluation activities</w:t>
            </w:r>
          </w:p>
          <w:p w14:paraId="0B05098A" w14:textId="22F4987B" w:rsidR="005F38C8" w:rsidRDefault="005F38C8" w:rsidP="00C55CC9">
            <w:pPr>
              <w:pStyle w:val="BoxListBullet"/>
            </w:pPr>
            <w:r>
              <w:t>the use and dissemination of evaluation results throughout the agency and to the public, as appropriate.</w:t>
            </w:r>
          </w:p>
        </w:tc>
      </w:tr>
      <w:tr w:rsidR="005F38C8" w14:paraId="2C5C653A" w14:textId="77777777" w:rsidTr="00F9621F">
        <w:tc>
          <w:tcPr>
            <w:tcW w:w="5000" w:type="pct"/>
            <w:tcBorders>
              <w:top w:val="nil"/>
              <w:left w:val="nil"/>
              <w:bottom w:val="nil"/>
              <w:right w:val="nil"/>
            </w:tcBorders>
            <w:shd w:val="clear" w:color="auto" w:fill="F2F2F2"/>
          </w:tcPr>
          <w:p w14:paraId="02F28170" w14:textId="15E68936" w:rsidR="005F38C8" w:rsidRDefault="005F38C8" w:rsidP="00F45B79">
            <w:pPr>
              <w:pStyle w:val="BoxSource"/>
            </w:pPr>
            <w:r>
              <w:rPr>
                <w:i/>
              </w:rPr>
              <w:t>Source</w:t>
            </w:r>
            <w:r w:rsidRPr="00167F06">
              <w:t>:</w:t>
            </w:r>
            <w:r w:rsidR="00F45B79">
              <w:t xml:space="preserve"> Executive Office of the President</w:t>
            </w:r>
            <w:r w:rsidRPr="00167F06">
              <w:t xml:space="preserve"> </w:t>
            </w:r>
            <w:r w:rsidR="00F45B79" w:rsidRPr="00F45B79">
              <w:rPr>
                <w:rFonts w:cs="Arial"/>
              </w:rPr>
              <w:t>(2019b s. 290.4)</w:t>
            </w:r>
            <w:r w:rsidR="00F45B79">
              <w:t>.</w:t>
            </w:r>
          </w:p>
        </w:tc>
      </w:tr>
      <w:tr w:rsidR="005F38C8" w14:paraId="0AC94041" w14:textId="77777777" w:rsidTr="00DC5D02">
        <w:tc>
          <w:tcPr>
            <w:tcW w:w="5000" w:type="pct"/>
            <w:tcBorders>
              <w:top w:val="nil"/>
              <w:left w:val="nil"/>
              <w:bottom w:val="single" w:sz="6" w:space="0" w:color="2493D1"/>
              <w:right w:val="nil"/>
            </w:tcBorders>
            <w:shd w:val="clear" w:color="auto" w:fill="F2F2F2"/>
          </w:tcPr>
          <w:p w14:paraId="6FA43D1C" w14:textId="77777777" w:rsidR="005F38C8" w:rsidRDefault="005F38C8">
            <w:pPr>
              <w:pStyle w:val="Box"/>
              <w:spacing w:before="0" w:line="120" w:lineRule="exact"/>
            </w:pPr>
          </w:p>
        </w:tc>
      </w:tr>
      <w:tr w:rsidR="005F38C8" w:rsidRPr="000863A5" w14:paraId="13744EB4" w14:textId="77777777" w:rsidTr="00DC5D02">
        <w:tc>
          <w:tcPr>
            <w:tcW w:w="5000" w:type="pct"/>
            <w:tcBorders>
              <w:top w:val="single" w:sz="6" w:space="0" w:color="2493D1"/>
              <w:left w:val="nil"/>
              <w:bottom w:val="nil"/>
              <w:right w:val="nil"/>
            </w:tcBorders>
          </w:tcPr>
          <w:p w14:paraId="65B2B270" w14:textId="55BD3238" w:rsidR="005F38C8" w:rsidRPr="00626D32" w:rsidRDefault="005F38C8" w:rsidP="00F9621F">
            <w:pPr>
              <w:pStyle w:val="BoxSpaceBelow"/>
            </w:pPr>
          </w:p>
        </w:tc>
      </w:tr>
    </w:tbl>
    <w:p w14:paraId="4FAD82BB" w14:textId="00BFC532" w:rsidR="004A21B8" w:rsidRPr="004A21B8" w:rsidRDefault="00B464FC" w:rsidP="00274018">
      <w:pPr>
        <w:pStyle w:val="Heading2"/>
      </w:pPr>
      <w:r>
        <w:t>D.</w:t>
      </w:r>
      <w:r w:rsidR="00907E08">
        <w:rPr>
          <w:noProof/>
        </w:rPr>
        <w:t>2</w:t>
      </w:r>
      <w:r w:rsidR="004A21B8">
        <w:tab/>
        <w:t xml:space="preserve">Approaches to </w:t>
      </w:r>
      <w:r w:rsidR="00BA3E4B">
        <w:t>promoting</w:t>
      </w:r>
      <w:r w:rsidR="004A21B8">
        <w:t xml:space="preserve"> evaluation quality</w:t>
      </w:r>
    </w:p>
    <w:p w14:paraId="5A264844" w14:textId="718076EB" w:rsidR="0025024F" w:rsidRDefault="00B03554" w:rsidP="00843021">
      <w:pPr>
        <w:pStyle w:val="BodyText"/>
      </w:pPr>
      <w:r>
        <w:t>Governments (in countries both with and without central evaluation frameworks) have adopted a range of approaches to encourage their agencies to produce high</w:t>
      </w:r>
      <w:r w:rsidR="00BB23BC">
        <w:noBreakHyphen/>
      </w:r>
      <w:r>
        <w:t>quality evaluations. These approaches include</w:t>
      </w:r>
      <w:r w:rsidR="00F0001A">
        <w:t xml:space="preserve"> </w:t>
      </w:r>
      <w:r w:rsidR="00B55E12">
        <w:t>(</w:t>
      </w:r>
      <w:r w:rsidR="00F0001A">
        <w:t>but are not limited to</w:t>
      </w:r>
      <w:r w:rsidR="00B55E12">
        <w:t>)</w:t>
      </w:r>
      <w:r>
        <w:t xml:space="preserve">: </w:t>
      </w:r>
    </w:p>
    <w:p w14:paraId="4624143F" w14:textId="25D3E3C5" w:rsidR="00B03554" w:rsidRDefault="004719AF" w:rsidP="00B03554">
      <w:pPr>
        <w:pStyle w:val="ListBullet"/>
      </w:pPr>
      <w:r>
        <w:t xml:space="preserve">developing </w:t>
      </w:r>
      <w:r w:rsidR="000D042D">
        <w:t xml:space="preserve">evaluation guidelines </w:t>
      </w:r>
    </w:p>
    <w:p w14:paraId="6607E7C4" w14:textId="5EB9D3EF" w:rsidR="000D042D" w:rsidRDefault="000D042D" w:rsidP="00B03554">
      <w:pPr>
        <w:pStyle w:val="ListBullet"/>
      </w:pPr>
      <w:r>
        <w:t xml:space="preserve">developing and promoting </w:t>
      </w:r>
      <w:r w:rsidR="004E7C2D">
        <w:t>evaluator</w:t>
      </w:r>
      <w:r>
        <w:t xml:space="preserve"> competencies</w:t>
      </w:r>
    </w:p>
    <w:p w14:paraId="585334FA" w14:textId="79964E4E" w:rsidR="000D042D" w:rsidRDefault="000D042D" w:rsidP="00B03554">
      <w:pPr>
        <w:pStyle w:val="ListBullet"/>
      </w:pPr>
      <w:r>
        <w:t xml:space="preserve">using review mechanisms to </w:t>
      </w:r>
      <w:r w:rsidR="007D4556">
        <w:t xml:space="preserve">promote </w:t>
      </w:r>
      <w:r>
        <w:t>evaluation quality</w:t>
      </w:r>
      <w:r w:rsidR="00EF6FA3">
        <w:t xml:space="preserve"> </w:t>
      </w:r>
      <w:r w:rsidR="007F78E7" w:rsidRPr="007F78E7">
        <w:rPr>
          <w:szCs w:val="24"/>
        </w:rPr>
        <w:t>(OECD 2020a, p. 68)</w:t>
      </w:r>
      <w:r w:rsidR="00527574">
        <w:t>.</w:t>
      </w:r>
    </w:p>
    <w:p w14:paraId="7F9395CC" w14:textId="070C8272" w:rsidR="000D042D" w:rsidRPr="0061539D" w:rsidRDefault="000D042D" w:rsidP="000D042D">
      <w:pPr>
        <w:pStyle w:val="Heading3"/>
      </w:pPr>
      <w:r>
        <w:lastRenderedPageBreak/>
        <w:t xml:space="preserve">Developing </w:t>
      </w:r>
      <w:r w:rsidR="004E2C2B">
        <w:t>evaluation</w:t>
      </w:r>
      <w:r>
        <w:t xml:space="preserve"> guidelines</w:t>
      </w:r>
    </w:p>
    <w:p w14:paraId="58C89D40" w14:textId="443A4C3B" w:rsidR="004E2C2B" w:rsidRDefault="00A30060" w:rsidP="004E2C2B">
      <w:pPr>
        <w:pStyle w:val="BodyText"/>
      </w:pPr>
      <w:r>
        <w:t>E</w:t>
      </w:r>
      <w:r w:rsidR="000D042D">
        <w:t xml:space="preserve">valuation guidelines </w:t>
      </w:r>
      <w:r>
        <w:t xml:space="preserve">are </w:t>
      </w:r>
      <w:r w:rsidR="000D042D">
        <w:t>common</w:t>
      </w:r>
      <w:r>
        <w:t xml:space="preserve"> —</w:t>
      </w:r>
      <w:r w:rsidR="002605AF" w:rsidRPr="002605AF">
        <w:t xml:space="preserve"> </w:t>
      </w:r>
      <w:r w:rsidR="002605AF">
        <w:t>according to a recent survey,</w:t>
      </w:r>
      <w:r>
        <w:t xml:space="preserve"> </w:t>
      </w:r>
      <w:r w:rsidR="000D042D">
        <w:t>about three</w:t>
      </w:r>
      <w:r w:rsidR="00BB23BC">
        <w:noBreakHyphen/>
      </w:r>
      <w:r w:rsidR="000D042D">
        <w:t>quarters of OECD member countries have evaluation guidelines in place</w:t>
      </w:r>
      <w:r>
        <w:t xml:space="preserve"> </w:t>
      </w:r>
      <w:r w:rsidR="007F78E7" w:rsidRPr="007F78E7">
        <w:rPr>
          <w:szCs w:val="24"/>
        </w:rPr>
        <w:t>(OECD 2020a, p. 69)</w:t>
      </w:r>
      <w:r w:rsidR="000D042D">
        <w:t>. The guidelines contain a range of features designed to promote high</w:t>
      </w:r>
      <w:r w:rsidR="00BB23BC">
        <w:noBreakHyphen/>
      </w:r>
      <w:r w:rsidR="000D042D">
        <w:t>quality evaluations</w:t>
      </w:r>
      <w:r w:rsidR="000A7DFC">
        <w:t xml:space="preserve"> (figure</w:t>
      </w:r>
      <w:r w:rsidR="00271FDE">
        <w:t> </w:t>
      </w:r>
      <w:r w:rsidR="000A7DFC">
        <w:t>D.3)</w:t>
      </w:r>
      <w:r w:rsidR="000D042D">
        <w:t xml:space="preserve">. </w:t>
      </w:r>
      <w:r w:rsidR="004E2C2B">
        <w:t>Some of these features relate to technical aspects of evaluation (such as guidance on quality standards or evaluation design) while other</w:t>
      </w:r>
      <w:r w:rsidR="00BB2181">
        <w:t>s</w:t>
      </w:r>
      <w:r w:rsidR="004E2C2B">
        <w:t xml:space="preserve"> centre on promoting good evaluation governance arrangements (such as guidance on how to promote evaluation independence).</w:t>
      </w:r>
    </w:p>
    <w:p w14:paraId="097225C5" w14:textId="6708499D" w:rsidR="00680BCD" w:rsidRDefault="00680BCD" w:rsidP="00680BC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80BCD" w14:paraId="3882BDBA" w14:textId="77777777" w:rsidTr="003C3A72">
        <w:trPr>
          <w:tblHeader/>
        </w:trPr>
        <w:tc>
          <w:tcPr>
            <w:tcW w:w="5000" w:type="pct"/>
            <w:tcBorders>
              <w:top w:val="single" w:sz="6" w:space="0" w:color="2493D1"/>
              <w:left w:val="nil"/>
              <w:bottom w:val="nil"/>
              <w:right w:val="nil"/>
            </w:tcBorders>
            <w:shd w:val="clear" w:color="auto" w:fill="auto"/>
          </w:tcPr>
          <w:p w14:paraId="7B1FA684" w14:textId="5859766E" w:rsidR="00680BCD" w:rsidRDefault="00680BCD" w:rsidP="00F9621F">
            <w:pPr>
              <w:pStyle w:val="FigureTitle"/>
              <w:tabs>
                <w:tab w:val="left" w:pos="720"/>
                <w:tab w:val="left" w:pos="1440"/>
                <w:tab w:val="left" w:pos="2467"/>
              </w:tabs>
            </w:pPr>
            <w:r w:rsidRPr="00784A05">
              <w:rPr>
                <w:b w:val="0"/>
              </w:rPr>
              <w:t xml:space="preserve">Figure </w:t>
            </w:r>
            <w:r w:rsidR="00B464FC">
              <w:rPr>
                <w:b w:val="0"/>
              </w:rPr>
              <w:t>D.</w:t>
            </w:r>
            <w:r w:rsidR="00907E08">
              <w:rPr>
                <w:b w:val="0"/>
                <w:noProof/>
              </w:rPr>
              <w:t>3</w:t>
            </w:r>
            <w:r>
              <w:tab/>
              <w:t>Evaluation guidelines provide guidance on a wide range of matters</w:t>
            </w:r>
          </w:p>
          <w:p w14:paraId="08441FC0" w14:textId="37984482" w:rsidR="00680BCD" w:rsidRPr="00176D3F" w:rsidRDefault="00680BCD" w:rsidP="00F9621F">
            <w:pPr>
              <w:pStyle w:val="Subtitle"/>
            </w:pPr>
            <w:r>
              <w:t>Per cent of evaluation guidelines that contain</w:t>
            </w:r>
            <w:r w:rsidR="00273FDE">
              <w:t xml:space="preserve"> guidance on</w:t>
            </w:r>
            <w:r>
              <w:t xml:space="preserve"> the identified element (OECD member countries only)</w:t>
            </w:r>
          </w:p>
        </w:tc>
      </w:tr>
      <w:tr w:rsidR="00680BCD" w14:paraId="759C236D" w14:textId="77777777" w:rsidTr="00F9621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680BCD" w:rsidRPr="00B1465D" w14:paraId="68376E39" w14:textId="77777777" w:rsidTr="00F9621F">
              <w:trPr>
                <w:tblHeader/>
                <w:jc w:val="center"/>
              </w:trPr>
              <w:tc>
                <w:tcPr>
                  <w:tcW w:w="5000" w:type="pct"/>
                  <w:tcBorders>
                    <w:top w:val="nil"/>
                    <w:bottom w:val="nil"/>
                  </w:tcBorders>
                </w:tcPr>
                <w:p w14:paraId="0AB54C29" w14:textId="2F183CC4" w:rsidR="00680BCD" w:rsidRPr="00B1465D" w:rsidRDefault="00901E84" w:rsidP="00F9621F">
                  <w:pPr>
                    <w:pStyle w:val="Figure"/>
                    <w:spacing w:before="60" w:after="60"/>
                    <w:rPr>
                      <w:rFonts w:ascii="Arial" w:hAnsi="Arial" w:cs="Arial"/>
                      <w:sz w:val="18"/>
                      <w:szCs w:val="18"/>
                    </w:rPr>
                  </w:pPr>
                  <w:r w:rsidRPr="00901E84">
                    <w:rPr>
                      <w:rFonts w:ascii="Arial" w:hAnsi="Arial" w:cs="Arial"/>
                      <w:noProof/>
                      <w:sz w:val="18"/>
                      <w:szCs w:val="18"/>
                    </w:rPr>
                    <w:drawing>
                      <wp:inline distT="0" distB="0" distL="0" distR="0" wp14:anchorId="3DC17B58" wp14:editId="3136D269">
                        <wp:extent cx="5401945" cy="3979545"/>
                        <wp:effectExtent l="0" t="0" r="0" b="1905"/>
                        <wp:docPr id="4" name="Picture 4" descr="This is a bar chart showing the types the features of evaluation guidelines of OECD member countries. &#10;• 38 per cent of guidelines had guidance on the course of action for commissioning evaluations&#10;• 42 percent had guidance on the establishment of a calendar for policy evaluation&#10;• 42 per cent had guidance on the ethical conduct of evaluations&#10;• 54 per cent had guidance on the identification of human and financial resources&#10;• 65 per cent had guidance on the design of data collection methods&#10;• 65 per cent had guidance on the independence of evaluations&#10;• 69 per cent had guidance on the identification and design of evaluation approaches&#10;• 73 per cent had guidance on the quality standards of evaluation&#10;" title="Figure D.3 Evaluation guidelines provide guidance on a wide range of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1945" cy="3979545"/>
                                </a:xfrm>
                                <a:prstGeom prst="rect">
                                  <a:avLst/>
                                </a:prstGeom>
                                <a:noFill/>
                                <a:ln>
                                  <a:noFill/>
                                </a:ln>
                              </pic:spPr>
                            </pic:pic>
                          </a:graphicData>
                        </a:graphic>
                      </wp:inline>
                    </w:drawing>
                  </w:r>
                </w:p>
              </w:tc>
            </w:tr>
          </w:tbl>
          <w:p w14:paraId="318C7CCA" w14:textId="77777777" w:rsidR="00680BCD" w:rsidRDefault="00680BCD" w:rsidP="00F9621F">
            <w:pPr>
              <w:pStyle w:val="Figure"/>
            </w:pPr>
          </w:p>
        </w:tc>
      </w:tr>
      <w:tr w:rsidR="00680BCD" w:rsidRPr="00176D3F" w14:paraId="010CF3A3" w14:textId="77777777" w:rsidTr="00F9621F">
        <w:tc>
          <w:tcPr>
            <w:tcW w:w="5000" w:type="pct"/>
            <w:tcBorders>
              <w:top w:val="nil"/>
              <w:left w:val="nil"/>
              <w:bottom w:val="nil"/>
              <w:right w:val="nil"/>
            </w:tcBorders>
            <w:shd w:val="clear" w:color="auto" w:fill="auto"/>
          </w:tcPr>
          <w:p w14:paraId="18FEC65F" w14:textId="10B0B7A8" w:rsidR="00680BCD" w:rsidRPr="00176D3F" w:rsidRDefault="00680BCD" w:rsidP="007F78E7">
            <w:pPr>
              <w:pStyle w:val="Source"/>
            </w:pPr>
            <w:r w:rsidRPr="00784A05">
              <w:rPr>
                <w:i/>
              </w:rPr>
              <w:t>Data source</w:t>
            </w:r>
            <w:r w:rsidRPr="00176D3F">
              <w:t xml:space="preserve">: </w:t>
            </w:r>
            <w:r w:rsidR="00F435BC">
              <w:t xml:space="preserve">OECD </w:t>
            </w:r>
            <w:r w:rsidR="007F78E7" w:rsidRPr="007F78E7">
              <w:rPr>
                <w:rFonts w:cs="Arial"/>
                <w:szCs w:val="24"/>
              </w:rPr>
              <w:t>(2020a, p. 71)</w:t>
            </w:r>
            <w:r w:rsidR="00CB0950">
              <w:t>.</w:t>
            </w:r>
          </w:p>
        </w:tc>
      </w:tr>
      <w:tr w:rsidR="00680BCD" w14:paraId="294ABAAC" w14:textId="77777777" w:rsidTr="003C3A72">
        <w:tc>
          <w:tcPr>
            <w:tcW w:w="5000" w:type="pct"/>
            <w:tcBorders>
              <w:top w:val="nil"/>
              <w:left w:val="nil"/>
              <w:bottom w:val="single" w:sz="6" w:space="0" w:color="2493D1"/>
              <w:right w:val="nil"/>
            </w:tcBorders>
            <w:shd w:val="clear" w:color="auto" w:fill="auto"/>
          </w:tcPr>
          <w:p w14:paraId="68EB633B" w14:textId="77777777" w:rsidR="00680BCD" w:rsidRDefault="00680BCD" w:rsidP="00F9621F">
            <w:pPr>
              <w:pStyle w:val="Figurespace"/>
            </w:pPr>
          </w:p>
        </w:tc>
      </w:tr>
      <w:tr w:rsidR="00680BCD" w:rsidRPr="000863A5" w14:paraId="0C282225" w14:textId="77777777" w:rsidTr="003C3A72">
        <w:tc>
          <w:tcPr>
            <w:tcW w:w="5000" w:type="pct"/>
            <w:tcBorders>
              <w:top w:val="single" w:sz="6" w:space="0" w:color="2493D1"/>
              <w:left w:val="nil"/>
              <w:bottom w:val="nil"/>
              <w:right w:val="nil"/>
            </w:tcBorders>
          </w:tcPr>
          <w:p w14:paraId="32E812DB" w14:textId="43FCF16A" w:rsidR="00680BCD" w:rsidRPr="00626D32" w:rsidRDefault="00680BCD" w:rsidP="00F9621F">
            <w:pPr>
              <w:pStyle w:val="BoxSpaceBelow"/>
            </w:pPr>
          </w:p>
        </w:tc>
      </w:tr>
    </w:tbl>
    <w:p w14:paraId="5C9DB516" w14:textId="4434415E" w:rsidR="00722655" w:rsidRDefault="00722655" w:rsidP="00722655">
      <w:pPr>
        <w:pStyle w:val="BodyText"/>
      </w:pPr>
      <w:r>
        <w:t xml:space="preserve">The Magenta </w:t>
      </w:r>
      <w:r w:rsidR="00271FDE">
        <w:t>Book</w:t>
      </w:r>
      <w:r>
        <w:t xml:space="preserve">, published by the </w:t>
      </w:r>
      <w:r>
        <w:rPr>
          <w:b/>
        </w:rPr>
        <w:t>UK</w:t>
      </w:r>
      <w:r>
        <w:t xml:space="preserve"> Treasury Department (HM Treasury), for example, provides guidance on evaluation for UK </w:t>
      </w:r>
      <w:r w:rsidR="00F335B5">
        <w:t xml:space="preserve">government </w:t>
      </w:r>
      <w:r>
        <w:t xml:space="preserve">departments </w:t>
      </w:r>
      <w:r w:rsidRPr="002E16E9">
        <w:rPr>
          <w:szCs w:val="24"/>
        </w:rPr>
        <w:t>(HM Treasury</w:t>
      </w:r>
      <w:r w:rsidRPr="002D25F9">
        <w:rPr>
          <w:szCs w:val="24"/>
        </w:rPr>
        <w:t> </w:t>
      </w:r>
      <w:r w:rsidRPr="008940AB">
        <w:rPr>
          <w:szCs w:val="24"/>
        </w:rPr>
        <w:t>2020c)</w:t>
      </w:r>
      <w:r>
        <w:t xml:space="preserve">. The Magenta Book is one of a series of guides produced by HM Treasury to better incorporate evidence into policymaking — other resources include the Green Book </w:t>
      </w:r>
      <w:r w:rsidRPr="000E13FB">
        <w:rPr>
          <w:szCs w:val="24"/>
        </w:rPr>
        <w:t>(HM Treasury 2018)</w:t>
      </w:r>
      <w:r>
        <w:t xml:space="preserve">, which assists agencies to appraise policy options (with a focus on </w:t>
      </w:r>
      <w:r>
        <w:lastRenderedPageBreak/>
        <w:t>cost</w:t>
      </w:r>
      <w:r>
        <w:noBreakHyphen/>
        <w:t xml:space="preserve">benefit analysis), and the Aqua Book </w:t>
      </w:r>
      <w:r w:rsidRPr="000E13FB">
        <w:rPr>
          <w:szCs w:val="24"/>
        </w:rPr>
        <w:t>(HM Treasury 2015)</w:t>
      </w:r>
      <w:r>
        <w:t>, which provides guidance on producing (and commissioning) high quality analysis to inform policymaking.</w:t>
      </w:r>
    </w:p>
    <w:p w14:paraId="2938E509" w14:textId="554C58B8" w:rsidR="00722655" w:rsidRDefault="00722655" w:rsidP="00722655">
      <w:pPr>
        <w:pStyle w:val="BodyText"/>
      </w:pPr>
      <w:r>
        <w:t xml:space="preserve">The Magenta Book provides guidance on: evaluation scoping; methods; data; managing evaluations; the use and dissemination of findings; and capabilities that evaluation managers should have. The Book also outlines some principles that can be used to guide </w:t>
      </w:r>
      <w:r w:rsidR="00EF7B9F">
        <w:t>decision </w:t>
      </w:r>
      <w:r>
        <w:t>making to maintain high</w:t>
      </w:r>
      <w:r w:rsidR="00893A1A">
        <w:noBreakHyphen/>
      </w:r>
      <w:r>
        <w:t xml:space="preserve">quality evaluation (box D.3). </w:t>
      </w:r>
    </w:p>
    <w:p w14:paraId="06B74E29" w14:textId="59C64021" w:rsidR="00722655" w:rsidRDefault="00722655" w:rsidP="007226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22655" w14:paraId="0707A0E6" w14:textId="77777777" w:rsidTr="007C2E91">
        <w:trPr>
          <w:tblHeader/>
        </w:trPr>
        <w:tc>
          <w:tcPr>
            <w:tcW w:w="5000" w:type="pct"/>
            <w:tcBorders>
              <w:top w:val="single" w:sz="6" w:space="0" w:color="2493D1"/>
              <w:left w:val="nil"/>
              <w:bottom w:val="nil"/>
              <w:right w:val="nil"/>
            </w:tcBorders>
            <w:shd w:val="clear" w:color="auto" w:fill="F2F2F2"/>
          </w:tcPr>
          <w:p w14:paraId="413E1DBD" w14:textId="3C3EAF59" w:rsidR="00722655" w:rsidRDefault="00722655" w:rsidP="00EF7B9F">
            <w:pPr>
              <w:pStyle w:val="BoxTitle"/>
            </w:pPr>
            <w:r>
              <w:rPr>
                <w:b w:val="0"/>
              </w:rPr>
              <w:t xml:space="preserve">Box </w:t>
            </w:r>
            <w:r w:rsidR="00B464FC">
              <w:rPr>
                <w:b w:val="0"/>
              </w:rPr>
              <w:t>D.</w:t>
            </w:r>
            <w:r>
              <w:rPr>
                <w:b w:val="0"/>
              </w:rPr>
              <w:t>3</w:t>
            </w:r>
            <w:r>
              <w:tab/>
              <w:t>Evaluation principles set out in the Magenta Book</w:t>
            </w:r>
          </w:p>
        </w:tc>
      </w:tr>
      <w:tr w:rsidR="00722655" w14:paraId="34FA9375" w14:textId="77777777" w:rsidTr="00EF7B9F">
        <w:tc>
          <w:tcPr>
            <w:tcW w:w="5000" w:type="pct"/>
            <w:tcBorders>
              <w:top w:val="nil"/>
              <w:left w:val="nil"/>
              <w:bottom w:val="nil"/>
              <w:right w:val="nil"/>
            </w:tcBorders>
            <w:shd w:val="clear" w:color="auto" w:fill="F2F2F2"/>
          </w:tcPr>
          <w:p w14:paraId="4AB444BC" w14:textId="77777777" w:rsidR="00722655" w:rsidRDefault="00722655" w:rsidP="00EF7B9F">
            <w:pPr>
              <w:pStyle w:val="Box"/>
            </w:pPr>
            <w:r>
              <w:t>The Magenta Book outlines four principles to guide decision making with respect to evaluation. These principles are:</w:t>
            </w:r>
          </w:p>
          <w:p w14:paraId="00BDCE72" w14:textId="77777777" w:rsidR="00722655" w:rsidRDefault="00722655" w:rsidP="00EF7B9F">
            <w:pPr>
              <w:pStyle w:val="BoxListBullet"/>
            </w:pPr>
            <w:r>
              <w:rPr>
                <w:b/>
              </w:rPr>
              <w:t xml:space="preserve">Useful </w:t>
            </w:r>
            <w:r>
              <w:t xml:space="preserve">— an evaluation is of high quality when it is designed to meet the needs of stakeholders and ‘produces useful, usable outputs at the right point in time’. </w:t>
            </w:r>
          </w:p>
          <w:p w14:paraId="0CA59F58" w14:textId="77777777" w:rsidR="00722655" w:rsidRDefault="00722655" w:rsidP="00EF7B9F">
            <w:pPr>
              <w:pStyle w:val="BoxListBullet"/>
            </w:pPr>
            <w:r>
              <w:rPr>
                <w:b/>
              </w:rPr>
              <w:t xml:space="preserve">Credible </w:t>
            </w:r>
            <w:r>
              <w:t>— credibility and usefulness go hand in hand. Objectivity is often important to producing a credible evaluation and transparency is also crucial.</w:t>
            </w:r>
          </w:p>
          <w:p w14:paraId="48DEA1BA" w14:textId="143C3976" w:rsidR="00722655" w:rsidRDefault="00722655" w:rsidP="00EF7B9F">
            <w:pPr>
              <w:pStyle w:val="BoxListBullet"/>
            </w:pPr>
            <w:r>
              <w:rPr>
                <w:b/>
              </w:rPr>
              <w:t xml:space="preserve">Robust </w:t>
            </w:r>
            <w:r>
              <w:t>— evaluations should be well</w:t>
            </w:r>
            <w:r>
              <w:noBreakHyphen/>
              <w:t>designed, utilise an appropriate evaluation approach and methods, and be well executed. When measuring impact, the evaluation approach should undertake comparisons, either across time, between groups, or between alternative theories. Using peer review and independent steering is identified as a way to quality assure an evaluation’s design and execution.</w:t>
            </w:r>
          </w:p>
          <w:p w14:paraId="1FEF28BD" w14:textId="6B6A72D2" w:rsidR="00722655" w:rsidRDefault="00722655" w:rsidP="00B019C2">
            <w:pPr>
              <w:pStyle w:val="BoxListBullet"/>
            </w:pPr>
            <w:r>
              <w:rPr>
                <w:b/>
              </w:rPr>
              <w:t xml:space="preserve">Proportionate </w:t>
            </w:r>
            <w:r>
              <w:t>— not all interventions require the same amount of scrutiny or have the same needs for learning, and at times, a light</w:t>
            </w:r>
            <w:r>
              <w:noBreakHyphen/>
              <w:t>touch monitoring and evaluation approach may be all that is needed. The Book outlines a criteria for ‘priority’ interventions that require ‘substantial’ evaluations.</w:t>
            </w:r>
            <w:r>
              <w:rPr>
                <w:b/>
              </w:rPr>
              <w:t xml:space="preserve"> </w:t>
            </w:r>
            <w:r w:rsidR="00F328A7">
              <w:t xml:space="preserve">The </w:t>
            </w:r>
            <w:r>
              <w:t>criteria include interventions that: are high profile policies; have high levels of uncertainty or risk; are high cost; and have high learning potential.</w:t>
            </w:r>
          </w:p>
        </w:tc>
      </w:tr>
      <w:tr w:rsidR="00722655" w14:paraId="3A225B98" w14:textId="77777777" w:rsidTr="00EF7B9F">
        <w:tc>
          <w:tcPr>
            <w:tcW w:w="5000" w:type="pct"/>
            <w:tcBorders>
              <w:top w:val="nil"/>
              <w:left w:val="nil"/>
              <w:bottom w:val="nil"/>
              <w:right w:val="nil"/>
            </w:tcBorders>
            <w:shd w:val="clear" w:color="auto" w:fill="F2F2F2"/>
          </w:tcPr>
          <w:p w14:paraId="0BF7BD35" w14:textId="32F3E821" w:rsidR="00722655" w:rsidRDefault="00722655" w:rsidP="00EF7B9F">
            <w:pPr>
              <w:pStyle w:val="BoxSource"/>
            </w:pPr>
            <w:r>
              <w:rPr>
                <w:i/>
              </w:rPr>
              <w:t>Source</w:t>
            </w:r>
            <w:r w:rsidRPr="00167F06">
              <w:t xml:space="preserve">: </w:t>
            </w:r>
            <w:r>
              <w:t xml:space="preserve">HM Treasury </w:t>
            </w:r>
            <w:r w:rsidRPr="007C48C2">
              <w:rPr>
                <w:rFonts w:cs="Arial"/>
                <w:szCs w:val="24"/>
              </w:rPr>
              <w:t>(2020c, p. 16)</w:t>
            </w:r>
            <w:r>
              <w:t>.</w:t>
            </w:r>
          </w:p>
        </w:tc>
      </w:tr>
      <w:tr w:rsidR="00722655" w14:paraId="248E2979" w14:textId="77777777" w:rsidTr="007C2E91">
        <w:trPr>
          <w:trHeight w:val="140"/>
        </w:trPr>
        <w:tc>
          <w:tcPr>
            <w:tcW w:w="5000" w:type="pct"/>
            <w:tcBorders>
              <w:top w:val="nil"/>
              <w:left w:val="nil"/>
              <w:bottom w:val="single" w:sz="6" w:space="0" w:color="2493D1"/>
              <w:right w:val="nil"/>
            </w:tcBorders>
            <w:shd w:val="clear" w:color="auto" w:fill="F2F2F2"/>
          </w:tcPr>
          <w:p w14:paraId="532098AE" w14:textId="77777777" w:rsidR="00722655" w:rsidRDefault="00722655" w:rsidP="00EF7B9F">
            <w:pPr>
              <w:pStyle w:val="Box"/>
              <w:spacing w:before="0" w:line="120" w:lineRule="exact"/>
            </w:pPr>
          </w:p>
        </w:tc>
      </w:tr>
      <w:tr w:rsidR="00722655" w:rsidRPr="000863A5" w14:paraId="4AB7A4A1" w14:textId="77777777" w:rsidTr="007C2E91">
        <w:tc>
          <w:tcPr>
            <w:tcW w:w="5000" w:type="pct"/>
            <w:tcBorders>
              <w:top w:val="single" w:sz="6" w:space="0" w:color="2493D1"/>
              <w:left w:val="nil"/>
              <w:bottom w:val="nil"/>
              <w:right w:val="nil"/>
            </w:tcBorders>
          </w:tcPr>
          <w:p w14:paraId="7CD9CDC3" w14:textId="25971CEA" w:rsidR="00722655" w:rsidRPr="00626D32" w:rsidRDefault="00722655" w:rsidP="00EF7B9F">
            <w:pPr>
              <w:pStyle w:val="BoxSpaceBelow"/>
            </w:pPr>
          </w:p>
        </w:tc>
      </w:tr>
    </w:tbl>
    <w:p w14:paraId="65A37F24" w14:textId="4E1AF57E" w:rsidR="00D4246B" w:rsidRDefault="0032634B" w:rsidP="00680BCD">
      <w:pPr>
        <w:pStyle w:val="BodyText"/>
      </w:pPr>
      <w:r>
        <w:t>There are s</w:t>
      </w:r>
      <w:r w:rsidR="00C95D16">
        <w:t xml:space="preserve">everal supplementary papers </w:t>
      </w:r>
      <w:r>
        <w:t xml:space="preserve">to </w:t>
      </w:r>
      <w:r w:rsidR="00C95D16">
        <w:t>the Magenta Book</w:t>
      </w:r>
      <w:r w:rsidR="00035D84">
        <w:t>.</w:t>
      </w:r>
      <w:r w:rsidR="00C95D16">
        <w:t xml:space="preserve"> </w:t>
      </w:r>
      <w:r w:rsidR="00035D84">
        <w:t>These papers</w:t>
      </w:r>
      <w:r w:rsidR="00C95D16">
        <w:t xml:space="preserve"> provide</w:t>
      </w:r>
      <w:r w:rsidR="00E12A7B">
        <w:t xml:space="preserve"> additional</w:t>
      </w:r>
      <w:r w:rsidR="00C95D16">
        <w:t xml:space="preserve"> guidance</w:t>
      </w:r>
      <w:r w:rsidR="00E12A7B">
        <w:t xml:space="preserve"> to policymakers</w:t>
      </w:r>
      <w:r w:rsidR="00C95D16">
        <w:t xml:space="preserve"> on doing</w:t>
      </w:r>
      <w:r w:rsidR="00651BC3">
        <w:t xml:space="preserve"> </w:t>
      </w:r>
      <w:r w:rsidR="00C95D16">
        <w:t xml:space="preserve">evaluation well in specific contexts. This includes examining quality in the context of qualitative evaluations, </w:t>
      </w:r>
      <w:r w:rsidR="00CD4944">
        <w:t xml:space="preserve">examining quality in impact evaluation (with a focus on empirical impact evaluations), </w:t>
      </w:r>
      <w:r w:rsidR="00C95D16">
        <w:t>handling complexity in evaluations</w:t>
      </w:r>
      <w:r w:rsidR="00CD4944">
        <w:t xml:space="preserve">, and undertaking realist evaluations </w:t>
      </w:r>
      <w:r w:rsidR="00E04E04" w:rsidRPr="00E04E04">
        <w:rPr>
          <w:szCs w:val="24"/>
        </w:rPr>
        <w:t>(Campbell and Harper 2012; HM Treasury 2012, 2020b, 2020a)</w:t>
      </w:r>
      <w:r w:rsidR="00CD4944">
        <w:t xml:space="preserve">. </w:t>
      </w:r>
    </w:p>
    <w:p w14:paraId="5B1BC58E" w14:textId="2CF53FA2" w:rsidR="004E2C2B" w:rsidRDefault="00236ED1" w:rsidP="00680BCD">
      <w:pPr>
        <w:pStyle w:val="Heading3"/>
      </w:pPr>
      <w:r>
        <w:t>Establishing</w:t>
      </w:r>
      <w:r w:rsidR="00680BCD">
        <w:t xml:space="preserve"> and promoting evaluator competencies </w:t>
      </w:r>
    </w:p>
    <w:p w14:paraId="354DCD8A" w14:textId="24252251" w:rsidR="00680BCD" w:rsidRDefault="00E400D8" w:rsidP="00680BCD">
      <w:pPr>
        <w:pStyle w:val="BodyText"/>
      </w:pPr>
      <w:r>
        <w:t xml:space="preserve">Many </w:t>
      </w:r>
      <w:r w:rsidR="00680BCD">
        <w:t>OECD countries have developed mechanisms to support evaluators to develop their competencies</w:t>
      </w:r>
      <w:r w:rsidR="009B4BB1">
        <w:t xml:space="preserve"> </w:t>
      </w:r>
      <w:r w:rsidR="007F78E7" w:rsidRPr="007F78E7">
        <w:rPr>
          <w:szCs w:val="24"/>
        </w:rPr>
        <w:t>(OECD 2020a, p. 87)</w:t>
      </w:r>
      <w:r w:rsidR="00680BCD">
        <w:t xml:space="preserve">. This commonly takes the form of training, which is provided in many different ways. </w:t>
      </w:r>
      <w:r w:rsidR="000D59D5">
        <w:t>For example</w:t>
      </w:r>
      <w:r w:rsidR="00680BCD">
        <w:t>:</w:t>
      </w:r>
    </w:p>
    <w:p w14:paraId="04D2F117" w14:textId="721DEEC9" w:rsidR="00680BCD" w:rsidRDefault="00680BCD" w:rsidP="00680BCD">
      <w:pPr>
        <w:pStyle w:val="ListBullet"/>
      </w:pPr>
      <w:r>
        <w:t xml:space="preserve">In </w:t>
      </w:r>
      <w:r w:rsidRPr="00711C33">
        <w:rPr>
          <w:b/>
        </w:rPr>
        <w:t>Canada</w:t>
      </w:r>
      <w:r>
        <w:t xml:space="preserve">, the Treasury Board </w:t>
      </w:r>
      <w:r w:rsidR="008D5C0C">
        <w:t>Secretariat</w:t>
      </w:r>
      <w:r w:rsidR="006123D7">
        <w:t>, in collaboration with the Canada School of Public Service</w:t>
      </w:r>
      <w:r w:rsidR="008940AB">
        <w:t>,</w:t>
      </w:r>
      <w:r w:rsidR="008D5C0C">
        <w:t xml:space="preserve"> </w:t>
      </w:r>
      <w:r>
        <w:t xml:space="preserve">runs an evaluation learning series, with a focus on strategic evaluation for senior evaluators, managers and directors. Recent sessions in this series have focussed </w:t>
      </w:r>
      <w:r>
        <w:lastRenderedPageBreak/>
        <w:t>on evaluation planning,</w:t>
      </w:r>
      <w:r w:rsidR="00161AA6">
        <w:t xml:space="preserve"> evaluation</w:t>
      </w:r>
      <w:r>
        <w:t xml:space="preserve"> conduct and strategic communication</w:t>
      </w:r>
      <w:r w:rsidR="00161AA6">
        <w:t xml:space="preserve"> of evaluation results</w:t>
      </w:r>
      <w:r w:rsidR="008940AB">
        <w:t xml:space="preserve"> </w:t>
      </w:r>
      <w:r w:rsidR="00537308" w:rsidRPr="00537308">
        <w:rPr>
          <w:szCs w:val="24"/>
        </w:rPr>
        <w:t>(Government of Canada</w:t>
      </w:r>
      <w:r w:rsidR="00537308" w:rsidRPr="004C3BB3">
        <w:rPr>
          <w:szCs w:val="24"/>
        </w:rPr>
        <w:t> </w:t>
      </w:r>
      <w:r w:rsidR="00537308" w:rsidRPr="00085B6D">
        <w:rPr>
          <w:szCs w:val="24"/>
        </w:rPr>
        <w:t>2020b)</w:t>
      </w:r>
      <w:r>
        <w:t xml:space="preserve">. </w:t>
      </w:r>
    </w:p>
    <w:p w14:paraId="2B77BD8C" w14:textId="7770432A" w:rsidR="00680BCD" w:rsidRDefault="00680BCD" w:rsidP="00F44892">
      <w:pPr>
        <w:pStyle w:val="ListBullet"/>
      </w:pPr>
      <w:r>
        <w:t xml:space="preserve">In </w:t>
      </w:r>
      <w:r w:rsidRPr="00711C33">
        <w:rPr>
          <w:b/>
        </w:rPr>
        <w:t>Slovakia</w:t>
      </w:r>
      <w:r>
        <w:t xml:space="preserve">, </w:t>
      </w:r>
      <w:r w:rsidR="00F44892">
        <w:t>a list of recommended courses for evaluators is maintained by the Slovak Value for Money Institute and a</w:t>
      </w:r>
      <w:r>
        <w:t xml:space="preserve">nalysts who join policy evaluation units are offered </w:t>
      </w:r>
      <w:r w:rsidR="00F44892">
        <w:t>opportunities</w:t>
      </w:r>
      <w:r>
        <w:t xml:space="preserve"> to undertake a </w:t>
      </w:r>
      <w:r w:rsidR="00F44892">
        <w:t>range</w:t>
      </w:r>
      <w:r>
        <w:t xml:space="preserve"> of courses to deepen their</w:t>
      </w:r>
      <w:r w:rsidR="00B019C2">
        <w:t xml:space="preserve"> evaluation</w:t>
      </w:r>
      <w:r>
        <w:t xml:space="preserve"> knowledge </w:t>
      </w:r>
      <w:r w:rsidR="00F44892">
        <w:t>in</w:t>
      </w:r>
      <w:r>
        <w:t xml:space="preserve"> specific policy </w:t>
      </w:r>
      <w:r w:rsidR="00F44892">
        <w:t>area</w:t>
      </w:r>
      <w:r w:rsidR="00D210C3">
        <w:t>s</w:t>
      </w:r>
      <w:r w:rsidR="00F44892">
        <w:t xml:space="preserve">. </w:t>
      </w:r>
      <w:r>
        <w:t xml:space="preserve">Additionally, before entering an analytical team in a Ministry, analysts working on evaluation </w:t>
      </w:r>
      <w:r w:rsidR="00727E03">
        <w:t>are required</w:t>
      </w:r>
      <w:r>
        <w:t xml:space="preserve"> to pass a test that assesses their competencies</w:t>
      </w:r>
      <w:r w:rsidR="00262A5A">
        <w:t xml:space="preserve"> </w:t>
      </w:r>
      <w:r w:rsidR="007F78E7" w:rsidRPr="007F78E7">
        <w:rPr>
          <w:szCs w:val="24"/>
        </w:rPr>
        <w:t>(OECD 2020a, p. 90)</w:t>
      </w:r>
      <w:r>
        <w:t>.</w:t>
      </w:r>
      <w:r w:rsidR="007B77F6">
        <w:t xml:space="preserve"> </w:t>
      </w:r>
    </w:p>
    <w:p w14:paraId="2BAF748F" w14:textId="7568A222" w:rsidR="00680BCD" w:rsidRDefault="00680BCD" w:rsidP="00B41301">
      <w:pPr>
        <w:pStyle w:val="BodyText"/>
      </w:pPr>
      <w:r>
        <w:t>Some countries</w:t>
      </w:r>
      <w:r w:rsidR="004A2B4C">
        <w:t xml:space="preserve"> also</w:t>
      </w:r>
      <w:r>
        <w:t xml:space="preserve"> build</w:t>
      </w:r>
      <w:r w:rsidR="00A814B3">
        <w:t xml:space="preserve"> or promote</w:t>
      </w:r>
      <w:r w:rsidR="004A2B4C">
        <w:t xml:space="preserve"> </w:t>
      </w:r>
      <w:r>
        <w:t xml:space="preserve">evaluation competencies into the </w:t>
      </w:r>
      <w:r w:rsidR="007D2DDC">
        <w:t>functional</w:t>
      </w:r>
      <w:r w:rsidR="00831410">
        <w:t xml:space="preserve"> or professional</w:t>
      </w:r>
      <w:r>
        <w:t xml:space="preserve"> streams </w:t>
      </w:r>
      <w:r w:rsidR="00E4142B">
        <w:t>of their public service</w:t>
      </w:r>
      <w:r>
        <w:t xml:space="preserve">. For example, in the </w:t>
      </w:r>
      <w:r w:rsidRPr="00711C33">
        <w:rPr>
          <w:b/>
        </w:rPr>
        <w:t>United Kingdom</w:t>
      </w:r>
      <w:r>
        <w:t xml:space="preserve">, </w:t>
      </w:r>
      <w:r w:rsidR="00831410">
        <w:t xml:space="preserve">competencies in </w:t>
      </w:r>
      <w:r w:rsidR="007D2DDC">
        <w:t xml:space="preserve">evaluation </w:t>
      </w:r>
      <w:r w:rsidR="00831410">
        <w:t>and research methods are required for staff of particular levels who are</w:t>
      </w:r>
      <w:r w:rsidR="00A65721">
        <w:t xml:space="preserve"> part of</w:t>
      </w:r>
      <w:r w:rsidR="00831410">
        <w:t xml:space="preserve"> </w:t>
      </w:r>
      <w:r w:rsidR="00A65721">
        <w:t xml:space="preserve">the </w:t>
      </w:r>
      <w:r w:rsidR="00831410">
        <w:t xml:space="preserve">Government Social Research </w:t>
      </w:r>
      <w:r w:rsidR="00A65721">
        <w:t>professional stream</w:t>
      </w:r>
      <w:r w:rsidR="00B41301">
        <w:t xml:space="preserve"> </w:t>
      </w:r>
      <w:r w:rsidR="00B41301" w:rsidRPr="00B41301">
        <w:rPr>
          <w:szCs w:val="24"/>
        </w:rPr>
        <w:t>(Government Social Research (UK) 2019)</w:t>
      </w:r>
      <w:r w:rsidR="004B563B">
        <w:t>.</w:t>
      </w:r>
      <w:r w:rsidR="00CD49A9" w:rsidRPr="003D5EE8">
        <w:rPr>
          <w:rStyle w:val="FootnoteReference"/>
        </w:rPr>
        <w:footnoteReference w:id="9"/>
      </w:r>
      <w:r w:rsidR="004B563B">
        <w:t xml:space="preserve"> In addition, </w:t>
      </w:r>
      <w:r w:rsidR="00D47F21">
        <w:t>an evaluation capability framework (and a self</w:t>
      </w:r>
      <w:r w:rsidR="00FC7E6E">
        <w:noBreakHyphen/>
      </w:r>
      <w:r w:rsidR="00D47F21">
        <w:t xml:space="preserve">assessment tool) has been developed </w:t>
      </w:r>
      <w:r w:rsidR="009966FF">
        <w:t>for</w:t>
      </w:r>
      <w:r w:rsidR="00D47F21">
        <w:t xml:space="preserve"> Government analysts </w:t>
      </w:r>
      <w:r w:rsidR="005F4CC1" w:rsidRPr="005F4CC1">
        <w:rPr>
          <w:szCs w:val="24"/>
        </w:rPr>
        <w:t>(HM Treasury </w:t>
      </w:r>
      <w:proofErr w:type="spellStart"/>
      <w:r w:rsidR="005F4CC1" w:rsidRPr="005F4CC1">
        <w:rPr>
          <w:szCs w:val="24"/>
        </w:rPr>
        <w:t>nd</w:t>
      </w:r>
      <w:proofErr w:type="spellEnd"/>
      <w:r w:rsidR="005F4CC1" w:rsidRPr="005F4CC1">
        <w:rPr>
          <w:szCs w:val="24"/>
        </w:rPr>
        <w:t xml:space="preserve">, </w:t>
      </w:r>
      <w:proofErr w:type="spellStart"/>
      <w:r w:rsidR="005F4CC1" w:rsidRPr="005F4CC1">
        <w:rPr>
          <w:szCs w:val="24"/>
        </w:rPr>
        <w:t>nd</w:t>
      </w:r>
      <w:proofErr w:type="spellEnd"/>
      <w:r w:rsidR="005F4CC1" w:rsidRPr="005F4CC1">
        <w:rPr>
          <w:szCs w:val="24"/>
        </w:rPr>
        <w:t>)</w:t>
      </w:r>
      <w:r w:rsidR="00831410">
        <w:t xml:space="preserve">. </w:t>
      </w:r>
      <w:r>
        <w:t>Elements of a profession</w:t>
      </w:r>
      <w:r w:rsidR="00BB23BC">
        <w:noBreakHyphen/>
      </w:r>
      <w:r>
        <w:t xml:space="preserve">based approach to evaluation in the public service are also emerging in the </w:t>
      </w:r>
      <w:r w:rsidRPr="00711C33">
        <w:rPr>
          <w:b/>
        </w:rPr>
        <w:t>United States</w:t>
      </w:r>
      <w:r>
        <w:t>, with the</w:t>
      </w:r>
      <w:r w:rsidR="004E54EA">
        <w:t xml:space="preserve"> </w:t>
      </w:r>
      <w:r w:rsidR="004E54EA">
        <w:rPr>
          <w:i/>
        </w:rPr>
        <w:t xml:space="preserve">Foundations </w:t>
      </w:r>
      <w:r w:rsidR="001E6C06">
        <w:rPr>
          <w:i/>
        </w:rPr>
        <w:t>for</w:t>
      </w:r>
      <w:r>
        <w:t xml:space="preserve"> </w:t>
      </w:r>
      <w:r w:rsidR="00482DD1" w:rsidRPr="007C48C2">
        <w:rPr>
          <w:i/>
        </w:rPr>
        <w:t>Evidence</w:t>
      </w:r>
      <w:r w:rsidR="00FC7E6E">
        <w:noBreakHyphen/>
      </w:r>
      <w:r w:rsidR="004E54EA" w:rsidRPr="007C48C2">
        <w:rPr>
          <w:i/>
        </w:rPr>
        <w:t>based</w:t>
      </w:r>
      <w:r w:rsidR="004E54EA">
        <w:t xml:space="preserve"> </w:t>
      </w:r>
      <w:r w:rsidR="004E54EA">
        <w:rPr>
          <w:i/>
        </w:rPr>
        <w:t>Policymaking Act 201</w:t>
      </w:r>
      <w:r w:rsidR="00D41779">
        <w:rPr>
          <w:i/>
        </w:rPr>
        <w:t>8</w:t>
      </w:r>
      <w:r w:rsidR="00F91701">
        <w:rPr>
          <w:i/>
        </w:rPr>
        <w:t xml:space="preserve"> </w:t>
      </w:r>
      <w:r w:rsidR="00F91701">
        <w:t>(US)</w:t>
      </w:r>
      <w:r>
        <w:t xml:space="preserve"> requiring the</w:t>
      </w:r>
      <w:r w:rsidR="00B019C2" w:rsidRPr="00B019C2">
        <w:t xml:space="preserve"> </w:t>
      </w:r>
      <w:r w:rsidR="00B019C2">
        <w:t>Office of Personnel Management</w:t>
      </w:r>
      <w:r>
        <w:t xml:space="preserve"> </w:t>
      </w:r>
      <w:r w:rsidR="00B019C2">
        <w:t xml:space="preserve">(the </w:t>
      </w:r>
      <w:r w:rsidR="00482DD1">
        <w:t>chief human resources agency for the US Federal Government</w:t>
      </w:r>
      <w:r w:rsidR="00B019C2">
        <w:t>)</w:t>
      </w:r>
      <w:r w:rsidR="00D2438E">
        <w:t xml:space="preserve"> </w:t>
      </w:r>
      <w:r>
        <w:t>to:</w:t>
      </w:r>
    </w:p>
    <w:p w14:paraId="05175D7B" w14:textId="5EA31F31" w:rsidR="00680BCD" w:rsidRDefault="00680BCD" w:rsidP="00680BCD">
      <w:pPr>
        <w:pStyle w:val="ListBullet"/>
      </w:pPr>
      <w:r>
        <w:t>identify</w:t>
      </w:r>
      <w:r w:rsidR="00FB1593">
        <w:t xml:space="preserve"> the</w:t>
      </w:r>
      <w:r>
        <w:t xml:space="preserve"> key skills and competencies needed for program evaluation in an agency</w:t>
      </w:r>
    </w:p>
    <w:p w14:paraId="6C69EEC1" w14:textId="15248C94" w:rsidR="00680BCD" w:rsidRDefault="00680BCD" w:rsidP="00680BCD">
      <w:pPr>
        <w:pStyle w:val="ListBullet"/>
      </w:pPr>
      <w:r>
        <w:t>establish a new occupational series for program evaluation (or update and improve an existing occupational series)</w:t>
      </w:r>
    </w:p>
    <w:p w14:paraId="36F94F5C" w14:textId="2EB9B6DA" w:rsidR="00680BCD" w:rsidRDefault="00680BCD" w:rsidP="00680BCD">
      <w:pPr>
        <w:pStyle w:val="ListBullet"/>
      </w:pPr>
      <w:r>
        <w:t>establish a new career path for program evaluation within an agency.</w:t>
      </w:r>
      <w:r w:rsidR="00D2438E" w:rsidRPr="003D5EE8">
        <w:rPr>
          <w:rStyle w:val="FootnoteReference"/>
        </w:rPr>
        <w:footnoteReference w:id="10"/>
      </w:r>
    </w:p>
    <w:p w14:paraId="15664FF8" w14:textId="3C014E87" w:rsidR="00680BCD" w:rsidRDefault="00680BCD" w:rsidP="00680BCD">
      <w:pPr>
        <w:pStyle w:val="BodyText"/>
      </w:pPr>
      <w:r>
        <w:t xml:space="preserve">Another mechanism used in some countries to develop and maintain evaluator competencies is government supported evaluation networks (box D.4). These networks sit aside or complement evaluation networks that </w:t>
      </w:r>
      <w:r w:rsidR="00B019C2">
        <w:t xml:space="preserve">operate </w:t>
      </w:r>
      <w:r>
        <w:t xml:space="preserve">outside government, such as those facilitated through national evaluation societies (which exist in </w:t>
      </w:r>
      <w:r w:rsidR="00895A0B">
        <w:t>all</w:t>
      </w:r>
      <w:r>
        <w:t xml:space="preserve"> OECD member countr</w:t>
      </w:r>
      <w:r w:rsidR="00895A0B">
        <w:t>ies</w:t>
      </w:r>
      <w:r>
        <w:t>)</w:t>
      </w:r>
      <w:r w:rsidR="00FF6C51">
        <w:t xml:space="preserve"> </w:t>
      </w:r>
      <w:r w:rsidR="007F78E7" w:rsidRPr="007F78E7">
        <w:rPr>
          <w:szCs w:val="24"/>
        </w:rPr>
        <w:t>(OECD 2020a, p. 96)</w:t>
      </w:r>
      <w:r>
        <w:t>.</w:t>
      </w:r>
      <w:r w:rsidR="007B77F6">
        <w:t xml:space="preserve"> </w:t>
      </w:r>
    </w:p>
    <w:p w14:paraId="3BCB02EC" w14:textId="5A069BE7" w:rsidR="00A94540" w:rsidRDefault="00A94540" w:rsidP="00A94540">
      <w:pPr>
        <w:pStyle w:val="BodyText"/>
      </w:pPr>
      <w:r>
        <w:t xml:space="preserve">In some countries, there are processes to support evaluators with additional resourcing and expertise to help them undertake evaluations. For example, in the </w:t>
      </w:r>
      <w:r>
        <w:rPr>
          <w:b/>
        </w:rPr>
        <w:t>United States</w:t>
      </w:r>
      <w:r>
        <w:t xml:space="preserve">, the Office of Evaluation Sciences (a government office with a team of interdisciplinary experts) partners with US federal agencies to help them build and use evidence, including by assisting agencies to undertake randomised evaluations </w:t>
      </w:r>
      <w:r w:rsidRPr="00093FC7">
        <w:rPr>
          <w:szCs w:val="24"/>
        </w:rPr>
        <w:t>(Office of Evaluation Sciences (US) </w:t>
      </w:r>
      <w:proofErr w:type="spellStart"/>
      <w:r w:rsidRPr="00093FC7">
        <w:rPr>
          <w:szCs w:val="24"/>
        </w:rPr>
        <w:t>nd</w:t>
      </w:r>
      <w:proofErr w:type="spellEnd"/>
      <w:r w:rsidRPr="00093FC7">
        <w:rPr>
          <w:szCs w:val="24"/>
        </w:rPr>
        <w:t>)</w:t>
      </w:r>
      <w:r>
        <w:t xml:space="preserve">. The Office has also developed toolkits for US agencies to aid them in meeting their obligations under the </w:t>
      </w:r>
      <w:r w:rsidRPr="007C48C2">
        <w:rPr>
          <w:i/>
        </w:rPr>
        <w:t xml:space="preserve">Foundations </w:t>
      </w:r>
      <w:r>
        <w:rPr>
          <w:i/>
        </w:rPr>
        <w:t>for</w:t>
      </w:r>
      <w:r w:rsidRPr="007C48C2">
        <w:rPr>
          <w:i/>
        </w:rPr>
        <w:t xml:space="preserve"> Evidence</w:t>
      </w:r>
      <w:r>
        <w:rPr>
          <w:i/>
        </w:rPr>
        <w:noBreakHyphen/>
      </w:r>
      <w:r w:rsidRPr="007C48C2">
        <w:rPr>
          <w:i/>
        </w:rPr>
        <w:t>based Policymaking Act 201</w:t>
      </w:r>
      <w:r>
        <w:rPr>
          <w:i/>
        </w:rPr>
        <w:t xml:space="preserve">8 </w:t>
      </w:r>
      <w:r>
        <w:t>(US)</w:t>
      </w:r>
      <w:r>
        <w:rPr>
          <w:i/>
        </w:rPr>
        <w:t xml:space="preserve"> </w:t>
      </w:r>
      <w:r w:rsidRPr="00093FC7">
        <w:rPr>
          <w:szCs w:val="24"/>
        </w:rPr>
        <w:t>(Office of Evaluation Sciences (US) 2020)</w:t>
      </w:r>
      <w:r>
        <w:t>.</w:t>
      </w:r>
    </w:p>
    <w:p w14:paraId="1116A4E1" w14:textId="313CF834" w:rsidR="00680BCD" w:rsidRDefault="00680BC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80BCD" w14:paraId="5CBFF1E0" w14:textId="77777777" w:rsidTr="007F7EC2">
        <w:trPr>
          <w:tblHeader/>
        </w:trPr>
        <w:tc>
          <w:tcPr>
            <w:tcW w:w="5000" w:type="pct"/>
            <w:tcBorders>
              <w:top w:val="single" w:sz="6" w:space="0" w:color="2493D1"/>
              <w:left w:val="nil"/>
              <w:bottom w:val="nil"/>
              <w:right w:val="nil"/>
            </w:tcBorders>
            <w:shd w:val="clear" w:color="auto" w:fill="F2F2F2"/>
          </w:tcPr>
          <w:p w14:paraId="2CBFFFAA" w14:textId="58161C3A" w:rsidR="00680BCD" w:rsidRDefault="00680BCD" w:rsidP="008347F0">
            <w:pPr>
              <w:pStyle w:val="BoxTitle"/>
            </w:pPr>
            <w:r>
              <w:rPr>
                <w:b w:val="0"/>
              </w:rPr>
              <w:t xml:space="preserve">Box </w:t>
            </w:r>
            <w:r w:rsidR="00B464FC">
              <w:rPr>
                <w:b w:val="0"/>
              </w:rPr>
              <w:t>D.</w:t>
            </w:r>
            <w:r w:rsidR="00E36AD3">
              <w:rPr>
                <w:b w:val="0"/>
              </w:rPr>
              <w:t>4</w:t>
            </w:r>
            <w:r>
              <w:tab/>
              <w:t>Some examples of government supported evaluation networks</w:t>
            </w:r>
          </w:p>
        </w:tc>
      </w:tr>
      <w:tr w:rsidR="00680BCD" w14:paraId="376F10E4" w14:textId="77777777" w:rsidTr="00F9621F">
        <w:tc>
          <w:tcPr>
            <w:tcW w:w="5000" w:type="pct"/>
            <w:tcBorders>
              <w:top w:val="nil"/>
              <w:left w:val="nil"/>
              <w:bottom w:val="nil"/>
              <w:right w:val="nil"/>
            </w:tcBorders>
            <w:shd w:val="clear" w:color="auto" w:fill="F2F2F2"/>
          </w:tcPr>
          <w:p w14:paraId="66A1D401" w14:textId="77777777" w:rsidR="00680BCD" w:rsidRDefault="00680BCD" w:rsidP="00680BCD">
            <w:pPr>
              <w:pStyle w:val="BoxHeading1"/>
            </w:pPr>
            <w:r>
              <w:t>The Evaluation Officer Council (United States)</w:t>
            </w:r>
          </w:p>
          <w:p w14:paraId="694F23AC" w14:textId="738AA9CF" w:rsidR="00680BCD" w:rsidRDefault="00680BCD" w:rsidP="00680BCD">
            <w:pPr>
              <w:pStyle w:val="Box"/>
            </w:pPr>
            <w:r>
              <w:t xml:space="preserve">The Evaluation Officer Council is in the process of being established. The Council — to be </w:t>
            </w:r>
            <w:r w:rsidR="008530E2">
              <w:t xml:space="preserve">made up </w:t>
            </w:r>
            <w:r>
              <w:t>of agency Evaluation Officers — will serve as a forum to</w:t>
            </w:r>
            <w:r w:rsidR="00B019C2">
              <w:t>:</w:t>
            </w:r>
            <w:r>
              <w:t xml:space="preserve"> exchange information</w:t>
            </w:r>
            <w:r w:rsidR="00B019C2">
              <w:t xml:space="preserve">; </w:t>
            </w:r>
            <w:r>
              <w:t xml:space="preserve">consult with and advise the Office of Management and Budget (which is overseeing the implementation of the </w:t>
            </w:r>
            <w:r w:rsidR="00E71F2C" w:rsidRPr="007C48C2">
              <w:rPr>
                <w:i/>
              </w:rPr>
              <w:t xml:space="preserve">Foundations </w:t>
            </w:r>
            <w:r w:rsidR="001E6C06">
              <w:rPr>
                <w:i/>
              </w:rPr>
              <w:t>for</w:t>
            </w:r>
            <w:r w:rsidR="00E71F2C" w:rsidRPr="007C48C2">
              <w:rPr>
                <w:i/>
              </w:rPr>
              <w:t xml:space="preserve"> Evidence</w:t>
            </w:r>
            <w:r w:rsidR="00FC7E6E">
              <w:rPr>
                <w:i/>
              </w:rPr>
              <w:noBreakHyphen/>
            </w:r>
            <w:r w:rsidR="00E71F2C" w:rsidRPr="007C48C2">
              <w:rPr>
                <w:i/>
              </w:rPr>
              <w:t>based Policy</w:t>
            </w:r>
            <w:r w:rsidR="00ED1DAF">
              <w:rPr>
                <w:i/>
              </w:rPr>
              <w:t>m</w:t>
            </w:r>
            <w:r w:rsidR="001529F7">
              <w:rPr>
                <w:i/>
              </w:rPr>
              <w:t xml:space="preserve">aking </w:t>
            </w:r>
            <w:r w:rsidR="00E71F2C" w:rsidRPr="007C48C2">
              <w:rPr>
                <w:i/>
              </w:rPr>
              <w:t>Act</w:t>
            </w:r>
            <w:r w:rsidR="00E71F2C">
              <w:rPr>
                <w:i/>
              </w:rPr>
              <w:t xml:space="preserve"> 201</w:t>
            </w:r>
            <w:r w:rsidR="005110FD">
              <w:rPr>
                <w:i/>
              </w:rPr>
              <w:t>8</w:t>
            </w:r>
            <w:r w:rsidR="00F91701">
              <w:t xml:space="preserve"> (US)</w:t>
            </w:r>
            <w:r>
              <w:t xml:space="preserve">) on matters </w:t>
            </w:r>
            <w:r w:rsidR="00EE1041">
              <w:t xml:space="preserve">that affect </w:t>
            </w:r>
            <w:r>
              <w:t>evaluation</w:t>
            </w:r>
            <w:r w:rsidR="00A44427">
              <w:t xml:space="preserve">; </w:t>
            </w:r>
            <w:r>
              <w:t>coordinate and collaborate on common interest</w:t>
            </w:r>
            <w:r w:rsidR="009A498E">
              <w:t>s</w:t>
            </w:r>
            <w:r w:rsidR="00A44427">
              <w:t>;</w:t>
            </w:r>
            <w:r>
              <w:t xml:space="preserve"> and to </w:t>
            </w:r>
            <w:r w:rsidR="00F15C0D">
              <w:t xml:space="preserve">provide </w:t>
            </w:r>
            <w:r>
              <w:t xml:space="preserve">a leadership role for the </w:t>
            </w:r>
            <w:r w:rsidR="009A498E">
              <w:t xml:space="preserve">wider </w:t>
            </w:r>
            <w:r>
              <w:t>Federal evaluation community.</w:t>
            </w:r>
          </w:p>
          <w:p w14:paraId="1C185A40" w14:textId="336731F7" w:rsidR="00680BCD" w:rsidRDefault="00680BCD" w:rsidP="00680BCD">
            <w:pPr>
              <w:pStyle w:val="BoxHeading1"/>
            </w:pPr>
            <w:r>
              <w:t>The EVA</w:t>
            </w:r>
            <w:r w:rsidR="00BB23BC">
              <w:noBreakHyphen/>
            </w:r>
            <w:r>
              <w:t>forum (Norway)</w:t>
            </w:r>
          </w:p>
          <w:p w14:paraId="4AAF0567" w14:textId="0FB57D82" w:rsidR="00680BCD" w:rsidRDefault="00680BCD" w:rsidP="00680BCD">
            <w:pPr>
              <w:pStyle w:val="Box"/>
            </w:pPr>
            <w:r>
              <w:t>The EVA</w:t>
            </w:r>
            <w:r w:rsidR="00BB23BC">
              <w:noBreakHyphen/>
            </w:r>
            <w:r>
              <w:t>forum is an informal network of evaluators chaired by a representative of the Norwegian Agency for Financial Management. The forum provides members with an opportunity to share their experiences on evaluation, including by organising several networking and workshop events per year, as well as an annual national evaluation conference.</w:t>
            </w:r>
          </w:p>
        </w:tc>
      </w:tr>
      <w:tr w:rsidR="00680BCD" w14:paraId="6B4F305C" w14:textId="77777777" w:rsidTr="00F9621F">
        <w:tc>
          <w:tcPr>
            <w:tcW w:w="5000" w:type="pct"/>
            <w:tcBorders>
              <w:top w:val="nil"/>
              <w:left w:val="nil"/>
              <w:bottom w:val="nil"/>
              <w:right w:val="nil"/>
            </w:tcBorders>
            <w:shd w:val="clear" w:color="auto" w:fill="F2F2F2"/>
          </w:tcPr>
          <w:p w14:paraId="3AE7D7D1" w14:textId="10547703" w:rsidR="00680BCD" w:rsidRDefault="00680BCD" w:rsidP="007F78E7">
            <w:pPr>
              <w:pStyle w:val="BoxSource"/>
            </w:pPr>
            <w:r>
              <w:rPr>
                <w:i/>
              </w:rPr>
              <w:t>Sources</w:t>
            </w:r>
            <w:r w:rsidRPr="00167F06">
              <w:t>:</w:t>
            </w:r>
            <w:r w:rsidR="00B810A7">
              <w:t xml:space="preserve"> Executive Office of the President (US)</w:t>
            </w:r>
            <w:r w:rsidRPr="00167F06">
              <w:t xml:space="preserve"> </w:t>
            </w:r>
            <w:r w:rsidR="003B6D9A" w:rsidRPr="003B6D9A">
              <w:rPr>
                <w:rFonts w:cs="Arial"/>
                <w:szCs w:val="24"/>
              </w:rPr>
              <w:t>(2019a, p. 10)</w:t>
            </w:r>
            <w:r w:rsidR="00B810A7">
              <w:t>; OECD</w:t>
            </w:r>
            <w:r w:rsidR="00D376A8">
              <w:t xml:space="preserve"> </w:t>
            </w:r>
            <w:r w:rsidR="007F78E7" w:rsidRPr="007F78E7">
              <w:rPr>
                <w:rFonts w:cs="Arial"/>
                <w:szCs w:val="24"/>
              </w:rPr>
              <w:t>(2020a, p. 92)</w:t>
            </w:r>
            <w:r w:rsidR="00F165CA">
              <w:t>.</w:t>
            </w:r>
          </w:p>
        </w:tc>
      </w:tr>
      <w:tr w:rsidR="00680BCD" w14:paraId="72502387" w14:textId="77777777" w:rsidTr="007F7EC2">
        <w:tc>
          <w:tcPr>
            <w:tcW w:w="5000" w:type="pct"/>
            <w:tcBorders>
              <w:top w:val="nil"/>
              <w:left w:val="nil"/>
              <w:bottom w:val="single" w:sz="6" w:space="0" w:color="2493D1"/>
              <w:right w:val="nil"/>
            </w:tcBorders>
            <w:shd w:val="clear" w:color="auto" w:fill="F2F2F2"/>
          </w:tcPr>
          <w:p w14:paraId="57FF258B" w14:textId="77777777" w:rsidR="00680BCD" w:rsidRDefault="00680BCD">
            <w:pPr>
              <w:pStyle w:val="Box"/>
              <w:spacing w:before="0" w:line="120" w:lineRule="exact"/>
            </w:pPr>
          </w:p>
        </w:tc>
      </w:tr>
      <w:tr w:rsidR="00680BCD" w:rsidRPr="000863A5" w14:paraId="6C70CF6C" w14:textId="77777777" w:rsidTr="007F7EC2">
        <w:tc>
          <w:tcPr>
            <w:tcW w:w="5000" w:type="pct"/>
            <w:tcBorders>
              <w:top w:val="single" w:sz="6" w:space="0" w:color="2493D1"/>
              <w:left w:val="nil"/>
              <w:bottom w:val="nil"/>
              <w:right w:val="nil"/>
            </w:tcBorders>
          </w:tcPr>
          <w:p w14:paraId="076FF0AD" w14:textId="0B0AA967" w:rsidR="00680BCD" w:rsidRPr="00626D32" w:rsidRDefault="00680BCD" w:rsidP="00F9621F">
            <w:pPr>
              <w:pStyle w:val="BoxSpaceBelow"/>
            </w:pPr>
          </w:p>
        </w:tc>
      </w:tr>
    </w:tbl>
    <w:p w14:paraId="5A98898D" w14:textId="564C6D4E" w:rsidR="00A07C0C" w:rsidRDefault="008530E2" w:rsidP="00A07C0C">
      <w:pPr>
        <w:pStyle w:val="Heading3"/>
      </w:pPr>
      <w:r>
        <w:t>R</w:t>
      </w:r>
      <w:r w:rsidR="00A07C0C">
        <w:t xml:space="preserve">eview mechanisms to </w:t>
      </w:r>
      <w:r w:rsidR="007D4556">
        <w:t xml:space="preserve">promote </w:t>
      </w:r>
      <w:r w:rsidR="00A07C0C">
        <w:t>evaluation quality</w:t>
      </w:r>
    </w:p>
    <w:p w14:paraId="7CB99C17" w14:textId="393C5764" w:rsidR="00A07C0C" w:rsidRDefault="00A07C0C" w:rsidP="00A07C0C">
      <w:pPr>
        <w:pStyle w:val="BodyText"/>
      </w:pPr>
      <w:r>
        <w:t xml:space="preserve">Compared </w:t>
      </w:r>
      <w:r w:rsidR="00FD2B87">
        <w:t xml:space="preserve">with </w:t>
      </w:r>
      <w:r>
        <w:t xml:space="preserve">other levers to influence evaluation quality (such as those discussed above), the use of review mechanisms to ensure evaluations are of a high standard appears </w:t>
      </w:r>
      <w:r w:rsidR="00C44CBE">
        <w:t>less common</w:t>
      </w:r>
      <w:r>
        <w:t xml:space="preserve">. </w:t>
      </w:r>
    </w:p>
    <w:p w14:paraId="50084C26" w14:textId="4C4976CE" w:rsidR="00643A4A" w:rsidRDefault="00A07C0C" w:rsidP="00A07C0C">
      <w:pPr>
        <w:pStyle w:val="BodyText"/>
      </w:pPr>
      <w:r>
        <w:t xml:space="preserve">While there are examples of peer review processes </w:t>
      </w:r>
      <w:r w:rsidR="008530E2">
        <w:t xml:space="preserve">being </w:t>
      </w:r>
      <w:r>
        <w:t xml:space="preserve">used to promote evaluation quality (including for </w:t>
      </w:r>
      <w:r w:rsidR="00FD3E7F">
        <w:t xml:space="preserve">particular evaluations in </w:t>
      </w:r>
      <w:r w:rsidR="00FD3E7F">
        <w:rPr>
          <w:b/>
        </w:rPr>
        <w:t xml:space="preserve">Portugal </w:t>
      </w:r>
      <w:r w:rsidR="00FD3E7F">
        <w:t xml:space="preserve">and </w:t>
      </w:r>
      <w:r w:rsidR="00FD3E7F">
        <w:rPr>
          <w:b/>
        </w:rPr>
        <w:t>Germany</w:t>
      </w:r>
      <w:r w:rsidR="00FD3E7F">
        <w:t>)</w:t>
      </w:r>
      <w:r w:rsidR="00C44CBE">
        <w:t xml:space="preserve"> </w:t>
      </w:r>
      <w:r w:rsidR="007211A5" w:rsidRPr="007211A5">
        <w:rPr>
          <w:szCs w:val="24"/>
        </w:rPr>
        <w:t>(OECD 2020a, p. 84)</w:t>
      </w:r>
      <w:r w:rsidR="00FD3E7F">
        <w:t xml:space="preserve">, requirements to formally review evaluations for quality control do not appear </w:t>
      </w:r>
      <w:r w:rsidR="0008145E">
        <w:t>to be</w:t>
      </w:r>
      <w:r w:rsidR="001A4A41">
        <w:t xml:space="preserve"> particularly</w:t>
      </w:r>
      <w:r w:rsidR="0008145E">
        <w:t xml:space="preserve"> </w:t>
      </w:r>
      <w:r w:rsidR="00FD3E7F">
        <w:t xml:space="preserve">widespread. (Some evaluation guidelines, such as the </w:t>
      </w:r>
      <w:r w:rsidR="00FD3E7F">
        <w:rPr>
          <w:b/>
        </w:rPr>
        <w:t xml:space="preserve">United Kingdom’s </w:t>
      </w:r>
      <w:r w:rsidR="00FD3E7F">
        <w:t xml:space="preserve">Magenta Book and </w:t>
      </w:r>
      <w:r w:rsidR="00FD3E7F">
        <w:rPr>
          <w:b/>
        </w:rPr>
        <w:t xml:space="preserve">Canada’s </w:t>
      </w:r>
      <w:r w:rsidR="00FD3E7F">
        <w:t xml:space="preserve">Evaluation Standards promote peer review as a way to provide quality assurance for evaluation, but the </w:t>
      </w:r>
      <w:r>
        <w:t>extent that peer review is used</w:t>
      </w:r>
      <w:r w:rsidR="00B005F8">
        <w:t xml:space="preserve"> </w:t>
      </w:r>
      <w:r>
        <w:t>— even when encouraged — remains unclear.</w:t>
      </w:r>
      <w:r w:rsidR="00D76514">
        <w:t>)</w:t>
      </w:r>
      <w:r w:rsidR="007D4556">
        <w:t xml:space="preserve"> </w:t>
      </w:r>
    </w:p>
    <w:p w14:paraId="0FD21E9C" w14:textId="414026B3" w:rsidR="00A07C0C" w:rsidRDefault="00643A4A" w:rsidP="00A07C0C">
      <w:pPr>
        <w:pStyle w:val="BodyText"/>
      </w:pPr>
      <w:r>
        <w:t>I</w:t>
      </w:r>
      <w:r w:rsidR="007F5CD1">
        <w:t xml:space="preserve">n the past in </w:t>
      </w:r>
      <w:r w:rsidR="007F5CD1">
        <w:rPr>
          <w:b/>
        </w:rPr>
        <w:t>Canada</w:t>
      </w:r>
      <w:r w:rsidR="00AD5CF2">
        <w:rPr>
          <w:b/>
        </w:rPr>
        <w:t>,</w:t>
      </w:r>
      <w:r>
        <w:t xml:space="preserve"> </w:t>
      </w:r>
      <w:r w:rsidR="00AD5CF2">
        <w:t>the Treasury Board Secretariat</w:t>
      </w:r>
      <w:r>
        <w:t xml:space="preserve"> annually and publicly</w:t>
      </w:r>
      <w:r w:rsidR="00BD193F">
        <w:t xml:space="preserve"> reported</w:t>
      </w:r>
      <w:r>
        <w:t xml:space="preserve"> on the Health of Evaluation Function, which provided a government</w:t>
      </w:r>
      <w:r w:rsidR="00FC7E6E">
        <w:noBreakHyphen/>
      </w:r>
      <w:r>
        <w:t>wide snapshot of evaluation in departments and agencies. These reports included an assessment of the quality of completed evaluations.</w:t>
      </w:r>
      <w:r w:rsidR="00BD193F">
        <w:t xml:space="preserve"> However,</w:t>
      </w:r>
      <w:r>
        <w:t xml:space="preserve"> </w:t>
      </w:r>
      <w:r w:rsidR="00BD193F">
        <w:t>t</w:t>
      </w:r>
      <w:r>
        <w:t>his annual reporting</w:t>
      </w:r>
      <w:r w:rsidR="004E1518">
        <w:t xml:space="preserve"> </w:t>
      </w:r>
      <w:r>
        <w:t>appears to have ceased</w:t>
      </w:r>
      <w:r w:rsidR="004E1518">
        <w:t xml:space="preserve"> — the most recent Health of Evaluation Function report that the Commission </w:t>
      </w:r>
      <w:r w:rsidR="007C48C2">
        <w:t xml:space="preserve">was </w:t>
      </w:r>
      <w:r w:rsidR="004E1518">
        <w:t xml:space="preserve">able to locate is for </w:t>
      </w:r>
      <w:r w:rsidR="00041C3C">
        <w:t xml:space="preserve">2013 </w:t>
      </w:r>
      <w:r w:rsidR="00AD5CF2" w:rsidRPr="00AD5CF2">
        <w:rPr>
          <w:szCs w:val="24"/>
        </w:rPr>
        <w:t>(Centre of Evaluation Excellence </w:t>
      </w:r>
      <w:r w:rsidR="00AD5CF2" w:rsidRPr="00A35E62">
        <w:rPr>
          <w:szCs w:val="24"/>
        </w:rPr>
        <w:t>2015)</w:t>
      </w:r>
      <w:r w:rsidR="00041C3C">
        <w:t>.</w:t>
      </w:r>
      <w:r>
        <w:t xml:space="preserve"> </w:t>
      </w:r>
    </w:p>
    <w:p w14:paraId="0AECF368" w14:textId="34D0FB97" w:rsidR="00A07C0C" w:rsidRDefault="00A07C0C" w:rsidP="00A07C0C">
      <w:pPr>
        <w:pStyle w:val="BodyText"/>
      </w:pPr>
      <w:r>
        <w:t>Some countries have developed self</w:t>
      </w:r>
      <w:r w:rsidR="00BB23BC">
        <w:noBreakHyphen/>
      </w:r>
      <w:r w:rsidR="005B0858">
        <w:t xml:space="preserve">evaluation </w:t>
      </w:r>
      <w:r>
        <w:t xml:space="preserve">tools for evaluators to review and assess the quality of evaluations but this practice is not particularly widespread (with responses to </w:t>
      </w:r>
      <w:r w:rsidR="006F3E3F">
        <w:t>a</w:t>
      </w:r>
      <w:r w:rsidR="0008145E">
        <w:t xml:space="preserve"> </w:t>
      </w:r>
      <w:r>
        <w:t xml:space="preserve">recent survey suggesting only two </w:t>
      </w:r>
      <w:r w:rsidR="00AD4539">
        <w:t xml:space="preserve">OECD </w:t>
      </w:r>
      <w:r>
        <w:t xml:space="preserve">countries — </w:t>
      </w:r>
      <w:r w:rsidRPr="00711C33">
        <w:rPr>
          <w:b/>
        </w:rPr>
        <w:t>Poland</w:t>
      </w:r>
      <w:r>
        <w:t xml:space="preserve"> and </w:t>
      </w:r>
      <w:r w:rsidRPr="00711C33">
        <w:rPr>
          <w:b/>
        </w:rPr>
        <w:t>Spain</w:t>
      </w:r>
      <w:r>
        <w:t xml:space="preserve"> — have used self</w:t>
      </w:r>
      <w:r w:rsidR="00BB23BC">
        <w:noBreakHyphen/>
      </w:r>
      <w:r>
        <w:t xml:space="preserve">evaluation </w:t>
      </w:r>
      <w:r w:rsidR="004A3EB8">
        <w:t>checklists</w:t>
      </w:r>
      <w:r>
        <w:t>)</w:t>
      </w:r>
      <w:r w:rsidR="005371A8">
        <w:t xml:space="preserve"> </w:t>
      </w:r>
      <w:r w:rsidR="007211A5" w:rsidRPr="007211A5">
        <w:rPr>
          <w:szCs w:val="24"/>
        </w:rPr>
        <w:t>(OECD 2020a, p. 87)</w:t>
      </w:r>
      <w:r>
        <w:t xml:space="preserve">. </w:t>
      </w:r>
    </w:p>
    <w:p w14:paraId="271C4AE4" w14:textId="65215113" w:rsidR="004E2C2B" w:rsidRDefault="00B464FC" w:rsidP="00724FA0">
      <w:pPr>
        <w:pStyle w:val="Heading2"/>
      </w:pPr>
      <w:r>
        <w:lastRenderedPageBreak/>
        <w:t>D.</w:t>
      </w:r>
      <w:r w:rsidR="00907E08">
        <w:rPr>
          <w:noProof/>
        </w:rPr>
        <w:t>3</w:t>
      </w:r>
      <w:r w:rsidR="00724FA0">
        <w:tab/>
        <w:t>Approa</w:t>
      </w:r>
      <w:r w:rsidR="00724FA0" w:rsidRPr="00C44CBE">
        <w:t xml:space="preserve">ches to </w:t>
      </w:r>
      <w:r w:rsidR="00BA3E4B" w:rsidRPr="00C44CBE">
        <w:t>promoting</w:t>
      </w:r>
      <w:r w:rsidR="00724FA0" w:rsidRPr="00C44CBE">
        <w:t xml:space="preserve"> evaluation use</w:t>
      </w:r>
      <w:r w:rsidR="00724FA0">
        <w:t xml:space="preserve"> </w:t>
      </w:r>
    </w:p>
    <w:p w14:paraId="0B6654DD" w14:textId="6CF4619C" w:rsidR="00724FA0" w:rsidRDefault="00A231A7" w:rsidP="00724FA0">
      <w:pPr>
        <w:pStyle w:val="BodyText"/>
      </w:pPr>
      <w:r>
        <w:t>Evaluation is often undertaken with the intent to generate better evidence to inform decisions about how policies</w:t>
      </w:r>
      <w:r w:rsidR="00B46311">
        <w:t xml:space="preserve"> and programs</w:t>
      </w:r>
      <w:r>
        <w:t xml:space="preserve"> should be designed, structured and funded. </w:t>
      </w:r>
      <w:r w:rsidR="00F126A4">
        <w:t>Similar to how governments have taken steps to promote high</w:t>
      </w:r>
      <w:r w:rsidR="00893A1A">
        <w:noBreakHyphen/>
      </w:r>
      <w:r w:rsidR="00F126A4">
        <w:t>quality evaluation, there are also levers available to government</w:t>
      </w:r>
      <w:r w:rsidR="00A44427">
        <w:t>s</w:t>
      </w:r>
      <w:r w:rsidR="00F126A4">
        <w:t xml:space="preserve"> to promote the use of evaluation in policymaking and decision</w:t>
      </w:r>
      <w:r w:rsidR="00BB23BC">
        <w:noBreakHyphen/>
      </w:r>
      <w:r w:rsidR="00F126A4">
        <w:t xml:space="preserve">making processes. These levers include: </w:t>
      </w:r>
    </w:p>
    <w:p w14:paraId="64ED8B6B" w14:textId="1EF300F5" w:rsidR="00F126A4" w:rsidRDefault="00F126A4" w:rsidP="00F126A4">
      <w:pPr>
        <w:pStyle w:val="ListBullet"/>
      </w:pPr>
      <w:r>
        <w:t>encouraging evaluation publication and translation</w:t>
      </w:r>
    </w:p>
    <w:p w14:paraId="1497CF28" w14:textId="15D64265" w:rsidR="00F126A4" w:rsidRDefault="00F126A4" w:rsidP="00F126A4">
      <w:pPr>
        <w:pStyle w:val="ListBullet"/>
      </w:pPr>
      <w:r>
        <w:t>establishing evaluation and evidence champion</w:t>
      </w:r>
      <w:r w:rsidR="00F35FAB">
        <w:t xml:space="preserve"> positions or functions</w:t>
      </w:r>
      <w:r>
        <w:t xml:space="preserve"> within and across government agencies</w:t>
      </w:r>
    </w:p>
    <w:p w14:paraId="6ECC966E" w14:textId="4D17432F" w:rsidR="00F126A4" w:rsidRDefault="00F126A4" w:rsidP="00F126A4">
      <w:pPr>
        <w:pStyle w:val="ListBullet"/>
      </w:pPr>
      <w:r>
        <w:t xml:space="preserve">requiring management responses to evaluation. </w:t>
      </w:r>
    </w:p>
    <w:p w14:paraId="6DBA8240" w14:textId="77777777" w:rsidR="00F126A4" w:rsidRPr="00F126A4" w:rsidRDefault="00F126A4" w:rsidP="00F126A4">
      <w:pPr>
        <w:pStyle w:val="Heading3"/>
      </w:pPr>
      <w:r w:rsidRPr="00F126A4">
        <w:t>Encouraging evaluation publication and translation</w:t>
      </w:r>
    </w:p>
    <w:p w14:paraId="2AAA496F" w14:textId="16DEE1F4" w:rsidR="00F126A4" w:rsidRDefault="00F126A4" w:rsidP="00B3333D">
      <w:pPr>
        <w:pStyle w:val="BodyText"/>
      </w:pPr>
      <w:r>
        <w:t>Just under half of OECD member countries make evaluation findings and recommendations publicly available by default</w:t>
      </w:r>
      <w:r w:rsidR="00E87528">
        <w:t xml:space="preserve"> </w:t>
      </w:r>
      <w:r w:rsidR="007211A5" w:rsidRPr="007211A5">
        <w:rPr>
          <w:szCs w:val="24"/>
        </w:rPr>
        <w:t>(OECD 2020a, p. 106)</w:t>
      </w:r>
      <w:r>
        <w:t xml:space="preserve">. This is done in various ways. For example, in </w:t>
      </w:r>
      <w:r w:rsidRPr="00CD1E16">
        <w:rPr>
          <w:b/>
        </w:rPr>
        <w:t>Canada</w:t>
      </w:r>
      <w:r>
        <w:t xml:space="preserve">, </w:t>
      </w:r>
      <w:r w:rsidR="00CB5535">
        <w:t xml:space="preserve">the </w:t>
      </w:r>
      <w:r w:rsidR="00CB5535">
        <w:rPr>
          <w:i/>
        </w:rPr>
        <w:t xml:space="preserve">Policy on Results </w:t>
      </w:r>
      <w:r w:rsidR="00CB5535">
        <w:t>stipulates that evaluation reports and summaries are released on web platforms (as prescribed by the Treasury Board Secretariat)</w:t>
      </w:r>
      <w:r w:rsidR="006F1DE3">
        <w:t>, and</w:t>
      </w:r>
      <w:r w:rsidR="00CB5535">
        <w:t xml:space="preserve"> </w:t>
      </w:r>
      <w:r w:rsidR="006F1DE3">
        <w:t>e</w:t>
      </w:r>
      <w:r>
        <w:t>valuation reports are published in a specific section of the website of the department or agency that they relate to</w:t>
      </w:r>
      <w:r w:rsidR="008D5CAD">
        <w:t xml:space="preserve"> </w:t>
      </w:r>
      <w:r w:rsidR="0034530B" w:rsidRPr="0034530B">
        <w:rPr>
          <w:szCs w:val="24"/>
        </w:rPr>
        <w:t>(Government of Canada 2019)</w:t>
      </w:r>
      <w:r>
        <w:t xml:space="preserve">. In contrast, in </w:t>
      </w:r>
      <w:r w:rsidRPr="00CD1E16">
        <w:rPr>
          <w:b/>
        </w:rPr>
        <w:t>Norway</w:t>
      </w:r>
      <w:r>
        <w:t>, evaluations carried out on behalf of government agencies are published in a single publicly</w:t>
      </w:r>
      <w:r w:rsidR="00BB23BC">
        <w:noBreakHyphen/>
      </w:r>
      <w:r>
        <w:t>accessible online evaluation repository</w:t>
      </w:r>
      <w:r w:rsidR="008C07F7">
        <w:t xml:space="preserve"> jointly</w:t>
      </w:r>
      <w:r>
        <w:t xml:space="preserve"> managed by the Norwegian Directorate for Financial Management and the National Library of Norway</w:t>
      </w:r>
      <w:r w:rsidR="009727FC">
        <w:t xml:space="preserve"> </w:t>
      </w:r>
      <w:r w:rsidR="007211A5" w:rsidRPr="007211A5">
        <w:rPr>
          <w:szCs w:val="24"/>
        </w:rPr>
        <w:t>(OECD 2020a, p. 107)</w:t>
      </w:r>
      <w:r>
        <w:t xml:space="preserve">. </w:t>
      </w:r>
    </w:p>
    <w:p w14:paraId="259B6541" w14:textId="7651848C" w:rsidR="00EA3FCA" w:rsidRDefault="00F126A4" w:rsidP="00E93051">
      <w:pPr>
        <w:pStyle w:val="BodyText"/>
      </w:pPr>
      <w:r>
        <w:t>Approaches for translating</w:t>
      </w:r>
      <w:r w:rsidR="008419EB">
        <w:t xml:space="preserve"> </w:t>
      </w:r>
      <w:r>
        <w:t>evaluation knowledge have also been established in some</w:t>
      </w:r>
      <w:r w:rsidRPr="00B3333D">
        <w:t xml:space="preserve"> countries. Defined broadly, these approaches seek </w:t>
      </w:r>
      <w:r w:rsidR="00E93051" w:rsidRPr="00D05D80">
        <w:t>to enhance the usability and usefulness o</w:t>
      </w:r>
      <w:r w:rsidR="00E93051">
        <w:t>f evaluation findings by contextualising and/or synthesising the findings</w:t>
      </w:r>
      <w:r w:rsidR="00213694">
        <w:t xml:space="preserve"> to produce clear, actionable and policy</w:t>
      </w:r>
      <w:r w:rsidR="00893A1A">
        <w:noBreakHyphen/>
      </w:r>
      <w:r w:rsidR="00213694">
        <w:t>relevant evidence</w:t>
      </w:r>
      <w:r w:rsidR="00E93051">
        <w:t xml:space="preserve">. </w:t>
      </w:r>
    </w:p>
    <w:p w14:paraId="5F9B4585" w14:textId="78B6C2E3" w:rsidR="00FE6F86" w:rsidRDefault="00F126A4" w:rsidP="00F126A4">
      <w:pPr>
        <w:pStyle w:val="BodyText"/>
      </w:pPr>
      <w:r>
        <w:t xml:space="preserve">The </w:t>
      </w:r>
      <w:r w:rsidRPr="000D508D">
        <w:rPr>
          <w:i/>
        </w:rPr>
        <w:t>What Works</w:t>
      </w:r>
      <w:r>
        <w:rPr>
          <w:i/>
        </w:rPr>
        <w:t xml:space="preserve"> </w:t>
      </w:r>
      <w:r w:rsidRPr="00686FE6">
        <w:rPr>
          <w:i/>
        </w:rPr>
        <w:t>Network</w:t>
      </w:r>
      <w:r>
        <w:t xml:space="preserve"> of the </w:t>
      </w:r>
      <w:r w:rsidRPr="00CD1E16">
        <w:rPr>
          <w:b/>
        </w:rPr>
        <w:t>United Kingdom</w:t>
      </w:r>
      <w:r>
        <w:t xml:space="preserve"> provide</w:t>
      </w:r>
      <w:r w:rsidR="00A84001">
        <w:t>s</w:t>
      </w:r>
      <w:r>
        <w:t xml:space="preserve"> an example </w:t>
      </w:r>
      <w:r w:rsidR="007E0A3E">
        <w:t>of</w:t>
      </w:r>
      <w:r w:rsidR="00A40DCC">
        <w:t xml:space="preserve"> knowledge translation in</w:t>
      </w:r>
      <w:r>
        <w:t xml:space="preserve"> practice. Established in 2013, the network currently consists of nine centres (with an additional three affiliate members and one associate member)</w:t>
      </w:r>
      <w:r w:rsidR="00314A86">
        <w:t xml:space="preserve"> </w:t>
      </w:r>
      <w:r w:rsidR="00314A86" w:rsidRPr="00314A86">
        <w:rPr>
          <w:szCs w:val="24"/>
        </w:rPr>
        <w:t>(Government of the United Kingdom 2019)</w:t>
      </w:r>
      <w:r>
        <w:t>. Each centre focuses on a unique policy area</w:t>
      </w:r>
      <w:r w:rsidR="00DF01FD" w:rsidRPr="003D5EE8">
        <w:rPr>
          <w:rStyle w:val="FootnoteReference"/>
        </w:rPr>
        <w:footnoteReference w:id="11"/>
      </w:r>
      <w:r>
        <w:t xml:space="preserve"> and operates in their own way</w:t>
      </w:r>
      <w:r w:rsidR="0008145E">
        <w:t>, b</w:t>
      </w:r>
      <w:r>
        <w:t>ut all centres share a common remit that includes knowledge translation (box</w:t>
      </w:r>
      <w:r w:rsidR="006F4B93">
        <w:t> </w:t>
      </w:r>
      <w:r>
        <w:t>D.</w:t>
      </w:r>
      <w:r w:rsidR="00E36AD3">
        <w:t>5</w:t>
      </w:r>
      <w:r>
        <w:t>).</w:t>
      </w:r>
    </w:p>
    <w:p w14:paraId="5AFB4D4A" w14:textId="702E02F8" w:rsidR="00F126A4" w:rsidRDefault="002955AF" w:rsidP="00F126A4">
      <w:pPr>
        <w:pStyle w:val="BodyText"/>
      </w:pPr>
      <w:r w:rsidRPr="006F4B93">
        <w:rPr>
          <w:i/>
        </w:rPr>
        <w:t>What Works Centres</w:t>
      </w:r>
      <w:r>
        <w:t xml:space="preserve"> are</w:t>
      </w:r>
      <w:r w:rsidR="00FE6F86">
        <w:t xml:space="preserve"> funded</w:t>
      </w:r>
      <w:r>
        <w:t xml:space="preserve"> through a combination of government and non</w:t>
      </w:r>
      <w:r w:rsidR="00FC7E6E">
        <w:noBreakHyphen/>
      </w:r>
      <w:r>
        <w:t>government contributions</w:t>
      </w:r>
      <w:r w:rsidR="002C4349">
        <w:t>, and different centres have different levels of funding</w:t>
      </w:r>
      <w:r w:rsidR="00380C84">
        <w:t xml:space="preserve"> </w:t>
      </w:r>
      <w:r w:rsidR="002C4349" w:rsidRPr="002C4349">
        <w:rPr>
          <w:szCs w:val="24"/>
        </w:rPr>
        <w:t>(Government of the United Kingdom 2019; What Works Network 2018)</w:t>
      </w:r>
      <w:r>
        <w:t>.</w:t>
      </w:r>
      <w:r w:rsidR="004412B3">
        <w:t xml:space="preserve"> Membership to the </w:t>
      </w:r>
      <w:r w:rsidR="004412B3" w:rsidRPr="006F4B93">
        <w:rPr>
          <w:i/>
        </w:rPr>
        <w:t>What Works Network</w:t>
      </w:r>
      <w:r w:rsidR="004412B3">
        <w:rPr>
          <w:i/>
        </w:rPr>
        <w:t xml:space="preserve"> </w:t>
      </w:r>
      <w:r w:rsidR="004412B3">
        <w:t xml:space="preserve">requires a commitment </w:t>
      </w:r>
      <w:r w:rsidR="009C0D8A">
        <w:t>to uphold a</w:t>
      </w:r>
      <w:r w:rsidR="004412B3">
        <w:t xml:space="preserve"> number of principles, including independence</w:t>
      </w:r>
      <w:r w:rsidR="00B73CD2">
        <w:t xml:space="preserve"> </w:t>
      </w:r>
      <w:r w:rsidR="00B73CD2">
        <w:lastRenderedPageBreak/>
        <w:t>(</w:t>
      </w:r>
      <w:r w:rsidR="009C0D8A">
        <w:t>which includes</w:t>
      </w:r>
      <w:r w:rsidR="00B73CD2">
        <w:t xml:space="preserve"> retaining editorial control over research and products)</w:t>
      </w:r>
      <w:r w:rsidR="004412B3">
        <w:t>, methodological rigour, capacity building and transparency</w:t>
      </w:r>
      <w:r w:rsidR="00C81FCF">
        <w:t xml:space="preserve"> </w:t>
      </w:r>
      <w:r w:rsidR="0073070E" w:rsidRPr="0073070E">
        <w:rPr>
          <w:szCs w:val="24"/>
        </w:rPr>
        <w:t>(Cabinet Office (UK) 2018, p. 3)</w:t>
      </w:r>
      <w:r w:rsidR="004412B3">
        <w:t xml:space="preserve">. </w:t>
      </w:r>
    </w:p>
    <w:p w14:paraId="352C8B03" w14:textId="331184F9" w:rsidR="00F126A4" w:rsidRDefault="00F126A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26A4" w14:paraId="3D42FB74" w14:textId="77777777" w:rsidTr="009D0B5F">
        <w:trPr>
          <w:tblHeader/>
        </w:trPr>
        <w:tc>
          <w:tcPr>
            <w:tcW w:w="5000" w:type="pct"/>
            <w:tcBorders>
              <w:top w:val="single" w:sz="6" w:space="0" w:color="2493D1"/>
              <w:left w:val="nil"/>
              <w:bottom w:val="nil"/>
              <w:right w:val="nil"/>
            </w:tcBorders>
            <w:shd w:val="clear" w:color="auto" w:fill="F2F2F2"/>
          </w:tcPr>
          <w:p w14:paraId="08DDBA5B" w14:textId="3AFE2B81" w:rsidR="00F126A4" w:rsidRDefault="00F126A4" w:rsidP="008347F0">
            <w:pPr>
              <w:pStyle w:val="BoxTitle"/>
            </w:pPr>
            <w:r>
              <w:rPr>
                <w:b w:val="0"/>
              </w:rPr>
              <w:t xml:space="preserve">Box </w:t>
            </w:r>
            <w:r w:rsidR="00B464FC">
              <w:rPr>
                <w:b w:val="0"/>
              </w:rPr>
              <w:t>D.</w:t>
            </w:r>
            <w:r w:rsidR="00E36AD3">
              <w:rPr>
                <w:b w:val="0"/>
              </w:rPr>
              <w:t>5</w:t>
            </w:r>
            <w:r>
              <w:tab/>
              <w:t xml:space="preserve">The remit of </w:t>
            </w:r>
            <w:r w:rsidRPr="006F4B93">
              <w:rPr>
                <w:i/>
              </w:rPr>
              <w:t>What Works Centres</w:t>
            </w:r>
          </w:p>
        </w:tc>
      </w:tr>
      <w:tr w:rsidR="00F126A4" w14:paraId="44B4B6DF" w14:textId="77777777" w:rsidTr="00F9621F">
        <w:tc>
          <w:tcPr>
            <w:tcW w:w="5000" w:type="pct"/>
            <w:tcBorders>
              <w:top w:val="nil"/>
              <w:left w:val="nil"/>
              <w:bottom w:val="nil"/>
              <w:right w:val="nil"/>
            </w:tcBorders>
            <w:shd w:val="clear" w:color="auto" w:fill="F2F2F2"/>
          </w:tcPr>
          <w:p w14:paraId="010EE758" w14:textId="27C4DAFB" w:rsidR="00F126A4" w:rsidRDefault="00F126A4" w:rsidP="00F126A4">
            <w:pPr>
              <w:pStyle w:val="Box"/>
            </w:pPr>
            <w:r>
              <w:t xml:space="preserve">The overall objective </w:t>
            </w:r>
            <w:r w:rsidR="00563B18">
              <w:t xml:space="preserve">of the </w:t>
            </w:r>
            <w:r w:rsidR="00563B18" w:rsidRPr="00A44427">
              <w:rPr>
                <w:i/>
              </w:rPr>
              <w:t>What Works Network</w:t>
            </w:r>
            <w:r w:rsidR="00563B18">
              <w:t xml:space="preserve"> is to:</w:t>
            </w:r>
          </w:p>
          <w:p w14:paraId="33CDD5A4" w14:textId="230D1D9E" w:rsidR="00F126A4" w:rsidRDefault="0008145E" w:rsidP="00F126A4">
            <w:pPr>
              <w:pStyle w:val="BoxQuote"/>
            </w:pPr>
            <w:r>
              <w:t xml:space="preserve">… </w:t>
            </w:r>
            <w:r w:rsidR="00F126A4">
              <w:t>provide the best evidence of ‘what works’ to the people who make decisions about public services. These people include, among others, government ministers</w:t>
            </w:r>
            <w:r w:rsidR="00E97899">
              <w:t>,</w:t>
            </w:r>
            <w:r w:rsidR="00F126A4">
              <w:t xml:space="preserve"> civil servants, council leaders, service commissioners, citizens themselves and professionals from across the public sector</w:t>
            </w:r>
            <w:r w:rsidR="00565FC0">
              <w:t>.</w:t>
            </w:r>
            <w:r w:rsidR="00C07F4E">
              <w:t xml:space="preserve"> (p. 1)</w:t>
            </w:r>
          </w:p>
          <w:p w14:paraId="7A89B0AB" w14:textId="663894AB" w:rsidR="00F126A4" w:rsidRDefault="00563B18" w:rsidP="00F126A4">
            <w:pPr>
              <w:pStyle w:val="Box"/>
            </w:pPr>
            <w:r>
              <w:t xml:space="preserve">To pursue this objective, </w:t>
            </w:r>
            <w:r w:rsidR="00F126A4" w:rsidRPr="006F4B93">
              <w:rPr>
                <w:i/>
              </w:rPr>
              <w:t>What Works Centres</w:t>
            </w:r>
            <w:r w:rsidR="00F126A4">
              <w:t xml:space="preserve"> are required to</w:t>
            </w:r>
            <w:r w:rsidR="00147B61">
              <w:t xml:space="preserve"> undertake three core functions. </w:t>
            </w:r>
            <w:r w:rsidR="00F126A4">
              <w:t xml:space="preserve">The first of these functions focuses on </w:t>
            </w:r>
            <w:r w:rsidR="00E97899">
              <w:t>generating</w:t>
            </w:r>
            <w:r w:rsidR="00F126A4">
              <w:t xml:space="preserve"> high</w:t>
            </w:r>
            <w:r w:rsidR="00BB23BC">
              <w:noBreakHyphen/>
            </w:r>
            <w:r w:rsidR="00F126A4">
              <w:t xml:space="preserve">quality and relevant evidence on what works — and what does not — for their specified policy area. </w:t>
            </w:r>
            <w:r w:rsidR="00825434">
              <w:t>This includes identifying research gaps and working with research partners to fill them</w:t>
            </w:r>
            <w:r w:rsidR="00F44186">
              <w:t>.</w:t>
            </w:r>
            <w:r w:rsidR="00825434">
              <w:t xml:space="preserve"> </w:t>
            </w:r>
            <w:r w:rsidR="00F126A4">
              <w:t>Another function centres on improving the use of and demand for high</w:t>
            </w:r>
            <w:r w:rsidR="00BB23BC">
              <w:noBreakHyphen/>
            </w:r>
            <w:r w:rsidR="00F126A4">
              <w:t xml:space="preserve">quality evidence among decision makers. The final function relates to knowledge translation. </w:t>
            </w:r>
          </w:p>
          <w:p w14:paraId="0F4B8F64" w14:textId="0E78BA00" w:rsidR="00F126A4" w:rsidRDefault="0008145E" w:rsidP="00F126A4">
            <w:pPr>
              <w:pStyle w:val="Box"/>
            </w:pPr>
            <w:r>
              <w:t xml:space="preserve">On </w:t>
            </w:r>
            <w:r w:rsidR="00F126A4">
              <w:t>knowledge translation,</w:t>
            </w:r>
            <w:r w:rsidR="00F126A4" w:rsidRPr="006F4B93">
              <w:rPr>
                <w:i/>
              </w:rPr>
              <w:t xml:space="preserve"> What Works Centres</w:t>
            </w:r>
            <w:r w:rsidR="00F126A4">
              <w:t>:</w:t>
            </w:r>
          </w:p>
          <w:p w14:paraId="60C8A38D" w14:textId="4600579D" w:rsidR="00F126A4" w:rsidRDefault="00F126A4" w:rsidP="00F126A4">
            <w:pPr>
              <w:pStyle w:val="BoxQuote"/>
            </w:pPr>
            <w:r>
              <w:t>… identify decision</w:t>
            </w:r>
            <w:r w:rsidR="00BB23BC">
              <w:noBreakHyphen/>
            </w:r>
            <w:r w:rsidR="00E97899">
              <w:t>makers</w:t>
            </w:r>
            <w:r>
              <w:t xml:space="preserve"> in their policy area, and commit to translating technical research into a format they can understand and use. They strive to understand their users’ needs and put them at the heart of everything they do.</w:t>
            </w:r>
            <w:r w:rsidR="00565FC0">
              <w:t xml:space="preserve"> (p. 5)</w:t>
            </w:r>
          </w:p>
          <w:p w14:paraId="0C374938" w14:textId="3ADF0A26" w:rsidR="00F126A4" w:rsidRDefault="00F126A4" w:rsidP="00F126A4">
            <w:pPr>
              <w:pStyle w:val="Box"/>
            </w:pPr>
            <w:r>
              <w:t xml:space="preserve">In delivering this translation function, </w:t>
            </w:r>
            <w:r w:rsidRPr="00A44427">
              <w:rPr>
                <w:i/>
              </w:rPr>
              <w:t>What Works Centres</w:t>
            </w:r>
            <w:r w:rsidR="0047086F">
              <w:t xml:space="preserve"> are required to</w:t>
            </w:r>
            <w:r>
              <w:t>:</w:t>
            </w:r>
          </w:p>
          <w:p w14:paraId="40009986" w14:textId="77777777" w:rsidR="00F126A4" w:rsidRDefault="00F126A4" w:rsidP="006F4B93">
            <w:pPr>
              <w:pStyle w:val="BoxQuoteBullet"/>
            </w:pPr>
            <w:r>
              <w:t>publicise and share evidence generated with users, providing guidance on how to interpret and use the information and adapting style where needed</w:t>
            </w:r>
          </w:p>
          <w:p w14:paraId="720E7BA6" w14:textId="69EA4CA5" w:rsidR="00F126A4" w:rsidRDefault="00F126A4" w:rsidP="006F4B93">
            <w:pPr>
              <w:pStyle w:val="BoxQuoteBullet"/>
            </w:pPr>
            <w:r>
              <w:t>maintain independence and methodological rigour when communicating the evidence, making sure that advice to users does not reach beyond what the evidence suggests and primacy is given to findings from high</w:t>
            </w:r>
            <w:r w:rsidR="00BB23BC">
              <w:noBreakHyphen/>
            </w:r>
            <w:r>
              <w:t>quality</w:t>
            </w:r>
            <w:r w:rsidR="00E47708">
              <w:t xml:space="preserve"> impact</w:t>
            </w:r>
            <w:r>
              <w:t xml:space="preserve"> evaluations</w:t>
            </w:r>
          </w:p>
          <w:p w14:paraId="30AA8492" w14:textId="267AB037" w:rsidR="00F126A4" w:rsidRDefault="00F126A4" w:rsidP="006F4B93">
            <w:pPr>
              <w:pStyle w:val="BoxQuoteBullet"/>
            </w:pPr>
            <w:r>
              <w:t>commit to a high level of transparency around all evidence and recommendations to decision</w:t>
            </w:r>
            <w:r w:rsidR="00BB23BC">
              <w:noBreakHyphen/>
            </w:r>
            <w:r>
              <w:t>makers</w:t>
            </w:r>
          </w:p>
          <w:p w14:paraId="4DB570C9" w14:textId="13E55EDE" w:rsidR="00F126A4" w:rsidRDefault="00F126A4" w:rsidP="006F4B93">
            <w:pPr>
              <w:pStyle w:val="BoxQuoteBullet"/>
            </w:pPr>
            <w:r>
              <w:t>use plain English explanations of the limitations of any advice to ensure that users do no</w:t>
            </w:r>
            <w:r w:rsidR="007C00D1">
              <w:t>t</w:t>
            </w:r>
            <w:r>
              <w:t xml:space="preserve"> misuse the evidence published by the centre.</w:t>
            </w:r>
            <w:r w:rsidR="002A2AC4">
              <w:t xml:space="preserve"> (p. 5)</w:t>
            </w:r>
          </w:p>
        </w:tc>
      </w:tr>
      <w:tr w:rsidR="00F126A4" w14:paraId="7DEAE729" w14:textId="77777777" w:rsidTr="00F9621F">
        <w:tc>
          <w:tcPr>
            <w:tcW w:w="5000" w:type="pct"/>
            <w:tcBorders>
              <w:top w:val="nil"/>
              <w:left w:val="nil"/>
              <w:bottom w:val="nil"/>
              <w:right w:val="nil"/>
            </w:tcBorders>
            <w:shd w:val="clear" w:color="auto" w:fill="F2F2F2"/>
          </w:tcPr>
          <w:p w14:paraId="63D85968" w14:textId="12B370A4" w:rsidR="00F126A4" w:rsidRDefault="00F126A4" w:rsidP="00F055A8">
            <w:pPr>
              <w:pStyle w:val="BoxSource"/>
            </w:pPr>
            <w:r>
              <w:rPr>
                <w:i/>
              </w:rPr>
              <w:t>Source</w:t>
            </w:r>
            <w:r w:rsidRPr="00167F06">
              <w:t xml:space="preserve">: </w:t>
            </w:r>
            <w:r w:rsidR="00F316B7">
              <w:t>Cabinet Office (UK)</w:t>
            </w:r>
            <w:r w:rsidR="00F316B7" w:rsidDel="00F316B7">
              <w:t xml:space="preserve"> </w:t>
            </w:r>
            <w:r w:rsidR="00F316B7" w:rsidRPr="00F316B7">
              <w:rPr>
                <w:rFonts w:cs="Arial"/>
              </w:rPr>
              <w:t>(2018)</w:t>
            </w:r>
            <w:r w:rsidR="00F055A8">
              <w:t>.</w:t>
            </w:r>
          </w:p>
        </w:tc>
      </w:tr>
      <w:tr w:rsidR="00F126A4" w14:paraId="68C00062" w14:textId="77777777" w:rsidTr="009D0B5F">
        <w:tc>
          <w:tcPr>
            <w:tcW w:w="5000" w:type="pct"/>
            <w:tcBorders>
              <w:top w:val="nil"/>
              <w:left w:val="nil"/>
              <w:bottom w:val="single" w:sz="6" w:space="0" w:color="2493D1"/>
              <w:right w:val="nil"/>
            </w:tcBorders>
            <w:shd w:val="clear" w:color="auto" w:fill="F2F2F2"/>
          </w:tcPr>
          <w:p w14:paraId="37B2FDD1" w14:textId="77777777" w:rsidR="00F126A4" w:rsidRDefault="00F126A4">
            <w:pPr>
              <w:pStyle w:val="Box"/>
              <w:spacing w:before="0" w:line="120" w:lineRule="exact"/>
            </w:pPr>
          </w:p>
        </w:tc>
      </w:tr>
      <w:tr w:rsidR="00F126A4" w:rsidRPr="000863A5" w14:paraId="0B650C82" w14:textId="77777777" w:rsidTr="009D0B5F">
        <w:tc>
          <w:tcPr>
            <w:tcW w:w="5000" w:type="pct"/>
            <w:tcBorders>
              <w:top w:val="single" w:sz="6" w:space="0" w:color="2493D1"/>
              <w:left w:val="nil"/>
              <w:bottom w:val="nil"/>
              <w:right w:val="nil"/>
            </w:tcBorders>
          </w:tcPr>
          <w:p w14:paraId="28DB980E" w14:textId="422712E8" w:rsidR="00F126A4" w:rsidRPr="00626D32" w:rsidRDefault="00F126A4" w:rsidP="00F9621F">
            <w:pPr>
              <w:pStyle w:val="BoxSpaceBelow"/>
            </w:pPr>
          </w:p>
        </w:tc>
      </w:tr>
    </w:tbl>
    <w:p w14:paraId="70514DEA" w14:textId="660B4FEC" w:rsidR="00F126A4" w:rsidRDefault="00526388" w:rsidP="00F126A4">
      <w:pPr>
        <w:pStyle w:val="BodyText"/>
      </w:pPr>
      <w:r>
        <w:t>In their first five years (</w:t>
      </w:r>
      <w:r w:rsidR="00A44427">
        <w:t>from</w:t>
      </w:r>
      <w:r>
        <w:t xml:space="preserve"> 2013 to 2018)</w:t>
      </w:r>
      <w:r w:rsidR="00F126A4">
        <w:t xml:space="preserve">, </w:t>
      </w:r>
      <w:r w:rsidR="00F126A4" w:rsidRPr="006F4B93">
        <w:rPr>
          <w:i/>
        </w:rPr>
        <w:t xml:space="preserve">What Works </w:t>
      </w:r>
      <w:r w:rsidR="00CF4AE4" w:rsidRPr="006F4B93">
        <w:rPr>
          <w:i/>
        </w:rPr>
        <w:t xml:space="preserve">Centres </w:t>
      </w:r>
      <w:r w:rsidR="00F126A4">
        <w:t xml:space="preserve">have collectively produced or commissioned nearly 50 systematic reviews </w:t>
      </w:r>
      <w:r w:rsidR="007C00D1">
        <w:t xml:space="preserve">of </w:t>
      </w:r>
      <w:r w:rsidR="00F126A4">
        <w:t xml:space="preserve">the evidence base within their policy </w:t>
      </w:r>
      <w:r w:rsidR="00F126A4" w:rsidRPr="00422093">
        <w:t>areas, and five centres have pro</w:t>
      </w:r>
      <w:r w:rsidR="00F126A4">
        <w:t>duced evidence comparison toolkits that use common measures to ‘rate’ interventions on the basis of their</w:t>
      </w:r>
      <w:r w:rsidR="001767B1">
        <w:t xml:space="preserve"> impact</w:t>
      </w:r>
      <w:r w:rsidR="00627E16">
        <w:t>,</w:t>
      </w:r>
      <w:r w:rsidR="00F126A4">
        <w:t xml:space="preserve"> cost</w:t>
      </w:r>
      <w:r w:rsidR="001767B1">
        <w:t xml:space="preserve"> and </w:t>
      </w:r>
      <w:r w:rsidR="00F126A4">
        <w:t xml:space="preserve">the strength of the evidence supporting them </w:t>
      </w:r>
      <w:r w:rsidR="0093150B" w:rsidRPr="0093150B">
        <w:rPr>
          <w:szCs w:val="24"/>
        </w:rPr>
        <w:t>(What Works Network 2018, pp. 11, 21)</w:t>
      </w:r>
      <w:r w:rsidR="00F126A4">
        <w:t xml:space="preserve">. </w:t>
      </w:r>
    </w:p>
    <w:p w14:paraId="428C7BBB" w14:textId="77777777" w:rsidR="00F126A4" w:rsidRPr="0019350B" w:rsidRDefault="00F126A4" w:rsidP="00F126A4">
      <w:pPr>
        <w:pStyle w:val="Heading3"/>
      </w:pPr>
      <w:r>
        <w:t>Use of evaluation and evidence champions</w:t>
      </w:r>
    </w:p>
    <w:p w14:paraId="76687512" w14:textId="41F582F6" w:rsidR="00F126A4" w:rsidRDefault="00F126A4" w:rsidP="00F126A4">
      <w:pPr>
        <w:pStyle w:val="BodyText"/>
      </w:pPr>
      <w:r>
        <w:t xml:space="preserve">Several countries have established </w:t>
      </w:r>
      <w:r w:rsidR="001C4033">
        <w:t xml:space="preserve">functions </w:t>
      </w:r>
      <w:r>
        <w:t>— of varying degrees of separation from government — to ‘champion’ or promote the effective use of evaluation (and/or evidence more broadly) within government agencies.</w:t>
      </w:r>
      <w:r w:rsidR="001C4033">
        <w:t xml:space="preserve"> An</w:t>
      </w:r>
      <w:r w:rsidR="00F442EF">
        <w:t xml:space="preserve"> evaluation or</w:t>
      </w:r>
      <w:r w:rsidR="001C4033">
        <w:t xml:space="preserve"> evidence champion function may be housed within an individual or an organisation, or be spread across a network. </w:t>
      </w:r>
      <w:r>
        <w:t xml:space="preserve">This role often sits </w:t>
      </w:r>
      <w:r w:rsidR="006F4B93">
        <w:t xml:space="preserve">within </w:t>
      </w:r>
      <w:r>
        <w:t xml:space="preserve">a wider remit, as is the case with the </w:t>
      </w:r>
      <w:r w:rsidR="00DD6A06" w:rsidRPr="00DD6A06">
        <w:rPr>
          <w:b/>
        </w:rPr>
        <w:t>United Kingdom’s</w:t>
      </w:r>
      <w:r>
        <w:t xml:space="preserve"> </w:t>
      </w:r>
      <w:r>
        <w:rPr>
          <w:i/>
        </w:rPr>
        <w:t>What Works Centres</w:t>
      </w:r>
      <w:r>
        <w:t>, who are required to ‘commit to improving the use</w:t>
      </w:r>
      <w:r w:rsidR="00A873B0">
        <w:t xml:space="preserve"> of</w:t>
      </w:r>
      <w:r>
        <w:t xml:space="preserve"> and demand for high</w:t>
      </w:r>
      <w:r w:rsidR="00BB23BC">
        <w:noBreakHyphen/>
      </w:r>
      <w:r>
        <w:t xml:space="preserve">quality </w:t>
      </w:r>
      <w:r>
        <w:lastRenderedPageBreak/>
        <w:t>evidence</w:t>
      </w:r>
      <w:r w:rsidR="00A873B0">
        <w:t xml:space="preserve"> among decision</w:t>
      </w:r>
      <w:r w:rsidR="00EF7B9F">
        <w:t xml:space="preserve"> </w:t>
      </w:r>
      <w:r w:rsidR="00A873B0">
        <w:t>makers</w:t>
      </w:r>
      <w:r>
        <w:t>’ in addition to their knowledge generation and translation functions (discussed above)</w:t>
      </w:r>
      <w:r w:rsidR="000D2149">
        <w:t xml:space="preserve"> </w:t>
      </w:r>
      <w:r w:rsidR="000D2149" w:rsidRPr="000D2149">
        <w:rPr>
          <w:szCs w:val="24"/>
        </w:rPr>
        <w:t>(Cabinet Office (UK) 2018, p.</w:t>
      </w:r>
      <w:r w:rsidR="000D2149" w:rsidRPr="00F81EFA">
        <w:rPr>
          <w:szCs w:val="24"/>
        </w:rPr>
        <w:t> </w:t>
      </w:r>
      <w:r w:rsidR="000D2149" w:rsidRPr="004B3273">
        <w:rPr>
          <w:szCs w:val="24"/>
        </w:rPr>
        <w:t>5)</w:t>
      </w:r>
      <w:r>
        <w:t xml:space="preserve">. As part of this commitment, centres are tasked with providing advice and encouragement for those commissioning and delivering innovative interventions to evaluate their work. </w:t>
      </w:r>
    </w:p>
    <w:p w14:paraId="206039F6" w14:textId="14A9DD54" w:rsidR="00F126A4" w:rsidRDefault="00F126A4" w:rsidP="00F126A4">
      <w:pPr>
        <w:pStyle w:val="BodyText"/>
      </w:pPr>
      <w:r>
        <w:t xml:space="preserve">In the </w:t>
      </w:r>
      <w:r w:rsidRPr="00235BC2">
        <w:rPr>
          <w:b/>
        </w:rPr>
        <w:t>United States</w:t>
      </w:r>
      <w:r>
        <w:t>, one of the core functions</w:t>
      </w:r>
      <w:r w:rsidR="00526D04">
        <w:t xml:space="preserve"> of</w:t>
      </w:r>
      <w:r>
        <w:t xml:space="preserve"> evaluation officers </w:t>
      </w:r>
      <w:r w:rsidR="0008145E">
        <w:t xml:space="preserve">is </w:t>
      </w:r>
      <w:r>
        <w:t>to serve as a champion for evaluation within their agency</w:t>
      </w:r>
      <w:r w:rsidR="004C7DDA">
        <w:t xml:space="preserve"> (</w:t>
      </w:r>
      <w:r w:rsidR="00B878A7">
        <w:t>box </w:t>
      </w:r>
      <w:r w:rsidR="004C7DDA">
        <w:t>D</w:t>
      </w:r>
      <w:r w:rsidR="00F45BE1">
        <w:t>.</w:t>
      </w:r>
      <w:r w:rsidR="004C7DDA">
        <w:t>2)</w:t>
      </w:r>
      <w:r>
        <w:t xml:space="preserve">.  </w:t>
      </w:r>
    </w:p>
    <w:p w14:paraId="269C671D" w14:textId="2FD895E6" w:rsidR="00F126A4" w:rsidRDefault="00F126A4" w:rsidP="00F126A4">
      <w:pPr>
        <w:pStyle w:val="BodyText"/>
      </w:pPr>
      <w:r>
        <w:t xml:space="preserve">In </w:t>
      </w:r>
      <w:r w:rsidRPr="00235BC2">
        <w:rPr>
          <w:b/>
        </w:rPr>
        <w:t>New Zealand</w:t>
      </w:r>
      <w:r w:rsidR="00B475A2">
        <w:t xml:space="preserve">, a form of </w:t>
      </w:r>
      <w:r>
        <w:t>championing function appears to reside with the Prime Minister’s Chief Scientific Advisor (PMCSA). While the role of the PMCSA is to provide high</w:t>
      </w:r>
      <w:r w:rsidR="00BB23BC">
        <w:noBreakHyphen/>
      </w:r>
      <w:r>
        <w:t>quality, independent, scientific advice to the Prime Minister and</w:t>
      </w:r>
      <w:r w:rsidR="00A27204">
        <w:t xml:space="preserve"> the</w:t>
      </w:r>
      <w:r>
        <w:t xml:space="preserve"> Government, the terms of reference for the PMCSA note that the Advisor may also:</w:t>
      </w:r>
    </w:p>
    <w:p w14:paraId="592C87B8" w14:textId="77777777" w:rsidR="00F126A4" w:rsidRDefault="00F126A4" w:rsidP="00F126A4">
      <w:pPr>
        <w:pStyle w:val="ListBullet"/>
      </w:pPr>
      <w:r>
        <w:t>promote the understanding of science by the public, policy makers and elected officials, and assist in the understanding of where science can benefit New Zealand</w:t>
      </w:r>
    </w:p>
    <w:p w14:paraId="1C5F82ED" w14:textId="032D0CBD" w:rsidR="00F126A4" w:rsidRDefault="00F126A4" w:rsidP="00F126A4">
      <w:pPr>
        <w:pStyle w:val="ListBullet"/>
      </w:pPr>
      <w:r>
        <w:t>undertake activities that enhance the use of science and evidence in policy formation and evaluation across government</w:t>
      </w:r>
      <w:r w:rsidR="004B3273">
        <w:t xml:space="preserve"> </w:t>
      </w:r>
      <w:r w:rsidR="005F4CC1" w:rsidRPr="005F4CC1">
        <w:rPr>
          <w:szCs w:val="24"/>
        </w:rPr>
        <w:t>(DPMC (NZ) 2019, p. 1)</w:t>
      </w:r>
      <w:r w:rsidR="00527574">
        <w:t>.</w:t>
      </w:r>
      <w:r>
        <w:t xml:space="preserve"> </w:t>
      </w:r>
    </w:p>
    <w:p w14:paraId="172E72DA" w14:textId="2F6EE7D2" w:rsidR="00F126A4" w:rsidRDefault="00F126A4" w:rsidP="00F126A4">
      <w:pPr>
        <w:pStyle w:val="BodyText"/>
      </w:pPr>
      <w:r>
        <w:t>Chief Science Advisors are also housed in the major departments of New Zealand. Their role includes acting as in</w:t>
      </w:r>
      <w:r w:rsidR="00BB23BC">
        <w:noBreakHyphen/>
      </w:r>
      <w:r>
        <w:t>house peer reviewers of evidence and conduits between their department and the science community</w:t>
      </w:r>
      <w:r w:rsidR="00CD79A6">
        <w:t xml:space="preserve"> </w:t>
      </w:r>
      <w:r w:rsidR="00951FBD" w:rsidRPr="00951FBD">
        <w:rPr>
          <w:szCs w:val="24"/>
        </w:rPr>
        <w:t>(Jeffares et al. 2019, p. 63)</w:t>
      </w:r>
      <w:r>
        <w:t xml:space="preserve">. The PMCSA has also recently established a </w:t>
      </w:r>
      <w:r w:rsidRPr="006F4B93">
        <w:rPr>
          <w:i/>
        </w:rPr>
        <w:t>Chief Science Advisor Forum</w:t>
      </w:r>
      <w:r>
        <w:t xml:space="preserve"> (consisting of the PMCSA, Chief Science Advisors</w:t>
      </w:r>
      <w:r w:rsidR="00830270">
        <w:t xml:space="preserve"> across government</w:t>
      </w:r>
      <w:r>
        <w:t>, and co</w:t>
      </w:r>
      <w:r w:rsidR="00BB23BC">
        <w:noBreakHyphen/>
      </w:r>
      <w:r>
        <w:t>opted members). The remit of this Forum appears to</w:t>
      </w:r>
      <w:r w:rsidR="005A718C">
        <w:t xml:space="preserve"> be</w:t>
      </w:r>
      <w:r>
        <w:t xml:space="preserve"> </w:t>
      </w:r>
      <w:r w:rsidR="005A718C">
        <w:t>in the process of being</w:t>
      </w:r>
      <w:r>
        <w:t xml:space="preserve"> established, but its draft terms of reference points to one of its functions being to ‘advance the use of science to benefit New Zealand through promoting the use of evidence to inform policy development, practice and evaluation’</w:t>
      </w:r>
      <w:r w:rsidR="005F4CC1" w:rsidRPr="005F4CC1">
        <w:rPr>
          <w:szCs w:val="24"/>
        </w:rPr>
        <w:t>(Office of the Prime Minister’s Chief Science Advisor (NZ) 2018, p. 1)</w:t>
      </w:r>
      <w:r w:rsidR="00527574">
        <w:t>.</w:t>
      </w:r>
    </w:p>
    <w:p w14:paraId="718539B9" w14:textId="77777777" w:rsidR="00F126A4" w:rsidRPr="0019350B" w:rsidRDefault="00F126A4" w:rsidP="00F126A4">
      <w:pPr>
        <w:pStyle w:val="Heading3"/>
      </w:pPr>
      <w:r>
        <w:t>Requiring management responses to evaluation recommendations</w:t>
      </w:r>
    </w:p>
    <w:p w14:paraId="186D6C25" w14:textId="05473572" w:rsidR="00F126A4" w:rsidRDefault="00F126A4" w:rsidP="00F126A4">
      <w:pPr>
        <w:pStyle w:val="BodyText"/>
      </w:pPr>
      <w:r>
        <w:t xml:space="preserve">Another mechanism to promote evaluation use in the policymaking process is to encourage or require managerial responses to evaluation recommendations, including whether recommendations are accepted, why or why not, and actions to be taken in </w:t>
      </w:r>
      <w:r w:rsidR="002015B8">
        <w:t xml:space="preserve">response </w:t>
      </w:r>
      <w:r w:rsidR="007211A5" w:rsidRPr="007211A5">
        <w:rPr>
          <w:szCs w:val="24"/>
        </w:rPr>
        <w:t>(OECD 2020a, p. 116)</w:t>
      </w:r>
      <w:r>
        <w:t xml:space="preserve">. </w:t>
      </w:r>
    </w:p>
    <w:p w14:paraId="38DA761F" w14:textId="358962A1" w:rsidR="00F126A4" w:rsidRDefault="00F126A4" w:rsidP="00F126A4">
      <w:pPr>
        <w:pStyle w:val="BodyText"/>
      </w:pPr>
      <w:r>
        <w:t>The OECD found that the use of formal management response</w:t>
      </w:r>
      <w:r w:rsidR="007734AA">
        <w:t>s</w:t>
      </w:r>
      <w:r>
        <w:t xml:space="preserve"> and follow</w:t>
      </w:r>
      <w:r w:rsidR="00BB23BC">
        <w:noBreakHyphen/>
      </w:r>
      <w:r>
        <w:t>up procedures for evaluation is relatively uncommon at a departmental level</w:t>
      </w:r>
      <w:r w:rsidR="00987B16">
        <w:t xml:space="preserve"> </w:t>
      </w:r>
      <w:r w:rsidR="007211A5" w:rsidRPr="007211A5">
        <w:rPr>
          <w:szCs w:val="24"/>
        </w:rPr>
        <w:t>(OECD 2020a, p. 116)</w:t>
      </w:r>
      <w:r>
        <w:t xml:space="preserve">. One example where such a process does exist is </w:t>
      </w:r>
      <w:r w:rsidRPr="00F126A4">
        <w:rPr>
          <w:b/>
        </w:rPr>
        <w:t>Canada</w:t>
      </w:r>
      <w:r>
        <w:t xml:space="preserve">, where evaluation reports must be accompanied </w:t>
      </w:r>
      <w:r w:rsidR="00F93221">
        <w:t>by</w:t>
      </w:r>
      <w:r>
        <w:t xml:space="preserve"> a management response and action plan</w:t>
      </w:r>
      <w:r w:rsidR="00EB4798">
        <w:t>.</w:t>
      </w:r>
      <w:r w:rsidR="0002094F" w:rsidRPr="003D5EE8">
        <w:rPr>
          <w:rStyle w:val="FootnoteReference"/>
        </w:rPr>
        <w:footnoteReference w:id="12"/>
      </w:r>
      <w:r>
        <w:t xml:space="preserve"> In some countries, it is typical for evaluations to</w:t>
      </w:r>
      <w:r w:rsidR="00157A85">
        <w:t xml:space="preserve"> be</w:t>
      </w:r>
      <w:r>
        <w:t xml:space="preserve"> responded to out of convention. For example, in the </w:t>
      </w:r>
      <w:r w:rsidRPr="0053417C">
        <w:rPr>
          <w:b/>
        </w:rPr>
        <w:t>United Kingdom</w:t>
      </w:r>
      <w:r>
        <w:t>, it is common for ministers or managers to respond to evaluation reports even though there is no formal requirement to do so</w:t>
      </w:r>
      <w:r w:rsidR="003F71D6">
        <w:t xml:space="preserve"> </w:t>
      </w:r>
      <w:r w:rsidR="007211A5" w:rsidRPr="007211A5">
        <w:rPr>
          <w:szCs w:val="24"/>
        </w:rPr>
        <w:t>(OECD 2020a, p. 118)</w:t>
      </w:r>
      <w:r w:rsidR="00F93221">
        <w:t>.</w:t>
      </w:r>
    </w:p>
    <w:p w14:paraId="2FF26352" w14:textId="3B0F1F6C" w:rsidR="00F126A4" w:rsidRDefault="00F126A4" w:rsidP="00F126A4">
      <w:pPr>
        <w:pStyle w:val="BodyText"/>
      </w:pPr>
      <w:r>
        <w:lastRenderedPageBreak/>
        <w:t>Requirements for whole</w:t>
      </w:r>
      <w:r w:rsidR="00BB23BC">
        <w:noBreakHyphen/>
      </w:r>
      <w:r>
        <w:t>of</w:t>
      </w:r>
      <w:r w:rsidR="00BB23BC">
        <w:noBreakHyphen/>
      </w:r>
      <w:r>
        <w:t xml:space="preserve">government responses to evaluations also exist in some countries. A notable example is </w:t>
      </w:r>
      <w:r w:rsidRPr="0053417C">
        <w:rPr>
          <w:b/>
        </w:rPr>
        <w:t>Japan</w:t>
      </w:r>
      <w:r>
        <w:t xml:space="preserve">, where the government </w:t>
      </w:r>
      <w:r w:rsidR="0030592B">
        <w:t>provides</w:t>
      </w:r>
      <w:r>
        <w:t xml:space="preserve"> an annual report to the Diet (Japan’s bicameral legislature) </w:t>
      </w:r>
      <w:r w:rsidR="0030592B">
        <w:t>on</w:t>
      </w:r>
      <w:r>
        <w:t xml:space="preserve"> policy evaluation</w:t>
      </w:r>
      <w:r w:rsidR="00FC7E6E">
        <w:t>, including</w:t>
      </w:r>
      <w:r>
        <w:t xml:space="preserve"> how results have been reflected in</w:t>
      </w:r>
      <w:r w:rsidR="00FC7E6E">
        <w:t xml:space="preserve"> policy</w:t>
      </w:r>
      <w:r>
        <w:t xml:space="preserve"> planning and development</w:t>
      </w:r>
      <w:r w:rsidR="003E622B">
        <w:t xml:space="preserve"> </w:t>
      </w:r>
      <w:r w:rsidR="007211A5" w:rsidRPr="007211A5">
        <w:rPr>
          <w:szCs w:val="24"/>
        </w:rPr>
        <w:t>(OECD 2020a, p. 131)</w:t>
      </w:r>
      <w:r w:rsidR="0030592B">
        <w:t>.</w:t>
      </w:r>
      <w:r>
        <w:t xml:space="preserve"> </w:t>
      </w:r>
    </w:p>
    <w:p w14:paraId="7E18300B" w14:textId="4A641861" w:rsidR="00CE660B" w:rsidRDefault="00B464FC" w:rsidP="00CE660B">
      <w:pPr>
        <w:pStyle w:val="Heading2"/>
      </w:pPr>
      <w:r>
        <w:t>D.</w:t>
      </w:r>
      <w:r w:rsidR="00907E08">
        <w:rPr>
          <w:noProof/>
        </w:rPr>
        <w:t>4</w:t>
      </w:r>
      <w:r w:rsidR="00CE660B">
        <w:tab/>
        <w:t xml:space="preserve">Approaches to evaluating policies and programs affecting </w:t>
      </w:r>
      <w:r w:rsidR="00BC72ED">
        <w:t>i</w:t>
      </w:r>
      <w:r w:rsidR="00CE660B">
        <w:t>ndigenous peoples</w:t>
      </w:r>
    </w:p>
    <w:p w14:paraId="30F83604" w14:textId="7DB74978" w:rsidR="00D229E0" w:rsidRDefault="00C0459E" w:rsidP="00173A4E">
      <w:pPr>
        <w:pStyle w:val="BodyText"/>
      </w:pPr>
      <w:r>
        <w:t xml:space="preserve">This section </w:t>
      </w:r>
      <w:r w:rsidR="00B335A6">
        <w:t>explore</w:t>
      </w:r>
      <w:r w:rsidR="004C7DDA">
        <w:t>s</w:t>
      </w:r>
      <w:r w:rsidR="00D229E0">
        <w:t xml:space="preserve"> two key questions:</w:t>
      </w:r>
    </w:p>
    <w:p w14:paraId="6BC3C3FD" w14:textId="11AB9D67" w:rsidR="00D229E0" w:rsidRDefault="00A27204" w:rsidP="00D229E0">
      <w:pPr>
        <w:pStyle w:val="ListBullet"/>
      </w:pPr>
      <w:r>
        <w:t xml:space="preserve">How </w:t>
      </w:r>
      <w:r w:rsidR="00D229E0">
        <w:t xml:space="preserve">do countries approach evaluating policies and programs that are targeted specifically at </w:t>
      </w:r>
      <w:r w:rsidR="00BC72ED">
        <w:t>i</w:t>
      </w:r>
      <w:r w:rsidR="00D229E0">
        <w:t>ndigenous peoples</w:t>
      </w:r>
      <w:r w:rsidR="00527574">
        <w:t>?</w:t>
      </w:r>
    </w:p>
    <w:p w14:paraId="191B43E0" w14:textId="7FC245D1" w:rsidR="00D229E0" w:rsidRDefault="00A27204" w:rsidP="00D229E0">
      <w:pPr>
        <w:pStyle w:val="ListBullet"/>
      </w:pPr>
      <w:r>
        <w:t xml:space="preserve">How </w:t>
      </w:r>
      <w:r w:rsidR="00D229E0">
        <w:t xml:space="preserve">do countries approach evaluating impacts and outcomes for </w:t>
      </w:r>
      <w:r w:rsidR="00BC72ED">
        <w:t>i</w:t>
      </w:r>
      <w:r w:rsidR="00D229E0">
        <w:t xml:space="preserve">ndigenous peoples when evaluating </w:t>
      </w:r>
      <w:r w:rsidR="00B335A6">
        <w:t>mainstream</w:t>
      </w:r>
      <w:r>
        <w:t xml:space="preserve"> policies</w:t>
      </w:r>
      <w:r w:rsidR="00B335A6">
        <w:t xml:space="preserve"> programs? </w:t>
      </w:r>
    </w:p>
    <w:p w14:paraId="3B840A0E" w14:textId="6626653A" w:rsidR="00173A4E" w:rsidRDefault="008D2660" w:rsidP="00173A4E">
      <w:pPr>
        <w:pStyle w:val="BodyText"/>
      </w:pPr>
      <w:r>
        <w:t>In contrast to previous section</w:t>
      </w:r>
      <w:r w:rsidR="00C2027A">
        <w:t>s</w:t>
      </w:r>
      <w:r>
        <w:t xml:space="preserve"> (which</w:t>
      </w:r>
      <w:r w:rsidR="00C2027A">
        <w:t xml:space="preserve"> have taken a</w:t>
      </w:r>
      <w:r>
        <w:t xml:space="preserve"> cross</w:t>
      </w:r>
      <w:r w:rsidR="00BB23BC">
        <w:noBreakHyphen/>
      </w:r>
      <w:r>
        <w:t>country approach to examining how countries approach evaluation generally), this section examines three countries</w:t>
      </w:r>
      <w:r w:rsidR="00453AD0">
        <w:t xml:space="preserve"> — Canada, the </w:t>
      </w:r>
      <w:r w:rsidR="00173A4E">
        <w:t>United States and New Zealand. The Commission has focused on these countries in part because they are all colonial</w:t>
      </w:r>
      <w:r w:rsidR="00BB23BC">
        <w:noBreakHyphen/>
      </w:r>
      <w:r w:rsidR="00173A4E">
        <w:t xml:space="preserve">settler nations with significant </w:t>
      </w:r>
      <w:r w:rsidR="002A17D6">
        <w:t>i</w:t>
      </w:r>
      <w:r w:rsidR="00173A4E">
        <w:t>ndigenous populations and governance and policymaking structures</w:t>
      </w:r>
      <w:r w:rsidR="00C47E9F">
        <w:t xml:space="preserve"> that are — relatively speaking — similar to Australia. </w:t>
      </w:r>
      <w:r w:rsidR="004C7DDA">
        <w:t>A</w:t>
      </w:r>
      <w:r w:rsidR="00C47E9F">
        <w:t xml:space="preserve"> number </w:t>
      </w:r>
      <w:r w:rsidR="004C7DDA">
        <w:t xml:space="preserve">of </w:t>
      </w:r>
      <w:r w:rsidR="00B747CE">
        <w:t>project</w:t>
      </w:r>
      <w:r w:rsidR="00402974">
        <w:t xml:space="preserve"> participants</w:t>
      </w:r>
      <w:r w:rsidR="00C47E9F">
        <w:t xml:space="preserve"> </w:t>
      </w:r>
      <w:r w:rsidR="004C7DDA">
        <w:t xml:space="preserve">also suggested </w:t>
      </w:r>
      <w:r w:rsidR="00C47E9F">
        <w:t xml:space="preserve">that these countries </w:t>
      </w:r>
      <w:r w:rsidR="004C7DDA">
        <w:t xml:space="preserve">could </w:t>
      </w:r>
      <w:r w:rsidR="00C47E9F">
        <w:t>harbour useful lessons for the Commission as it designed the Indigenous Evaluation Strategy</w:t>
      </w:r>
      <w:r w:rsidR="006F4B93">
        <w:t>.</w:t>
      </w:r>
      <w:r w:rsidR="006F4B93" w:rsidRPr="003D5EE8">
        <w:rPr>
          <w:rStyle w:val="FootnoteReference"/>
        </w:rPr>
        <w:footnoteReference w:id="13"/>
      </w:r>
      <w:r w:rsidR="006F4B93">
        <w:t xml:space="preserve"> </w:t>
      </w:r>
    </w:p>
    <w:p w14:paraId="305EBBB4" w14:textId="0D78170E" w:rsidR="009C7854" w:rsidRDefault="0060263F" w:rsidP="00BA15F1">
      <w:pPr>
        <w:pStyle w:val="Heading3"/>
      </w:pPr>
      <w:r>
        <w:t>Evaluation of policies</w:t>
      </w:r>
      <w:r w:rsidR="00B46311">
        <w:t xml:space="preserve"> and programs</w:t>
      </w:r>
      <w:r w:rsidR="00093835">
        <w:t xml:space="preserve"> affecting </w:t>
      </w:r>
      <w:r w:rsidR="00971334">
        <w:t>i</w:t>
      </w:r>
      <w:r w:rsidR="00093835">
        <w:t>ndigenous peoples</w:t>
      </w:r>
      <w:r>
        <w:t xml:space="preserve"> in Canada</w:t>
      </w:r>
    </w:p>
    <w:p w14:paraId="2AECD53C" w14:textId="7631E360" w:rsidR="000D1557" w:rsidRDefault="00985F6F" w:rsidP="00303301">
      <w:pPr>
        <w:pStyle w:val="BodyText"/>
      </w:pPr>
      <w:r>
        <w:t xml:space="preserve">The </w:t>
      </w:r>
      <w:r w:rsidR="000B520B">
        <w:t>i</w:t>
      </w:r>
      <w:r>
        <w:t>ndigenous peoples of Canada comprise of</w:t>
      </w:r>
      <w:r w:rsidR="00241F21">
        <w:t xml:space="preserve"> the</w:t>
      </w:r>
      <w:r>
        <w:t xml:space="preserve"> First Nations, Inuit and </w:t>
      </w:r>
      <w:proofErr w:type="spellStart"/>
      <w:r>
        <w:t>M</w:t>
      </w:r>
      <w:r w:rsidR="00241F21">
        <w:t>ѐtis</w:t>
      </w:r>
      <w:proofErr w:type="spellEnd"/>
      <w:r w:rsidR="00241F21">
        <w:t xml:space="preserve">. </w:t>
      </w:r>
      <w:r w:rsidR="00037604">
        <w:t xml:space="preserve">The relationship between First Nations, Inuit and </w:t>
      </w:r>
      <w:proofErr w:type="spellStart"/>
      <w:r w:rsidR="00037604">
        <w:t>Mѐtis</w:t>
      </w:r>
      <w:proofErr w:type="spellEnd"/>
      <w:r w:rsidR="00037604">
        <w:t xml:space="preserve"> and the Government of Canada is governed by a number of treaties, laws</w:t>
      </w:r>
      <w:r w:rsidR="00747452">
        <w:t xml:space="preserve"> (including the Constitution)</w:t>
      </w:r>
      <w:r w:rsidR="00037604">
        <w:t xml:space="preserve"> and court decisions</w:t>
      </w:r>
      <w:r w:rsidR="00184D40">
        <w:t xml:space="preserve"> </w:t>
      </w:r>
      <w:r w:rsidR="005F4CC1" w:rsidRPr="005F4CC1">
        <w:rPr>
          <w:szCs w:val="24"/>
        </w:rPr>
        <w:t>(Department of Justice Canada 2018; OECD 2020b)</w:t>
      </w:r>
      <w:r w:rsidR="00037604">
        <w:t xml:space="preserve">. </w:t>
      </w:r>
      <w:r w:rsidR="00E33FE1">
        <w:t>Unless there is negotiated self</w:t>
      </w:r>
      <w:r w:rsidR="00FC7E6E">
        <w:noBreakHyphen/>
      </w:r>
      <w:r w:rsidR="00E33FE1">
        <w:t xml:space="preserve">government in place, most First Nations are currently </w:t>
      </w:r>
      <w:r w:rsidR="00DB0E25">
        <w:t>governed</w:t>
      </w:r>
      <w:r w:rsidR="00E33FE1">
        <w:t xml:space="preserve"> by the Federal Government </w:t>
      </w:r>
      <w:r w:rsidR="00E33FE1">
        <w:rPr>
          <w:i/>
        </w:rPr>
        <w:t>Indian Act</w:t>
      </w:r>
      <w:r w:rsidR="00CE340D">
        <w:rPr>
          <w:i/>
        </w:rPr>
        <w:t xml:space="preserve"> 1985 </w:t>
      </w:r>
      <w:r w:rsidR="00CE340D">
        <w:t>(Canada)</w:t>
      </w:r>
      <w:r w:rsidR="00E33FE1">
        <w:rPr>
          <w:i/>
        </w:rPr>
        <w:t xml:space="preserve"> </w:t>
      </w:r>
      <w:r w:rsidR="00E33FE1">
        <w:t>(which establishes a limited form of local administration), although self</w:t>
      </w:r>
      <w:r w:rsidR="00FC7E6E">
        <w:noBreakHyphen/>
      </w:r>
      <w:r w:rsidR="00E33FE1">
        <w:t>government is increasing. There are currently 25 self</w:t>
      </w:r>
      <w:r w:rsidR="00FC7E6E">
        <w:noBreakHyphen/>
      </w:r>
      <w:r w:rsidR="00E33FE1">
        <w:t>government agreements</w:t>
      </w:r>
      <w:r w:rsidR="00C232A7">
        <w:t xml:space="preserve"> (</w:t>
      </w:r>
      <w:r w:rsidR="00E33FE1">
        <w:t>involving 43 communities</w:t>
      </w:r>
      <w:r w:rsidR="00C232A7">
        <w:t>)</w:t>
      </w:r>
      <w:r w:rsidR="00E33FE1">
        <w:t xml:space="preserve"> and about 50 current ‘negotiation tables’ across Canada. There are also some additional agreements relating to education </w:t>
      </w:r>
      <w:r w:rsidR="00E33FE1" w:rsidRPr="00E33FE1">
        <w:rPr>
          <w:szCs w:val="24"/>
        </w:rPr>
        <w:t>(Crown-Indigenous Relations and Northern Affairs Canada </w:t>
      </w:r>
      <w:r w:rsidR="00E33FE1" w:rsidRPr="00E97AED">
        <w:rPr>
          <w:szCs w:val="24"/>
        </w:rPr>
        <w:t>2019b)</w:t>
      </w:r>
      <w:r w:rsidR="00E33FE1">
        <w:t xml:space="preserve">. </w:t>
      </w:r>
    </w:p>
    <w:p w14:paraId="6C8AF93B" w14:textId="65DF105C" w:rsidR="00303301" w:rsidRDefault="00303301" w:rsidP="00303301">
      <w:pPr>
        <w:pStyle w:val="BodyText"/>
      </w:pPr>
      <w:r>
        <w:t>Departmental responsibility for policies</w:t>
      </w:r>
      <w:r w:rsidR="00B46311">
        <w:t xml:space="preserve"> and programs</w:t>
      </w:r>
      <w:r>
        <w:t xml:space="preserve"> affecting </w:t>
      </w:r>
      <w:r w:rsidR="000B520B">
        <w:t>i</w:t>
      </w:r>
      <w:r>
        <w:t>ndigenous people</w:t>
      </w:r>
      <w:r w:rsidR="000B520B">
        <w:t>s</w:t>
      </w:r>
      <w:r>
        <w:t xml:space="preserve"> in Canada is undergoing significant change. Until recently, </w:t>
      </w:r>
      <w:r w:rsidRPr="00650631">
        <w:t xml:space="preserve">Indigenous and Northern Affairs </w:t>
      </w:r>
      <w:r w:rsidRPr="00650631">
        <w:lastRenderedPageBreak/>
        <w:t>Canada</w:t>
      </w:r>
      <w:r>
        <w:rPr>
          <w:i/>
        </w:rPr>
        <w:t xml:space="preserve"> </w:t>
      </w:r>
      <w:r>
        <w:t xml:space="preserve">was the federal department primarily responsible for meeting Canada’s </w:t>
      </w:r>
      <w:r w:rsidR="000B520B">
        <w:t>commitments and obligations to i</w:t>
      </w:r>
      <w:r>
        <w:t>ndigenous peoples.</w:t>
      </w:r>
      <w:r w:rsidR="009D169B">
        <w:t xml:space="preserve"> However, in 2017, it was announced that this department would be dissolved and replaced with two new departments</w:t>
      </w:r>
      <w:r w:rsidR="00B82407">
        <w:t>:</w:t>
      </w:r>
    </w:p>
    <w:p w14:paraId="6F6CB50E" w14:textId="77777777" w:rsidR="009D169B" w:rsidRDefault="009D169B" w:rsidP="009D169B">
      <w:pPr>
        <w:pStyle w:val="ListBullet"/>
      </w:pPr>
      <w:r>
        <w:rPr>
          <w:i/>
        </w:rPr>
        <w:t xml:space="preserve">Indigenous Services Canada, </w:t>
      </w:r>
      <w:r>
        <w:t xml:space="preserve">which works with partners to improve access to high quality services for First Nations, Inuit and </w:t>
      </w:r>
      <w:proofErr w:type="spellStart"/>
      <w:r>
        <w:t>Mѐtis</w:t>
      </w:r>
      <w:proofErr w:type="spellEnd"/>
    </w:p>
    <w:p w14:paraId="386AD066" w14:textId="35053C7D" w:rsidR="009D169B" w:rsidRPr="00537308" w:rsidRDefault="009D169B" w:rsidP="00C00940">
      <w:pPr>
        <w:pStyle w:val="ListBullet"/>
        <w:rPr>
          <w:i/>
        </w:rPr>
      </w:pPr>
      <w:r w:rsidRPr="00303301">
        <w:rPr>
          <w:i/>
        </w:rPr>
        <w:t>Crown</w:t>
      </w:r>
      <w:r w:rsidRPr="00303301">
        <w:rPr>
          <w:i/>
        </w:rPr>
        <w:noBreakHyphen/>
        <w:t>Indigenous Relations and Northern Affairs Canada</w:t>
      </w:r>
      <w:r>
        <w:t xml:space="preserve">, which </w:t>
      </w:r>
      <w:r w:rsidR="00537308">
        <w:rPr>
          <w:rStyle w:val="BodyTextChar"/>
        </w:rPr>
        <w:t xml:space="preserve">seeks to renew the relationship between Canada and First Nations, </w:t>
      </w:r>
      <w:r w:rsidR="00537308">
        <w:t xml:space="preserve">Inuit and </w:t>
      </w:r>
      <w:proofErr w:type="spellStart"/>
      <w:r w:rsidR="00537308">
        <w:t>Mѐtis</w:t>
      </w:r>
      <w:proofErr w:type="spellEnd"/>
      <w:r w:rsidR="00537308">
        <w:t xml:space="preserve"> peoples and</w:t>
      </w:r>
      <w:r w:rsidR="00976E59">
        <w:t>,</w:t>
      </w:r>
      <w:r w:rsidR="00537308">
        <w:t xml:space="preserve"> amongst other things, oversees</w:t>
      </w:r>
      <w:r w:rsidR="00537308" w:rsidRPr="00537308">
        <w:rPr>
          <w:rStyle w:val="BodyTextChar"/>
        </w:rPr>
        <w:t xml:space="preserve"> matters</w:t>
      </w:r>
      <w:r w:rsidRPr="00C00940">
        <w:rPr>
          <w:rStyle w:val="BodyTextChar"/>
        </w:rPr>
        <w:t xml:space="preserve"> relating to treaties</w:t>
      </w:r>
      <w:r w:rsidR="00537308">
        <w:rPr>
          <w:rStyle w:val="BodyTextChar"/>
        </w:rPr>
        <w:t>, agreements</w:t>
      </w:r>
      <w:r w:rsidRPr="00C00940">
        <w:rPr>
          <w:rStyle w:val="BodyTextChar"/>
        </w:rPr>
        <w:t xml:space="preserve"> and self</w:t>
      </w:r>
      <w:r w:rsidR="00BB23BC" w:rsidRPr="00C00940">
        <w:rPr>
          <w:rStyle w:val="BodyTextChar"/>
        </w:rPr>
        <w:noBreakHyphen/>
      </w:r>
      <w:r w:rsidRPr="00C00940">
        <w:rPr>
          <w:rStyle w:val="BodyTextChar"/>
        </w:rPr>
        <w:t>governance</w:t>
      </w:r>
      <w:r w:rsidR="00280972">
        <w:t xml:space="preserve"> </w:t>
      </w:r>
      <w:r w:rsidR="00537308" w:rsidRPr="00537308">
        <w:rPr>
          <w:szCs w:val="24"/>
        </w:rPr>
        <w:t>(Government of Canada 2020c, 2020d, 2020a)</w:t>
      </w:r>
      <w:r w:rsidR="00527574">
        <w:t>.</w:t>
      </w:r>
    </w:p>
    <w:p w14:paraId="7ACD2D2B" w14:textId="4FC2300C" w:rsidR="004364BD" w:rsidRDefault="001C7BE7" w:rsidP="009C7854">
      <w:pPr>
        <w:pStyle w:val="BodyText"/>
      </w:pPr>
      <w:r>
        <w:t xml:space="preserve">The main instrument governing the evaluation of policies and programs affecting </w:t>
      </w:r>
      <w:r w:rsidR="00187EE1">
        <w:t>i</w:t>
      </w:r>
      <w:r>
        <w:t>ndigenous Canadians (at a federal level)</w:t>
      </w:r>
      <w:r w:rsidR="004364BD">
        <w:t xml:space="preserve"> is the </w:t>
      </w:r>
      <w:r>
        <w:t xml:space="preserve">Policy on Results </w:t>
      </w:r>
      <w:r w:rsidR="004364BD">
        <w:t>that applies</w:t>
      </w:r>
      <w:r w:rsidR="00B67C06">
        <w:t xml:space="preserve"> to</w:t>
      </w:r>
      <w:r w:rsidR="004364BD">
        <w:t xml:space="preserve"> </w:t>
      </w:r>
      <w:r w:rsidR="008E4857">
        <w:t xml:space="preserve">Canadian </w:t>
      </w:r>
      <w:r w:rsidR="00631A4E">
        <w:t xml:space="preserve">Government </w:t>
      </w:r>
      <w:r w:rsidR="008E4857">
        <w:t>agencies</w:t>
      </w:r>
      <w:r w:rsidR="004364BD">
        <w:t xml:space="preserve"> </w:t>
      </w:r>
      <w:r w:rsidR="008E4857">
        <w:t>(</w:t>
      </w:r>
      <w:r w:rsidR="00B878A7">
        <w:t>section </w:t>
      </w:r>
      <w:r>
        <w:t>D.1)</w:t>
      </w:r>
      <w:r w:rsidR="004364BD">
        <w:t>. This means that both Indigenous Services Canada and Crown</w:t>
      </w:r>
      <w:r w:rsidR="00BB23BC">
        <w:noBreakHyphen/>
      </w:r>
      <w:r w:rsidR="004364BD">
        <w:t>Indigenous Relations and Northern Affairs Canada are required to identify a head of evaluation, pre</w:t>
      </w:r>
      <w:r w:rsidR="00F04528">
        <w:t>pare five year evaluation plans, evaluate their programs at least once every five years</w:t>
      </w:r>
      <w:r w:rsidR="00B7746C">
        <w:t xml:space="preserve"> (consistent with the </w:t>
      </w:r>
      <w:r w:rsidR="00B7746C" w:rsidRPr="0038175D">
        <w:rPr>
          <w:i/>
        </w:rPr>
        <w:t>Financial Administration Act</w:t>
      </w:r>
      <w:r w:rsidR="00F91701">
        <w:t xml:space="preserve"> </w:t>
      </w:r>
      <w:r w:rsidR="00F91701" w:rsidRPr="0038175D">
        <w:rPr>
          <w:i/>
        </w:rPr>
        <w:t>1985</w:t>
      </w:r>
      <w:r w:rsidR="00F91701">
        <w:t xml:space="preserve"> (Canada)</w:t>
      </w:r>
      <w:r w:rsidR="00B7746C">
        <w:t>)</w:t>
      </w:r>
      <w:r w:rsidR="00F04528">
        <w:t xml:space="preserve"> and </w:t>
      </w:r>
      <w:r w:rsidR="004364BD">
        <w:t>publish evaluation</w:t>
      </w:r>
      <w:r w:rsidR="007366AC">
        <w:t xml:space="preserve"> reports,</w:t>
      </w:r>
      <w:r w:rsidR="004364BD">
        <w:t xml:space="preserve"> including management responses</w:t>
      </w:r>
      <w:r w:rsidR="007366AC">
        <w:t>,</w:t>
      </w:r>
      <w:r w:rsidR="004364BD">
        <w:t xml:space="preserve"> on their websites</w:t>
      </w:r>
      <w:r w:rsidR="007366AC">
        <w:t xml:space="preserve"> (as prescribed by the Treasury Board Secretariat)</w:t>
      </w:r>
      <w:r w:rsidR="004364BD">
        <w:t xml:space="preserve">. </w:t>
      </w:r>
    </w:p>
    <w:p w14:paraId="08A9A1F9" w14:textId="26A18A0E" w:rsidR="00490562" w:rsidRDefault="00D1451B" w:rsidP="009C7854">
      <w:pPr>
        <w:pStyle w:val="BodyText"/>
      </w:pPr>
      <w:r>
        <w:t>T</w:t>
      </w:r>
      <w:r w:rsidR="004364BD">
        <w:t xml:space="preserve">he </w:t>
      </w:r>
      <w:r>
        <w:t>number of evaluations published by these departments is small (which most likely reflects that they have only recently been established).</w:t>
      </w:r>
      <w:r w:rsidR="00E46926">
        <w:t xml:space="preserve"> At the time of writing this appendix, Indigenous Services Canada had published </w:t>
      </w:r>
      <w:r w:rsidR="00260357">
        <w:t>four</w:t>
      </w:r>
      <w:r w:rsidR="00E46926">
        <w:t xml:space="preserve"> evaluations (</w:t>
      </w:r>
      <w:r w:rsidR="00260357">
        <w:t xml:space="preserve">two of which are discussed in </w:t>
      </w:r>
      <w:r w:rsidR="00B878A7">
        <w:t>box </w:t>
      </w:r>
      <w:r w:rsidR="00E52150">
        <w:t>D</w:t>
      </w:r>
      <w:r w:rsidR="00E46926">
        <w:t>.</w:t>
      </w:r>
      <w:r w:rsidR="00E52150">
        <w:t>6</w:t>
      </w:r>
      <w:r w:rsidR="00E46926">
        <w:t>)</w:t>
      </w:r>
      <w:r w:rsidR="00787214">
        <w:t xml:space="preserve"> </w:t>
      </w:r>
      <w:r w:rsidR="00085B6D" w:rsidRPr="00085B6D">
        <w:rPr>
          <w:szCs w:val="24"/>
        </w:rPr>
        <w:t>(Indigenous Services Canada 2019)</w:t>
      </w:r>
      <w:r w:rsidR="00E46926">
        <w:t>, while the Commission could not find any evaluations published by Crown</w:t>
      </w:r>
      <w:r w:rsidR="00BB23BC">
        <w:noBreakHyphen/>
      </w:r>
      <w:r w:rsidR="00E46926">
        <w:t xml:space="preserve">Indigenous Relations and Northern Affairs Canada. </w:t>
      </w:r>
      <w:r w:rsidR="00490562">
        <w:t>However, the predecessor of these agencies — Indigenous and Northern Affairs Canada —</w:t>
      </w:r>
      <w:r w:rsidR="00F22700">
        <w:t xml:space="preserve"> </w:t>
      </w:r>
      <w:r w:rsidR="00490562">
        <w:t>published over</w:t>
      </w:r>
      <w:r w:rsidR="00F22700">
        <w:t xml:space="preserve"> 100 evaluations between 2007 and </w:t>
      </w:r>
      <w:r w:rsidR="00D33CEC">
        <w:t xml:space="preserve">2017 </w:t>
      </w:r>
      <w:r w:rsidR="00E33FE1" w:rsidRPr="00E33FE1">
        <w:rPr>
          <w:szCs w:val="24"/>
        </w:rPr>
        <w:t>(Crown-Indigenous Relations and Northern Affairs Canada </w:t>
      </w:r>
      <w:r w:rsidR="00E33FE1" w:rsidRPr="00E97AED">
        <w:rPr>
          <w:szCs w:val="24"/>
        </w:rPr>
        <w:t>2019a)</w:t>
      </w:r>
      <w:r w:rsidR="00F22700">
        <w:t>, meani</w:t>
      </w:r>
      <w:r w:rsidR="00D774EF">
        <w:t>ng the stock of evaluations of programs for i</w:t>
      </w:r>
      <w:r w:rsidR="00F22700">
        <w:t>ndigenous</w:t>
      </w:r>
      <w:r w:rsidR="00D774EF">
        <w:t xml:space="preserve"> people</w:t>
      </w:r>
      <w:r w:rsidR="008B3391">
        <w:t>s</w:t>
      </w:r>
      <w:r w:rsidR="00F22700">
        <w:t xml:space="preserve"> in Canada is considerable (at least at a federal level).</w:t>
      </w:r>
    </w:p>
    <w:p w14:paraId="5A552984" w14:textId="700D2EF0" w:rsidR="00E46926" w:rsidRDefault="00E469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46926" w14:paraId="3585F7F2" w14:textId="77777777" w:rsidTr="004545AF">
        <w:trPr>
          <w:tblHeader/>
        </w:trPr>
        <w:tc>
          <w:tcPr>
            <w:tcW w:w="5000" w:type="pct"/>
            <w:tcBorders>
              <w:top w:val="single" w:sz="6" w:space="0" w:color="2493D1"/>
              <w:left w:val="nil"/>
              <w:bottom w:val="nil"/>
              <w:right w:val="nil"/>
            </w:tcBorders>
            <w:shd w:val="clear" w:color="auto" w:fill="F2F2F2"/>
          </w:tcPr>
          <w:p w14:paraId="1026A49E" w14:textId="33F4376D" w:rsidR="00E46926" w:rsidRDefault="00E46926" w:rsidP="00221AC9">
            <w:pPr>
              <w:pStyle w:val="BoxTitle"/>
            </w:pPr>
            <w:r>
              <w:rPr>
                <w:b w:val="0"/>
              </w:rPr>
              <w:t xml:space="preserve">Box </w:t>
            </w:r>
            <w:r w:rsidR="00B464FC">
              <w:rPr>
                <w:b w:val="0"/>
              </w:rPr>
              <w:t>D.</w:t>
            </w:r>
            <w:r w:rsidR="00810137">
              <w:rPr>
                <w:b w:val="0"/>
              </w:rPr>
              <w:t>6</w:t>
            </w:r>
            <w:r>
              <w:tab/>
              <w:t>Overview of</w:t>
            </w:r>
            <w:r w:rsidR="00260357">
              <w:t xml:space="preserve"> two </w:t>
            </w:r>
            <w:r>
              <w:t>evaluations undertaken by Indigenous Services Canada</w:t>
            </w:r>
          </w:p>
        </w:tc>
      </w:tr>
      <w:tr w:rsidR="00E46926" w14:paraId="7E322643" w14:textId="77777777" w:rsidTr="00F9621F">
        <w:tc>
          <w:tcPr>
            <w:tcW w:w="5000" w:type="pct"/>
            <w:tcBorders>
              <w:top w:val="nil"/>
              <w:left w:val="nil"/>
              <w:bottom w:val="nil"/>
              <w:right w:val="nil"/>
            </w:tcBorders>
            <w:shd w:val="clear" w:color="auto" w:fill="F2F2F2"/>
          </w:tcPr>
          <w:p w14:paraId="3E11AF01" w14:textId="56D3D57E" w:rsidR="00397454" w:rsidRDefault="00260357" w:rsidP="00260357">
            <w:pPr>
              <w:pStyle w:val="BoxHeading1"/>
            </w:pPr>
            <w:r>
              <w:t>Evaluation of the First Nations and Inuit Home and Community Care Program</w:t>
            </w:r>
          </w:p>
          <w:p w14:paraId="6F0BA5B1" w14:textId="3056D7D6" w:rsidR="00E34819" w:rsidRDefault="00397454" w:rsidP="00C00940">
            <w:pPr>
              <w:pStyle w:val="Box"/>
            </w:pPr>
            <w:r>
              <w:t xml:space="preserve">The First Nations and Inuit Home and Community Care Program (FNIHCC) involves contribution agreements with First Nation and Inuit communities (along with territorial governments) to fund the administration of nurses and personal care workers in over 450 First Nation and Inuit communities. </w:t>
            </w:r>
            <w:r w:rsidR="001775BD">
              <w:t>An evaluation of the program was conducted in 2019,</w:t>
            </w:r>
            <w:r w:rsidR="00D2254F">
              <w:t xml:space="preserve"> drawing on</w:t>
            </w:r>
            <w:r w:rsidR="00827C30">
              <w:t xml:space="preserve"> evidence from a variety of sources,</w:t>
            </w:r>
            <w:r w:rsidR="00D2254F">
              <w:t xml:space="preserve"> </w:t>
            </w:r>
            <w:r w:rsidR="00827C30">
              <w:t>including</w:t>
            </w:r>
            <w:r w:rsidR="00D2254F">
              <w:t xml:space="preserve"> administrative data,</w:t>
            </w:r>
            <w:r w:rsidR="00827C30">
              <w:t xml:space="preserve"> </w:t>
            </w:r>
            <w:r w:rsidR="00AE38FC">
              <w:t>a document</w:t>
            </w:r>
            <w:r w:rsidR="00317D53">
              <w:t xml:space="preserve"> and file</w:t>
            </w:r>
            <w:r w:rsidR="00AE38FC">
              <w:t xml:space="preserve"> review</w:t>
            </w:r>
            <w:r w:rsidR="009D3B7E">
              <w:t>,</w:t>
            </w:r>
            <w:r w:rsidR="00D2254F">
              <w:t xml:space="preserve"> interviews</w:t>
            </w:r>
            <w:r w:rsidR="00CB0520">
              <w:t>,</w:t>
            </w:r>
            <w:r w:rsidR="00D2254F">
              <w:t xml:space="preserve"> and </w:t>
            </w:r>
            <w:r w:rsidR="00CB0520">
              <w:t>a web</w:t>
            </w:r>
            <w:r w:rsidR="00893A1A">
              <w:noBreakHyphen/>
            </w:r>
            <w:r w:rsidR="00CB0520">
              <w:t xml:space="preserve">based </w:t>
            </w:r>
            <w:r w:rsidR="00D2254F">
              <w:t>survey of</w:t>
            </w:r>
            <w:r w:rsidR="00CB0520">
              <w:t xml:space="preserve"> (primarily)</w:t>
            </w:r>
            <w:r w:rsidR="00D2254F">
              <w:t xml:space="preserve"> health directors, care coordinators and nurses. </w:t>
            </w:r>
          </w:p>
          <w:p w14:paraId="43F75111" w14:textId="2CE060CD" w:rsidR="00397454" w:rsidRDefault="002776C0" w:rsidP="00C00940">
            <w:pPr>
              <w:pStyle w:val="Box"/>
            </w:pPr>
            <w:r>
              <w:t>The evaluation found that the program:</w:t>
            </w:r>
          </w:p>
          <w:p w14:paraId="3960639C" w14:textId="3B32F33D" w:rsidR="002776C0" w:rsidRDefault="002776C0" w:rsidP="00C00940">
            <w:pPr>
              <w:pStyle w:val="BoxQuote"/>
            </w:pPr>
            <w:r>
              <w:t>… has demonstrated considerable success over the past five years, with continued improvements largely due to effective program management and dedication of First Nation health directors and/or Home and Community Care coordinators and nurses</w:t>
            </w:r>
            <w:r w:rsidR="00527574">
              <w:t>.</w:t>
            </w:r>
            <w:r>
              <w:t xml:space="preserve"> (</w:t>
            </w:r>
            <w:r w:rsidR="00631A4E">
              <w:t xml:space="preserve">2019, </w:t>
            </w:r>
            <w:r>
              <w:t>p. iii)</w:t>
            </w:r>
          </w:p>
          <w:p w14:paraId="06C51F35" w14:textId="40979469" w:rsidR="00133D7C" w:rsidRDefault="00B841E1" w:rsidP="00C00940">
            <w:pPr>
              <w:pStyle w:val="Box"/>
            </w:pPr>
            <w:r>
              <w:t xml:space="preserve">It also found that the </w:t>
            </w:r>
            <w:r w:rsidR="00133D7C">
              <w:t xml:space="preserve">priorities of the Government and </w:t>
            </w:r>
            <w:r w:rsidR="00985D0E">
              <w:t>i</w:t>
            </w:r>
            <w:r w:rsidR="00133D7C">
              <w:t>ndigenous communities ‘generally aligned with respect to care provided under the FNIHCC’ (</w:t>
            </w:r>
            <w:r w:rsidR="00631A4E">
              <w:t xml:space="preserve">2019, </w:t>
            </w:r>
            <w:r w:rsidR="00133D7C">
              <w:t xml:space="preserve">p. 5) but that policy and legislative gaps risked creating or maintaining disparities between </w:t>
            </w:r>
            <w:r w:rsidR="00985D0E">
              <w:t>i</w:t>
            </w:r>
            <w:r w:rsidR="00133D7C">
              <w:t>ndigenous and non</w:t>
            </w:r>
            <w:r w:rsidR="00FC7E6E">
              <w:noBreakHyphen/>
            </w:r>
            <w:r w:rsidR="00985D0E">
              <w:t>i</w:t>
            </w:r>
            <w:r w:rsidR="00827C30">
              <w:t>ndigenous</w:t>
            </w:r>
            <w:r w:rsidR="00133D7C">
              <w:t xml:space="preserve"> Canadians</w:t>
            </w:r>
            <w:r w:rsidR="00A833B8">
              <w:t>. It also found constraints in data collected on demand for services meant that the extent to which the program met demand could not be measured.</w:t>
            </w:r>
          </w:p>
          <w:p w14:paraId="30CDBB45" w14:textId="1C949EAE" w:rsidR="00A833B8" w:rsidRDefault="00A833B8" w:rsidP="00C00940">
            <w:pPr>
              <w:pStyle w:val="Box"/>
            </w:pPr>
            <w:r>
              <w:t>The evaluation made four recommendations to improve the program</w:t>
            </w:r>
            <w:r w:rsidR="00AE38FC">
              <w:t xml:space="preserve"> and</w:t>
            </w:r>
            <w:r>
              <w:t xml:space="preserve"> </w:t>
            </w:r>
            <w:r w:rsidR="00AE38FC">
              <w:t>the evaluation</w:t>
            </w:r>
            <w:r>
              <w:t xml:space="preserve"> report included a management response and </w:t>
            </w:r>
            <w:r w:rsidR="002476E1">
              <w:t>action plan</w:t>
            </w:r>
            <w:r>
              <w:t xml:space="preserve"> for these recommendations</w:t>
            </w:r>
            <w:r w:rsidR="00AE38FC">
              <w:t xml:space="preserve">. Also included in the evaluation report was a discussion about </w:t>
            </w:r>
            <w:r w:rsidR="004A164F">
              <w:t>evaluation</w:t>
            </w:r>
            <w:r w:rsidR="00AE38FC">
              <w:t xml:space="preserve"> questions and methodological limitations</w:t>
            </w:r>
            <w:r w:rsidR="00AB7021">
              <w:t>. A two</w:t>
            </w:r>
            <w:r w:rsidR="00FC7E6E">
              <w:noBreakHyphen/>
            </w:r>
            <w:r w:rsidR="00AB7021">
              <w:t xml:space="preserve">page </w:t>
            </w:r>
            <w:r w:rsidR="00AB7021">
              <w:rPr>
                <w:i/>
              </w:rPr>
              <w:t xml:space="preserve">Results at a Glance </w:t>
            </w:r>
            <w:r w:rsidR="00AB7021">
              <w:t>summary for the evaluation was also produced.</w:t>
            </w:r>
          </w:p>
          <w:p w14:paraId="4C7D156A" w14:textId="3522C4EE" w:rsidR="00F35C67" w:rsidRDefault="00F35C67" w:rsidP="00F35C67">
            <w:pPr>
              <w:pStyle w:val="BoxHeading1"/>
            </w:pPr>
            <w:r>
              <w:t>Evaluation of the On</w:t>
            </w:r>
            <w:r w:rsidR="00FC7E6E">
              <w:noBreakHyphen/>
            </w:r>
            <w:r>
              <w:t>Reserve Income Assistance Program</w:t>
            </w:r>
          </w:p>
          <w:p w14:paraId="0166AF53" w14:textId="5690A545" w:rsidR="00133D7C" w:rsidRDefault="00725088" w:rsidP="00C00940">
            <w:pPr>
              <w:pStyle w:val="Box"/>
            </w:pPr>
            <w:r>
              <w:t>The On</w:t>
            </w:r>
            <w:r w:rsidR="00FC7E6E">
              <w:noBreakHyphen/>
            </w:r>
            <w:r>
              <w:t xml:space="preserve">Reserve Income Assistance Program is part of Canada’s social safety net. It is a program of last resort, </w:t>
            </w:r>
            <w:r w:rsidR="00B831A3">
              <w:t>and</w:t>
            </w:r>
            <w:r>
              <w:t xml:space="preserve"> aims to</w:t>
            </w:r>
            <w:r w:rsidR="00B831A3">
              <w:t xml:space="preserve"> ensure that eligible individuals and families that live on</w:t>
            </w:r>
            <w:r w:rsidR="00FC7E6E">
              <w:noBreakHyphen/>
            </w:r>
            <w:r w:rsidR="00B831A3">
              <w:t>reserve have funds to cover their basic expenses of daily living, and to support their transition to self</w:t>
            </w:r>
            <w:r w:rsidR="00FC7E6E">
              <w:noBreakHyphen/>
            </w:r>
            <w:r w:rsidR="00B831A3">
              <w:t xml:space="preserve">sufficiency. An evaluation of the program was conducted in 2018. </w:t>
            </w:r>
            <w:r w:rsidR="0024727B">
              <w:t>Evidence to inform the evaluation included interviews (including with chiefs and community leadership, service delivery staff, representatives of tribal councils and income assistance recipients), document and literature reviews</w:t>
            </w:r>
            <w:r w:rsidR="003C1E44">
              <w:t>,</w:t>
            </w:r>
            <w:r w:rsidR="0024727B">
              <w:t xml:space="preserve"> analysis of </w:t>
            </w:r>
            <w:r w:rsidR="00095EDD">
              <w:t>quantitative</w:t>
            </w:r>
            <w:r w:rsidR="00F36720">
              <w:t xml:space="preserve"> data</w:t>
            </w:r>
            <w:r w:rsidR="0024727B">
              <w:t xml:space="preserve"> and</w:t>
            </w:r>
            <w:r w:rsidR="00F36720">
              <w:t xml:space="preserve"> a</w:t>
            </w:r>
            <w:r w:rsidR="0024727B">
              <w:t xml:space="preserve"> financial </w:t>
            </w:r>
            <w:r w:rsidR="00F36720">
              <w:t>review</w:t>
            </w:r>
            <w:r w:rsidR="0024727B">
              <w:t xml:space="preserve">. </w:t>
            </w:r>
            <w:r>
              <w:t xml:space="preserve"> </w:t>
            </w:r>
          </w:p>
          <w:p w14:paraId="1AF1F54F" w14:textId="72FBC727" w:rsidR="00E34819" w:rsidRDefault="00E34819" w:rsidP="00C00940">
            <w:pPr>
              <w:pStyle w:val="Box"/>
            </w:pPr>
            <w:r>
              <w:t xml:space="preserve">The evaluation found that the program addresses a continued need and is highly relevant to government objectives. But it found that </w:t>
            </w:r>
            <w:r w:rsidR="003C1E44">
              <w:t>the</w:t>
            </w:r>
            <w:r>
              <w:t xml:space="preserve"> </w:t>
            </w:r>
            <w:r w:rsidR="005F7049">
              <w:t>program</w:t>
            </w:r>
            <w:r w:rsidR="00631A4E">
              <w:t>’</w:t>
            </w:r>
            <w:r w:rsidR="005F7049">
              <w:t>s design constrained its ability to d</w:t>
            </w:r>
            <w:r w:rsidR="00472A1A">
              <w:t>eliver on its desired outcomes:</w:t>
            </w:r>
          </w:p>
          <w:p w14:paraId="4821E17A" w14:textId="21724CE7" w:rsidR="00472A1A" w:rsidRDefault="00472A1A" w:rsidP="00C00940">
            <w:pPr>
              <w:pStyle w:val="BoxQuote"/>
            </w:pPr>
            <w:r>
              <w:t>The desired outcomes of [the]</w:t>
            </w:r>
            <w:r w:rsidR="005F7049">
              <w:t xml:space="preserve"> Income Assistance Program are limited by three core assumptions applied to its design: 1) that alignment with the provinces and territory of Yukon is appropriate; 2) that </w:t>
            </w:r>
            <w:r w:rsidR="00EA5AE5">
              <w:t>Income Assistance can promote attachment to the workforce without corresponding investment in active measures; and 3) that the program can operate successfully without meaningful and robust engagement with First Nations stakeholders. The evaluation finds evidence that these assumptions require reconsideration</w:t>
            </w:r>
            <w:r w:rsidR="00D85825">
              <w:t>.</w:t>
            </w:r>
            <w:r w:rsidR="00EA5AE5">
              <w:t xml:space="preserve"> (</w:t>
            </w:r>
            <w:r w:rsidR="00631A4E">
              <w:t xml:space="preserve">2018, </w:t>
            </w:r>
            <w:r w:rsidR="00EA5AE5">
              <w:t>p.</w:t>
            </w:r>
            <w:r w:rsidR="00FC7E6E">
              <w:t> </w:t>
            </w:r>
            <w:r w:rsidR="00EA5AE5">
              <w:t>33)</w:t>
            </w:r>
          </w:p>
          <w:p w14:paraId="6F85E1BE" w14:textId="5CC409CC" w:rsidR="00E46926" w:rsidRPr="00282E1D" w:rsidRDefault="00570352" w:rsidP="0078682C">
            <w:pPr>
              <w:pStyle w:val="Box"/>
            </w:pPr>
            <w:r>
              <w:t>The evaluation provided five recommendations, including that Indigenous Services Canada co</w:t>
            </w:r>
            <w:r w:rsidR="00FC7E6E">
              <w:noBreakHyphen/>
            </w:r>
            <w:r>
              <w:t xml:space="preserve">develop a new Income Assistance policy with </w:t>
            </w:r>
            <w:r w:rsidR="0078682C">
              <w:t xml:space="preserve">First </w:t>
            </w:r>
            <w:r>
              <w:t>Nation</w:t>
            </w:r>
            <w:r w:rsidR="002579CE">
              <w:t>s</w:t>
            </w:r>
            <w:r>
              <w:t xml:space="preserve"> </w:t>
            </w:r>
            <w:r w:rsidR="0078682C">
              <w:t xml:space="preserve">groups </w:t>
            </w:r>
            <w:r>
              <w:t xml:space="preserve">(with other federal departments as collaborators). </w:t>
            </w:r>
            <w:r w:rsidR="00E11997">
              <w:t>In their response to the evaluation, management concurred</w:t>
            </w:r>
            <w:r>
              <w:t>.</w:t>
            </w:r>
          </w:p>
        </w:tc>
      </w:tr>
      <w:tr w:rsidR="00E46926" w14:paraId="53FF9784" w14:textId="77777777" w:rsidTr="00F9621F">
        <w:tc>
          <w:tcPr>
            <w:tcW w:w="5000" w:type="pct"/>
            <w:tcBorders>
              <w:top w:val="nil"/>
              <w:left w:val="nil"/>
              <w:bottom w:val="nil"/>
              <w:right w:val="nil"/>
            </w:tcBorders>
            <w:shd w:val="clear" w:color="auto" w:fill="F2F2F2"/>
          </w:tcPr>
          <w:p w14:paraId="64F2DC70" w14:textId="7D92DEE7" w:rsidR="00E46926" w:rsidRDefault="00E46926" w:rsidP="001D4589">
            <w:pPr>
              <w:pStyle w:val="BoxSource"/>
            </w:pPr>
            <w:r>
              <w:rPr>
                <w:i/>
              </w:rPr>
              <w:t>Source</w:t>
            </w:r>
            <w:r w:rsidR="007B77F6">
              <w:rPr>
                <w:i/>
              </w:rPr>
              <w:t>s</w:t>
            </w:r>
            <w:r w:rsidRPr="00167F06">
              <w:t xml:space="preserve">: </w:t>
            </w:r>
            <w:r w:rsidR="00282E1D">
              <w:t xml:space="preserve">Indigenous Services Canada </w:t>
            </w:r>
            <w:r w:rsidR="001D4589" w:rsidRPr="001D4589">
              <w:rPr>
                <w:rFonts w:cs="Arial"/>
              </w:rPr>
              <w:t>(2018, 2019, 2020)</w:t>
            </w:r>
            <w:r w:rsidR="001D4589">
              <w:t>.</w:t>
            </w:r>
          </w:p>
        </w:tc>
      </w:tr>
      <w:tr w:rsidR="00E46926" w14:paraId="206FC2C0" w14:textId="77777777" w:rsidTr="004545AF">
        <w:tc>
          <w:tcPr>
            <w:tcW w:w="5000" w:type="pct"/>
            <w:tcBorders>
              <w:top w:val="nil"/>
              <w:left w:val="nil"/>
              <w:bottom w:val="single" w:sz="6" w:space="0" w:color="2493D1"/>
              <w:right w:val="nil"/>
            </w:tcBorders>
            <w:shd w:val="clear" w:color="auto" w:fill="F2F2F2"/>
          </w:tcPr>
          <w:p w14:paraId="0F649333" w14:textId="77777777" w:rsidR="00E46926" w:rsidRDefault="00E46926">
            <w:pPr>
              <w:pStyle w:val="Box"/>
              <w:spacing w:before="0" w:line="120" w:lineRule="exact"/>
            </w:pPr>
          </w:p>
        </w:tc>
      </w:tr>
      <w:tr w:rsidR="00E46926" w:rsidRPr="000863A5" w14:paraId="5E14F031" w14:textId="77777777" w:rsidTr="004545AF">
        <w:tc>
          <w:tcPr>
            <w:tcW w:w="5000" w:type="pct"/>
            <w:tcBorders>
              <w:top w:val="single" w:sz="6" w:space="0" w:color="2493D1"/>
              <w:left w:val="nil"/>
              <w:bottom w:val="nil"/>
              <w:right w:val="nil"/>
            </w:tcBorders>
          </w:tcPr>
          <w:p w14:paraId="7A8F1491" w14:textId="44CE932A" w:rsidR="00E46926" w:rsidRPr="00626D32" w:rsidRDefault="00E46926" w:rsidP="00F9621F">
            <w:pPr>
              <w:pStyle w:val="BoxSpaceBelow"/>
            </w:pPr>
          </w:p>
        </w:tc>
      </w:tr>
    </w:tbl>
    <w:p w14:paraId="4A81172B" w14:textId="54A46857" w:rsidR="00C00940" w:rsidRDefault="00992C4B" w:rsidP="009C7854">
      <w:pPr>
        <w:pStyle w:val="BodyText"/>
      </w:pPr>
      <w:r>
        <w:lastRenderedPageBreak/>
        <w:t>Some studies have u</w:t>
      </w:r>
      <w:r w:rsidR="00C00940">
        <w:t xml:space="preserve">sed </w:t>
      </w:r>
      <w:r w:rsidR="003C5E4E">
        <w:t>th</w:t>
      </w:r>
      <w:r w:rsidR="00C00940">
        <w:t xml:space="preserve">e </w:t>
      </w:r>
      <w:r w:rsidR="003C5E4E">
        <w:t>large stock</w:t>
      </w:r>
      <w:r>
        <w:t xml:space="preserve"> of evaluations</w:t>
      </w:r>
      <w:r w:rsidR="003C5E4E">
        <w:t xml:space="preserve"> to </w:t>
      </w:r>
      <w:r>
        <w:t>undertake</w:t>
      </w:r>
      <w:r w:rsidR="003C5E4E">
        <w:t xml:space="preserve"> meta</w:t>
      </w:r>
      <w:r w:rsidR="00BB23BC">
        <w:noBreakHyphen/>
      </w:r>
      <w:r w:rsidR="003C5E4E">
        <w:t>analys</w:t>
      </w:r>
      <w:r>
        <w:t>e</w:t>
      </w:r>
      <w:r w:rsidR="003C5E4E">
        <w:t xml:space="preserve">s to make </w:t>
      </w:r>
      <w:r>
        <w:t>observations</w:t>
      </w:r>
      <w:r w:rsidR="003C5E4E">
        <w:t xml:space="preserve"> about the quality of evaluations of </w:t>
      </w:r>
      <w:r w:rsidR="00985D0E">
        <w:t>i</w:t>
      </w:r>
      <w:r w:rsidR="003C5E4E">
        <w:t xml:space="preserve">ndigenous policies and programs in Canada. </w:t>
      </w:r>
      <w:r w:rsidR="0086394C">
        <w:t>Although t</w:t>
      </w:r>
      <w:r w:rsidR="003C5E4E">
        <w:t xml:space="preserve">hese studies are somewhat dated (and therefore may not </w:t>
      </w:r>
      <w:r w:rsidR="001A4255">
        <w:t>be representative</w:t>
      </w:r>
      <w:r w:rsidR="001A54B3">
        <w:t xml:space="preserve"> of</w:t>
      </w:r>
      <w:r w:rsidR="006F4C55">
        <w:t xml:space="preserve"> current practice), they </w:t>
      </w:r>
      <w:r w:rsidR="003C5E4E">
        <w:t>are worth examining as they can yield</w:t>
      </w:r>
      <w:r w:rsidR="001A4255">
        <w:t xml:space="preserve"> broad</w:t>
      </w:r>
      <w:r w:rsidR="003C5E4E">
        <w:t xml:space="preserve"> insights </w:t>
      </w:r>
      <w:r w:rsidR="0086394C">
        <w:t xml:space="preserve">into how effective evaluation in Canada has been in the past. </w:t>
      </w:r>
      <w:r w:rsidR="00537376">
        <w:t>For example</w:t>
      </w:r>
      <w:r w:rsidR="00C00940">
        <w:t>:</w:t>
      </w:r>
    </w:p>
    <w:p w14:paraId="3C70B7C8" w14:textId="378EA51B" w:rsidR="00C00940" w:rsidRDefault="00537376" w:rsidP="00C00940">
      <w:pPr>
        <w:pStyle w:val="ListBullet"/>
      </w:pPr>
      <w:r>
        <w:t>a 2013 study found that</w:t>
      </w:r>
      <w:r w:rsidR="006B7404">
        <w:t>,</w:t>
      </w:r>
      <w:r>
        <w:t xml:space="preserve"> while it was apparent that cultural sensitivity was gradually being integrated into Aboriginal</w:t>
      </w:r>
      <w:r w:rsidR="00A72661" w:rsidRPr="003D5EE8">
        <w:rPr>
          <w:rStyle w:val="FootnoteReference"/>
        </w:rPr>
        <w:footnoteReference w:id="14"/>
      </w:r>
      <w:r>
        <w:t xml:space="preserve"> program evaluation</w:t>
      </w:r>
      <w:r w:rsidR="006F4C55">
        <w:t xml:space="preserve"> in Canada</w:t>
      </w:r>
      <w:r>
        <w:t>, the integration of participatory approaches was ‘in sum, relatively limited’ and that ‘local populations hold little or no decision</w:t>
      </w:r>
      <w:r w:rsidR="00BB23BC">
        <w:noBreakHyphen/>
      </w:r>
      <w:r>
        <w:t xml:space="preserve">making power over the evaluation process’ </w:t>
      </w:r>
      <w:r w:rsidR="008347F0" w:rsidRPr="008347F0">
        <w:rPr>
          <w:szCs w:val="24"/>
        </w:rPr>
        <w:t xml:space="preserve">(Jacob and </w:t>
      </w:r>
      <w:proofErr w:type="spellStart"/>
      <w:r w:rsidR="008347F0" w:rsidRPr="008347F0">
        <w:rPr>
          <w:szCs w:val="24"/>
        </w:rPr>
        <w:t>Desautels</w:t>
      </w:r>
      <w:proofErr w:type="spellEnd"/>
      <w:r w:rsidR="008347F0" w:rsidRPr="008347F0">
        <w:rPr>
          <w:szCs w:val="24"/>
        </w:rPr>
        <w:t> 2013, p. 23)</w:t>
      </w:r>
      <w:r w:rsidR="004D18C6">
        <w:t xml:space="preserve"> </w:t>
      </w:r>
    </w:p>
    <w:p w14:paraId="03A95947" w14:textId="69E56F70" w:rsidR="003C5E4E" w:rsidRDefault="00C00940" w:rsidP="00C00940">
      <w:pPr>
        <w:pStyle w:val="ListBullet"/>
      </w:pPr>
      <w:r>
        <w:t>a</w:t>
      </w:r>
      <w:r w:rsidR="003C1F30">
        <w:t xml:space="preserve"> different</w:t>
      </w:r>
      <w:r w:rsidR="00032908">
        <w:t xml:space="preserve"> study</w:t>
      </w:r>
      <w:r w:rsidR="004D18C6">
        <w:t xml:space="preserve"> by the same authors in 2014 — this time focusing on the quality of evaluation reports — found that </w:t>
      </w:r>
      <w:r w:rsidR="00271EEB">
        <w:t xml:space="preserve">the evaluation of Aboriginal programs ‘is of good, </w:t>
      </w:r>
      <w:r w:rsidR="003871EC">
        <w:t xml:space="preserve">or </w:t>
      </w:r>
      <w:r w:rsidR="00271EEB">
        <w:t>even excellent, quality’</w:t>
      </w:r>
      <w:r w:rsidR="004B5ACE">
        <w:t>(p. 78)</w:t>
      </w:r>
      <w:r w:rsidR="00271EEB">
        <w:t xml:space="preserve"> and that</w:t>
      </w:r>
      <w:r w:rsidR="00CE7C84">
        <w:t xml:space="preserve"> the</w:t>
      </w:r>
      <w:r w:rsidR="00271EEB">
        <w:t xml:space="preserve"> then central Canadian evaluation policy (the predecessor to the current </w:t>
      </w:r>
      <w:r w:rsidR="00271EEB" w:rsidRPr="0064368A">
        <w:rPr>
          <w:i/>
        </w:rPr>
        <w:t>Policy on Results</w:t>
      </w:r>
      <w:r w:rsidR="00271EEB">
        <w:t xml:space="preserve">) had a </w:t>
      </w:r>
      <w:r w:rsidR="003871EC">
        <w:t xml:space="preserve">definitive </w:t>
      </w:r>
      <w:r w:rsidR="00271EEB">
        <w:t>impact on the quality of evaluations</w:t>
      </w:r>
      <w:r w:rsidR="00C85B29">
        <w:t xml:space="preserve"> </w:t>
      </w:r>
      <w:r w:rsidR="003871EC" w:rsidRPr="003871EC">
        <w:rPr>
          <w:szCs w:val="24"/>
        </w:rPr>
        <w:t xml:space="preserve">(Jacob and </w:t>
      </w:r>
      <w:proofErr w:type="spellStart"/>
      <w:r w:rsidR="003871EC" w:rsidRPr="003871EC">
        <w:rPr>
          <w:szCs w:val="24"/>
        </w:rPr>
        <w:t>Desautels</w:t>
      </w:r>
      <w:proofErr w:type="spellEnd"/>
      <w:r w:rsidR="003871EC" w:rsidRPr="003871EC">
        <w:rPr>
          <w:szCs w:val="24"/>
        </w:rPr>
        <w:t> 2014, p. 62)</w:t>
      </w:r>
      <w:r w:rsidR="00271EEB">
        <w:t xml:space="preserve">. </w:t>
      </w:r>
    </w:p>
    <w:p w14:paraId="2874B614" w14:textId="724C8147" w:rsidR="0086394C" w:rsidRDefault="008D58C5" w:rsidP="009C7854">
      <w:pPr>
        <w:pStyle w:val="BodyText"/>
      </w:pPr>
      <w:r>
        <w:t xml:space="preserve">When ‘mainstream’ programs — that is, programs that provide services to all Canadians and not necessarily targeted at First Nations, Inuit or </w:t>
      </w:r>
      <w:proofErr w:type="spellStart"/>
      <w:r>
        <w:t>Mѐtis</w:t>
      </w:r>
      <w:proofErr w:type="spellEnd"/>
      <w:r>
        <w:t xml:space="preserve"> peoples — are evaluated, there appears to be no centrally determined requirement to explicitly consider the program’s impact on (or effectiveness for) </w:t>
      </w:r>
      <w:r w:rsidR="00985D0E">
        <w:t>i</w:t>
      </w:r>
      <w:r>
        <w:t xml:space="preserve">ndigenous Canadians. </w:t>
      </w:r>
      <w:r w:rsidR="00E029DF">
        <w:t xml:space="preserve">While there are examples of evaluations of mainstream </w:t>
      </w:r>
      <w:r w:rsidR="00324D9B">
        <w:t>programs</w:t>
      </w:r>
      <w:r w:rsidR="00E029DF">
        <w:t xml:space="preserve"> that do </w:t>
      </w:r>
      <w:r w:rsidR="00736115">
        <w:t>provide some level of reporting of</w:t>
      </w:r>
      <w:r w:rsidR="00324D9B">
        <w:t xml:space="preserve"> the program’s </w:t>
      </w:r>
      <w:r w:rsidR="00E029DF">
        <w:t xml:space="preserve">impacts on </w:t>
      </w:r>
      <w:r w:rsidR="00985D0E">
        <w:t>i</w:t>
      </w:r>
      <w:r w:rsidR="00E029DF">
        <w:t>ndigenous Canadians</w:t>
      </w:r>
      <w:r w:rsidR="00C8238D">
        <w:t xml:space="preserve"> (for example</w:t>
      </w:r>
      <w:r w:rsidR="008347F0">
        <w:t>, a 2019 evaluation</w:t>
      </w:r>
      <w:r w:rsidR="000C7C3F">
        <w:t xml:space="preserve"> </w:t>
      </w:r>
      <w:r w:rsidR="008347F0">
        <w:t xml:space="preserve">on </w:t>
      </w:r>
      <w:r w:rsidR="000C7C3F">
        <w:t>apprenticeship grants</w:t>
      </w:r>
      <w:r w:rsidR="00736115">
        <w:t xml:space="preserve"> </w:t>
      </w:r>
      <w:r w:rsidR="00391E54">
        <w:t xml:space="preserve">by Employment and Social Development Canada </w:t>
      </w:r>
      <w:r w:rsidR="00391E54" w:rsidRPr="00391E54">
        <w:t>(2019)</w:t>
      </w:r>
      <w:r w:rsidR="00C61C36">
        <w:t>)</w:t>
      </w:r>
      <w:r w:rsidR="00985D0E">
        <w:t>,</w:t>
      </w:r>
      <w:r w:rsidR="00E029DF">
        <w:t xml:space="preserve"> this appears to be done on an ad</w:t>
      </w:r>
      <w:r w:rsidR="00BB23BC">
        <w:noBreakHyphen/>
      </w:r>
      <w:r w:rsidR="00E029DF">
        <w:t xml:space="preserve">hoc basis. </w:t>
      </w:r>
    </w:p>
    <w:p w14:paraId="5501202F" w14:textId="33682A43" w:rsidR="000D1557" w:rsidRDefault="00535F3F" w:rsidP="009C7854">
      <w:pPr>
        <w:pStyle w:val="BodyText"/>
      </w:pPr>
      <w:r>
        <w:t>E</w:t>
      </w:r>
      <w:r w:rsidR="00AB29DC">
        <w:t>v</w:t>
      </w:r>
      <w:r w:rsidR="000D1557">
        <w:t>aluation of policies</w:t>
      </w:r>
      <w:r w:rsidR="00B46311">
        <w:t xml:space="preserve"> and programs</w:t>
      </w:r>
      <w:r w:rsidR="000D1557">
        <w:t xml:space="preserve"> affecting </w:t>
      </w:r>
      <w:r w:rsidR="00985D0E">
        <w:t>i</w:t>
      </w:r>
      <w:r w:rsidR="000D1557">
        <w:t>ndigenous people in Canada also occurs at a provincial and territorial level.</w:t>
      </w:r>
      <w:r w:rsidR="00852AF9">
        <w:t xml:space="preserve"> However, there is evidence to suggest that the scale of evaluation is not as large as what occurs on the federal level. </w:t>
      </w:r>
      <w:r w:rsidR="000D1557">
        <w:t xml:space="preserve">Jacob and </w:t>
      </w:r>
      <w:proofErr w:type="spellStart"/>
      <w:r w:rsidR="000D1557">
        <w:t>Desautels</w:t>
      </w:r>
      <w:proofErr w:type="spellEnd"/>
      <w:r w:rsidR="000D1557">
        <w:t xml:space="preserve"> </w:t>
      </w:r>
      <w:r w:rsidR="000A369B" w:rsidRPr="000A369B">
        <w:rPr>
          <w:szCs w:val="24"/>
        </w:rPr>
        <w:t>(2014, p. 67)</w:t>
      </w:r>
      <w:r w:rsidR="000D1557">
        <w:t xml:space="preserve"> found that ‘by far the biggest player’ in</w:t>
      </w:r>
      <w:r w:rsidR="00787CCA">
        <w:t xml:space="preserve"> evaluating i</w:t>
      </w:r>
      <w:r w:rsidR="000D1557">
        <w:t>ndigenous programs in Canada was the then federal department (</w:t>
      </w:r>
      <w:r w:rsidR="000D1557" w:rsidRPr="00650631">
        <w:t>Indigenous and Northern Affairs Canada</w:t>
      </w:r>
      <w:r w:rsidR="000D1557">
        <w:t>)</w:t>
      </w:r>
      <w:r w:rsidR="00F22CFB">
        <w:t>.</w:t>
      </w:r>
      <w:r w:rsidR="000D1557">
        <w:t xml:space="preserve"> </w:t>
      </w:r>
    </w:p>
    <w:p w14:paraId="3BAEBEDE" w14:textId="77777777" w:rsidR="00032908" w:rsidRDefault="00032908">
      <w:pPr>
        <w:rPr>
          <w:szCs w:val="20"/>
        </w:rPr>
      </w:pPr>
      <w:r>
        <w:br w:type="page"/>
      </w:r>
    </w:p>
    <w:p w14:paraId="55DA81F0" w14:textId="3E07FB88" w:rsidR="00EC5289" w:rsidRDefault="00EC5289" w:rsidP="00EC5289">
      <w:pPr>
        <w:pStyle w:val="Heading3"/>
      </w:pPr>
      <w:r>
        <w:lastRenderedPageBreak/>
        <w:t>Evaluation of policies</w:t>
      </w:r>
      <w:r w:rsidR="00B46311">
        <w:t xml:space="preserve"> and programs</w:t>
      </w:r>
      <w:r>
        <w:t xml:space="preserve"> affecting </w:t>
      </w:r>
      <w:r w:rsidR="00971334">
        <w:t>i</w:t>
      </w:r>
      <w:r>
        <w:t>ndigenous peoples in the United States</w:t>
      </w:r>
    </w:p>
    <w:p w14:paraId="400C459A" w14:textId="5AA34F09" w:rsidR="00EC5289" w:rsidRDefault="00D52B51" w:rsidP="00EC5289">
      <w:pPr>
        <w:pStyle w:val="BodyText"/>
      </w:pPr>
      <w:r>
        <w:t xml:space="preserve">The </w:t>
      </w:r>
      <w:r w:rsidR="00060EDE">
        <w:t>i</w:t>
      </w:r>
      <w:r>
        <w:t>ndigenous peoples of the United States</w:t>
      </w:r>
      <w:r w:rsidR="00D4553C">
        <w:t>:</w:t>
      </w:r>
    </w:p>
    <w:p w14:paraId="57275C6F" w14:textId="4E869177" w:rsidR="00D4553C" w:rsidRDefault="00D91AD6" w:rsidP="00D91AD6">
      <w:pPr>
        <w:pStyle w:val="Quote"/>
      </w:pPr>
      <w:r>
        <w:t>… include a vast array of distinct groups that fall under the generally accepted designation of Native Americans, which include American Indians and Alaska Natives; also included are the people indigenous to Hawaii, or Native Hawaiians.</w:t>
      </w:r>
      <w:r w:rsidR="00E22035">
        <w:t xml:space="preserve"> </w:t>
      </w:r>
      <w:r w:rsidR="00E22035" w:rsidRPr="00C00940">
        <w:rPr>
          <w:szCs w:val="24"/>
        </w:rPr>
        <w:t>(Anaya 2012, p. 5)</w:t>
      </w:r>
    </w:p>
    <w:p w14:paraId="0794D6CE" w14:textId="26DF7135" w:rsidR="006C02C4" w:rsidRDefault="006C02C4" w:rsidP="00EC5289">
      <w:pPr>
        <w:pStyle w:val="BodyText"/>
      </w:pPr>
      <w:r>
        <w:t xml:space="preserve">The nature of relationships between Native American Tribes and the Government of the United States is underpinned by numerous instruments. On this relationship, the Tribal Epidemiological </w:t>
      </w:r>
      <w:proofErr w:type="spellStart"/>
      <w:r>
        <w:t>Centers</w:t>
      </w:r>
      <w:proofErr w:type="spellEnd"/>
      <w:r w:rsidR="00606A49">
        <w:t xml:space="preserve"> </w:t>
      </w:r>
      <w:r w:rsidR="00606A49" w:rsidRPr="00606A49">
        <w:t>(2013)</w:t>
      </w:r>
      <w:r>
        <w:t xml:space="preserve"> stated:</w:t>
      </w:r>
    </w:p>
    <w:p w14:paraId="4D620645" w14:textId="5349745C" w:rsidR="006C02C4" w:rsidRDefault="006C02C4" w:rsidP="006C02C4">
      <w:pPr>
        <w:pStyle w:val="Quote"/>
      </w:pPr>
      <w:r>
        <w:t>Federally</w:t>
      </w:r>
      <w:r w:rsidR="00FC7E6E">
        <w:noBreakHyphen/>
      </w:r>
      <w:r>
        <w:t>recognized tribes of American Indians and Alaska Natives have a unique historic and legal government</w:t>
      </w:r>
      <w:r w:rsidR="00FC7E6E">
        <w:noBreakHyphen/>
      </w:r>
      <w:r>
        <w:t>to</w:t>
      </w:r>
      <w:r w:rsidR="00FC7E6E">
        <w:noBreakHyphen/>
      </w:r>
      <w:r>
        <w:t>government relationship with the U.S. government. This relationship has been given substance through numerous Supreme Court decisions, treaties, legislation, and Executive Orders, and entitles AI/ANs and their descendants to special rights, including health benefits. Under this trust responsibility, the U.S. has a legal obligation to protect Tribes’ assets and provide needed services to Indian people</w:t>
      </w:r>
      <w:r w:rsidR="00527574">
        <w:t>.</w:t>
      </w:r>
      <w:r w:rsidR="004B0D11">
        <w:t xml:space="preserve"> </w:t>
      </w:r>
      <w:r w:rsidR="00BF0D31">
        <w:t>(p. 9)</w:t>
      </w:r>
    </w:p>
    <w:p w14:paraId="1B777905" w14:textId="7A7AAA7C" w:rsidR="002B7122" w:rsidRDefault="008D7AC8" w:rsidP="00EC5289">
      <w:pPr>
        <w:pStyle w:val="BodyText"/>
      </w:pPr>
      <w:r>
        <w:t>While several different departments run programs for Native Americans, two of the bigger service providers are the Department of the Interior (DOI) and the Department of Health and Human Services (HHS). The former houses the Bureau of Indian Affairs, while the latter houses the Indian Health Service</w:t>
      </w:r>
      <w:r w:rsidR="00255104">
        <w:t xml:space="preserve"> (IHS)</w:t>
      </w:r>
      <w:r>
        <w:t xml:space="preserve"> and the Administration for </w:t>
      </w:r>
      <w:r w:rsidR="00E118F5">
        <w:t>Native Americans</w:t>
      </w:r>
      <w:r w:rsidR="00B4523E">
        <w:t xml:space="preserve"> (</w:t>
      </w:r>
      <w:r w:rsidR="00E118F5">
        <w:t>which is part of the Administration for Children and Families</w:t>
      </w:r>
      <w:r w:rsidR="00B4523E">
        <w:t>)</w:t>
      </w:r>
      <w:r>
        <w:t>.</w:t>
      </w:r>
      <w:r w:rsidR="0011525A">
        <w:t xml:space="preserve"> </w:t>
      </w:r>
    </w:p>
    <w:p w14:paraId="53A70685" w14:textId="42FDED53" w:rsidR="0079737C" w:rsidRDefault="002B7122" w:rsidP="00EC5289">
      <w:pPr>
        <w:pStyle w:val="BodyText"/>
      </w:pPr>
      <w:r>
        <w:t>There appears to be no systematic, whole</w:t>
      </w:r>
      <w:r w:rsidR="00FC7E6E">
        <w:noBreakHyphen/>
      </w:r>
      <w:r>
        <w:t>of</w:t>
      </w:r>
      <w:r w:rsidR="00FC7E6E">
        <w:noBreakHyphen/>
      </w:r>
      <w:r>
        <w:t xml:space="preserve">government approach to evaluating </w:t>
      </w:r>
      <w:r w:rsidR="00B46311">
        <w:t>policies and programs</w:t>
      </w:r>
      <w:r>
        <w:t xml:space="preserve"> affecting Native Americans in the United States</w:t>
      </w:r>
      <w:r w:rsidR="00687683">
        <w:t>, and different departments appear to have different approaches</w:t>
      </w:r>
      <w:r w:rsidR="00B4523E">
        <w:t xml:space="preserve">. </w:t>
      </w:r>
    </w:p>
    <w:p w14:paraId="7B0EF876" w14:textId="32FFCAA6" w:rsidR="00B4523E" w:rsidRDefault="00C00940" w:rsidP="00EC5289">
      <w:pPr>
        <w:pStyle w:val="BodyText"/>
      </w:pPr>
      <w:r>
        <w:t>T</w:t>
      </w:r>
      <w:r w:rsidR="00B4523E">
        <w:t xml:space="preserve">he </w:t>
      </w:r>
      <w:r w:rsidR="002421FF">
        <w:t>Administration for Native Americans, which — among other functions — provides grants to support locally determined projects designed to reduce or eliminate community problems and achieve community goals — maintains a division of program evaluation and planning, and meets with about one</w:t>
      </w:r>
      <w:r w:rsidR="00FC7E6E">
        <w:noBreakHyphen/>
      </w:r>
      <w:r w:rsidR="002421FF">
        <w:t xml:space="preserve">third of its grantees each year for the purposes of evaluating the impacts of their </w:t>
      </w:r>
      <w:r w:rsidR="007721EF">
        <w:t xml:space="preserve">grants </w:t>
      </w:r>
      <w:r w:rsidR="00C040DB" w:rsidRPr="00C040DB">
        <w:rPr>
          <w:szCs w:val="24"/>
        </w:rPr>
        <w:t xml:space="preserve">(ANA 2019a, 2019b, </w:t>
      </w:r>
      <w:proofErr w:type="spellStart"/>
      <w:r w:rsidR="00C040DB" w:rsidRPr="00C040DB">
        <w:rPr>
          <w:szCs w:val="24"/>
        </w:rPr>
        <w:t>nd</w:t>
      </w:r>
      <w:proofErr w:type="spellEnd"/>
      <w:r w:rsidR="00C040DB" w:rsidRPr="00C040DB">
        <w:rPr>
          <w:szCs w:val="24"/>
        </w:rPr>
        <w:t>)</w:t>
      </w:r>
      <w:r w:rsidR="002421FF">
        <w:t>.</w:t>
      </w:r>
      <w:r w:rsidR="005C1814">
        <w:t xml:space="preserve"> Evaluation of projects is informed by standard tools, and results are used to inform a report to Congress on the impact and effectiveness of the Administration’s projects</w:t>
      </w:r>
      <w:r w:rsidR="009A7B76">
        <w:t xml:space="preserve"> </w:t>
      </w:r>
      <w:r w:rsidR="00A31F1E" w:rsidRPr="00A31F1E">
        <w:rPr>
          <w:szCs w:val="24"/>
        </w:rPr>
        <w:t>(ACF and ANA 2019; ANA 2019c)</w:t>
      </w:r>
      <w:r w:rsidR="00380C5E">
        <w:t>.</w:t>
      </w:r>
      <w:r w:rsidR="003D39A5">
        <w:t xml:space="preserve"> The parent agenc</w:t>
      </w:r>
      <w:r w:rsidR="002E1F54">
        <w:t>y</w:t>
      </w:r>
      <w:r w:rsidR="003D39A5">
        <w:t xml:space="preserve"> of the Administration for Native Americans — the Administration for Children and Families</w:t>
      </w:r>
      <w:r w:rsidR="003C0E2A">
        <w:t xml:space="preserve"> (ACF)</w:t>
      </w:r>
      <w:r w:rsidR="003D39A5">
        <w:t xml:space="preserve"> — also maintains an Office of Planning, Research and Evaluation whose function includes evaluating existing programs</w:t>
      </w:r>
      <w:r w:rsidR="003C0E2A">
        <w:t xml:space="preserve">, which can include examining impacts of ACF programs on or for Native Americans </w:t>
      </w:r>
      <w:r w:rsidR="00386DCF">
        <w:t>(with one example being an evaluation</w:t>
      </w:r>
      <w:r w:rsidR="004F4F6E">
        <w:t xml:space="preserve"> of</w:t>
      </w:r>
      <w:r w:rsidR="00386DCF">
        <w:t xml:space="preserve"> a grant program to train individuals in health</w:t>
      </w:r>
      <w:r w:rsidR="00FC7E6E">
        <w:noBreakHyphen/>
      </w:r>
      <w:r w:rsidR="00386DCF">
        <w:t xml:space="preserve">related professions </w:t>
      </w:r>
      <w:r w:rsidR="00F54E02" w:rsidRPr="00F54E02">
        <w:rPr>
          <w:szCs w:val="24"/>
        </w:rPr>
        <w:t>(</w:t>
      </w:r>
      <w:proofErr w:type="spellStart"/>
      <w:r w:rsidR="00F54E02" w:rsidRPr="00F54E02">
        <w:rPr>
          <w:szCs w:val="24"/>
        </w:rPr>
        <w:t>Meit</w:t>
      </w:r>
      <w:proofErr w:type="spellEnd"/>
      <w:r w:rsidR="00F54E02" w:rsidRPr="00F54E02">
        <w:rPr>
          <w:szCs w:val="24"/>
        </w:rPr>
        <w:t xml:space="preserve"> et al. 2016; OPRE 2020)</w:t>
      </w:r>
      <w:r w:rsidR="00386DCF">
        <w:t xml:space="preserve">).  </w:t>
      </w:r>
    </w:p>
    <w:p w14:paraId="1568545A" w14:textId="0AF00713" w:rsidR="0018400A" w:rsidRDefault="0018400A" w:rsidP="00E65D2A">
      <w:pPr>
        <w:pStyle w:val="BodyText"/>
      </w:pPr>
      <w:r>
        <w:t>T</w:t>
      </w:r>
      <w:r w:rsidR="004C2299">
        <w:t xml:space="preserve">he Indian Health Service also maintains a planning, evaluation and research branch. It has developed an evaluation policy that outlines some guidance as to how the evaluation of IHS projects should be undertaken. Amongst other things, the policy states that all new projects </w:t>
      </w:r>
      <w:r w:rsidR="004C2299">
        <w:lastRenderedPageBreak/>
        <w:t xml:space="preserve">should include evaluation as part of program planning and development. This includes using </w:t>
      </w:r>
      <w:r w:rsidR="002F024A">
        <w:t>five </w:t>
      </w:r>
      <w:r w:rsidR="004C2299">
        <w:t>to </w:t>
      </w:r>
      <w:r w:rsidR="002F024A">
        <w:t>ten </w:t>
      </w:r>
      <w:r w:rsidR="004C2299">
        <w:t xml:space="preserve">per cent of program funds to support evaluation, and developing a theory of change for </w:t>
      </w:r>
      <w:r w:rsidR="00A45FB7">
        <w:t xml:space="preserve">the </w:t>
      </w:r>
      <w:r w:rsidR="004C2299">
        <w:t>program that outlines expected</w:t>
      </w:r>
      <w:r w:rsidR="009C27B1">
        <w:t xml:space="preserve"> outcomes in the</w:t>
      </w:r>
      <w:r w:rsidR="004C2299">
        <w:t xml:space="preserve"> short</w:t>
      </w:r>
      <w:r w:rsidR="00FC7E6E">
        <w:noBreakHyphen/>
      </w:r>
      <w:r w:rsidR="004C2299">
        <w:t>, medium</w:t>
      </w:r>
      <w:r w:rsidR="00FC7E6E">
        <w:noBreakHyphen/>
      </w:r>
      <w:r w:rsidR="004C2299">
        <w:t xml:space="preserve"> and long</w:t>
      </w:r>
      <w:r w:rsidR="00FC7E6E">
        <w:noBreakHyphen/>
      </w:r>
      <w:r w:rsidR="004C2299">
        <w:t>term</w:t>
      </w:r>
      <w:r w:rsidR="00150869">
        <w:t xml:space="preserve"> </w:t>
      </w:r>
      <w:r w:rsidR="00150869" w:rsidRPr="00150869">
        <w:rPr>
          <w:szCs w:val="24"/>
        </w:rPr>
        <w:t>(IHS </w:t>
      </w:r>
      <w:proofErr w:type="spellStart"/>
      <w:r w:rsidR="00150869" w:rsidRPr="00150869">
        <w:rPr>
          <w:szCs w:val="24"/>
        </w:rPr>
        <w:t>nd</w:t>
      </w:r>
      <w:proofErr w:type="spellEnd"/>
      <w:r w:rsidR="00150869" w:rsidRPr="00150869">
        <w:rPr>
          <w:szCs w:val="24"/>
        </w:rPr>
        <w:t>)</w:t>
      </w:r>
      <w:r w:rsidR="009C27B1">
        <w:t>.</w:t>
      </w:r>
      <w:r w:rsidR="004C2299">
        <w:t xml:space="preserve">  </w:t>
      </w:r>
    </w:p>
    <w:p w14:paraId="02897050" w14:textId="53FE0916" w:rsidR="00D52B51" w:rsidRDefault="00605D4D" w:rsidP="00EC5289">
      <w:pPr>
        <w:pStyle w:val="BodyText"/>
      </w:pPr>
      <w:r w:rsidRPr="00605D4D">
        <w:t>The Indian Health Service</w:t>
      </w:r>
      <w:r>
        <w:t xml:space="preserve"> also funds (with other agencies) Tribal Epidemiology </w:t>
      </w:r>
      <w:proofErr w:type="spellStart"/>
      <w:r>
        <w:t>Centers</w:t>
      </w:r>
      <w:proofErr w:type="spellEnd"/>
      <w:r>
        <w:t xml:space="preserve"> (TECs). TECs work in partnership with Tribes to improve the health and wellbeing of people in their Tribal community.</w:t>
      </w:r>
      <w:r w:rsidR="00147ED5">
        <w:t xml:space="preserve"> There are 12 TECs, each covering a different geographic area (one TEC, based in Seattle</w:t>
      </w:r>
      <w:r w:rsidR="00B66E7B">
        <w:t>,</w:t>
      </w:r>
      <w:r w:rsidR="00147ED5">
        <w:t xml:space="preserve"> has a nationwide focus on urban Native Americans)</w:t>
      </w:r>
      <w:r w:rsidR="00F40739">
        <w:t xml:space="preserve"> </w:t>
      </w:r>
      <w:r w:rsidR="00F40739" w:rsidRPr="00150869">
        <w:rPr>
          <w:szCs w:val="24"/>
        </w:rPr>
        <w:t>(CDC </w:t>
      </w:r>
      <w:proofErr w:type="spellStart"/>
      <w:r w:rsidR="00F40739" w:rsidRPr="00150869">
        <w:rPr>
          <w:szCs w:val="24"/>
        </w:rPr>
        <w:t>nd</w:t>
      </w:r>
      <w:proofErr w:type="spellEnd"/>
      <w:r w:rsidR="00F40739" w:rsidRPr="00150869">
        <w:rPr>
          <w:szCs w:val="24"/>
        </w:rPr>
        <w:t>)</w:t>
      </w:r>
      <w:r w:rsidR="00B66E7B">
        <w:t>.</w:t>
      </w:r>
      <w:r>
        <w:t xml:space="preserve"> TECs have a number of functions</w:t>
      </w:r>
      <w:r w:rsidR="00101579">
        <w:t xml:space="preserve"> — some of which include</w:t>
      </w:r>
      <w:r w:rsidR="00745FD8">
        <w:t>:</w:t>
      </w:r>
      <w:r w:rsidR="00101579">
        <w:t xml:space="preserve"> data collection relating to, and progress monitoring of, health objectives</w:t>
      </w:r>
      <w:r w:rsidR="00745FD8">
        <w:t xml:space="preserve">; </w:t>
      </w:r>
      <w:r w:rsidR="00101579">
        <w:t>assisting Indian Tribes, tribal organisations and urban Indian organisations to identify highest</w:t>
      </w:r>
      <w:r w:rsidR="00FC7E6E">
        <w:noBreakHyphen/>
      </w:r>
      <w:r w:rsidR="00101579">
        <w:t>priority health objectives and services to meet these objectives</w:t>
      </w:r>
      <w:r w:rsidR="00745FD8">
        <w:t>;</w:t>
      </w:r>
      <w:r w:rsidR="00101579">
        <w:t xml:space="preserve"> and </w:t>
      </w:r>
      <w:r w:rsidR="00745FD8">
        <w:t xml:space="preserve">making </w:t>
      </w:r>
      <w:r w:rsidR="00101579">
        <w:t>recommendations on how services could be targeted or improved</w:t>
      </w:r>
      <w:r w:rsidR="00E65D2A">
        <w:t>. TECs also evaluate delivery, data and other systems that impact on the improvement of Indian health</w:t>
      </w:r>
      <w:r w:rsidR="007B4817">
        <w:t xml:space="preserve"> </w:t>
      </w:r>
      <w:r w:rsidR="00AD71C5" w:rsidRPr="00AD71C5">
        <w:rPr>
          <w:szCs w:val="24"/>
        </w:rPr>
        <w:t xml:space="preserve">(Tribal Epidemiology </w:t>
      </w:r>
      <w:proofErr w:type="spellStart"/>
      <w:r w:rsidR="00AD71C5" w:rsidRPr="00AD71C5">
        <w:rPr>
          <w:szCs w:val="24"/>
        </w:rPr>
        <w:t>Centers</w:t>
      </w:r>
      <w:proofErr w:type="spellEnd"/>
      <w:r w:rsidR="00AD71C5" w:rsidRPr="00AD71C5">
        <w:rPr>
          <w:szCs w:val="24"/>
        </w:rPr>
        <w:t> 2020)</w:t>
      </w:r>
      <w:r w:rsidR="00E65D2A">
        <w:t>.</w:t>
      </w:r>
      <w:r w:rsidR="00E65D2A" w:rsidRPr="00E65D2A">
        <w:t xml:space="preserve"> </w:t>
      </w:r>
      <w:r w:rsidR="00E65D2A">
        <w:t xml:space="preserve">TECs have a great deal of flexibility in how they go about fulfilling their duties. Their functions are to be provided </w:t>
      </w:r>
      <w:r w:rsidR="00E65D2A" w:rsidRPr="00F030E5">
        <w:t>‘[</w:t>
      </w:r>
      <w:proofErr w:type="spellStart"/>
      <w:r w:rsidR="00E65D2A" w:rsidRPr="00F030E5">
        <w:t>i</w:t>
      </w:r>
      <w:proofErr w:type="spellEnd"/>
      <w:r w:rsidR="00E65D2A" w:rsidRPr="00F030E5">
        <w:t>]n consultation wi</w:t>
      </w:r>
      <w:r w:rsidR="007B4817">
        <w:t>t</w:t>
      </w:r>
      <w:r w:rsidR="00E65D2A" w:rsidRPr="00F030E5">
        <w:t>h and on the request of Indian tribes, tribal organizations, and urban Indian organizations</w:t>
      </w:r>
      <w:r w:rsidR="00E65D2A">
        <w:t xml:space="preserve">’ and </w:t>
      </w:r>
      <w:r w:rsidR="00B71DF7">
        <w:t xml:space="preserve">each TEC is unique in the types and range of activities they conduct and services they provide </w:t>
      </w:r>
      <w:r w:rsidR="003D16AB" w:rsidRPr="003D16AB">
        <w:rPr>
          <w:szCs w:val="24"/>
        </w:rPr>
        <w:t>(CDC </w:t>
      </w:r>
      <w:proofErr w:type="spellStart"/>
      <w:r w:rsidR="003D16AB" w:rsidRPr="003D16AB">
        <w:rPr>
          <w:szCs w:val="24"/>
        </w:rPr>
        <w:t>nd</w:t>
      </w:r>
      <w:proofErr w:type="spellEnd"/>
      <w:r w:rsidR="003D16AB" w:rsidRPr="003D16AB">
        <w:rPr>
          <w:szCs w:val="24"/>
        </w:rPr>
        <w:t>, p. 1)</w:t>
      </w:r>
      <w:r w:rsidR="00B71DF7">
        <w:t>.</w:t>
      </w:r>
    </w:p>
    <w:p w14:paraId="06DF18A5" w14:textId="1B4423E1" w:rsidR="00E54F61" w:rsidRDefault="00E54F61" w:rsidP="00EC5289">
      <w:pPr>
        <w:pStyle w:val="BodyText"/>
      </w:pPr>
      <w:r>
        <w:t>The introduction</w:t>
      </w:r>
      <w:r w:rsidR="00F02C54">
        <w:t xml:space="preserve"> and implementation</w:t>
      </w:r>
      <w:r>
        <w:t xml:space="preserve"> of the </w:t>
      </w:r>
      <w:r w:rsidR="00684625" w:rsidRPr="00060EDE">
        <w:rPr>
          <w:i/>
        </w:rPr>
        <w:t xml:space="preserve">Foundations </w:t>
      </w:r>
      <w:r w:rsidR="0056280E">
        <w:rPr>
          <w:i/>
        </w:rPr>
        <w:t>for</w:t>
      </w:r>
      <w:r w:rsidR="00684625" w:rsidRPr="00060EDE">
        <w:rPr>
          <w:i/>
        </w:rPr>
        <w:t xml:space="preserve"> Evidence</w:t>
      </w:r>
      <w:r w:rsidR="00FC7E6E">
        <w:rPr>
          <w:i/>
        </w:rPr>
        <w:noBreakHyphen/>
      </w:r>
      <w:r w:rsidR="0079737C">
        <w:rPr>
          <w:i/>
        </w:rPr>
        <w:t>based Policym</w:t>
      </w:r>
      <w:r w:rsidR="00684625" w:rsidRPr="00060EDE">
        <w:rPr>
          <w:i/>
        </w:rPr>
        <w:t xml:space="preserve">aking Act 2018 </w:t>
      </w:r>
      <w:r w:rsidR="003D16AB">
        <w:t xml:space="preserve">(US) </w:t>
      </w:r>
      <w:r>
        <w:t xml:space="preserve">(discussed above) may change the </w:t>
      </w:r>
      <w:r w:rsidR="001657C8">
        <w:t xml:space="preserve">frequency or approach </w:t>
      </w:r>
      <w:r w:rsidR="003D16AB">
        <w:t xml:space="preserve">with </w:t>
      </w:r>
      <w:r w:rsidR="001657C8">
        <w:t xml:space="preserve">which </w:t>
      </w:r>
      <w:r w:rsidR="00B46311">
        <w:t xml:space="preserve">policies </w:t>
      </w:r>
      <w:r w:rsidR="001657C8">
        <w:t xml:space="preserve">and </w:t>
      </w:r>
      <w:r w:rsidR="00B46311">
        <w:t xml:space="preserve">programs </w:t>
      </w:r>
      <w:r w:rsidR="001657C8">
        <w:t xml:space="preserve">affecting Native Americans are evaluated. Both the DOI and the HHS — as federal government </w:t>
      </w:r>
      <w:r w:rsidR="002F5A96">
        <w:t xml:space="preserve">agencies </w:t>
      </w:r>
      <w:r w:rsidR="001657C8">
        <w:t xml:space="preserve">— appear to be subject to the requirements set out in the Act, including </w:t>
      </w:r>
      <w:r w:rsidR="00703777">
        <w:t>developing evaluation plans and appointing evaluation officers.</w:t>
      </w:r>
    </w:p>
    <w:p w14:paraId="2F79B67A" w14:textId="78286211" w:rsidR="00EC5289" w:rsidRDefault="00EC5289" w:rsidP="00EC5289">
      <w:pPr>
        <w:pStyle w:val="Heading3"/>
      </w:pPr>
      <w:r>
        <w:t>Evaluation of policies</w:t>
      </w:r>
      <w:r w:rsidR="00B46311">
        <w:t xml:space="preserve"> and</w:t>
      </w:r>
      <w:r w:rsidR="00C661BD">
        <w:t xml:space="preserve"> programs</w:t>
      </w:r>
      <w:r>
        <w:t xml:space="preserve"> affecting </w:t>
      </w:r>
      <w:r w:rsidR="009147FC">
        <w:t xml:space="preserve">indigenous </w:t>
      </w:r>
      <w:r>
        <w:t xml:space="preserve">peoples in </w:t>
      </w:r>
      <w:r w:rsidR="00437547">
        <w:t xml:space="preserve">Aotearoa </w:t>
      </w:r>
      <w:r>
        <w:t>New Zealand</w:t>
      </w:r>
    </w:p>
    <w:p w14:paraId="33C64D04" w14:textId="1FD248A0" w:rsidR="0036184D" w:rsidRDefault="00437547" w:rsidP="00AE3C46">
      <w:pPr>
        <w:pStyle w:val="BodyText"/>
        <w:rPr>
          <w:rFonts w:cstheme="minorHAnsi"/>
        </w:rPr>
      </w:pPr>
      <w:r>
        <w:t xml:space="preserve">The Māori are the </w:t>
      </w:r>
      <w:r w:rsidR="00B56220">
        <w:t>i</w:t>
      </w:r>
      <w:r>
        <w:t xml:space="preserve">ndigenous people of Aotearoa New Zealand. </w:t>
      </w:r>
      <w:r w:rsidR="009F78A5">
        <w:t xml:space="preserve">They are a Polynesian people, who arrived in Aotearoa New Zealand in </w:t>
      </w:r>
      <w:r w:rsidR="00091DB9">
        <w:t>the</w:t>
      </w:r>
      <w:r w:rsidR="0057269C">
        <w:t xml:space="preserve"> </w:t>
      </w:r>
      <w:r w:rsidR="00091DB9">
        <w:t>late</w:t>
      </w:r>
      <w:r w:rsidR="0057269C">
        <w:t xml:space="preserve"> </w:t>
      </w:r>
      <w:r w:rsidR="00091DB9">
        <w:t>13</w:t>
      </w:r>
      <w:r w:rsidR="009F78A5" w:rsidRPr="009F78A5">
        <w:rPr>
          <w:vertAlign w:val="superscript"/>
        </w:rPr>
        <w:t>th</w:t>
      </w:r>
      <w:r w:rsidR="009F78A5">
        <w:t xml:space="preserve"> Century</w:t>
      </w:r>
      <w:r w:rsidR="0063718C">
        <w:t xml:space="preserve">, </w:t>
      </w:r>
      <w:r w:rsidR="00091DB9">
        <w:t xml:space="preserve">over 300 </w:t>
      </w:r>
      <w:r w:rsidR="0063718C">
        <w:t xml:space="preserve">years before the arrival of Europeans. </w:t>
      </w:r>
      <w:r w:rsidR="00AE3C46">
        <w:rPr>
          <w:rFonts w:cstheme="minorHAnsi"/>
        </w:rPr>
        <w:t>In 1840, as British efforts to colonise New Zealand began, the British Crown and Māori chiefs signed the Treaty of Waitangi</w:t>
      </w:r>
      <w:r w:rsidR="00091DB9">
        <w:rPr>
          <w:rFonts w:cstheme="minorHAnsi"/>
        </w:rPr>
        <w:t xml:space="preserve"> </w:t>
      </w:r>
      <w:r w:rsidR="00091DB9" w:rsidRPr="00091DB9">
        <w:rPr>
          <w:szCs w:val="24"/>
        </w:rPr>
        <w:t>(Wilson 2020)</w:t>
      </w:r>
      <w:r w:rsidR="00AE3C46">
        <w:rPr>
          <w:rFonts w:cstheme="minorHAnsi"/>
        </w:rPr>
        <w:t>.</w:t>
      </w:r>
      <w:r w:rsidR="0036184D">
        <w:rPr>
          <w:rFonts w:cstheme="minorHAnsi"/>
        </w:rPr>
        <w:t xml:space="preserve"> Today the Treaty is widely accepted as a constitutional document that establishes and guides the relationship between </w:t>
      </w:r>
      <w:r w:rsidR="0036184D">
        <w:t xml:space="preserve">Māori and the New Zealand Government, although its status </w:t>
      </w:r>
      <w:r w:rsidR="006B0B40">
        <w:t>in</w:t>
      </w:r>
      <w:r w:rsidR="0036184D">
        <w:t xml:space="preserve"> </w:t>
      </w:r>
      <w:r w:rsidR="003D16AB">
        <w:t>New </w:t>
      </w:r>
      <w:r w:rsidR="0036184D">
        <w:t>Zealand</w:t>
      </w:r>
      <w:r w:rsidR="006B0B40">
        <w:t xml:space="preserve"> law</w:t>
      </w:r>
      <w:r w:rsidR="0036184D">
        <w:t xml:space="preserve"> has been described as ‘less than settled’ </w:t>
      </w:r>
      <w:r w:rsidR="00A31F1E" w:rsidRPr="00A31F1E">
        <w:rPr>
          <w:szCs w:val="24"/>
        </w:rPr>
        <w:t>(Ministry of Justice (NZ) 2020)</w:t>
      </w:r>
      <w:r w:rsidR="0036184D">
        <w:t>.</w:t>
      </w:r>
      <w:r w:rsidR="00AE3C46">
        <w:rPr>
          <w:rFonts w:cstheme="minorHAnsi"/>
        </w:rPr>
        <w:t xml:space="preserve"> </w:t>
      </w:r>
    </w:p>
    <w:p w14:paraId="03CEF52C" w14:textId="2F5F410B" w:rsidR="00B23ADA" w:rsidRDefault="00EC40E4" w:rsidP="00AE3C46">
      <w:pPr>
        <w:pStyle w:val="BodyText"/>
        <w:rPr>
          <w:rFonts w:cstheme="minorHAnsi"/>
        </w:rPr>
      </w:pPr>
      <w:r>
        <w:rPr>
          <w:rFonts w:cstheme="minorHAnsi"/>
        </w:rPr>
        <w:t xml:space="preserve">There </w:t>
      </w:r>
      <w:r w:rsidR="000A4DE5">
        <w:rPr>
          <w:rFonts w:cstheme="minorHAnsi"/>
        </w:rPr>
        <w:t xml:space="preserve">appears to be </w:t>
      </w:r>
      <w:r>
        <w:rPr>
          <w:rFonts w:cstheme="minorHAnsi"/>
        </w:rPr>
        <w:t>no</w:t>
      </w:r>
      <w:r w:rsidR="0003620B">
        <w:rPr>
          <w:rFonts w:cstheme="minorHAnsi"/>
        </w:rPr>
        <w:t xml:space="preserve"> formal, publicly available</w:t>
      </w:r>
      <w:r>
        <w:rPr>
          <w:rFonts w:cstheme="minorHAnsi"/>
        </w:rPr>
        <w:t xml:space="preserve"> central framework that must be applied by</w:t>
      </w:r>
      <w:r w:rsidR="004F7B8F">
        <w:rPr>
          <w:rFonts w:cstheme="minorHAnsi"/>
        </w:rPr>
        <w:t xml:space="preserve"> New Zealand</w:t>
      </w:r>
      <w:r>
        <w:rPr>
          <w:rFonts w:cstheme="minorHAnsi"/>
        </w:rPr>
        <w:t xml:space="preserve"> government agencies when evaluating programs or policies </w:t>
      </w:r>
      <w:r w:rsidR="004F7B8F">
        <w:rPr>
          <w:rFonts w:cstheme="minorHAnsi"/>
        </w:rPr>
        <w:t xml:space="preserve">affecting </w:t>
      </w:r>
      <w:r w:rsidR="004F7B8F">
        <w:t>Māori.</w:t>
      </w:r>
      <w:r w:rsidR="004F7B8F">
        <w:rPr>
          <w:rFonts w:cstheme="minorHAnsi"/>
        </w:rPr>
        <w:t xml:space="preserve"> </w:t>
      </w:r>
      <w:r w:rsidR="000A39B7">
        <w:rPr>
          <w:rFonts w:cstheme="minorHAnsi"/>
        </w:rPr>
        <w:t>A</w:t>
      </w:r>
      <w:r w:rsidR="005A351D">
        <w:rPr>
          <w:rFonts w:cstheme="minorHAnsi"/>
        </w:rPr>
        <w:t xml:space="preserve"> number of agencies have produced guidelines </w:t>
      </w:r>
      <w:r w:rsidR="008E4857">
        <w:rPr>
          <w:rFonts w:cstheme="minorHAnsi"/>
        </w:rPr>
        <w:t>for</w:t>
      </w:r>
      <w:r w:rsidR="005A351D">
        <w:rPr>
          <w:rFonts w:cstheme="minorHAnsi"/>
        </w:rPr>
        <w:t xml:space="preserve"> evaluation that involves or affects Māori</w:t>
      </w:r>
      <w:r w:rsidR="0003620B">
        <w:rPr>
          <w:rFonts w:cstheme="minorHAnsi"/>
        </w:rPr>
        <w:t xml:space="preserve">, </w:t>
      </w:r>
      <w:r w:rsidR="000A39B7">
        <w:rPr>
          <w:rFonts w:cstheme="minorHAnsi"/>
        </w:rPr>
        <w:t xml:space="preserve">although </w:t>
      </w:r>
      <w:r w:rsidR="0003620B">
        <w:rPr>
          <w:rFonts w:cstheme="minorHAnsi"/>
        </w:rPr>
        <w:t>many of these are over a decade old</w:t>
      </w:r>
      <w:r w:rsidR="000A39B7">
        <w:rPr>
          <w:rFonts w:cstheme="minorHAnsi"/>
        </w:rPr>
        <w:t xml:space="preserve"> </w:t>
      </w:r>
      <w:r w:rsidR="0003620B">
        <w:rPr>
          <w:rFonts w:cstheme="minorHAnsi"/>
        </w:rPr>
        <w:t>(</w:t>
      </w:r>
      <w:r w:rsidR="00B878A7">
        <w:rPr>
          <w:rFonts w:cstheme="minorHAnsi"/>
        </w:rPr>
        <w:t>box </w:t>
      </w:r>
      <w:r w:rsidR="00145E3A">
        <w:rPr>
          <w:rFonts w:cstheme="minorHAnsi"/>
        </w:rPr>
        <w:t>D.</w:t>
      </w:r>
      <w:r w:rsidR="00810137">
        <w:rPr>
          <w:rFonts w:cstheme="minorHAnsi"/>
        </w:rPr>
        <w:t>7</w:t>
      </w:r>
      <w:r w:rsidR="0003620B">
        <w:rPr>
          <w:rFonts w:cstheme="minorHAnsi"/>
        </w:rPr>
        <w:t>)</w:t>
      </w:r>
      <w:r w:rsidR="000A39B7">
        <w:rPr>
          <w:rFonts w:cstheme="minorHAnsi"/>
        </w:rPr>
        <w:t xml:space="preserve"> and the extent that they are still drawn upon is not clear</w:t>
      </w:r>
      <w:r w:rsidR="008E4857">
        <w:rPr>
          <w:rFonts w:cstheme="minorHAnsi"/>
        </w:rPr>
        <w:t>.</w:t>
      </w:r>
      <w:r w:rsidR="002F540A" w:rsidRPr="002F540A">
        <w:rPr>
          <w:rFonts w:cstheme="minorHAnsi"/>
        </w:rPr>
        <w:t xml:space="preserve"> </w:t>
      </w:r>
    </w:p>
    <w:p w14:paraId="2BD7DE8A" w14:textId="57C1203C" w:rsidR="003D16AB" w:rsidRDefault="00722655" w:rsidP="00722655">
      <w:pPr>
        <w:pStyle w:val="BodyText"/>
      </w:pPr>
      <w:r>
        <w:rPr>
          <w:rFonts w:cstheme="minorHAnsi"/>
        </w:rPr>
        <w:t xml:space="preserve">More recently, </w:t>
      </w:r>
      <w:proofErr w:type="spellStart"/>
      <w:r>
        <w:rPr>
          <w:rFonts w:cstheme="minorHAnsi"/>
        </w:rPr>
        <w:t>Te</w:t>
      </w:r>
      <w:proofErr w:type="spellEnd"/>
      <w:r>
        <w:rPr>
          <w:rFonts w:cstheme="minorHAnsi"/>
        </w:rPr>
        <w:t xml:space="preserve"> </w:t>
      </w:r>
      <w:proofErr w:type="spellStart"/>
      <w:r>
        <w:rPr>
          <w:rFonts w:cstheme="minorHAnsi"/>
        </w:rPr>
        <w:t>Arawhiti</w:t>
      </w:r>
      <w:proofErr w:type="spellEnd"/>
      <w:r>
        <w:rPr>
          <w:rFonts w:cstheme="minorHAnsi"/>
        </w:rPr>
        <w:t xml:space="preserve"> (the Office for </w:t>
      </w:r>
      <w:r>
        <w:t xml:space="preserve">Māori Crown Relations) — established in 2018 — has produced a framework and guidelines on how agencies should engage with Māori, </w:t>
      </w:r>
      <w:r>
        <w:lastRenderedPageBreak/>
        <w:t xml:space="preserve">including as part of the policymaking process </w:t>
      </w:r>
      <w:r w:rsidRPr="00834507">
        <w:rPr>
          <w:szCs w:val="24"/>
        </w:rPr>
        <w:t>(</w:t>
      </w:r>
      <w:proofErr w:type="spellStart"/>
      <w:r w:rsidRPr="00834507">
        <w:rPr>
          <w:szCs w:val="24"/>
        </w:rPr>
        <w:t>Te</w:t>
      </w:r>
      <w:proofErr w:type="spellEnd"/>
      <w:r w:rsidRPr="00834507">
        <w:rPr>
          <w:szCs w:val="24"/>
        </w:rPr>
        <w:t xml:space="preserve"> </w:t>
      </w:r>
      <w:proofErr w:type="spellStart"/>
      <w:r w:rsidRPr="00834507">
        <w:rPr>
          <w:szCs w:val="24"/>
        </w:rPr>
        <w:t>Arawhiti</w:t>
      </w:r>
      <w:proofErr w:type="spellEnd"/>
      <w:r w:rsidRPr="00834507">
        <w:rPr>
          <w:szCs w:val="24"/>
        </w:rPr>
        <w:t xml:space="preserve"> (Office for Māori Crown Relations) </w:t>
      </w:r>
      <w:proofErr w:type="spellStart"/>
      <w:r w:rsidRPr="00834507">
        <w:rPr>
          <w:szCs w:val="24"/>
        </w:rPr>
        <w:t>nd</w:t>
      </w:r>
      <w:proofErr w:type="spellEnd"/>
      <w:r w:rsidRPr="00834507">
        <w:rPr>
          <w:szCs w:val="24"/>
        </w:rPr>
        <w:t>)</w:t>
      </w:r>
      <w:r>
        <w:t xml:space="preserve">. These documents provide guidance to agencies on: defining the </w:t>
      </w:r>
      <w:proofErr w:type="spellStart"/>
      <w:r>
        <w:t>kaupapa</w:t>
      </w:r>
      <w:proofErr w:type="spellEnd"/>
      <w:r>
        <w:t xml:space="preserve"> (the policy, purpose or matter on which engagement is sought); who to engage with; how to engage; and how to develop an engagement strategy. </w:t>
      </w:r>
    </w:p>
    <w:p w14:paraId="686DC99D" w14:textId="43F09457" w:rsidR="0003620B" w:rsidRDefault="000362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3620B" w14:paraId="616526B9" w14:textId="77777777" w:rsidTr="002107B1">
        <w:trPr>
          <w:tblHeader/>
        </w:trPr>
        <w:tc>
          <w:tcPr>
            <w:tcW w:w="5000" w:type="pct"/>
            <w:tcBorders>
              <w:top w:val="single" w:sz="6" w:space="0" w:color="2493D1"/>
              <w:left w:val="nil"/>
              <w:bottom w:val="nil"/>
              <w:right w:val="nil"/>
            </w:tcBorders>
            <w:shd w:val="clear" w:color="auto" w:fill="F2F2F2"/>
          </w:tcPr>
          <w:p w14:paraId="56DC6D97" w14:textId="421DC2C3" w:rsidR="0003620B" w:rsidRDefault="0003620B" w:rsidP="00221AC9">
            <w:pPr>
              <w:pStyle w:val="BoxTitle"/>
            </w:pPr>
            <w:r>
              <w:rPr>
                <w:b w:val="0"/>
              </w:rPr>
              <w:t xml:space="preserve">Box </w:t>
            </w:r>
            <w:r w:rsidR="00B464FC">
              <w:rPr>
                <w:b w:val="0"/>
              </w:rPr>
              <w:t>D.</w:t>
            </w:r>
            <w:r w:rsidR="00810137">
              <w:rPr>
                <w:b w:val="0"/>
              </w:rPr>
              <w:t>7</w:t>
            </w:r>
            <w:r>
              <w:tab/>
              <w:t xml:space="preserve">Guidelines </w:t>
            </w:r>
            <w:r w:rsidR="007F1D14">
              <w:t xml:space="preserve">for </w:t>
            </w:r>
            <w:r>
              <w:t>evaluation involving M</w:t>
            </w:r>
            <w:r>
              <w:rPr>
                <w:rFonts w:cs="Arial"/>
              </w:rPr>
              <w:t>ā</w:t>
            </w:r>
            <w:r>
              <w:t>ori</w:t>
            </w:r>
          </w:p>
        </w:tc>
      </w:tr>
      <w:tr w:rsidR="0003620B" w14:paraId="03667DDD" w14:textId="77777777" w:rsidTr="00F9621F">
        <w:tc>
          <w:tcPr>
            <w:tcW w:w="5000" w:type="pct"/>
            <w:tcBorders>
              <w:top w:val="nil"/>
              <w:left w:val="nil"/>
              <w:bottom w:val="nil"/>
              <w:right w:val="nil"/>
            </w:tcBorders>
            <w:shd w:val="clear" w:color="auto" w:fill="F2F2F2"/>
          </w:tcPr>
          <w:p w14:paraId="2263E36E" w14:textId="6C646B62" w:rsidR="00851B32" w:rsidRDefault="008F1634" w:rsidP="0003620B">
            <w:pPr>
              <w:pStyle w:val="Box"/>
            </w:pPr>
            <w:r>
              <w:t xml:space="preserve">In 1999, </w:t>
            </w:r>
            <w:proofErr w:type="spellStart"/>
            <w:r>
              <w:t>Te</w:t>
            </w:r>
            <w:proofErr w:type="spellEnd"/>
            <w:r>
              <w:t xml:space="preserve"> </w:t>
            </w:r>
            <w:proofErr w:type="spellStart"/>
            <w:r>
              <w:t>Puni</w:t>
            </w:r>
            <w:proofErr w:type="spellEnd"/>
            <w:r>
              <w:t xml:space="preserve"> </w:t>
            </w:r>
            <w:proofErr w:type="spellStart"/>
            <w:r>
              <w:t>K</w:t>
            </w:r>
            <w:r>
              <w:rPr>
                <w:rFonts w:cs="Arial"/>
              </w:rPr>
              <w:t>ō</w:t>
            </w:r>
            <w:r>
              <w:t>kiri</w:t>
            </w:r>
            <w:proofErr w:type="spellEnd"/>
            <w:r w:rsidR="006F531F">
              <w:t xml:space="preserve"> (the Ministry for M</w:t>
            </w:r>
            <w:r w:rsidR="006F531F">
              <w:rPr>
                <w:rFonts w:cs="Arial"/>
              </w:rPr>
              <w:t>ā</w:t>
            </w:r>
            <w:r w:rsidR="006F531F">
              <w:t>ori Development)</w:t>
            </w:r>
            <w:r>
              <w:t xml:space="preserve"> </w:t>
            </w:r>
            <w:r w:rsidR="000C4E6C">
              <w:t>published</w:t>
            </w:r>
            <w:r>
              <w:t xml:space="preserve"> evaluation guidelines for New Zealand government agencies </w:t>
            </w:r>
            <w:r w:rsidR="003D5EE8">
              <w:t xml:space="preserve">undertaking </w:t>
            </w:r>
            <w:r>
              <w:t>evaluations to collect quality information</w:t>
            </w:r>
            <w:r w:rsidR="00F331B8">
              <w:t xml:space="preserve"> </w:t>
            </w:r>
            <w:r>
              <w:t xml:space="preserve">about </w:t>
            </w:r>
            <w:r w:rsidR="00836212">
              <w:t>M</w:t>
            </w:r>
            <w:r w:rsidR="00836212">
              <w:rPr>
                <w:rFonts w:cs="Arial"/>
              </w:rPr>
              <w:t>ā</w:t>
            </w:r>
            <w:r w:rsidR="00836212">
              <w:t>ori</w:t>
            </w:r>
            <w:r>
              <w:t xml:space="preserve">. </w:t>
            </w:r>
            <w:r w:rsidR="00D23D7B">
              <w:t>The guidelines</w:t>
            </w:r>
            <w:r w:rsidR="00B21ACE">
              <w:t xml:space="preserve"> explore why evaluating for M</w:t>
            </w:r>
            <w:r w:rsidR="00B21ACE">
              <w:rPr>
                <w:rFonts w:cs="Arial"/>
              </w:rPr>
              <w:t>ā</w:t>
            </w:r>
            <w:r w:rsidR="00B21ACE">
              <w:t>ori is important</w:t>
            </w:r>
            <w:r w:rsidR="004C31F9">
              <w:t xml:space="preserve"> and</w:t>
            </w:r>
            <w:r w:rsidR="006F531F">
              <w:t xml:space="preserve"> </w:t>
            </w:r>
            <w:r w:rsidR="00117DD0">
              <w:t xml:space="preserve">ethical issues </w:t>
            </w:r>
            <w:r w:rsidR="004C31F9">
              <w:t>that should be considered when undertaking evaluation involving M</w:t>
            </w:r>
            <w:r w:rsidR="004C31F9">
              <w:rPr>
                <w:rFonts w:cs="Arial"/>
              </w:rPr>
              <w:t>ā</w:t>
            </w:r>
            <w:r w:rsidR="004C31F9">
              <w:t>ori. The guidelines also</w:t>
            </w:r>
            <w:r w:rsidR="00D23D7B">
              <w:t xml:space="preserve"> step through the critical stages of an e</w:t>
            </w:r>
            <w:r w:rsidR="0069042A">
              <w:t>valuation, including evaluation</w:t>
            </w:r>
            <w:r w:rsidR="00D23D7B">
              <w:t xml:space="preserve"> planning, design, analysis, reporting and </w:t>
            </w:r>
            <w:r w:rsidR="00C661BD">
              <w:t>communicating results</w:t>
            </w:r>
            <w:r w:rsidR="00D23D7B">
              <w:t>. For each stage, the guidelines outline critical success factors</w:t>
            </w:r>
            <w:r w:rsidR="00217127">
              <w:t xml:space="preserve"> and some commen</w:t>
            </w:r>
            <w:r w:rsidR="0069042A">
              <w:t xml:space="preserve">tary on what </w:t>
            </w:r>
            <w:r w:rsidR="00A33F87">
              <w:t xml:space="preserve">good practice </w:t>
            </w:r>
            <w:r w:rsidR="0069042A">
              <w:t>looks like</w:t>
            </w:r>
            <w:r w:rsidR="00D23D7B">
              <w:t>,</w:t>
            </w:r>
            <w:r w:rsidR="00217127">
              <w:t xml:space="preserve"> common gaps and a checklist for </w:t>
            </w:r>
            <w:r w:rsidR="00F34D96">
              <w:t>evaluators</w:t>
            </w:r>
            <w:r w:rsidR="00217127">
              <w:t xml:space="preserve"> to follow when completing each step</w:t>
            </w:r>
            <w:r w:rsidR="00C56167">
              <w:t>.</w:t>
            </w:r>
          </w:p>
          <w:p w14:paraId="35EA8997" w14:textId="56E8EEEB" w:rsidR="008F1634" w:rsidRDefault="00851B32" w:rsidP="0003620B">
            <w:pPr>
              <w:pStyle w:val="Box"/>
            </w:pPr>
            <w:r>
              <w:t>In 2004, the Centre of Social Research and Evaluation (</w:t>
            </w:r>
            <w:r w:rsidR="00C41D61">
              <w:t xml:space="preserve">CSRE, </w:t>
            </w:r>
            <w:r>
              <w:t xml:space="preserve">which was part of </w:t>
            </w:r>
            <w:r w:rsidR="006C4BF1">
              <w:t xml:space="preserve">the New Zealand Ministry of Social Development) published </w:t>
            </w:r>
            <w:r w:rsidR="006C4BF1">
              <w:rPr>
                <w:i/>
              </w:rPr>
              <w:t xml:space="preserve">Guidelines for Research and Evaluation with </w:t>
            </w:r>
            <w:r w:rsidR="006C4BF1" w:rsidRPr="00060EDE">
              <w:rPr>
                <w:i/>
              </w:rPr>
              <w:t>M</w:t>
            </w:r>
            <w:r w:rsidR="006C4BF1" w:rsidRPr="00060EDE">
              <w:rPr>
                <w:rFonts w:cs="Arial"/>
                <w:i/>
              </w:rPr>
              <w:t>ā</w:t>
            </w:r>
            <w:r w:rsidR="006C4BF1" w:rsidRPr="00060EDE">
              <w:rPr>
                <w:i/>
              </w:rPr>
              <w:t>ori</w:t>
            </w:r>
            <w:r w:rsidR="00C41D61">
              <w:rPr>
                <w:i/>
              </w:rPr>
              <w:t xml:space="preserve"> </w:t>
            </w:r>
            <w:r w:rsidR="00C41D61">
              <w:t>to assist staff from the CSRE and Ministry researchers to undertake projects that require input from M</w:t>
            </w:r>
            <w:r w:rsidR="00C41D61">
              <w:rPr>
                <w:rFonts w:cs="Arial"/>
              </w:rPr>
              <w:t>ā</w:t>
            </w:r>
            <w:r w:rsidR="00C41D61">
              <w:t>ori</w:t>
            </w:r>
            <w:r w:rsidR="006C4BF1">
              <w:t>.</w:t>
            </w:r>
            <w:r w:rsidR="009D2155">
              <w:t xml:space="preserve"> The guidelines </w:t>
            </w:r>
            <w:r w:rsidR="000C4E6C">
              <w:t>are</w:t>
            </w:r>
            <w:r w:rsidR="00994891">
              <w:t xml:space="preserve"> structured around </w:t>
            </w:r>
            <w:r w:rsidR="009D2155">
              <w:t>six practice principles</w:t>
            </w:r>
            <w:r w:rsidR="00AB2200">
              <w:t>: planning for M</w:t>
            </w:r>
            <w:r w:rsidR="00AB2200">
              <w:rPr>
                <w:rFonts w:cs="Arial"/>
              </w:rPr>
              <w:t>ā</w:t>
            </w:r>
            <w:r w:rsidR="00AB2200">
              <w:t>ori involvement; engaging with M</w:t>
            </w:r>
            <w:r w:rsidR="00AB2200">
              <w:rPr>
                <w:rFonts w:cs="Arial"/>
              </w:rPr>
              <w:t>ā</w:t>
            </w:r>
            <w:r w:rsidR="00AB2200">
              <w:t>ori participants and stakeholders; developing effective and appropriate methodologies; protecting knowledge; encouraging reciprocity; and supporting M</w:t>
            </w:r>
            <w:r w:rsidR="00AB2200">
              <w:rPr>
                <w:rFonts w:cs="Arial"/>
              </w:rPr>
              <w:t>ā</w:t>
            </w:r>
            <w:r w:rsidR="00AB2200">
              <w:t>ori development</w:t>
            </w:r>
            <w:r w:rsidR="00994891">
              <w:t>.</w:t>
            </w:r>
            <w:r w:rsidR="00835033">
              <w:t xml:space="preserve"> A set of actions for evaluators is provided for each principle, as well as supporting advice and </w:t>
            </w:r>
            <w:r w:rsidR="00D009AE">
              <w:t>commentary</w:t>
            </w:r>
            <w:r w:rsidR="00F77FA1">
              <w:t xml:space="preserve"> to help staff operationalise these principles</w:t>
            </w:r>
            <w:r w:rsidR="00380A9A">
              <w:t xml:space="preserve"> and to provide more information</w:t>
            </w:r>
            <w:r w:rsidR="00F77FA1">
              <w:t>.</w:t>
            </w:r>
            <w:r w:rsidR="00835033">
              <w:t xml:space="preserve"> </w:t>
            </w:r>
            <w:r w:rsidR="006571BB">
              <w:t xml:space="preserve">The guidelines also outline a set of core competencies and expected conduct for research contractors. </w:t>
            </w:r>
          </w:p>
          <w:p w14:paraId="008B847E" w14:textId="731D723B" w:rsidR="0003620B" w:rsidRDefault="00975479">
            <w:pPr>
              <w:pStyle w:val="Box"/>
            </w:pPr>
            <w:r>
              <w:t>In 2008, the Social Policy Evaluation and Research Committee (</w:t>
            </w:r>
            <w:proofErr w:type="spellStart"/>
            <w:r>
              <w:t>SPEaR</w:t>
            </w:r>
            <w:proofErr w:type="spellEnd"/>
            <w:r w:rsidR="00205153">
              <w:t xml:space="preserve">) </w:t>
            </w:r>
            <w:r w:rsidR="007E117B">
              <w:t>published</w:t>
            </w:r>
            <w:r w:rsidR="00205153">
              <w:t xml:space="preserve"> good practice guidelines ‘to enhance the standard of research and evaluation practice across the social sector as a whole</w:t>
            </w:r>
            <w:r w:rsidR="0005418E">
              <w:t xml:space="preserve">’ </w:t>
            </w:r>
            <w:r w:rsidR="00205153">
              <w:t>(</w:t>
            </w:r>
            <w:proofErr w:type="spellStart"/>
            <w:r w:rsidR="001852CB">
              <w:t>SPEa</w:t>
            </w:r>
            <w:r w:rsidR="000F310B">
              <w:t>R</w:t>
            </w:r>
            <w:proofErr w:type="spellEnd"/>
            <w:r w:rsidR="001852CB">
              <w:t xml:space="preserve"> 2008, </w:t>
            </w:r>
            <w:r w:rsidR="00205153">
              <w:t>p. </w:t>
            </w:r>
            <w:r w:rsidR="009155FA">
              <w:t>5). These guidelines articulate</w:t>
            </w:r>
            <w:r w:rsidR="00205153">
              <w:t xml:space="preserve"> five principles that </w:t>
            </w:r>
            <w:r w:rsidR="003E2D92">
              <w:t>uphold</w:t>
            </w:r>
            <w:r w:rsidR="00205153">
              <w:t xml:space="preserve"> good practice: respect; integrity; responsiveness; competency; and reciprocity. </w:t>
            </w:r>
            <w:r w:rsidR="003E2D92">
              <w:t>The guidelines also highlight</w:t>
            </w:r>
            <w:r w:rsidR="00205153">
              <w:t xml:space="preserve"> the importance of utility and data sharing in research and evaluation.</w:t>
            </w:r>
            <w:r w:rsidR="009155FA">
              <w:t xml:space="preserve"> The guidelines then focus</w:t>
            </w:r>
            <w:r w:rsidR="00836212">
              <w:t xml:space="preserve"> on the application of the principles in several contexts, with one being in research and evaluation involving M</w:t>
            </w:r>
            <w:r w:rsidR="00836212">
              <w:rPr>
                <w:rFonts w:cs="Arial"/>
              </w:rPr>
              <w:t>ā</w:t>
            </w:r>
            <w:r w:rsidR="00836212">
              <w:t>ori</w:t>
            </w:r>
            <w:r w:rsidR="002243F6">
              <w:t>, including drawing on the experiences of those involved with</w:t>
            </w:r>
            <w:r w:rsidR="002925C2">
              <w:t xml:space="preserve"> research and</w:t>
            </w:r>
            <w:r w:rsidR="002243F6">
              <w:t xml:space="preserve"> evaluation to describe what good practice look</w:t>
            </w:r>
            <w:r w:rsidR="009155FA">
              <w:t>s</w:t>
            </w:r>
            <w:r w:rsidR="002243F6">
              <w:t xml:space="preserve"> like. </w:t>
            </w:r>
          </w:p>
        </w:tc>
      </w:tr>
      <w:tr w:rsidR="0003620B" w14:paraId="619BBC3D" w14:textId="77777777" w:rsidTr="00F9621F">
        <w:tc>
          <w:tcPr>
            <w:tcW w:w="5000" w:type="pct"/>
            <w:tcBorders>
              <w:top w:val="nil"/>
              <w:left w:val="nil"/>
              <w:bottom w:val="nil"/>
              <w:right w:val="nil"/>
            </w:tcBorders>
            <w:shd w:val="clear" w:color="auto" w:fill="F2F2F2"/>
          </w:tcPr>
          <w:p w14:paraId="0DF74195" w14:textId="588E2630" w:rsidR="0003620B" w:rsidRDefault="0003620B">
            <w:pPr>
              <w:pStyle w:val="BoxSource"/>
            </w:pPr>
            <w:r>
              <w:rPr>
                <w:i/>
              </w:rPr>
              <w:t>Source</w:t>
            </w:r>
            <w:r w:rsidR="00795A45">
              <w:rPr>
                <w:i/>
              </w:rPr>
              <w:t>s</w:t>
            </w:r>
            <w:r w:rsidRPr="00167F06">
              <w:t>:</w:t>
            </w:r>
            <w:r w:rsidR="00795A45">
              <w:t xml:space="preserve"> </w:t>
            </w:r>
            <w:r w:rsidR="005E101B">
              <w:t xml:space="preserve">CSRE </w:t>
            </w:r>
            <w:r w:rsidR="005E101B" w:rsidRPr="005E101B">
              <w:rPr>
                <w:rFonts w:cs="Arial"/>
              </w:rPr>
              <w:t>(2004)</w:t>
            </w:r>
            <w:r w:rsidR="00413678">
              <w:t>;</w:t>
            </w:r>
            <w:r w:rsidR="007D6361">
              <w:t xml:space="preserve"> </w:t>
            </w:r>
            <w:proofErr w:type="spellStart"/>
            <w:r w:rsidR="007D6361">
              <w:t>SPEaR</w:t>
            </w:r>
            <w:proofErr w:type="spellEnd"/>
            <w:r w:rsidR="007D6361">
              <w:t xml:space="preserve"> </w:t>
            </w:r>
            <w:r w:rsidR="00413678" w:rsidRPr="007D6361">
              <w:rPr>
                <w:rFonts w:cs="Arial"/>
              </w:rPr>
              <w:t>(2008)</w:t>
            </w:r>
            <w:r w:rsidR="00413678">
              <w:t xml:space="preserve">; TPK </w:t>
            </w:r>
            <w:r w:rsidR="00413678" w:rsidRPr="00795A45">
              <w:rPr>
                <w:rFonts w:cs="Arial"/>
              </w:rPr>
              <w:t>(1999)</w:t>
            </w:r>
            <w:r w:rsidR="00413678">
              <w:t>.</w:t>
            </w:r>
          </w:p>
        </w:tc>
      </w:tr>
      <w:tr w:rsidR="0003620B" w14:paraId="19178179" w14:textId="77777777" w:rsidTr="002107B1">
        <w:tc>
          <w:tcPr>
            <w:tcW w:w="5000" w:type="pct"/>
            <w:tcBorders>
              <w:top w:val="nil"/>
              <w:left w:val="nil"/>
              <w:bottom w:val="single" w:sz="6" w:space="0" w:color="2493D1"/>
              <w:right w:val="nil"/>
            </w:tcBorders>
            <w:shd w:val="clear" w:color="auto" w:fill="F2F2F2"/>
          </w:tcPr>
          <w:p w14:paraId="2E915931" w14:textId="79436A12" w:rsidR="0003620B" w:rsidRDefault="00795A45">
            <w:pPr>
              <w:pStyle w:val="Box"/>
              <w:spacing w:before="0" w:line="120" w:lineRule="exact"/>
            </w:pPr>
            <w:r>
              <w:t xml:space="preserve"> </w:t>
            </w:r>
          </w:p>
        </w:tc>
      </w:tr>
      <w:tr w:rsidR="0003620B" w:rsidRPr="000863A5" w14:paraId="5715CD2F" w14:textId="77777777" w:rsidTr="002107B1">
        <w:tc>
          <w:tcPr>
            <w:tcW w:w="5000" w:type="pct"/>
            <w:tcBorders>
              <w:top w:val="single" w:sz="6" w:space="0" w:color="2493D1"/>
              <w:left w:val="nil"/>
              <w:bottom w:val="nil"/>
              <w:right w:val="nil"/>
            </w:tcBorders>
          </w:tcPr>
          <w:p w14:paraId="35CEBC2D" w14:textId="7F779E86" w:rsidR="0003620B" w:rsidRPr="00626D32" w:rsidRDefault="0003620B" w:rsidP="00F9621F">
            <w:pPr>
              <w:pStyle w:val="BoxSpaceBelow"/>
            </w:pPr>
          </w:p>
        </w:tc>
      </w:tr>
    </w:tbl>
    <w:p w14:paraId="7C8A4EB4" w14:textId="783EE223" w:rsidR="005C1735" w:rsidRPr="00883583" w:rsidRDefault="00883583" w:rsidP="006402BC">
      <w:pPr>
        <w:pStyle w:val="BodyText"/>
      </w:pPr>
      <w:proofErr w:type="spellStart"/>
      <w:r>
        <w:t>Te</w:t>
      </w:r>
      <w:proofErr w:type="spellEnd"/>
      <w:r>
        <w:t xml:space="preserve"> </w:t>
      </w:r>
      <w:proofErr w:type="spellStart"/>
      <w:r>
        <w:t>Arawhiti</w:t>
      </w:r>
      <w:proofErr w:type="spellEnd"/>
      <w:r>
        <w:t xml:space="preserve"> has also developed a Māori Crown Relations Capability Framework. The Framework aims to position the public service to support the Māori Crown relationship, enable government to consistently meet its obligations under the Treaty of Waitangi, and achieve a uniquely New Zealand public service that is able to best serve all New Zealanders</w:t>
      </w:r>
      <w:r w:rsidR="00E70C0E">
        <w:t xml:space="preserve"> </w:t>
      </w:r>
      <w:r w:rsidR="00CF098D" w:rsidRPr="00CF098D">
        <w:rPr>
          <w:szCs w:val="24"/>
        </w:rPr>
        <w:t>(</w:t>
      </w:r>
      <w:proofErr w:type="spellStart"/>
      <w:r w:rsidR="00CF098D" w:rsidRPr="00CF098D">
        <w:rPr>
          <w:szCs w:val="24"/>
        </w:rPr>
        <w:t>Te</w:t>
      </w:r>
      <w:proofErr w:type="spellEnd"/>
      <w:r w:rsidR="00CF098D" w:rsidRPr="00CF098D">
        <w:rPr>
          <w:szCs w:val="24"/>
        </w:rPr>
        <w:t xml:space="preserve"> </w:t>
      </w:r>
      <w:proofErr w:type="spellStart"/>
      <w:r w:rsidR="00CF098D" w:rsidRPr="00CF098D">
        <w:rPr>
          <w:szCs w:val="24"/>
        </w:rPr>
        <w:t>Arawhiti</w:t>
      </w:r>
      <w:proofErr w:type="spellEnd"/>
      <w:r w:rsidR="00CF098D" w:rsidRPr="00CF098D">
        <w:rPr>
          <w:szCs w:val="24"/>
        </w:rPr>
        <w:t xml:space="preserve"> (Office for Māori Crown Relations) 2019a, p. 2)</w:t>
      </w:r>
      <w:r>
        <w:t xml:space="preserve">. The framework has </w:t>
      </w:r>
      <w:r w:rsidR="00E70C0E">
        <w:t xml:space="preserve">several </w:t>
      </w:r>
      <w:r>
        <w:t>components —</w:t>
      </w:r>
      <w:r w:rsidR="00E70C0E">
        <w:t xml:space="preserve"> including</w:t>
      </w:r>
      <w:r>
        <w:t xml:space="preserve"> an individual capability component and an organisational capability component — that set out different </w:t>
      </w:r>
      <w:r w:rsidR="0035713B">
        <w:t>levels of capability maturity and provides guidance on steps that can be taken to improve capability</w:t>
      </w:r>
      <w:r w:rsidR="00880338">
        <w:t xml:space="preserve"> </w:t>
      </w:r>
      <w:r w:rsidR="00880338" w:rsidRPr="00880338">
        <w:rPr>
          <w:szCs w:val="24"/>
        </w:rPr>
        <w:t>(</w:t>
      </w:r>
      <w:proofErr w:type="spellStart"/>
      <w:r w:rsidR="00880338" w:rsidRPr="00880338">
        <w:rPr>
          <w:szCs w:val="24"/>
        </w:rPr>
        <w:t>Te</w:t>
      </w:r>
      <w:proofErr w:type="spellEnd"/>
      <w:r w:rsidR="00880338" w:rsidRPr="00880338">
        <w:rPr>
          <w:szCs w:val="24"/>
        </w:rPr>
        <w:t xml:space="preserve"> </w:t>
      </w:r>
      <w:proofErr w:type="spellStart"/>
      <w:r w:rsidR="00880338" w:rsidRPr="00880338">
        <w:rPr>
          <w:szCs w:val="24"/>
        </w:rPr>
        <w:t>Arawhiti</w:t>
      </w:r>
      <w:proofErr w:type="spellEnd"/>
      <w:r w:rsidR="00880338" w:rsidRPr="00880338">
        <w:rPr>
          <w:szCs w:val="24"/>
        </w:rPr>
        <w:t xml:space="preserve"> (Office for Māori Crown Relations)</w:t>
      </w:r>
      <w:r w:rsidR="00880338" w:rsidRPr="00DC5FAE">
        <w:rPr>
          <w:szCs w:val="24"/>
        </w:rPr>
        <w:t> </w:t>
      </w:r>
      <w:r w:rsidR="00880338" w:rsidRPr="00471542">
        <w:rPr>
          <w:szCs w:val="24"/>
        </w:rPr>
        <w:t>2019c, 2019b)</w:t>
      </w:r>
      <w:r w:rsidR="0035713B">
        <w:t>.</w:t>
      </w:r>
    </w:p>
    <w:p w14:paraId="524B6384" w14:textId="7DDC1B41" w:rsidR="00C6631F" w:rsidRDefault="009F5F48" w:rsidP="00C11886">
      <w:pPr>
        <w:pStyle w:val="BodyText"/>
      </w:pPr>
      <w:r>
        <w:lastRenderedPageBreak/>
        <w:t>Another recent development in Aotearoa New Zealand</w:t>
      </w:r>
      <w:r w:rsidR="002A2911">
        <w:t xml:space="preserve"> </w:t>
      </w:r>
      <w:r w:rsidR="000F310B">
        <w:t xml:space="preserve">is a </w:t>
      </w:r>
      <w:r w:rsidR="002A2911">
        <w:t>change</w:t>
      </w:r>
      <w:r>
        <w:t xml:space="preserve"> </w:t>
      </w:r>
      <w:r w:rsidR="002A2911">
        <w:t>to the</w:t>
      </w:r>
      <w:r>
        <w:t xml:space="preserve"> monitoring functions of </w:t>
      </w:r>
      <w:proofErr w:type="spellStart"/>
      <w:r>
        <w:t>Te</w:t>
      </w:r>
      <w:proofErr w:type="spellEnd"/>
      <w:r>
        <w:t xml:space="preserve"> </w:t>
      </w:r>
      <w:proofErr w:type="spellStart"/>
      <w:r>
        <w:t>Puni</w:t>
      </w:r>
      <w:proofErr w:type="spellEnd"/>
      <w:r>
        <w:t xml:space="preserve"> </w:t>
      </w:r>
      <w:proofErr w:type="spellStart"/>
      <w:r>
        <w:t>Kōkiri</w:t>
      </w:r>
      <w:proofErr w:type="spellEnd"/>
      <w:r>
        <w:t xml:space="preserve">. </w:t>
      </w:r>
      <w:proofErr w:type="spellStart"/>
      <w:r>
        <w:t>Te</w:t>
      </w:r>
      <w:proofErr w:type="spellEnd"/>
      <w:r>
        <w:t xml:space="preserve"> </w:t>
      </w:r>
      <w:proofErr w:type="spellStart"/>
      <w:r>
        <w:t>Puni</w:t>
      </w:r>
      <w:proofErr w:type="spellEnd"/>
      <w:r>
        <w:t xml:space="preserve"> </w:t>
      </w:r>
      <w:proofErr w:type="spellStart"/>
      <w:r>
        <w:t>Kōkiri</w:t>
      </w:r>
      <w:proofErr w:type="spellEnd"/>
      <w:r>
        <w:t xml:space="preserve"> (or the Ministry of Māori Development) </w:t>
      </w:r>
      <w:r w:rsidR="00DC7E8C">
        <w:t>is a government agency with functions</w:t>
      </w:r>
      <w:r w:rsidR="00CF41B2">
        <w:t xml:space="preserve"> that</w:t>
      </w:r>
      <w:r w:rsidR="00DC7E8C">
        <w:t xml:space="preserve"> </w:t>
      </w:r>
      <w:r w:rsidR="00CF41B2">
        <w:t>include</w:t>
      </w:r>
      <w:r w:rsidR="00DC7E8C">
        <w:t>: leading work towards policy and legislative changes that will improve outcomes for Māori</w:t>
      </w:r>
      <w:r w:rsidR="00AA5F77">
        <w:t xml:space="preserve">; </w:t>
      </w:r>
      <w:r w:rsidR="00DC7E8C">
        <w:t>influencing the work of others by working in partnership and bring</w:t>
      </w:r>
      <w:r w:rsidR="000F310B">
        <w:t>ing</w:t>
      </w:r>
      <w:r w:rsidR="00DC7E8C">
        <w:t xml:space="preserve"> Māori voices to decision makers</w:t>
      </w:r>
      <w:r w:rsidR="00AA5F77">
        <w:t xml:space="preserve">; </w:t>
      </w:r>
      <w:r w:rsidR="00DC7E8C">
        <w:t>and investing with Māori to pursue opportunities</w:t>
      </w:r>
      <w:r w:rsidR="00471542">
        <w:t xml:space="preserve"> </w:t>
      </w:r>
      <w:r w:rsidR="00471542" w:rsidRPr="00471542">
        <w:rPr>
          <w:szCs w:val="24"/>
        </w:rPr>
        <w:t>(TPK 2020)</w:t>
      </w:r>
      <w:r w:rsidR="00DC7E8C">
        <w:t xml:space="preserve">. It </w:t>
      </w:r>
      <w:r w:rsidR="002A2911">
        <w:t>also has a legislated monitoring function to assess the ‘adequacy’ of services delivered to or for Māori</w:t>
      </w:r>
      <w:r w:rsidR="008A2F5F">
        <w:t xml:space="preserve"> </w:t>
      </w:r>
      <w:r w:rsidR="001363B4" w:rsidRPr="001363B4">
        <w:rPr>
          <w:szCs w:val="24"/>
        </w:rPr>
        <w:t>(Minister for Māori Development 2019, p. 1)</w:t>
      </w:r>
      <w:r w:rsidR="002A2911">
        <w:t xml:space="preserve">. </w:t>
      </w:r>
    </w:p>
    <w:p w14:paraId="0451A1BF" w14:textId="1CA357A8" w:rsidR="00E07C11" w:rsidRDefault="002A2911" w:rsidP="00C039F2">
      <w:pPr>
        <w:pStyle w:val="BodyText"/>
      </w:pPr>
      <w:r>
        <w:t xml:space="preserve">This monitoring function has </w:t>
      </w:r>
      <w:r w:rsidR="000267F6">
        <w:t xml:space="preserve">used </w:t>
      </w:r>
      <w:r w:rsidR="00443A1C">
        <w:t xml:space="preserve">different approaches </w:t>
      </w:r>
      <w:r>
        <w:t>over time ‘</w:t>
      </w:r>
      <w:r w:rsidR="007071AB">
        <w:t xml:space="preserve">to </w:t>
      </w:r>
      <w:r>
        <w:t xml:space="preserve">accord with government priorities and the prevailing public management environment’ but </w:t>
      </w:r>
      <w:r w:rsidR="002E019F">
        <w:t>this function</w:t>
      </w:r>
      <w:r w:rsidR="00C039F2">
        <w:t xml:space="preserve"> </w:t>
      </w:r>
      <w:r>
        <w:t>has recently</w:t>
      </w:r>
      <w:r w:rsidR="002E019F">
        <w:t xml:space="preserve"> been</w:t>
      </w:r>
      <w:r>
        <w:t xml:space="preserve"> ‘refreshed’</w:t>
      </w:r>
      <w:r w:rsidR="007071AB">
        <w:t xml:space="preserve"> </w:t>
      </w:r>
      <w:r w:rsidR="00D05D80" w:rsidRPr="00D05D80">
        <w:rPr>
          <w:szCs w:val="24"/>
        </w:rPr>
        <w:t>(Minister for Māori Development</w:t>
      </w:r>
      <w:r w:rsidR="00D05D80" w:rsidRPr="00650F2B">
        <w:rPr>
          <w:szCs w:val="24"/>
        </w:rPr>
        <w:t> 2019, p. 1)</w:t>
      </w:r>
      <w:r>
        <w:t xml:space="preserve">. </w:t>
      </w:r>
      <w:r w:rsidR="00E07C11">
        <w:t xml:space="preserve">As part of this refresh, </w:t>
      </w:r>
      <w:proofErr w:type="spellStart"/>
      <w:r w:rsidR="00E07C11">
        <w:t>Te</w:t>
      </w:r>
      <w:proofErr w:type="spellEnd"/>
      <w:r w:rsidR="00E07C11">
        <w:t xml:space="preserve"> </w:t>
      </w:r>
      <w:proofErr w:type="spellStart"/>
      <w:r w:rsidR="00E07C11">
        <w:t>Puni</w:t>
      </w:r>
      <w:proofErr w:type="spellEnd"/>
      <w:r w:rsidR="00E07C11">
        <w:t xml:space="preserve"> </w:t>
      </w:r>
      <w:proofErr w:type="spellStart"/>
      <w:r w:rsidR="00E07C11">
        <w:t>Kōkiri</w:t>
      </w:r>
      <w:proofErr w:type="spellEnd"/>
      <w:r w:rsidR="00E07C11">
        <w:t xml:space="preserve"> will monitor Māori wellbeing outcomes and progress across government priorities. </w:t>
      </w:r>
      <w:r w:rsidR="002666B4">
        <w:t>Further</w:t>
      </w:r>
      <w:r w:rsidR="00E07C11">
        <w:t xml:space="preserve">, </w:t>
      </w:r>
      <w:proofErr w:type="spellStart"/>
      <w:r w:rsidR="00E07C11">
        <w:t>Te</w:t>
      </w:r>
      <w:proofErr w:type="spellEnd"/>
      <w:r w:rsidR="00E07C11">
        <w:t xml:space="preserve"> </w:t>
      </w:r>
      <w:proofErr w:type="spellStart"/>
      <w:r w:rsidR="00E07C11">
        <w:t>Puni</w:t>
      </w:r>
      <w:proofErr w:type="spellEnd"/>
      <w:r w:rsidR="00E07C11">
        <w:t xml:space="preserve"> </w:t>
      </w:r>
      <w:proofErr w:type="spellStart"/>
      <w:r w:rsidR="00E07C11">
        <w:t>Kōkiri</w:t>
      </w:r>
      <w:proofErr w:type="spellEnd"/>
      <w:r w:rsidR="00E07C11">
        <w:t xml:space="preserve"> will also undertake </w:t>
      </w:r>
      <w:r w:rsidR="00C039F2">
        <w:t>effectiveness reviews. The intent of these reviews is to understand the effectiveness of priority policies, programs and services for Māori and their contribution towards Māori wellbeing</w:t>
      </w:r>
      <w:r w:rsidR="00D96CD5">
        <w:t xml:space="preserve"> (p. 2)</w:t>
      </w:r>
      <w:r w:rsidR="00C039F2">
        <w:t>.</w:t>
      </w:r>
      <w:r w:rsidR="00E07C11">
        <w:t xml:space="preserve"> The Minister for</w:t>
      </w:r>
      <w:r w:rsidR="00E07C11" w:rsidRPr="00E07C11">
        <w:t xml:space="preserve"> </w:t>
      </w:r>
      <w:r w:rsidR="00E07C11">
        <w:t>Māori Development</w:t>
      </w:r>
      <w:r w:rsidR="00E040D3">
        <w:t xml:space="preserve"> </w:t>
      </w:r>
      <w:r w:rsidR="00E040D3" w:rsidRPr="00E040D3">
        <w:t>(2019)</w:t>
      </w:r>
      <w:r w:rsidR="00E07C11">
        <w:t xml:space="preserve"> described effectiveness reviews as:</w:t>
      </w:r>
    </w:p>
    <w:p w14:paraId="6B1C2E88" w14:textId="00EE2EB7" w:rsidR="00C6631F" w:rsidRDefault="00145E3A">
      <w:pPr>
        <w:pStyle w:val="Quote"/>
      </w:pPr>
      <w:r>
        <w:t xml:space="preserve">… </w:t>
      </w:r>
      <w:r w:rsidR="00E07C11">
        <w:t xml:space="preserve">a necessary complement to the previous two levels of monitoring because statistical monitoring alone will not provide </w:t>
      </w:r>
      <w:r w:rsidR="007F1D14">
        <w:t xml:space="preserve">an explanation as to </w:t>
      </w:r>
      <w:r w:rsidR="007F1D14">
        <w:rPr>
          <w:i/>
        </w:rPr>
        <w:t xml:space="preserve">why </w:t>
      </w:r>
      <w:r w:rsidR="007F1D14">
        <w:t xml:space="preserve">specific outcomes have or have not been achieved or </w:t>
      </w:r>
      <w:r w:rsidR="007F1D14">
        <w:rPr>
          <w:i/>
        </w:rPr>
        <w:t>how</w:t>
      </w:r>
      <w:r w:rsidR="007F1D14" w:rsidRPr="0001135D">
        <w:rPr>
          <w:i/>
        </w:rPr>
        <w:t xml:space="preserve"> </w:t>
      </w:r>
      <w:r w:rsidR="007F1D14" w:rsidRPr="0001135D">
        <w:t>effectiveness for</w:t>
      </w:r>
      <w:r w:rsidR="007F1D14" w:rsidRPr="00E2769E">
        <w:t xml:space="preserve"> </w:t>
      </w:r>
      <w:r w:rsidR="007F1D14">
        <w:t>Māori could be improved</w:t>
      </w:r>
      <w:r w:rsidR="00527574">
        <w:t>.</w:t>
      </w:r>
      <w:r w:rsidR="007F1D14">
        <w:t xml:space="preserve"> (p</w:t>
      </w:r>
      <w:r w:rsidR="00E040D3">
        <w:t>p</w:t>
      </w:r>
      <w:r w:rsidR="007F1D14">
        <w:t>.</w:t>
      </w:r>
      <w:r w:rsidR="00FC7E6E">
        <w:t> </w:t>
      </w:r>
      <w:r w:rsidR="00E040D3">
        <w:t>6</w:t>
      </w:r>
      <w:r w:rsidR="00FC7E6E">
        <w:t>–</w:t>
      </w:r>
      <w:r w:rsidR="007F1D14">
        <w:t>7)</w:t>
      </w:r>
    </w:p>
    <w:p w14:paraId="2BA6B8CD" w14:textId="740173CB" w:rsidR="007F1D14" w:rsidRDefault="007F1D14">
      <w:pPr>
        <w:pStyle w:val="BodyText"/>
      </w:pPr>
      <w:r>
        <w:t>Monitoring outcomes for Māori</w:t>
      </w:r>
      <w:r w:rsidR="000267F6">
        <w:t xml:space="preserve"> sometimes</w:t>
      </w:r>
      <w:r w:rsidR="00650F2B">
        <w:t xml:space="preserve"> also</w:t>
      </w:r>
      <w:r w:rsidR="001657C8">
        <w:t xml:space="preserve"> </w:t>
      </w:r>
      <w:r>
        <w:t>occurs at more localised levels, such as in Auckland through the Independent Māori Statutory Board (</w:t>
      </w:r>
      <w:r w:rsidR="00B878A7">
        <w:t>box </w:t>
      </w:r>
      <w:r>
        <w:t>D.</w:t>
      </w:r>
      <w:r w:rsidR="00810137">
        <w:t>8</w:t>
      </w:r>
      <w:r>
        <w:t>)</w:t>
      </w:r>
      <w:r w:rsidR="00BB23BC">
        <w:t>.</w:t>
      </w:r>
    </w:p>
    <w:p w14:paraId="4D25590F" w14:textId="2B09817A" w:rsidR="007F1D14" w:rsidRDefault="007F1D1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F1D14" w14:paraId="388B877B" w14:textId="77777777" w:rsidTr="0065610D">
        <w:trPr>
          <w:tblHeader/>
        </w:trPr>
        <w:tc>
          <w:tcPr>
            <w:tcW w:w="5000" w:type="pct"/>
            <w:tcBorders>
              <w:top w:val="single" w:sz="6" w:space="0" w:color="2493D1"/>
              <w:left w:val="nil"/>
              <w:bottom w:val="nil"/>
              <w:right w:val="nil"/>
            </w:tcBorders>
            <w:shd w:val="clear" w:color="auto" w:fill="F2F2F2"/>
          </w:tcPr>
          <w:p w14:paraId="2CD6691F" w14:textId="1A0DD209" w:rsidR="007F1D14" w:rsidRDefault="007F1D14" w:rsidP="00221AC9">
            <w:pPr>
              <w:pStyle w:val="BoxTitle"/>
            </w:pPr>
            <w:r>
              <w:rPr>
                <w:b w:val="0"/>
              </w:rPr>
              <w:t xml:space="preserve">Box </w:t>
            </w:r>
            <w:r w:rsidR="00B464FC">
              <w:rPr>
                <w:b w:val="0"/>
              </w:rPr>
              <w:t>D.</w:t>
            </w:r>
            <w:r w:rsidR="00810137">
              <w:rPr>
                <w:b w:val="0"/>
              </w:rPr>
              <w:t>8</w:t>
            </w:r>
            <w:r>
              <w:tab/>
              <w:t>The role of the Independent Māori Statutory Board</w:t>
            </w:r>
          </w:p>
        </w:tc>
      </w:tr>
      <w:tr w:rsidR="007F1D14" w14:paraId="37F3950E" w14:textId="77777777" w:rsidTr="00C83BA2">
        <w:tc>
          <w:tcPr>
            <w:tcW w:w="5000" w:type="pct"/>
            <w:tcBorders>
              <w:top w:val="nil"/>
              <w:left w:val="nil"/>
              <w:bottom w:val="nil"/>
              <w:right w:val="nil"/>
            </w:tcBorders>
            <w:shd w:val="clear" w:color="auto" w:fill="F2F2F2"/>
          </w:tcPr>
          <w:p w14:paraId="7D5AA489" w14:textId="5BE52953" w:rsidR="007F1D14" w:rsidRDefault="005A2E8B" w:rsidP="005A2E8B">
            <w:pPr>
              <w:pStyle w:val="Box"/>
            </w:pPr>
            <w:r>
              <w:t xml:space="preserve">The Independent Māori Statutory Board has specific responsibilities and powers under the </w:t>
            </w:r>
            <w:r>
              <w:rPr>
                <w:i/>
              </w:rPr>
              <w:t xml:space="preserve">Local Government (Auckland Council) Amendment Act 2010 </w:t>
            </w:r>
            <w:r w:rsidRPr="007015EA">
              <w:t>(NZ)</w:t>
            </w:r>
            <w:r>
              <w:t>. The Board provides direction a</w:t>
            </w:r>
            <w:r w:rsidR="00B8228C">
              <w:t>nd guidance to Auckland Council</w:t>
            </w:r>
            <w:r>
              <w:t xml:space="preserve"> on issues affecting Māori. The Board also has appointees on many Council committees.</w:t>
            </w:r>
          </w:p>
          <w:p w14:paraId="0DE94109" w14:textId="1B0B9003" w:rsidR="002E7C36" w:rsidRDefault="002E7C36" w:rsidP="00E75F08">
            <w:pPr>
              <w:pStyle w:val="Box"/>
            </w:pPr>
            <w:r>
              <w:t xml:space="preserve">The Board has a statutory responsibility </w:t>
            </w:r>
            <w:r w:rsidR="00C27967">
              <w:t>for promoting ‘Issues of Significance</w:t>
            </w:r>
            <w:r w:rsidR="002B4046">
              <w:t>’</w:t>
            </w:r>
            <w:r w:rsidR="00C27967">
              <w:t xml:space="preserve"> to Māori in </w:t>
            </w:r>
            <w:proofErr w:type="spellStart"/>
            <w:r w:rsidR="00C27967">
              <w:t>Tāmaki</w:t>
            </w:r>
            <w:proofErr w:type="spellEnd"/>
            <w:r w:rsidR="00C27967">
              <w:t xml:space="preserve"> </w:t>
            </w:r>
            <w:proofErr w:type="spellStart"/>
            <w:r w:rsidR="00C27967">
              <w:t>Makaurau</w:t>
            </w:r>
            <w:proofErr w:type="spellEnd"/>
            <w:r w:rsidR="00C27967">
              <w:t xml:space="preserve"> (Auckland) and</w:t>
            </w:r>
            <w:r w:rsidR="00834B1E">
              <w:t xml:space="preserve"> to</w:t>
            </w:r>
            <w:r w:rsidR="00C27967">
              <w:t xml:space="preserve"> monitor the Council’s performance in responding to these issues. It produce</w:t>
            </w:r>
            <w:r w:rsidR="00834B1E">
              <w:t>s</w:t>
            </w:r>
            <w:r w:rsidR="00C27967">
              <w:t xml:space="preserve"> the Māori Plan, which outlines what Māori in the</w:t>
            </w:r>
            <w:r w:rsidR="001327C4">
              <w:t xml:space="preserve"> </w:t>
            </w:r>
            <w:proofErr w:type="spellStart"/>
            <w:r w:rsidR="001327C4">
              <w:t>Tāmaki</w:t>
            </w:r>
            <w:proofErr w:type="spellEnd"/>
            <w:r w:rsidR="001327C4">
              <w:t xml:space="preserve"> </w:t>
            </w:r>
            <w:proofErr w:type="spellStart"/>
            <w:r w:rsidR="001327C4">
              <w:t>Makaurau</w:t>
            </w:r>
            <w:proofErr w:type="spellEnd"/>
            <w:r w:rsidR="00C27967">
              <w:t xml:space="preserve"> region say is important to them and ‘provides a framework for understanding Māori development aspirations and monitoring progress towards desired cultural, economic, environmental and social outcomes’</w:t>
            </w:r>
            <w:r w:rsidR="00317AE7">
              <w:t xml:space="preserve"> </w:t>
            </w:r>
            <w:r w:rsidR="00317AE7" w:rsidRPr="007015EA">
              <w:rPr>
                <w:rFonts w:cs="Arial"/>
                <w:szCs w:val="24"/>
              </w:rPr>
              <w:t>(Independent Māori Statutory Board 2017, p. 4)</w:t>
            </w:r>
            <w:r w:rsidR="002B4046">
              <w:t xml:space="preserve">. </w:t>
            </w:r>
            <w:r w:rsidR="001327C4">
              <w:t>The Board</w:t>
            </w:r>
            <w:r w:rsidR="002B4046">
              <w:t xml:space="preserve"> also </w:t>
            </w:r>
            <w:r w:rsidR="00E75F08">
              <w:t xml:space="preserve">measures and reports on Māori wellbeing. </w:t>
            </w:r>
          </w:p>
          <w:p w14:paraId="5BD93C85" w14:textId="793B44AE" w:rsidR="00E75F08" w:rsidRDefault="00E75F08" w:rsidP="006804F2">
            <w:pPr>
              <w:pStyle w:val="Box"/>
            </w:pPr>
            <w:r>
              <w:t xml:space="preserve">Every three years, the Board conducts an audit to assess the Council’s performance in acting in accordance with the </w:t>
            </w:r>
            <w:proofErr w:type="spellStart"/>
            <w:r>
              <w:t>Te</w:t>
            </w:r>
            <w:proofErr w:type="spellEnd"/>
            <w:r>
              <w:t xml:space="preserve"> </w:t>
            </w:r>
            <w:proofErr w:type="spellStart"/>
            <w:r>
              <w:t>Tiriti</w:t>
            </w:r>
            <w:proofErr w:type="spellEnd"/>
            <w:r>
              <w:t xml:space="preserve"> o Waitangi (the Treaty of Waitangi) and its responsibilities to Māori in </w:t>
            </w:r>
            <w:proofErr w:type="spellStart"/>
            <w:r>
              <w:t>Tāmaki</w:t>
            </w:r>
            <w:proofErr w:type="spellEnd"/>
            <w:r>
              <w:t xml:space="preserve"> </w:t>
            </w:r>
            <w:proofErr w:type="spellStart"/>
            <w:r>
              <w:t>Makaurau</w:t>
            </w:r>
            <w:proofErr w:type="spellEnd"/>
            <w:r>
              <w:t xml:space="preserve">. The Board has also commissioned </w:t>
            </w:r>
            <w:r w:rsidR="00E723A7">
              <w:t>reports</w:t>
            </w:r>
            <w:r>
              <w:t xml:space="preserve"> examining the effectiveness of </w:t>
            </w:r>
            <w:r w:rsidR="000267F6">
              <w:t xml:space="preserve">the </w:t>
            </w:r>
            <w:r>
              <w:t xml:space="preserve">Council’s systems </w:t>
            </w:r>
            <w:r w:rsidR="006804F2">
              <w:t xml:space="preserve">for </w:t>
            </w:r>
            <w:r>
              <w:t xml:space="preserve">planning and </w:t>
            </w:r>
            <w:r w:rsidR="0008504B">
              <w:t>expenditure</w:t>
            </w:r>
            <w:r>
              <w:t xml:space="preserve"> on projects to improve Māori outcomes</w:t>
            </w:r>
            <w:r w:rsidR="00B52EA7">
              <w:t>,</w:t>
            </w:r>
            <w:r w:rsidR="007309A1">
              <w:t xml:space="preserve"> and has developed business cases for where</w:t>
            </w:r>
            <w:r w:rsidR="000267F6">
              <w:t xml:space="preserve"> the</w:t>
            </w:r>
            <w:r w:rsidR="007309A1">
              <w:t xml:space="preserve"> Council should focus to deliver on its strategy for Māori</w:t>
            </w:r>
            <w:r w:rsidR="00FC7E6E">
              <w:t>.</w:t>
            </w:r>
          </w:p>
        </w:tc>
      </w:tr>
      <w:tr w:rsidR="007F1D14" w14:paraId="159A5EF9" w14:textId="77777777" w:rsidTr="00C83BA2">
        <w:tc>
          <w:tcPr>
            <w:tcW w:w="5000" w:type="pct"/>
            <w:tcBorders>
              <w:top w:val="nil"/>
              <w:left w:val="nil"/>
              <w:bottom w:val="nil"/>
              <w:right w:val="nil"/>
            </w:tcBorders>
            <w:shd w:val="clear" w:color="auto" w:fill="F2F2F2"/>
          </w:tcPr>
          <w:p w14:paraId="16AA12A7" w14:textId="1ADD8F0D" w:rsidR="007F1D14" w:rsidRDefault="007F1D14" w:rsidP="003D218E">
            <w:pPr>
              <w:pStyle w:val="BoxSource"/>
            </w:pPr>
            <w:r>
              <w:rPr>
                <w:i/>
              </w:rPr>
              <w:t>Source</w:t>
            </w:r>
            <w:r w:rsidRPr="00167F06">
              <w:t>:</w:t>
            </w:r>
            <w:r w:rsidR="00161A39">
              <w:t xml:space="preserve"> Independent Māori Statutory Board</w:t>
            </w:r>
            <w:r w:rsidRPr="00167F06">
              <w:t xml:space="preserve"> </w:t>
            </w:r>
            <w:r w:rsidR="00834B1E" w:rsidRPr="00834B1E">
              <w:rPr>
                <w:rFonts w:cs="Arial"/>
              </w:rPr>
              <w:t xml:space="preserve">(2017, </w:t>
            </w:r>
            <w:proofErr w:type="spellStart"/>
            <w:r w:rsidR="00834B1E" w:rsidRPr="00834B1E">
              <w:rPr>
                <w:rFonts w:cs="Arial"/>
              </w:rPr>
              <w:t>nd</w:t>
            </w:r>
            <w:r w:rsidR="00160A94">
              <w:rPr>
                <w:rFonts w:cs="Arial"/>
              </w:rPr>
              <w:t>a</w:t>
            </w:r>
            <w:proofErr w:type="spellEnd"/>
            <w:r w:rsidR="00834B1E" w:rsidRPr="00834B1E">
              <w:rPr>
                <w:rFonts w:cs="Arial"/>
              </w:rPr>
              <w:t xml:space="preserve">, </w:t>
            </w:r>
            <w:proofErr w:type="spellStart"/>
            <w:r w:rsidR="00834B1E" w:rsidRPr="00834B1E">
              <w:rPr>
                <w:rFonts w:cs="Arial"/>
              </w:rPr>
              <w:t>nd</w:t>
            </w:r>
            <w:r w:rsidR="00160A94">
              <w:rPr>
                <w:rFonts w:cs="Arial"/>
              </w:rPr>
              <w:t>b</w:t>
            </w:r>
            <w:proofErr w:type="spellEnd"/>
            <w:r w:rsidR="00834B1E" w:rsidRPr="00834B1E">
              <w:rPr>
                <w:rFonts w:cs="Arial"/>
              </w:rPr>
              <w:t>)</w:t>
            </w:r>
            <w:r w:rsidR="00255104">
              <w:t>.</w:t>
            </w:r>
            <w:r w:rsidR="002B4046">
              <w:t xml:space="preserve"> </w:t>
            </w:r>
          </w:p>
        </w:tc>
      </w:tr>
      <w:tr w:rsidR="007F1D14" w14:paraId="775673C7" w14:textId="77777777" w:rsidTr="0065610D">
        <w:tc>
          <w:tcPr>
            <w:tcW w:w="5000" w:type="pct"/>
            <w:tcBorders>
              <w:top w:val="nil"/>
              <w:left w:val="nil"/>
              <w:bottom w:val="single" w:sz="6" w:space="0" w:color="2493D1"/>
              <w:right w:val="nil"/>
            </w:tcBorders>
            <w:shd w:val="clear" w:color="auto" w:fill="F2F2F2"/>
          </w:tcPr>
          <w:p w14:paraId="5E3A22D0" w14:textId="77777777" w:rsidR="007F1D14" w:rsidRDefault="007F1D14">
            <w:pPr>
              <w:pStyle w:val="Box"/>
              <w:spacing w:before="0" w:line="120" w:lineRule="exact"/>
            </w:pPr>
          </w:p>
        </w:tc>
      </w:tr>
      <w:tr w:rsidR="007F1D14" w:rsidRPr="000863A5" w14:paraId="28BE0228" w14:textId="77777777" w:rsidTr="0065610D">
        <w:tc>
          <w:tcPr>
            <w:tcW w:w="5000" w:type="pct"/>
            <w:tcBorders>
              <w:top w:val="single" w:sz="6" w:space="0" w:color="2493D1"/>
              <w:left w:val="nil"/>
              <w:bottom w:val="nil"/>
              <w:right w:val="nil"/>
            </w:tcBorders>
          </w:tcPr>
          <w:p w14:paraId="4AA4A0EA" w14:textId="26B8F678" w:rsidR="007F1D14" w:rsidRPr="00626D32" w:rsidRDefault="007F1D14" w:rsidP="00C83BA2">
            <w:pPr>
              <w:pStyle w:val="BoxSpaceBelow"/>
            </w:pPr>
          </w:p>
        </w:tc>
      </w:tr>
    </w:tbl>
    <w:p w14:paraId="24C906BD" w14:textId="77777777" w:rsidR="00006957" w:rsidRDefault="00285108" w:rsidP="00C11886">
      <w:pPr>
        <w:pStyle w:val="BodyText"/>
      </w:pPr>
      <w:r>
        <w:lastRenderedPageBreak/>
        <w:t xml:space="preserve">There is also a growing emergence and awareness </w:t>
      </w:r>
      <w:r w:rsidR="007E4EAB">
        <w:t>of Māori evaluation theories</w:t>
      </w:r>
      <w:r w:rsidR="00006957">
        <w:t xml:space="preserve">, such as </w:t>
      </w:r>
      <w:proofErr w:type="spellStart"/>
      <w:r w:rsidR="00006957">
        <w:t>Kaupapa</w:t>
      </w:r>
      <w:proofErr w:type="spellEnd"/>
      <w:r w:rsidR="00006957">
        <w:t xml:space="preserve"> Māori evaluation (or KME)</w:t>
      </w:r>
      <w:r w:rsidR="007E4EAB">
        <w:t xml:space="preserve"> in New Zealand.</w:t>
      </w:r>
      <w:r w:rsidR="00006957">
        <w:t xml:space="preserve"> KME, and Māori evaluation more broadly, can be characterised as evaluation that is:</w:t>
      </w:r>
    </w:p>
    <w:p w14:paraId="26A07581" w14:textId="77777777" w:rsidR="00006957" w:rsidRDefault="00006957" w:rsidP="00006957">
      <w:pPr>
        <w:pStyle w:val="ListBullet"/>
      </w:pPr>
      <w:r>
        <w:t>controlled and owned by Māori</w:t>
      </w:r>
    </w:p>
    <w:p w14:paraId="2F01EEA7" w14:textId="77777777" w:rsidR="00006957" w:rsidRDefault="00006957" w:rsidP="00006957">
      <w:pPr>
        <w:pStyle w:val="ListBullet"/>
      </w:pPr>
      <w:r>
        <w:t>conducted for the benefit of Māori (although it may benefit others)</w:t>
      </w:r>
    </w:p>
    <w:p w14:paraId="5E330226" w14:textId="77777777" w:rsidR="00006957" w:rsidRDefault="00006957" w:rsidP="00006957">
      <w:pPr>
        <w:pStyle w:val="ListBullet"/>
      </w:pPr>
      <w:r>
        <w:t>carried out within a Māori world view, which is likely to question the dominant culture and norms</w:t>
      </w:r>
    </w:p>
    <w:p w14:paraId="1CEB8D81" w14:textId="0A83DC50" w:rsidR="0037118C" w:rsidRDefault="00F05396" w:rsidP="00EF15A9">
      <w:pPr>
        <w:pStyle w:val="ListBullet"/>
      </w:pPr>
      <w:r>
        <w:t>a</w:t>
      </w:r>
      <w:r w:rsidR="00006957">
        <w:t>ims to make a positive difference for Māori</w:t>
      </w:r>
      <w:r w:rsidR="00EF15A9">
        <w:t xml:space="preserve"> </w:t>
      </w:r>
      <w:r w:rsidR="0037118C">
        <w:t xml:space="preserve">(Smith </w:t>
      </w:r>
      <w:r w:rsidR="0037118C" w:rsidRPr="00D454F0">
        <w:t>(1999)</w:t>
      </w:r>
      <w:r w:rsidR="0037118C">
        <w:t xml:space="preserve"> and </w:t>
      </w:r>
      <w:proofErr w:type="spellStart"/>
      <w:r w:rsidR="0037118C">
        <w:t>Moewaka</w:t>
      </w:r>
      <w:proofErr w:type="spellEnd"/>
      <w:r w:rsidR="0037118C">
        <w:t xml:space="preserve"> Barnes </w:t>
      </w:r>
      <w:r w:rsidR="0037118C" w:rsidRPr="00C962A0">
        <w:t>(2000)</w:t>
      </w:r>
      <w:r w:rsidR="0037118C">
        <w:t xml:space="preserve">, quoted in </w:t>
      </w:r>
      <w:proofErr w:type="spellStart"/>
      <w:r w:rsidR="0037118C" w:rsidRPr="00CD5E96">
        <w:t>Moewaka</w:t>
      </w:r>
      <w:proofErr w:type="spellEnd"/>
      <w:r w:rsidR="0037118C" w:rsidRPr="00CD5E96">
        <w:t xml:space="preserve"> Barnes</w:t>
      </w:r>
      <w:r w:rsidR="0037118C">
        <w:t xml:space="preserve"> </w:t>
      </w:r>
      <w:r w:rsidR="008347F0" w:rsidRPr="008347F0">
        <w:rPr>
          <w:szCs w:val="24"/>
        </w:rPr>
        <w:t>(2013, p. 165)</w:t>
      </w:r>
      <w:r w:rsidR="0037118C">
        <w:t>).</w:t>
      </w:r>
    </w:p>
    <w:p w14:paraId="1BC7E9AF" w14:textId="711261BF" w:rsidR="00986363" w:rsidRDefault="00161884" w:rsidP="0037118C">
      <w:pPr>
        <w:pStyle w:val="BodyText"/>
      </w:pPr>
      <w:proofErr w:type="spellStart"/>
      <w:r>
        <w:t>Kaupapa</w:t>
      </w:r>
      <w:proofErr w:type="spellEnd"/>
      <w:r>
        <w:t xml:space="preserve"> Māori </w:t>
      </w:r>
      <w:r w:rsidR="002C53EE">
        <w:t>originated</w:t>
      </w:r>
      <w:r w:rsidR="00986363">
        <w:t xml:space="preserve"> ‘out of concern for the unjust and harmful impacts endured by Māori at the hands of non</w:t>
      </w:r>
      <w:r w:rsidR="00986363">
        <w:noBreakHyphen/>
        <w:t xml:space="preserve">Māori researchers’ </w:t>
      </w:r>
      <w:r w:rsidR="00986363" w:rsidRPr="004864EB">
        <w:t xml:space="preserve">(Carlson, </w:t>
      </w:r>
      <w:proofErr w:type="spellStart"/>
      <w:r w:rsidR="00986363" w:rsidRPr="004864EB">
        <w:t>Moewaka</w:t>
      </w:r>
      <w:proofErr w:type="spellEnd"/>
      <w:r w:rsidR="00986363" w:rsidRPr="004864EB">
        <w:t xml:space="preserve"> Barnes and </w:t>
      </w:r>
      <w:proofErr w:type="spellStart"/>
      <w:r w:rsidR="00986363" w:rsidRPr="004864EB">
        <w:t>McCreanor</w:t>
      </w:r>
      <w:proofErr w:type="spellEnd"/>
      <w:r w:rsidR="00986363" w:rsidRPr="004864EB">
        <w:t> 2017, p. 70)</w:t>
      </w:r>
      <w:r w:rsidR="00986363">
        <w:t xml:space="preserve">. </w:t>
      </w:r>
      <w:r w:rsidR="00CE7F49">
        <w:t>Cram</w:t>
      </w:r>
      <w:r w:rsidR="00CF7987">
        <w:t xml:space="preserve">, Pipi and </w:t>
      </w:r>
      <w:proofErr w:type="spellStart"/>
      <w:r w:rsidR="00CF7987">
        <w:t>Paipa</w:t>
      </w:r>
      <w:proofErr w:type="spellEnd"/>
      <w:r w:rsidR="00CE7F49">
        <w:t xml:space="preserve"> describe</w:t>
      </w:r>
      <w:r w:rsidR="00294371">
        <w:t>d</w:t>
      </w:r>
      <w:r w:rsidR="00CE7F49">
        <w:t xml:space="preserve"> KME as being about:</w:t>
      </w:r>
    </w:p>
    <w:p w14:paraId="3B83213F" w14:textId="64292F42" w:rsidR="00CE7F49" w:rsidRDefault="00CE7F49">
      <w:pPr>
        <w:pStyle w:val="Quote"/>
      </w:pPr>
      <w:r>
        <w:t>… the reclaiming of knowledge creation mechanisms. This can be done by growing Māori</w:t>
      </w:r>
      <w:r w:rsidR="00BB23BC">
        <w:noBreakHyphen/>
      </w:r>
      <w:r>
        <w:t xml:space="preserve"> centred </w:t>
      </w:r>
      <w:r w:rsidR="00C661BD">
        <w:t xml:space="preserve">explanations </w:t>
      </w:r>
      <w:r>
        <w:t>for Māori marginalization; building knowledge about Māori practice models; and developing theories about the reasons, directions and timeliness of positive changes that occur in the lives of Māori because of interventions</w:t>
      </w:r>
      <w:r w:rsidR="00527574">
        <w:t>.</w:t>
      </w:r>
      <w:r w:rsidR="008C4969">
        <w:t xml:space="preserve"> </w:t>
      </w:r>
      <w:r w:rsidR="008C4969" w:rsidRPr="007015EA">
        <w:rPr>
          <w:szCs w:val="24"/>
        </w:rPr>
        <w:t>(2018, p. 68)</w:t>
      </w:r>
    </w:p>
    <w:p w14:paraId="36888391" w14:textId="20ABE323" w:rsidR="00103F72" w:rsidRDefault="00B40C74" w:rsidP="002C53EE">
      <w:pPr>
        <w:pStyle w:val="BodyText"/>
      </w:pPr>
      <w:r>
        <w:t xml:space="preserve">Carlson, </w:t>
      </w:r>
      <w:proofErr w:type="spellStart"/>
      <w:r>
        <w:t>Moewaka</w:t>
      </w:r>
      <w:proofErr w:type="spellEnd"/>
      <w:r>
        <w:t xml:space="preserve"> Barnes and </w:t>
      </w:r>
      <w:proofErr w:type="spellStart"/>
      <w:r>
        <w:t>McCreanor</w:t>
      </w:r>
      <w:proofErr w:type="spellEnd"/>
      <w:r w:rsidR="00705057">
        <w:t xml:space="preserve"> </w:t>
      </w:r>
      <w:r>
        <w:t>describe</w:t>
      </w:r>
      <w:r w:rsidR="00294371">
        <w:t>d</w:t>
      </w:r>
      <w:r>
        <w:t xml:space="preserve"> </w:t>
      </w:r>
      <w:proofErr w:type="spellStart"/>
      <w:r w:rsidR="00161884">
        <w:t>Kaupapa</w:t>
      </w:r>
      <w:proofErr w:type="spellEnd"/>
      <w:r w:rsidR="00161884">
        <w:t xml:space="preserve"> Māori theory, research, action and evaluation</w:t>
      </w:r>
      <w:r w:rsidR="00161884" w:rsidDel="00161884">
        <w:t xml:space="preserve"> </w:t>
      </w:r>
      <w:r>
        <w:t>as</w:t>
      </w:r>
      <w:r w:rsidR="00103F72">
        <w:t>:</w:t>
      </w:r>
      <w:r>
        <w:t xml:space="preserve"> </w:t>
      </w:r>
    </w:p>
    <w:p w14:paraId="6C673D12" w14:textId="619800A5" w:rsidR="0015335D" w:rsidRDefault="00C038ED" w:rsidP="0087595C">
      <w:pPr>
        <w:pStyle w:val="Quote"/>
      </w:pPr>
      <w:r>
        <w:t xml:space="preserve">… </w:t>
      </w:r>
      <w:r w:rsidR="00161884">
        <w:t xml:space="preserve">critically </w:t>
      </w:r>
      <w:r w:rsidR="00103F72">
        <w:t>oriented</w:t>
      </w:r>
      <w:r w:rsidR="00161884">
        <w:t xml:space="preserve">, </w:t>
      </w:r>
      <w:r w:rsidR="00B40C74">
        <w:t>methodologically eclectic</w:t>
      </w:r>
      <w:r w:rsidR="00161884">
        <w:t xml:space="preserve">, and </w:t>
      </w:r>
      <w:r w:rsidR="00B40C74">
        <w:t>encourag</w:t>
      </w:r>
      <w:r w:rsidR="00103F72">
        <w:t>e</w:t>
      </w:r>
      <w:r w:rsidR="00B40C74">
        <w:t xml:space="preserve"> rigour while celebrating diversity, community</w:t>
      </w:r>
      <w:r w:rsidR="007B77F6">
        <w:noBreakHyphen/>
      </w:r>
      <w:r w:rsidR="00B40C74">
        <w:t>centred</w:t>
      </w:r>
      <w:r w:rsidR="00161884">
        <w:t xml:space="preserve"> </w:t>
      </w:r>
      <w:r w:rsidR="00B40C74">
        <w:t xml:space="preserve">approaches </w:t>
      </w:r>
      <w:r w:rsidR="00EF619B">
        <w:t>and</w:t>
      </w:r>
      <w:r w:rsidR="00B40C74">
        <w:t xml:space="preserve"> </w:t>
      </w:r>
      <w:r w:rsidR="00EF619B">
        <w:t>the</w:t>
      </w:r>
      <w:r w:rsidR="00B40C74">
        <w:t xml:space="preserve"> expanding sense of understanding of the realms of </w:t>
      </w:r>
      <w:proofErr w:type="spellStart"/>
      <w:r w:rsidR="00B40C74">
        <w:t>te</w:t>
      </w:r>
      <w:proofErr w:type="spellEnd"/>
      <w:r w:rsidR="00B40C74">
        <w:t xml:space="preserve"> </w:t>
      </w:r>
      <w:proofErr w:type="spellStart"/>
      <w:r w:rsidR="00B40C74">
        <w:t>ao</w:t>
      </w:r>
      <w:proofErr w:type="spellEnd"/>
      <w:r w:rsidR="00B40C74">
        <w:t xml:space="preserve"> Māori (the Māori world)</w:t>
      </w:r>
      <w:r w:rsidR="0087595C">
        <w:t>.</w:t>
      </w:r>
      <w:r w:rsidR="00DE1B93">
        <w:t xml:space="preserve"> </w:t>
      </w:r>
      <w:r w:rsidR="0087595C" w:rsidRPr="0087595C">
        <w:rPr>
          <w:szCs w:val="24"/>
        </w:rPr>
        <w:t>(2017, p. 70)</w:t>
      </w:r>
      <w:r w:rsidR="00EF619B">
        <w:t xml:space="preserve"> </w:t>
      </w:r>
    </w:p>
    <w:p w14:paraId="60E8C4BD" w14:textId="3CD5B72B" w:rsidR="002425ED" w:rsidRDefault="00820D45" w:rsidP="002C53EE">
      <w:pPr>
        <w:pStyle w:val="BodyText"/>
      </w:pPr>
      <w:r>
        <w:t>Drawing on their experience</w:t>
      </w:r>
      <w:r w:rsidR="00572492">
        <w:t>s</w:t>
      </w:r>
      <w:r>
        <w:t xml:space="preserve"> </w:t>
      </w:r>
      <w:r w:rsidR="001B2273">
        <w:t>of</w:t>
      </w:r>
      <w:r w:rsidR="00572492">
        <w:t xml:space="preserve"> undertaking KME evaluations</w:t>
      </w:r>
      <w:r>
        <w:t xml:space="preserve">, </w:t>
      </w:r>
      <w:r w:rsidR="00CF7987">
        <w:t xml:space="preserve">Cram, Pipi and </w:t>
      </w:r>
      <w:proofErr w:type="spellStart"/>
      <w:r w:rsidR="00CF7987">
        <w:t>Paipa</w:t>
      </w:r>
      <w:proofErr w:type="spellEnd"/>
      <w:r w:rsidR="00DE1B93">
        <w:t xml:space="preserve"> </w:t>
      </w:r>
      <w:r w:rsidR="00DE1B93" w:rsidRPr="00DE1B93">
        <w:t>(2018)</w:t>
      </w:r>
      <w:r w:rsidR="00CF7987">
        <w:t>, state</w:t>
      </w:r>
      <w:r w:rsidR="007015EA">
        <w:t>d</w:t>
      </w:r>
      <w:r w:rsidR="00CF7987">
        <w:t xml:space="preserve"> that in terms of methods, they ‘are seeking ones that are right for answering evaluation questions about making a positive difference for Māori</w:t>
      </w:r>
      <w:r w:rsidR="0015335D">
        <w:t>’</w:t>
      </w:r>
      <w:r w:rsidR="00DE1B93">
        <w:t xml:space="preserve"> (p. 69)</w:t>
      </w:r>
      <w:r w:rsidR="0015335D">
        <w:t xml:space="preserve">. But regardless of </w:t>
      </w:r>
      <w:r w:rsidR="006402BC">
        <w:t>method</w:t>
      </w:r>
      <w:r w:rsidR="0015335D">
        <w:t xml:space="preserve">, engagement processes with stakeholders are often similar, beginning with </w:t>
      </w:r>
      <w:proofErr w:type="spellStart"/>
      <w:r w:rsidR="0015335D">
        <w:t>whakawhanaungata</w:t>
      </w:r>
      <w:r w:rsidR="00256793">
        <w:t>nga</w:t>
      </w:r>
      <w:proofErr w:type="spellEnd"/>
      <w:r w:rsidR="0015335D">
        <w:t xml:space="preserve">, or the process to </w:t>
      </w:r>
      <w:r w:rsidR="00256793">
        <w:t xml:space="preserve">establish </w:t>
      </w:r>
      <w:r w:rsidR="0015335D">
        <w:t xml:space="preserve">connections between evaluators and stakeholders. </w:t>
      </w:r>
      <w:r w:rsidR="006402BC">
        <w:t xml:space="preserve">Cram, Pipi and </w:t>
      </w:r>
      <w:proofErr w:type="spellStart"/>
      <w:r w:rsidR="006402BC">
        <w:t>Paipa</w:t>
      </w:r>
      <w:proofErr w:type="spellEnd"/>
      <w:r w:rsidR="006402BC">
        <w:t xml:space="preserve"> </w:t>
      </w:r>
      <w:r w:rsidR="0015335D">
        <w:t>also articulate a community</w:t>
      </w:r>
      <w:r w:rsidR="00BB23BC">
        <w:noBreakHyphen/>
      </w:r>
      <w:r w:rsidR="0015335D">
        <w:t>u</w:t>
      </w:r>
      <w:r w:rsidR="002425ED">
        <w:t>p approach to evaluator conduct, consisting of seven values to guide engagement with communities and organisations when undertaking evaluation (</w:t>
      </w:r>
      <w:r w:rsidR="00B878A7">
        <w:t>box </w:t>
      </w:r>
      <w:r w:rsidR="00723C9A">
        <w:t>D</w:t>
      </w:r>
      <w:r w:rsidR="002425ED">
        <w:t>.</w:t>
      </w:r>
      <w:r w:rsidR="00810137">
        <w:t>9</w:t>
      </w:r>
      <w:r w:rsidR="002425ED">
        <w:t xml:space="preserve">). </w:t>
      </w:r>
    </w:p>
    <w:p w14:paraId="7F62234C" w14:textId="051C875D" w:rsidR="008D207E" w:rsidRPr="00163C5A" w:rsidRDefault="008D207E" w:rsidP="008D207E">
      <w:pPr>
        <w:pStyle w:val="BodyText"/>
        <w:rPr>
          <w:spacing w:val="-2"/>
        </w:rPr>
      </w:pPr>
      <w:r w:rsidRPr="00163C5A">
        <w:rPr>
          <w:spacing w:val="-2"/>
        </w:rPr>
        <w:t xml:space="preserve">While the application of KME can involve compromise by evaluators (funders of KME can determine evaluation parameters that do not necessarily align with a localised focus for KME) </w:t>
      </w:r>
      <w:r w:rsidRPr="00163C5A">
        <w:rPr>
          <w:spacing w:val="-2"/>
          <w:szCs w:val="24"/>
        </w:rPr>
        <w:t xml:space="preserve">(Carlson, </w:t>
      </w:r>
      <w:proofErr w:type="spellStart"/>
      <w:r w:rsidRPr="00163C5A">
        <w:rPr>
          <w:spacing w:val="-2"/>
          <w:szCs w:val="24"/>
        </w:rPr>
        <w:t>Moewaka</w:t>
      </w:r>
      <w:proofErr w:type="spellEnd"/>
      <w:r w:rsidRPr="00163C5A">
        <w:rPr>
          <w:spacing w:val="-2"/>
          <w:szCs w:val="24"/>
        </w:rPr>
        <w:t xml:space="preserve"> Barnes and </w:t>
      </w:r>
      <w:proofErr w:type="spellStart"/>
      <w:r w:rsidRPr="00163C5A">
        <w:rPr>
          <w:spacing w:val="-2"/>
          <w:szCs w:val="24"/>
        </w:rPr>
        <w:t>McCreanor</w:t>
      </w:r>
      <w:proofErr w:type="spellEnd"/>
      <w:r w:rsidRPr="00163C5A">
        <w:rPr>
          <w:spacing w:val="-2"/>
          <w:szCs w:val="24"/>
        </w:rPr>
        <w:t> 2017, p. 74)</w:t>
      </w:r>
      <w:r w:rsidRPr="00163C5A">
        <w:rPr>
          <w:spacing w:val="-2"/>
        </w:rPr>
        <w:t xml:space="preserve">, there are several recent evaluations that identify as applying KME. These include evaluations into programs centred on family safety </w:t>
      </w:r>
      <w:r w:rsidRPr="00163C5A">
        <w:rPr>
          <w:spacing w:val="-2"/>
          <w:szCs w:val="24"/>
        </w:rPr>
        <w:t>(</w:t>
      </w:r>
      <w:proofErr w:type="spellStart"/>
      <w:r w:rsidRPr="00163C5A">
        <w:rPr>
          <w:spacing w:val="-2"/>
          <w:szCs w:val="24"/>
        </w:rPr>
        <w:t>Wehipeihana</w:t>
      </w:r>
      <w:proofErr w:type="spellEnd"/>
      <w:r w:rsidRPr="00163C5A">
        <w:rPr>
          <w:spacing w:val="-2"/>
          <w:szCs w:val="24"/>
        </w:rPr>
        <w:t> 2019</w:t>
      </w:r>
      <w:r w:rsidR="00160A94" w:rsidRPr="00163C5A">
        <w:rPr>
          <w:spacing w:val="-2"/>
          <w:szCs w:val="24"/>
        </w:rPr>
        <w:t>b</w:t>
      </w:r>
      <w:r w:rsidRPr="00163C5A">
        <w:rPr>
          <w:spacing w:val="-2"/>
          <w:szCs w:val="24"/>
        </w:rPr>
        <w:t>)</w:t>
      </w:r>
      <w:r w:rsidRPr="00163C5A">
        <w:rPr>
          <w:spacing w:val="-2"/>
        </w:rPr>
        <w:t xml:space="preserve"> and preventing accidents in the home </w:t>
      </w:r>
      <w:r w:rsidRPr="00163C5A">
        <w:rPr>
          <w:spacing w:val="-2"/>
          <w:szCs w:val="24"/>
        </w:rPr>
        <w:t>(Hayward and Villa 2015)</w:t>
      </w:r>
      <w:r w:rsidRPr="00163C5A">
        <w:rPr>
          <w:spacing w:val="-2"/>
        </w:rPr>
        <w:t>.</w:t>
      </w:r>
    </w:p>
    <w:p w14:paraId="08D6BE6E" w14:textId="20D42892" w:rsidR="002425ED" w:rsidRDefault="002425E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425ED" w14:paraId="09B7B727" w14:textId="77777777" w:rsidTr="00124828">
        <w:trPr>
          <w:tblHeader/>
        </w:trPr>
        <w:tc>
          <w:tcPr>
            <w:tcW w:w="5000" w:type="pct"/>
            <w:tcBorders>
              <w:top w:val="single" w:sz="6" w:space="0" w:color="2493D1"/>
              <w:left w:val="nil"/>
              <w:bottom w:val="nil"/>
              <w:right w:val="nil"/>
            </w:tcBorders>
            <w:shd w:val="clear" w:color="auto" w:fill="F2F2F2"/>
          </w:tcPr>
          <w:p w14:paraId="31544A6B" w14:textId="188E6D99" w:rsidR="002425ED" w:rsidRDefault="002425ED" w:rsidP="00221AC9">
            <w:pPr>
              <w:pStyle w:val="BoxTitle"/>
            </w:pPr>
            <w:r>
              <w:rPr>
                <w:b w:val="0"/>
              </w:rPr>
              <w:t xml:space="preserve">Box </w:t>
            </w:r>
            <w:r w:rsidR="007F1D14">
              <w:rPr>
                <w:b w:val="0"/>
              </w:rPr>
              <w:t>D.</w:t>
            </w:r>
            <w:r w:rsidR="00810137">
              <w:rPr>
                <w:b w:val="0"/>
              </w:rPr>
              <w:t>9</w:t>
            </w:r>
            <w:r>
              <w:tab/>
            </w:r>
            <w:r w:rsidR="006402BC">
              <w:t>A ‘c</w:t>
            </w:r>
            <w:r>
              <w:t>ommunity</w:t>
            </w:r>
            <w:r w:rsidR="00BB23BC">
              <w:noBreakHyphen/>
            </w:r>
            <w:r>
              <w:t xml:space="preserve">up’ approach to defining evaluation conduct </w:t>
            </w:r>
          </w:p>
        </w:tc>
      </w:tr>
      <w:tr w:rsidR="002425ED" w14:paraId="7D597F8F" w14:textId="77777777" w:rsidTr="00F9621F">
        <w:tc>
          <w:tcPr>
            <w:tcW w:w="5000" w:type="pct"/>
            <w:tcBorders>
              <w:top w:val="nil"/>
              <w:left w:val="nil"/>
              <w:bottom w:val="nil"/>
              <w:right w:val="nil"/>
            </w:tcBorders>
            <w:shd w:val="clear" w:color="auto" w:fill="F2F2F2"/>
          </w:tcPr>
          <w:p w14:paraId="15B2F17B" w14:textId="67678374" w:rsidR="002425ED" w:rsidRDefault="002425ED" w:rsidP="00F9621F">
            <w:pPr>
              <w:pStyle w:val="Box"/>
            </w:pPr>
            <w:r>
              <w:t xml:space="preserve">Cram, Pipi and </w:t>
            </w:r>
            <w:proofErr w:type="spellStart"/>
            <w:r>
              <w:t>Paipa</w:t>
            </w:r>
            <w:proofErr w:type="spellEnd"/>
            <w:r>
              <w:t xml:space="preserve"> describe a community</w:t>
            </w:r>
            <w:r w:rsidR="00BB23BC">
              <w:noBreakHyphen/>
            </w:r>
            <w:r>
              <w:t>up approach to evaluation conduct that has seven values, each with their own guideline. These are:</w:t>
            </w:r>
          </w:p>
          <w:p w14:paraId="231E85AA" w14:textId="32A981A7" w:rsidR="002425ED" w:rsidRDefault="002425ED">
            <w:pPr>
              <w:pStyle w:val="BoxListBullet"/>
            </w:pPr>
            <w:r>
              <w:t xml:space="preserve">Aroha </w:t>
            </w:r>
            <w:proofErr w:type="spellStart"/>
            <w:r>
              <w:t>ki</w:t>
            </w:r>
            <w:proofErr w:type="spellEnd"/>
            <w:r w:rsidR="004A74D7">
              <w:t xml:space="preserve"> </w:t>
            </w:r>
            <w:proofErr w:type="spellStart"/>
            <w:r>
              <w:t>te</w:t>
            </w:r>
            <w:proofErr w:type="spellEnd"/>
            <w:r>
              <w:t xml:space="preserve"> </w:t>
            </w:r>
            <w:proofErr w:type="spellStart"/>
            <w:r>
              <w:t>tangata</w:t>
            </w:r>
            <w:proofErr w:type="spellEnd"/>
            <w:r>
              <w:t xml:space="preserve"> — Respect people — allow them to define their own space and meet on their terms</w:t>
            </w:r>
            <w:r w:rsidR="006F5D9C">
              <w:t>.</w:t>
            </w:r>
          </w:p>
          <w:p w14:paraId="3DA739AB" w14:textId="7482A5D8" w:rsidR="002425ED" w:rsidRDefault="002425ED">
            <w:pPr>
              <w:pStyle w:val="BoxListBullet"/>
            </w:pPr>
            <w:r>
              <w:t xml:space="preserve">He </w:t>
            </w:r>
            <w:proofErr w:type="spellStart"/>
            <w:r>
              <w:t>kanohi</w:t>
            </w:r>
            <w:proofErr w:type="spellEnd"/>
            <w:r>
              <w:t xml:space="preserve"> </w:t>
            </w:r>
            <w:proofErr w:type="spellStart"/>
            <w:r>
              <w:t>kitea</w:t>
            </w:r>
            <w:proofErr w:type="spellEnd"/>
            <w:r>
              <w:t xml:space="preserve"> — Meet people face</w:t>
            </w:r>
            <w:r w:rsidR="00BB23BC">
              <w:noBreakHyphen/>
            </w:r>
            <w:r>
              <w:t>to</w:t>
            </w:r>
            <w:r w:rsidR="00BB23BC">
              <w:noBreakHyphen/>
            </w:r>
            <w:r>
              <w:t>face, and also be a face that is known to and seen within a community</w:t>
            </w:r>
            <w:r w:rsidR="006F5D9C">
              <w:t>.</w:t>
            </w:r>
          </w:p>
          <w:p w14:paraId="271FA5C7" w14:textId="061DAB73" w:rsidR="002425ED" w:rsidRDefault="002425ED">
            <w:pPr>
              <w:pStyle w:val="BoxListBullet"/>
            </w:pPr>
            <w:proofErr w:type="spellStart"/>
            <w:r>
              <w:t>Titiro</w:t>
            </w:r>
            <w:proofErr w:type="spellEnd"/>
            <w:r>
              <w:t xml:space="preserve">, </w:t>
            </w:r>
            <w:proofErr w:type="spellStart"/>
            <w:r>
              <w:t>whakarongo</w:t>
            </w:r>
            <w:proofErr w:type="spellEnd"/>
            <w:r w:rsidR="00FC7E6E">
              <w:t xml:space="preserve"> </w:t>
            </w:r>
            <w:r>
              <w:t>…</w:t>
            </w:r>
            <w:r w:rsidR="00FC7E6E">
              <w:t xml:space="preserve"> </w:t>
            </w:r>
            <w:proofErr w:type="spellStart"/>
            <w:r>
              <w:t>k</w:t>
            </w:r>
            <w:r w:rsidR="0004475E">
              <w:rPr>
                <w:rFonts w:cs="Arial"/>
              </w:rPr>
              <w:t>ō</w:t>
            </w:r>
            <w:r>
              <w:t>rero</w:t>
            </w:r>
            <w:proofErr w:type="spellEnd"/>
            <w:r>
              <w:t xml:space="preserve"> — Look and listen (then maybe speak) — develop an understanding in order to find a place from which to speak</w:t>
            </w:r>
            <w:r w:rsidR="006F5D9C">
              <w:t>.</w:t>
            </w:r>
          </w:p>
          <w:p w14:paraId="004F378C" w14:textId="55A05FBC" w:rsidR="002425ED" w:rsidRDefault="002425ED">
            <w:pPr>
              <w:pStyle w:val="BoxListBullet"/>
            </w:pPr>
            <w:r>
              <w:t xml:space="preserve">Manaaki </w:t>
            </w:r>
            <w:proofErr w:type="spellStart"/>
            <w:r>
              <w:t>ki</w:t>
            </w:r>
            <w:proofErr w:type="spellEnd"/>
            <w:r>
              <w:t xml:space="preserve"> </w:t>
            </w:r>
            <w:proofErr w:type="spellStart"/>
            <w:r w:rsidR="0004475E">
              <w:t>t</w:t>
            </w:r>
            <w:r>
              <w:t>e</w:t>
            </w:r>
            <w:proofErr w:type="spellEnd"/>
            <w:r>
              <w:t xml:space="preserve"> </w:t>
            </w:r>
            <w:proofErr w:type="spellStart"/>
            <w:r>
              <w:t>tangata</w:t>
            </w:r>
            <w:proofErr w:type="spellEnd"/>
            <w:r>
              <w:t xml:space="preserve"> — Share, host and be generous</w:t>
            </w:r>
            <w:r w:rsidR="006F5D9C">
              <w:t>.</w:t>
            </w:r>
          </w:p>
          <w:p w14:paraId="64A0A8DC" w14:textId="18D2A71E" w:rsidR="002425ED" w:rsidRDefault="002425ED">
            <w:pPr>
              <w:pStyle w:val="BoxListBullet"/>
            </w:pPr>
            <w:r>
              <w:t xml:space="preserve">Kia </w:t>
            </w:r>
            <w:proofErr w:type="spellStart"/>
            <w:r>
              <w:t>t</w:t>
            </w:r>
            <w:r>
              <w:rPr>
                <w:rFonts w:cs="Arial"/>
              </w:rPr>
              <w:t>ū</w:t>
            </w:r>
            <w:r>
              <w:t>pato</w:t>
            </w:r>
            <w:proofErr w:type="spellEnd"/>
            <w:r>
              <w:t xml:space="preserve"> — Be cautious — </w:t>
            </w:r>
            <w:r w:rsidR="003D4300">
              <w:t>be politically astute, culturally safe, and reflective about insider/outsider status</w:t>
            </w:r>
            <w:r w:rsidR="006F5D9C">
              <w:t>.</w:t>
            </w:r>
          </w:p>
          <w:p w14:paraId="39DE897A" w14:textId="224F5E6B" w:rsidR="003D4300" w:rsidRDefault="003D4300">
            <w:pPr>
              <w:pStyle w:val="BoxListBullet"/>
            </w:pPr>
            <w:proofErr w:type="spellStart"/>
            <w:r>
              <w:t>Kaua</w:t>
            </w:r>
            <w:proofErr w:type="spellEnd"/>
            <w:r>
              <w:t xml:space="preserve"> e </w:t>
            </w:r>
            <w:proofErr w:type="spellStart"/>
            <w:r>
              <w:t>takahia</w:t>
            </w:r>
            <w:proofErr w:type="spellEnd"/>
            <w:r>
              <w:t xml:space="preserve"> </w:t>
            </w:r>
            <w:proofErr w:type="spellStart"/>
            <w:r>
              <w:t>te</w:t>
            </w:r>
            <w:proofErr w:type="spellEnd"/>
            <w:r>
              <w:t xml:space="preserve"> mana o </w:t>
            </w:r>
            <w:proofErr w:type="spellStart"/>
            <w:r>
              <w:t>te</w:t>
            </w:r>
            <w:proofErr w:type="spellEnd"/>
            <w:r>
              <w:t xml:space="preserve"> </w:t>
            </w:r>
            <w:proofErr w:type="spellStart"/>
            <w:r>
              <w:t>tangata</w:t>
            </w:r>
            <w:proofErr w:type="spellEnd"/>
            <w:r>
              <w:t xml:space="preserve"> — do not trample on the ‘mana’ or dignity of a person</w:t>
            </w:r>
            <w:r w:rsidR="006F5D9C">
              <w:t>.</w:t>
            </w:r>
          </w:p>
          <w:p w14:paraId="67FA0332" w14:textId="2435602A" w:rsidR="003D4300" w:rsidRDefault="003D4300">
            <w:pPr>
              <w:pStyle w:val="BoxListBullet"/>
            </w:pPr>
            <w:r>
              <w:t xml:space="preserve">Kia </w:t>
            </w:r>
            <w:proofErr w:type="spellStart"/>
            <w:r>
              <w:t>m</w:t>
            </w:r>
            <w:r>
              <w:rPr>
                <w:rFonts w:cs="Arial"/>
              </w:rPr>
              <w:t>ā</w:t>
            </w:r>
            <w:r>
              <w:t>haki</w:t>
            </w:r>
            <w:proofErr w:type="spellEnd"/>
            <w:r>
              <w:t xml:space="preserve"> — Be humble — do not flaunt </w:t>
            </w:r>
            <w:r w:rsidR="00542F96">
              <w:t>y</w:t>
            </w:r>
            <w:r>
              <w:t>our knowledge; find ways of sharing it.</w:t>
            </w:r>
          </w:p>
        </w:tc>
      </w:tr>
      <w:tr w:rsidR="002425ED" w14:paraId="5188DB92" w14:textId="77777777" w:rsidTr="00F9621F">
        <w:tc>
          <w:tcPr>
            <w:tcW w:w="5000" w:type="pct"/>
            <w:tcBorders>
              <w:top w:val="nil"/>
              <w:left w:val="nil"/>
              <w:bottom w:val="nil"/>
              <w:right w:val="nil"/>
            </w:tcBorders>
            <w:shd w:val="clear" w:color="auto" w:fill="F2F2F2"/>
          </w:tcPr>
          <w:p w14:paraId="6D7F8E74" w14:textId="348AC042" w:rsidR="002425ED" w:rsidRDefault="002425ED" w:rsidP="00221AC9">
            <w:pPr>
              <w:pStyle w:val="BoxSource"/>
            </w:pPr>
            <w:r>
              <w:rPr>
                <w:i/>
              </w:rPr>
              <w:t>Source</w:t>
            </w:r>
            <w:r w:rsidRPr="00167F06">
              <w:t>:</w:t>
            </w:r>
            <w:r w:rsidR="00F45717" w:rsidRPr="00167F06" w:rsidDel="00F45717">
              <w:t xml:space="preserve"> </w:t>
            </w:r>
            <w:r w:rsidR="00F45717">
              <w:t xml:space="preserve">Cram, Pipi and </w:t>
            </w:r>
            <w:proofErr w:type="spellStart"/>
            <w:r w:rsidR="00F45717">
              <w:t>Paipa</w:t>
            </w:r>
            <w:proofErr w:type="spellEnd"/>
            <w:r w:rsidR="00F45717">
              <w:t xml:space="preserve"> </w:t>
            </w:r>
            <w:r w:rsidR="00221AC9" w:rsidRPr="00221AC9">
              <w:rPr>
                <w:rFonts w:cs="Arial"/>
                <w:szCs w:val="24"/>
              </w:rPr>
              <w:t>(2018, pp. 70–72)</w:t>
            </w:r>
            <w:r w:rsidR="00F45717">
              <w:t>.</w:t>
            </w:r>
          </w:p>
        </w:tc>
      </w:tr>
      <w:tr w:rsidR="002425ED" w14:paraId="11C48BD4" w14:textId="77777777" w:rsidTr="00124828">
        <w:tc>
          <w:tcPr>
            <w:tcW w:w="5000" w:type="pct"/>
            <w:tcBorders>
              <w:top w:val="nil"/>
              <w:left w:val="nil"/>
              <w:bottom w:val="single" w:sz="6" w:space="0" w:color="2493D1"/>
              <w:right w:val="nil"/>
            </w:tcBorders>
            <w:shd w:val="clear" w:color="auto" w:fill="F2F2F2"/>
          </w:tcPr>
          <w:p w14:paraId="0A5C4B61" w14:textId="77777777" w:rsidR="002425ED" w:rsidRDefault="002425ED">
            <w:pPr>
              <w:pStyle w:val="Box"/>
              <w:spacing w:before="0" w:line="120" w:lineRule="exact"/>
            </w:pPr>
          </w:p>
        </w:tc>
      </w:tr>
      <w:tr w:rsidR="002425ED" w:rsidRPr="000863A5" w14:paraId="561BB90D" w14:textId="77777777" w:rsidTr="00124828">
        <w:tc>
          <w:tcPr>
            <w:tcW w:w="5000" w:type="pct"/>
            <w:tcBorders>
              <w:top w:val="single" w:sz="6" w:space="0" w:color="2493D1"/>
              <w:left w:val="nil"/>
              <w:bottom w:val="nil"/>
              <w:right w:val="nil"/>
            </w:tcBorders>
          </w:tcPr>
          <w:p w14:paraId="3C34F159" w14:textId="06252DC1" w:rsidR="002425ED" w:rsidRPr="00626D32" w:rsidRDefault="002425ED" w:rsidP="00F9621F">
            <w:pPr>
              <w:pStyle w:val="BoxSpaceBelow"/>
            </w:pPr>
          </w:p>
        </w:tc>
      </w:tr>
    </w:tbl>
    <w:p w14:paraId="3D21E437" w14:textId="16D3983C" w:rsidR="008D207E" w:rsidRDefault="008D207E" w:rsidP="008D207E">
      <w:pPr>
        <w:pStyle w:val="BodyText"/>
      </w:pPr>
      <w:r w:rsidRPr="003D218E">
        <w:t>M</w:t>
      </w:r>
      <w:r>
        <w:t xml:space="preserve">āori evaluators have also formed a network called </w:t>
      </w:r>
      <w:proofErr w:type="spellStart"/>
      <w:r>
        <w:t>Mā</w:t>
      </w:r>
      <w:proofErr w:type="spellEnd"/>
      <w:r>
        <w:t xml:space="preserve"> </w:t>
      </w:r>
      <w:proofErr w:type="spellStart"/>
      <w:r>
        <w:t>te</w:t>
      </w:r>
      <w:proofErr w:type="spellEnd"/>
      <w:r>
        <w:t xml:space="preserve"> Rae (the </w:t>
      </w:r>
      <w:r w:rsidRPr="003D218E">
        <w:t xml:space="preserve">Māori Evaluation Association). </w:t>
      </w:r>
      <w:r w:rsidRPr="00DA63BD">
        <w:t xml:space="preserve">Founded in 2015, </w:t>
      </w:r>
      <w:proofErr w:type="spellStart"/>
      <w:r w:rsidRPr="00DA63BD">
        <w:t>Mā</w:t>
      </w:r>
      <w:proofErr w:type="spellEnd"/>
      <w:r w:rsidRPr="00DA63BD">
        <w:t xml:space="preserve"> </w:t>
      </w:r>
      <w:proofErr w:type="spellStart"/>
      <w:r w:rsidRPr="00DA63BD">
        <w:t>te</w:t>
      </w:r>
      <w:proofErr w:type="spellEnd"/>
      <w:r w:rsidRPr="00DA63BD">
        <w:t xml:space="preserve"> Rae was established by Māori for Māori </w:t>
      </w:r>
      <w:r w:rsidRPr="007015EA">
        <w:t xml:space="preserve">‘to advance the social, cultural and economic development of </w:t>
      </w:r>
      <w:r>
        <w:t>I</w:t>
      </w:r>
      <w:r w:rsidRPr="007015EA">
        <w:t xml:space="preserve">wi </w:t>
      </w:r>
      <w:r>
        <w:t>M</w:t>
      </w:r>
      <w:r w:rsidRPr="00DA63BD">
        <w:t>ā</w:t>
      </w:r>
      <w:r w:rsidRPr="007015EA">
        <w:t>ori through participation in and contribution to quality evaluation</w:t>
      </w:r>
      <w:r w:rsidRPr="00DA63BD">
        <w:t>’</w:t>
      </w:r>
      <w:r>
        <w:t xml:space="preserve"> and seeks to ‘mobilise evaluation as a tool for transformation for Iwi Māori’ </w:t>
      </w:r>
      <w:r w:rsidRPr="000C7438">
        <w:rPr>
          <w:szCs w:val="24"/>
        </w:rPr>
        <w:t>(</w:t>
      </w:r>
      <w:proofErr w:type="spellStart"/>
      <w:r w:rsidRPr="000C7438">
        <w:rPr>
          <w:szCs w:val="24"/>
        </w:rPr>
        <w:t>Mā</w:t>
      </w:r>
      <w:proofErr w:type="spellEnd"/>
      <w:r w:rsidRPr="000C7438">
        <w:rPr>
          <w:szCs w:val="24"/>
        </w:rPr>
        <w:t xml:space="preserve"> </w:t>
      </w:r>
      <w:proofErr w:type="spellStart"/>
      <w:r w:rsidRPr="000C7438">
        <w:rPr>
          <w:szCs w:val="24"/>
        </w:rPr>
        <w:t>te</w:t>
      </w:r>
      <w:proofErr w:type="spellEnd"/>
      <w:r w:rsidRPr="000C7438">
        <w:rPr>
          <w:szCs w:val="24"/>
        </w:rPr>
        <w:t xml:space="preserve"> Rae 2015)</w:t>
      </w:r>
      <w:r>
        <w:t xml:space="preserve">. </w:t>
      </w:r>
      <w:proofErr w:type="spellStart"/>
      <w:r>
        <w:t>Mā</w:t>
      </w:r>
      <w:proofErr w:type="spellEnd"/>
      <w:r>
        <w:t xml:space="preserve"> </w:t>
      </w:r>
      <w:proofErr w:type="spellStart"/>
      <w:r>
        <w:t>te</w:t>
      </w:r>
      <w:proofErr w:type="spellEnd"/>
      <w:r>
        <w:t xml:space="preserve"> Rae provides a space for </w:t>
      </w:r>
      <w:r w:rsidRPr="00BB05D5">
        <w:t>Māori</w:t>
      </w:r>
      <w:r>
        <w:t xml:space="preserve"> evaluators to connect in their own way and plays an important role in supporting and building capacity for Māori</w:t>
      </w:r>
      <w:r>
        <w:noBreakHyphen/>
        <w:t>led evaluation (</w:t>
      </w:r>
      <w:proofErr w:type="spellStart"/>
      <w:r w:rsidRPr="00DA63BD">
        <w:t>Mā</w:t>
      </w:r>
      <w:proofErr w:type="spellEnd"/>
      <w:r w:rsidRPr="00DA63BD">
        <w:t xml:space="preserve"> </w:t>
      </w:r>
      <w:proofErr w:type="spellStart"/>
      <w:r w:rsidRPr="00DA63BD">
        <w:t>te</w:t>
      </w:r>
      <w:proofErr w:type="spellEnd"/>
      <w:r w:rsidRPr="00DA63BD">
        <w:t xml:space="preserve"> Rae</w:t>
      </w:r>
      <w:r>
        <w:t xml:space="preserve"> pers. comm., 8 May 2020).</w:t>
      </w:r>
    </w:p>
    <w:p w14:paraId="044ED0A6" w14:textId="1675F89E" w:rsidR="00C53907" w:rsidRDefault="008D207E" w:rsidP="008D207E">
      <w:pPr>
        <w:pStyle w:val="BodyText"/>
        <w:rPr>
          <w:b/>
        </w:rPr>
      </w:pPr>
      <w:r>
        <w:t xml:space="preserve">One of the recent activities of </w:t>
      </w:r>
      <w:proofErr w:type="spellStart"/>
      <w:r>
        <w:t>Mā</w:t>
      </w:r>
      <w:proofErr w:type="spellEnd"/>
      <w:r>
        <w:t xml:space="preserve"> </w:t>
      </w:r>
      <w:proofErr w:type="spellStart"/>
      <w:r>
        <w:t>te</w:t>
      </w:r>
      <w:proofErr w:type="spellEnd"/>
      <w:r>
        <w:t xml:space="preserve"> Rae has been to host an Indigenous Peoples’ Conference on Evaluation, which explored several themes, including how to use traditional knowledge in evaluation, and ‘claiming the space’ (self</w:t>
      </w:r>
      <w:r>
        <w:noBreakHyphen/>
        <w:t xml:space="preserve">determination) </w:t>
      </w:r>
      <w:r w:rsidRPr="0034530B">
        <w:rPr>
          <w:szCs w:val="24"/>
        </w:rPr>
        <w:t>(</w:t>
      </w:r>
      <w:proofErr w:type="spellStart"/>
      <w:r w:rsidRPr="0034530B">
        <w:rPr>
          <w:szCs w:val="24"/>
        </w:rPr>
        <w:t>M</w:t>
      </w:r>
      <w:r w:rsidRPr="0034530B">
        <w:t>ā</w:t>
      </w:r>
      <w:proofErr w:type="spellEnd"/>
      <w:r w:rsidRPr="0034530B">
        <w:t xml:space="preserve"> </w:t>
      </w:r>
      <w:proofErr w:type="spellStart"/>
      <w:r w:rsidRPr="0034530B">
        <w:t>te</w:t>
      </w:r>
      <w:proofErr w:type="spellEnd"/>
      <w:r w:rsidRPr="0034530B">
        <w:t xml:space="preserve"> Rae </w:t>
      </w:r>
      <w:proofErr w:type="spellStart"/>
      <w:r w:rsidRPr="0034530B">
        <w:t>nd</w:t>
      </w:r>
      <w:proofErr w:type="spellEnd"/>
      <w:r w:rsidRPr="0034530B">
        <w:t>)</w:t>
      </w:r>
      <w:r>
        <w:t xml:space="preserve">. </w:t>
      </w:r>
      <w:proofErr w:type="spellStart"/>
      <w:r>
        <w:t>Mā</w:t>
      </w:r>
      <w:proofErr w:type="spellEnd"/>
      <w:r>
        <w:t xml:space="preserve"> </w:t>
      </w:r>
      <w:proofErr w:type="spellStart"/>
      <w:r>
        <w:t>te</w:t>
      </w:r>
      <w:proofErr w:type="spellEnd"/>
      <w:r>
        <w:t xml:space="preserve"> Rae</w:t>
      </w:r>
      <w:r>
        <w:rPr>
          <w:b/>
        </w:rPr>
        <w:t xml:space="preserve"> </w:t>
      </w:r>
      <w:r>
        <w:t>also maintains connections to international groups, including the EVALINDIGENOUS network — a multi</w:t>
      </w:r>
      <w:r>
        <w:noBreakHyphen/>
        <w:t xml:space="preserve">stakeholder partnership to ‘advance the contribution of Indigenous evaluation to global evaluation practice’ </w:t>
      </w:r>
      <w:r w:rsidRPr="000C7438">
        <w:rPr>
          <w:szCs w:val="24"/>
        </w:rPr>
        <w:t>(</w:t>
      </w:r>
      <w:proofErr w:type="spellStart"/>
      <w:r w:rsidRPr="000C7438">
        <w:rPr>
          <w:szCs w:val="24"/>
        </w:rPr>
        <w:t>EvalPartners</w:t>
      </w:r>
      <w:proofErr w:type="spellEnd"/>
      <w:r w:rsidRPr="000C7438">
        <w:rPr>
          <w:szCs w:val="24"/>
        </w:rPr>
        <w:t> 2020)</w:t>
      </w:r>
      <w:r>
        <w:t>.</w:t>
      </w:r>
    </w:p>
    <w:sectPr w:rsidR="00C53907" w:rsidSect="00D91AD6">
      <w:headerReference w:type="even" r:id="rId11"/>
      <w:headerReference w:type="default" r:id="rId12"/>
      <w:footerReference w:type="even" r:id="rId13"/>
      <w:footerReference w:type="default" r:id="rId14"/>
      <w:headerReference w:type="first" r:id="rId15"/>
      <w:footerReference w:type="first" r:id="rId16"/>
      <w:pgSz w:w="11907" w:h="16840" w:code="9"/>
      <w:pgMar w:top="1984" w:right="1304" w:bottom="1247" w:left="1814" w:header="1701" w:footer="397" w:gutter="0"/>
      <w:pgNumType w:start="1" w:chapStyle="1" w:chapSep="period"/>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6B34" w16cex:dateUtc="2020-05-22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4E1752" w16cid:durableId="22726B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81D0F" w14:textId="77777777" w:rsidR="00C562BD" w:rsidRDefault="00C562BD">
      <w:r>
        <w:separator/>
      </w:r>
    </w:p>
  </w:endnote>
  <w:endnote w:type="continuationSeparator" w:id="0">
    <w:p w14:paraId="4DEF846C" w14:textId="77777777" w:rsidR="00C562BD" w:rsidRDefault="00C562BD">
      <w:r>
        <w:continuationSeparator/>
      </w:r>
    </w:p>
  </w:endnote>
  <w:endnote w:type="continuationNotice" w:id="1">
    <w:p w14:paraId="4538364A" w14:textId="77777777" w:rsidR="00C562BD" w:rsidRDefault="00C56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Borders>
        <w:top w:val="single" w:sz="4" w:space="0" w:color="auto"/>
      </w:tblBorders>
      <w:tblLayout w:type="fixed"/>
      <w:tblCellMar>
        <w:left w:w="0" w:type="dxa"/>
        <w:right w:w="0" w:type="dxa"/>
      </w:tblCellMar>
      <w:tblLook w:val="0000" w:firstRow="0" w:lastRow="0" w:firstColumn="0" w:lastColumn="0" w:noHBand="0" w:noVBand="0"/>
    </w:tblPr>
    <w:tblGrid>
      <w:gridCol w:w="485"/>
      <w:gridCol w:w="7767"/>
      <w:gridCol w:w="510"/>
    </w:tblGrid>
    <w:tr w:rsidR="00C562BD" w14:paraId="603D5A1A" w14:textId="77777777" w:rsidTr="005D711F">
      <w:trPr>
        <w:trHeight w:hRule="exact" w:val="567"/>
      </w:trPr>
      <w:tc>
        <w:tcPr>
          <w:tcW w:w="485" w:type="dxa"/>
        </w:tcPr>
        <w:p w14:paraId="7DAD4431" w14:textId="77777777" w:rsidR="00C562BD" w:rsidRPr="00A24443" w:rsidRDefault="00C562B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95E6E">
            <w:rPr>
              <w:rStyle w:val="PageNumber"/>
              <w:caps w:val="0"/>
              <w:noProof/>
            </w:rPr>
            <w:t>6</w:t>
          </w:r>
          <w:r w:rsidRPr="00A24443">
            <w:rPr>
              <w:rStyle w:val="PageNumber"/>
              <w:caps w:val="0"/>
            </w:rPr>
            <w:fldChar w:fldCharType="end"/>
          </w:r>
        </w:p>
      </w:tc>
      <w:tc>
        <w:tcPr>
          <w:tcW w:w="7767" w:type="dxa"/>
        </w:tcPr>
        <w:p w14:paraId="054AE313" w14:textId="77777777" w:rsidR="00E653E5" w:rsidRDefault="00907E08" w:rsidP="0013739A">
          <w:pPr>
            <w:pStyle w:val="Footer"/>
            <w:rPr>
              <w:rFonts w:cs="Arial"/>
            </w:rPr>
          </w:pPr>
          <w:r>
            <w:rPr>
              <w:rFonts w:cs="Arial"/>
            </w:rPr>
            <w:t>I</w:t>
          </w:r>
          <w:r w:rsidR="00E653E5">
            <w:rPr>
              <w:rFonts w:cs="Arial"/>
            </w:rPr>
            <w:t xml:space="preserve">ndigenous Evaluation Strategy </w:t>
          </w:r>
        </w:p>
        <w:p w14:paraId="7B1E099A" w14:textId="1298A6FD" w:rsidR="00C562BD" w:rsidRPr="0013739A" w:rsidRDefault="00907E08" w:rsidP="00E653E5">
          <w:pPr>
            <w:pStyle w:val="FooterDraftReport"/>
          </w:pPr>
          <w:r>
            <w:t>Draft Background Paper</w:t>
          </w:r>
          <w:bookmarkStart w:id="5" w:name="DraftReportEven"/>
          <w:bookmarkEnd w:id="5"/>
        </w:p>
      </w:tc>
      <w:tc>
        <w:tcPr>
          <w:tcW w:w="510" w:type="dxa"/>
        </w:tcPr>
        <w:p w14:paraId="4A635840" w14:textId="77777777" w:rsidR="00C562BD" w:rsidRDefault="00C562BD" w:rsidP="0019293B">
          <w:pPr>
            <w:pStyle w:val="Footer"/>
          </w:pPr>
        </w:p>
      </w:tc>
    </w:tr>
  </w:tbl>
  <w:p w14:paraId="2CB682E5" w14:textId="24F5F4FE" w:rsidR="00C562BD" w:rsidRDefault="00C562BD" w:rsidP="005D711F">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562BD" w14:paraId="3BF1DC9A" w14:textId="77777777" w:rsidTr="005F48ED">
      <w:trPr>
        <w:trHeight w:hRule="exact" w:val="567"/>
      </w:trPr>
      <w:tc>
        <w:tcPr>
          <w:tcW w:w="510" w:type="dxa"/>
        </w:tcPr>
        <w:p w14:paraId="4FD0987F" w14:textId="77777777" w:rsidR="00C562BD" w:rsidRDefault="00C562BD">
          <w:pPr>
            <w:pStyle w:val="Footer"/>
            <w:ind w:right="360" w:firstLine="360"/>
          </w:pPr>
        </w:p>
      </w:tc>
      <w:tc>
        <w:tcPr>
          <w:tcW w:w="7767" w:type="dxa"/>
        </w:tcPr>
        <w:p w14:paraId="1D55ED91" w14:textId="77777777" w:rsidR="00C562BD" w:rsidRDefault="00907E08" w:rsidP="0013739A">
          <w:pPr>
            <w:pStyle w:val="Footer"/>
            <w:jc w:val="right"/>
            <w:rPr>
              <w:rFonts w:cs="Arial"/>
            </w:rPr>
          </w:pPr>
          <w:r>
            <w:rPr>
              <w:rFonts w:cs="Arial"/>
            </w:rPr>
            <w:t>International approaches to evaluation</w:t>
          </w:r>
          <w:bookmarkStart w:id="6" w:name="DraftReportOdd"/>
          <w:bookmarkEnd w:id="6"/>
        </w:p>
        <w:p w14:paraId="107719AE" w14:textId="3AE7B221" w:rsidR="00E653E5" w:rsidRPr="00BA5B14" w:rsidRDefault="00E653E5" w:rsidP="00E653E5">
          <w:pPr>
            <w:pStyle w:val="FooterDraftReport"/>
            <w:jc w:val="right"/>
          </w:pPr>
          <w:r>
            <w:t>Draft background paper</w:t>
          </w:r>
        </w:p>
      </w:tc>
      <w:tc>
        <w:tcPr>
          <w:tcW w:w="510" w:type="dxa"/>
        </w:tcPr>
        <w:p w14:paraId="4420DE02" w14:textId="77777777" w:rsidR="00C562BD" w:rsidRPr="00A24443" w:rsidRDefault="00C562B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95E6E">
            <w:rPr>
              <w:rStyle w:val="PageNumber"/>
              <w:caps w:val="0"/>
              <w:noProof/>
            </w:rPr>
            <w:t>5</w:t>
          </w:r>
          <w:r w:rsidRPr="00A24443">
            <w:rPr>
              <w:rStyle w:val="PageNumber"/>
              <w:caps w:val="0"/>
            </w:rPr>
            <w:fldChar w:fldCharType="end"/>
          </w:r>
        </w:p>
      </w:tc>
    </w:tr>
  </w:tbl>
  <w:p w14:paraId="48A8CCAC" w14:textId="77777777" w:rsidR="00C562BD" w:rsidRDefault="00C562B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54416" w14:textId="77777777" w:rsidR="00620B17" w:rsidRDefault="00620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D799" w14:textId="77777777" w:rsidR="00C562BD" w:rsidRDefault="00C562BD">
      <w:r>
        <w:separator/>
      </w:r>
    </w:p>
  </w:footnote>
  <w:footnote w:type="continuationSeparator" w:id="0">
    <w:p w14:paraId="3FDD50E5" w14:textId="77777777" w:rsidR="00C562BD" w:rsidRDefault="00C562BD">
      <w:r>
        <w:continuationSeparator/>
      </w:r>
    </w:p>
  </w:footnote>
  <w:footnote w:type="continuationNotice" w:id="1">
    <w:p w14:paraId="3332E16B" w14:textId="77777777" w:rsidR="00C562BD" w:rsidRDefault="00C562BD"/>
  </w:footnote>
  <w:footnote w:id="2">
    <w:p w14:paraId="5BE010D2" w14:textId="1C1D9050" w:rsidR="00C562BD" w:rsidRPr="00E653E5" w:rsidRDefault="00C562BD">
      <w:pPr>
        <w:pStyle w:val="FootnoteText"/>
        <w:rPr>
          <w:spacing w:val="2"/>
          <w:u w:val="single"/>
        </w:rPr>
      </w:pPr>
      <w:r w:rsidRPr="00E653E5">
        <w:rPr>
          <w:rStyle w:val="FootnoteReference"/>
          <w:spacing w:val="2"/>
        </w:rPr>
        <w:footnoteRef/>
      </w:r>
      <w:r w:rsidRPr="00E653E5">
        <w:rPr>
          <w:spacing w:val="2"/>
        </w:rPr>
        <w:tab/>
        <w:t xml:space="preserve">This appendix draws on a forthcoming cross-country study undertaken by the OECD entitled </w:t>
      </w:r>
      <w:r w:rsidRPr="00E653E5">
        <w:rPr>
          <w:i/>
          <w:spacing w:val="2"/>
        </w:rPr>
        <w:t>Institutionalisation, Quality and Use of Evaluation: Governance: Lessons From Countries Experience</w:t>
      </w:r>
      <w:r w:rsidRPr="00E653E5">
        <w:rPr>
          <w:spacing w:val="2"/>
        </w:rPr>
        <w:t xml:space="preserve"> </w:t>
      </w:r>
      <w:r w:rsidRPr="00E653E5">
        <w:rPr>
          <w:spacing w:val="2"/>
          <w:szCs w:val="24"/>
        </w:rPr>
        <w:t>(OECD 2020a)</w:t>
      </w:r>
      <w:r w:rsidRPr="00E653E5">
        <w:rPr>
          <w:spacing w:val="2"/>
        </w:rPr>
        <w:t>.</w:t>
      </w:r>
    </w:p>
  </w:footnote>
  <w:footnote w:id="3">
    <w:p w14:paraId="05DBBFF2" w14:textId="64C25055" w:rsidR="00C562BD" w:rsidRPr="00E653E5" w:rsidRDefault="00C562BD">
      <w:pPr>
        <w:pStyle w:val="FootnoteText"/>
        <w:rPr>
          <w:spacing w:val="2"/>
        </w:rPr>
      </w:pPr>
      <w:r w:rsidRPr="00E653E5">
        <w:rPr>
          <w:rStyle w:val="FootnoteReference"/>
          <w:spacing w:val="2"/>
        </w:rPr>
        <w:footnoteRef/>
      </w:r>
      <w:r w:rsidRPr="00E653E5">
        <w:rPr>
          <w:spacing w:val="2"/>
        </w:rPr>
        <w:tab/>
        <w:t xml:space="preserve">The requirement that ongoing programs be reviewed is also set out in s. 42.1 of the </w:t>
      </w:r>
      <w:r w:rsidRPr="00E653E5">
        <w:rPr>
          <w:i/>
          <w:spacing w:val="2"/>
        </w:rPr>
        <w:t xml:space="preserve">Financial Administration Act 1985 </w:t>
      </w:r>
      <w:r w:rsidRPr="00E653E5">
        <w:rPr>
          <w:spacing w:val="2"/>
        </w:rPr>
        <w:t>(Canada).</w:t>
      </w:r>
    </w:p>
  </w:footnote>
  <w:footnote w:id="4">
    <w:p w14:paraId="07A9A1C3" w14:textId="5600A74A" w:rsidR="00C562BD" w:rsidRPr="00E653E5" w:rsidRDefault="00C562BD">
      <w:pPr>
        <w:pStyle w:val="FootnoteText"/>
        <w:rPr>
          <w:spacing w:val="2"/>
        </w:rPr>
      </w:pPr>
      <w:r w:rsidRPr="00E653E5">
        <w:rPr>
          <w:rStyle w:val="FootnoteReference"/>
          <w:spacing w:val="2"/>
        </w:rPr>
        <w:footnoteRef/>
      </w:r>
      <w:r w:rsidRPr="00E653E5">
        <w:rPr>
          <w:spacing w:val="2"/>
        </w:rPr>
        <w:tab/>
        <w:t xml:space="preserve">The Treasury Board Secretariat is a central government agency. It provides advice to the Treasury Board (a committee of Cabinet Ministers) on ‘how the government spends money on programs and services, how it regulates and how it is managed.’ </w:t>
      </w:r>
      <w:r w:rsidRPr="00E653E5">
        <w:rPr>
          <w:spacing w:val="2"/>
          <w:szCs w:val="24"/>
        </w:rPr>
        <w:t>(Government of Canada 2020e; TBS 2018)</w:t>
      </w:r>
      <w:r w:rsidRPr="00E653E5">
        <w:rPr>
          <w:spacing w:val="2"/>
        </w:rPr>
        <w:t>.</w:t>
      </w:r>
    </w:p>
  </w:footnote>
  <w:footnote w:id="5">
    <w:p w14:paraId="77DEBE0C" w14:textId="18190676" w:rsidR="00C562BD" w:rsidRPr="00E653E5" w:rsidRDefault="00C562BD">
      <w:pPr>
        <w:pStyle w:val="FootnoteText"/>
        <w:rPr>
          <w:spacing w:val="2"/>
        </w:rPr>
      </w:pPr>
      <w:r w:rsidRPr="00E653E5">
        <w:rPr>
          <w:rStyle w:val="FootnoteReference"/>
          <w:spacing w:val="2"/>
        </w:rPr>
        <w:footnoteRef/>
      </w:r>
      <w:r w:rsidRPr="00E653E5">
        <w:rPr>
          <w:spacing w:val="2"/>
        </w:rPr>
        <w:tab/>
        <w:t xml:space="preserve">These requirements are outlined in s. 312 of the </w:t>
      </w:r>
      <w:r w:rsidRPr="00E653E5">
        <w:rPr>
          <w:i/>
          <w:spacing w:val="2"/>
        </w:rPr>
        <w:t>Foundations for Evidence-Based Policymaking Act 2018</w:t>
      </w:r>
      <w:r w:rsidRPr="00E653E5">
        <w:rPr>
          <w:spacing w:val="2"/>
        </w:rPr>
        <w:t xml:space="preserve"> (US).</w:t>
      </w:r>
    </w:p>
  </w:footnote>
  <w:footnote w:id="6">
    <w:p w14:paraId="36353D83" w14:textId="1B7E4744" w:rsidR="00C562BD" w:rsidRPr="00E653E5" w:rsidRDefault="00C562BD">
      <w:pPr>
        <w:pStyle w:val="FootnoteText"/>
        <w:rPr>
          <w:spacing w:val="2"/>
        </w:rPr>
      </w:pPr>
      <w:r w:rsidRPr="00E653E5">
        <w:rPr>
          <w:rStyle w:val="FootnoteReference"/>
          <w:spacing w:val="2"/>
        </w:rPr>
        <w:footnoteRef/>
      </w:r>
      <w:r w:rsidRPr="00E653E5">
        <w:rPr>
          <w:spacing w:val="2"/>
        </w:rPr>
        <w:tab/>
        <w:t>s. 312 (b).</w:t>
      </w:r>
    </w:p>
  </w:footnote>
  <w:footnote w:id="7">
    <w:p w14:paraId="57C555A8" w14:textId="633FBB5A" w:rsidR="00C562BD" w:rsidRPr="00E653E5" w:rsidRDefault="00C562BD">
      <w:pPr>
        <w:pStyle w:val="FootnoteText"/>
        <w:rPr>
          <w:spacing w:val="2"/>
        </w:rPr>
      </w:pPr>
      <w:r w:rsidRPr="00E653E5">
        <w:rPr>
          <w:rStyle w:val="FootnoteReference"/>
          <w:spacing w:val="2"/>
        </w:rPr>
        <w:footnoteRef/>
      </w:r>
      <w:r w:rsidRPr="00E653E5">
        <w:rPr>
          <w:spacing w:val="2"/>
        </w:rPr>
        <w:tab/>
        <w:t>s. 313.</w:t>
      </w:r>
    </w:p>
  </w:footnote>
  <w:footnote w:id="8">
    <w:p w14:paraId="444B01A9" w14:textId="77777777" w:rsidR="00C562BD" w:rsidRPr="00E653E5" w:rsidRDefault="00C562BD" w:rsidP="00722655">
      <w:pPr>
        <w:pStyle w:val="FootnoteText"/>
        <w:rPr>
          <w:spacing w:val="2"/>
        </w:rPr>
      </w:pPr>
      <w:r w:rsidRPr="00E653E5">
        <w:rPr>
          <w:rStyle w:val="FootnoteReference"/>
          <w:spacing w:val="2"/>
        </w:rPr>
        <w:footnoteRef/>
      </w:r>
      <w:r w:rsidRPr="00E653E5">
        <w:rPr>
          <w:spacing w:val="2"/>
        </w:rPr>
        <w:tab/>
        <w:t>s. 315 (e)(1).</w:t>
      </w:r>
    </w:p>
  </w:footnote>
  <w:footnote w:id="9">
    <w:p w14:paraId="78FBC4AD" w14:textId="2303BEDE" w:rsidR="00C562BD" w:rsidRPr="00E653E5" w:rsidRDefault="00C562BD">
      <w:pPr>
        <w:pStyle w:val="FootnoteText"/>
        <w:rPr>
          <w:spacing w:val="2"/>
        </w:rPr>
      </w:pPr>
      <w:r w:rsidRPr="00E653E5">
        <w:rPr>
          <w:rStyle w:val="FootnoteReference"/>
          <w:spacing w:val="2"/>
        </w:rPr>
        <w:footnoteRef/>
      </w:r>
      <w:r w:rsidRPr="00E653E5">
        <w:rPr>
          <w:spacing w:val="2"/>
        </w:rPr>
        <w:tab/>
        <w:t xml:space="preserve">The Government Social Research profession is one of 28 recognised professions in the UK Civil Service, with one of the purposes of the profession to ‘support the development, implementation, review and evaluation of policy and delivery.’ Members of the profession come from a range of backgrounds, including psychology, social policy, geography, and social statistics </w:t>
      </w:r>
      <w:r w:rsidRPr="00E653E5">
        <w:rPr>
          <w:spacing w:val="2"/>
          <w:szCs w:val="24"/>
        </w:rPr>
        <w:t>(GSR </w:t>
      </w:r>
      <w:proofErr w:type="spellStart"/>
      <w:r w:rsidRPr="00E653E5">
        <w:rPr>
          <w:spacing w:val="2"/>
          <w:szCs w:val="24"/>
        </w:rPr>
        <w:t>nd</w:t>
      </w:r>
      <w:proofErr w:type="spellEnd"/>
      <w:r w:rsidRPr="00E653E5">
        <w:rPr>
          <w:spacing w:val="2"/>
          <w:szCs w:val="24"/>
        </w:rPr>
        <w:t>)</w:t>
      </w:r>
      <w:r w:rsidRPr="00E653E5">
        <w:rPr>
          <w:spacing w:val="2"/>
        </w:rPr>
        <w:t>.</w:t>
      </w:r>
    </w:p>
  </w:footnote>
  <w:footnote w:id="10">
    <w:p w14:paraId="55ADFB01" w14:textId="4215ECCB" w:rsidR="00C562BD" w:rsidRPr="00E653E5" w:rsidRDefault="00C562BD">
      <w:pPr>
        <w:pStyle w:val="FootnoteText"/>
        <w:rPr>
          <w:spacing w:val="2"/>
        </w:rPr>
      </w:pPr>
      <w:r w:rsidRPr="00E653E5">
        <w:rPr>
          <w:rStyle w:val="FootnoteReference"/>
          <w:spacing w:val="2"/>
        </w:rPr>
        <w:footnoteRef/>
      </w:r>
      <w:r w:rsidRPr="00E653E5">
        <w:rPr>
          <w:spacing w:val="2"/>
        </w:rPr>
        <w:tab/>
        <w:t>s. 315.</w:t>
      </w:r>
    </w:p>
  </w:footnote>
  <w:footnote w:id="11">
    <w:p w14:paraId="6E1E2797" w14:textId="77777777" w:rsidR="00C562BD" w:rsidRPr="00E653E5" w:rsidRDefault="00C562BD" w:rsidP="00DF01FD">
      <w:pPr>
        <w:pStyle w:val="FootnoteText"/>
        <w:rPr>
          <w:spacing w:val="2"/>
        </w:rPr>
      </w:pPr>
      <w:r w:rsidRPr="00E653E5">
        <w:rPr>
          <w:rStyle w:val="FootnoteReference"/>
          <w:spacing w:val="2"/>
        </w:rPr>
        <w:footnoteRef/>
      </w:r>
      <w:r w:rsidRPr="00E653E5">
        <w:rPr>
          <w:spacing w:val="2"/>
        </w:rPr>
        <w:tab/>
        <w:t xml:space="preserve">These policy areas are: health and social care; educational achievement; crime reduction; early intervention; local economic growth; improved quality of life for older people; wellbeing; homelessness; children’s social care; youth offending; youth employment; and higher education. </w:t>
      </w:r>
    </w:p>
  </w:footnote>
  <w:footnote w:id="12">
    <w:p w14:paraId="17C9E2EC" w14:textId="34CCE979" w:rsidR="00C562BD" w:rsidRPr="00E653E5" w:rsidRDefault="00C562BD">
      <w:pPr>
        <w:pStyle w:val="FootnoteText"/>
        <w:rPr>
          <w:spacing w:val="2"/>
        </w:rPr>
      </w:pPr>
      <w:r w:rsidRPr="00E653E5">
        <w:rPr>
          <w:rStyle w:val="FootnoteReference"/>
          <w:spacing w:val="2"/>
        </w:rPr>
        <w:footnoteRef/>
      </w:r>
      <w:r w:rsidRPr="00E653E5">
        <w:rPr>
          <w:spacing w:val="2"/>
        </w:rPr>
        <w:tab/>
        <w:t xml:space="preserve">This requirement is spelled out as part of the Standard on Evaluation (section C.2.2.6.9) of the Directive on Results </w:t>
      </w:r>
      <w:r w:rsidRPr="00E653E5">
        <w:rPr>
          <w:spacing w:val="2"/>
          <w:szCs w:val="24"/>
        </w:rPr>
        <w:t>(Government of Canada 2016a)</w:t>
      </w:r>
      <w:r w:rsidRPr="00E653E5">
        <w:rPr>
          <w:spacing w:val="2"/>
        </w:rPr>
        <w:t xml:space="preserve">. </w:t>
      </w:r>
    </w:p>
  </w:footnote>
  <w:footnote w:id="13">
    <w:p w14:paraId="20B26882" w14:textId="6842CDD3" w:rsidR="00C562BD" w:rsidRPr="00E653E5" w:rsidRDefault="00C562BD">
      <w:pPr>
        <w:pStyle w:val="FootnoteText"/>
        <w:rPr>
          <w:spacing w:val="2"/>
        </w:rPr>
      </w:pPr>
      <w:r w:rsidRPr="00E653E5">
        <w:rPr>
          <w:rStyle w:val="FootnoteReference"/>
          <w:spacing w:val="2"/>
        </w:rPr>
        <w:footnoteRef/>
      </w:r>
      <w:r w:rsidRPr="00E653E5">
        <w:rPr>
          <w:spacing w:val="2"/>
        </w:rPr>
        <w:tab/>
        <w:t xml:space="preserve">These participants included: the </w:t>
      </w:r>
      <w:proofErr w:type="spellStart"/>
      <w:r w:rsidRPr="00E653E5">
        <w:rPr>
          <w:spacing w:val="2"/>
        </w:rPr>
        <w:t>Lowitja</w:t>
      </w:r>
      <w:proofErr w:type="spellEnd"/>
      <w:r w:rsidRPr="00E653E5">
        <w:rPr>
          <w:spacing w:val="2"/>
        </w:rPr>
        <w:t xml:space="preserve"> Institute (sub. 50); the National Aboriginal Community Controlled Health Organisation (NACCHO, sub. 95); and the Queensland Indigenous Family Violence Legal Service (QIFVLS, sub. 25).</w:t>
      </w:r>
    </w:p>
  </w:footnote>
  <w:footnote w:id="14">
    <w:p w14:paraId="07613295" w14:textId="12587675" w:rsidR="00C562BD" w:rsidRPr="00E653E5" w:rsidRDefault="00C562BD">
      <w:pPr>
        <w:pStyle w:val="FootnoteText"/>
        <w:rPr>
          <w:spacing w:val="2"/>
        </w:rPr>
      </w:pPr>
      <w:r w:rsidRPr="00E653E5">
        <w:rPr>
          <w:rStyle w:val="FootnoteReference"/>
          <w:spacing w:val="2"/>
        </w:rPr>
        <w:footnoteRef/>
      </w:r>
      <w:r w:rsidRPr="00E653E5">
        <w:rPr>
          <w:spacing w:val="2"/>
        </w:rPr>
        <w:tab/>
        <w:t xml:space="preserve">The term ‘Aboriginal Canadians’ has sometimes been used to refer to the indigenous peoples of Canada </w:t>
      </w:r>
      <w:r w:rsidRPr="00E653E5">
        <w:rPr>
          <w:spacing w:val="2"/>
          <w:szCs w:val="24"/>
        </w:rPr>
        <w:t>(Anaya 2014)</w:t>
      </w:r>
      <w:r w:rsidRPr="00E653E5">
        <w:rPr>
          <w:spacing w:val="2"/>
        </w:rPr>
        <w:t xml:space="preserve">. In Library and Archives Canada’s </w:t>
      </w:r>
      <w:r w:rsidRPr="00E653E5">
        <w:rPr>
          <w:i/>
          <w:spacing w:val="2"/>
        </w:rPr>
        <w:t>Terminology Guide: Research on Aboriginal Heritage</w:t>
      </w:r>
      <w:r w:rsidRPr="00E653E5">
        <w:rPr>
          <w:spacing w:val="2"/>
        </w:rPr>
        <w:t xml:space="preserve">, Aboriginal Peoples is defined as ‘a collective name for the original peoples of North America and their descendants.’ </w:t>
      </w:r>
      <w:r w:rsidRPr="00E653E5">
        <w:rPr>
          <w:spacing w:val="2"/>
          <w:szCs w:val="24"/>
        </w:rPr>
        <w:t>(Library and Archives Canada 2012, p. 6)</w:t>
      </w:r>
      <w:r w:rsidRPr="00E653E5">
        <w:rPr>
          <w:spacing w:val="2"/>
        </w:rPr>
        <w:t>. The studies cited have used the term ‘Aboriginal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C562BD" w14:paraId="4A6D034F" w14:textId="77777777">
      <w:tc>
        <w:tcPr>
          <w:tcW w:w="2155" w:type="dxa"/>
          <w:tcBorders>
            <w:top w:val="single" w:sz="24" w:space="0" w:color="auto"/>
          </w:tcBorders>
        </w:tcPr>
        <w:p w14:paraId="6AADAE5F" w14:textId="77777777" w:rsidR="00C562BD" w:rsidRDefault="00C562BD" w:rsidP="0019293B">
          <w:pPr>
            <w:pStyle w:val="HeaderEven"/>
          </w:pPr>
        </w:p>
      </w:tc>
      <w:tc>
        <w:tcPr>
          <w:tcW w:w="6634" w:type="dxa"/>
          <w:tcBorders>
            <w:top w:val="single" w:sz="6" w:space="0" w:color="auto"/>
          </w:tcBorders>
        </w:tcPr>
        <w:p w14:paraId="240762FB" w14:textId="77777777" w:rsidR="00C562BD" w:rsidRDefault="00C562BD" w:rsidP="0019293B">
          <w:pPr>
            <w:pStyle w:val="HeaderEven"/>
          </w:pPr>
        </w:p>
      </w:tc>
    </w:tr>
  </w:tbl>
  <w:p w14:paraId="5324DC84" w14:textId="77777777" w:rsidR="00C562BD" w:rsidRDefault="00C562BD"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562BD" w14:paraId="33CF4BAF" w14:textId="77777777">
      <w:tc>
        <w:tcPr>
          <w:tcW w:w="6634" w:type="dxa"/>
          <w:tcBorders>
            <w:top w:val="single" w:sz="6" w:space="0" w:color="auto"/>
          </w:tcBorders>
        </w:tcPr>
        <w:p w14:paraId="73FFEB9C" w14:textId="77777777" w:rsidR="00C562BD" w:rsidRDefault="00C562BD" w:rsidP="00E669E2">
          <w:pPr>
            <w:pStyle w:val="HeaderOdd"/>
          </w:pPr>
        </w:p>
      </w:tc>
      <w:tc>
        <w:tcPr>
          <w:tcW w:w="2155" w:type="dxa"/>
          <w:tcBorders>
            <w:top w:val="single" w:sz="24" w:space="0" w:color="auto"/>
          </w:tcBorders>
        </w:tcPr>
        <w:p w14:paraId="3BFEAA12" w14:textId="77777777" w:rsidR="00C562BD" w:rsidRDefault="00C562BD" w:rsidP="00E669E2">
          <w:pPr>
            <w:pStyle w:val="HeaderOdd"/>
          </w:pPr>
        </w:p>
      </w:tc>
    </w:tr>
  </w:tbl>
  <w:p w14:paraId="32973591" w14:textId="64DAAE31" w:rsidR="00C562BD" w:rsidRDefault="00C562BD" w:rsidP="001D7CD9">
    <w:pPr>
      <w:pStyle w:val="HeaderEnd"/>
      <w:tabs>
        <w:tab w:val="clear" w:pos="4394"/>
        <w:tab w:val="clear" w:pos="8789"/>
        <w:tab w:val="left" w:pos="660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F227C" w14:textId="77777777" w:rsidR="00620B17" w:rsidRDefault="00620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D"/>
    <w:docVar w:name="FindingOptions" w:val="1"/>
    <w:docVar w:name="RecOptions" w:val="111"/>
    <w:docVar w:name="ShortChapterTitle" w:val="International approaches to evaluation"/>
    <w:docVar w:name="ShortReportTitle" w:val="Indigenous Evaluation Strategy - Draft Background Paper"/>
  </w:docVars>
  <w:rsids>
    <w:rsidRoot w:val="00D83268"/>
    <w:rsid w:val="0000241B"/>
    <w:rsid w:val="00002CDA"/>
    <w:rsid w:val="00004074"/>
    <w:rsid w:val="000061F9"/>
    <w:rsid w:val="00006957"/>
    <w:rsid w:val="00010D24"/>
    <w:rsid w:val="0001135D"/>
    <w:rsid w:val="00016FC8"/>
    <w:rsid w:val="00017BE2"/>
    <w:rsid w:val="0002094F"/>
    <w:rsid w:val="00020B99"/>
    <w:rsid w:val="000227D5"/>
    <w:rsid w:val="00023D2C"/>
    <w:rsid w:val="00024256"/>
    <w:rsid w:val="000245AA"/>
    <w:rsid w:val="000260C9"/>
    <w:rsid w:val="0002636B"/>
    <w:rsid w:val="000266F2"/>
    <w:rsid w:val="000267F6"/>
    <w:rsid w:val="00032908"/>
    <w:rsid w:val="00035ADB"/>
    <w:rsid w:val="00035D84"/>
    <w:rsid w:val="0003620B"/>
    <w:rsid w:val="0003664B"/>
    <w:rsid w:val="00037604"/>
    <w:rsid w:val="00037A8E"/>
    <w:rsid w:val="0004111F"/>
    <w:rsid w:val="00041C3C"/>
    <w:rsid w:val="0004475E"/>
    <w:rsid w:val="000461D5"/>
    <w:rsid w:val="00046964"/>
    <w:rsid w:val="00047E6C"/>
    <w:rsid w:val="0005418E"/>
    <w:rsid w:val="00055077"/>
    <w:rsid w:val="00055496"/>
    <w:rsid w:val="00055645"/>
    <w:rsid w:val="000565B3"/>
    <w:rsid w:val="00060EDE"/>
    <w:rsid w:val="00061D5A"/>
    <w:rsid w:val="00062F12"/>
    <w:rsid w:val="00064B74"/>
    <w:rsid w:val="000658F1"/>
    <w:rsid w:val="00065A84"/>
    <w:rsid w:val="00066248"/>
    <w:rsid w:val="0007028E"/>
    <w:rsid w:val="00070647"/>
    <w:rsid w:val="00070882"/>
    <w:rsid w:val="0007150B"/>
    <w:rsid w:val="0007287F"/>
    <w:rsid w:val="00072A87"/>
    <w:rsid w:val="0008145E"/>
    <w:rsid w:val="000826B7"/>
    <w:rsid w:val="00082A5E"/>
    <w:rsid w:val="000837D9"/>
    <w:rsid w:val="000839AD"/>
    <w:rsid w:val="0008504B"/>
    <w:rsid w:val="00085B6D"/>
    <w:rsid w:val="00091DB9"/>
    <w:rsid w:val="00091FE7"/>
    <w:rsid w:val="00093835"/>
    <w:rsid w:val="000938F5"/>
    <w:rsid w:val="00093902"/>
    <w:rsid w:val="00093FC7"/>
    <w:rsid w:val="00095663"/>
    <w:rsid w:val="00095EDD"/>
    <w:rsid w:val="00096E55"/>
    <w:rsid w:val="0009783E"/>
    <w:rsid w:val="00097A66"/>
    <w:rsid w:val="000A31E7"/>
    <w:rsid w:val="000A369B"/>
    <w:rsid w:val="000A39B7"/>
    <w:rsid w:val="000A49AE"/>
    <w:rsid w:val="000A4DE5"/>
    <w:rsid w:val="000A7DFC"/>
    <w:rsid w:val="000B1022"/>
    <w:rsid w:val="000B520B"/>
    <w:rsid w:val="000B5928"/>
    <w:rsid w:val="000B601B"/>
    <w:rsid w:val="000B7488"/>
    <w:rsid w:val="000C1F3C"/>
    <w:rsid w:val="000C207E"/>
    <w:rsid w:val="000C4E6C"/>
    <w:rsid w:val="000C7438"/>
    <w:rsid w:val="000C7C3F"/>
    <w:rsid w:val="000D042D"/>
    <w:rsid w:val="000D1557"/>
    <w:rsid w:val="000D2149"/>
    <w:rsid w:val="000D2AB5"/>
    <w:rsid w:val="000D41E9"/>
    <w:rsid w:val="000D50EC"/>
    <w:rsid w:val="000D59D5"/>
    <w:rsid w:val="000E06DB"/>
    <w:rsid w:val="000E13FB"/>
    <w:rsid w:val="000E5492"/>
    <w:rsid w:val="000E5D54"/>
    <w:rsid w:val="000E6D5E"/>
    <w:rsid w:val="000F0035"/>
    <w:rsid w:val="000F04E7"/>
    <w:rsid w:val="000F060A"/>
    <w:rsid w:val="000F2842"/>
    <w:rsid w:val="000F310B"/>
    <w:rsid w:val="000F3894"/>
    <w:rsid w:val="000F420B"/>
    <w:rsid w:val="000F539C"/>
    <w:rsid w:val="000F7A53"/>
    <w:rsid w:val="00101579"/>
    <w:rsid w:val="00103148"/>
    <w:rsid w:val="00103F72"/>
    <w:rsid w:val="00104BF0"/>
    <w:rsid w:val="00110116"/>
    <w:rsid w:val="00112597"/>
    <w:rsid w:val="0011525A"/>
    <w:rsid w:val="00117DD0"/>
    <w:rsid w:val="00120072"/>
    <w:rsid w:val="00120164"/>
    <w:rsid w:val="001216AD"/>
    <w:rsid w:val="001228FA"/>
    <w:rsid w:val="00123151"/>
    <w:rsid w:val="001241F5"/>
    <w:rsid w:val="00124828"/>
    <w:rsid w:val="001254ED"/>
    <w:rsid w:val="00126EB8"/>
    <w:rsid w:val="001274D4"/>
    <w:rsid w:val="001321CC"/>
    <w:rsid w:val="001327C4"/>
    <w:rsid w:val="001330F1"/>
    <w:rsid w:val="00133D7C"/>
    <w:rsid w:val="001363AA"/>
    <w:rsid w:val="001363B4"/>
    <w:rsid w:val="0013739A"/>
    <w:rsid w:val="001378CE"/>
    <w:rsid w:val="001414F7"/>
    <w:rsid w:val="00142165"/>
    <w:rsid w:val="00142956"/>
    <w:rsid w:val="00145E3A"/>
    <w:rsid w:val="00147045"/>
    <w:rsid w:val="001479B4"/>
    <w:rsid w:val="00147B61"/>
    <w:rsid w:val="00147ED5"/>
    <w:rsid w:val="00150869"/>
    <w:rsid w:val="001529F7"/>
    <w:rsid w:val="0015335D"/>
    <w:rsid w:val="0015406C"/>
    <w:rsid w:val="00154223"/>
    <w:rsid w:val="00154AA1"/>
    <w:rsid w:val="00157A85"/>
    <w:rsid w:val="00157DB4"/>
    <w:rsid w:val="00160501"/>
    <w:rsid w:val="00160A94"/>
    <w:rsid w:val="00160CA5"/>
    <w:rsid w:val="00161123"/>
    <w:rsid w:val="00161884"/>
    <w:rsid w:val="00161A39"/>
    <w:rsid w:val="00161AA6"/>
    <w:rsid w:val="00162434"/>
    <w:rsid w:val="00163C5A"/>
    <w:rsid w:val="00164D93"/>
    <w:rsid w:val="0016548F"/>
    <w:rsid w:val="001657C8"/>
    <w:rsid w:val="00166E04"/>
    <w:rsid w:val="00167E26"/>
    <w:rsid w:val="00173A4E"/>
    <w:rsid w:val="001767B1"/>
    <w:rsid w:val="001775BD"/>
    <w:rsid w:val="00177CCE"/>
    <w:rsid w:val="001804F4"/>
    <w:rsid w:val="00180F62"/>
    <w:rsid w:val="0018234F"/>
    <w:rsid w:val="00182549"/>
    <w:rsid w:val="00182E1B"/>
    <w:rsid w:val="00183E82"/>
    <w:rsid w:val="0018400A"/>
    <w:rsid w:val="00184D40"/>
    <w:rsid w:val="001852CB"/>
    <w:rsid w:val="00186DDC"/>
    <w:rsid w:val="001878BB"/>
    <w:rsid w:val="00187EE1"/>
    <w:rsid w:val="00191AE0"/>
    <w:rsid w:val="0019293B"/>
    <w:rsid w:val="0019426B"/>
    <w:rsid w:val="00196E58"/>
    <w:rsid w:val="001A350F"/>
    <w:rsid w:val="001A4255"/>
    <w:rsid w:val="001A4A41"/>
    <w:rsid w:val="001A54B3"/>
    <w:rsid w:val="001A6A4B"/>
    <w:rsid w:val="001B03AF"/>
    <w:rsid w:val="001B1E51"/>
    <w:rsid w:val="001B2273"/>
    <w:rsid w:val="001B2906"/>
    <w:rsid w:val="001B6883"/>
    <w:rsid w:val="001B6EF8"/>
    <w:rsid w:val="001C0865"/>
    <w:rsid w:val="001C0AED"/>
    <w:rsid w:val="001C3ABA"/>
    <w:rsid w:val="001C4033"/>
    <w:rsid w:val="001C46DA"/>
    <w:rsid w:val="001C5111"/>
    <w:rsid w:val="001C7BE7"/>
    <w:rsid w:val="001D4589"/>
    <w:rsid w:val="001D7166"/>
    <w:rsid w:val="001D7CD9"/>
    <w:rsid w:val="001E0F53"/>
    <w:rsid w:val="001E17AB"/>
    <w:rsid w:val="001E23B1"/>
    <w:rsid w:val="001E6385"/>
    <w:rsid w:val="001E6C06"/>
    <w:rsid w:val="001E6C92"/>
    <w:rsid w:val="001E7BE8"/>
    <w:rsid w:val="001E7D0D"/>
    <w:rsid w:val="001F0248"/>
    <w:rsid w:val="001F3E34"/>
    <w:rsid w:val="001F3EB3"/>
    <w:rsid w:val="001F4F86"/>
    <w:rsid w:val="001F6A16"/>
    <w:rsid w:val="001F722B"/>
    <w:rsid w:val="0020019C"/>
    <w:rsid w:val="002011E7"/>
    <w:rsid w:val="002015B8"/>
    <w:rsid w:val="00202C2C"/>
    <w:rsid w:val="00203050"/>
    <w:rsid w:val="00204ADF"/>
    <w:rsid w:val="00205153"/>
    <w:rsid w:val="0020530D"/>
    <w:rsid w:val="002107B1"/>
    <w:rsid w:val="0021289D"/>
    <w:rsid w:val="002135AB"/>
    <w:rsid w:val="00213694"/>
    <w:rsid w:val="002144BE"/>
    <w:rsid w:val="00214714"/>
    <w:rsid w:val="00214BC8"/>
    <w:rsid w:val="00214E07"/>
    <w:rsid w:val="00217127"/>
    <w:rsid w:val="00221AC9"/>
    <w:rsid w:val="00221BF1"/>
    <w:rsid w:val="002243F6"/>
    <w:rsid w:val="0022541B"/>
    <w:rsid w:val="002304D3"/>
    <w:rsid w:val="002320B8"/>
    <w:rsid w:val="0023241A"/>
    <w:rsid w:val="00233D05"/>
    <w:rsid w:val="00236ED1"/>
    <w:rsid w:val="00240B51"/>
    <w:rsid w:val="00241F21"/>
    <w:rsid w:val="002421FF"/>
    <w:rsid w:val="00242279"/>
    <w:rsid w:val="002425ED"/>
    <w:rsid w:val="00243997"/>
    <w:rsid w:val="0024516C"/>
    <w:rsid w:val="00245B3A"/>
    <w:rsid w:val="00245C82"/>
    <w:rsid w:val="002469E1"/>
    <w:rsid w:val="00246D5D"/>
    <w:rsid w:val="0024727B"/>
    <w:rsid w:val="002476E1"/>
    <w:rsid w:val="0025024F"/>
    <w:rsid w:val="0025341D"/>
    <w:rsid w:val="00255104"/>
    <w:rsid w:val="0025589F"/>
    <w:rsid w:val="0025599A"/>
    <w:rsid w:val="00256793"/>
    <w:rsid w:val="002579CE"/>
    <w:rsid w:val="00257A10"/>
    <w:rsid w:val="00260357"/>
    <w:rsid w:val="002605AF"/>
    <w:rsid w:val="002609A3"/>
    <w:rsid w:val="00262A5A"/>
    <w:rsid w:val="00265B9D"/>
    <w:rsid w:val="002666B4"/>
    <w:rsid w:val="00271EEB"/>
    <w:rsid w:val="00271FDE"/>
    <w:rsid w:val="002724BA"/>
    <w:rsid w:val="00273FDE"/>
    <w:rsid w:val="00274018"/>
    <w:rsid w:val="00274F7A"/>
    <w:rsid w:val="002776C0"/>
    <w:rsid w:val="00280972"/>
    <w:rsid w:val="00282E1D"/>
    <w:rsid w:val="00285108"/>
    <w:rsid w:val="0028585F"/>
    <w:rsid w:val="00291B40"/>
    <w:rsid w:val="002925C2"/>
    <w:rsid w:val="00294371"/>
    <w:rsid w:val="00294661"/>
    <w:rsid w:val="002947BF"/>
    <w:rsid w:val="002955AF"/>
    <w:rsid w:val="00297D16"/>
    <w:rsid w:val="002A17D6"/>
    <w:rsid w:val="002A2154"/>
    <w:rsid w:val="002A2911"/>
    <w:rsid w:val="002A2AC4"/>
    <w:rsid w:val="002A46E8"/>
    <w:rsid w:val="002A781D"/>
    <w:rsid w:val="002B3545"/>
    <w:rsid w:val="002B4008"/>
    <w:rsid w:val="002B4046"/>
    <w:rsid w:val="002B7122"/>
    <w:rsid w:val="002B71C4"/>
    <w:rsid w:val="002C13D2"/>
    <w:rsid w:val="002C4349"/>
    <w:rsid w:val="002C439F"/>
    <w:rsid w:val="002C53EE"/>
    <w:rsid w:val="002C5A8C"/>
    <w:rsid w:val="002C6BBC"/>
    <w:rsid w:val="002D0C42"/>
    <w:rsid w:val="002D0C88"/>
    <w:rsid w:val="002D0E8E"/>
    <w:rsid w:val="002D25F9"/>
    <w:rsid w:val="002D2964"/>
    <w:rsid w:val="002D2982"/>
    <w:rsid w:val="002E019F"/>
    <w:rsid w:val="002E0B60"/>
    <w:rsid w:val="002E16E9"/>
    <w:rsid w:val="002E18A3"/>
    <w:rsid w:val="002E1F54"/>
    <w:rsid w:val="002E4CC0"/>
    <w:rsid w:val="002E595C"/>
    <w:rsid w:val="002E7C36"/>
    <w:rsid w:val="002F024A"/>
    <w:rsid w:val="002F0A2F"/>
    <w:rsid w:val="002F3F06"/>
    <w:rsid w:val="002F48F1"/>
    <w:rsid w:val="002F540A"/>
    <w:rsid w:val="002F5A96"/>
    <w:rsid w:val="00301189"/>
    <w:rsid w:val="00301E4A"/>
    <w:rsid w:val="00303301"/>
    <w:rsid w:val="003033D8"/>
    <w:rsid w:val="00303577"/>
    <w:rsid w:val="003056DE"/>
    <w:rsid w:val="0030592B"/>
    <w:rsid w:val="00306BAC"/>
    <w:rsid w:val="0031038E"/>
    <w:rsid w:val="0031106B"/>
    <w:rsid w:val="003140BC"/>
    <w:rsid w:val="00314A86"/>
    <w:rsid w:val="003168B8"/>
    <w:rsid w:val="00317207"/>
    <w:rsid w:val="00317AE7"/>
    <w:rsid w:val="00317D53"/>
    <w:rsid w:val="00322D64"/>
    <w:rsid w:val="00323E09"/>
    <w:rsid w:val="00324D9B"/>
    <w:rsid w:val="0032531E"/>
    <w:rsid w:val="0032634B"/>
    <w:rsid w:val="00333932"/>
    <w:rsid w:val="00333E61"/>
    <w:rsid w:val="003352C6"/>
    <w:rsid w:val="003358CC"/>
    <w:rsid w:val="00340314"/>
    <w:rsid w:val="0034530B"/>
    <w:rsid w:val="00350380"/>
    <w:rsid w:val="00350CC0"/>
    <w:rsid w:val="0035151F"/>
    <w:rsid w:val="003518AA"/>
    <w:rsid w:val="00352165"/>
    <w:rsid w:val="00353182"/>
    <w:rsid w:val="003565D9"/>
    <w:rsid w:val="0035713B"/>
    <w:rsid w:val="003602E1"/>
    <w:rsid w:val="0036184D"/>
    <w:rsid w:val="00361F36"/>
    <w:rsid w:val="00365EAE"/>
    <w:rsid w:val="0037026F"/>
    <w:rsid w:val="0037037F"/>
    <w:rsid w:val="0037118C"/>
    <w:rsid w:val="00371240"/>
    <w:rsid w:val="00374731"/>
    <w:rsid w:val="00376E59"/>
    <w:rsid w:val="00377494"/>
    <w:rsid w:val="00377EC1"/>
    <w:rsid w:val="00380340"/>
    <w:rsid w:val="00380A9A"/>
    <w:rsid w:val="00380C5E"/>
    <w:rsid w:val="00380C84"/>
    <w:rsid w:val="0038175D"/>
    <w:rsid w:val="00382AE4"/>
    <w:rsid w:val="00383B81"/>
    <w:rsid w:val="00383EB6"/>
    <w:rsid w:val="00386DCF"/>
    <w:rsid w:val="003871EC"/>
    <w:rsid w:val="003919F9"/>
    <w:rsid w:val="00391E54"/>
    <w:rsid w:val="003920CF"/>
    <w:rsid w:val="00393C27"/>
    <w:rsid w:val="00394CC0"/>
    <w:rsid w:val="00397454"/>
    <w:rsid w:val="0039778D"/>
    <w:rsid w:val="003A246C"/>
    <w:rsid w:val="003A3B23"/>
    <w:rsid w:val="003B09DD"/>
    <w:rsid w:val="003B23C2"/>
    <w:rsid w:val="003B653B"/>
    <w:rsid w:val="003B6D9A"/>
    <w:rsid w:val="003C0E2A"/>
    <w:rsid w:val="003C1378"/>
    <w:rsid w:val="003C18BE"/>
    <w:rsid w:val="003C1E44"/>
    <w:rsid w:val="003C1F30"/>
    <w:rsid w:val="003C38B5"/>
    <w:rsid w:val="003C3A72"/>
    <w:rsid w:val="003C5D99"/>
    <w:rsid w:val="003C5E4E"/>
    <w:rsid w:val="003C6B76"/>
    <w:rsid w:val="003D1087"/>
    <w:rsid w:val="003D1355"/>
    <w:rsid w:val="003D16AB"/>
    <w:rsid w:val="003D218E"/>
    <w:rsid w:val="003D3339"/>
    <w:rsid w:val="003D33F1"/>
    <w:rsid w:val="003D39A5"/>
    <w:rsid w:val="003D4300"/>
    <w:rsid w:val="003D5D89"/>
    <w:rsid w:val="003D5EE8"/>
    <w:rsid w:val="003D6E25"/>
    <w:rsid w:val="003D6E2C"/>
    <w:rsid w:val="003D7243"/>
    <w:rsid w:val="003D7D1E"/>
    <w:rsid w:val="003E1021"/>
    <w:rsid w:val="003E2D92"/>
    <w:rsid w:val="003E2F59"/>
    <w:rsid w:val="003E41BD"/>
    <w:rsid w:val="003E5D03"/>
    <w:rsid w:val="003E622B"/>
    <w:rsid w:val="003E655C"/>
    <w:rsid w:val="003E746B"/>
    <w:rsid w:val="003F0789"/>
    <w:rsid w:val="003F3EC0"/>
    <w:rsid w:val="003F71D6"/>
    <w:rsid w:val="003F7831"/>
    <w:rsid w:val="00401882"/>
    <w:rsid w:val="00402974"/>
    <w:rsid w:val="00405347"/>
    <w:rsid w:val="004100C8"/>
    <w:rsid w:val="004109C2"/>
    <w:rsid w:val="00411DBD"/>
    <w:rsid w:val="00412ACE"/>
    <w:rsid w:val="00413678"/>
    <w:rsid w:val="004140CD"/>
    <w:rsid w:val="004145D2"/>
    <w:rsid w:val="004170E9"/>
    <w:rsid w:val="0041749E"/>
    <w:rsid w:val="00417C01"/>
    <w:rsid w:val="004202FF"/>
    <w:rsid w:val="00421AD3"/>
    <w:rsid w:val="00422093"/>
    <w:rsid w:val="00425128"/>
    <w:rsid w:val="00426CB4"/>
    <w:rsid w:val="00431249"/>
    <w:rsid w:val="00434C19"/>
    <w:rsid w:val="004364BD"/>
    <w:rsid w:val="00437547"/>
    <w:rsid w:val="00440A2B"/>
    <w:rsid w:val="004412B3"/>
    <w:rsid w:val="004432A5"/>
    <w:rsid w:val="0044380D"/>
    <w:rsid w:val="00443A1C"/>
    <w:rsid w:val="00450810"/>
    <w:rsid w:val="00450E1E"/>
    <w:rsid w:val="004529AE"/>
    <w:rsid w:val="00453070"/>
    <w:rsid w:val="00453AD0"/>
    <w:rsid w:val="00453DCF"/>
    <w:rsid w:val="004545AF"/>
    <w:rsid w:val="00455687"/>
    <w:rsid w:val="00460F20"/>
    <w:rsid w:val="00462C59"/>
    <w:rsid w:val="00470737"/>
    <w:rsid w:val="0047086F"/>
    <w:rsid w:val="00471542"/>
    <w:rsid w:val="004719AF"/>
    <w:rsid w:val="00472A1A"/>
    <w:rsid w:val="0047525B"/>
    <w:rsid w:val="00477144"/>
    <w:rsid w:val="00482DD1"/>
    <w:rsid w:val="00490562"/>
    <w:rsid w:val="00491380"/>
    <w:rsid w:val="00492DE6"/>
    <w:rsid w:val="0049459F"/>
    <w:rsid w:val="004A0B39"/>
    <w:rsid w:val="004A164F"/>
    <w:rsid w:val="004A21B8"/>
    <w:rsid w:val="004A2B4C"/>
    <w:rsid w:val="004A38DD"/>
    <w:rsid w:val="004A3EB8"/>
    <w:rsid w:val="004A408E"/>
    <w:rsid w:val="004A6C78"/>
    <w:rsid w:val="004A74D7"/>
    <w:rsid w:val="004B0D11"/>
    <w:rsid w:val="004B1589"/>
    <w:rsid w:val="004B160B"/>
    <w:rsid w:val="004B3273"/>
    <w:rsid w:val="004B40E8"/>
    <w:rsid w:val="004B43AE"/>
    <w:rsid w:val="004B563B"/>
    <w:rsid w:val="004B5ACE"/>
    <w:rsid w:val="004B7B25"/>
    <w:rsid w:val="004C0EDC"/>
    <w:rsid w:val="004C2299"/>
    <w:rsid w:val="004C30ED"/>
    <w:rsid w:val="004C31F9"/>
    <w:rsid w:val="004C3BB3"/>
    <w:rsid w:val="004C3EE9"/>
    <w:rsid w:val="004C5B69"/>
    <w:rsid w:val="004C6F4B"/>
    <w:rsid w:val="004C7DDA"/>
    <w:rsid w:val="004D18C6"/>
    <w:rsid w:val="004D35C7"/>
    <w:rsid w:val="004D3878"/>
    <w:rsid w:val="004D4A1D"/>
    <w:rsid w:val="004D5675"/>
    <w:rsid w:val="004D653E"/>
    <w:rsid w:val="004D693A"/>
    <w:rsid w:val="004E0DAE"/>
    <w:rsid w:val="004E1518"/>
    <w:rsid w:val="004E2C2B"/>
    <w:rsid w:val="004E54EA"/>
    <w:rsid w:val="004E7C2D"/>
    <w:rsid w:val="004F0757"/>
    <w:rsid w:val="004F4EC9"/>
    <w:rsid w:val="004F4F6E"/>
    <w:rsid w:val="004F7B8F"/>
    <w:rsid w:val="005110FD"/>
    <w:rsid w:val="00511697"/>
    <w:rsid w:val="005129F0"/>
    <w:rsid w:val="0051306E"/>
    <w:rsid w:val="00517795"/>
    <w:rsid w:val="00523639"/>
    <w:rsid w:val="00523D81"/>
    <w:rsid w:val="00526388"/>
    <w:rsid w:val="00526D04"/>
    <w:rsid w:val="00527574"/>
    <w:rsid w:val="00527665"/>
    <w:rsid w:val="00531FE5"/>
    <w:rsid w:val="00533AA4"/>
    <w:rsid w:val="0053417C"/>
    <w:rsid w:val="00535F3F"/>
    <w:rsid w:val="005371A8"/>
    <w:rsid w:val="00537308"/>
    <w:rsid w:val="00537376"/>
    <w:rsid w:val="00537EDD"/>
    <w:rsid w:val="005402FA"/>
    <w:rsid w:val="00541E1A"/>
    <w:rsid w:val="00542F96"/>
    <w:rsid w:val="00552586"/>
    <w:rsid w:val="00553703"/>
    <w:rsid w:val="0055753A"/>
    <w:rsid w:val="0055764A"/>
    <w:rsid w:val="0056280E"/>
    <w:rsid w:val="00563B18"/>
    <w:rsid w:val="0056461E"/>
    <w:rsid w:val="00565AC1"/>
    <w:rsid w:val="00565B46"/>
    <w:rsid w:val="00565FC0"/>
    <w:rsid w:val="00570352"/>
    <w:rsid w:val="00572492"/>
    <w:rsid w:val="0057269C"/>
    <w:rsid w:val="005729BD"/>
    <w:rsid w:val="00573437"/>
    <w:rsid w:val="00573BE3"/>
    <w:rsid w:val="005741C6"/>
    <w:rsid w:val="00580154"/>
    <w:rsid w:val="00583BD0"/>
    <w:rsid w:val="00583C39"/>
    <w:rsid w:val="00584E53"/>
    <w:rsid w:val="00586A90"/>
    <w:rsid w:val="005875F5"/>
    <w:rsid w:val="00587F28"/>
    <w:rsid w:val="0059025A"/>
    <w:rsid w:val="005909CF"/>
    <w:rsid w:val="00591E71"/>
    <w:rsid w:val="005976FA"/>
    <w:rsid w:val="005A0D41"/>
    <w:rsid w:val="005A2949"/>
    <w:rsid w:val="005A2E8B"/>
    <w:rsid w:val="005A351D"/>
    <w:rsid w:val="005A41E0"/>
    <w:rsid w:val="005A4A75"/>
    <w:rsid w:val="005A5F09"/>
    <w:rsid w:val="005A718C"/>
    <w:rsid w:val="005A79C6"/>
    <w:rsid w:val="005B0858"/>
    <w:rsid w:val="005B11E3"/>
    <w:rsid w:val="005B1C92"/>
    <w:rsid w:val="005B6E62"/>
    <w:rsid w:val="005C0BD8"/>
    <w:rsid w:val="005C1735"/>
    <w:rsid w:val="005C17F5"/>
    <w:rsid w:val="005C1814"/>
    <w:rsid w:val="005C2A0C"/>
    <w:rsid w:val="005C3B1C"/>
    <w:rsid w:val="005C66CA"/>
    <w:rsid w:val="005C7AC1"/>
    <w:rsid w:val="005D0620"/>
    <w:rsid w:val="005D3055"/>
    <w:rsid w:val="005D329F"/>
    <w:rsid w:val="005D57E8"/>
    <w:rsid w:val="005D711F"/>
    <w:rsid w:val="005D7B37"/>
    <w:rsid w:val="005E101B"/>
    <w:rsid w:val="005E23C0"/>
    <w:rsid w:val="005E3956"/>
    <w:rsid w:val="005E3E2C"/>
    <w:rsid w:val="005F083B"/>
    <w:rsid w:val="005F38C8"/>
    <w:rsid w:val="005F3ED8"/>
    <w:rsid w:val="005F4259"/>
    <w:rsid w:val="005F48ED"/>
    <w:rsid w:val="005F4CC1"/>
    <w:rsid w:val="005F5A35"/>
    <w:rsid w:val="005F7049"/>
    <w:rsid w:val="005F79AE"/>
    <w:rsid w:val="0060263F"/>
    <w:rsid w:val="00602D5D"/>
    <w:rsid w:val="006033A7"/>
    <w:rsid w:val="00605D4D"/>
    <w:rsid w:val="00606A49"/>
    <w:rsid w:val="00606E78"/>
    <w:rsid w:val="00607BF1"/>
    <w:rsid w:val="006123D7"/>
    <w:rsid w:val="006149E1"/>
    <w:rsid w:val="0061784E"/>
    <w:rsid w:val="00620B17"/>
    <w:rsid w:val="00621409"/>
    <w:rsid w:val="00621503"/>
    <w:rsid w:val="006215A9"/>
    <w:rsid w:val="00621B28"/>
    <w:rsid w:val="00621C34"/>
    <w:rsid w:val="0062554F"/>
    <w:rsid w:val="00626C0F"/>
    <w:rsid w:val="00627258"/>
    <w:rsid w:val="00627E16"/>
    <w:rsid w:val="006303C8"/>
    <w:rsid w:val="00630D4D"/>
    <w:rsid w:val="00631A4E"/>
    <w:rsid w:val="00632A74"/>
    <w:rsid w:val="0063718C"/>
    <w:rsid w:val="006402BC"/>
    <w:rsid w:val="0064185F"/>
    <w:rsid w:val="00641A2B"/>
    <w:rsid w:val="00643A4A"/>
    <w:rsid w:val="00644F3C"/>
    <w:rsid w:val="006474D1"/>
    <w:rsid w:val="00647DE4"/>
    <w:rsid w:val="00650F2B"/>
    <w:rsid w:val="006511D6"/>
    <w:rsid w:val="00651BC3"/>
    <w:rsid w:val="00654D42"/>
    <w:rsid w:val="0065610D"/>
    <w:rsid w:val="006571BB"/>
    <w:rsid w:val="0065790B"/>
    <w:rsid w:val="00661DFE"/>
    <w:rsid w:val="006648D0"/>
    <w:rsid w:val="00666E02"/>
    <w:rsid w:val="006673E9"/>
    <w:rsid w:val="006804F2"/>
    <w:rsid w:val="00680BCD"/>
    <w:rsid w:val="0068140B"/>
    <w:rsid w:val="0068312F"/>
    <w:rsid w:val="00684625"/>
    <w:rsid w:val="006869A8"/>
    <w:rsid w:val="00686B72"/>
    <w:rsid w:val="00687683"/>
    <w:rsid w:val="006902F2"/>
    <w:rsid w:val="0069042A"/>
    <w:rsid w:val="00690D12"/>
    <w:rsid w:val="00691CFA"/>
    <w:rsid w:val="00695E6E"/>
    <w:rsid w:val="006A4655"/>
    <w:rsid w:val="006A7758"/>
    <w:rsid w:val="006B0B40"/>
    <w:rsid w:val="006B239A"/>
    <w:rsid w:val="006B2B3C"/>
    <w:rsid w:val="006B7404"/>
    <w:rsid w:val="006B75F9"/>
    <w:rsid w:val="006C02C4"/>
    <w:rsid w:val="006C1B9A"/>
    <w:rsid w:val="006C1D81"/>
    <w:rsid w:val="006C2979"/>
    <w:rsid w:val="006C2ADB"/>
    <w:rsid w:val="006C4BF1"/>
    <w:rsid w:val="006C6194"/>
    <w:rsid w:val="006C7038"/>
    <w:rsid w:val="006D0648"/>
    <w:rsid w:val="006D4EA3"/>
    <w:rsid w:val="006D529E"/>
    <w:rsid w:val="006D5A71"/>
    <w:rsid w:val="006E02E2"/>
    <w:rsid w:val="006E0305"/>
    <w:rsid w:val="006E1AC5"/>
    <w:rsid w:val="006E73EF"/>
    <w:rsid w:val="006F02FC"/>
    <w:rsid w:val="006F1DE3"/>
    <w:rsid w:val="006F3533"/>
    <w:rsid w:val="006F3E3F"/>
    <w:rsid w:val="006F3F65"/>
    <w:rsid w:val="006F4B93"/>
    <w:rsid w:val="006F4BF5"/>
    <w:rsid w:val="006F4C55"/>
    <w:rsid w:val="006F531F"/>
    <w:rsid w:val="006F5D9C"/>
    <w:rsid w:val="007015EA"/>
    <w:rsid w:val="00703777"/>
    <w:rsid w:val="00704A0E"/>
    <w:rsid w:val="00705057"/>
    <w:rsid w:val="0070553F"/>
    <w:rsid w:val="00706E6A"/>
    <w:rsid w:val="007071AB"/>
    <w:rsid w:val="007079C9"/>
    <w:rsid w:val="00711A5B"/>
    <w:rsid w:val="00714D4D"/>
    <w:rsid w:val="007211A5"/>
    <w:rsid w:val="00722655"/>
    <w:rsid w:val="00723C9A"/>
    <w:rsid w:val="00724FA0"/>
    <w:rsid w:val="00725088"/>
    <w:rsid w:val="007252A5"/>
    <w:rsid w:val="007254E7"/>
    <w:rsid w:val="007266D3"/>
    <w:rsid w:val="00727E03"/>
    <w:rsid w:val="0073070E"/>
    <w:rsid w:val="007309A1"/>
    <w:rsid w:val="00732029"/>
    <w:rsid w:val="00733017"/>
    <w:rsid w:val="00733B66"/>
    <w:rsid w:val="0073421D"/>
    <w:rsid w:val="00736115"/>
    <w:rsid w:val="00736418"/>
    <w:rsid w:val="007366AC"/>
    <w:rsid w:val="007402FA"/>
    <w:rsid w:val="00743BA6"/>
    <w:rsid w:val="00744261"/>
    <w:rsid w:val="00745FD8"/>
    <w:rsid w:val="00747452"/>
    <w:rsid w:val="00747DDF"/>
    <w:rsid w:val="007511F0"/>
    <w:rsid w:val="0075233B"/>
    <w:rsid w:val="00752411"/>
    <w:rsid w:val="007559BD"/>
    <w:rsid w:val="007604BB"/>
    <w:rsid w:val="00764F60"/>
    <w:rsid w:val="00766CEF"/>
    <w:rsid w:val="007721EF"/>
    <w:rsid w:val="00772909"/>
    <w:rsid w:val="007734AA"/>
    <w:rsid w:val="007801F8"/>
    <w:rsid w:val="00783C99"/>
    <w:rsid w:val="00784051"/>
    <w:rsid w:val="007845ED"/>
    <w:rsid w:val="00784DFB"/>
    <w:rsid w:val="00785232"/>
    <w:rsid w:val="0078682C"/>
    <w:rsid w:val="00787214"/>
    <w:rsid w:val="00787CCA"/>
    <w:rsid w:val="00792F0D"/>
    <w:rsid w:val="0079404F"/>
    <w:rsid w:val="00795A45"/>
    <w:rsid w:val="00796A32"/>
    <w:rsid w:val="0079701E"/>
    <w:rsid w:val="0079737C"/>
    <w:rsid w:val="007A07C6"/>
    <w:rsid w:val="007A0859"/>
    <w:rsid w:val="007A21EB"/>
    <w:rsid w:val="007A5431"/>
    <w:rsid w:val="007A66C7"/>
    <w:rsid w:val="007B019F"/>
    <w:rsid w:val="007B0AAC"/>
    <w:rsid w:val="007B165C"/>
    <w:rsid w:val="007B1A93"/>
    <w:rsid w:val="007B1C7D"/>
    <w:rsid w:val="007B4817"/>
    <w:rsid w:val="007B6529"/>
    <w:rsid w:val="007B77F6"/>
    <w:rsid w:val="007C00D1"/>
    <w:rsid w:val="007C100C"/>
    <w:rsid w:val="007C158A"/>
    <w:rsid w:val="007C2E91"/>
    <w:rsid w:val="007C36C9"/>
    <w:rsid w:val="007C48C2"/>
    <w:rsid w:val="007C5169"/>
    <w:rsid w:val="007C7047"/>
    <w:rsid w:val="007D1541"/>
    <w:rsid w:val="007D2DDC"/>
    <w:rsid w:val="007D4556"/>
    <w:rsid w:val="007D6361"/>
    <w:rsid w:val="007D6401"/>
    <w:rsid w:val="007D7A42"/>
    <w:rsid w:val="007E01E4"/>
    <w:rsid w:val="007E0A3E"/>
    <w:rsid w:val="007E117B"/>
    <w:rsid w:val="007E2F9A"/>
    <w:rsid w:val="007E332C"/>
    <w:rsid w:val="007E4EAB"/>
    <w:rsid w:val="007E7A12"/>
    <w:rsid w:val="007F05A3"/>
    <w:rsid w:val="007F0F44"/>
    <w:rsid w:val="007F1D14"/>
    <w:rsid w:val="007F1E0F"/>
    <w:rsid w:val="007F48F7"/>
    <w:rsid w:val="007F5CD1"/>
    <w:rsid w:val="007F6570"/>
    <w:rsid w:val="007F6C2A"/>
    <w:rsid w:val="007F7107"/>
    <w:rsid w:val="007F78E7"/>
    <w:rsid w:val="007F7EC2"/>
    <w:rsid w:val="00800D4C"/>
    <w:rsid w:val="00801C36"/>
    <w:rsid w:val="00802097"/>
    <w:rsid w:val="008027AC"/>
    <w:rsid w:val="00803B7E"/>
    <w:rsid w:val="008041F0"/>
    <w:rsid w:val="00804BDB"/>
    <w:rsid w:val="00810137"/>
    <w:rsid w:val="0081030F"/>
    <w:rsid w:val="00812F4A"/>
    <w:rsid w:val="00815551"/>
    <w:rsid w:val="0082087D"/>
    <w:rsid w:val="00820D45"/>
    <w:rsid w:val="0082338A"/>
    <w:rsid w:val="00824E07"/>
    <w:rsid w:val="00825434"/>
    <w:rsid w:val="008272A6"/>
    <w:rsid w:val="00827C30"/>
    <w:rsid w:val="00830270"/>
    <w:rsid w:val="00831410"/>
    <w:rsid w:val="00834507"/>
    <w:rsid w:val="008347F0"/>
    <w:rsid w:val="00834B1E"/>
    <w:rsid w:val="00835033"/>
    <w:rsid w:val="00835771"/>
    <w:rsid w:val="00836212"/>
    <w:rsid w:val="008372FE"/>
    <w:rsid w:val="008419EB"/>
    <w:rsid w:val="00842933"/>
    <w:rsid w:val="00843021"/>
    <w:rsid w:val="00844863"/>
    <w:rsid w:val="00844F9B"/>
    <w:rsid w:val="0085118D"/>
    <w:rsid w:val="00851B32"/>
    <w:rsid w:val="00851ECB"/>
    <w:rsid w:val="00852161"/>
    <w:rsid w:val="00852817"/>
    <w:rsid w:val="00852AF9"/>
    <w:rsid w:val="00853074"/>
    <w:rsid w:val="008530E2"/>
    <w:rsid w:val="0086082C"/>
    <w:rsid w:val="0086394C"/>
    <w:rsid w:val="00864158"/>
    <w:rsid w:val="00864ADC"/>
    <w:rsid w:val="008721C6"/>
    <w:rsid w:val="0087595C"/>
    <w:rsid w:val="00875B4A"/>
    <w:rsid w:val="008769E8"/>
    <w:rsid w:val="00876EE7"/>
    <w:rsid w:val="00877008"/>
    <w:rsid w:val="00880153"/>
    <w:rsid w:val="00880338"/>
    <w:rsid w:val="00880F97"/>
    <w:rsid w:val="0088133A"/>
    <w:rsid w:val="00881E9B"/>
    <w:rsid w:val="00883583"/>
    <w:rsid w:val="0089285E"/>
    <w:rsid w:val="00892CDD"/>
    <w:rsid w:val="008937DA"/>
    <w:rsid w:val="00893A1A"/>
    <w:rsid w:val="008940AB"/>
    <w:rsid w:val="0089436C"/>
    <w:rsid w:val="00895A0B"/>
    <w:rsid w:val="00896C98"/>
    <w:rsid w:val="008A2F5F"/>
    <w:rsid w:val="008A33D7"/>
    <w:rsid w:val="008A4D86"/>
    <w:rsid w:val="008A57F3"/>
    <w:rsid w:val="008A6AD0"/>
    <w:rsid w:val="008A7355"/>
    <w:rsid w:val="008B01D9"/>
    <w:rsid w:val="008B04D1"/>
    <w:rsid w:val="008B2690"/>
    <w:rsid w:val="008B28D2"/>
    <w:rsid w:val="008B3391"/>
    <w:rsid w:val="008B5873"/>
    <w:rsid w:val="008B7ECC"/>
    <w:rsid w:val="008C07F7"/>
    <w:rsid w:val="008C26E4"/>
    <w:rsid w:val="008C360A"/>
    <w:rsid w:val="008C3C3E"/>
    <w:rsid w:val="008C4969"/>
    <w:rsid w:val="008C49C2"/>
    <w:rsid w:val="008C528B"/>
    <w:rsid w:val="008D0DCC"/>
    <w:rsid w:val="008D207E"/>
    <w:rsid w:val="008D2660"/>
    <w:rsid w:val="008D3221"/>
    <w:rsid w:val="008D365C"/>
    <w:rsid w:val="008D58C5"/>
    <w:rsid w:val="008D5C0C"/>
    <w:rsid w:val="008D5CAD"/>
    <w:rsid w:val="008D7622"/>
    <w:rsid w:val="008D7AC8"/>
    <w:rsid w:val="008D7CE6"/>
    <w:rsid w:val="008E4857"/>
    <w:rsid w:val="008F0441"/>
    <w:rsid w:val="008F061F"/>
    <w:rsid w:val="008F1634"/>
    <w:rsid w:val="008F7270"/>
    <w:rsid w:val="008F7E90"/>
    <w:rsid w:val="00901E84"/>
    <w:rsid w:val="009021A6"/>
    <w:rsid w:val="009030BF"/>
    <w:rsid w:val="00903B52"/>
    <w:rsid w:val="00903CE0"/>
    <w:rsid w:val="00903E5E"/>
    <w:rsid w:val="00907601"/>
    <w:rsid w:val="00907E08"/>
    <w:rsid w:val="0091032F"/>
    <w:rsid w:val="00910F0C"/>
    <w:rsid w:val="00914368"/>
    <w:rsid w:val="009147FC"/>
    <w:rsid w:val="009155FA"/>
    <w:rsid w:val="00920B8E"/>
    <w:rsid w:val="00927D98"/>
    <w:rsid w:val="009309C7"/>
    <w:rsid w:val="00931076"/>
    <w:rsid w:val="0093150B"/>
    <w:rsid w:val="00934111"/>
    <w:rsid w:val="009345D9"/>
    <w:rsid w:val="00934B15"/>
    <w:rsid w:val="00936E51"/>
    <w:rsid w:val="00940C87"/>
    <w:rsid w:val="00942B62"/>
    <w:rsid w:val="00942F84"/>
    <w:rsid w:val="00944DBE"/>
    <w:rsid w:val="009454ED"/>
    <w:rsid w:val="009507E8"/>
    <w:rsid w:val="00951FBD"/>
    <w:rsid w:val="0095323B"/>
    <w:rsid w:val="00956A0C"/>
    <w:rsid w:val="00956BD9"/>
    <w:rsid w:val="00960ABF"/>
    <w:rsid w:val="00962489"/>
    <w:rsid w:val="009627BB"/>
    <w:rsid w:val="00966906"/>
    <w:rsid w:val="00967CD3"/>
    <w:rsid w:val="00971334"/>
    <w:rsid w:val="00971B0F"/>
    <w:rsid w:val="009727FC"/>
    <w:rsid w:val="00973F17"/>
    <w:rsid w:val="00974822"/>
    <w:rsid w:val="00975479"/>
    <w:rsid w:val="00976E59"/>
    <w:rsid w:val="00985CD4"/>
    <w:rsid w:val="00985D0E"/>
    <w:rsid w:val="00985F6F"/>
    <w:rsid w:val="00986363"/>
    <w:rsid w:val="00987B16"/>
    <w:rsid w:val="00987FB1"/>
    <w:rsid w:val="00990C2C"/>
    <w:rsid w:val="009912B3"/>
    <w:rsid w:val="00992C4B"/>
    <w:rsid w:val="0099339D"/>
    <w:rsid w:val="00994891"/>
    <w:rsid w:val="009954A4"/>
    <w:rsid w:val="00995A2A"/>
    <w:rsid w:val="009966FF"/>
    <w:rsid w:val="009A19E8"/>
    <w:rsid w:val="009A23F9"/>
    <w:rsid w:val="009A3DAA"/>
    <w:rsid w:val="009A498E"/>
    <w:rsid w:val="009A5171"/>
    <w:rsid w:val="009A658B"/>
    <w:rsid w:val="009A7B76"/>
    <w:rsid w:val="009B17DA"/>
    <w:rsid w:val="009B4BB1"/>
    <w:rsid w:val="009B61D1"/>
    <w:rsid w:val="009C0D8A"/>
    <w:rsid w:val="009C27B1"/>
    <w:rsid w:val="009C43F5"/>
    <w:rsid w:val="009C4E98"/>
    <w:rsid w:val="009C7854"/>
    <w:rsid w:val="009C7DC7"/>
    <w:rsid w:val="009D08F3"/>
    <w:rsid w:val="009D0B5F"/>
    <w:rsid w:val="009D169B"/>
    <w:rsid w:val="009D2155"/>
    <w:rsid w:val="009D3B7E"/>
    <w:rsid w:val="009D59D7"/>
    <w:rsid w:val="009E0D8E"/>
    <w:rsid w:val="009E1844"/>
    <w:rsid w:val="009E2876"/>
    <w:rsid w:val="009E5973"/>
    <w:rsid w:val="009F0D1B"/>
    <w:rsid w:val="009F1130"/>
    <w:rsid w:val="009F53DD"/>
    <w:rsid w:val="009F5BBD"/>
    <w:rsid w:val="009F5F48"/>
    <w:rsid w:val="009F696D"/>
    <w:rsid w:val="009F6BC6"/>
    <w:rsid w:val="009F6EB8"/>
    <w:rsid w:val="009F74EF"/>
    <w:rsid w:val="009F78A5"/>
    <w:rsid w:val="00A02826"/>
    <w:rsid w:val="00A059ED"/>
    <w:rsid w:val="00A05A62"/>
    <w:rsid w:val="00A0762A"/>
    <w:rsid w:val="00A076F7"/>
    <w:rsid w:val="00A07C0C"/>
    <w:rsid w:val="00A11249"/>
    <w:rsid w:val="00A11C47"/>
    <w:rsid w:val="00A15B59"/>
    <w:rsid w:val="00A15D5A"/>
    <w:rsid w:val="00A17328"/>
    <w:rsid w:val="00A21A38"/>
    <w:rsid w:val="00A22120"/>
    <w:rsid w:val="00A231A7"/>
    <w:rsid w:val="00A23A20"/>
    <w:rsid w:val="00A24443"/>
    <w:rsid w:val="00A259F4"/>
    <w:rsid w:val="00A268B9"/>
    <w:rsid w:val="00A2703A"/>
    <w:rsid w:val="00A27204"/>
    <w:rsid w:val="00A27E2A"/>
    <w:rsid w:val="00A30060"/>
    <w:rsid w:val="00A318CD"/>
    <w:rsid w:val="00A31F1E"/>
    <w:rsid w:val="00A32F2D"/>
    <w:rsid w:val="00A33DFF"/>
    <w:rsid w:val="00A33F87"/>
    <w:rsid w:val="00A340D5"/>
    <w:rsid w:val="00A35115"/>
    <w:rsid w:val="00A3584E"/>
    <w:rsid w:val="00A35E62"/>
    <w:rsid w:val="00A36D9A"/>
    <w:rsid w:val="00A40D3C"/>
    <w:rsid w:val="00A40DCC"/>
    <w:rsid w:val="00A41149"/>
    <w:rsid w:val="00A42E45"/>
    <w:rsid w:val="00A44427"/>
    <w:rsid w:val="00A45163"/>
    <w:rsid w:val="00A451DC"/>
    <w:rsid w:val="00A45FB7"/>
    <w:rsid w:val="00A554AB"/>
    <w:rsid w:val="00A57062"/>
    <w:rsid w:val="00A60EC9"/>
    <w:rsid w:val="00A65721"/>
    <w:rsid w:val="00A67781"/>
    <w:rsid w:val="00A72661"/>
    <w:rsid w:val="00A761F9"/>
    <w:rsid w:val="00A814B3"/>
    <w:rsid w:val="00A833B8"/>
    <w:rsid w:val="00A84001"/>
    <w:rsid w:val="00A86322"/>
    <w:rsid w:val="00A873B0"/>
    <w:rsid w:val="00A87680"/>
    <w:rsid w:val="00A87951"/>
    <w:rsid w:val="00A90059"/>
    <w:rsid w:val="00A928D8"/>
    <w:rsid w:val="00A92B53"/>
    <w:rsid w:val="00A9342D"/>
    <w:rsid w:val="00A93601"/>
    <w:rsid w:val="00A94540"/>
    <w:rsid w:val="00A94BD4"/>
    <w:rsid w:val="00A94FA6"/>
    <w:rsid w:val="00AA0C88"/>
    <w:rsid w:val="00AA49A0"/>
    <w:rsid w:val="00AA5F77"/>
    <w:rsid w:val="00AA6710"/>
    <w:rsid w:val="00AB0681"/>
    <w:rsid w:val="00AB2200"/>
    <w:rsid w:val="00AB29DC"/>
    <w:rsid w:val="00AB3ECB"/>
    <w:rsid w:val="00AB7021"/>
    <w:rsid w:val="00AC00A7"/>
    <w:rsid w:val="00AC2DF3"/>
    <w:rsid w:val="00AC31B7"/>
    <w:rsid w:val="00AC3A15"/>
    <w:rsid w:val="00AC7594"/>
    <w:rsid w:val="00AD1E3F"/>
    <w:rsid w:val="00AD2DAD"/>
    <w:rsid w:val="00AD2FBF"/>
    <w:rsid w:val="00AD4539"/>
    <w:rsid w:val="00AD520B"/>
    <w:rsid w:val="00AD5CF2"/>
    <w:rsid w:val="00AD6DD1"/>
    <w:rsid w:val="00AD6FE3"/>
    <w:rsid w:val="00AD71C5"/>
    <w:rsid w:val="00AE38FC"/>
    <w:rsid w:val="00AE3BCC"/>
    <w:rsid w:val="00AE3C46"/>
    <w:rsid w:val="00AE3F2A"/>
    <w:rsid w:val="00AE4E45"/>
    <w:rsid w:val="00AF07A7"/>
    <w:rsid w:val="00AF2380"/>
    <w:rsid w:val="00AF713A"/>
    <w:rsid w:val="00B005F8"/>
    <w:rsid w:val="00B015B6"/>
    <w:rsid w:val="00B019C2"/>
    <w:rsid w:val="00B03554"/>
    <w:rsid w:val="00B059E1"/>
    <w:rsid w:val="00B0695C"/>
    <w:rsid w:val="00B14972"/>
    <w:rsid w:val="00B15F58"/>
    <w:rsid w:val="00B21ACE"/>
    <w:rsid w:val="00B23ADA"/>
    <w:rsid w:val="00B241DE"/>
    <w:rsid w:val="00B26F27"/>
    <w:rsid w:val="00B27B0D"/>
    <w:rsid w:val="00B30D19"/>
    <w:rsid w:val="00B3333D"/>
    <w:rsid w:val="00B335A6"/>
    <w:rsid w:val="00B40B54"/>
    <w:rsid w:val="00B40C74"/>
    <w:rsid w:val="00B41301"/>
    <w:rsid w:val="00B425C3"/>
    <w:rsid w:val="00B42A34"/>
    <w:rsid w:val="00B42B73"/>
    <w:rsid w:val="00B4373D"/>
    <w:rsid w:val="00B440AD"/>
    <w:rsid w:val="00B4523E"/>
    <w:rsid w:val="00B46311"/>
    <w:rsid w:val="00B464FC"/>
    <w:rsid w:val="00B475A2"/>
    <w:rsid w:val="00B479BB"/>
    <w:rsid w:val="00B51057"/>
    <w:rsid w:val="00B52E40"/>
    <w:rsid w:val="00B52EA7"/>
    <w:rsid w:val="00B533B1"/>
    <w:rsid w:val="00B53AB4"/>
    <w:rsid w:val="00B53E7E"/>
    <w:rsid w:val="00B55376"/>
    <w:rsid w:val="00B55E12"/>
    <w:rsid w:val="00B56220"/>
    <w:rsid w:val="00B600D9"/>
    <w:rsid w:val="00B6342E"/>
    <w:rsid w:val="00B64C8F"/>
    <w:rsid w:val="00B66E7B"/>
    <w:rsid w:val="00B67C06"/>
    <w:rsid w:val="00B67E6C"/>
    <w:rsid w:val="00B7113F"/>
    <w:rsid w:val="00B719B6"/>
    <w:rsid w:val="00B71DF7"/>
    <w:rsid w:val="00B73CD2"/>
    <w:rsid w:val="00B74114"/>
    <w:rsid w:val="00B747CE"/>
    <w:rsid w:val="00B75508"/>
    <w:rsid w:val="00B75FD8"/>
    <w:rsid w:val="00B7746C"/>
    <w:rsid w:val="00B77FF8"/>
    <w:rsid w:val="00B810A7"/>
    <w:rsid w:val="00B8228C"/>
    <w:rsid w:val="00B82407"/>
    <w:rsid w:val="00B831A3"/>
    <w:rsid w:val="00B83B29"/>
    <w:rsid w:val="00B841E1"/>
    <w:rsid w:val="00B84BAF"/>
    <w:rsid w:val="00B85689"/>
    <w:rsid w:val="00B878A7"/>
    <w:rsid w:val="00B935FD"/>
    <w:rsid w:val="00B950DE"/>
    <w:rsid w:val="00B97B60"/>
    <w:rsid w:val="00BA0B72"/>
    <w:rsid w:val="00BA0E4E"/>
    <w:rsid w:val="00BA15F1"/>
    <w:rsid w:val="00BA1A3F"/>
    <w:rsid w:val="00BA2BCF"/>
    <w:rsid w:val="00BA3E4B"/>
    <w:rsid w:val="00BA5B14"/>
    <w:rsid w:val="00BA65ED"/>
    <w:rsid w:val="00BA73B6"/>
    <w:rsid w:val="00BA7ACD"/>
    <w:rsid w:val="00BA7E27"/>
    <w:rsid w:val="00BB2181"/>
    <w:rsid w:val="00BB23BC"/>
    <w:rsid w:val="00BB2603"/>
    <w:rsid w:val="00BB4DFD"/>
    <w:rsid w:val="00BB4FCD"/>
    <w:rsid w:val="00BB5494"/>
    <w:rsid w:val="00BB6653"/>
    <w:rsid w:val="00BB76CE"/>
    <w:rsid w:val="00BC04E9"/>
    <w:rsid w:val="00BC2FF6"/>
    <w:rsid w:val="00BC5728"/>
    <w:rsid w:val="00BC72ED"/>
    <w:rsid w:val="00BD13EA"/>
    <w:rsid w:val="00BD193F"/>
    <w:rsid w:val="00BD1B4D"/>
    <w:rsid w:val="00BD2982"/>
    <w:rsid w:val="00BD342B"/>
    <w:rsid w:val="00BE24F6"/>
    <w:rsid w:val="00BE3808"/>
    <w:rsid w:val="00BE6D20"/>
    <w:rsid w:val="00BF0D31"/>
    <w:rsid w:val="00BF24E3"/>
    <w:rsid w:val="00BF5978"/>
    <w:rsid w:val="00C00625"/>
    <w:rsid w:val="00C00940"/>
    <w:rsid w:val="00C02809"/>
    <w:rsid w:val="00C038ED"/>
    <w:rsid w:val="00C039F2"/>
    <w:rsid w:val="00C03B88"/>
    <w:rsid w:val="00C040DB"/>
    <w:rsid w:val="00C0459E"/>
    <w:rsid w:val="00C062E9"/>
    <w:rsid w:val="00C069AA"/>
    <w:rsid w:val="00C07B64"/>
    <w:rsid w:val="00C07F4E"/>
    <w:rsid w:val="00C11886"/>
    <w:rsid w:val="00C13721"/>
    <w:rsid w:val="00C140C0"/>
    <w:rsid w:val="00C14FE4"/>
    <w:rsid w:val="00C16620"/>
    <w:rsid w:val="00C2027A"/>
    <w:rsid w:val="00C22403"/>
    <w:rsid w:val="00C232A7"/>
    <w:rsid w:val="00C24B55"/>
    <w:rsid w:val="00C26046"/>
    <w:rsid w:val="00C27967"/>
    <w:rsid w:val="00C3066D"/>
    <w:rsid w:val="00C320A1"/>
    <w:rsid w:val="00C321DF"/>
    <w:rsid w:val="00C40340"/>
    <w:rsid w:val="00C415C7"/>
    <w:rsid w:val="00C41796"/>
    <w:rsid w:val="00C41D61"/>
    <w:rsid w:val="00C44CBE"/>
    <w:rsid w:val="00C47958"/>
    <w:rsid w:val="00C47E9F"/>
    <w:rsid w:val="00C52416"/>
    <w:rsid w:val="00C53907"/>
    <w:rsid w:val="00C543F4"/>
    <w:rsid w:val="00C55CC9"/>
    <w:rsid w:val="00C56167"/>
    <w:rsid w:val="00C562BD"/>
    <w:rsid w:val="00C60DF3"/>
    <w:rsid w:val="00C61C36"/>
    <w:rsid w:val="00C6291C"/>
    <w:rsid w:val="00C63380"/>
    <w:rsid w:val="00C633CB"/>
    <w:rsid w:val="00C63D7F"/>
    <w:rsid w:val="00C661BD"/>
    <w:rsid w:val="00C6631F"/>
    <w:rsid w:val="00C664CD"/>
    <w:rsid w:val="00C71270"/>
    <w:rsid w:val="00C736B7"/>
    <w:rsid w:val="00C81CDB"/>
    <w:rsid w:val="00C81D4A"/>
    <w:rsid w:val="00C81FCF"/>
    <w:rsid w:val="00C8238D"/>
    <w:rsid w:val="00C83BA2"/>
    <w:rsid w:val="00C85090"/>
    <w:rsid w:val="00C85143"/>
    <w:rsid w:val="00C85B29"/>
    <w:rsid w:val="00C8762C"/>
    <w:rsid w:val="00C878A1"/>
    <w:rsid w:val="00C91D63"/>
    <w:rsid w:val="00C955B9"/>
    <w:rsid w:val="00C95D16"/>
    <w:rsid w:val="00C967E1"/>
    <w:rsid w:val="00CA00F9"/>
    <w:rsid w:val="00CA248F"/>
    <w:rsid w:val="00CA2961"/>
    <w:rsid w:val="00CA60E7"/>
    <w:rsid w:val="00CA7C09"/>
    <w:rsid w:val="00CB0520"/>
    <w:rsid w:val="00CB0950"/>
    <w:rsid w:val="00CB1E0D"/>
    <w:rsid w:val="00CB2A50"/>
    <w:rsid w:val="00CB42BA"/>
    <w:rsid w:val="00CB50D7"/>
    <w:rsid w:val="00CB5535"/>
    <w:rsid w:val="00CB6B9E"/>
    <w:rsid w:val="00CB6C35"/>
    <w:rsid w:val="00CB70E6"/>
    <w:rsid w:val="00CB7177"/>
    <w:rsid w:val="00CB78A1"/>
    <w:rsid w:val="00CB7CED"/>
    <w:rsid w:val="00CC070F"/>
    <w:rsid w:val="00CC1998"/>
    <w:rsid w:val="00CC1F2F"/>
    <w:rsid w:val="00CC2A22"/>
    <w:rsid w:val="00CC4946"/>
    <w:rsid w:val="00CC5039"/>
    <w:rsid w:val="00CC64A1"/>
    <w:rsid w:val="00CD09A9"/>
    <w:rsid w:val="00CD4582"/>
    <w:rsid w:val="00CD4944"/>
    <w:rsid w:val="00CD49A9"/>
    <w:rsid w:val="00CD5F76"/>
    <w:rsid w:val="00CD79A6"/>
    <w:rsid w:val="00CE264B"/>
    <w:rsid w:val="00CE340D"/>
    <w:rsid w:val="00CE394A"/>
    <w:rsid w:val="00CE4831"/>
    <w:rsid w:val="00CE5420"/>
    <w:rsid w:val="00CE5F10"/>
    <w:rsid w:val="00CE660B"/>
    <w:rsid w:val="00CE6F9C"/>
    <w:rsid w:val="00CE7C84"/>
    <w:rsid w:val="00CE7F49"/>
    <w:rsid w:val="00CF098D"/>
    <w:rsid w:val="00CF29EF"/>
    <w:rsid w:val="00CF3B11"/>
    <w:rsid w:val="00CF41B2"/>
    <w:rsid w:val="00CF47F6"/>
    <w:rsid w:val="00CF4AE4"/>
    <w:rsid w:val="00CF5D30"/>
    <w:rsid w:val="00CF7987"/>
    <w:rsid w:val="00D009AE"/>
    <w:rsid w:val="00D009DB"/>
    <w:rsid w:val="00D00CE3"/>
    <w:rsid w:val="00D028C8"/>
    <w:rsid w:val="00D03BBB"/>
    <w:rsid w:val="00D04A87"/>
    <w:rsid w:val="00D05535"/>
    <w:rsid w:val="00D05D80"/>
    <w:rsid w:val="00D073B2"/>
    <w:rsid w:val="00D13369"/>
    <w:rsid w:val="00D1451B"/>
    <w:rsid w:val="00D16724"/>
    <w:rsid w:val="00D16EE3"/>
    <w:rsid w:val="00D20623"/>
    <w:rsid w:val="00D210C3"/>
    <w:rsid w:val="00D2254F"/>
    <w:rsid w:val="00D229E0"/>
    <w:rsid w:val="00D23D7B"/>
    <w:rsid w:val="00D2438E"/>
    <w:rsid w:val="00D270A4"/>
    <w:rsid w:val="00D30065"/>
    <w:rsid w:val="00D31FE9"/>
    <w:rsid w:val="00D33CEC"/>
    <w:rsid w:val="00D33EBA"/>
    <w:rsid w:val="00D34E1B"/>
    <w:rsid w:val="00D34F55"/>
    <w:rsid w:val="00D3599A"/>
    <w:rsid w:val="00D36756"/>
    <w:rsid w:val="00D376A8"/>
    <w:rsid w:val="00D376BA"/>
    <w:rsid w:val="00D41779"/>
    <w:rsid w:val="00D4246B"/>
    <w:rsid w:val="00D4343C"/>
    <w:rsid w:val="00D434A0"/>
    <w:rsid w:val="00D43578"/>
    <w:rsid w:val="00D43A61"/>
    <w:rsid w:val="00D4553C"/>
    <w:rsid w:val="00D45634"/>
    <w:rsid w:val="00D46A4B"/>
    <w:rsid w:val="00D47CC3"/>
    <w:rsid w:val="00D47F21"/>
    <w:rsid w:val="00D51165"/>
    <w:rsid w:val="00D52B51"/>
    <w:rsid w:val="00D54079"/>
    <w:rsid w:val="00D5470A"/>
    <w:rsid w:val="00D5555E"/>
    <w:rsid w:val="00D5568A"/>
    <w:rsid w:val="00D60224"/>
    <w:rsid w:val="00D63D73"/>
    <w:rsid w:val="00D64452"/>
    <w:rsid w:val="00D6640B"/>
    <w:rsid w:val="00D66DEE"/>
    <w:rsid w:val="00D66E1E"/>
    <w:rsid w:val="00D675DE"/>
    <w:rsid w:val="00D70696"/>
    <w:rsid w:val="00D75722"/>
    <w:rsid w:val="00D76514"/>
    <w:rsid w:val="00D774EF"/>
    <w:rsid w:val="00D80CF5"/>
    <w:rsid w:val="00D83268"/>
    <w:rsid w:val="00D83716"/>
    <w:rsid w:val="00D85825"/>
    <w:rsid w:val="00D86216"/>
    <w:rsid w:val="00D91AD6"/>
    <w:rsid w:val="00D91FB4"/>
    <w:rsid w:val="00D96CD5"/>
    <w:rsid w:val="00DA4DC2"/>
    <w:rsid w:val="00DA5BBA"/>
    <w:rsid w:val="00DA63BD"/>
    <w:rsid w:val="00DA76BC"/>
    <w:rsid w:val="00DB0E25"/>
    <w:rsid w:val="00DB26D2"/>
    <w:rsid w:val="00DB44AC"/>
    <w:rsid w:val="00DB4B36"/>
    <w:rsid w:val="00DB55B4"/>
    <w:rsid w:val="00DB67C9"/>
    <w:rsid w:val="00DC0C95"/>
    <w:rsid w:val="00DC286B"/>
    <w:rsid w:val="00DC4F0B"/>
    <w:rsid w:val="00DC5D02"/>
    <w:rsid w:val="00DC5FAE"/>
    <w:rsid w:val="00DC7859"/>
    <w:rsid w:val="00DC7E8C"/>
    <w:rsid w:val="00DD6580"/>
    <w:rsid w:val="00DD6A06"/>
    <w:rsid w:val="00DE1B93"/>
    <w:rsid w:val="00DE1F55"/>
    <w:rsid w:val="00DE2BB3"/>
    <w:rsid w:val="00DE566C"/>
    <w:rsid w:val="00DE7D92"/>
    <w:rsid w:val="00DF01FD"/>
    <w:rsid w:val="00DF0D6B"/>
    <w:rsid w:val="00DF10FC"/>
    <w:rsid w:val="00E01D7F"/>
    <w:rsid w:val="00E029DF"/>
    <w:rsid w:val="00E032A7"/>
    <w:rsid w:val="00E03588"/>
    <w:rsid w:val="00E040D3"/>
    <w:rsid w:val="00E043AD"/>
    <w:rsid w:val="00E04E04"/>
    <w:rsid w:val="00E05C03"/>
    <w:rsid w:val="00E07C11"/>
    <w:rsid w:val="00E10029"/>
    <w:rsid w:val="00E118F5"/>
    <w:rsid w:val="00E11997"/>
    <w:rsid w:val="00E12A7B"/>
    <w:rsid w:val="00E17A66"/>
    <w:rsid w:val="00E17C72"/>
    <w:rsid w:val="00E21FC6"/>
    <w:rsid w:val="00E22035"/>
    <w:rsid w:val="00E2769E"/>
    <w:rsid w:val="00E30674"/>
    <w:rsid w:val="00E33FE1"/>
    <w:rsid w:val="00E34819"/>
    <w:rsid w:val="00E36AD3"/>
    <w:rsid w:val="00E37A38"/>
    <w:rsid w:val="00E400D8"/>
    <w:rsid w:val="00E40A40"/>
    <w:rsid w:val="00E40D47"/>
    <w:rsid w:val="00E4142B"/>
    <w:rsid w:val="00E431A9"/>
    <w:rsid w:val="00E46926"/>
    <w:rsid w:val="00E47708"/>
    <w:rsid w:val="00E47E1E"/>
    <w:rsid w:val="00E518C1"/>
    <w:rsid w:val="00E52150"/>
    <w:rsid w:val="00E52C86"/>
    <w:rsid w:val="00E54BC9"/>
    <w:rsid w:val="00E54F61"/>
    <w:rsid w:val="00E55841"/>
    <w:rsid w:val="00E579C2"/>
    <w:rsid w:val="00E57B1D"/>
    <w:rsid w:val="00E651E2"/>
    <w:rsid w:val="00E653E5"/>
    <w:rsid w:val="00E65B8F"/>
    <w:rsid w:val="00E65D2A"/>
    <w:rsid w:val="00E6609B"/>
    <w:rsid w:val="00E66763"/>
    <w:rsid w:val="00E669E2"/>
    <w:rsid w:val="00E67FCB"/>
    <w:rsid w:val="00E70110"/>
    <w:rsid w:val="00E70C0E"/>
    <w:rsid w:val="00E71F2C"/>
    <w:rsid w:val="00E723A7"/>
    <w:rsid w:val="00E72D65"/>
    <w:rsid w:val="00E7364C"/>
    <w:rsid w:val="00E738C8"/>
    <w:rsid w:val="00E7411C"/>
    <w:rsid w:val="00E756FC"/>
    <w:rsid w:val="00E75F08"/>
    <w:rsid w:val="00E76135"/>
    <w:rsid w:val="00E76A02"/>
    <w:rsid w:val="00E81343"/>
    <w:rsid w:val="00E82F4F"/>
    <w:rsid w:val="00E85398"/>
    <w:rsid w:val="00E864DF"/>
    <w:rsid w:val="00E87528"/>
    <w:rsid w:val="00E8797F"/>
    <w:rsid w:val="00E87C81"/>
    <w:rsid w:val="00E87F15"/>
    <w:rsid w:val="00E90316"/>
    <w:rsid w:val="00E93051"/>
    <w:rsid w:val="00E9386E"/>
    <w:rsid w:val="00E97899"/>
    <w:rsid w:val="00E97AED"/>
    <w:rsid w:val="00EA18D5"/>
    <w:rsid w:val="00EA3FCA"/>
    <w:rsid w:val="00EA5077"/>
    <w:rsid w:val="00EA5AE5"/>
    <w:rsid w:val="00EB0FD4"/>
    <w:rsid w:val="00EB203A"/>
    <w:rsid w:val="00EB24C2"/>
    <w:rsid w:val="00EB2704"/>
    <w:rsid w:val="00EB2CC3"/>
    <w:rsid w:val="00EB4798"/>
    <w:rsid w:val="00EB5E37"/>
    <w:rsid w:val="00EC1225"/>
    <w:rsid w:val="00EC2844"/>
    <w:rsid w:val="00EC33F8"/>
    <w:rsid w:val="00EC3775"/>
    <w:rsid w:val="00EC40E4"/>
    <w:rsid w:val="00EC5289"/>
    <w:rsid w:val="00EC5500"/>
    <w:rsid w:val="00EC5F6A"/>
    <w:rsid w:val="00EC6098"/>
    <w:rsid w:val="00EC6E09"/>
    <w:rsid w:val="00EC7EE4"/>
    <w:rsid w:val="00ED124A"/>
    <w:rsid w:val="00ED14E2"/>
    <w:rsid w:val="00ED18F8"/>
    <w:rsid w:val="00ED1DAF"/>
    <w:rsid w:val="00ED289E"/>
    <w:rsid w:val="00ED47CF"/>
    <w:rsid w:val="00EE1041"/>
    <w:rsid w:val="00EE6EDA"/>
    <w:rsid w:val="00EE778E"/>
    <w:rsid w:val="00EE7935"/>
    <w:rsid w:val="00EF12FA"/>
    <w:rsid w:val="00EF15A9"/>
    <w:rsid w:val="00EF2219"/>
    <w:rsid w:val="00EF2AE5"/>
    <w:rsid w:val="00EF35DD"/>
    <w:rsid w:val="00EF4AC0"/>
    <w:rsid w:val="00EF619B"/>
    <w:rsid w:val="00EF6719"/>
    <w:rsid w:val="00EF6C6C"/>
    <w:rsid w:val="00EF6FA3"/>
    <w:rsid w:val="00EF7B9F"/>
    <w:rsid w:val="00F0001A"/>
    <w:rsid w:val="00F004B9"/>
    <w:rsid w:val="00F02C54"/>
    <w:rsid w:val="00F04528"/>
    <w:rsid w:val="00F05396"/>
    <w:rsid w:val="00F055A8"/>
    <w:rsid w:val="00F056FC"/>
    <w:rsid w:val="00F0632F"/>
    <w:rsid w:val="00F06584"/>
    <w:rsid w:val="00F069AE"/>
    <w:rsid w:val="00F06BAB"/>
    <w:rsid w:val="00F075DE"/>
    <w:rsid w:val="00F10476"/>
    <w:rsid w:val="00F126A4"/>
    <w:rsid w:val="00F135D8"/>
    <w:rsid w:val="00F14AA6"/>
    <w:rsid w:val="00F15C0D"/>
    <w:rsid w:val="00F165CA"/>
    <w:rsid w:val="00F16963"/>
    <w:rsid w:val="00F22700"/>
    <w:rsid w:val="00F22CFB"/>
    <w:rsid w:val="00F31299"/>
    <w:rsid w:val="00F316B7"/>
    <w:rsid w:val="00F328A7"/>
    <w:rsid w:val="00F331B8"/>
    <w:rsid w:val="00F335B5"/>
    <w:rsid w:val="00F34D96"/>
    <w:rsid w:val="00F34DB8"/>
    <w:rsid w:val="00F3534A"/>
    <w:rsid w:val="00F35BFB"/>
    <w:rsid w:val="00F35C67"/>
    <w:rsid w:val="00F35FAB"/>
    <w:rsid w:val="00F36720"/>
    <w:rsid w:val="00F36ACC"/>
    <w:rsid w:val="00F40739"/>
    <w:rsid w:val="00F435BC"/>
    <w:rsid w:val="00F44186"/>
    <w:rsid w:val="00F442EF"/>
    <w:rsid w:val="00F44892"/>
    <w:rsid w:val="00F45717"/>
    <w:rsid w:val="00F45B79"/>
    <w:rsid w:val="00F45BE1"/>
    <w:rsid w:val="00F51609"/>
    <w:rsid w:val="00F54E02"/>
    <w:rsid w:val="00F55C25"/>
    <w:rsid w:val="00F62F75"/>
    <w:rsid w:val="00F6358D"/>
    <w:rsid w:val="00F63BBE"/>
    <w:rsid w:val="00F65FE4"/>
    <w:rsid w:val="00F67B81"/>
    <w:rsid w:val="00F70C21"/>
    <w:rsid w:val="00F71AA6"/>
    <w:rsid w:val="00F7344D"/>
    <w:rsid w:val="00F73727"/>
    <w:rsid w:val="00F766A7"/>
    <w:rsid w:val="00F77FA1"/>
    <w:rsid w:val="00F81006"/>
    <w:rsid w:val="00F81EFA"/>
    <w:rsid w:val="00F85325"/>
    <w:rsid w:val="00F85A2E"/>
    <w:rsid w:val="00F86BDD"/>
    <w:rsid w:val="00F86ECB"/>
    <w:rsid w:val="00F90FFA"/>
    <w:rsid w:val="00F91701"/>
    <w:rsid w:val="00F93059"/>
    <w:rsid w:val="00F93221"/>
    <w:rsid w:val="00F9621F"/>
    <w:rsid w:val="00F9700C"/>
    <w:rsid w:val="00FA5C6B"/>
    <w:rsid w:val="00FA5F62"/>
    <w:rsid w:val="00FB1593"/>
    <w:rsid w:val="00FB23C8"/>
    <w:rsid w:val="00FB2C23"/>
    <w:rsid w:val="00FB350E"/>
    <w:rsid w:val="00FB35DA"/>
    <w:rsid w:val="00FB743A"/>
    <w:rsid w:val="00FC270D"/>
    <w:rsid w:val="00FC2835"/>
    <w:rsid w:val="00FC3398"/>
    <w:rsid w:val="00FC377C"/>
    <w:rsid w:val="00FC48D2"/>
    <w:rsid w:val="00FC7142"/>
    <w:rsid w:val="00FC7E6E"/>
    <w:rsid w:val="00FD1D35"/>
    <w:rsid w:val="00FD1DD1"/>
    <w:rsid w:val="00FD22B1"/>
    <w:rsid w:val="00FD2B87"/>
    <w:rsid w:val="00FD33F1"/>
    <w:rsid w:val="00FD3533"/>
    <w:rsid w:val="00FD3566"/>
    <w:rsid w:val="00FD3E7F"/>
    <w:rsid w:val="00FD6D09"/>
    <w:rsid w:val="00FE2C78"/>
    <w:rsid w:val="00FE3C71"/>
    <w:rsid w:val="00FE5397"/>
    <w:rsid w:val="00FE6F86"/>
    <w:rsid w:val="00FF1523"/>
    <w:rsid w:val="00FF5AA7"/>
    <w:rsid w:val="00FF5E80"/>
    <w:rsid w:val="00FF6523"/>
    <w:rsid w:val="00FF6728"/>
    <w:rsid w:val="00FF6C51"/>
    <w:rsid w:val="00FF7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6F07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00A7"/>
    <w:rPr>
      <w:sz w:val="24"/>
      <w:szCs w:val="24"/>
    </w:rPr>
  </w:style>
  <w:style w:type="paragraph" w:styleId="Heading1">
    <w:name w:val="heading 1"/>
    <w:basedOn w:val="BodyText"/>
    <w:next w:val="BodyText"/>
    <w:rsid w:val="00AC00A7"/>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C00A7"/>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C00A7"/>
    <w:pPr>
      <w:spacing w:before="560" w:line="320" w:lineRule="exact"/>
      <w:ind w:left="0" w:firstLine="0"/>
      <w:outlineLvl w:val="2"/>
    </w:pPr>
    <w:rPr>
      <w:sz w:val="26"/>
    </w:rPr>
  </w:style>
  <w:style w:type="paragraph" w:styleId="Heading4">
    <w:name w:val="heading 4"/>
    <w:basedOn w:val="Heading3"/>
    <w:next w:val="BodyText"/>
    <w:qFormat/>
    <w:rsid w:val="00AC00A7"/>
    <w:pPr>
      <w:spacing w:before="480"/>
      <w:outlineLvl w:val="3"/>
    </w:pPr>
    <w:rPr>
      <w:b w:val="0"/>
      <w:sz w:val="24"/>
    </w:rPr>
  </w:style>
  <w:style w:type="paragraph" w:styleId="Heading5">
    <w:name w:val="heading 5"/>
    <w:basedOn w:val="Heading4"/>
    <w:next w:val="BodyText"/>
    <w:link w:val="Heading5Char"/>
    <w:qFormat/>
    <w:rsid w:val="00AC00A7"/>
    <w:pPr>
      <w:outlineLvl w:val="4"/>
    </w:pPr>
    <w:rPr>
      <w:i/>
      <w:sz w:val="22"/>
    </w:rPr>
  </w:style>
  <w:style w:type="paragraph" w:styleId="Heading6">
    <w:name w:val="heading 6"/>
    <w:basedOn w:val="BodyText"/>
    <w:next w:val="BodyText"/>
    <w:semiHidden/>
    <w:rsid w:val="00AC00A7"/>
    <w:pPr>
      <w:spacing w:after="60"/>
      <w:jc w:val="left"/>
      <w:outlineLvl w:val="5"/>
    </w:pPr>
    <w:rPr>
      <w:i/>
      <w:sz w:val="22"/>
    </w:rPr>
  </w:style>
  <w:style w:type="paragraph" w:styleId="Heading7">
    <w:name w:val="heading 7"/>
    <w:basedOn w:val="BodyText"/>
    <w:next w:val="BodyText"/>
    <w:semiHidden/>
    <w:rsid w:val="00AC00A7"/>
    <w:pPr>
      <w:spacing w:after="60" w:line="240" w:lineRule="auto"/>
      <w:jc w:val="left"/>
      <w:outlineLvl w:val="6"/>
    </w:pPr>
    <w:rPr>
      <w:rFonts w:ascii="Arial" w:hAnsi="Arial"/>
      <w:sz w:val="20"/>
    </w:rPr>
  </w:style>
  <w:style w:type="paragraph" w:styleId="Heading8">
    <w:name w:val="heading 8"/>
    <w:basedOn w:val="BodyText"/>
    <w:next w:val="BodyText"/>
    <w:semiHidden/>
    <w:rsid w:val="00AC00A7"/>
    <w:pPr>
      <w:spacing w:after="60" w:line="240" w:lineRule="auto"/>
      <w:jc w:val="left"/>
      <w:outlineLvl w:val="7"/>
    </w:pPr>
    <w:rPr>
      <w:rFonts w:ascii="Arial" w:hAnsi="Arial"/>
      <w:i/>
      <w:sz w:val="20"/>
    </w:rPr>
  </w:style>
  <w:style w:type="paragraph" w:styleId="Heading9">
    <w:name w:val="heading 9"/>
    <w:basedOn w:val="BodyText"/>
    <w:next w:val="BodyText"/>
    <w:semiHidden/>
    <w:rsid w:val="00AC00A7"/>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C00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00A7"/>
  </w:style>
  <w:style w:type="paragraph" w:styleId="BodyText">
    <w:name w:val="Body Text"/>
    <w:link w:val="BodyTextChar"/>
    <w:qFormat/>
    <w:rsid w:val="00AC00A7"/>
    <w:pPr>
      <w:spacing w:before="240" w:line="300" w:lineRule="atLeast"/>
      <w:jc w:val="both"/>
    </w:pPr>
    <w:rPr>
      <w:sz w:val="24"/>
    </w:rPr>
  </w:style>
  <w:style w:type="paragraph" w:styleId="Footer">
    <w:name w:val="footer"/>
    <w:basedOn w:val="BodyText"/>
    <w:link w:val="FooterChar"/>
    <w:semiHidden/>
    <w:rsid w:val="00AC00A7"/>
    <w:pPr>
      <w:spacing w:before="80" w:line="200" w:lineRule="exact"/>
      <w:ind w:right="6"/>
      <w:jc w:val="left"/>
    </w:pPr>
    <w:rPr>
      <w:rFonts w:ascii="Arial" w:hAnsi="Arial"/>
      <w:caps/>
      <w:spacing w:val="-4"/>
      <w:sz w:val="16"/>
    </w:rPr>
  </w:style>
  <w:style w:type="paragraph" w:customStyle="1" w:styleId="FooterEnd">
    <w:name w:val="Footer End"/>
    <w:basedOn w:val="Footer"/>
    <w:rsid w:val="00AC00A7"/>
    <w:pPr>
      <w:spacing w:before="0" w:line="20" w:lineRule="exact"/>
    </w:pPr>
  </w:style>
  <w:style w:type="paragraph" w:styleId="Header">
    <w:name w:val="header"/>
    <w:basedOn w:val="BodyText"/>
    <w:rsid w:val="00AC00A7"/>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C00A7"/>
    <w:pPr>
      <w:spacing w:line="20" w:lineRule="exact"/>
    </w:pPr>
    <w:rPr>
      <w:sz w:val="16"/>
    </w:rPr>
  </w:style>
  <w:style w:type="paragraph" w:customStyle="1" w:styleId="HeaderEven">
    <w:name w:val="Header Even"/>
    <w:basedOn w:val="Header"/>
    <w:semiHidden/>
    <w:rsid w:val="00AC00A7"/>
  </w:style>
  <w:style w:type="paragraph" w:customStyle="1" w:styleId="HeaderOdd">
    <w:name w:val="Header Odd"/>
    <w:basedOn w:val="Header"/>
    <w:semiHidden/>
    <w:rsid w:val="00AC00A7"/>
  </w:style>
  <w:style w:type="character" w:styleId="PageNumber">
    <w:name w:val="page number"/>
    <w:basedOn w:val="DefaultParagraphFont"/>
    <w:rsid w:val="00AC00A7"/>
    <w:rPr>
      <w:rFonts w:ascii="Arial" w:hAnsi="Arial"/>
      <w:b/>
      <w:sz w:val="16"/>
    </w:rPr>
  </w:style>
  <w:style w:type="paragraph" w:customStyle="1" w:styleId="Abbreviation">
    <w:name w:val="Abbreviation"/>
    <w:basedOn w:val="BodyText"/>
    <w:rsid w:val="00AC00A7"/>
    <w:pPr>
      <w:spacing w:before="120"/>
      <w:ind w:left="2381" w:hanging="2381"/>
      <w:jc w:val="left"/>
    </w:pPr>
  </w:style>
  <w:style w:type="paragraph" w:customStyle="1" w:styleId="Box">
    <w:name w:val="Box"/>
    <w:basedOn w:val="BodyText"/>
    <w:link w:val="BoxChar"/>
    <w:qFormat/>
    <w:rsid w:val="00AC00A7"/>
    <w:pPr>
      <w:keepNext/>
      <w:spacing w:before="120" w:line="260" w:lineRule="atLeast"/>
    </w:pPr>
    <w:rPr>
      <w:rFonts w:ascii="Arial" w:hAnsi="Arial"/>
      <w:sz w:val="20"/>
    </w:rPr>
  </w:style>
  <w:style w:type="paragraph" w:customStyle="1" w:styleId="BoxContinued">
    <w:name w:val="Box Continued"/>
    <w:basedOn w:val="BodyText"/>
    <w:next w:val="BodyText"/>
    <w:semiHidden/>
    <w:rsid w:val="00AC00A7"/>
    <w:pPr>
      <w:spacing w:before="180" w:line="220" w:lineRule="exact"/>
      <w:jc w:val="right"/>
    </w:pPr>
    <w:rPr>
      <w:rFonts w:ascii="Arial" w:hAnsi="Arial"/>
      <w:sz w:val="18"/>
    </w:rPr>
  </w:style>
  <w:style w:type="paragraph" w:customStyle="1" w:styleId="BoxHeading1">
    <w:name w:val="Box Heading 1"/>
    <w:basedOn w:val="BodyText"/>
    <w:next w:val="Box"/>
    <w:rsid w:val="00AC00A7"/>
    <w:pPr>
      <w:keepNext/>
      <w:spacing w:before="200" w:line="280" w:lineRule="atLeast"/>
    </w:pPr>
    <w:rPr>
      <w:rFonts w:ascii="Arial" w:hAnsi="Arial"/>
      <w:b/>
      <w:sz w:val="22"/>
    </w:rPr>
  </w:style>
  <w:style w:type="paragraph" w:customStyle="1" w:styleId="BoxHeading2">
    <w:name w:val="Box Heading 2"/>
    <w:basedOn w:val="BoxHeading1"/>
    <w:next w:val="Box"/>
    <w:rsid w:val="00AC00A7"/>
    <w:rPr>
      <w:b w:val="0"/>
      <w:i/>
    </w:rPr>
  </w:style>
  <w:style w:type="paragraph" w:customStyle="1" w:styleId="BoxListBullet">
    <w:name w:val="Box List Bullet"/>
    <w:basedOn w:val="BodyText"/>
    <w:rsid w:val="00AC00A7"/>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C00A7"/>
    <w:pPr>
      <w:numPr>
        <w:numId w:val="13"/>
      </w:numPr>
      <w:ind w:left="568" w:hanging="284"/>
    </w:pPr>
  </w:style>
  <w:style w:type="paragraph" w:customStyle="1" w:styleId="BoxListNumber">
    <w:name w:val="Box List Number"/>
    <w:basedOn w:val="BodyText"/>
    <w:rsid w:val="00AC00A7"/>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C00A7"/>
    <w:pPr>
      <w:numPr>
        <w:ilvl w:val="1"/>
      </w:numPr>
      <w:ind w:left="681" w:hanging="397"/>
    </w:pPr>
  </w:style>
  <w:style w:type="paragraph" w:customStyle="1" w:styleId="BoxQuote">
    <w:name w:val="Box Quote"/>
    <w:basedOn w:val="BodyText"/>
    <w:next w:val="Box"/>
    <w:qFormat/>
    <w:rsid w:val="00AC00A7"/>
    <w:pPr>
      <w:keepNext/>
      <w:spacing w:before="60" w:line="240" w:lineRule="exact"/>
      <w:ind w:left="284"/>
    </w:pPr>
    <w:rPr>
      <w:rFonts w:ascii="Arial" w:hAnsi="Arial"/>
      <w:sz w:val="18"/>
    </w:rPr>
  </w:style>
  <w:style w:type="paragraph" w:customStyle="1" w:styleId="Note">
    <w:name w:val="Note"/>
    <w:basedOn w:val="BodyText"/>
    <w:next w:val="BodyText"/>
    <w:rsid w:val="00AC00A7"/>
    <w:pPr>
      <w:keepLines/>
      <w:spacing w:before="80" w:line="220" w:lineRule="exact"/>
    </w:pPr>
    <w:rPr>
      <w:rFonts w:ascii="Arial" w:hAnsi="Arial"/>
      <w:sz w:val="18"/>
    </w:rPr>
  </w:style>
  <w:style w:type="paragraph" w:customStyle="1" w:styleId="Source">
    <w:name w:val="Source"/>
    <w:basedOn w:val="Normal"/>
    <w:next w:val="BodyText"/>
    <w:rsid w:val="00AC00A7"/>
    <w:pPr>
      <w:keepLines/>
      <w:spacing w:before="80" w:line="220" w:lineRule="exact"/>
      <w:jc w:val="both"/>
    </w:pPr>
    <w:rPr>
      <w:rFonts w:ascii="Arial" w:hAnsi="Arial"/>
      <w:sz w:val="18"/>
      <w:szCs w:val="20"/>
    </w:rPr>
  </w:style>
  <w:style w:type="paragraph" w:customStyle="1" w:styleId="BoxSource">
    <w:name w:val="Box Source"/>
    <w:basedOn w:val="Source"/>
    <w:next w:val="BodyText"/>
    <w:rsid w:val="00AC00A7"/>
    <w:pPr>
      <w:spacing w:before="120"/>
    </w:pPr>
  </w:style>
  <w:style w:type="paragraph" w:customStyle="1" w:styleId="BoxSpaceAbove">
    <w:name w:val="Box Space Above"/>
    <w:basedOn w:val="BodyText"/>
    <w:rsid w:val="00AC00A7"/>
    <w:pPr>
      <w:keepNext/>
      <w:spacing w:before="360" w:line="80" w:lineRule="exact"/>
      <w:jc w:val="left"/>
    </w:pPr>
  </w:style>
  <w:style w:type="paragraph" w:styleId="Caption">
    <w:name w:val="caption"/>
    <w:basedOn w:val="Normal"/>
    <w:next w:val="BodyText"/>
    <w:rsid w:val="00AC00A7"/>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C00A7"/>
    <w:pPr>
      <w:spacing w:before="120" w:after="0"/>
    </w:pPr>
  </w:style>
  <w:style w:type="paragraph" w:customStyle="1" w:styleId="BoxSubtitle">
    <w:name w:val="Box Subtitle"/>
    <w:basedOn w:val="BoxTitle"/>
    <w:next w:val="Normal"/>
    <w:rsid w:val="00AC00A7"/>
    <w:pPr>
      <w:spacing w:after="80" w:line="200" w:lineRule="exact"/>
      <w:ind w:firstLine="0"/>
    </w:pPr>
    <w:rPr>
      <w:b w:val="0"/>
      <w:sz w:val="20"/>
    </w:rPr>
  </w:style>
  <w:style w:type="paragraph" w:customStyle="1" w:styleId="Chapter">
    <w:name w:val="Chapter"/>
    <w:basedOn w:val="Heading1"/>
    <w:next w:val="BodyText"/>
    <w:semiHidden/>
    <w:rsid w:val="00AC00A7"/>
    <w:pPr>
      <w:ind w:left="0" w:firstLine="0"/>
      <w:outlineLvl w:val="9"/>
    </w:pPr>
  </w:style>
  <w:style w:type="paragraph" w:customStyle="1" w:styleId="ChapterSummary">
    <w:name w:val="Chapter Summary"/>
    <w:basedOn w:val="BodyText"/>
    <w:rsid w:val="00AC00A7"/>
    <w:pPr>
      <w:spacing w:line="280" w:lineRule="atLeast"/>
      <w:ind w:left="907"/>
    </w:pPr>
    <w:rPr>
      <w:rFonts w:ascii="Arial" w:hAnsi="Arial"/>
      <w:b/>
      <w:sz w:val="20"/>
    </w:rPr>
  </w:style>
  <w:style w:type="character" w:styleId="CommentReference">
    <w:name w:val="annotation reference"/>
    <w:basedOn w:val="DefaultParagraphFont"/>
    <w:semiHidden/>
    <w:rsid w:val="00AC00A7"/>
    <w:rPr>
      <w:b/>
      <w:vanish/>
      <w:color w:val="FF00FF"/>
      <w:sz w:val="20"/>
    </w:rPr>
  </w:style>
  <w:style w:type="paragraph" w:styleId="CommentText">
    <w:name w:val="annotation text"/>
    <w:basedOn w:val="Normal"/>
    <w:link w:val="CommentTextChar"/>
    <w:semiHidden/>
    <w:rsid w:val="00AC00A7"/>
    <w:pPr>
      <w:spacing w:before="120" w:line="240" w:lineRule="atLeast"/>
      <w:ind w:left="567" w:hanging="567"/>
    </w:pPr>
    <w:rPr>
      <w:sz w:val="20"/>
    </w:rPr>
  </w:style>
  <w:style w:type="paragraph" w:customStyle="1" w:styleId="Continued">
    <w:name w:val="Continued"/>
    <w:basedOn w:val="BoxContinued"/>
    <w:next w:val="BodyText"/>
    <w:rsid w:val="00AC00A7"/>
  </w:style>
  <w:style w:type="character" w:customStyle="1" w:styleId="DocumentInfo">
    <w:name w:val="Document Info"/>
    <w:basedOn w:val="DefaultParagraphFont"/>
    <w:semiHidden/>
    <w:rsid w:val="00AC00A7"/>
    <w:rPr>
      <w:rFonts w:ascii="Arial" w:hAnsi="Arial"/>
      <w:sz w:val="14"/>
    </w:rPr>
  </w:style>
  <w:style w:type="character" w:customStyle="1" w:styleId="DraftingNote">
    <w:name w:val="Drafting Note"/>
    <w:basedOn w:val="DefaultParagraphFont"/>
    <w:rsid w:val="00AC00A7"/>
    <w:rPr>
      <w:b/>
      <w:color w:val="FF0000"/>
      <w:sz w:val="24"/>
      <w:u w:val="dotted"/>
    </w:rPr>
  </w:style>
  <w:style w:type="paragraph" w:customStyle="1" w:styleId="Figure">
    <w:name w:val="Figure"/>
    <w:basedOn w:val="BodyText"/>
    <w:rsid w:val="00AC00A7"/>
    <w:pPr>
      <w:keepNext/>
      <w:spacing w:before="120" w:after="120" w:line="240" w:lineRule="atLeast"/>
      <w:jc w:val="center"/>
    </w:pPr>
  </w:style>
  <w:style w:type="paragraph" w:customStyle="1" w:styleId="FigureTitle">
    <w:name w:val="Figure Title"/>
    <w:basedOn w:val="Caption"/>
    <w:next w:val="Subtitle"/>
    <w:rsid w:val="00AC00A7"/>
    <w:pPr>
      <w:spacing w:before="120"/>
    </w:pPr>
  </w:style>
  <w:style w:type="paragraph" w:styleId="Subtitle">
    <w:name w:val="Subtitle"/>
    <w:basedOn w:val="Caption"/>
    <w:link w:val="SubtitleChar"/>
    <w:qFormat/>
    <w:rsid w:val="00AC00A7"/>
    <w:pPr>
      <w:spacing w:before="0" w:line="200" w:lineRule="exact"/>
      <w:ind w:firstLine="0"/>
    </w:pPr>
    <w:rPr>
      <w:b w:val="0"/>
      <w:sz w:val="20"/>
    </w:rPr>
  </w:style>
  <w:style w:type="paragraph" w:customStyle="1" w:styleId="Finding">
    <w:name w:val="Finding"/>
    <w:basedOn w:val="BodyText"/>
    <w:rsid w:val="00AC00A7"/>
    <w:pPr>
      <w:keepLines/>
      <w:spacing w:before="120" w:line="280" w:lineRule="atLeast"/>
    </w:pPr>
    <w:rPr>
      <w:rFonts w:ascii="Arial" w:hAnsi="Arial"/>
      <w:sz w:val="22"/>
    </w:rPr>
  </w:style>
  <w:style w:type="paragraph" w:customStyle="1" w:styleId="FindingBullet">
    <w:name w:val="Finding Bullet"/>
    <w:basedOn w:val="Finding"/>
    <w:rsid w:val="00AC00A7"/>
    <w:pPr>
      <w:numPr>
        <w:numId w:val="15"/>
      </w:numPr>
      <w:spacing w:before="80"/>
    </w:pPr>
  </w:style>
  <w:style w:type="paragraph" w:customStyle="1" w:styleId="FindingNoTitle">
    <w:name w:val="Finding NoTitle"/>
    <w:basedOn w:val="Finding"/>
    <w:semiHidden/>
    <w:rsid w:val="00AC00A7"/>
    <w:pPr>
      <w:spacing w:before="240"/>
    </w:pPr>
  </w:style>
  <w:style w:type="paragraph" w:customStyle="1" w:styleId="RecTitle">
    <w:name w:val="Rec Title"/>
    <w:basedOn w:val="BodyText"/>
    <w:next w:val="Rec"/>
    <w:qFormat/>
    <w:rsid w:val="00AC00A7"/>
    <w:pPr>
      <w:keepNext/>
      <w:keepLines/>
      <w:spacing w:line="280" w:lineRule="atLeast"/>
    </w:pPr>
    <w:rPr>
      <w:rFonts w:ascii="Arial" w:hAnsi="Arial"/>
      <w:caps/>
      <w:sz w:val="18"/>
    </w:rPr>
  </w:style>
  <w:style w:type="paragraph" w:customStyle="1" w:styleId="FindingTitle">
    <w:name w:val="Finding Title"/>
    <w:basedOn w:val="RecTitle"/>
    <w:next w:val="Finding"/>
    <w:rsid w:val="00AC00A7"/>
  </w:style>
  <w:style w:type="character" w:styleId="FootnoteReference">
    <w:name w:val="footnote reference"/>
    <w:basedOn w:val="DefaultParagraphFont"/>
    <w:semiHidden/>
    <w:rsid w:val="00AC00A7"/>
    <w:rPr>
      <w:rFonts w:ascii="Times New Roman" w:hAnsi="Times New Roman"/>
      <w:position w:val="6"/>
      <w:sz w:val="20"/>
      <w:vertAlign w:val="baseline"/>
    </w:rPr>
  </w:style>
  <w:style w:type="paragraph" w:styleId="FootnoteText">
    <w:name w:val="footnote text"/>
    <w:basedOn w:val="BodyText"/>
    <w:rsid w:val="00AC00A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C00A7"/>
    <w:rPr>
      <w:i/>
    </w:rPr>
  </w:style>
  <w:style w:type="paragraph" w:customStyle="1" w:styleId="Jurisdictioncommentsbodytext">
    <w:name w:val="Jurisdiction comments body text"/>
    <w:rsid w:val="00AC00A7"/>
    <w:pPr>
      <w:spacing w:after="140"/>
      <w:jc w:val="both"/>
    </w:pPr>
    <w:rPr>
      <w:rFonts w:ascii="Arial" w:hAnsi="Arial"/>
      <w:sz w:val="24"/>
      <w:lang w:eastAsia="en-US"/>
    </w:rPr>
  </w:style>
  <w:style w:type="paragraph" w:customStyle="1" w:styleId="Jurisdictioncommentsheading">
    <w:name w:val="Jurisdiction comments heading"/>
    <w:rsid w:val="00AC00A7"/>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C00A7"/>
    <w:pPr>
      <w:numPr>
        <w:numId w:val="2"/>
      </w:numPr>
      <w:spacing w:after="140"/>
      <w:jc w:val="both"/>
    </w:pPr>
    <w:rPr>
      <w:rFonts w:ascii="Arial" w:hAnsi="Arial"/>
      <w:sz w:val="24"/>
      <w:lang w:eastAsia="en-US"/>
    </w:rPr>
  </w:style>
  <w:style w:type="paragraph" w:styleId="ListBullet">
    <w:name w:val="List Bullet"/>
    <w:basedOn w:val="BodyText"/>
    <w:rsid w:val="00AC00A7"/>
    <w:pPr>
      <w:numPr>
        <w:numId w:val="3"/>
      </w:numPr>
      <w:spacing w:before="120"/>
    </w:pPr>
  </w:style>
  <w:style w:type="paragraph" w:styleId="ListBullet2">
    <w:name w:val="List Bullet 2"/>
    <w:basedOn w:val="BodyText"/>
    <w:rsid w:val="00AC00A7"/>
    <w:pPr>
      <w:numPr>
        <w:numId w:val="4"/>
      </w:numPr>
      <w:spacing w:before="120"/>
    </w:pPr>
  </w:style>
  <w:style w:type="paragraph" w:styleId="ListBullet3">
    <w:name w:val="List Bullet 3"/>
    <w:basedOn w:val="BodyText"/>
    <w:rsid w:val="00AC00A7"/>
    <w:pPr>
      <w:numPr>
        <w:numId w:val="5"/>
      </w:numPr>
      <w:spacing w:before="120"/>
      <w:ind w:left="1020" w:hanging="340"/>
    </w:pPr>
  </w:style>
  <w:style w:type="paragraph" w:styleId="ListNumber">
    <w:name w:val="List Number"/>
    <w:basedOn w:val="BodyText"/>
    <w:rsid w:val="00AC00A7"/>
    <w:pPr>
      <w:numPr>
        <w:numId w:val="9"/>
      </w:numPr>
      <w:spacing w:before="120"/>
    </w:pPr>
  </w:style>
  <w:style w:type="paragraph" w:styleId="ListNumber2">
    <w:name w:val="List Number 2"/>
    <w:basedOn w:val="ListNumber"/>
    <w:rsid w:val="00AC00A7"/>
    <w:pPr>
      <w:numPr>
        <w:ilvl w:val="1"/>
      </w:numPr>
    </w:pPr>
  </w:style>
  <w:style w:type="paragraph" w:styleId="ListNumber3">
    <w:name w:val="List Number 3"/>
    <w:basedOn w:val="ListNumber2"/>
    <w:rsid w:val="00AC00A7"/>
    <w:pPr>
      <w:numPr>
        <w:ilvl w:val="2"/>
      </w:numPr>
    </w:pPr>
  </w:style>
  <w:style w:type="character" w:customStyle="1" w:styleId="NoteLabel">
    <w:name w:val="Note Label"/>
    <w:basedOn w:val="DefaultParagraphFont"/>
    <w:rsid w:val="00AC00A7"/>
    <w:rPr>
      <w:rFonts w:ascii="Arial" w:hAnsi="Arial"/>
      <w:b/>
      <w:position w:val="6"/>
      <w:sz w:val="18"/>
    </w:rPr>
  </w:style>
  <w:style w:type="paragraph" w:customStyle="1" w:styleId="PartDivider">
    <w:name w:val="Part Divider"/>
    <w:basedOn w:val="BodyText"/>
    <w:next w:val="BodyText"/>
    <w:semiHidden/>
    <w:rsid w:val="00AC00A7"/>
    <w:pPr>
      <w:spacing w:before="0" w:line="40" w:lineRule="exact"/>
      <w:jc w:val="right"/>
    </w:pPr>
    <w:rPr>
      <w:smallCaps/>
      <w:sz w:val="16"/>
    </w:rPr>
  </w:style>
  <w:style w:type="paragraph" w:customStyle="1" w:styleId="PartNumber">
    <w:name w:val="Part Number"/>
    <w:basedOn w:val="BodyText"/>
    <w:next w:val="BodyText"/>
    <w:semiHidden/>
    <w:rsid w:val="00AC00A7"/>
    <w:pPr>
      <w:spacing w:before="4000" w:line="320" w:lineRule="exact"/>
      <w:ind w:left="6634"/>
      <w:jc w:val="right"/>
    </w:pPr>
    <w:rPr>
      <w:smallCaps/>
      <w:spacing w:val="60"/>
      <w:sz w:val="32"/>
    </w:rPr>
  </w:style>
  <w:style w:type="paragraph" w:customStyle="1" w:styleId="PartTitle">
    <w:name w:val="Part Title"/>
    <w:basedOn w:val="BodyText"/>
    <w:semiHidden/>
    <w:rsid w:val="00AC00A7"/>
    <w:pPr>
      <w:spacing w:before="160" w:after="1360" w:line="520" w:lineRule="exact"/>
      <w:ind w:right="2381"/>
      <w:jc w:val="right"/>
    </w:pPr>
    <w:rPr>
      <w:smallCaps/>
      <w:sz w:val="52"/>
    </w:rPr>
  </w:style>
  <w:style w:type="paragraph" w:styleId="Quote">
    <w:name w:val="Quote"/>
    <w:basedOn w:val="BodyText"/>
    <w:next w:val="BodyText"/>
    <w:link w:val="QuoteChar"/>
    <w:qFormat/>
    <w:rsid w:val="00AC00A7"/>
    <w:pPr>
      <w:spacing w:before="120" w:line="280" w:lineRule="exact"/>
      <w:ind w:left="340"/>
    </w:pPr>
    <w:rPr>
      <w:sz w:val="22"/>
    </w:rPr>
  </w:style>
  <w:style w:type="paragraph" w:customStyle="1" w:styleId="QuoteBullet">
    <w:name w:val="Quote Bullet"/>
    <w:basedOn w:val="Quote"/>
    <w:rsid w:val="00AC00A7"/>
    <w:pPr>
      <w:numPr>
        <w:numId w:val="6"/>
      </w:numPr>
    </w:pPr>
  </w:style>
  <w:style w:type="paragraph" w:customStyle="1" w:styleId="Rec">
    <w:name w:val="Rec"/>
    <w:basedOn w:val="BodyText"/>
    <w:qFormat/>
    <w:rsid w:val="00AC00A7"/>
    <w:pPr>
      <w:keepLines/>
      <w:spacing w:before="120" w:line="280" w:lineRule="atLeast"/>
    </w:pPr>
    <w:rPr>
      <w:rFonts w:ascii="Arial" w:hAnsi="Arial"/>
      <w:sz w:val="22"/>
    </w:rPr>
  </w:style>
  <w:style w:type="paragraph" w:customStyle="1" w:styleId="RecBullet">
    <w:name w:val="Rec Bullet"/>
    <w:basedOn w:val="Rec"/>
    <w:rsid w:val="00AC00A7"/>
    <w:pPr>
      <w:numPr>
        <w:numId w:val="17"/>
      </w:numPr>
      <w:spacing w:before="80"/>
    </w:pPr>
  </w:style>
  <w:style w:type="paragraph" w:customStyle="1" w:styleId="RecB">
    <w:name w:val="RecB"/>
    <w:basedOn w:val="Normal"/>
    <w:semiHidden/>
    <w:rsid w:val="00AC00A7"/>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C00A7"/>
    <w:pPr>
      <w:numPr>
        <w:numId w:val="11"/>
      </w:numPr>
      <w:spacing w:before="80"/>
    </w:pPr>
  </w:style>
  <w:style w:type="paragraph" w:customStyle="1" w:styleId="RecBNoTitle">
    <w:name w:val="RecB NoTitle"/>
    <w:basedOn w:val="RecB"/>
    <w:semiHidden/>
    <w:rsid w:val="00AC00A7"/>
    <w:pPr>
      <w:spacing w:before="240"/>
    </w:pPr>
  </w:style>
  <w:style w:type="paragraph" w:customStyle="1" w:styleId="Reference">
    <w:name w:val="Reference"/>
    <w:basedOn w:val="BodyText"/>
    <w:rsid w:val="00AC00A7"/>
    <w:pPr>
      <w:spacing w:before="120"/>
      <w:ind w:left="340" w:hanging="340"/>
    </w:pPr>
  </w:style>
  <w:style w:type="paragraph" w:customStyle="1" w:styleId="SequenceInfo">
    <w:name w:val="Sequence Info"/>
    <w:basedOn w:val="BodyText"/>
    <w:semiHidden/>
    <w:rsid w:val="00AC00A7"/>
    <w:rPr>
      <w:vanish/>
      <w:sz w:val="16"/>
    </w:rPr>
  </w:style>
  <w:style w:type="paragraph" w:customStyle="1" w:styleId="SideNote">
    <w:name w:val="Side Note"/>
    <w:basedOn w:val="BodyText"/>
    <w:next w:val="BodyText"/>
    <w:semiHidden/>
    <w:rsid w:val="00AC00A7"/>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C00A7"/>
    <w:pPr>
      <w:framePr w:wrap="around"/>
      <w:numPr>
        <w:numId w:val="7"/>
      </w:numPr>
      <w:tabs>
        <w:tab w:val="left" w:pos="227"/>
      </w:tabs>
    </w:pPr>
  </w:style>
  <w:style w:type="paragraph" w:customStyle="1" w:styleId="SideNoteGraphic">
    <w:name w:val="Side Note Graphic"/>
    <w:basedOn w:val="SideNote"/>
    <w:next w:val="BodyText"/>
    <w:semiHidden/>
    <w:rsid w:val="00AC00A7"/>
    <w:pPr>
      <w:framePr w:wrap="around"/>
    </w:pPr>
  </w:style>
  <w:style w:type="paragraph" w:customStyle="1" w:styleId="TableBodyText">
    <w:name w:val="Table Body Text"/>
    <w:basedOn w:val="BodyText"/>
    <w:rsid w:val="00AC00A7"/>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C00A7"/>
    <w:pPr>
      <w:numPr>
        <w:numId w:val="8"/>
      </w:numPr>
      <w:jc w:val="left"/>
    </w:pPr>
  </w:style>
  <w:style w:type="paragraph" w:customStyle="1" w:styleId="TableColumnHeading">
    <w:name w:val="Table Column Heading"/>
    <w:basedOn w:val="TableBodyText"/>
    <w:rsid w:val="00AC00A7"/>
    <w:pPr>
      <w:spacing w:before="80" w:after="80"/>
    </w:pPr>
    <w:rPr>
      <w:i/>
    </w:rPr>
  </w:style>
  <w:style w:type="paragraph" w:styleId="TOC2">
    <w:name w:val="toc 2"/>
    <w:basedOn w:val="TOC1"/>
    <w:rsid w:val="00AC00A7"/>
    <w:pPr>
      <w:ind w:left="1134" w:hanging="624"/>
    </w:pPr>
    <w:rPr>
      <w:b w:val="0"/>
    </w:rPr>
  </w:style>
  <w:style w:type="paragraph" w:styleId="TOC3">
    <w:name w:val="toc 3"/>
    <w:basedOn w:val="TOC2"/>
    <w:rsid w:val="00AC00A7"/>
    <w:pPr>
      <w:spacing w:before="60"/>
      <w:ind w:left="1190" w:hanging="680"/>
    </w:pPr>
  </w:style>
  <w:style w:type="paragraph" w:styleId="TableofFigures">
    <w:name w:val="table of figures"/>
    <w:basedOn w:val="TOC3"/>
    <w:next w:val="BodyText"/>
    <w:semiHidden/>
    <w:rsid w:val="00AC00A7"/>
    <w:pPr>
      <w:ind w:left="737" w:hanging="737"/>
    </w:pPr>
  </w:style>
  <w:style w:type="paragraph" w:customStyle="1" w:styleId="TableTitle">
    <w:name w:val="Table Title"/>
    <w:basedOn w:val="Caption"/>
    <w:next w:val="Subtitle"/>
    <w:qFormat/>
    <w:rsid w:val="00AC00A7"/>
    <w:pPr>
      <w:spacing w:before="120"/>
    </w:pPr>
  </w:style>
  <w:style w:type="paragraph" w:customStyle="1" w:styleId="TableUnitsRow">
    <w:name w:val="Table Units Row"/>
    <w:basedOn w:val="TableBodyText"/>
    <w:rsid w:val="00AC00A7"/>
    <w:pPr>
      <w:spacing w:before="40"/>
    </w:pPr>
  </w:style>
  <w:style w:type="paragraph" w:styleId="TOC1">
    <w:name w:val="toc 1"/>
    <w:basedOn w:val="Normal"/>
    <w:next w:val="TOC2"/>
    <w:link w:val="TOC1Char"/>
    <w:rsid w:val="00AC00A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C00A7"/>
    <w:pPr>
      <w:ind w:left="1191" w:firstLine="0"/>
    </w:pPr>
  </w:style>
  <w:style w:type="paragraph" w:customStyle="1" w:styleId="RecBBullet2">
    <w:name w:val="RecB Bullet 2"/>
    <w:basedOn w:val="ListBullet2"/>
    <w:semiHidden/>
    <w:rsid w:val="00AC00A7"/>
    <w:pPr>
      <w:pBdr>
        <w:left w:val="single" w:sz="24" w:space="29" w:color="C0C0C0"/>
      </w:pBdr>
    </w:pPr>
    <w:rPr>
      <w:b/>
      <w:i/>
    </w:rPr>
  </w:style>
  <w:style w:type="paragraph" w:styleId="BalloonText">
    <w:name w:val="Balloon Text"/>
    <w:basedOn w:val="Normal"/>
    <w:link w:val="BalloonTextChar"/>
    <w:rsid w:val="00AC00A7"/>
    <w:rPr>
      <w:rFonts w:ascii="Tahoma" w:hAnsi="Tahoma" w:cs="Tahoma"/>
      <w:sz w:val="16"/>
      <w:szCs w:val="16"/>
    </w:rPr>
  </w:style>
  <w:style w:type="character" w:customStyle="1" w:styleId="BalloonTextChar">
    <w:name w:val="Balloon Text Char"/>
    <w:basedOn w:val="DefaultParagraphFont"/>
    <w:link w:val="BalloonText"/>
    <w:rsid w:val="00AC00A7"/>
    <w:rPr>
      <w:rFonts w:ascii="Tahoma" w:hAnsi="Tahoma" w:cs="Tahoma"/>
      <w:sz w:val="16"/>
      <w:szCs w:val="16"/>
    </w:rPr>
  </w:style>
  <w:style w:type="character" w:customStyle="1" w:styleId="SubtitleChar">
    <w:name w:val="Subtitle Char"/>
    <w:basedOn w:val="DefaultParagraphFont"/>
    <w:link w:val="Subtitle"/>
    <w:rsid w:val="00AC00A7"/>
    <w:rPr>
      <w:rFonts w:ascii="Arial" w:hAnsi="Arial"/>
      <w:szCs w:val="24"/>
    </w:rPr>
  </w:style>
  <w:style w:type="paragraph" w:customStyle="1" w:styleId="BoxListBullet3">
    <w:name w:val="Box List Bullet 3"/>
    <w:basedOn w:val="ListBullet3"/>
    <w:rsid w:val="00AC00A7"/>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C00A7"/>
    <w:rPr>
      <w:i/>
      <w:iCs/>
    </w:rPr>
  </w:style>
  <w:style w:type="paragraph" w:customStyle="1" w:styleId="BoxQuoteBullet">
    <w:name w:val="Box Quote Bullet"/>
    <w:basedOn w:val="BoxQuote"/>
    <w:next w:val="Box"/>
    <w:rsid w:val="00AC00A7"/>
    <w:pPr>
      <w:numPr>
        <w:numId w:val="12"/>
      </w:numPr>
      <w:ind w:left="568" w:hanging="284"/>
    </w:pPr>
  </w:style>
  <w:style w:type="paragraph" w:customStyle="1" w:styleId="InformationRequestBullet">
    <w:name w:val="Information Request Bullet"/>
    <w:basedOn w:val="ListBullet"/>
    <w:next w:val="BodyText"/>
    <w:rsid w:val="00AC00A7"/>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C00A7"/>
    <w:pPr>
      <w:keepNext w:val="0"/>
      <w:spacing w:before="60" w:after="60" w:line="80" w:lineRule="exact"/>
    </w:pPr>
    <w:rPr>
      <w:sz w:val="14"/>
    </w:rPr>
  </w:style>
  <w:style w:type="paragraph" w:customStyle="1" w:styleId="KeyPointsListBullet">
    <w:name w:val="Key Points List Bullet"/>
    <w:basedOn w:val="Normal"/>
    <w:qFormat/>
    <w:rsid w:val="00AC00A7"/>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C00A7"/>
    <w:pPr>
      <w:numPr>
        <w:numId w:val="21"/>
      </w:numPr>
      <w:ind w:left="568" w:hanging="284"/>
    </w:pPr>
  </w:style>
  <w:style w:type="paragraph" w:customStyle="1" w:styleId="InformationRequestTitle">
    <w:name w:val="Information Request Title"/>
    <w:basedOn w:val="FindingTitle"/>
    <w:next w:val="InformationRequest"/>
    <w:rsid w:val="00AC00A7"/>
    <w:rPr>
      <w:i/>
    </w:rPr>
  </w:style>
  <w:style w:type="paragraph" w:customStyle="1" w:styleId="Space">
    <w:name w:val="Space"/>
    <w:basedOn w:val="Normal"/>
    <w:rsid w:val="00AC00A7"/>
    <w:pPr>
      <w:keepNext/>
      <w:spacing w:line="120" w:lineRule="exact"/>
      <w:jc w:val="both"/>
    </w:pPr>
    <w:rPr>
      <w:rFonts w:ascii="Arial" w:hAnsi="Arial"/>
      <w:sz w:val="20"/>
      <w:szCs w:val="20"/>
    </w:rPr>
  </w:style>
  <w:style w:type="paragraph" w:customStyle="1" w:styleId="Heading1nochapterno">
    <w:name w:val="Heading 1 (no chapter no.)"/>
    <w:basedOn w:val="Heading1"/>
    <w:rsid w:val="00AC00A7"/>
    <w:pPr>
      <w:spacing w:before="0"/>
      <w:ind w:left="0" w:firstLine="0"/>
    </w:pPr>
  </w:style>
  <w:style w:type="paragraph" w:customStyle="1" w:styleId="Heading2nosectionno">
    <w:name w:val="Heading 2 (no section no.)"/>
    <w:basedOn w:val="Heading2"/>
    <w:rsid w:val="00AC00A7"/>
    <w:pPr>
      <w:ind w:left="0" w:firstLine="0"/>
    </w:pPr>
  </w:style>
  <w:style w:type="character" w:customStyle="1" w:styleId="Heading5Char">
    <w:name w:val="Heading 5 Char"/>
    <w:basedOn w:val="DefaultParagraphFont"/>
    <w:link w:val="Heading5"/>
    <w:rsid w:val="00AC00A7"/>
    <w:rPr>
      <w:rFonts w:ascii="Arial" w:hAnsi="Arial"/>
      <w:i/>
      <w:sz w:val="22"/>
    </w:rPr>
  </w:style>
  <w:style w:type="paragraph" w:customStyle="1" w:styleId="Figurespace">
    <w:name w:val="Figure space"/>
    <w:basedOn w:val="Box"/>
    <w:rsid w:val="00AC00A7"/>
    <w:pPr>
      <w:spacing w:before="0" w:line="120" w:lineRule="exact"/>
    </w:pPr>
  </w:style>
  <w:style w:type="paragraph" w:customStyle="1" w:styleId="FooterDraftReport">
    <w:name w:val="FooterDraftReport"/>
    <w:basedOn w:val="Footer"/>
    <w:link w:val="FooterDraftReportChar"/>
    <w:rsid w:val="00AC00A7"/>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C00A7"/>
    <w:rPr>
      <w:sz w:val="24"/>
    </w:rPr>
  </w:style>
  <w:style w:type="character" w:customStyle="1" w:styleId="FooterChar">
    <w:name w:val="Footer Char"/>
    <w:basedOn w:val="BodyTextChar"/>
    <w:link w:val="Footer"/>
    <w:semiHidden/>
    <w:rsid w:val="00AC00A7"/>
    <w:rPr>
      <w:rFonts w:ascii="Arial" w:hAnsi="Arial"/>
      <w:caps/>
      <w:spacing w:val="-4"/>
      <w:sz w:val="16"/>
    </w:rPr>
  </w:style>
  <w:style w:type="character" w:customStyle="1" w:styleId="FooterDraftReportChar">
    <w:name w:val="FooterDraftReport Char"/>
    <w:basedOn w:val="FooterChar"/>
    <w:link w:val="FooterDraftReport"/>
    <w:rsid w:val="00AC00A7"/>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AC0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AC00A7"/>
    <w:rPr>
      <w:rFonts w:ascii="Arial" w:hAnsi="Arial"/>
      <w:b/>
      <w:sz w:val="26"/>
      <w:szCs w:val="26"/>
      <w:lang w:eastAsia="en-US"/>
    </w:rPr>
  </w:style>
  <w:style w:type="character" w:customStyle="1" w:styleId="Continuedintitle">
    <w:name w:val="Continued (in title)"/>
    <w:basedOn w:val="DefaultParagraphFont"/>
    <w:rsid w:val="00AC00A7"/>
    <w:rPr>
      <w:rFonts w:ascii="Arial" w:hAnsi="Arial"/>
      <w:b/>
      <w:sz w:val="18"/>
    </w:rPr>
  </w:style>
  <w:style w:type="character" w:customStyle="1" w:styleId="BoxChar">
    <w:name w:val="Box Char"/>
    <w:link w:val="Box"/>
    <w:locked/>
    <w:rsid w:val="0025024F"/>
    <w:rPr>
      <w:rFonts w:ascii="Arial" w:hAnsi="Arial"/>
    </w:rPr>
  </w:style>
  <w:style w:type="character" w:customStyle="1" w:styleId="CommentTextChar">
    <w:name w:val="Comment Text Char"/>
    <w:basedOn w:val="DefaultParagraphFont"/>
    <w:link w:val="CommentText"/>
    <w:semiHidden/>
    <w:rsid w:val="005F38C8"/>
    <w:rPr>
      <w:szCs w:val="24"/>
    </w:rPr>
  </w:style>
  <w:style w:type="paragraph" w:styleId="CommentSubject">
    <w:name w:val="annotation subject"/>
    <w:basedOn w:val="CommentText"/>
    <w:next w:val="CommentText"/>
    <w:link w:val="CommentSubjectChar"/>
    <w:semiHidden/>
    <w:unhideWhenUsed/>
    <w:rsid w:val="00AE3F2A"/>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AE3F2A"/>
    <w:rPr>
      <w:b/>
      <w:bCs/>
      <w:szCs w:val="24"/>
    </w:rPr>
  </w:style>
  <w:style w:type="character" w:customStyle="1" w:styleId="QuoteChar">
    <w:name w:val="Quote Char"/>
    <w:basedOn w:val="DefaultParagraphFont"/>
    <w:link w:val="Quote"/>
    <w:rsid w:val="00986363"/>
    <w:rPr>
      <w:sz w:val="22"/>
    </w:rPr>
  </w:style>
  <w:style w:type="character" w:styleId="EndnoteReference">
    <w:name w:val="endnote reference"/>
    <w:basedOn w:val="DefaultParagraphFont"/>
    <w:semiHidden/>
    <w:unhideWhenUsed/>
    <w:rsid w:val="00E90316"/>
    <w:rPr>
      <w:vertAlign w:val="superscript"/>
    </w:rPr>
  </w:style>
  <w:style w:type="character" w:styleId="Hyperlink">
    <w:name w:val="Hyperlink"/>
    <w:basedOn w:val="DefaultParagraphFont"/>
    <w:uiPriority w:val="99"/>
    <w:unhideWhenUsed/>
    <w:rsid w:val="00B0695C"/>
    <w:rPr>
      <w:color w:val="0000FF"/>
      <w:u w:val="single"/>
    </w:rPr>
  </w:style>
  <w:style w:type="character" w:styleId="FollowedHyperlink">
    <w:name w:val="FollowedHyperlink"/>
    <w:basedOn w:val="DefaultParagraphFont"/>
    <w:semiHidden/>
    <w:unhideWhenUsed/>
    <w:rsid w:val="0018400A"/>
    <w:rPr>
      <w:color w:val="BFBFBF" w:themeColor="followedHyperlink"/>
      <w:u w:val="single"/>
    </w:rPr>
  </w:style>
  <w:style w:type="paragraph" w:styleId="Bibliography">
    <w:name w:val="Bibliography"/>
    <w:basedOn w:val="Normal"/>
    <w:next w:val="Normal"/>
    <w:uiPriority w:val="37"/>
    <w:unhideWhenUsed/>
    <w:rsid w:val="00386DCF"/>
    <w:pPr>
      <w:spacing w:after="240"/>
      <w:ind w:left="720" w:hanging="720"/>
    </w:pPr>
  </w:style>
  <w:style w:type="paragraph" w:styleId="Revision">
    <w:name w:val="Revision"/>
    <w:hidden/>
    <w:uiPriority w:val="99"/>
    <w:semiHidden/>
    <w:rsid w:val="00F335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182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DAF4-4685-4A3C-BEBF-6B328E7B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24</Pages>
  <Words>8551</Words>
  <Characters>49872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Appendix D</vt:lpstr>
    </vt:vector>
  </TitlesOfParts>
  <Company/>
  <LinksUpToDate>false</LinksUpToDate>
  <CharactersWithSpaces>58307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
  <cp:keywords/>
  <dc:description/>
  <cp:lastModifiedBy/>
  <cp:revision>1</cp:revision>
  <dcterms:created xsi:type="dcterms:W3CDTF">2020-05-27T04:18:00Z</dcterms:created>
  <dcterms:modified xsi:type="dcterms:W3CDTF">2020-06-01T10:03:00Z</dcterms:modified>
</cp:coreProperties>
</file>