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681BF" w14:textId="77777777" w:rsidR="001D28C6" w:rsidRPr="001D28C6" w:rsidRDefault="00CD3CA7" w:rsidP="00D96622">
      <w:pPr>
        <w:pStyle w:val="Heading1"/>
        <w:spacing w:before="0"/>
        <w:rPr>
          <w:color w:val="FFFFFF" w:themeColor="background1"/>
          <w:sz w:val="16"/>
          <w:szCs w:val="16"/>
        </w:rPr>
      </w:pPr>
      <w:bookmarkStart w:id="0" w:name="_Toc12363001"/>
      <w:r w:rsidRPr="001D28C6">
        <w:rPr>
          <w:noProof/>
          <w:color w:val="FFFFFF" w:themeColor="background1"/>
          <w:sz w:val="16"/>
          <w:szCs w:val="16"/>
        </w:rPr>
        <w:drawing>
          <wp:anchor distT="0" distB="0" distL="114300" distR="114300" simplePos="0" relativeHeight="251658240" behindDoc="0" locked="0" layoutInCell="1" allowOverlap="1" wp14:anchorId="09767648" wp14:editId="5AEAB219">
            <wp:simplePos x="0" y="0"/>
            <wp:positionH relativeFrom="page">
              <wp:align>center</wp:align>
            </wp:positionH>
            <wp:positionV relativeFrom="page">
              <wp:align>center</wp:align>
            </wp:positionV>
            <wp:extent cx="7570800" cy="10710000"/>
            <wp:effectExtent l="0" t="0" r="0" b="0"/>
            <wp:wrapNone/>
            <wp:docPr id="4" name="Picture 4" descr="Cover for: Indigenous Evaluation Strategy&#10;Productivity Commission Issues Paper,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sues-paper-cover-IE-inquiry.png"/>
                    <pic:cNvPicPr/>
                  </pic:nvPicPr>
                  <pic:blipFill>
                    <a:blip r:embed="rId12">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001D28C6" w:rsidRPr="001D28C6">
        <w:rPr>
          <w:color w:val="FFFFFF" w:themeColor="background1"/>
          <w:sz w:val="16"/>
          <w:szCs w:val="16"/>
        </w:rPr>
        <w:t>Indigenous Evaluation Strategy</w:t>
      </w:r>
      <w:bookmarkEnd w:id="0"/>
    </w:p>
    <w:p w14:paraId="6001DEEC" w14:textId="59D8A1B8" w:rsidR="00D96622" w:rsidRPr="001D28C6" w:rsidRDefault="00CD3CA7" w:rsidP="001D28C6">
      <w:pPr>
        <w:pStyle w:val="BodyText"/>
        <w:rPr>
          <w:sz w:val="16"/>
          <w:szCs w:val="16"/>
        </w:rPr>
      </w:pPr>
      <w:r w:rsidRPr="001D28C6">
        <w:rPr>
          <w:color w:val="FFFFFF" w:themeColor="background1"/>
          <w:sz w:val="16"/>
          <w:szCs w:val="16"/>
        </w:rPr>
        <w:t xml:space="preserve">Productivity Commission Issues Paper, </w:t>
      </w:r>
      <w:r w:rsidR="001D28C6" w:rsidRPr="001D28C6">
        <w:rPr>
          <w:color w:val="FFFFFF" w:themeColor="background1"/>
          <w:sz w:val="16"/>
          <w:szCs w:val="16"/>
        </w:rPr>
        <w:t xml:space="preserve">June </w:t>
      </w:r>
      <w:r w:rsidRPr="001D28C6">
        <w:rPr>
          <w:color w:val="FFFFFF" w:themeColor="background1"/>
          <w:sz w:val="16"/>
          <w:szCs w:val="16"/>
        </w:rPr>
        <w:t>2018</w:t>
      </w:r>
      <w:r w:rsidR="00D96622" w:rsidRPr="001D28C6">
        <w:rPr>
          <w:sz w:val="16"/>
          <w:szCs w:val="16"/>
        </w:rPr>
        <w:br w:type="page"/>
      </w:r>
      <w:bookmarkStart w:id="1" w:name="_GoBack"/>
      <w:bookmarkEnd w:id="1"/>
    </w:p>
    <w:p w14:paraId="42D1DDE0" w14:textId="77777777" w:rsidR="00D96622"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14:paraId="25F7B3DB" w14:textId="77777777" w:rsidTr="00551497">
        <w:trPr>
          <w:tblHeader/>
        </w:trPr>
        <w:tc>
          <w:tcPr>
            <w:tcW w:w="8771" w:type="dxa"/>
            <w:tcBorders>
              <w:top w:val="single" w:sz="6" w:space="0" w:color="78A22F"/>
              <w:left w:val="nil"/>
              <w:bottom w:val="nil"/>
              <w:right w:val="nil"/>
            </w:tcBorders>
            <w:shd w:val="clear" w:color="auto" w:fill="F2F2F2" w:themeFill="background1" w:themeFillShade="F2"/>
          </w:tcPr>
          <w:p w14:paraId="0839A190" w14:textId="77777777" w:rsidR="00D96622" w:rsidRPr="008A3857" w:rsidRDefault="00D96622" w:rsidP="00551497">
            <w:pPr>
              <w:pStyle w:val="BoxTitle"/>
              <w:rPr>
                <w:sz w:val="22"/>
                <w:szCs w:val="22"/>
              </w:rPr>
            </w:pPr>
            <w:r w:rsidRPr="008A3857">
              <w:rPr>
                <w:sz w:val="22"/>
                <w:szCs w:val="22"/>
              </w:rPr>
              <w:t xml:space="preserve">The </w:t>
            </w:r>
            <w:r>
              <w:rPr>
                <w:sz w:val="22"/>
                <w:szCs w:val="22"/>
              </w:rPr>
              <w:t>Issues Paper</w:t>
            </w:r>
          </w:p>
        </w:tc>
      </w:tr>
      <w:tr w:rsidR="00D96622" w14:paraId="5FFE4127" w14:textId="77777777" w:rsidTr="00551497">
        <w:tc>
          <w:tcPr>
            <w:tcW w:w="8771" w:type="dxa"/>
            <w:tcBorders>
              <w:top w:val="nil"/>
              <w:left w:val="nil"/>
              <w:bottom w:val="nil"/>
              <w:right w:val="nil"/>
            </w:tcBorders>
            <w:shd w:val="clear" w:color="auto" w:fill="F2F2F2" w:themeFill="background1" w:themeFillShade="F2"/>
          </w:tcPr>
          <w:p w14:paraId="2ABBA849" w14:textId="21AC591C" w:rsidR="00D96622" w:rsidRDefault="00D96622" w:rsidP="00551497">
            <w:pPr>
              <w:pStyle w:val="Box"/>
            </w:pPr>
            <w:r>
              <w:t xml:space="preserve">The Commission has released this issues paper to assist individuals and organisations to prepare submissions to the </w:t>
            </w:r>
            <w:r w:rsidR="008C0CC5">
              <w:t>project</w:t>
            </w:r>
            <w:r>
              <w:t>. It contains and outlines:</w:t>
            </w:r>
          </w:p>
          <w:p w14:paraId="7C33B62F" w14:textId="226CA75E" w:rsidR="00D96622" w:rsidRDefault="00D96622" w:rsidP="00E86978">
            <w:pPr>
              <w:pStyle w:val="BoxListBullet"/>
              <w:numPr>
                <w:ilvl w:val="0"/>
                <w:numId w:val="30"/>
              </w:numPr>
            </w:pPr>
            <w:r>
              <w:t xml:space="preserve">the scope of the </w:t>
            </w:r>
            <w:r w:rsidR="00232766">
              <w:t>projec</w:t>
            </w:r>
            <w:r w:rsidR="00D731FC">
              <w:t>t</w:t>
            </w:r>
          </w:p>
          <w:p w14:paraId="66E115B8" w14:textId="77777777" w:rsidR="00D96622" w:rsidRDefault="00D96622" w:rsidP="00E86978">
            <w:pPr>
              <w:pStyle w:val="BoxListBullet"/>
              <w:numPr>
                <w:ilvl w:val="0"/>
                <w:numId w:val="30"/>
              </w:numPr>
            </w:pPr>
            <w:r>
              <w:t>the Commission’s procedures</w:t>
            </w:r>
          </w:p>
          <w:p w14:paraId="640B1C5E" w14:textId="77777777" w:rsidR="00D96622" w:rsidRDefault="00D96622" w:rsidP="00E86978">
            <w:pPr>
              <w:pStyle w:val="BoxListBullet"/>
              <w:numPr>
                <w:ilvl w:val="0"/>
                <w:numId w:val="30"/>
              </w:numPr>
            </w:pPr>
            <w:r>
              <w:t>matters about which the Commission is seeking comment and information</w:t>
            </w:r>
          </w:p>
          <w:p w14:paraId="194C2AE7" w14:textId="77777777" w:rsidR="00D96622" w:rsidRDefault="00D96622" w:rsidP="00E86978">
            <w:pPr>
              <w:pStyle w:val="BoxListBullet"/>
              <w:numPr>
                <w:ilvl w:val="0"/>
                <w:numId w:val="30"/>
              </w:numPr>
            </w:pPr>
            <w:proofErr w:type="gramStart"/>
            <w:r>
              <w:t>how</w:t>
            </w:r>
            <w:proofErr w:type="gramEnd"/>
            <w:r>
              <w:t xml:space="preserve"> to make a submission.</w:t>
            </w:r>
          </w:p>
          <w:p w14:paraId="1A1690D9" w14:textId="22EDABF4" w:rsidR="00D96622" w:rsidRDefault="00D96622" w:rsidP="00551497">
            <w:pPr>
              <w:pStyle w:val="Box"/>
            </w:pPr>
            <w:r>
              <w:t xml:space="preserve">Participants should not feel that they are restricted to comment only on matters raised in the issues paper. The Commission wishes to receive information and comment on issues which participants consider relevant to the </w:t>
            </w:r>
            <w:r w:rsidR="00232766">
              <w:t>project’s</w:t>
            </w:r>
            <w:r>
              <w:t xml:space="preserve"> </w:t>
            </w:r>
            <w:r w:rsidR="0035702B">
              <w:t>l</w:t>
            </w:r>
            <w:r w:rsidR="00CA4707">
              <w:t>etter</w:t>
            </w:r>
            <w:r>
              <w:t xml:space="preserve"> of </w:t>
            </w:r>
            <w:r w:rsidR="0035702B">
              <w:t>d</w:t>
            </w:r>
            <w:r w:rsidR="00CA4707">
              <w:t>irection</w:t>
            </w:r>
            <w:r>
              <w:t>.</w:t>
            </w:r>
          </w:p>
          <w:p w14:paraId="6EBF9FC2" w14:textId="2C8BD1B1" w:rsidR="00D96622" w:rsidRDefault="00D96622" w:rsidP="00551497">
            <w:pPr>
              <w:pStyle w:val="BoxHeading1"/>
            </w:pPr>
            <w:r>
              <w:t xml:space="preserve">Key </w:t>
            </w:r>
            <w:r w:rsidR="00232766">
              <w:t>project</w:t>
            </w:r>
            <w:r>
              <w:t xml:space="preserve">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D96622" w14:paraId="37D68C7B" w14:textId="77777777" w:rsidTr="00551497">
              <w:trPr>
                <w:tblHeader/>
              </w:trPr>
              <w:tc>
                <w:tcPr>
                  <w:tcW w:w="3522" w:type="dxa"/>
                  <w:tcMar>
                    <w:left w:w="0" w:type="dxa"/>
                  </w:tcMar>
                </w:tcPr>
                <w:p w14:paraId="4860C7E4" w14:textId="0AF84401" w:rsidR="00D96622" w:rsidRDefault="00232766" w:rsidP="00551497">
                  <w:pPr>
                    <w:pStyle w:val="Box"/>
                  </w:pPr>
                  <w:r>
                    <w:t>Project commencement</w:t>
                  </w:r>
                </w:p>
              </w:tc>
              <w:tc>
                <w:tcPr>
                  <w:tcW w:w="4950" w:type="dxa"/>
                </w:tcPr>
                <w:p w14:paraId="43E15DC1" w14:textId="1DFB5D42" w:rsidR="00D96622" w:rsidRDefault="00CA4707" w:rsidP="00551497">
                  <w:pPr>
                    <w:pStyle w:val="Box"/>
                  </w:pPr>
                  <w:r>
                    <w:t>10 April 2019</w:t>
                  </w:r>
                </w:p>
              </w:tc>
            </w:tr>
            <w:tr w:rsidR="00D96622" w14:paraId="63524FAC" w14:textId="77777777" w:rsidTr="00551497">
              <w:tc>
                <w:tcPr>
                  <w:tcW w:w="3522" w:type="dxa"/>
                  <w:tcMar>
                    <w:left w:w="0" w:type="dxa"/>
                  </w:tcMar>
                </w:tcPr>
                <w:p w14:paraId="3CD81C95" w14:textId="77777777" w:rsidR="00D96622" w:rsidRDefault="00D96622" w:rsidP="00551497">
                  <w:pPr>
                    <w:pStyle w:val="Box"/>
                    <w:spacing w:before="60"/>
                  </w:pPr>
                  <w:r>
                    <w:t>Due date for submissions</w:t>
                  </w:r>
                </w:p>
              </w:tc>
              <w:tc>
                <w:tcPr>
                  <w:tcW w:w="4950" w:type="dxa"/>
                </w:tcPr>
                <w:p w14:paraId="49CD480F" w14:textId="7A6EABBB" w:rsidR="00D96622" w:rsidRDefault="00A73F8E" w:rsidP="00551497">
                  <w:pPr>
                    <w:pStyle w:val="Box"/>
                    <w:spacing w:before="60"/>
                  </w:pPr>
                  <w:r>
                    <w:t>23</w:t>
                  </w:r>
                  <w:r w:rsidR="00232766">
                    <w:t xml:space="preserve"> </w:t>
                  </w:r>
                  <w:r w:rsidR="00CA4707">
                    <w:t>August 2019</w:t>
                  </w:r>
                </w:p>
              </w:tc>
            </w:tr>
            <w:tr w:rsidR="00D96622" w14:paraId="66E9A620" w14:textId="77777777" w:rsidTr="00551497">
              <w:tc>
                <w:tcPr>
                  <w:tcW w:w="3522" w:type="dxa"/>
                  <w:tcMar>
                    <w:left w:w="0" w:type="dxa"/>
                  </w:tcMar>
                </w:tcPr>
                <w:p w14:paraId="05A1E8F7" w14:textId="77777777" w:rsidR="00D96622" w:rsidRDefault="00D96622" w:rsidP="00551497">
                  <w:pPr>
                    <w:pStyle w:val="Box"/>
                    <w:spacing w:before="60"/>
                  </w:pPr>
                  <w:r>
                    <w:t>Release of draft report</w:t>
                  </w:r>
                </w:p>
              </w:tc>
              <w:tc>
                <w:tcPr>
                  <w:tcW w:w="4950" w:type="dxa"/>
                </w:tcPr>
                <w:p w14:paraId="2F72EC8D" w14:textId="21356F4E" w:rsidR="00D96622" w:rsidRDefault="00CA4707" w:rsidP="00551497">
                  <w:pPr>
                    <w:pStyle w:val="Box"/>
                    <w:spacing w:before="60"/>
                  </w:pPr>
                  <w:r>
                    <w:t>February 2020</w:t>
                  </w:r>
                </w:p>
              </w:tc>
            </w:tr>
            <w:tr w:rsidR="00D96622" w14:paraId="506145E6" w14:textId="77777777" w:rsidTr="00551497">
              <w:tc>
                <w:tcPr>
                  <w:tcW w:w="3522" w:type="dxa"/>
                  <w:tcMar>
                    <w:left w:w="0" w:type="dxa"/>
                  </w:tcMar>
                </w:tcPr>
                <w:p w14:paraId="3DCC115E" w14:textId="77777777" w:rsidR="00D96622" w:rsidRDefault="00D96622" w:rsidP="00551497">
                  <w:pPr>
                    <w:pStyle w:val="Box"/>
                    <w:spacing w:before="60"/>
                  </w:pPr>
                  <w:r>
                    <w:t>Final report to Government</w:t>
                  </w:r>
                </w:p>
              </w:tc>
              <w:tc>
                <w:tcPr>
                  <w:tcW w:w="4950" w:type="dxa"/>
                </w:tcPr>
                <w:p w14:paraId="58C31DF6" w14:textId="4215BC65" w:rsidR="00D96622" w:rsidRDefault="00CA4707" w:rsidP="00551497">
                  <w:pPr>
                    <w:pStyle w:val="Box"/>
                    <w:spacing w:before="60"/>
                  </w:pPr>
                  <w:r>
                    <w:t>July 2020</w:t>
                  </w:r>
                </w:p>
              </w:tc>
            </w:tr>
          </w:tbl>
          <w:p w14:paraId="3EC37919" w14:textId="77777777" w:rsidR="00D96622" w:rsidRDefault="00D96622" w:rsidP="00551497">
            <w:pPr>
              <w:pStyle w:val="BoxHeading1"/>
            </w:pPr>
            <w:r>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D96622" w14:paraId="716EFD02" w14:textId="77777777" w:rsidTr="00551497">
              <w:trPr>
                <w:tblHeader/>
              </w:trPr>
              <w:tc>
                <w:tcPr>
                  <w:tcW w:w="3522" w:type="dxa"/>
                  <w:tcMar>
                    <w:left w:w="0" w:type="dxa"/>
                  </w:tcMar>
                </w:tcPr>
                <w:p w14:paraId="6C09872D" w14:textId="77777777" w:rsidR="00D96622" w:rsidRDefault="00D96622" w:rsidP="00551497">
                  <w:pPr>
                    <w:pStyle w:val="Box"/>
                  </w:pPr>
                  <w:r>
                    <w:t>Online:</w:t>
                  </w:r>
                </w:p>
              </w:tc>
              <w:tc>
                <w:tcPr>
                  <w:tcW w:w="4950" w:type="dxa"/>
                </w:tcPr>
                <w:p w14:paraId="4493B40C" w14:textId="4FDE1250" w:rsidR="00D96622" w:rsidRPr="001C6856" w:rsidRDefault="00CD5F7B" w:rsidP="00551497">
                  <w:pPr>
                    <w:pStyle w:val="Box"/>
                  </w:pPr>
                  <w:hyperlink r:id="rId13" w:history="1">
                    <w:r w:rsidR="000A3259" w:rsidRPr="001C6856">
                      <w:rPr>
                        <w:rStyle w:val="Hyperlink"/>
                        <w:u w:val="none"/>
                      </w:rPr>
                      <w:t>www.pc.gov.au/</w:t>
                    </w:r>
                    <w:r w:rsidR="00CA4707" w:rsidRPr="001C6856">
                      <w:rPr>
                        <w:rStyle w:val="Hyperlink"/>
                        <w:u w:val="none"/>
                      </w:rPr>
                      <w:t>Indigenous</w:t>
                    </w:r>
                    <w:r w:rsidR="000A3259" w:rsidRPr="001C6856">
                      <w:rPr>
                        <w:rStyle w:val="Hyperlink"/>
                        <w:u w:val="none"/>
                      </w:rPr>
                      <w:t>-</w:t>
                    </w:r>
                    <w:r w:rsidR="00CA4707" w:rsidRPr="001C6856">
                      <w:rPr>
                        <w:rStyle w:val="Hyperlink"/>
                        <w:u w:val="none"/>
                      </w:rPr>
                      <w:t>Evaluation</w:t>
                    </w:r>
                  </w:hyperlink>
                </w:p>
              </w:tc>
            </w:tr>
            <w:tr w:rsidR="00C1782A" w14:paraId="630B2EEB" w14:textId="77777777" w:rsidTr="00551497">
              <w:trPr>
                <w:tblHeader/>
              </w:trPr>
              <w:tc>
                <w:tcPr>
                  <w:tcW w:w="3522" w:type="dxa"/>
                  <w:tcMar>
                    <w:left w:w="0" w:type="dxa"/>
                  </w:tcMar>
                </w:tcPr>
                <w:p w14:paraId="2B996F7A" w14:textId="286B98AD" w:rsidR="00C1782A" w:rsidRDefault="00C1782A" w:rsidP="00551497">
                  <w:pPr>
                    <w:pStyle w:val="Box"/>
                  </w:pPr>
                  <w:r>
                    <w:t>By phone:</w:t>
                  </w:r>
                </w:p>
              </w:tc>
              <w:tc>
                <w:tcPr>
                  <w:tcW w:w="4950" w:type="dxa"/>
                </w:tcPr>
                <w:p w14:paraId="38565517" w14:textId="41009B0B" w:rsidR="00C1782A" w:rsidRDefault="00623565" w:rsidP="00551497">
                  <w:pPr>
                    <w:pStyle w:val="Box"/>
                  </w:pPr>
                  <w:r>
                    <w:t>03 9653 2356</w:t>
                  </w:r>
                </w:p>
              </w:tc>
            </w:tr>
            <w:tr w:rsidR="00D96622" w14:paraId="54E7E2A6" w14:textId="77777777" w:rsidTr="00551497">
              <w:tc>
                <w:tcPr>
                  <w:tcW w:w="3522" w:type="dxa"/>
                  <w:tcMar>
                    <w:left w:w="0" w:type="dxa"/>
                  </w:tcMar>
                </w:tcPr>
                <w:p w14:paraId="49ED2EF6" w14:textId="77777777" w:rsidR="00D96622" w:rsidRDefault="00D96622" w:rsidP="00551497">
                  <w:pPr>
                    <w:pStyle w:val="Box"/>
                    <w:spacing w:before="60"/>
                    <w:jc w:val="left"/>
                  </w:pPr>
                  <w:r>
                    <w:t>By post:</w:t>
                  </w:r>
                </w:p>
              </w:tc>
              <w:tc>
                <w:tcPr>
                  <w:tcW w:w="4950" w:type="dxa"/>
                </w:tcPr>
                <w:p w14:paraId="2B2F6950" w14:textId="2B3EF37C" w:rsidR="00D96622" w:rsidRDefault="00CA4707" w:rsidP="00551497">
                  <w:pPr>
                    <w:pStyle w:val="Box"/>
                    <w:spacing w:before="60"/>
                    <w:jc w:val="left"/>
                  </w:pPr>
                  <w:r>
                    <w:t>Indigenous Evaluation Strategy</w:t>
                  </w:r>
                  <w:r w:rsidR="00D96622">
                    <w:br/>
                    <w:t>Productivity Commission</w:t>
                  </w:r>
                  <w:r w:rsidR="00D96622">
                    <w:br/>
                  </w:r>
                  <w:r>
                    <w:t>Locked Bag 2, Collins St East</w:t>
                  </w:r>
                  <w:r w:rsidR="00D96622">
                    <w:br/>
                  </w:r>
                  <w:r w:rsidR="00AD0E82">
                    <w:t>Melbourne VIC 8003</w:t>
                  </w:r>
                </w:p>
              </w:tc>
            </w:tr>
          </w:tbl>
          <w:p w14:paraId="5EEEEA2C" w14:textId="77777777" w:rsidR="00D96622" w:rsidRDefault="00D96622" w:rsidP="00551497">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D96622" w14:paraId="6481BA63" w14:textId="77777777" w:rsidTr="00551497">
              <w:trPr>
                <w:tblHeader/>
              </w:trPr>
              <w:tc>
                <w:tcPr>
                  <w:tcW w:w="3522" w:type="dxa"/>
                  <w:tcMar>
                    <w:left w:w="0" w:type="dxa"/>
                  </w:tcMar>
                </w:tcPr>
                <w:p w14:paraId="0E9A7B18" w14:textId="77777777" w:rsidR="00D96622" w:rsidRDefault="00D96622" w:rsidP="00551497">
                  <w:pPr>
                    <w:pStyle w:val="Box"/>
                  </w:pPr>
                  <w:r>
                    <w:t>Administrative matters:</w:t>
                  </w:r>
                </w:p>
              </w:tc>
              <w:tc>
                <w:tcPr>
                  <w:tcW w:w="2268" w:type="dxa"/>
                </w:tcPr>
                <w:p w14:paraId="57710AC7" w14:textId="50AC6084" w:rsidR="00D96622" w:rsidRDefault="00AD0E82" w:rsidP="00551497">
                  <w:pPr>
                    <w:pStyle w:val="Box"/>
                  </w:pPr>
                  <w:r>
                    <w:t>Karen Carmichael</w:t>
                  </w:r>
                </w:p>
              </w:tc>
              <w:tc>
                <w:tcPr>
                  <w:tcW w:w="2682" w:type="dxa"/>
                </w:tcPr>
                <w:p w14:paraId="26B763F0" w14:textId="44A9F3E0" w:rsidR="00D96622" w:rsidRDefault="00D96622" w:rsidP="00551497">
                  <w:pPr>
                    <w:pStyle w:val="Box"/>
                  </w:pPr>
                  <w:proofErr w:type="spellStart"/>
                  <w:r>
                    <w:t>Ph</w:t>
                  </w:r>
                  <w:proofErr w:type="spellEnd"/>
                  <w:r>
                    <w:t xml:space="preserve">: </w:t>
                  </w:r>
                  <w:r w:rsidR="00AD0E82">
                    <w:t>03 9653 2356</w:t>
                  </w:r>
                </w:p>
              </w:tc>
            </w:tr>
            <w:tr w:rsidR="00D96622" w14:paraId="5BCA5041" w14:textId="77777777" w:rsidTr="00E86978">
              <w:tc>
                <w:tcPr>
                  <w:tcW w:w="3522" w:type="dxa"/>
                  <w:tcMar>
                    <w:left w:w="0" w:type="dxa"/>
                  </w:tcMar>
                </w:tcPr>
                <w:p w14:paraId="5FD85DC0" w14:textId="77777777" w:rsidR="00D96622" w:rsidRDefault="00D96622" w:rsidP="00551497">
                  <w:pPr>
                    <w:pStyle w:val="Box"/>
                    <w:spacing w:before="60"/>
                  </w:pPr>
                  <w:r>
                    <w:t>Other matters:</w:t>
                  </w:r>
                </w:p>
              </w:tc>
              <w:tc>
                <w:tcPr>
                  <w:tcW w:w="2268" w:type="dxa"/>
                </w:tcPr>
                <w:p w14:paraId="0A917D46" w14:textId="3502F7D7" w:rsidR="00D96622" w:rsidRPr="000A3259" w:rsidRDefault="00E86978" w:rsidP="00551497">
                  <w:pPr>
                    <w:pStyle w:val="Box"/>
                    <w:spacing w:before="60"/>
                    <w:rPr>
                      <w:highlight w:val="yellow"/>
                    </w:rPr>
                  </w:pPr>
                  <w:r w:rsidRPr="00E86978">
                    <w:t>Peter Daniel</w:t>
                  </w:r>
                </w:p>
              </w:tc>
              <w:tc>
                <w:tcPr>
                  <w:tcW w:w="2682" w:type="dxa"/>
                  <w:shd w:val="clear" w:color="auto" w:fill="auto"/>
                </w:tcPr>
                <w:p w14:paraId="0A7F96D6" w14:textId="1C9DB0D4" w:rsidR="00D96622" w:rsidRPr="000A3259" w:rsidRDefault="00D96622" w:rsidP="00551497">
                  <w:pPr>
                    <w:pStyle w:val="Box"/>
                    <w:spacing w:before="60"/>
                    <w:rPr>
                      <w:highlight w:val="yellow"/>
                    </w:rPr>
                  </w:pPr>
                  <w:proofErr w:type="spellStart"/>
                  <w:r w:rsidRPr="00E86978">
                    <w:t>Ph</w:t>
                  </w:r>
                  <w:proofErr w:type="spellEnd"/>
                  <w:r w:rsidRPr="00E86978">
                    <w:t xml:space="preserve">: </w:t>
                  </w:r>
                  <w:r w:rsidR="00E86978">
                    <w:t>03 9653 2200</w:t>
                  </w:r>
                </w:p>
              </w:tc>
            </w:tr>
            <w:tr w:rsidR="00D96622" w14:paraId="35D5F992" w14:textId="77777777" w:rsidTr="00551497">
              <w:tc>
                <w:tcPr>
                  <w:tcW w:w="3522" w:type="dxa"/>
                  <w:tcMar>
                    <w:left w:w="0" w:type="dxa"/>
                  </w:tcMar>
                </w:tcPr>
                <w:p w14:paraId="7B75B682" w14:textId="77777777" w:rsidR="00D96622" w:rsidRDefault="00D96622" w:rsidP="00551497">
                  <w:pPr>
                    <w:pStyle w:val="Box"/>
                    <w:spacing w:before="60"/>
                  </w:pPr>
                  <w:proofErr w:type="spellStart"/>
                  <w:r>
                    <w:t>Freecall</w:t>
                  </w:r>
                  <w:proofErr w:type="spellEnd"/>
                  <w:r>
                    <w:t xml:space="preserve"> number for regional areas:</w:t>
                  </w:r>
                </w:p>
              </w:tc>
              <w:tc>
                <w:tcPr>
                  <w:tcW w:w="2268" w:type="dxa"/>
                </w:tcPr>
                <w:p w14:paraId="6DE7A4D1" w14:textId="77777777" w:rsidR="00D96622" w:rsidRDefault="00D96622" w:rsidP="00551497">
                  <w:pPr>
                    <w:pStyle w:val="Box"/>
                    <w:spacing w:before="60"/>
                  </w:pPr>
                  <w:r>
                    <w:t>1800 020 083</w:t>
                  </w:r>
                </w:p>
              </w:tc>
              <w:tc>
                <w:tcPr>
                  <w:tcW w:w="2682" w:type="dxa"/>
                </w:tcPr>
                <w:p w14:paraId="6AAACF0C" w14:textId="77777777" w:rsidR="00D96622" w:rsidRDefault="00D96622" w:rsidP="00551497">
                  <w:pPr>
                    <w:pStyle w:val="Box"/>
                    <w:spacing w:before="60"/>
                  </w:pPr>
                </w:p>
              </w:tc>
            </w:tr>
            <w:tr w:rsidR="00D96622" w14:paraId="559C759C" w14:textId="77777777" w:rsidTr="00551497">
              <w:tc>
                <w:tcPr>
                  <w:tcW w:w="3522" w:type="dxa"/>
                  <w:tcMar>
                    <w:left w:w="0" w:type="dxa"/>
                  </w:tcMar>
                </w:tcPr>
                <w:p w14:paraId="6CD41354" w14:textId="77777777" w:rsidR="00D96622" w:rsidRDefault="00D96622" w:rsidP="00551497">
                  <w:pPr>
                    <w:pStyle w:val="Box"/>
                    <w:spacing w:before="60"/>
                  </w:pPr>
                  <w:r>
                    <w:t>Website:</w:t>
                  </w:r>
                </w:p>
              </w:tc>
              <w:tc>
                <w:tcPr>
                  <w:tcW w:w="2268" w:type="dxa"/>
                </w:tcPr>
                <w:p w14:paraId="1EF66DB0" w14:textId="77777777" w:rsidR="00D96622" w:rsidRPr="009F3E26" w:rsidRDefault="00D96622" w:rsidP="00551497">
                  <w:pPr>
                    <w:pStyle w:val="Box"/>
                    <w:spacing w:before="60"/>
                    <w:rPr>
                      <w:b/>
                    </w:rPr>
                  </w:pPr>
                  <w:r w:rsidRPr="009F3E26">
                    <w:rPr>
                      <w:b/>
                    </w:rPr>
                    <w:t>www.pc.gov.au</w:t>
                  </w:r>
                </w:p>
              </w:tc>
              <w:tc>
                <w:tcPr>
                  <w:tcW w:w="2682" w:type="dxa"/>
                </w:tcPr>
                <w:p w14:paraId="6EDAA944" w14:textId="77777777" w:rsidR="00D96622" w:rsidRDefault="00D96622" w:rsidP="00551497">
                  <w:pPr>
                    <w:pStyle w:val="Box"/>
                    <w:spacing w:before="60"/>
                  </w:pPr>
                </w:p>
              </w:tc>
            </w:tr>
          </w:tbl>
          <w:p w14:paraId="6E58CEB1" w14:textId="77777777" w:rsidR="00D96622" w:rsidRDefault="00D96622" w:rsidP="00551497">
            <w:pPr>
              <w:pStyle w:val="Box"/>
            </w:pPr>
          </w:p>
        </w:tc>
      </w:tr>
      <w:tr w:rsidR="00D96622" w14:paraId="4DB630CF" w14:textId="77777777" w:rsidTr="00551497">
        <w:tc>
          <w:tcPr>
            <w:tcW w:w="8771" w:type="dxa"/>
            <w:tcBorders>
              <w:top w:val="nil"/>
              <w:left w:val="nil"/>
              <w:bottom w:val="single" w:sz="6" w:space="0" w:color="78A22F"/>
              <w:right w:val="nil"/>
            </w:tcBorders>
            <w:shd w:val="clear" w:color="auto" w:fill="F2F2F2" w:themeFill="background1" w:themeFillShade="F2"/>
          </w:tcPr>
          <w:p w14:paraId="381661E4" w14:textId="77777777" w:rsidR="00D96622" w:rsidRDefault="00D96622" w:rsidP="00551497">
            <w:pPr>
              <w:pStyle w:val="Box"/>
              <w:spacing w:before="0" w:line="120" w:lineRule="exact"/>
            </w:pPr>
          </w:p>
        </w:tc>
      </w:tr>
    </w:tbl>
    <w:p w14:paraId="617B4BE4" w14:textId="77777777" w:rsidR="00D96622"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14:paraId="7BE89E50" w14:textId="77777777" w:rsidTr="00551497">
        <w:trPr>
          <w:tblHeader/>
        </w:trPr>
        <w:tc>
          <w:tcPr>
            <w:tcW w:w="8771" w:type="dxa"/>
            <w:tcBorders>
              <w:top w:val="single" w:sz="6" w:space="0" w:color="78A22F"/>
              <w:left w:val="nil"/>
              <w:bottom w:val="nil"/>
              <w:right w:val="nil"/>
            </w:tcBorders>
            <w:shd w:val="clear" w:color="auto" w:fill="F2F2F2" w:themeFill="background1" w:themeFillShade="F2"/>
          </w:tcPr>
          <w:p w14:paraId="521B49BC" w14:textId="77777777" w:rsidR="00D96622" w:rsidRPr="008A3857" w:rsidRDefault="00D96622" w:rsidP="00551497">
            <w:pPr>
              <w:pStyle w:val="BoxTitle"/>
              <w:rPr>
                <w:sz w:val="22"/>
                <w:szCs w:val="22"/>
              </w:rPr>
            </w:pPr>
            <w:r w:rsidRPr="008A3857">
              <w:rPr>
                <w:sz w:val="22"/>
                <w:szCs w:val="22"/>
              </w:rPr>
              <w:t>The Productivity Commission</w:t>
            </w:r>
          </w:p>
        </w:tc>
      </w:tr>
      <w:tr w:rsidR="00D96622" w14:paraId="146D2D85" w14:textId="77777777" w:rsidTr="00551497">
        <w:trPr>
          <w:cantSplit/>
        </w:trPr>
        <w:tc>
          <w:tcPr>
            <w:tcW w:w="8771" w:type="dxa"/>
            <w:tcBorders>
              <w:top w:val="nil"/>
              <w:left w:val="nil"/>
              <w:bottom w:val="nil"/>
              <w:right w:val="nil"/>
            </w:tcBorders>
            <w:shd w:val="clear" w:color="auto" w:fill="F2F2F2" w:themeFill="background1" w:themeFillShade="F2"/>
          </w:tcPr>
          <w:p w14:paraId="260E6E48" w14:textId="77777777" w:rsidR="00D96622" w:rsidRDefault="00D96622" w:rsidP="00551497">
            <w:pPr>
              <w:pStyle w:val="Box"/>
            </w:pPr>
            <w:r w:rsidRPr="00BB5DCF">
              <w:t xml:space="preserve">The Productivity Commission is the Australian Government’s independent research and advisory body on a range of economic, social and environmental issues affecting the welfare of </w:t>
            </w:r>
            <w:r w:rsidRPr="00BB5DCF">
              <w:lastRenderedPageBreak/>
              <w:t>Australians. Its role, expressed most simply, is to help governments make better policies, in the long term interest of the Australian community.</w:t>
            </w:r>
          </w:p>
          <w:p w14:paraId="12A98684" w14:textId="77777777" w:rsidR="00D96622" w:rsidRDefault="00D96622" w:rsidP="00551497">
            <w:pPr>
              <w:pStyle w:val="Box"/>
            </w:pPr>
            <w:r w:rsidRPr="00BB5DCF">
              <w:t>The Commission’s independence is underpinned by an Act of Parliament. Its processes and outputs are open to public scrutiny and are driven by concern for the wellbeing of the community as a whole.</w:t>
            </w:r>
          </w:p>
          <w:p w14:paraId="0C9A3EF0" w14:textId="77777777" w:rsidR="00D96622" w:rsidRDefault="00D96622" w:rsidP="00551497">
            <w:pPr>
              <w:pStyle w:val="Box"/>
            </w:pPr>
            <w:r w:rsidRPr="00BB5DCF">
              <w:rPr>
                <w:szCs w:val="24"/>
              </w:rPr>
              <w:t>Further information on the Productivity Commission can be obtained from the Commission’s website (www.pc.gov.au)</w:t>
            </w:r>
            <w:r>
              <w:rPr>
                <w:szCs w:val="24"/>
              </w:rPr>
              <w:t>.</w:t>
            </w:r>
          </w:p>
        </w:tc>
      </w:tr>
      <w:tr w:rsidR="00D96622" w14:paraId="05C5E4F2" w14:textId="77777777" w:rsidTr="00551497">
        <w:trPr>
          <w:cantSplit/>
        </w:trPr>
        <w:tc>
          <w:tcPr>
            <w:tcW w:w="8771" w:type="dxa"/>
            <w:tcBorders>
              <w:top w:val="nil"/>
              <w:left w:val="nil"/>
              <w:bottom w:val="single" w:sz="6" w:space="0" w:color="78A22F"/>
              <w:right w:val="nil"/>
            </w:tcBorders>
            <w:shd w:val="clear" w:color="auto" w:fill="F2F2F2" w:themeFill="background1" w:themeFillShade="F2"/>
          </w:tcPr>
          <w:p w14:paraId="3B7800DD" w14:textId="77777777" w:rsidR="00D96622" w:rsidRDefault="00D96622" w:rsidP="00551497">
            <w:pPr>
              <w:pStyle w:val="Box"/>
              <w:spacing w:before="0" w:line="120" w:lineRule="exact"/>
            </w:pPr>
          </w:p>
        </w:tc>
      </w:tr>
    </w:tbl>
    <w:p w14:paraId="13ECD668" w14:textId="77777777" w:rsidR="00D96622" w:rsidRDefault="00D96622" w:rsidP="00D96622">
      <w:pPr>
        <w:pStyle w:val="BodyText"/>
      </w:pPr>
    </w:p>
    <w:p w14:paraId="7FEA19FC" w14:textId="77777777" w:rsidR="00D96622" w:rsidRPr="00415F39" w:rsidRDefault="00D96622" w:rsidP="00D96622">
      <w:pPr>
        <w:pStyle w:val="BodyText"/>
        <w:sectPr w:rsidR="00D96622" w:rsidRPr="00415F39" w:rsidSect="00D96622">
          <w:headerReference w:type="default" r:id="rId14"/>
          <w:footerReference w:type="default" r:id="rId15"/>
          <w:pgSz w:w="11907" w:h="16840" w:code="9"/>
          <w:pgMar w:top="1560" w:right="1304" w:bottom="851" w:left="1814" w:header="1276" w:footer="397" w:gutter="0"/>
          <w:pgNumType w:fmt="lowerRoman" w:chapSep="period"/>
          <w:cols w:space="720"/>
          <w:titlePg/>
        </w:sectPr>
      </w:pPr>
    </w:p>
    <w:p w14:paraId="6D3FD4CB" w14:textId="7E66F0AE" w:rsidR="00CF6976" w:rsidRDefault="00D96622" w:rsidP="00D96622">
      <w:pPr>
        <w:pStyle w:val="Heading2nosectionno"/>
      </w:pPr>
      <w:bookmarkStart w:id="2" w:name="_Toc10709991"/>
      <w:bookmarkStart w:id="3" w:name="_Toc10734415"/>
      <w:bookmarkStart w:id="4" w:name="_Toc10735487"/>
      <w:bookmarkStart w:id="5" w:name="_Toc10794216"/>
      <w:bookmarkStart w:id="6" w:name="_Toc10795551"/>
      <w:bookmarkStart w:id="7" w:name="_Toc10795696"/>
      <w:bookmarkStart w:id="8" w:name="_Toc10802383"/>
      <w:bookmarkStart w:id="9" w:name="_Toc10808029"/>
      <w:bookmarkStart w:id="10" w:name="_Toc10808770"/>
      <w:bookmarkStart w:id="11" w:name="_Toc12272472"/>
      <w:r>
        <w:lastRenderedPageBreak/>
        <w:t>Contents</w:t>
      </w:r>
      <w:bookmarkEnd w:id="2"/>
      <w:bookmarkEnd w:id="3"/>
      <w:bookmarkEnd w:id="4"/>
      <w:bookmarkEnd w:id="5"/>
      <w:bookmarkEnd w:id="6"/>
      <w:bookmarkEnd w:id="7"/>
      <w:bookmarkEnd w:id="8"/>
      <w:bookmarkEnd w:id="9"/>
      <w:bookmarkEnd w:id="10"/>
      <w:bookmarkEnd w:id="11"/>
    </w:p>
    <w:p w14:paraId="293216A9" w14:textId="70482995" w:rsidR="009B4124" w:rsidRPr="009B4124" w:rsidRDefault="009B4124" w:rsidP="009B4124">
      <w:pPr>
        <w:pStyle w:val="TOC1"/>
        <w:spacing w:before="360"/>
        <w:rPr>
          <w:rFonts w:eastAsiaTheme="minorEastAsia"/>
          <w:b w:val="0"/>
        </w:rPr>
      </w:pPr>
      <w:r w:rsidRPr="009B4124">
        <w:rPr>
          <w:b w:val="0"/>
        </w:rPr>
        <w:t>1</w:t>
      </w:r>
      <w:r w:rsidRPr="009B4124">
        <w:rPr>
          <w:rFonts w:eastAsiaTheme="minorEastAsia"/>
          <w:b w:val="0"/>
        </w:rPr>
        <w:tab/>
      </w:r>
      <w:r w:rsidRPr="009B4124">
        <w:rPr>
          <w:b w:val="0"/>
        </w:rPr>
        <w:t>What is this project about?</w:t>
      </w:r>
      <w:r w:rsidRPr="009B4124">
        <w:rPr>
          <w:b w:val="0"/>
        </w:rPr>
        <w:tab/>
      </w:r>
      <w:r>
        <w:rPr>
          <w:b w:val="0"/>
          <w:noProof/>
        </w:rPr>
        <w:t>1</w:t>
      </w:r>
    </w:p>
    <w:p w14:paraId="019C2BFD" w14:textId="730ACD3B" w:rsidR="009B4124" w:rsidRDefault="009B4124" w:rsidP="009B4124">
      <w:pPr>
        <w:pStyle w:val="TOC1"/>
        <w:rPr>
          <w:b w:val="0"/>
          <w:noProof/>
        </w:rPr>
      </w:pPr>
      <w:r w:rsidRPr="009B4124">
        <w:rPr>
          <w:b w:val="0"/>
        </w:rPr>
        <w:t>2</w:t>
      </w:r>
      <w:r w:rsidRPr="009B4124">
        <w:rPr>
          <w:rFonts w:eastAsiaTheme="minorEastAsia"/>
          <w:b w:val="0"/>
        </w:rPr>
        <w:tab/>
      </w:r>
      <w:r w:rsidRPr="009B4124">
        <w:rPr>
          <w:b w:val="0"/>
        </w:rPr>
        <w:t>Government policies and programs affecting Aboriginal and Torres Strait Islander people</w:t>
      </w:r>
      <w:r w:rsidRPr="009B4124">
        <w:rPr>
          <w:b w:val="0"/>
        </w:rPr>
        <w:tab/>
      </w:r>
      <w:r>
        <w:rPr>
          <w:b w:val="0"/>
          <w:noProof/>
        </w:rPr>
        <w:t>6</w:t>
      </w:r>
    </w:p>
    <w:p w14:paraId="49F89F22" w14:textId="33A17B1D" w:rsidR="006B1524" w:rsidRPr="006B1524" w:rsidRDefault="006B1524" w:rsidP="006B1524">
      <w:pPr>
        <w:pStyle w:val="TOC2"/>
        <w:ind w:left="510" w:hanging="510"/>
        <w:rPr>
          <w:rFonts w:eastAsiaTheme="minorEastAsia"/>
        </w:rPr>
      </w:pPr>
      <w:r>
        <w:rPr>
          <w:rFonts w:eastAsiaTheme="minorEastAsia"/>
        </w:rPr>
        <w:t>3</w:t>
      </w:r>
      <w:r>
        <w:rPr>
          <w:rFonts w:eastAsiaTheme="minorEastAsia"/>
        </w:rPr>
        <w:tab/>
      </w:r>
      <w:r w:rsidRPr="006B1524">
        <w:rPr>
          <w:rFonts w:eastAsiaTheme="minorEastAsia"/>
        </w:rPr>
        <w:t>Evaluation concepts and practice</w:t>
      </w:r>
      <w:r>
        <w:rPr>
          <w:rFonts w:eastAsiaTheme="minorEastAsia"/>
        </w:rPr>
        <w:tab/>
        <w:t>14</w:t>
      </w:r>
    </w:p>
    <w:p w14:paraId="5F502D2D" w14:textId="0B898A03" w:rsidR="009B4124" w:rsidRPr="009B4124" w:rsidRDefault="009B4124" w:rsidP="009B4124">
      <w:pPr>
        <w:pStyle w:val="TOC1"/>
        <w:rPr>
          <w:rFonts w:eastAsiaTheme="minorEastAsia"/>
          <w:b w:val="0"/>
        </w:rPr>
      </w:pPr>
      <w:r w:rsidRPr="009B4124">
        <w:rPr>
          <w:b w:val="0"/>
        </w:rPr>
        <w:t>4</w:t>
      </w:r>
      <w:r w:rsidRPr="009B4124">
        <w:rPr>
          <w:rFonts w:eastAsiaTheme="minorEastAsia"/>
          <w:b w:val="0"/>
        </w:rPr>
        <w:tab/>
      </w:r>
      <w:r w:rsidRPr="009B4124">
        <w:rPr>
          <w:b w:val="0"/>
        </w:rPr>
        <w:t>Developing an Indigenous evaluation framework</w:t>
      </w:r>
      <w:r w:rsidRPr="009B4124">
        <w:rPr>
          <w:b w:val="0"/>
        </w:rPr>
        <w:tab/>
      </w:r>
      <w:r>
        <w:rPr>
          <w:b w:val="0"/>
          <w:noProof/>
        </w:rPr>
        <w:t>24</w:t>
      </w:r>
    </w:p>
    <w:p w14:paraId="21E1EDE5" w14:textId="6105080F" w:rsidR="009B4124" w:rsidRPr="009B4124" w:rsidRDefault="009B4124" w:rsidP="009B4124">
      <w:pPr>
        <w:pStyle w:val="TOC1"/>
        <w:rPr>
          <w:rFonts w:eastAsiaTheme="minorEastAsia"/>
          <w:b w:val="0"/>
        </w:rPr>
      </w:pPr>
      <w:r w:rsidRPr="009B4124">
        <w:rPr>
          <w:b w:val="0"/>
        </w:rPr>
        <w:t>5</w:t>
      </w:r>
      <w:r w:rsidRPr="009B4124">
        <w:rPr>
          <w:rFonts w:eastAsiaTheme="minorEastAsia"/>
          <w:b w:val="0"/>
        </w:rPr>
        <w:tab/>
      </w:r>
      <w:r w:rsidRPr="009B4124">
        <w:rPr>
          <w:b w:val="0"/>
        </w:rPr>
        <w:t>Ensuring effective evaluation</w:t>
      </w:r>
      <w:r w:rsidRPr="009B4124">
        <w:rPr>
          <w:b w:val="0"/>
        </w:rPr>
        <w:tab/>
      </w:r>
      <w:r>
        <w:rPr>
          <w:b w:val="0"/>
          <w:noProof/>
        </w:rPr>
        <w:t>37</w:t>
      </w:r>
    </w:p>
    <w:p w14:paraId="73702143" w14:textId="7330F63E" w:rsidR="009B4124" w:rsidRPr="009B4124" w:rsidRDefault="009B4124" w:rsidP="009B4124">
      <w:pPr>
        <w:pStyle w:val="TOC1"/>
        <w:rPr>
          <w:rFonts w:eastAsiaTheme="minorEastAsia"/>
          <w:b w:val="0"/>
        </w:rPr>
      </w:pPr>
      <w:r w:rsidRPr="009B4124">
        <w:rPr>
          <w:b w:val="0"/>
        </w:rPr>
        <w:t>6</w:t>
      </w:r>
      <w:r w:rsidRPr="009B4124">
        <w:rPr>
          <w:rFonts w:eastAsiaTheme="minorEastAsia"/>
          <w:b w:val="0"/>
        </w:rPr>
        <w:tab/>
      </w:r>
      <w:r w:rsidRPr="009B4124">
        <w:rPr>
          <w:b w:val="0"/>
        </w:rPr>
        <w:t>How can you contribute?</w:t>
      </w:r>
      <w:r w:rsidRPr="009B4124">
        <w:rPr>
          <w:b w:val="0"/>
        </w:rPr>
        <w:tab/>
      </w:r>
      <w:r>
        <w:rPr>
          <w:b w:val="0"/>
          <w:noProof/>
        </w:rPr>
        <w:t>43</w:t>
      </w:r>
    </w:p>
    <w:p w14:paraId="2FB8F496" w14:textId="066909D7" w:rsidR="009B4124" w:rsidRPr="009B4124" w:rsidRDefault="009B4124" w:rsidP="009B4124">
      <w:pPr>
        <w:pStyle w:val="TOC1"/>
        <w:spacing w:before="360"/>
        <w:rPr>
          <w:rFonts w:eastAsiaTheme="minorEastAsia"/>
          <w:b w:val="0"/>
        </w:rPr>
      </w:pPr>
      <w:r w:rsidRPr="009B4124">
        <w:rPr>
          <w:b w:val="0"/>
        </w:rPr>
        <w:t>Appendix A: Letter of Direction</w:t>
      </w:r>
      <w:r w:rsidRPr="009B4124">
        <w:rPr>
          <w:b w:val="0"/>
        </w:rPr>
        <w:tab/>
      </w:r>
      <w:r>
        <w:rPr>
          <w:b w:val="0"/>
          <w:noProof/>
        </w:rPr>
        <w:t>45</w:t>
      </w:r>
    </w:p>
    <w:p w14:paraId="658BF209" w14:textId="4787538E" w:rsidR="009B4124" w:rsidRPr="009B4124" w:rsidRDefault="009B4124" w:rsidP="009B4124">
      <w:pPr>
        <w:pStyle w:val="TOC1"/>
        <w:rPr>
          <w:rFonts w:eastAsiaTheme="minorEastAsia"/>
          <w:b w:val="0"/>
        </w:rPr>
      </w:pPr>
      <w:r w:rsidRPr="009B4124">
        <w:rPr>
          <w:b w:val="0"/>
        </w:rPr>
        <w:t>References</w:t>
      </w:r>
      <w:r w:rsidRPr="009B4124">
        <w:rPr>
          <w:b w:val="0"/>
        </w:rPr>
        <w:tab/>
      </w:r>
      <w:r>
        <w:rPr>
          <w:b w:val="0"/>
          <w:noProof/>
        </w:rPr>
        <w:t>47</w:t>
      </w:r>
    </w:p>
    <w:p w14:paraId="527CDF82" w14:textId="40F02C3A" w:rsidR="009B4124" w:rsidRPr="009B4124" w:rsidRDefault="009B4124" w:rsidP="009B4124">
      <w:pPr>
        <w:pStyle w:val="TOC1"/>
        <w:rPr>
          <w:b w:val="0"/>
        </w:rPr>
      </w:pPr>
      <w:r w:rsidRPr="009B4124">
        <w:rPr>
          <w:b w:val="0"/>
        </w:rPr>
        <w:t>Attachment: How to make a submission</w:t>
      </w:r>
      <w:r w:rsidRPr="009B4124">
        <w:rPr>
          <w:b w:val="0"/>
        </w:rPr>
        <w:tab/>
      </w:r>
      <w:r>
        <w:rPr>
          <w:b w:val="0"/>
          <w:noProof/>
        </w:rPr>
        <w:t>53</w:t>
      </w:r>
    </w:p>
    <w:p w14:paraId="15AA99BE" w14:textId="4EE74210" w:rsidR="006D4DA0" w:rsidRDefault="006D4DA0" w:rsidP="006D4DA0">
      <w:pPr>
        <w:pStyle w:val="BodyText"/>
      </w:pPr>
      <w:bookmarkStart w:id="12" w:name="_Toc10808771"/>
      <w:bookmarkStart w:id="13" w:name="_Toc10808030"/>
      <w:bookmarkStart w:id="14" w:name="_Toc10802384"/>
      <w:bookmarkStart w:id="15" w:name="_Toc10795697"/>
      <w:bookmarkStart w:id="16" w:name="_Toc10795552"/>
      <w:bookmarkStart w:id="17" w:name="_Toc10794217"/>
      <w:bookmarkStart w:id="18" w:name="_Toc10735488"/>
      <w:bookmarkStart w:id="19" w:name="_Toc10734416"/>
      <w:bookmarkStart w:id="20" w:name="_Toc10709992"/>
    </w:p>
    <w:p w14:paraId="4CD8C372" w14:textId="77777777" w:rsidR="006D4DA0" w:rsidRDefault="006D4DA0" w:rsidP="006D4DA0">
      <w:pPr>
        <w:pStyle w:val="BodyText"/>
        <w:sectPr w:rsidR="006D4DA0" w:rsidSect="006D4DA0">
          <w:headerReference w:type="even" r:id="rId16"/>
          <w:headerReference w:type="default" r:id="rId17"/>
          <w:footerReference w:type="even" r:id="rId18"/>
          <w:footerReference w:type="default" r:id="rId19"/>
          <w:pgSz w:w="11907" w:h="16840" w:code="9"/>
          <w:pgMar w:top="1985" w:right="1304" w:bottom="1247" w:left="1814" w:header="1701" w:footer="397" w:gutter="0"/>
          <w:pgNumType w:fmt="lowerRoman" w:chapSep="period"/>
          <w:cols w:space="720"/>
        </w:sectPr>
      </w:pPr>
    </w:p>
    <w:p w14:paraId="15C795AA" w14:textId="693FC0FB" w:rsidR="0027672C" w:rsidRDefault="0027672C" w:rsidP="0027672C">
      <w:pPr>
        <w:pStyle w:val="Heading2"/>
      </w:pPr>
      <w:bookmarkStart w:id="21" w:name="_Toc12272473"/>
      <w:bookmarkStart w:id="22" w:name="_Toc12363002"/>
      <w:r>
        <w:lastRenderedPageBreak/>
        <w:t>1</w:t>
      </w:r>
      <w:r>
        <w:tab/>
        <w:t>What is this project about?</w:t>
      </w:r>
      <w:bookmarkEnd w:id="12"/>
      <w:bookmarkEnd w:id="13"/>
      <w:bookmarkEnd w:id="14"/>
      <w:bookmarkEnd w:id="15"/>
      <w:bookmarkEnd w:id="16"/>
      <w:bookmarkEnd w:id="17"/>
      <w:bookmarkEnd w:id="18"/>
      <w:bookmarkEnd w:id="19"/>
      <w:bookmarkEnd w:id="20"/>
      <w:bookmarkEnd w:id="21"/>
      <w:bookmarkEnd w:id="22"/>
    </w:p>
    <w:p w14:paraId="24C558E0" w14:textId="4F6D8902" w:rsidR="0027672C" w:rsidRDefault="00C1782A" w:rsidP="001C6856">
      <w:pPr>
        <w:pStyle w:val="Heading3"/>
        <w:spacing w:before="280"/>
      </w:pPr>
      <w:bookmarkStart w:id="23" w:name="_Toc10800746"/>
      <w:bookmarkStart w:id="24" w:name="_Toc10802385"/>
      <w:bookmarkStart w:id="25" w:name="_Toc10808031"/>
      <w:bookmarkStart w:id="26" w:name="_Toc10808772"/>
      <w:bookmarkStart w:id="27" w:name="_Toc12272474"/>
      <w:r>
        <w:t>B</w:t>
      </w:r>
      <w:bookmarkEnd w:id="23"/>
      <w:r>
        <w:t>ackground</w:t>
      </w:r>
      <w:bookmarkEnd w:id="24"/>
      <w:bookmarkEnd w:id="25"/>
      <w:bookmarkEnd w:id="26"/>
      <w:bookmarkEnd w:id="27"/>
    </w:p>
    <w:p w14:paraId="41EF531B" w14:textId="43980D64" w:rsidR="0027672C" w:rsidRDefault="0027672C" w:rsidP="001C6856">
      <w:pPr>
        <w:pStyle w:val="Heading4"/>
        <w:spacing w:before="240"/>
      </w:pPr>
      <w:r>
        <w:t xml:space="preserve">What has the </w:t>
      </w:r>
      <w:r w:rsidR="00E00255">
        <w:t>C</w:t>
      </w:r>
      <w:r>
        <w:t>ommission been asked to do?</w:t>
      </w:r>
    </w:p>
    <w:p w14:paraId="15540276" w14:textId="77777777" w:rsidR="0027672C" w:rsidRDefault="0027672C" w:rsidP="0027672C">
      <w:pPr>
        <w:pStyle w:val="BodyText"/>
      </w:pPr>
      <w:r>
        <w:t>The Commission has been asked to develop a whole-of-government evaluation strategy, to be utilised by all Australian Government agencies, for policies and programs affecting Aboriginal and Torres Strait Islander people. As part of this strategy, the Commission has been asked to:</w:t>
      </w:r>
    </w:p>
    <w:p w14:paraId="52EF1F90" w14:textId="3B469E61" w:rsidR="0027672C" w:rsidRDefault="0027672C" w:rsidP="0027672C">
      <w:pPr>
        <w:pStyle w:val="ListBullet"/>
      </w:pPr>
      <w:r>
        <w:t>establish a principles</w:t>
      </w:r>
      <w:r w:rsidR="00E00255">
        <w:t>-</w:t>
      </w:r>
      <w:r>
        <w:t>based framework for the evaluation of policies and programs affecting Indigenous Australians</w:t>
      </w:r>
    </w:p>
    <w:p w14:paraId="3A9AC815" w14:textId="77777777" w:rsidR="0027672C" w:rsidRDefault="0027672C" w:rsidP="0027672C">
      <w:pPr>
        <w:pStyle w:val="ListBullet"/>
      </w:pPr>
      <w:r>
        <w:t>identify priorities for evaluation</w:t>
      </w:r>
    </w:p>
    <w:p w14:paraId="5EFA8F44" w14:textId="4C29FF19" w:rsidR="0027672C" w:rsidRDefault="0027672C" w:rsidP="0027672C">
      <w:pPr>
        <w:pStyle w:val="ListBullet"/>
      </w:pPr>
      <w:proofErr w:type="gramStart"/>
      <w:r>
        <w:t>set</w:t>
      </w:r>
      <w:proofErr w:type="gramEnd"/>
      <w:r>
        <w:t xml:space="preserve"> out its approach for reviewing agencies’ conduct of evaluation</w:t>
      </w:r>
      <w:r w:rsidR="003E022C">
        <w:t>s</w:t>
      </w:r>
      <w:r>
        <w:t xml:space="preserve"> against the strategy.</w:t>
      </w:r>
    </w:p>
    <w:p w14:paraId="4D57020A" w14:textId="11D8AC71" w:rsidR="0027672C" w:rsidRDefault="0027672C" w:rsidP="0027672C">
      <w:pPr>
        <w:pStyle w:val="BodyText"/>
      </w:pPr>
      <w:r>
        <w:t>The Letter of Direction</w:t>
      </w:r>
      <w:r w:rsidR="00466BB3">
        <w:t xml:space="preserve"> </w:t>
      </w:r>
      <w:r>
        <w:t xml:space="preserve">indicates that the Commission will have an ongoing role — in terms of monitoring agency performance against the </w:t>
      </w:r>
      <w:r w:rsidR="00E00255">
        <w:t>S</w:t>
      </w:r>
      <w:r>
        <w:t xml:space="preserve">trategy, refining the </w:t>
      </w:r>
      <w:r w:rsidR="00E00255">
        <w:t>S</w:t>
      </w:r>
      <w:r>
        <w:t>trategy and potentially conducting evaluations itself.</w:t>
      </w:r>
    </w:p>
    <w:p w14:paraId="1DF60769" w14:textId="77777777" w:rsidR="0027672C" w:rsidRDefault="0027672C" w:rsidP="0027672C">
      <w:pPr>
        <w:pStyle w:val="Heading4"/>
      </w:pPr>
      <w:r>
        <w:t>The motivation for this project</w:t>
      </w:r>
    </w:p>
    <w:p w14:paraId="7A171EA1" w14:textId="5352B94F" w:rsidR="00FC514C" w:rsidRPr="007C08B2" w:rsidRDefault="00FC514C" w:rsidP="00FC514C">
      <w:pPr>
        <w:spacing w:before="240" w:line="300" w:lineRule="atLeast"/>
        <w:jc w:val="both"/>
        <w:rPr>
          <w:szCs w:val="20"/>
        </w:rPr>
      </w:pPr>
      <w:r w:rsidRPr="007C08B2">
        <w:rPr>
          <w:szCs w:val="20"/>
        </w:rPr>
        <w:t xml:space="preserve">There are increasing calls from the Aboriginal and Torres Strait Islander community for a greater focus on monitoring and evaluation to improve program design, delivery and accountability. ‘Too often, evaluations of key Indigenous reforms have been of limited usefulness for Indigenous people and policymakers. The evidence about what works, including for whom, under what circumstances, at what cost, and why, remains scant’ </w:t>
      </w:r>
      <w:r w:rsidR="003E41C3" w:rsidRPr="003E41C3">
        <w:t>(Empowered Communities 2015, p. 90)</w:t>
      </w:r>
      <w:r w:rsidRPr="007C08B2">
        <w:rPr>
          <w:szCs w:val="20"/>
        </w:rPr>
        <w:t>.</w:t>
      </w:r>
    </w:p>
    <w:p w14:paraId="02870F74" w14:textId="7AC2D873" w:rsidR="0027672C" w:rsidRPr="007C08B2" w:rsidRDefault="0027672C" w:rsidP="0027672C">
      <w:pPr>
        <w:spacing w:before="240" w:line="300" w:lineRule="atLeast"/>
        <w:jc w:val="both"/>
        <w:rPr>
          <w:szCs w:val="20"/>
        </w:rPr>
      </w:pPr>
      <w:r w:rsidRPr="007C08B2">
        <w:rPr>
          <w:szCs w:val="20"/>
        </w:rPr>
        <w:lastRenderedPageBreak/>
        <w:t xml:space="preserve">Since the introduction of the Closing the Gap framework in 2008, there has been extensive reporting on outcomes for Aboriginal and Torres Strait Islander people. However, it has been estimated that less than 10 per cent of Indigenous-specific programs are evaluated </w:t>
      </w:r>
      <w:r w:rsidR="003E41C3" w:rsidRPr="003E41C3">
        <w:t>(Hudson 2016, p. 1)</w:t>
      </w:r>
      <w:r w:rsidRPr="007C08B2">
        <w:rPr>
          <w:szCs w:val="20"/>
        </w:rPr>
        <w:t>. Where evaluations have been conducted, many ‘have lacked a suitable measure of rigour and independence’</w:t>
      </w:r>
      <w:r w:rsidR="007D259D">
        <w:rPr>
          <w:szCs w:val="20"/>
        </w:rPr>
        <w:t xml:space="preserve"> </w:t>
      </w:r>
      <w:r w:rsidR="003E41C3" w:rsidRPr="003E41C3">
        <w:t>(Department of Finance and Deregulation 2010, p. 12)</w:t>
      </w:r>
      <w:r w:rsidRPr="007C08B2">
        <w:rPr>
          <w:szCs w:val="20"/>
        </w:rPr>
        <w:t>.</w:t>
      </w:r>
    </w:p>
    <w:p w14:paraId="1268937C" w14:textId="7E2F4CC5" w:rsidR="0027672C" w:rsidRPr="007C08B2" w:rsidRDefault="009D0FA1" w:rsidP="0027672C">
      <w:pPr>
        <w:spacing w:before="240" w:line="300" w:lineRule="atLeast"/>
        <w:jc w:val="both"/>
        <w:rPr>
          <w:szCs w:val="20"/>
        </w:rPr>
      </w:pPr>
      <w:r>
        <w:rPr>
          <w:szCs w:val="20"/>
        </w:rPr>
        <w:t xml:space="preserve">The Indigenous </w:t>
      </w:r>
      <w:r w:rsidR="00FD2FCC">
        <w:t>E</w:t>
      </w:r>
      <w:r>
        <w:t xml:space="preserve">valuation </w:t>
      </w:r>
      <w:r w:rsidR="00FD2FCC">
        <w:t>S</w:t>
      </w:r>
      <w:r>
        <w:t xml:space="preserve">trategy presents an opportunity to lead the way in evaluation of government </w:t>
      </w:r>
      <w:r w:rsidR="004819D3">
        <w:t>policies and programs</w:t>
      </w:r>
      <w:r w:rsidR="003E022C">
        <w:t xml:space="preserve"> affecting Aboriginal and Torres Strait Islander people</w:t>
      </w:r>
      <w:r>
        <w:t>.</w:t>
      </w:r>
      <w:r w:rsidRPr="007C08B2">
        <w:rPr>
          <w:szCs w:val="20"/>
        </w:rPr>
        <w:t xml:space="preserve"> </w:t>
      </w:r>
      <w:r w:rsidR="0027672C" w:rsidRPr="007C08B2">
        <w:rPr>
          <w:szCs w:val="20"/>
        </w:rPr>
        <w:t xml:space="preserve">The Productivity Commission has long identified the </w:t>
      </w:r>
      <w:r w:rsidR="0040171B">
        <w:rPr>
          <w:szCs w:val="20"/>
        </w:rPr>
        <w:t>potential</w:t>
      </w:r>
      <w:r w:rsidR="0040171B" w:rsidRPr="007C08B2">
        <w:rPr>
          <w:szCs w:val="20"/>
        </w:rPr>
        <w:t xml:space="preserve"> </w:t>
      </w:r>
      <w:r w:rsidR="0027672C" w:rsidRPr="007C08B2">
        <w:rPr>
          <w:szCs w:val="20"/>
        </w:rPr>
        <w:t xml:space="preserve">for </w:t>
      </w:r>
      <w:r w:rsidR="0040171B">
        <w:rPr>
          <w:szCs w:val="20"/>
        </w:rPr>
        <w:t>increased use of</w:t>
      </w:r>
      <w:r w:rsidR="0040171B" w:rsidRPr="007C08B2">
        <w:rPr>
          <w:szCs w:val="20"/>
        </w:rPr>
        <w:t xml:space="preserve"> </w:t>
      </w:r>
      <w:r w:rsidR="0027672C" w:rsidRPr="007C08B2">
        <w:rPr>
          <w:szCs w:val="20"/>
        </w:rPr>
        <w:t xml:space="preserve">evaluation </w:t>
      </w:r>
      <w:r w:rsidR="0040171B" w:rsidRPr="007C08B2">
        <w:rPr>
          <w:szCs w:val="20"/>
        </w:rPr>
        <w:t>to improve policy-making and outcomes</w:t>
      </w:r>
      <w:r w:rsidR="0040171B">
        <w:rPr>
          <w:szCs w:val="20"/>
        </w:rPr>
        <w:t>, both generally</w:t>
      </w:r>
      <w:r w:rsidR="0040171B" w:rsidRPr="007C08B2">
        <w:rPr>
          <w:szCs w:val="20"/>
        </w:rPr>
        <w:t xml:space="preserve"> </w:t>
      </w:r>
      <w:r w:rsidR="0027672C" w:rsidRPr="007C08B2">
        <w:rPr>
          <w:szCs w:val="20"/>
        </w:rPr>
        <w:t xml:space="preserve">(for example, </w:t>
      </w:r>
      <w:r w:rsidR="0027672C">
        <w:rPr>
          <w:szCs w:val="20"/>
        </w:rPr>
        <w:t>in its five</w:t>
      </w:r>
      <w:r w:rsidR="000E5696">
        <w:rPr>
          <w:szCs w:val="20"/>
        </w:rPr>
        <w:t xml:space="preserve"> </w:t>
      </w:r>
      <w:r w:rsidR="0027672C">
        <w:rPr>
          <w:szCs w:val="20"/>
        </w:rPr>
        <w:t xml:space="preserve">yearly productivity review, </w:t>
      </w:r>
      <w:r w:rsidR="0027672C">
        <w:rPr>
          <w:i/>
          <w:szCs w:val="20"/>
        </w:rPr>
        <w:t xml:space="preserve">Shifting the Dial </w:t>
      </w:r>
      <w:r w:rsidR="003A2B57" w:rsidRPr="003A2B57">
        <w:t>(PC 2017, p. 204)</w:t>
      </w:r>
      <w:r w:rsidR="00E00255">
        <w:rPr>
          <w:szCs w:val="20"/>
        </w:rPr>
        <w:t xml:space="preserve"> </w:t>
      </w:r>
      <w:r w:rsidR="0027672C" w:rsidRPr="007C08B2">
        <w:rPr>
          <w:szCs w:val="20"/>
        </w:rPr>
        <w:t>and</w:t>
      </w:r>
      <w:r w:rsidR="0040171B" w:rsidDel="005D42D6">
        <w:rPr>
          <w:szCs w:val="20"/>
        </w:rPr>
        <w:t xml:space="preserve"> </w:t>
      </w:r>
      <w:r w:rsidR="0040171B">
        <w:rPr>
          <w:szCs w:val="20"/>
        </w:rPr>
        <w:t>for</w:t>
      </w:r>
      <w:r w:rsidR="0027672C" w:rsidRPr="007C08B2">
        <w:rPr>
          <w:szCs w:val="20"/>
        </w:rPr>
        <w:t xml:space="preserve"> </w:t>
      </w:r>
      <w:r w:rsidR="004819D3">
        <w:rPr>
          <w:szCs w:val="20"/>
        </w:rPr>
        <w:t>policies and programs</w:t>
      </w:r>
      <w:r w:rsidR="0027672C" w:rsidRPr="007C08B2">
        <w:rPr>
          <w:szCs w:val="20"/>
        </w:rPr>
        <w:t xml:space="preserve"> </w:t>
      </w:r>
      <w:r w:rsidR="0027672C">
        <w:rPr>
          <w:szCs w:val="20"/>
        </w:rPr>
        <w:t>affecting Aboriginal and Torres Strait Islander people</w:t>
      </w:r>
      <w:r w:rsidR="0027672C" w:rsidRPr="007C08B2">
        <w:rPr>
          <w:szCs w:val="20"/>
        </w:rPr>
        <w:t>. Participants in a roundtable conference convened by the Commission in 2012 agreed that significant gaps existed in the evidence base</w:t>
      </w:r>
      <w:r w:rsidR="00467072">
        <w:rPr>
          <w:szCs w:val="20"/>
        </w:rPr>
        <w:t xml:space="preserve"> for </w:t>
      </w:r>
      <w:r w:rsidR="0027672C" w:rsidRPr="007C08B2">
        <w:rPr>
          <w:szCs w:val="20"/>
        </w:rPr>
        <w:t>polic</w:t>
      </w:r>
      <w:r w:rsidR="00467072">
        <w:rPr>
          <w:szCs w:val="20"/>
        </w:rPr>
        <w:t>ies and programs affecting Aboriginal and Torres Strait Islander people</w:t>
      </w:r>
      <w:r w:rsidR="0027672C" w:rsidRPr="007C08B2">
        <w:rPr>
          <w:szCs w:val="20"/>
        </w:rPr>
        <w:t xml:space="preserve"> </w:t>
      </w:r>
      <w:r w:rsidR="003A2B57" w:rsidRPr="003A2B57">
        <w:t>(PC 2013)</w:t>
      </w:r>
      <w:r w:rsidR="0027672C" w:rsidRPr="007C08B2">
        <w:rPr>
          <w:szCs w:val="20"/>
        </w:rPr>
        <w:t xml:space="preserve">. The 2015 National Indigenous Reform Agreement </w:t>
      </w:r>
      <w:r w:rsidR="00E00255">
        <w:rPr>
          <w:szCs w:val="20"/>
        </w:rPr>
        <w:t xml:space="preserve">(NIRA) </w:t>
      </w:r>
      <w:r w:rsidR="0027672C" w:rsidRPr="007C08B2">
        <w:rPr>
          <w:szCs w:val="20"/>
        </w:rPr>
        <w:t xml:space="preserve">assessment report argued that ‘evaluation is the key to designing policies that achieve positive outcomes for Indigenous Australians’ </w:t>
      </w:r>
      <w:r w:rsidR="003A2B57" w:rsidRPr="003A2B57">
        <w:t>(PC 2015, p. 168)</w:t>
      </w:r>
      <w:r w:rsidR="0027672C" w:rsidRPr="007C08B2">
        <w:rPr>
          <w:szCs w:val="20"/>
        </w:rPr>
        <w:t>.</w:t>
      </w:r>
    </w:p>
    <w:p w14:paraId="29EB12D3" w14:textId="263CE7FA" w:rsidR="002B3130" w:rsidRDefault="002B3130" w:rsidP="002B3130">
      <w:pPr>
        <w:pStyle w:val="Heading3"/>
      </w:pPr>
      <w:bookmarkStart w:id="28" w:name="_Toc10709994"/>
      <w:bookmarkStart w:id="29" w:name="_Toc10734418"/>
      <w:bookmarkStart w:id="30" w:name="_Toc10735490"/>
      <w:bookmarkStart w:id="31" w:name="_Toc10794219"/>
      <w:bookmarkStart w:id="32" w:name="_Toc10795554"/>
      <w:bookmarkStart w:id="33" w:name="_Toc10795699"/>
      <w:bookmarkStart w:id="34" w:name="_Toc10802386"/>
      <w:bookmarkStart w:id="35" w:name="_Toc10808032"/>
      <w:bookmarkStart w:id="36" w:name="_Toc10808773"/>
      <w:bookmarkStart w:id="37" w:name="_Toc12272475"/>
      <w:r>
        <w:t>Objectives of the Indigenous Evaluation Strategy</w:t>
      </w:r>
      <w:bookmarkEnd w:id="28"/>
      <w:bookmarkEnd w:id="29"/>
      <w:bookmarkEnd w:id="30"/>
      <w:bookmarkEnd w:id="31"/>
      <w:bookmarkEnd w:id="32"/>
      <w:bookmarkEnd w:id="33"/>
      <w:bookmarkEnd w:id="34"/>
      <w:bookmarkEnd w:id="35"/>
      <w:bookmarkEnd w:id="36"/>
      <w:bookmarkEnd w:id="37"/>
    </w:p>
    <w:p w14:paraId="3A3DFF32" w14:textId="77777777" w:rsidR="002B3130" w:rsidRDefault="002B3130" w:rsidP="002B3130">
      <w:pPr>
        <w:pStyle w:val="Heading4"/>
      </w:pPr>
      <w:r>
        <w:t>Delivering better outcomes for Aboriginal and Torres Strait Islander people</w:t>
      </w:r>
    </w:p>
    <w:p w14:paraId="7773F322" w14:textId="5EA280AF" w:rsidR="002B3130" w:rsidRDefault="002B3130" w:rsidP="002B3130">
      <w:pPr>
        <w:spacing w:before="240" w:line="300" w:lineRule="atLeast"/>
        <w:jc w:val="both"/>
        <w:rPr>
          <w:szCs w:val="20"/>
        </w:rPr>
      </w:pPr>
      <w:r w:rsidRPr="003C76AB">
        <w:rPr>
          <w:szCs w:val="20"/>
        </w:rPr>
        <w:t xml:space="preserve">The Letter of Direction suggests that the overriding objective of the project is to improve outcomes for </w:t>
      </w:r>
      <w:r>
        <w:rPr>
          <w:szCs w:val="20"/>
        </w:rPr>
        <w:t>Aboriginal and Torres Strait Islander</w:t>
      </w:r>
      <w:r w:rsidRPr="003C76AB">
        <w:rPr>
          <w:szCs w:val="20"/>
        </w:rPr>
        <w:t xml:space="preserve"> </w:t>
      </w:r>
      <w:r>
        <w:rPr>
          <w:szCs w:val="20"/>
        </w:rPr>
        <w:t>people</w:t>
      </w:r>
      <w:r w:rsidRPr="003C76AB">
        <w:rPr>
          <w:szCs w:val="20"/>
        </w:rPr>
        <w:t xml:space="preserve">. </w:t>
      </w:r>
      <w:r w:rsidR="00072B21">
        <w:rPr>
          <w:szCs w:val="20"/>
        </w:rPr>
        <w:t>B</w:t>
      </w:r>
      <w:r>
        <w:rPr>
          <w:szCs w:val="20"/>
        </w:rPr>
        <w:t>eyond this i</w:t>
      </w:r>
      <w:r w:rsidRPr="003C76AB">
        <w:rPr>
          <w:szCs w:val="20"/>
        </w:rPr>
        <w:t xml:space="preserve">t is likely that views </w:t>
      </w:r>
      <w:r>
        <w:rPr>
          <w:szCs w:val="20"/>
        </w:rPr>
        <w:t xml:space="preserve">may differ </w:t>
      </w:r>
      <w:r w:rsidRPr="003C76AB">
        <w:rPr>
          <w:szCs w:val="20"/>
        </w:rPr>
        <w:t xml:space="preserve">on </w:t>
      </w:r>
      <w:r>
        <w:rPr>
          <w:szCs w:val="20"/>
        </w:rPr>
        <w:t>other</w:t>
      </w:r>
      <w:r w:rsidRPr="003C76AB">
        <w:rPr>
          <w:szCs w:val="20"/>
        </w:rPr>
        <w:t xml:space="preserve"> objectives of the </w:t>
      </w:r>
      <w:r w:rsidR="00885C94">
        <w:rPr>
          <w:szCs w:val="20"/>
        </w:rPr>
        <w:t>E</w:t>
      </w:r>
      <w:r w:rsidRPr="003C76AB">
        <w:rPr>
          <w:szCs w:val="20"/>
        </w:rPr>
        <w:t xml:space="preserve">valuation </w:t>
      </w:r>
      <w:r w:rsidR="00885C94">
        <w:rPr>
          <w:szCs w:val="20"/>
        </w:rPr>
        <w:t>S</w:t>
      </w:r>
      <w:r w:rsidRPr="003C76AB">
        <w:rPr>
          <w:szCs w:val="20"/>
        </w:rPr>
        <w:t xml:space="preserve">trategy. </w:t>
      </w:r>
      <w:r>
        <w:rPr>
          <w:szCs w:val="20"/>
        </w:rPr>
        <w:t xml:space="preserve">For example, many people will see the need to increase Aboriginal and Torres Strait Islander input into policy processes as a core </w:t>
      </w:r>
      <w:r>
        <w:rPr>
          <w:szCs w:val="20"/>
        </w:rPr>
        <w:lastRenderedPageBreak/>
        <w:t xml:space="preserve">objective, while </w:t>
      </w:r>
      <w:r w:rsidR="00885C94">
        <w:rPr>
          <w:szCs w:val="20"/>
        </w:rPr>
        <w:t>another objective</w:t>
      </w:r>
      <w:r>
        <w:rPr>
          <w:szCs w:val="20"/>
        </w:rPr>
        <w:t xml:space="preserve"> might </w:t>
      </w:r>
      <w:r w:rsidR="00885C94">
        <w:rPr>
          <w:szCs w:val="20"/>
        </w:rPr>
        <w:t>be</w:t>
      </w:r>
      <w:r>
        <w:rPr>
          <w:szCs w:val="20"/>
        </w:rPr>
        <w:t xml:space="preserve"> </w:t>
      </w:r>
      <w:r w:rsidR="006316E1">
        <w:rPr>
          <w:szCs w:val="20"/>
        </w:rPr>
        <w:t xml:space="preserve">building the evidence base about ‘what works’, or </w:t>
      </w:r>
      <w:r>
        <w:rPr>
          <w:szCs w:val="20"/>
        </w:rPr>
        <w:t>ensuring value for money in providing services. C</w:t>
      </w:r>
      <w:r w:rsidRPr="003C76AB">
        <w:rPr>
          <w:szCs w:val="20"/>
        </w:rPr>
        <w:t xml:space="preserve">larifying and detailing the objective(s) of the </w:t>
      </w:r>
      <w:r w:rsidR="00885C94">
        <w:rPr>
          <w:szCs w:val="20"/>
        </w:rPr>
        <w:t>S</w:t>
      </w:r>
      <w:r w:rsidRPr="003C76AB">
        <w:rPr>
          <w:szCs w:val="20"/>
        </w:rPr>
        <w:t xml:space="preserve">trategy </w:t>
      </w:r>
      <w:r>
        <w:rPr>
          <w:szCs w:val="20"/>
        </w:rPr>
        <w:t xml:space="preserve">is </w:t>
      </w:r>
      <w:r w:rsidRPr="003C76AB">
        <w:rPr>
          <w:szCs w:val="20"/>
        </w:rPr>
        <w:t xml:space="preserve">an important part of the Commission’s task, both for informing the development of the </w:t>
      </w:r>
      <w:r w:rsidR="00885C94">
        <w:rPr>
          <w:szCs w:val="20"/>
        </w:rPr>
        <w:t>S</w:t>
      </w:r>
      <w:r w:rsidRPr="003C76AB">
        <w:rPr>
          <w:szCs w:val="20"/>
        </w:rPr>
        <w:t>trategy and</w:t>
      </w:r>
      <w:r>
        <w:rPr>
          <w:szCs w:val="20"/>
        </w:rPr>
        <w:t>, ultimately,</w:t>
      </w:r>
      <w:r w:rsidRPr="003C76AB">
        <w:rPr>
          <w:szCs w:val="20"/>
        </w:rPr>
        <w:t xml:space="preserve"> for identi</w:t>
      </w:r>
      <w:r>
        <w:rPr>
          <w:szCs w:val="20"/>
        </w:rPr>
        <w:t xml:space="preserve">fying what a successful </w:t>
      </w:r>
      <w:r w:rsidR="00885C94">
        <w:rPr>
          <w:szCs w:val="20"/>
        </w:rPr>
        <w:t>S</w:t>
      </w:r>
      <w:r>
        <w:rPr>
          <w:szCs w:val="20"/>
        </w:rPr>
        <w:t>trategy would look like.</w:t>
      </w:r>
    </w:p>
    <w:p w14:paraId="5011EF37" w14:textId="77777777" w:rsidR="002B3130" w:rsidRDefault="002B3130" w:rsidP="002B3130">
      <w:pPr>
        <w:pStyle w:val="Heading4"/>
      </w:pPr>
      <w:r w:rsidRPr="003C76AB">
        <w:t xml:space="preserve">The United Nations Declaration on the Rights of Indigenous Peoples </w:t>
      </w:r>
      <w:r>
        <w:t>provides relevant context</w:t>
      </w:r>
    </w:p>
    <w:p w14:paraId="5B12E533" w14:textId="3A164133" w:rsidR="002B3130" w:rsidRDefault="002B3130" w:rsidP="002B3130">
      <w:pPr>
        <w:spacing w:before="240" w:line="300" w:lineRule="atLeast"/>
        <w:jc w:val="both"/>
        <w:rPr>
          <w:szCs w:val="20"/>
        </w:rPr>
      </w:pPr>
      <w:r w:rsidRPr="003C76AB">
        <w:rPr>
          <w:szCs w:val="20"/>
        </w:rPr>
        <w:t>The United Nations Declaration on the Rights of In</w:t>
      </w:r>
      <w:r w:rsidR="00F77AFE">
        <w:rPr>
          <w:szCs w:val="20"/>
        </w:rPr>
        <w:t>digenous Peoples (UNDRIP) (box </w:t>
      </w:r>
      <w:r>
        <w:t>1</w:t>
      </w:r>
      <w:r w:rsidRPr="003C76AB">
        <w:rPr>
          <w:szCs w:val="20"/>
        </w:rPr>
        <w:t xml:space="preserve">) was endorsed by the Australian Government in 2009. </w:t>
      </w:r>
      <w:r>
        <w:rPr>
          <w:szCs w:val="20"/>
        </w:rPr>
        <w:t>The Commission considers that the UN</w:t>
      </w:r>
      <w:r w:rsidR="00497BE2">
        <w:t>DRIP</w:t>
      </w:r>
      <w:r w:rsidRPr="003C76AB">
        <w:rPr>
          <w:szCs w:val="20"/>
        </w:rPr>
        <w:t xml:space="preserve"> </w:t>
      </w:r>
      <w:r>
        <w:t>situates the strategy within a broader international context of promoting greater self</w:t>
      </w:r>
      <w:r>
        <w:noBreakHyphen/>
        <w:t>determination for indigenous peoples</w:t>
      </w:r>
      <w:r w:rsidRPr="003C76AB">
        <w:rPr>
          <w:szCs w:val="20"/>
        </w:rPr>
        <w:t xml:space="preserve">. Of particular relevance to this project is a commitment by signatories to the </w:t>
      </w:r>
      <w:r>
        <w:rPr>
          <w:szCs w:val="20"/>
        </w:rPr>
        <w:t>UN Declaration</w:t>
      </w:r>
      <w:r w:rsidRPr="003C76AB">
        <w:rPr>
          <w:szCs w:val="20"/>
        </w:rPr>
        <w:t xml:space="preserve"> to facilitate and enable greater involvement by indigenous peoples in setting priorities and making decisions about policies and programs that affect them. </w:t>
      </w:r>
      <w:r w:rsidR="00B8083E">
        <w:rPr>
          <w:szCs w:val="20"/>
        </w:rPr>
        <w:t xml:space="preserve">The </w:t>
      </w:r>
      <w:r w:rsidR="00B8083E" w:rsidRPr="00557981">
        <w:rPr>
          <w:i/>
          <w:szCs w:val="20"/>
        </w:rPr>
        <w:t>Uluru Statement from the Heart</w:t>
      </w:r>
      <w:r w:rsidR="00B8083E">
        <w:rPr>
          <w:szCs w:val="20"/>
        </w:rPr>
        <w:t xml:space="preserve"> </w:t>
      </w:r>
      <w:r w:rsidR="007D18CE" w:rsidRPr="007D18CE">
        <w:t>(NCC 2017)</w:t>
      </w:r>
      <w:r w:rsidR="007E1D97">
        <w:rPr>
          <w:szCs w:val="20"/>
        </w:rPr>
        <w:t xml:space="preserve"> </w:t>
      </w:r>
      <w:r w:rsidR="00A46AA8">
        <w:rPr>
          <w:szCs w:val="20"/>
        </w:rPr>
        <w:t>expresses Aboriginal and Torres Strait Islander people’s understanding of their sovereignty and proposes a First Nations Voice enshrined in the Australian Constitution. T</w:t>
      </w:r>
      <w:r w:rsidR="00072B21">
        <w:rPr>
          <w:szCs w:val="20"/>
        </w:rPr>
        <w:t>hough t</w:t>
      </w:r>
      <w:r w:rsidR="00A46AA8">
        <w:rPr>
          <w:szCs w:val="20"/>
        </w:rPr>
        <w:t>he Australian Government has</w:t>
      </w:r>
      <w:r w:rsidR="00442E24">
        <w:rPr>
          <w:szCs w:val="20"/>
        </w:rPr>
        <w:t xml:space="preserve"> not</w:t>
      </w:r>
      <w:r w:rsidR="00A46AA8">
        <w:rPr>
          <w:szCs w:val="20"/>
        </w:rPr>
        <w:t xml:space="preserve"> </w:t>
      </w:r>
      <w:r w:rsidR="00072B21">
        <w:rPr>
          <w:szCs w:val="20"/>
        </w:rPr>
        <w:t>taken up</w:t>
      </w:r>
      <w:r w:rsidR="00A46AA8">
        <w:rPr>
          <w:szCs w:val="20"/>
        </w:rPr>
        <w:t xml:space="preserve"> the proposals in the Statement, it </w:t>
      </w:r>
      <w:r w:rsidR="007E1D97">
        <w:rPr>
          <w:szCs w:val="20"/>
        </w:rPr>
        <w:t>remains an expression of Aboriginal and Torres Strait Islander self-determination.</w:t>
      </w:r>
    </w:p>
    <w:p w14:paraId="7EEFB5A8" w14:textId="0B7D85BA" w:rsidR="002B3130" w:rsidRDefault="002B3130" w:rsidP="002B31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B3130" w14:paraId="50BA62A5" w14:textId="77777777" w:rsidTr="0042114E">
        <w:trPr>
          <w:tblHeader/>
        </w:trPr>
        <w:tc>
          <w:tcPr>
            <w:tcW w:w="5000" w:type="pct"/>
            <w:tcBorders>
              <w:top w:val="single" w:sz="6" w:space="0" w:color="78A22F"/>
              <w:left w:val="nil"/>
              <w:bottom w:val="nil"/>
              <w:right w:val="nil"/>
            </w:tcBorders>
            <w:shd w:val="clear" w:color="auto" w:fill="F2F2F2"/>
          </w:tcPr>
          <w:p w14:paraId="4D18EFF5" w14:textId="411ACD22" w:rsidR="002B3130" w:rsidRDefault="002B3130" w:rsidP="00913505">
            <w:pPr>
              <w:pStyle w:val="BoxTitle"/>
            </w:pPr>
            <w:r>
              <w:rPr>
                <w:b w:val="0"/>
              </w:rPr>
              <w:t xml:space="preserve">Box </w:t>
            </w:r>
            <w:r w:rsidR="00E109F5">
              <w:rPr>
                <w:b w:val="0"/>
                <w:noProof/>
              </w:rPr>
              <w:t>1</w:t>
            </w:r>
            <w:r>
              <w:tab/>
            </w:r>
            <w:r w:rsidRPr="0035702B">
              <w:t xml:space="preserve">United Nations Declaration on the Rights of Indigenous Peoples </w:t>
            </w:r>
            <w:r w:rsidR="00913505">
              <w:t>and self-determination</w:t>
            </w:r>
          </w:p>
        </w:tc>
      </w:tr>
      <w:tr w:rsidR="002B3130" w14:paraId="07EDB47F" w14:textId="77777777" w:rsidTr="0042114E">
        <w:tc>
          <w:tcPr>
            <w:tcW w:w="5000" w:type="pct"/>
            <w:tcBorders>
              <w:top w:val="nil"/>
              <w:left w:val="nil"/>
              <w:bottom w:val="nil"/>
              <w:right w:val="nil"/>
            </w:tcBorders>
            <w:shd w:val="clear" w:color="auto" w:fill="F2F2F2"/>
          </w:tcPr>
          <w:p w14:paraId="514756E7" w14:textId="610265C3" w:rsidR="00913505" w:rsidRDefault="00913505" w:rsidP="00913505">
            <w:pPr>
              <w:pStyle w:val="BoxHeading1"/>
              <w:rPr>
                <w:sz w:val="20"/>
              </w:rPr>
            </w:pPr>
            <w:r w:rsidRPr="0035702B">
              <w:t>United Nations Declaration on the Rights of Indigenous Peoples</w:t>
            </w:r>
          </w:p>
          <w:p w14:paraId="19672936" w14:textId="53658647" w:rsidR="002B3130" w:rsidRPr="003C76AB" w:rsidRDefault="002B3130" w:rsidP="0042114E">
            <w:pPr>
              <w:keepNext/>
              <w:spacing w:before="120" w:line="260" w:lineRule="atLeast"/>
              <w:jc w:val="both"/>
              <w:rPr>
                <w:rFonts w:ascii="Arial" w:hAnsi="Arial"/>
                <w:sz w:val="20"/>
                <w:szCs w:val="20"/>
              </w:rPr>
            </w:pPr>
            <w:r w:rsidRPr="003C76AB">
              <w:rPr>
                <w:rFonts w:ascii="Arial" w:hAnsi="Arial"/>
                <w:sz w:val="20"/>
                <w:szCs w:val="20"/>
              </w:rPr>
              <w:t xml:space="preserve">The </w:t>
            </w:r>
            <w:r w:rsidR="00913505" w:rsidRPr="00913505">
              <w:rPr>
                <w:rFonts w:ascii="Arial" w:hAnsi="Arial"/>
                <w:sz w:val="20"/>
                <w:szCs w:val="20"/>
              </w:rPr>
              <w:t xml:space="preserve">United Nations Declaration on the Rights of Indigenous Peoples </w:t>
            </w:r>
            <w:r w:rsidR="00913505">
              <w:rPr>
                <w:rFonts w:ascii="Arial" w:hAnsi="Arial"/>
                <w:sz w:val="20"/>
                <w:szCs w:val="20"/>
              </w:rPr>
              <w:t>(</w:t>
            </w:r>
            <w:r w:rsidRPr="003C76AB">
              <w:rPr>
                <w:rFonts w:ascii="Arial" w:hAnsi="Arial"/>
                <w:sz w:val="20"/>
                <w:szCs w:val="20"/>
              </w:rPr>
              <w:t>UNDRIP</w:t>
            </w:r>
            <w:r w:rsidR="00913505">
              <w:rPr>
                <w:rFonts w:ascii="Arial" w:hAnsi="Arial"/>
                <w:sz w:val="20"/>
                <w:szCs w:val="20"/>
              </w:rPr>
              <w:t>)</w:t>
            </w:r>
            <w:r w:rsidRPr="003C76AB">
              <w:rPr>
                <w:rFonts w:ascii="Arial" w:hAnsi="Arial"/>
                <w:sz w:val="20"/>
                <w:szCs w:val="20"/>
              </w:rPr>
              <w:t xml:space="preserve"> affirms the individual and collective rights of indigenous peoples. It constitutes the minimum standards for the survival, dignity, security and well-being of indigenous peoples. It was adopted on</w:t>
            </w:r>
            <w:r w:rsidRPr="003C76AB" w:rsidDel="00E00255">
              <w:rPr>
                <w:rFonts w:ascii="Arial" w:hAnsi="Arial"/>
                <w:sz w:val="20"/>
                <w:szCs w:val="20"/>
              </w:rPr>
              <w:t xml:space="preserve"> </w:t>
            </w:r>
            <w:r w:rsidRPr="003C76AB">
              <w:rPr>
                <w:rFonts w:ascii="Arial" w:hAnsi="Arial"/>
                <w:sz w:val="20"/>
                <w:szCs w:val="20"/>
              </w:rPr>
              <w:t>13</w:t>
            </w:r>
            <w:r w:rsidR="00E00255">
              <w:rPr>
                <w:rFonts w:ascii="Arial" w:hAnsi="Arial"/>
                <w:sz w:val="20"/>
                <w:szCs w:val="20"/>
              </w:rPr>
              <w:t> </w:t>
            </w:r>
            <w:r w:rsidRPr="003C76AB">
              <w:rPr>
                <w:rFonts w:ascii="Arial" w:hAnsi="Arial"/>
                <w:sz w:val="20"/>
                <w:szCs w:val="20"/>
              </w:rPr>
              <w:t>September 2007, with Australia endorsing it on 3</w:t>
            </w:r>
            <w:r w:rsidR="00442E24">
              <w:rPr>
                <w:rFonts w:ascii="Arial" w:hAnsi="Arial"/>
                <w:sz w:val="20"/>
                <w:szCs w:val="20"/>
              </w:rPr>
              <w:t> </w:t>
            </w:r>
            <w:r w:rsidRPr="003C76AB">
              <w:rPr>
                <w:rFonts w:ascii="Arial" w:hAnsi="Arial"/>
                <w:sz w:val="20"/>
                <w:szCs w:val="20"/>
              </w:rPr>
              <w:t xml:space="preserve">April 2009. While not legally binding, the Declaration is, instead, intended to outline principles for governments to work towards. </w:t>
            </w:r>
          </w:p>
          <w:p w14:paraId="25A4CB38" w14:textId="3D6E3E78" w:rsidR="002B3130" w:rsidRPr="003C76AB" w:rsidRDefault="002B3130" w:rsidP="0042114E">
            <w:pPr>
              <w:keepNext/>
              <w:spacing w:before="120" w:line="260" w:lineRule="atLeast"/>
              <w:jc w:val="both"/>
              <w:rPr>
                <w:rFonts w:ascii="Arial" w:hAnsi="Arial"/>
                <w:sz w:val="20"/>
                <w:szCs w:val="20"/>
              </w:rPr>
            </w:pPr>
            <w:r w:rsidRPr="003C76AB">
              <w:rPr>
                <w:rFonts w:ascii="Arial" w:hAnsi="Arial"/>
                <w:sz w:val="20"/>
                <w:szCs w:val="20"/>
              </w:rPr>
              <w:t>The UNDRIP has six foundational rights: individual and collective access to human rights; equality and freedom from discrimination; self-determination</w:t>
            </w:r>
            <w:r w:rsidR="00913505">
              <w:rPr>
                <w:rFonts w:ascii="Arial" w:hAnsi="Arial"/>
                <w:sz w:val="20"/>
                <w:szCs w:val="20"/>
              </w:rPr>
              <w:t xml:space="preserve"> (discussed below)</w:t>
            </w:r>
            <w:r w:rsidRPr="003C76AB">
              <w:rPr>
                <w:rFonts w:ascii="Arial" w:hAnsi="Arial"/>
                <w:sz w:val="20"/>
                <w:szCs w:val="20"/>
              </w:rPr>
              <w:t xml:space="preserve">; self-governance; participation in the life of </w:t>
            </w:r>
            <w:r w:rsidRPr="003C76AB">
              <w:rPr>
                <w:rFonts w:ascii="Arial" w:hAnsi="Arial"/>
                <w:sz w:val="20"/>
                <w:szCs w:val="20"/>
              </w:rPr>
              <w:lastRenderedPageBreak/>
              <w:t xml:space="preserve">the State; and nationality. It also outlines rights to land and resources, education and information, cultural and spiritual identity and indigenous-owned institutions. </w:t>
            </w:r>
          </w:p>
          <w:p w14:paraId="3E14EB93" w14:textId="6B23D323" w:rsidR="002B3130" w:rsidRPr="003C76AB" w:rsidRDefault="002B3130" w:rsidP="0042114E">
            <w:pPr>
              <w:keepNext/>
              <w:spacing w:before="120" w:line="260" w:lineRule="atLeast"/>
              <w:jc w:val="both"/>
              <w:rPr>
                <w:rFonts w:ascii="Arial" w:hAnsi="Arial"/>
                <w:sz w:val="20"/>
                <w:szCs w:val="20"/>
              </w:rPr>
            </w:pPr>
            <w:r w:rsidRPr="003C76AB">
              <w:rPr>
                <w:rFonts w:ascii="Arial" w:hAnsi="Arial"/>
                <w:sz w:val="20"/>
                <w:szCs w:val="20"/>
              </w:rPr>
              <w:t xml:space="preserve">Beyond the foundational rights, there are several rights outlined in the Declaration that are of particular relevance to the Indigenous </w:t>
            </w:r>
            <w:r w:rsidR="002E4413">
              <w:rPr>
                <w:rFonts w:ascii="Arial" w:hAnsi="Arial"/>
                <w:sz w:val="20"/>
                <w:szCs w:val="20"/>
              </w:rPr>
              <w:t>E</w:t>
            </w:r>
            <w:r w:rsidRPr="003C76AB">
              <w:rPr>
                <w:rFonts w:ascii="Arial" w:hAnsi="Arial"/>
                <w:sz w:val="20"/>
                <w:szCs w:val="20"/>
              </w:rPr>
              <w:t xml:space="preserve">valuation </w:t>
            </w:r>
            <w:r w:rsidR="002E4413">
              <w:rPr>
                <w:rFonts w:ascii="Arial" w:hAnsi="Arial"/>
                <w:sz w:val="20"/>
                <w:szCs w:val="20"/>
              </w:rPr>
              <w:t>Strategy</w:t>
            </w:r>
            <w:r w:rsidRPr="003C76AB">
              <w:rPr>
                <w:rFonts w:ascii="Arial" w:hAnsi="Arial"/>
                <w:sz w:val="20"/>
                <w:szCs w:val="20"/>
              </w:rPr>
              <w:t xml:space="preserve">. These include the right of indigenous peoples to: </w:t>
            </w:r>
          </w:p>
          <w:p w14:paraId="439E4423" w14:textId="77777777" w:rsidR="002B3130" w:rsidRPr="003C76AB" w:rsidRDefault="002B3130" w:rsidP="0042114E">
            <w:pPr>
              <w:keepNext/>
              <w:numPr>
                <w:ilvl w:val="0"/>
                <w:numId w:val="1"/>
              </w:numPr>
              <w:spacing w:before="100" w:line="260" w:lineRule="atLeast"/>
              <w:jc w:val="both"/>
              <w:rPr>
                <w:rFonts w:ascii="Arial" w:hAnsi="Arial"/>
                <w:sz w:val="20"/>
                <w:szCs w:val="20"/>
              </w:rPr>
            </w:pPr>
            <w:r>
              <w:rPr>
                <w:rFonts w:ascii="Arial" w:hAnsi="Arial"/>
                <w:sz w:val="20"/>
                <w:szCs w:val="20"/>
              </w:rPr>
              <w:t>p</w:t>
            </w:r>
            <w:r w:rsidRPr="003C76AB">
              <w:rPr>
                <w:rFonts w:ascii="Arial" w:hAnsi="Arial"/>
                <w:sz w:val="20"/>
                <w:szCs w:val="20"/>
              </w:rPr>
              <w:t>articipate in decision-making affecting them (art</w:t>
            </w:r>
            <w:r>
              <w:rPr>
                <w:rFonts w:ascii="Arial" w:hAnsi="Arial"/>
                <w:sz w:val="20"/>
                <w:szCs w:val="20"/>
              </w:rPr>
              <w:t>icle</w:t>
            </w:r>
            <w:r w:rsidRPr="003C76AB">
              <w:rPr>
                <w:rFonts w:ascii="Arial" w:hAnsi="Arial"/>
                <w:sz w:val="20"/>
                <w:szCs w:val="20"/>
              </w:rPr>
              <w:t xml:space="preserve"> 18) </w:t>
            </w:r>
          </w:p>
          <w:p w14:paraId="29A8D579" w14:textId="77777777" w:rsidR="002B3130" w:rsidRPr="003C76AB" w:rsidRDefault="002B3130" w:rsidP="0042114E">
            <w:pPr>
              <w:keepNext/>
              <w:numPr>
                <w:ilvl w:val="0"/>
                <w:numId w:val="1"/>
              </w:numPr>
              <w:spacing w:before="100" w:line="260" w:lineRule="atLeast"/>
              <w:jc w:val="both"/>
              <w:rPr>
                <w:rFonts w:ascii="Arial" w:hAnsi="Arial"/>
                <w:sz w:val="20"/>
                <w:szCs w:val="20"/>
              </w:rPr>
            </w:pPr>
            <w:r>
              <w:rPr>
                <w:rFonts w:ascii="Arial" w:hAnsi="Arial"/>
                <w:sz w:val="20"/>
                <w:szCs w:val="20"/>
              </w:rPr>
              <w:t>d</w:t>
            </w:r>
            <w:r w:rsidRPr="003C76AB">
              <w:rPr>
                <w:rFonts w:ascii="Arial" w:hAnsi="Arial"/>
                <w:sz w:val="20"/>
                <w:szCs w:val="20"/>
              </w:rPr>
              <w:t>etermine and develop priorities and strategies to exercise their right to development and be actively involved in developing, determining and administering programs (art</w:t>
            </w:r>
            <w:r>
              <w:rPr>
                <w:rFonts w:ascii="Arial" w:hAnsi="Arial"/>
                <w:sz w:val="20"/>
                <w:szCs w:val="20"/>
              </w:rPr>
              <w:t>icle</w:t>
            </w:r>
            <w:r w:rsidRPr="003C76AB">
              <w:rPr>
                <w:rFonts w:ascii="Arial" w:hAnsi="Arial"/>
                <w:sz w:val="20"/>
                <w:szCs w:val="20"/>
              </w:rPr>
              <w:t xml:space="preserve"> 23) </w:t>
            </w:r>
          </w:p>
          <w:p w14:paraId="4D1245DE" w14:textId="5867C3F9" w:rsidR="002B3130" w:rsidRPr="003C76AB" w:rsidRDefault="002B3130" w:rsidP="0042114E">
            <w:pPr>
              <w:keepNext/>
              <w:numPr>
                <w:ilvl w:val="0"/>
                <w:numId w:val="1"/>
              </w:numPr>
              <w:spacing w:before="100" w:line="260" w:lineRule="atLeast"/>
              <w:jc w:val="both"/>
              <w:rPr>
                <w:rFonts w:ascii="Arial" w:hAnsi="Arial"/>
                <w:sz w:val="20"/>
                <w:szCs w:val="20"/>
              </w:rPr>
            </w:pPr>
            <w:r>
              <w:rPr>
                <w:rFonts w:ascii="Arial" w:hAnsi="Arial"/>
                <w:sz w:val="20"/>
                <w:szCs w:val="20"/>
              </w:rPr>
              <w:t>p</w:t>
            </w:r>
            <w:r w:rsidRPr="003C76AB">
              <w:rPr>
                <w:rFonts w:ascii="Arial" w:hAnsi="Arial"/>
                <w:sz w:val="20"/>
                <w:szCs w:val="20"/>
              </w:rPr>
              <w:t>romote, develop and maintain institutional structures (art</w:t>
            </w:r>
            <w:r w:rsidR="00E00255">
              <w:rPr>
                <w:rFonts w:ascii="Arial" w:hAnsi="Arial"/>
                <w:sz w:val="20"/>
                <w:szCs w:val="20"/>
              </w:rPr>
              <w:t>icle</w:t>
            </w:r>
            <w:r w:rsidRPr="003C76AB">
              <w:rPr>
                <w:rFonts w:ascii="Arial" w:hAnsi="Arial"/>
                <w:sz w:val="20"/>
                <w:szCs w:val="20"/>
              </w:rPr>
              <w:t xml:space="preserve"> 34) for their own development and decision-making (art</w:t>
            </w:r>
            <w:r>
              <w:rPr>
                <w:rFonts w:ascii="Arial" w:hAnsi="Arial"/>
                <w:sz w:val="20"/>
                <w:szCs w:val="20"/>
              </w:rPr>
              <w:t>icles</w:t>
            </w:r>
            <w:r w:rsidRPr="003C76AB">
              <w:rPr>
                <w:rFonts w:ascii="Arial" w:hAnsi="Arial"/>
                <w:sz w:val="20"/>
                <w:szCs w:val="20"/>
              </w:rPr>
              <w:t xml:space="preserve"> 18 and 20)</w:t>
            </w:r>
          </w:p>
          <w:p w14:paraId="510F375B" w14:textId="77777777" w:rsidR="002B3130" w:rsidRPr="003C76AB" w:rsidRDefault="002B3130" w:rsidP="0042114E">
            <w:pPr>
              <w:keepNext/>
              <w:numPr>
                <w:ilvl w:val="0"/>
                <w:numId w:val="1"/>
              </w:numPr>
              <w:spacing w:before="100" w:line="260" w:lineRule="atLeast"/>
              <w:jc w:val="both"/>
              <w:rPr>
                <w:rFonts w:ascii="Arial" w:hAnsi="Arial"/>
                <w:sz w:val="20"/>
                <w:szCs w:val="20"/>
              </w:rPr>
            </w:pPr>
            <w:proofErr w:type="gramStart"/>
            <w:r>
              <w:rPr>
                <w:rFonts w:ascii="Arial" w:hAnsi="Arial"/>
                <w:sz w:val="20"/>
                <w:szCs w:val="20"/>
              </w:rPr>
              <w:t>t</w:t>
            </w:r>
            <w:r w:rsidRPr="003C76AB">
              <w:rPr>
                <w:rFonts w:ascii="Arial" w:hAnsi="Arial"/>
                <w:sz w:val="20"/>
                <w:szCs w:val="20"/>
              </w:rPr>
              <w:t>he</w:t>
            </w:r>
            <w:proofErr w:type="gramEnd"/>
            <w:r w:rsidRPr="003C76AB">
              <w:rPr>
                <w:rFonts w:ascii="Arial" w:hAnsi="Arial"/>
                <w:sz w:val="20"/>
                <w:szCs w:val="20"/>
              </w:rPr>
              <w:t xml:space="preserve"> improvement of their economic and social conditions in the areas of education, employment, vocational training and retraining, housing, sanitation, health and social security (art</w:t>
            </w:r>
            <w:r>
              <w:rPr>
                <w:rFonts w:ascii="Arial" w:hAnsi="Arial"/>
                <w:sz w:val="20"/>
                <w:szCs w:val="20"/>
              </w:rPr>
              <w:t>icle</w:t>
            </w:r>
            <w:r w:rsidRPr="003C76AB">
              <w:rPr>
                <w:rFonts w:ascii="Arial" w:hAnsi="Arial"/>
                <w:sz w:val="20"/>
                <w:szCs w:val="20"/>
              </w:rPr>
              <w:t xml:space="preserve"> 21</w:t>
            </w:r>
            <w:r>
              <w:rPr>
                <w:rFonts w:ascii="Arial" w:hAnsi="Arial"/>
                <w:sz w:val="20"/>
                <w:szCs w:val="20"/>
              </w:rPr>
              <w:t>).</w:t>
            </w:r>
          </w:p>
          <w:p w14:paraId="2F0CCC8E" w14:textId="1FD614C8" w:rsidR="002B3130" w:rsidRPr="00C049CE" w:rsidRDefault="002B3130" w:rsidP="00F57F28">
            <w:pPr>
              <w:keepNext/>
              <w:spacing w:before="120" w:line="260" w:lineRule="atLeast"/>
              <w:jc w:val="both"/>
            </w:pPr>
            <w:r w:rsidRPr="003C76AB">
              <w:rPr>
                <w:rFonts w:ascii="Arial" w:hAnsi="Arial"/>
                <w:sz w:val="20"/>
                <w:szCs w:val="20"/>
              </w:rPr>
              <w:t>States also have an impor</w:t>
            </w:r>
            <w:r w:rsidR="00F57F28">
              <w:rPr>
                <w:rFonts w:ascii="Arial" w:hAnsi="Arial"/>
                <w:sz w:val="20"/>
                <w:szCs w:val="20"/>
              </w:rPr>
              <w:t xml:space="preserve">tant role to play, including in </w:t>
            </w:r>
            <w:r>
              <w:rPr>
                <w:rFonts w:ascii="Arial" w:hAnsi="Arial"/>
                <w:sz w:val="20"/>
                <w:szCs w:val="20"/>
              </w:rPr>
              <w:t>c</w:t>
            </w:r>
            <w:r w:rsidRPr="003C76AB">
              <w:rPr>
                <w:rFonts w:ascii="Arial" w:hAnsi="Arial"/>
                <w:sz w:val="20"/>
                <w:szCs w:val="20"/>
              </w:rPr>
              <w:t>onsulting and cooperating in good faith and obtaining free, prior and informed consent when policies affect indigenous peoples (art</w:t>
            </w:r>
            <w:r>
              <w:rPr>
                <w:rFonts w:ascii="Arial" w:hAnsi="Arial"/>
                <w:sz w:val="20"/>
                <w:szCs w:val="20"/>
              </w:rPr>
              <w:t>icle</w:t>
            </w:r>
            <w:r w:rsidRPr="003C76AB">
              <w:rPr>
                <w:rFonts w:ascii="Arial" w:hAnsi="Arial"/>
                <w:sz w:val="20"/>
                <w:szCs w:val="20"/>
              </w:rPr>
              <w:t xml:space="preserve"> 19)</w:t>
            </w:r>
            <w:r w:rsidR="00F57F28">
              <w:rPr>
                <w:rFonts w:ascii="Arial" w:hAnsi="Arial"/>
                <w:sz w:val="20"/>
                <w:szCs w:val="20"/>
              </w:rPr>
              <w:t xml:space="preserve">; and </w:t>
            </w:r>
            <w:r w:rsidRPr="00A739B1">
              <w:rPr>
                <w:rFonts w:ascii="Arial" w:hAnsi="Arial"/>
                <w:sz w:val="20"/>
                <w:szCs w:val="20"/>
              </w:rPr>
              <w:t>taking appropriate measures to achieve the Declaration (art</w:t>
            </w:r>
            <w:r w:rsidR="00E00255">
              <w:rPr>
                <w:rFonts w:ascii="Arial" w:hAnsi="Arial"/>
                <w:sz w:val="20"/>
                <w:szCs w:val="20"/>
              </w:rPr>
              <w:t>icle</w:t>
            </w:r>
            <w:r w:rsidRPr="00A739B1">
              <w:rPr>
                <w:rFonts w:ascii="Arial" w:hAnsi="Arial"/>
                <w:sz w:val="20"/>
                <w:szCs w:val="20"/>
              </w:rPr>
              <w:t xml:space="preserve"> 38) including the provision of financial and technical assistance (article 39).</w:t>
            </w:r>
          </w:p>
          <w:p w14:paraId="66BAFA51" w14:textId="77777777" w:rsidR="00C049CE" w:rsidRDefault="00C049CE" w:rsidP="00C049CE">
            <w:pPr>
              <w:pStyle w:val="BoxHeading1"/>
            </w:pPr>
            <w:r>
              <w:t>Self-determination</w:t>
            </w:r>
          </w:p>
          <w:p w14:paraId="048CB947" w14:textId="77777777" w:rsidR="00C049CE" w:rsidRDefault="00C049CE" w:rsidP="00C049CE">
            <w:pPr>
              <w:pStyle w:val="Box"/>
            </w:pPr>
            <w:r>
              <w:t>The right to self-determination is set out in articles 3 and 4 of the UNDRIP. It is seen as a ‘foundational right’ in that the other rights cannot be fully enjoyed without it, but also that furthering the other UNDRIP rights furthers self-determination. Self-determination is the right indigenous peoples have to ‘freely determine their political status and freely pursue their economic, social and cultural development’ (article 3). In exercising this right they have the right to ‘autonomy or self-government’ (article 4).</w:t>
            </w:r>
          </w:p>
          <w:p w14:paraId="22E6B656" w14:textId="25AC7A4A" w:rsidR="00C049CE" w:rsidRDefault="00C049CE" w:rsidP="00C049CE">
            <w:pPr>
              <w:pStyle w:val="Box"/>
            </w:pPr>
            <w:r>
              <w:t>Self-determination can mean different things to different groups and there is no predetermined outcome of what self-determination looks like. Self-determination acknowledges that different groups have different worldviews. Improving self-determination may take the form of encouraging indigenous self-governance at the local level, ensuring indigenous participation in the design, delivery and monitoring of programs and building culturally-appropriate programs that incorporate and build on indigenous peoples’ own initiatives.</w:t>
            </w:r>
          </w:p>
        </w:tc>
      </w:tr>
      <w:tr w:rsidR="002B3130" w14:paraId="30580BAC" w14:textId="77777777" w:rsidTr="0042114E">
        <w:tc>
          <w:tcPr>
            <w:tcW w:w="5000" w:type="pct"/>
            <w:tcBorders>
              <w:top w:val="nil"/>
              <w:left w:val="nil"/>
              <w:bottom w:val="nil"/>
              <w:right w:val="nil"/>
            </w:tcBorders>
            <w:shd w:val="clear" w:color="auto" w:fill="F2F2F2"/>
          </w:tcPr>
          <w:p w14:paraId="453228E7" w14:textId="02AB75C5" w:rsidR="002B3130" w:rsidRDefault="002B3130" w:rsidP="005D39F0">
            <w:pPr>
              <w:pStyle w:val="BoxSource"/>
            </w:pPr>
            <w:r w:rsidRPr="003C76AB">
              <w:rPr>
                <w:i/>
              </w:rPr>
              <w:lastRenderedPageBreak/>
              <w:t>Sources</w:t>
            </w:r>
            <w:r w:rsidRPr="003C76AB">
              <w:t xml:space="preserve">: </w:t>
            </w:r>
            <w:r w:rsidR="00202DB3" w:rsidRPr="00202DB3">
              <w:rPr>
                <w:rFonts w:cs="Arial"/>
                <w:szCs w:val="24"/>
              </w:rPr>
              <w:t>AHRC </w:t>
            </w:r>
            <w:r w:rsidR="005D39F0">
              <w:rPr>
                <w:rFonts w:cs="Arial"/>
                <w:szCs w:val="24"/>
              </w:rPr>
              <w:t>(</w:t>
            </w:r>
            <w:r w:rsidR="00202DB3" w:rsidRPr="00202DB3">
              <w:rPr>
                <w:rFonts w:cs="Arial"/>
                <w:szCs w:val="24"/>
              </w:rPr>
              <w:t>2010</w:t>
            </w:r>
            <w:r w:rsidR="005D39F0">
              <w:rPr>
                <w:rFonts w:cs="Arial"/>
                <w:szCs w:val="24"/>
              </w:rPr>
              <w:t>)</w:t>
            </w:r>
            <w:r w:rsidR="00202DB3" w:rsidRPr="00202DB3">
              <w:rPr>
                <w:rFonts w:cs="Arial"/>
                <w:szCs w:val="24"/>
              </w:rPr>
              <w:t>; UN </w:t>
            </w:r>
            <w:r w:rsidR="005D39F0">
              <w:rPr>
                <w:rFonts w:cs="Arial"/>
                <w:szCs w:val="24"/>
              </w:rPr>
              <w:t>(</w:t>
            </w:r>
            <w:r w:rsidR="00202DB3" w:rsidRPr="00202DB3">
              <w:rPr>
                <w:rFonts w:cs="Arial"/>
                <w:szCs w:val="24"/>
              </w:rPr>
              <w:t>2007)</w:t>
            </w:r>
            <w:r w:rsidR="00C049CE">
              <w:t>.</w:t>
            </w:r>
          </w:p>
        </w:tc>
      </w:tr>
      <w:tr w:rsidR="002B3130" w14:paraId="5C385ACF" w14:textId="77777777" w:rsidTr="0042114E">
        <w:tc>
          <w:tcPr>
            <w:tcW w:w="5000" w:type="pct"/>
            <w:tcBorders>
              <w:top w:val="nil"/>
              <w:left w:val="nil"/>
              <w:bottom w:val="single" w:sz="6" w:space="0" w:color="78A22F"/>
              <w:right w:val="nil"/>
            </w:tcBorders>
            <w:shd w:val="clear" w:color="auto" w:fill="F2F2F2"/>
          </w:tcPr>
          <w:p w14:paraId="3CC49296" w14:textId="77777777" w:rsidR="002B3130" w:rsidRDefault="002B3130" w:rsidP="0042114E">
            <w:pPr>
              <w:pStyle w:val="Box"/>
              <w:spacing w:before="0" w:line="120" w:lineRule="exact"/>
            </w:pPr>
          </w:p>
        </w:tc>
      </w:tr>
      <w:tr w:rsidR="002B3130" w:rsidRPr="000863A5" w14:paraId="2738EDC1" w14:textId="77777777" w:rsidTr="0042114E">
        <w:tc>
          <w:tcPr>
            <w:tcW w:w="5000" w:type="pct"/>
            <w:tcBorders>
              <w:top w:val="single" w:sz="6" w:space="0" w:color="78A22F"/>
              <w:left w:val="nil"/>
              <w:bottom w:val="nil"/>
              <w:right w:val="nil"/>
            </w:tcBorders>
          </w:tcPr>
          <w:p w14:paraId="79009AA0" w14:textId="74945D0C" w:rsidR="002B3130" w:rsidRPr="00626D32" w:rsidRDefault="002B3130" w:rsidP="0042114E">
            <w:pPr>
              <w:pStyle w:val="BoxSpaceBelow"/>
            </w:pPr>
          </w:p>
        </w:tc>
      </w:tr>
    </w:tbl>
    <w:p w14:paraId="7C41A324" w14:textId="0F2AF9A7" w:rsidR="00070667" w:rsidRPr="004E3B94" w:rsidRDefault="00070667" w:rsidP="00A51C85">
      <w:pPr>
        <w:pStyle w:val="BoxSpaceAbove"/>
      </w:pPr>
      <w:bookmarkStart w:id="38" w:name="_Toc10709995"/>
      <w:bookmarkStart w:id="39" w:name="_Toc10734419"/>
      <w:bookmarkStart w:id="40" w:name="_Toc10735491"/>
      <w:bookmarkStart w:id="41" w:name="_Toc10794220"/>
      <w:bookmarkStart w:id="42" w:name="_Toc10795555"/>
      <w:bookmarkStart w:id="43" w:name="_Toc10795700"/>
      <w:bookmarkStart w:id="44" w:name="_Toc10802387"/>
      <w:bookmarkStart w:id="45" w:name="_Toc10808033"/>
      <w:bookmarkStart w:id="46" w:name="_Toc10808774"/>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70667" w14:paraId="4BB8BDF1" w14:textId="77777777" w:rsidTr="00A51C85">
        <w:trPr>
          <w:tblHeader/>
        </w:trPr>
        <w:tc>
          <w:tcPr>
            <w:tcW w:w="5000" w:type="pct"/>
            <w:tcBorders>
              <w:top w:val="single" w:sz="6" w:space="0" w:color="78A22F"/>
              <w:left w:val="nil"/>
              <w:bottom w:val="nil"/>
              <w:right w:val="nil"/>
            </w:tcBorders>
            <w:shd w:val="clear" w:color="auto" w:fill="auto"/>
          </w:tcPr>
          <w:p w14:paraId="7D1C8F77" w14:textId="4CD8AF48" w:rsidR="00070667" w:rsidRPr="00CE4C64" w:rsidRDefault="00070667" w:rsidP="00A51C85">
            <w:pPr>
              <w:pStyle w:val="InformationRequestTitle"/>
              <w:spacing w:before="120"/>
            </w:pPr>
            <w:r>
              <w:t>Questions on objectives</w:t>
            </w:r>
          </w:p>
        </w:tc>
      </w:tr>
      <w:tr w:rsidR="00070667" w:rsidRPr="00750BE2" w14:paraId="1D35D635" w14:textId="77777777" w:rsidTr="00A51C85">
        <w:tc>
          <w:tcPr>
            <w:tcW w:w="5000" w:type="pct"/>
            <w:tcBorders>
              <w:top w:val="nil"/>
              <w:left w:val="nil"/>
              <w:bottom w:val="nil"/>
              <w:right w:val="nil"/>
            </w:tcBorders>
            <w:shd w:val="clear" w:color="auto" w:fill="auto"/>
          </w:tcPr>
          <w:p w14:paraId="6088B3FF" w14:textId="77777777" w:rsidR="00070667" w:rsidRPr="00CB4720" w:rsidRDefault="00070667" w:rsidP="00070667">
            <w:pPr>
              <w:pStyle w:val="InformationRequest"/>
            </w:pPr>
            <w:r w:rsidRPr="00CB4720">
              <w:t xml:space="preserve">What objectives should a strategy for </w:t>
            </w:r>
            <w:r>
              <w:t>evaluating policies and programs affecting Aboriginal and Torres Strait Islander people</w:t>
            </w:r>
            <w:r w:rsidRPr="00CB4720">
              <w:t xml:space="preserve"> seek to achieve?</w:t>
            </w:r>
          </w:p>
          <w:p w14:paraId="095BAE2E" w14:textId="69A26107" w:rsidR="00070667" w:rsidRPr="006E7EE2" w:rsidRDefault="00070667" w:rsidP="00BD30AC">
            <w:pPr>
              <w:pStyle w:val="InformationRequest"/>
              <w:keepNext/>
            </w:pPr>
            <w:r>
              <w:t xml:space="preserve">To what extent are the evaluation practices of Australian Government agencies consistent with the </w:t>
            </w:r>
            <w:r w:rsidRPr="00CB4720">
              <w:rPr>
                <w:u w:val="single"/>
              </w:rPr>
              <w:t>United Nations Declaration on the Rights of Indigenous Peoples</w:t>
            </w:r>
            <w:r>
              <w:t>? How could</w:t>
            </w:r>
            <w:r w:rsidDel="002E4CBF">
              <w:t xml:space="preserve"> </w:t>
            </w:r>
            <w:r>
              <w:t>practices be improved in this respect?</w:t>
            </w:r>
          </w:p>
        </w:tc>
      </w:tr>
      <w:tr w:rsidR="00070667" w14:paraId="5B8B22DC" w14:textId="77777777" w:rsidTr="00A51C85">
        <w:tc>
          <w:tcPr>
            <w:tcW w:w="5000" w:type="pct"/>
            <w:tcBorders>
              <w:top w:val="nil"/>
              <w:left w:val="nil"/>
              <w:bottom w:val="single" w:sz="6" w:space="0" w:color="78A22F"/>
              <w:right w:val="nil"/>
            </w:tcBorders>
            <w:shd w:val="clear" w:color="auto" w:fill="auto"/>
          </w:tcPr>
          <w:p w14:paraId="35676B46" w14:textId="77777777" w:rsidR="00070667" w:rsidRDefault="00070667" w:rsidP="00A51C85">
            <w:pPr>
              <w:pStyle w:val="Space"/>
              <w:keepLines/>
            </w:pPr>
          </w:p>
        </w:tc>
      </w:tr>
      <w:tr w:rsidR="00070667" w:rsidRPr="000863A5" w14:paraId="4270F85E" w14:textId="77777777" w:rsidTr="00A51C85">
        <w:tc>
          <w:tcPr>
            <w:tcW w:w="5000" w:type="pct"/>
            <w:tcBorders>
              <w:top w:val="single" w:sz="6" w:space="0" w:color="78A22F"/>
              <w:left w:val="nil"/>
              <w:bottom w:val="nil"/>
              <w:right w:val="nil"/>
            </w:tcBorders>
          </w:tcPr>
          <w:p w14:paraId="03C5483D" w14:textId="0AFA6284" w:rsidR="00070667" w:rsidRPr="00626D32" w:rsidRDefault="00070667" w:rsidP="00A51C85">
            <w:pPr>
              <w:pStyle w:val="BoxSpaceBelow"/>
              <w:keepLines/>
            </w:pPr>
          </w:p>
        </w:tc>
      </w:tr>
    </w:tbl>
    <w:p w14:paraId="40D93C62" w14:textId="00320509" w:rsidR="00F501D3" w:rsidRDefault="00F501D3" w:rsidP="00EB126C">
      <w:pPr>
        <w:pStyle w:val="Heading3"/>
        <w:spacing w:before="480"/>
      </w:pPr>
      <w:bookmarkStart w:id="47" w:name="_Toc12272476"/>
      <w:r>
        <w:t>The Commission’s approach</w:t>
      </w:r>
      <w:bookmarkEnd w:id="38"/>
      <w:bookmarkEnd w:id="39"/>
      <w:bookmarkEnd w:id="40"/>
      <w:bookmarkEnd w:id="41"/>
      <w:bookmarkEnd w:id="42"/>
      <w:bookmarkEnd w:id="43"/>
      <w:bookmarkEnd w:id="44"/>
      <w:bookmarkEnd w:id="45"/>
      <w:bookmarkEnd w:id="46"/>
      <w:bookmarkEnd w:id="47"/>
    </w:p>
    <w:p w14:paraId="68EE62A0" w14:textId="77777777" w:rsidR="002E5EE0" w:rsidRDefault="002E5EE0" w:rsidP="001C6856">
      <w:pPr>
        <w:pStyle w:val="Heading4"/>
        <w:spacing w:before="240"/>
      </w:pPr>
      <w:r>
        <w:t xml:space="preserve">What is an Indigenous </w:t>
      </w:r>
      <w:r w:rsidR="004F6F32">
        <w:t>Evaluation</w:t>
      </w:r>
      <w:r>
        <w:t xml:space="preserve"> Strategy?</w:t>
      </w:r>
    </w:p>
    <w:p w14:paraId="51C67961" w14:textId="77777777" w:rsidR="00F11DC5" w:rsidRPr="001C6856" w:rsidRDefault="00DA4234" w:rsidP="00FC514C">
      <w:pPr>
        <w:pStyle w:val="BodyText"/>
        <w:rPr>
          <w:spacing w:val="2"/>
        </w:rPr>
      </w:pPr>
      <w:r w:rsidRPr="001C6856">
        <w:rPr>
          <w:spacing w:val="2"/>
        </w:rPr>
        <w:t xml:space="preserve">The Commission considers </w:t>
      </w:r>
      <w:r w:rsidR="006316E1" w:rsidRPr="001C6856">
        <w:rPr>
          <w:spacing w:val="2"/>
        </w:rPr>
        <w:t xml:space="preserve">that </w:t>
      </w:r>
      <w:r w:rsidRPr="001C6856">
        <w:rPr>
          <w:spacing w:val="2"/>
        </w:rPr>
        <w:t xml:space="preserve">an Indigenous Evaluation Strategy </w:t>
      </w:r>
      <w:r w:rsidR="006316E1" w:rsidRPr="001C6856">
        <w:rPr>
          <w:spacing w:val="2"/>
        </w:rPr>
        <w:t>should</w:t>
      </w:r>
      <w:r w:rsidRPr="001C6856">
        <w:rPr>
          <w:spacing w:val="2"/>
        </w:rPr>
        <w:t xml:space="preserve"> represent a comprehensive approach to ensuring evaluation is embedded in </w:t>
      </w:r>
      <w:r w:rsidR="003C6E0C" w:rsidRPr="001C6856">
        <w:rPr>
          <w:spacing w:val="2"/>
        </w:rPr>
        <w:t>the development and implementation</w:t>
      </w:r>
      <w:r w:rsidRPr="001C6856">
        <w:rPr>
          <w:spacing w:val="2"/>
        </w:rPr>
        <w:t xml:space="preserve"> </w:t>
      </w:r>
      <w:r w:rsidR="003C6E0C" w:rsidRPr="001C6856">
        <w:rPr>
          <w:spacing w:val="2"/>
        </w:rPr>
        <w:t>of</w:t>
      </w:r>
      <w:r w:rsidRPr="001C6856">
        <w:rPr>
          <w:spacing w:val="2"/>
        </w:rPr>
        <w:t xml:space="preserve"> Australian Government policies and programs affecting Aboriginal and Torres Strait Islander people</w:t>
      </w:r>
      <w:r w:rsidR="003C6E0C" w:rsidRPr="001C6856">
        <w:rPr>
          <w:spacing w:val="2"/>
        </w:rPr>
        <w:t xml:space="preserve">. </w:t>
      </w:r>
      <w:r w:rsidRPr="001C6856">
        <w:rPr>
          <w:spacing w:val="2"/>
        </w:rPr>
        <w:t>It needs to be much more than just a ‘tick and flick’ exercise for agencies.</w:t>
      </w:r>
    </w:p>
    <w:p w14:paraId="26804602" w14:textId="4F57CF76" w:rsidR="00F11DC5" w:rsidRDefault="00F11DC5" w:rsidP="00F11DC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1DC5" w14:paraId="335438DC" w14:textId="77777777" w:rsidTr="00F11DC5">
        <w:trPr>
          <w:tblHeader/>
        </w:trPr>
        <w:tc>
          <w:tcPr>
            <w:tcW w:w="5000" w:type="pct"/>
            <w:tcBorders>
              <w:top w:val="single" w:sz="6" w:space="0" w:color="78A22F"/>
              <w:left w:val="nil"/>
              <w:bottom w:val="nil"/>
              <w:right w:val="nil"/>
            </w:tcBorders>
            <w:shd w:val="clear" w:color="auto" w:fill="auto"/>
          </w:tcPr>
          <w:p w14:paraId="057D4F34" w14:textId="2547221D" w:rsidR="00F11DC5" w:rsidRPr="00176D3F" w:rsidRDefault="00F11DC5" w:rsidP="00F11DC5">
            <w:pPr>
              <w:pStyle w:val="FigureTitle"/>
            </w:pPr>
            <w:r w:rsidRPr="00784A05">
              <w:rPr>
                <w:b w:val="0"/>
              </w:rPr>
              <w:t xml:space="preserve">Figure </w:t>
            </w:r>
            <w:r w:rsidR="00E109F5">
              <w:rPr>
                <w:b w:val="0"/>
                <w:noProof/>
              </w:rPr>
              <w:t>1</w:t>
            </w:r>
            <w:r>
              <w:tab/>
              <w:t>Elements of an Indigenous Evaluation Strategy</w:t>
            </w:r>
          </w:p>
        </w:tc>
      </w:tr>
      <w:tr w:rsidR="00F11DC5" w14:paraId="29818F57" w14:textId="77777777" w:rsidTr="00F11DC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11DC5" w:rsidRPr="00B1465D" w14:paraId="0A0512C0" w14:textId="77777777" w:rsidTr="00F11DC5">
              <w:trPr>
                <w:tblHeader/>
                <w:jc w:val="center"/>
              </w:trPr>
              <w:tc>
                <w:tcPr>
                  <w:tcW w:w="5000" w:type="pct"/>
                  <w:tcBorders>
                    <w:top w:val="nil"/>
                    <w:bottom w:val="nil"/>
                  </w:tcBorders>
                </w:tcPr>
                <w:p w14:paraId="411627E3" w14:textId="5D1ABE5F" w:rsidR="00F11DC5" w:rsidRPr="00B1465D" w:rsidRDefault="00673FA6" w:rsidP="00F11DC5">
                  <w:pPr>
                    <w:pStyle w:val="Figure"/>
                    <w:spacing w:before="60" w:after="60"/>
                    <w:rPr>
                      <w:rFonts w:ascii="Arial" w:hAnsi="Arial" w:cs="Arial"/>
                      <w:sz w:val="18"/>
                      <w:szCs w:val="18"/>
                    </w:rPr>
                  </w:pPr>
                  <w:r>
                    <w:rPr>
                      <w:rFonts w:ascii="Arial" w:hAnsi="Arial" w:cs="Arial"/>
                      <w:noProof/>
                      <w:sz w:val="18"/>
                      <w:szCs w:val="18"/>
                    </w:rPr>
                    <w:drawing>
                      <wp:inline distT="0" distB="0" distL="0" distR="0" wp14:anchorId="66062830" wp14:editId="5E43087B">
                        <wp:extent cx="4930140" cy="1432091"/>
                        <wp:effectExtent l="0" t="0" r="0" b="0"/>
                        <wp:docPr id="1" name="Picture 1" descr="Figure 1. The three elements of the Indigenous Evaluation Strategy are developing a principles-based framework, identifying evaluation priorities and identifying the processes and institutional characteristics needed to promote the adoption and success of the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vidiagram.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62387" cy="1441458"/>
                                </a:xfrm>
                                <a:prstGeom prst="rect">
                                  <a:avLst/>
                                </a:prstGeom>
                              </pic:spPr>
                            </pic:pic>
                          </a:graphicData>
                        </a:graphic>
                      </wp:inline>
                    </w:drawing>
                  </w:r>
                </w:p>
              </w:tc>
            </w:tr>
          </w:tbl>
          <w:p w14:paraId="7FACF6B6" w14:textId="77777777" w:rsidR="00F11DC5" w:rsidRDefault="00F11DC5" w:rsidP="00F11DC5">
            <w:pPr>
              <w:pStyle w:val="Figure"/>
            </w:pPr>
          </w:p>
        </w:tc>
      </w:tr>
      <w:tr w:rsidR="00F11DC5" w14:paraId="6F4CCBE9" w14:textId="77777777" w:rsidTr="00F11DC5">
        <w:tc>
          <w:tcPr>
            <w:tcW w:w="5000" w:type="pct"/>
            <w:tcBorders>
              <w:top w:val="nil"/>
              <w:left w:val="nil"/>
              <w:bottom w:val="single" w:sz="6" w:space="0" w:color="78A22F"/>
              <w:right w:val="nil"/>
            </w:tcBorders>
            <w:shd w:val="clear" w:color="auto" w:fill="auto"/>
          </w:tcPr>
          <w:p w14:paraId="5790F67C" w14:textId="77777777" w:rsidR="00F11DC5" w:rsidRDefault="00F11DC5" w:rsidP="00F11DC5">
            <w:pPr>
              <w:pStyle w:val="Figurespace"/>
            </w:pPr>
          </w:p>
        </w:tc>
      </w:tr>
      <w:tr w:rsidR="00F11DC5" w:rsidRPr="000863A5" w14:paraId="1F2EA19A" w14:textId="77777777" w:rsidTr="00F11DC5">
        <w:tc>
          <w:tcPr>
            <w:tcW w:w="5000" w:type="pct"/>
            <w:tcBorders>
              <w:top w:val="single" w:sz="6" w:space="0" w:color="78A22F"/>
              <w:left w:val="nil"/>
              <w:bottom w:val="nil"/>
              <w:right w:val="nil"/>
            </w:tcBorders>
          </w:tcPr>
          <w:p w14:paraId="703793D1" w14:textId="207C8495" w:rsidR="00F11DC5" w:rsidRPr="00626D32" w:rsidRDefault="00F11DC5" w:rsidP="00F11DC5">
            <w:pPr>
              <w:pStyle w:val="BoxSpaceBelow"/>
            </w:pPr>
          </w:p>
        </w:tc>
      </w:tr>
    </w:tbl>
    <w:p w14:paraId="4CCB43AD" w14:textId="5C8F57FD" w:rsidR="00FC514C" w:rsidRDefault="00FC514C" w:rsidP="00FC514C">
      <w:pPr>
        <w:pStyle w:val="BodyText"/>
        <w:rPr>
          <w:szCs w:val="24"/>
        </w:rPr>
      </w:pPr>
      <w:r>
        <w:t>The Indigenous Evaluation Strategy should</w:t>
      </w:r>
      <w:r w:rsidR="000E2A4B">
        <w:t xml:space="preserve"> (figure</w:t>
      </w:r>
      <w:r w:rsidR="00442E24">
        <w:t> </w:t>
      </w:r>
      <w:r w:rsidR="000E2A4B">
        <w:t>1)</w:t>
      </w:r>
      <w:r>
        <w:t>:</w:t>
      </w:r>
    </w:p>
    <w:p w14:paraId="6BE3F707" w14:textId="32340FF2" w:rsidR="006316E1" w:rsidRDefault="00FC514C" w:rsidP="00FC514C">
      <w:pPr>
        <w:pStyle w:val="ListNumber"/>
      </w:pPr>
      <w:r>
        <w:t>Develop a principles-based evaluation framework for policies and programs affecting Aboriginal and Torres Strait Islander people, to be applied by all Australian Government agencies — discussed in section</w:t>
      </w:r>
      <w:r w:rsidR="00442E24">
        <w:t> </w:t>
      </w:r>
      <w:r>
        <w:t>4</w:t>
      </w:r>
      <w:r w:rsidR="006316E1">
        <w:t xml:space="preserve"> of this issues paper</w:t>
      </w:r>
      <w:r>
        <w:t>.</w:t>
      </w:r>
    </w:p>
    <w:p w14:paraId="11DB042F" w14:textId="6D555B66" w:rsidR="00FC514C" w:rsidRDefault="00FC514C" w:rsidP="00FF6762">
      <w:pPr>
        <w:pStyle w:val="ListBullet2"/>
      </w:pPr>
      <w:r>
        <w:t xml:space="preserve">Importantly, this framework should provide guidance to agencies about planning for, administering and responding to evaluations at different </w:t>
      </w:r>
      <w:r>
        <w:lastRenderedPageBreak/>
        <w:t>points in the policy design and implementation cycle. It cannot be limited to the conduct of evaluation exercises.</w:t>
      </w:r>
      <w:r w:rsidR="00ED077C">
        <w:t xml:space="preserve"> The role of Aboriginal and Torres Strait Islander people in evaluation </w:t>
      </w:r>
      <w:r w:rsidR="00BE3F16">
        <w:t>will be an essential component.</w:t>
      </w:r>
    </w:p>
    <w:p w14:paraId="087AFB61" w14:textId="5171ABF9" w:rsidR="006316E1" w:rsidRDefault="00FC514C" w:rsidP="00FC514C">
      <w:pPr>
        <w:pStyle w:val="ListNumber"/>
      </w:pPr>
      <w:r>
        <w:t xml:space="preserve">Identify Indigenous evaluation priorities for the Australian Government </w:t>
      </w:r>
      <w:r w:rsidR="006316E1">
        <w:t>(</w:t>
      </w:r>
      <w:r>
        <w:t>section</w:t>
      </w:r>
      <w:r w:rsidR="00442E24">
        <w:t> </w:t>
      </w:r>
      <w:r>
        <w:t>5</w:t>
      </w:r>
      <w:r w:rsidR="006316E1">
        <w:t>)</w:t>
      </w:r>
      <w:r>
        <w:t>.</w:t>
      </w:r>
    </w:p>
    <w:p w14:paraId="12102109" w14:textId="33A963A0" w:rsidR="00FC514C" w:rsidRDefault="00FC514C" w:rsidP="00FF6762">
      <w:pPr>
        <w:pStyle w:val="ListBullet2"/>
      </w:pPr>
      <w:r>
        <w:t xml:space="preserve">A key element of the Indigenous Evaluation Strategy is the identification of evaluation priorities. Not all policies and programs affecting Aboriginal </w:t>
      </w:r>
      <w:r w:rsidR="00EE7612">
        <w:t xml:space="preserve">or </w:t>
      </w:r>
      <w:r>
        <w:t xml:space="preserve">Torres Strait Islander people will justify a significant investment in evaluation, and the net benefits of evaluation are likely to vary materially across programs. Evaluation priorities could be identified in a broad way — for example, in terms </w:t>
      </w:r>
      <w:r w:rsidR="006316E1">
        <w:t>of</w:t>
      </w:r>
      <w:r>
        <w:t xml:space="preserve"> size, location</w:t>
      </w:r>
      <w:r w:rsidR="00CA26AA">
        <w:t>,</w:t>
      </w:r>
      <w:r>
        <w:t xml:space="preserve"> service area</w:t>
      </w:r>
      <w:r w:rsidR="00CA26AA">
        <w:t xml:space="preserve"> or applicability to other</w:t>
      </w:r>
      <w:r>
        <w:t xml:space="preserve"> policies and programs, or more narrowly, by listing individual policies and programs</w:t>
      </w:r>
      <w:r w:rsidR="00CA26AA">
        <w:t xml:space="preserve"> in priority order</w:t>
      </w:r>
      <w:r>
        <w:t>.</w:t>
      </w:r>
    </w:p>
    <w:p w14:paraId="023CEC79" w14:textId="15E60955" w:rsidR="006316E1" w:rsidRDefault="00FC514C" w:rsidP="00FC514C">
      <w:pPr>
        <w:pStyle w:val="ListNumber"/>
      </w:pPr>
      <w:r>
        <w:t xml:space="preserve">Identify the processes and institutional characteristics needed to promote the adoption and success of the Indigenous Evaluation Strategy </w:t>
      </w:r>
      <w:r w:rsidR="006316E1">
        <w:t>(</w:t>
      </w:r>
      <w:r>
        <w:t>section</w:t>
      </w:r>
      <w:r w:rsidR="00442E24">
        <w:t> </w:t>
      </w:r>
      <w:r>
        <w:t>5</w:t>
      </w:r>
      <w:r w:rsidR="006316E1">
        <w:t>)</w:t>
      </w:r>
      <w:r>
        <w:t>.</w:t>
      </w:r>
    </w:p>
    <w:p w14:paraId="3D8559DE" w14:textId="5F9AE6C1" w:rsidR="00FC514C" w:rsidRDefault="00FC514C" w:rsidP="00FF6762">
      <w:pPr>
        <w:pStyle w:val="ListBullet2"/>
      </w:pPr>
      <w:r>
        <w:t>This might include: developing an evaluative culture, capacity and capability in Australian Government agencies; appropriate data protocols for sharing and linking relevant data; compliance and monitoring arrangements to hold agencies to account; processes to encourage policy-makers to consider evaluation evidence when developing or revising policie</w:t>
      </w:r>
      <w:r w:rsidR="00CA26AA">
        <w:t>s; and a process for reviewing</w:t>
      </w:r>
      <w:r>
        <w:t xml:space="preserve"> and re</w:t>
      </w:r>
      <w:r w:rsidR="00557981">
        <w:t>vising</w:t>
      </w:r>
      <w:r>
        <w:t xml:space="preserve"> the Indigenous </w:t>
      </w:r>
      <w:r w:rsidR="002E4413">
        <w:t>E</w:t>
      </w:r>
      <w:r>
        <w:t xml:space="preserve">valuation </w:t>
      </w:r>
      <w:r w:rsidR="002E4413">
        <w:t>S</w:t>
      </w:r>
      <w:r>
        <w:t xml:space="preserve">trategy itself over time. </w:t>
      </w:r>
    </w:p>
    <w:p w14:paraId="1259D8AF" w14:textId="177DE079" w:rsidR="00070667" w:rsidRPr="004E3B94" w:rsidRDefault="00070667" w:rsidP="00A51C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70667" w14:paraId="232A237E" w14:textId="77777777" w:rsidTr="00A51C85">
        <w:trPr>
          <w:tblHeader/>
        </w:trPr>
        <w:tc>
          <w:tcPr>
            <w:tcW w:w="5000" w:type="pct"/>
            <w:tcBorders>
              <w:top w:val="single" w:sz="6" w:space="0" w:color="78A22F"/>
              <w:left w:val="nil"/>
              <w:bottom w:val="nil"/>
              <w:right w:val="nil"/>
            </w:tcBorders>
            <w:shd w:val="clear" w:color="auto" w:fill="auto"/>
          </w:tcPr>
          <w:p w14:paraId="1BDA5CE3" w14:textId="1EC9DDAC" w:rsidR="00070667" w:rsidRPr="00CE4C64" w:rsidRDefault="00070667" w:rsidP="00A51C85">
            <w:pPr>
              <w:pStyle w:val="InformationRequestTitle"/>
              <w:spacing w:before="120"/>
            </w:pPr>
            <w:r>
              <w:t>Question on components of THE INDIGENOUS EVALUATION STRATEGY</w:t>
            </w:r>
          </w:p>
        </w:tc>
      </w:tr>
      <w:tr w:rsidR="00070667" w:rsidRPr="00750BE2" w14:paraId="7E9C36C0" w14:textId="77777777" w:rsidTr="00A51C85">
        <w:tc>
          <w:tcPr>
            <w:tcW w:w="5000" w:type="pct"/>
            <w:tcBorders>
              <w:top w:val="nil"/>
              <w:left w:val="nil"/>
              <w:bottom w:val="nil"/>
              <w:right w:val="nil"/>
            </w:tcBorders>
            <w:shd w:val="clear" w:color="auto" w:fill="auto"/>
          </w:tcPr>
          <w:p w14:paraId="22A06700" w14:textId="61048075" w:rsidR="00070667" w:rsidRPr="006E7EE2" w:rsidRDefault="00070667" w:rsidP="00072B21">
            <w:pPr>
              <w:pStyle w:val="InformationRequest"/>
              <w:keepNext/>
            </w:pPr>
            <w:r>
              <w:t xml:space="preserve">Do you agree with the main components of an </w:t>
            </w:r>
            <w:r w:rsidRPr="00CB4720">
              <w:t xml:space="preserve">Indigenous Evaluation Strategy </w:t>
            </w:r>
            <w:r>
              <w:t>suggested</w:t>
            </w:r>
            <w:r w:rsidRPr="00CB4720">
              <w:t xml:space="preserve"> by the Commission</w:t>
            </w:r>
            <w:r w:rsidRPr="00E27F6B">
              <w:t>?</w:t>
            </w:r>
            <w:r w:rsidR="00072B21">
              <w:t xml:space="preserve"> Should other components be included? If so, why?</w:t>
            </w:r>
          </w:p>
        </w:tc>
      </w:tr>
      <w:tr w:rsidR="00070667" w14:paraId="310C9164" w14:textId="77777777" w:rsidTr="00A51C85">
        <w:tc>
          <w:tcPr>
            <w:tcW w:w="5000" w:type="pct"/>
            <w:tcBorders>
              <w:top w:val="nil"/>
              <w:left w:val="nil"/>
              <w:bottom w:val="single" w:sz="6" w:space="0" w:color="78A22F"/>
              <w:right w:val="nil"/>
            </w:tcBorders>
            <w:shd w:val="clear" w:color="auto" w:fill="auto"/>
          </w:tcPr>
          <w:p w14:paraId="49ED5617" w14:textId="77777777" w:rsidR="00070667" w:rsidRDefault="00070667" w:rsidP="00A51C85">
            <w:pPr>
              <w:pStyle w:val="Space"/>
              <w:keepLines/>
            </w:pPr>
          </w:p>
        </w:tc>
      </w:tr>
      <w:tr w:rsidR="00070667" w:rsidRPr="000863A5" w14:paraId="0A69ADA4" w14:textId="77777777" w:rsidTr="00A51C85">
        <w:tc>
          <w:tcPr>
            <w:tcW w:w="5000" w:type="pct"/>
            <w:tcBorders>
              <w:top w:val="single" w:sz="6" w:space="0" w:color="78A22F"/>
              <w:left w:val="nil"/>
              <w:bottom w:val="nil"/>
              <w:right w:val="nil"/>
            </w:tcBorders>
          </w:tcPr>
          <w:p w14:paraId="4A32656C" w14:textId="31CB6F58" w:rsidR="00070667" w:rsidRPr="00626D32" w:rsidRDefault="00070667" w:rsidP="00A51C85">
            <w:pPr>
              <w:pStyle w:val="BoxSpaceBelow"/>
              <w:keepLines/>
            </w:pPr>
          </w:p>
        </w:tc>
      </w:tr>
    </w:tbl>
    <w:p w14:paraId="153D509F" w14:textId="4AA21886" w:rsidR="0027672C" w:rsidRDefault="006A3421" w:rsidP="0027672C">
      <w:pPr>
        <w:pStyle w:val="Heading4"/>
      </w:pPr>
      <w:r>
        <w:lastRenderedPageBreak/>
        <w:t>Who and w</w:t>
      </w:r>
      <w:r w:rsidR="00B54D5E">
        <w:t>hat</w:t>
      </w:r>
      <w:r w:rsidR="00E63609">
        <w:t xml:space="preserve"> </w:t>
      </w:r>
      <w:r>
        <w:t xml:space="preserve">is </w:t>
      </w:r>
      <w:r w:rsidR="00B54D5E">
        <w:t xml:space="preserve">covered by the </w:t>
      </w:r>
      <w:r w:rsidR="0042114E">
        <w:t>S</w:t>
      </w:r>
      <w:r w:rsidR="00B54D5E">
        <w:t>trategy?</w:t>
      </w:r>
      <w:r w:rsidR="0027672C">
        <w:t xml:space="preserve"> </w:t>
      </w:r>
    </w:p>
    <w:p w14:paraId="07DD4B34" w14:textId="69431437" w:rsidR="0080547D" w:rsidRDefault="00E05B1B" w:rsidP="00D3504F">
      <w:pPr>
        <w:pStyle w:val="BodyText"/>
      </w:pPr>
      <w:r>
        <w:t xml:space="preserve">Four in every five dollars </w:t>
      </w:r>
      <w:r w:rsidRPr="004D0960">
        <w:t xml:space="preserve">spent </w:t>
      </w:r>
      <w:r>
        <w:t xml:space="preserve">by the Australian Government in </w:t>
      </w:r>
      <w:r w:rsidRPr="004D0960">
        <w:t xml:space="preserve">providing services to </w:t>
      </w:r>
      <w:r>
        <w:t>Aboriginal and Torres Strait Islander people</w:t>
      </w:r>
      <w:r w:rsidRPr="004D0960">
        <w:t xml:space="preserve"> </w:t>
      </w:r>
      <w:r>
        <w:t>is</w:t>
      </w:r>
      <w:r w:rsidRPr="004D0960">
        <w:t xml:space="preserve"> spent </w:t>
      </w:r>
      <w:r w:rsidRPr="00182167">
        <w:t xml:space="preserve">through mainstream </w:t>
      </w:r>
      <w:r>
        <w:t xml:space="preserve">programs and </w:t>
      </w:r>
      <w:r w:rsidRPr="00182167">
        <w:t>services</w:t>
      </w:r>
      <w:r>
        <w:t xml:space="preserve"> </w:t>
      </w:r>
      <w:r w:rsidR="003E41C3" w:rsidRPr="003E41C3">
        <w:rPr>
          <w:szCs w:val="24"/>
        </w:rPr>
        <w:t>(SCRGSP 2017)</w:t>
      </w:r>
      <w:r>
        <w:t xml:space="preserve"> (see section</w:t>
      </w:r>
      <w:r w:rsidR="00442E24">
        <w:t> </w:t>
      </w:r>
      <w:r>
        <w:t>2 for more information)</w:t>
      </w:r>
      <w:r w:rsidRPr="00182167">
        <w:t>.</w:t>
      </w:r>
      <w:r>
        <w:t xml:space="preserve"> </w:t>
      </w:r>
      <w:r w:rsidR="00BB657A">
        <w:t xml:space="preserve">To examine the full spectrum of </w:t>
      </w:r>
      <w:r>
        <w:t xml:space="preserve">policies and </w:t>
      </w:r>
      <w:r w:rsidR="00BB657A">
        <w:t xml:space="preserve">programs that </w:t>
      </w:r>
      <w:r w:rsidR="00317A03">
        <w:t>affect</w:t>
      </w:r>
      <w:r w:rsidR="00BB657A">
        <w:t xml:space="preserve"> Aboriginal and Torres Strait Islander people, t</w:t>
      </w:r>
      <w:r w:rsidR="0027672C">
        <w:t xml:space="preserve">he </w:t>
      </w:r>
      <w:r w:rsidR="00EE7612">
        <w:t>E</w:t>
      </w:r>
      <w:r w:rsidR="0027672C">
        <w:t xml:space="preserve">valuation </w:t>
      </w:r>
      <w:r w:rsidR="00EE7612">
        <w:t>S</w:t>
      </w:r>
      <w:r w:rsidR="0027672C">
        <w:t xml:space="preserve">trategy </w:t>
      </w:r>
      <w:r>
        <w:t xml:space="preserve">must therefore </w:t>
      </w:r>
      <w:r w:rsidR="0027672C">
        <w:t xml:space="preserve">cover both mainstream </w:t>
      </w:r>
      <w:r w:rsidR="00BB3BA1">
        <w:t xml:space="preserve">programs </w:t>
      </w:r>
      <w:r w:rsidR="00D3504F">
        <w:t xml:space="preserve">(provided for all people) </w:t>
      </w:r>
      <w:r w:rsidR="0027672C">
        <w:t>and Indigenous</w:t>
      </w:r>
      <w:r w:rsidR="00BB657A">
        <w:noBreakHyphen/>
      </w:r>
      <w:r w:rsidR="0027672C">
        <w:t xml:space="preserve">specific </w:t>
      </w:r>
      <w:r w:rsidR="00BB3BA1">
        <w:t xml:space="preserve">programs </w:t>
      </w:r>
      <w:r w:rsidR="00D3504F">
        <w:t>(</w:t>
      </w:r>
      <w:r w:rsidR="00BB657A">
        <w:t xml:space="preserve">programs </w:t>
      </w:r>
      <w:r w:rsidR="00D3504F">
        <w:t xml:space="preserve">provided </w:t>
      </w:r>
      <w:r w:rsidR="000E5CCD">
        <w:t>for</w:t>
      </w:r>
      <w:r w:rsidR="00D3504F">
        <w:t xml:space="preserve"> Aboriginal and Torres Strait Islander </w:t>
      </w:r>
      <w:r w:rsidR="00C21E83">
        <w:t>people</w:t>
      </w:r>
      <w:r w:rsidR="00D3504F">
        <w:t xml:space="preserve"> specifically)</w:t>
      </w:r>
      <w:r w:rsidR="0062379A">
        <w:t>.</w:t>
      </w:r>
    </w:p>
    <w:p w14:paraId="30C0808F" w14:textId="0EC4FB1A" w:rsidR="00070667" w:rsidRPr="004E3B94" w:rsidRDefault="00070667" w:rsidP="00A51C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70667" w14:paraId="711B5595" w14:textId="77777777" w:rsidTr="00A51C85">
        <w:trPr>
          <w:tblHeader/>
        </w:trPr>
        <w:tc>
          <w:tcPr>
            <w:tcW w:w="5000" w:type="pct"/>
            <w:tcBorders>
              <w:top w:val="single" w:sz="6" w:space="0" w:color="78A22F"/>
              <w:left w:val="nil"/>
              <w:bottom w:val="nil"/>
              <w:right w:val="nil"/>
            </w:tcBorders>
            <w:shd w:val="clear" w:color="auto" w:fill="auto"/>
          </w:tcPr>
          <w:p w14:paraId="6410BC79" w14:textId="095241DD" w:rsidR="00070667" w:rsidRPr="00CE4C64" w:rsidRDefault="00070667" w:rsidP="00070667">
            <w:pPr>
              <w:pStyle w:val="InformationRequestTitle"/>
              <w:spacing w:before="120"/>
            </w:pPr>
            <w:r>
              <w:t>Question on applying the strategy to mainstream programs</w:t>
            </w:r>
          </w:p>
        </w:tc>
      </w:tr>
      <w:tr w:rsidR="00070667" w:rsidRPr="00750BE2" w14:paraId="1811A415" w14:textId="77777777" w:rsidTr="00A51C85">
        <w:tc>
          <w:tcPr>
            <w:tcW w:w="5000" w:type="pct"/>
            <w:tcBorders>
              <w:top w:val="nil"/>
              <w:left w:val="nil"/>
              <w:bottom w:val="nil"/>
              <w:right w:val="nil"/>
            </w:tcBorders>
            <w:shd w:val="clear" w:color="auto" w:fill="auto"/>
          </w:tcPr>
          <w:p w14:paraId="40AF16FC" w14:textId="1A998C9E" w:rsidR="00070667" w:rsidRPr="001C6856" w:rsidRDefault="00070667" w:rsidP="00A51C85">
            <w:pPr>
              <w:pStyle w:val="InformationRequest"/>
              <w:keepNext/>
              <w:rPr>
                <w:spacing w:val="2"/>
              </w:rPr>
            </w:pPr>
            <w:r w:rsidRPr="001C6856">
              <w:rPr>
                <w:spacing w:val="2"/>
              </w:rPr>
              <w:t>What is the best way to address mainstream programs in the Indigenous Evaluation Strategy?</w:t>
            </w:r>
          </w:p>
        </w:tc>
      </w:tr>
      <w:tr w:rsidR="00070667" w14:paraId="11249FED" w14:textId="77777777" w:rsidTr="00A51C85">
        <w:tc>
          <w:tcPr>
            <w:tcW w:w="5000" w:type="pct"/>
            <w:tcBorders>
              <w:top w:val="nil"/>
              <w:left w:val="nil"/>
              <w:bottom w:val="single" w:sz="6" w:space="0" w:color="78A22F"/>
              <w:right w:val="nil"/>
            </w:tcBorders>
            <w:shd w:val="clear" w:color="auto" w:fill="auto"/>
          </w:tcPr>
          <w:p w14:paraId="77D067A2" w14:textId="77777777" w:rsidR="00070667" w:rsidRDefault="00070667" w:rsidP="00A51C85">
            <w:pPr>
              <w:pStyle w:val="Space"/>
              <w:keepLines/>
            </w:pPr>
          </w:p>
        </w:tc>
      </w:tr>
      <w:tr w:rsidR="00070667" w:rsidRPr="000863A5" w14:paraId="42FD7632" w14:textId="77777777" w:rsidTr="00A51C85">
        <w:tc>
          <w:tcPr>
            <w:tcW w:w="5000" w:type="pct"/>
            <w:tcBorders>
              <w:top w:val="single" w:sz="6" w:space="0" w:color="78A22F"/>
              <w:left w:val="nil"/>
              <w:bottom w:val="nil"/>
              <w:right w:val="nil"/>
            </w:tcBorders>
          </w:tcPr>
          <w:p w14:paraId="4517F421" w14:textId="00346099" w:rsidR="00070667" w:rsidRPr="00626D32" w:rsidRDefault="00070667" w:rsidP="00A51C85">
            <w:pPr>
              <w:pStyle w:val="BoxSpaceBelow"/>
              <w:keepLines/>
            </w:pPr>
          </w:p>
        </w:tc>
      </w:tr>
    </w:tbl>
    <w:p w14:paraId="477A3FA6" w14:textId="064143A6" w:rsidR="0027672C" w:rsidRDefault="0027672C" w:rsidP="0027672C">
      <w:pPr>
        <w:pStyle w:val="BodyText"/>
      </w:pPr>
      <w:r w:rsidRPr="00B15B8B">
        <w:t xml:space="preserve">The </w:t>
      </w:r>
      <w:r w:rsidR="00072B21">
        <w:t>E</w:t>
      </w:r>
      <w:r w:rsidRPr="00B15B8B">
        <w:t xml:space="preserve">valuation </w:t>
      </w:r>
      <w:r w:rsidR="00072B21">
        <w:t>S</w:t>
      </w:r>
      <w:r w:rsidRPr="00B15B8B">
        <w:t xml:space="preserve">trategy will apply </w:t>
      </w:r>
      <w:r w:rsidR="009C7E98">
        <w:t xml:space="preserve">directly </w:t>
      </w:r>
      <w:r w:rsidR="00494716" w:rsidRPr="00B15B8B">
        <w:t xml:space="preserve">only </w:t>
      </w:r>
      <w:r w:rsidRPr="00B15B8B">
        <w:t>to Australian Government agencies</w:t>
      </w:r>
      <w:r>
        <w:t xml:space="preserve">. However, the Commission </w:t>
      </w:r>
      <w:r w:rsidR="004D4036">
        <w:t xml:space="preserve">recognises that other stakeholders, such </w:t>
      </w:r>
      <w:r w:rsidR="0032139A">
        <w:t xml:space="preserve">as </w:t>
      </w:r>
      <w:r w:rsidR="00D67199">
        <w:t xml:space="preserve">Aboriginal and Torres Strait Islander </w:t>
      </w:r>
      <w:r w:rsidR="0032139A">
        <w:t>organisations, state</w:t>
      </w:r>
      <w:r w:rsidR="004D4036">
        <w:t xml:space="preserve">, </w:t>
      </w:r>
      <w:r>
        <w:t>territory</w:t>
      </w:r>
      <w:r w:rsidR="004D4036">
        <w:t xml:space="preserve"> and local</w:t>
      </w:r>
      <w:r>
        <w:t xml:space="preserve"> governments</w:t>
      </w:r>
      <w:r w:rsidR="004D4036">
        <w:t>, not for profit entities,</w:t>
      </w:r>
      <w:r w:rsidR="00775122">
        <w:t xml:space="preserve"> </w:t>
      </w:r>
      <w:r w:rsidR="00CA5853">
        <w:t>business</w:t>
      </w:r>
      <w:r w:rsidR="004D4036">
        <w:t xml:space="preserve"> and communities are key stakeholders</w:t>
      </w:r>
      <w:r w:rsidR="0042114E">
        <w:t>, and partners,</w:t>
      </w:r>
      <w:r w:rsidR="004D4036">
        <w:t xml:space="preserve"> in </w:t>
      </w:r>
      <w:r w:rsidR="0032139A">
        <w:t xml:space="preserve">policy implementation and </w:t>
      </w:r>
      <w:r w:rsidR="004D4036">
        <w:t xml:space="preserve">evaluation. This project will </w:t>
      </w:r>
      <w:r>
        <w:t xml:space="preserve">draw on their </w:t>
      </w:r>
      <w:r w:rsidR="00240C7B">
        <w:t xml:space="preserve">knowledge and experience </w:t>
      </w:r>
      <w:r>
        <w:t xml:space="preserve">with a view to </w:t>
      </w:r>
      <w:r w:rsidR="00D6142F">
        <w:t xml:space="preserve">ensuring </w:t>
      </w:r>
      <w:r>
        <w:t xml:space="preserve">the </w:t>
      </w:r>
      <w:r w:rsidR="00072B21">
        <w:t>E</w:t>
      </w:r>
      <w:r>
        <w:t xml:space="preserve">valuation </w:t>
      </w:r>
      <w:r w:rsidR="00072B21">
        <w:t>S</w:t>
      </w:r>
      <w:r>
        <w:t xml:space="preserve">trategy </w:t>
      </w:r>
      <w:r w:rsidR="00D6142F">
        <w:t xml:space="preserve">has the potential to </w:t>
      </w:r>
      <w:r w:rsidR="00D67199">
        <w:t>be used more widely</w:t>
      </w:r>
      <w:r w:rsidR="009C7E98">
        <w:t xml:space="preserve"> and therefore promote increased use of evaluation beyond</w:t>
      </w:r>
      <w:r w:rsidR="002824FD">
        <w:t xml:space="preserve"> Australian </w:t>
      </w:r>
      <w:r w:rsidR="00D6142F">
        <w:t>G</w:t>
      </w:r>
      <w:r w:rsidR="002824FD">
        <w:t>overnment</w:t>
      </w:r>
      <w:r w:rsidR="009C7E98">
        <w:t xml:space="preserve"> agencies</w:t>
      </w:r>
      <w:r>
        <w:t>.</w:t>
      </w:r>
    </w:p>
    <w:p w14:paraId="37E89F2B" w14:textId="10CCF439" w:rsidR="0062379A" w:rsidRDefault="0062379A" w:rsidP="0027672C">
      <w:pPr>
        <w:pStyle w:val="BodyText"/>
      </w:pPr>
      <w:r>
        <w:t xml:space="preserve">Developing the </w:t>
      </w:r>
      <w:r w:rsidR="00E05B1B">
        <w:t xml:space="preserve">Indigenous </w:t>
      </w:r>
      <w:r w:rsidR="00AB0FF6">
        <w:t>E</w:t>
      </w:r>
      <w:r>
        <w:t xml:space="preserve">valuation </w:t>
      </w:r>
      <w:r w:rsidR="00AB0FF6">
        <w:t>S</w:t>
      </w:r>
      <w:r>
        <w:t xml:space="preserve">trategy is essentially the first stage in a process to improve </w:t>
      </w:r>
      <w:r w:rsidR="00E05B1B">
        <w:t>evaluation practice and use across the policy cycle</w:t>
      </w:r>
      <w:r>
        <w:t xml:space="preserve">. </w:t>
      </w:r>
      <w:r w:rsidR="009C7E98">
        <w:t>Beyond this, t</w:t>
      </w:r>
      <w:r>
        <w:t xml:space="preserve">he Letter of Direction envisages an ongoing role for the Commission in reviewing agencies’ progress in implementing the </w:t>
      </w:r>
      <w:r w:rsidR="00E00255">
        <w:t>S</w:t>
      </w:r>
      <w:r>
        <w:t>trategy, as well as the Commission undertaking evaluations</w:t>
      </w:r>
      <w:r w:rsidR="00933B3D">
        <w:t xml:space="preserve"> in areas </w:t>
      </w:r>
      <w:r w:rsidR="001B194C">
        <w:t>in which</w:t>
      </w:r>
      <w:r w:rsidR="00933B3D">
        <w:t xml:space="preserve"> there may </w:t>
      </w:r>
      <w:r w:rsidR="00933B3D">
        <w:lastRenderedPageBreak/>
        <w:t>be value in it doing so</w:t>
      </w:r>
      <w:r>
        <w:t>.</w:t>
      </w:r>
      <w:r w:rsidR="00AB0FF6">
        <w:t xml:space="preserve"> The Strategy itself will be a living document and ongoing review will be essential.</w:t>
      </w:r>
    </w:p>
    <w:p w14:paraId="56C6EEB4" w14:textId="4DDB5EBC" w:rsidR="00D96622" w:rsidRPr="007F0F06" w:rsidRDefault="00E35599" w:rsidP="007F0F06">
      <w:pPr>
        <w:pStyle w:val="Heading2"/>
        <w:rPr>
          <w:rStyle w:val="Heading2Char"/>
          <w:b/>
        </w:rPr>
      </w:pPr>
      <w:bookmarkStart w:id="48" w:name="_Toc10709996"/>
      <w:bookmarkStart w:id="49" w:name="_Toc10734420"/>
      <w:bookmarkStart w:id="50" w:name="_Toc10735492"/>
      <w:bookmarkStart w:id="51" w:name="_Toc10794221"/>
      <w:bookmarkStart w:id="52" w:name="_Toc10795556"/>
      <w:bookmarkStart w:id="53" w:name="_Toc10795701"/>
      <w:bookmarkStart w:id="54" w:name="_Toc10802388"/>
      <w:bookmarkStart w:id="55" w:name="_Toc10808034"/>
      <w:bookmarkStart w:id="56" w:name="_Toc10808775"/>
      <w:bookmarkStart w:id="57" w:name="_Toc12272477"/>
      <w:bookmarkStart w:id="58" w:name="_Toc12363003"/>
      <w:r w:rsidRPr="007F0F06">
        <w:t>2</w:t>
      </w:r>
      <w:r w:rsidRPr="007F0F06">
        <w:tab/>
      </w:r>
      <w:r w:rsidR="00733EF4" w:rsidRPr="007F0F06">
        <w:rPr>
          <w:rStyle w:val="Heading2Char"/>
          <w:b/>
        </w:rPr>
        <w:t>Government polic</w:t>
      </w:r>
      <w:r w:rsidR="007205EC">
        <w:rPr>
          <w:rStyle w:val="Heading2Char"/>
          <w:b/>
        </w:rPr>
        <w:t>ies</w:t>
      </w:r>
      <w:r w:rsidR="00733EF4" w:rsidRPr="007F0F06">
        <w:rPr>
          <w:rStyle w:val="Heading2Char"/>
          <w:b/>
        </w:rPr>
        <w:t xml:space="preserve"> and programs </w:t>
      </w:r>
      <w:r w:rsidR="00086497">
        <w:rPr>
          <w:rStyle w:val="Heading2Char"/>
          <w:b/>
        </w:rPr>
        <w:t>affecting</w:t>
      </w:r>
      <w:r w:rsidR="00733EF4" w:rsidRPr="007F0F06">
        <w:rPr>
          <w:rStyle w:val="Heading2Char"/>
          <w:b/>
        </w:rPr>
        <w:t xml:space="preserve"> </w:t>
      </w:r>
      <w:r w:rsidR="006549A2" w:rsidRPr="007F0F06">
        <w:rPr>
          <w:rStyle w:val="Heading2Char"/>
          <w:b/>
        </w:rPr>
        <w:t>Aboriginal and Torres Strait Islander people</w:t>
      </w:r>
      <w:bookmarkEnd w:id="48"/>
      <w:bookmarkEnd w:id="49"/>
      <w:bookmarkEnd w:id="50"/>
      <w:bookmarkEnd w:id="51"/>
      <w:bookmarkEnd w:id="52"/>
      <w:bookmarkEnd w:id="53"/>
      <w:bookmarkEnd w:id="54"/>
      <w:bookmarkEnd w:id="55"/>
      <w:bookmarkEnd w:id="56"/>
      <w:bookmarkEnd w:id="57"/>
      <w:bookmarkEnd w:id="58"/>
    </w:p>
    <w:p w14:paraId="067D050D" w14:textId="3AA2C28A" w:rsidR="002824C0" w:rsidRDefault="0071114E" w:rsidP="000E2A4B">
      <w:pPr>
        <w:pStyle w:val="BodyText"/>
        <w:rPr>
          <w:rFonts w:eastAsiaTheme="majorEastAsia"/>
        </w:rPr>
      </w:pPr>
      <w:r>
        <w:rPr>
          <w:rFonts w:eastAsiaTheme="majorEastAsia"/>
        </w:rPr>
        <w:t xml:space="preserve">There are myriad diverse </w:t>
      </w:r>
      <w:r w:rsidR="006F43F5">
        <w:rPr>
          <w:rFonts w:eastAsiaTheme="majorEastAsia"/>
        </w:rPr>
        <w:t xml:space="preserve">policies and programs </w:t>
      </w:r>
      <w:r>
        <w:rPr>
          <w:rFonts w:eastAsiaTheme="majorEastAsia"/>
        </w:rPr>
        <w:t>—</w:t>
      </w:r>
      <w:r w:rsidR="00076DE8">
        <w:rPr>
          <w:rFonts w:eastAsiaTheme="majorEastAsia"/>
        </w:rPr>
        <w:t xml:space="preserve"> </w:t>
      </w:r>
      <w:r w:rsidR="006F43F5">
        <w:rPr>
          <w:rFonts w:eastAsiaTheme="majorEastAsia"/>
        </w:rPr>
        <w:t>mainstream and Indigenous</w:t>
      </w:r>
      <w:r w:rsidR="00442E24">
        <w:rPr>
          <w:rFonts w:eastAsiaTheme="majorEastAsia"/>
        </w:rPr>
        <w:noBreakHyphen/>
      </w:r>
      <w:r w:rsidR="006F43F5">
        <w:rPr>
          <w:rFonts w:eastAsiaTheme="majorEastAsia"/>
        </w:rPr>
        <w:t xml:space="preserve">specific </w:t>
      </w:r>
      <w:r>
        <w:rPr>
          <w:rFonts w:eastAsiaTheme="majorEastAsia"/>
        </w:rPr>
        <w:t>—</w:t>
      </w:r>
      <w:r w:rsidR="00442E24">
        <w:rPr>
          <w:rFonts w:eastAsiaTheme="majorEastAsia"/>
        </w:rPr>
        <w:t xml:space="preserve"> </w:t>
      </w:r>
      <w:r>
        <w:rPr>
          <w:rFonts w:eastAsiaTheme="majorEastAsia"/>
        </w:rPr>
        <w:t xml:space="preserve">that affect </w:t>
      </w:r>
      <w:r w:rsidR="006F43F5">
        <w:rPr>
          <w:rFonts w:eastAsiaTheme="majorEastAsia"/>
        </w:rPr>
        <w:t xml:space="preserve">Aboriginal </w:t>
      </w:r>
      <w:r>
        <w:rPr>
          <w:rFonts w:eastAsiaTheme="majorEastAsia"/>
        </w:rPr>
        <w:t xml:space="preserve">and Torres Strait Islander people. Some of these </w:t>
      </w:r>
      <w:r w:rsidR="008064F1">
        <w:rPr>
          <w:rFonts w:eastAsiaTheme="majorEastAsia"/>
        </w:rPr>
        <w:t xml:space="preserve">policies and </w:t>
      </w:r>
      <w:r>
        <w:rPr>
          <w:rFonts w:eastAsiaTheme="majorEastAsia"/>
        </w:rPr>
        <w:t xml:space="preserve">programs </w:t>
      </w:r>
      <w:r w:rsidR="00E51553">
        <w:rPr>
          <w:rFonts w:eastAsiaTheme="majorEastAsia"/>
        </w:rPr>
        <w:t>could</w:t>
      </w:r>
      <w:r>
        <w:rPr>
          <w:rFonts w:eastAsiaTheme="majorEastAsia"/>
        </w:rPr>
        <w:t xml:space="preserve"> </w:t>
      </w:r>
      <w:r w:rsidR="00F05CB4">
        <w:rPr>
          <w:rFonts w:eastAsiaTheme="majorEastAsia"/>
        </w:rPr>
        <w:t>have positive or negative features rendering them</w:t>
      </w:r>
      <w:r>
        <w:rPr>
          <w:rFonts w:eastAsiaTheme="majorEastAsia"/>
        </w:rPr>
        <w:t xml:space="preserve"> particularly instructive for </w:t>
      </w:r>
      <w:r w:rsidR="00E51553">
        <w:rPr>
          <w:rFonts w:eastAsiaTheme="majorEastAsia"/>
        </w:rPr>
        <w:t>informing the development of</w:t>
      </w:r>
      <w:r>
        <w:rPr>
          <w:rFonts w:eastAsiaTheme="majorEastAsia"/>
        </w:rPr>
        <w:t xml:space="preserve"> an Indigenous </w:t>
      </w:r>
      <w:r w:rsidR="002E4413">
        <w:rPr>
          <w:rFonts w:eastAsiaTheme="majorEastAsia"/>
        </w:rPr>
        <w:t>E</w:t>
      </w:r>
      <w:r>
        <w:rPr>
          <w:rFonts w:eastAsiaTheme="majorEastAsia"/>
        </w:rPr>
        <w:t xml:space="preserve">valuation </w:t>
      </w:r>
      <w:r w:rsidR="002E4413">
        <w:rPr>
          <w:rFonts w:eastAsiaTheme="majorEastAsia"/>
        </w:rPr>
        <w:t>S</w:t>
      </w:r>
      <w:r>
        <w:rPr>
          <w:rFonts w:eastAsiaTheme="majorEastAsia"/>
        </w:rPr>
        <w:t>trategy</w:t>
      </w:r>
      <w:r w:rsidR="00F05CB4">
        <w:rPr>
          <w:rFonts w:eastAsiaTheme="majorEastAsia"/>
        </w:rPr>
        <w:t xml:space="preserve">. </w:t>
      </w:r>
      <w:r w:rsidR="001B194C">
        <w:rPr>
          <w:rFonts w:eastAsiaTheme="majorEastAsia"/>
        </w:rPr>
        <w:t xml:space="preserve">And some </w:t>
      </w:r>
      <w:r w:rsidR="00F05CB4">
        <w:rPr>
          <w:rFonts w:eastAsiaTheme="majorEastAsia"/>
        </w:rPr>
        <w:t>m</w:t>
      </w:r>
      <w:r w:rsidR="008064F1">
        <w:rPr>
          <w:rFonts w:eastAsiaTheme="majorEastAsia"/>
        </w:rPr>
        <w:t>ight be considered especially high priority candidates for evaluation. The Commission welcomes view</w:t>
      </w:r>
      <w:r w:rsidR="00CA6F42">
        <w:rPr>
          <w:rFonts w:eastAsiaTheme="majorEastAsia"/>
        </w:rPr>
        <w:t>s</w:t>
      </w:r>
      <w:r w:rsidR="008064F1">
        <w:rPr>
          <w:rFonts w:eastAsiaTheme="majorEastAsia"/>
        </w:rPr>
        <w:t xml:space="preserve"> on </w:t>
      </w:r>
      <w:r w:rsidR="00E51553">
        <w:rPr>
          <w:rFonts w:eastAsiaTheme="majorEastAsia"/>
        </w:rPr>
        <w:t>the lessons that can be drawn from existing programs.</w:t>
      </w:r>
    </w:p>
    <w:p w14:paraId="4BD9C926" w14:textId="65DBD737" w:rsidR="001B194C" w:rsidRDefault="001B194C" w:rsidP="000E2A4B">
      <w:pPr>
        <w:pStyle w:val="BodyText"/>
        <w:rPr>
          <w:rFonts w:eastAsiaTheme="majorEastAsia"/>
        </w:rPr>
      </w:pPr>
      <w:r w:rsidRPr="00A75EE9">
        <w:rPr>
          <w:rFonts w:eastAsiaTheme="majorEastAsia"/>
        </w:rPr>
        <w:t>Th</w:t>
      </w:r>
      <w:r>
        <w:rPr>
          <w:rFonts w:eastAsiaTheme="majorEastAsia"/>
        </w:rPr>
        <w:t xml:space="preserve">e following sets out major </w:t>
      </w:r>
      <w:r w:rsidRPr="00A75EE9">
        <w:rPr>
          <w:rFonts w:eastAsiaTheme="majorEastAsia"/>
        </w:rPr>
        <w:t>policies and programs affecting Aboriginal an</w:t>
      </w:r>
      <w:r>
        <w:rPr>
          <w:rFonts w:eastAsiaTheme="majorEastAsia"/>
        </w:rPr>
        <w:t>d Torres Strait Islander people</w:t>
      </w:r>
      <w:r w:rsidRPr="00A75EE9">
        <w:rPr>
          <w:rFonts w:eastAsiaTheme="majorEastAsia"/>
        </w:rPr>
        <w:t xml:space="preserve"> as a basis for identifying lessons</w:t>
      </w:r>
      <w:r>
        <w:rPr>
          <w:rFonts w:eastAsiaTheme="majorEastAsia"/>
        </w:rPr>
        <w:t xml:space="preserve"> to inform the</w:t>
      </w:r>
      <w:r w:rsidRPr="00A75EE9">
        <w:rPr>
          <w:rFonts w:eastAsiaTheme="majorEastAsia"/>
        </w:rPr>
        <w:t xml:space="preserve"> Evaluation Strategy.</w:t>
      </w:r>
    </w:p>
    <w:p w14:paraId="6996A482" w14:textId="48369061" w:rsidR="000C46AE" w:rsidRDefault="008B1269" w:rsidP="005F5A79">
      <w:pPr>
        <w:pStyle w:val="Heading3"/>
      </w:pPr>
      <w:r>
        <w:t>Closing t</w:t>
      </w:r>
      <w:r w:rsidR="000C46AE">
        <w:t>he Gap</w:t>
      </w:r>
    </w:p>
    <w:p w14:paraId="5331FF65" w14:textId="6151C06C" w:rsidR="000C46AE" w:rsidRPr="001C6856" w:rsidRDefault="000C46AE" w:rsidP="00D96622">
      <w:pPr>
        <w:pStyle w:val="BodyText"/>
        <w:rPr>
          <w:rFonts w:eastAsiaTheme="majorEastAsia"/>
          <w:iCs/>
          <w:spacing w:val="-4"/>
        </w:rPr>
      </w:pPr>
      <w:r w:rsidRPr="001C6856">
        <w:rPr>
          <w:rFonts w:eastAsiaTheme="majorEastAsia"/>
          <w:iCs/>
          <w:spacing w:val="-4"/>
        </w:rPr>
        <w:t>The Council of Australian Governments (COAG) pledged in December 200</w:t>
      </w:r>
      <w:r w:rsidR="00FE02A5" w:rsidRPr="001C6856">
        <w:rPr>
          <w:rFonts w:eastAsiaTheme="majorEastAsia"/>
          <w:iCs/>
          <w:spacing w:val="-4"/>
        </w:rPr>
        <w:t>7</w:t>
      </w:r>
      <w:r w:rsidRPr="001C6856">
        <w:rPr>
          <w:rFonts w:eastAsiaTheme="majorEastAsia"/>
          <w:iCs/>
          <w:spacing w:val="-4"/>
        </w:rPr>
        <w:t xml:space="preserve"> to close key gaps in outcomes between Indigenous and non</w:t>
      </w:r>
      <w:r w:rsidR="00442E24" w:rsidRPr="001C6856">
        <w:rPr>
          <w:rFonts w:eastAsiaTheme="majorEastAsia"/>
          <w:iCs/>
          <w:spacing w:val="-4"/>
        </w:rPr>
        <w:noBreakHyphen/>
      </w:r>
      <w:r w:rsidRPr="001C6856">
        <w:rPr>
          <w:rFonts w:eastAsiaTheme="majorEastAsia"/>
          <w:iCs/>
          <w:spacing w:val="-4"/>
        </w:rPr>
        <w:t xml:space="preserve">Indigenous Australians. Six Closing the Gap targets were introduced, in the context of </w:t>
      </w:r>
      <w:r w:rsidR="00CA6F42" w:rsidRPr="001C6856">
        <w:rPr>
          <w:rFonts w:eastAsiaTheme="majorEastAsia"/>
          <w:iCs/>
          <w:spacing w:val="-4"/>
        </w:rPr>
        <w:t xml:space="preserve">the </w:t>
      </w:r>
      <w:r w:rsidRPr="001C6856">
        <w:rPr>
          <w:rFonts w:eastAsiaTheme="majorEastAsia"/>
          <w:iCs/>
          <w:spacing w:val="-4"/>
        </w:rPr>
        <w:t xml:space="preserve">overarching </w:t>
      </w:r>
      <w:r w:rsidR="00720EC4" w:rsidRPr="001C6856">
        <w:rPr>
          <w:rFonts w:eastAsiaTheme="majorEastAsia"/>
          <w:iCs/>
          <w:spacing w:val="-4"/>
        </w:rPr>
        <w:t xml:space="preserve">NIRA </w:t>
      </w:r>
      <w:r w:rsidRPr="001C6856">
        <w:rPr>
          <w:rFonts w:eastAsiaTheme="majorEastAsia"/>
          <w:iCs/>
          <w:spacing w:val="-4"/>
        </w:rPr>
        <w:t xml:space="preserve">negotiated between </w:t>
      </w:r>
      <w:r w:rsidR="00FE02A5" w:rsidRPr="001C6856">
        <w:rPr>
          <w:rFonts w:eastAsiaTheme="majorEastAsia"/>
          <w:iCs/>
          <w:spacing w:val="-4"/>
        </w:rPr>
        <w:t xml:space="preserve">the </w:t>
      </w:r>
      <w:r w:rsidRPr="001C6856">
        <w:rPr>
          <w:rFonts w:eastAsiaTheme="majorEastAsia"/>
          <w:iCs/>
          <w:spacing w:val="-4"/>
        </w:rPr>
        <w:t>Commonwealth and state and territory governments. A school attendance target was subsequently added in 2014 and, following the expiry of the (unmet) remote early childhood education target in 2013, an expanded early childhood target was added in 2015</w:t>
      </w:r>
      <w:r w:rsidR="00B61EA5" w:rsidRPr="001C6856">
        <w:rPr>
          <w:rFonts w:eastAsiaTheme="majorEastAsia"/>
          <w:iCs/>
          <w:spacing w:val="-4"/>
        </w:rPr>
        <w:t xml:space="preserve"> </w:t>
      </w:r>
      <w:r w:rsidR="008E6015" w:rsidRPr="001C6856">
        <w:rPr>
          <w:spacing w:val="-4"/>
          <w:szCs w:val="24"/>
        </w:rPr>
        <w:t>(ANAO 2019b)</w:t>
      </w:r>
      <w:r w:rsidRPr="001C6856">
        <w:rPr>
          <w:rFonts w:eastAsiaTheme="majorEastAsia"/>
          <w:iCs/>
          <w:spacing w:val="-4"/>
        </w:rPr>
        <w:t>.</w:t>
      </w:r>
    </w:p>
    <w:p w14:paraId="20ADE51B" w14:textId="72643A3D" w:rsidR="002826C5" w:rsidRPr="001C6856" w:rsidRDefault="000C46AE" w:rsidP="00D96622">
      <w:pPr>
        <w:pStyle w:val="BodyText"/>
        <w:rPr>
          <w:rFonts w:eastAsiaTheme="majorEastAsia"/>
          <w:iCs/>
          <w:spacing w:val="-4"/>
        </w:rPr>
      </w:pPr>
      <w:r w:rsidRPr="001C6856">
        <w:rPr>
          <w:rFonts w:eastAsiaTheme="majorEastAsia"/>
          <w:iCs/>
          <w:spacing w:val="-4"/>
        </w:rPr>
        <w:lastRenderedPageBreak/>
        <w:t xml:space="preserve">With four of the seven targets due to expire in 2018, the Australian Government, </w:t>
      </w:r>
      <w:r w:rsidR="00250768" w:rsidRPr="001C6856">
        <w:rPr>
          <w:rFonts w:eastAsiaTheme="majorEastAsia"/>
          <w:iCs/>
          <w:spacing w:val="-4"/>
        </w:rPr>
        <w:t>and</w:t>
      </w:r>
      <w:r w:rsidRPr="001C6856">
        <w:rPr>
          <w:rFonts w:eastAsiaTheme="majorEastAsia"/>
          <w:iCs/>
          <w:spacing w:val="-4"/>
        </w:rPr>
        <w:t xml:space="preserve"> state and territory governments</w:t>
      </w:r>
      <w:r w:rsidR="00CA6F42" w:rsidRPr="001C6856">
        <w:rPr>
          <w:rFonts w:eastAsiaTheme="majorEastAsia"/>
          <w:iCs/>
          <w:spacing w:val="-4"/>
        </w:rPr>
        <w:t>,</w:t>
      </w:r>
      <w:r w:rsidRPr="001C6856">
        <w:rPr>
          <w:rFonts w:eastAsiaTheme="majorEastAsia"/>
          <w:iCs/>
          <w:spacing w:val="-4"/>
        </w:rPr>
        <w:t xml:space="preserve"> </w:t>
      </w:r>
      <w:r w:rsidR="00FE02A5" w:rsidRPr="001C6856">
        <w:rPr>
          <w:rFonts w:eastAsiaTheme="majorEastAsia"/>
          <w:iCs/>
          <w:spacing w:val="-4"/>
        </w:rPr>
        <w:t>initiated consultation for</w:t>
      </w:r>
      <w:r w:rsidRPr="001C6856">
        <w:rPr>
          <w:rFonts w:eastAsiaTheme="majorEastAsia"/>
          <w:iCs/>
          <w:spacing w:val="-4"/>
        </w:rPr>
        <w:t xml:space="preserve"> </w:t>
      </w:r>
      <w:r w:rsidR="00B3094F" w:rsidRPr="001C6856">
        <w:rPr>
          <w:rFonts w:eastAsiaTheme="majorEastAsia"/>
          <w:iCs/>
          <w:spacing w:val="-4"/>
        </w:rPr>
        <w:t>updating</w:t>
      </w:r>
      <w:r w:rsidRPr="001C6856">
        <w:rPr>
          <w:rFonts w:eastAsiaTheme="majorEastAsia"/>
          <w:iCs/>
          <w:spacing w:val="-4"/>
        </w:rPr>
        <w:t xml:space="preserve"> Closing the Gap. </w:t>
      </w:r>
      <w:r w:rsidRPr="001C6856">
        <w:rPr>
          <w:rFonts w:eastAsiaTheme="majorEastAsia"/>
          <w:spacing w:val="-4"/>
        </w:rPr>
        <w:t>COAG has pledged to ensure that the design and implementation of the next phase of Closing the Gap is a partnership, with governments and Aboriginal and Torres Strait Islander people sharing ownership of</w:t>
      </w:r>
      <w:r w:rsidR="001B6C83" w:rsidRPr="001C6856">
        <w:rPr>
          <w:rFonts w:eastAsiaTheme="majorEastAsia"/>
          <w:spacing w:val="-4"/>
        </w:rPr>
        <w:t>,</w:t>
      </w:r>
      <w:r w:rsidRPr="001C6856">
        <w:rPr>
          <w:rFonts w:eastAsiaTheme="majorEastAsia"/>
          <w:spacing w:val="-4"/>
        </w:rPr>
        <w:t xml:space="preserve"> and responsibility for</w:t>
      </w:r>
      <w:r w:rsidR="001B6C83" w:rsidRPr="001C6856">
        <w:rPr>
          <w:rFonts w:eastAsiaTheme="majorEastAsia"/>
          <w:spacing w:val="-4"/>
        </w:rPr>
        <w:t>,</w:t>
      </w:r>
      <w:r w:rsidRPr="001C6856">
        <w:rPr>
          <w:rFonts w:eastAsiaTheme="majorEastAsia"/>
          <w:spacing w:val="-4"/>
        </w:rPr>
        <w:t xml:space="preserve"> a jointly agreed framework and targets and ongoing monitoring of the Closing the Gap agenda</w:t>
      </w:r>
      <w:r w:rsidR="006A51AF" w:rsidRPr="001C6856">
        <w:rPr>
          <w:rFonts w:eastAsiaTheme="majorEastAsia"/>
          <w:iCs/>
          <w:spacing w:val="-4"/>
        </w:rPr>
        <w:t xml:space="preserve">. A formal </w:t>
      </w:r>
      <w:r w:rsidR="006A51AF" w:rsidRPr="001C6856">
        <w:rPr>
          <w:rFonts w:eastAsiaTheme="majorEastAsia"/>
          <w:i/>
          <w:iCs/>
          <w:spacing w:val="-4"/>
        </w:rPr>
        <w:t>Partnership Agreement</w:t>
      </w:r>
      <w:r w:rsidR="006A51AF" w:rsidRPr="001C6856">
        <w:rPr>
          <w:rFonts w:eastAsiaTheme="majorEastAsia"/>
          <w:iCs/>
          <w:spacing w:val="-4"/>
        </w:rPr>
        <w:t xml:space="preserve"> </w:t>
      </w:r>
      <w:r w:rsidR="006A51AF" w:rsidRPr="001C6856">
        <w:rPr>
          <w:rFonts w:eastAsiaTheme="majorEastAsia"/>
          <w:i/>
          <w:iCs/>
          <w:spacing w:val="-4"/>
        </w:rPr>
        <w:t>on</w:t>
      </w:r>
      <w:r w:rsidR="006A51AF" w:rsidRPr="001C6856">
        <w:rPr>
          <w:rFonts w:eastAsiaTheme="majorEastAsia"/>
          <w:iCs/>
          <w:spacing w:val="-4"/>
        </w:rPr>
        <w:t xml:space="preserve"> </w:t>
      </w:r>
      <w:r w:rsidR="006A51AF" w:rsidRPr="001C6856">
        <w:rPr>
          <w:rFonts w:eastAsiaTheme="majorEastAsia"/>
          <w:i/>
          <w:iCs/>
          <w:spacing w:val="-4"/>
        </w:rPr>
        <w:t>Closing the Gap 2019</w:t>
      </w:r>
      <w:r w:rsidR="00442E24" w:rsidRPr="001C6856">
        <w:rPr>
          <w:rFonts w:eastAsiaTheme="majorEastAsia"/>
          <w:i/>
          <w:iCs/>
          <w:spacing w:val="-4"/>
        </w:rPr>
        <w:t>–</w:t>
      </w:r>
      <w:r w:rsidR="006A51AF" w:rsidRPr="001C6856">
        <w:rPr>
          <w:rFonts w:eastAsiaTheme="majorEastAsia"/>
          <w:i/>
          <w:iCs/>
          <w:spacing w:val="-4"/>
        </w:rPr>
        <w:t xml:space="preserve">2029 </w:t>
      </w:r>
      <w:r w:rsidR="006A51AF" w:rsidRPr="001C6856">
        <w:rPr>
          <w:rFonts w:eastAsiaTheme="majorEastAsia"/>
          <w:iCs/>
          <w:spacing w:val="-4"/>
        </w:rPr>
        <w:t>between Commonwealth, state and territory governments, the National Coalition of Aboriginal and Torres Strait Islander Peak Organisations, and the Australian Local Government Association</w:t>
      </w:r>
      <w:r w:rsidR="00E77FB0" w:rsidRPr="001C6856">
        <w:rPr>
          <w:rFonts w:eastAsiaTheme="majorEastAsia"/>
          <w:iCs/>
          <w:spacing w:val="-4"/>
        </w:rPr>
        <w:t xml:space="preserve"> </w:t>
      </w:r>
      <w:r w:rsidR="00793DA8" w:rsidRPr="001C6856">
        <w:rPr>
          <w:rFonts w:eastAsiaTheme="majorEastAsia"/>
          <w:iCs/>
          <w:spacing w:val="-4"/>
        </w:rPr>
        <w:t>came into effect</w:t>
      </w:r>
      <w:r w:rsidR="006A51AF" w:rsidRPr="001C6856">
        <w:rPr>
          <w:rFonts w:eastAsiaTheme="majorEastAsia"/>
          <w:iCs/>
          <w:spacing w:val="-4"/>
        </w:rPr>
        <w:t xml:space="preserve"> in March 2019</w:t>
      </w:r>
      <w:r w:rsidR="002826C5" w:rsidRPr="001C6856">
        <w:rPr>
          <w:rFonts w:eastAsiaTheme="majorEastAsia"/>
          <w:iCs/>
          <w:spacing w:val="-4"/>
        </w:rPr>
        <w:t xml:space="preserve"> </w:t>
      </w:r>
      <w:r w:rsidR="007D259D" w:rsidRPr="001C6856">
        <w:rPr>
          <w:spacing w:val="-4"/>
          <w:szCs w:val="24"/>
        </w:rPr>
        <w:t>(COAG 2018; DPMC 2019b; JCOCTG 2019)</w:t>
      </w:r>
      <w:r w:rsidR="002826C5" w:rsidRPr="001C6856">
        <w:rPr>
          <w:rFonts w:eastAsiaTheme="majorEastAsia"/>
          <w:iCs/>
          <w:spacing w:val="-4"/>
        </w:rPr>
        <w:t>.</w:t>
      </w:r>
    </w:p>
    <w:p w14:paraId="401F9C4F" w14:textId="3EA10D73" w:rsidR="000C46AE" w:rsidRDefault="002826C5" w:rsidP="00D96622">
      <w:pPr>
        <w:pStyle w:val="BodyText"/>
        <w:rPr>
          <w:rFonts w:eastAsiaTheme="majorEastAsia"/>
        </w:rPr>
      </w:pPr>
      <w:r>
        <w:rPr>
          <w:rFonts w:eastAsiaTheme="majorEastAsia"/>
          <w:iCs/>
        </w:rPr>
        <w:t xml:space="preserve">The Joint Council </w:t>
      </w:r>
      <w:r w:rsidR="00250768">
        <w:rPr>
          <w:rFonts w:eastAsiaTheme="majorEastAsia"/>
          <w:iCs/>
        </w:rPr>
        <w:t>established by COAG</w:t>
      </w:r>
      <w:r>
        <w:rPr>
          <w:rFonts w:eastAsiaTheme="majorEastAsia"/>
          <w:iCs/>
        </w:rPr>
        <w:t xml:space="preserve"> is </w:t>
      </w:r>
      <w:r>
        <w:t xml:space="preserve">the first ever COAG Council that includes members from outside </w:t>
      </w:r>
      <w:r w:rsidR="00786850">
        <w:t>governments, through membership of representatives of the National Coalition of Aboriginal and Torres Strait Islander Peak Organisations. This</w:t>
      </w:r>
      <w:r>
        <w:t xml:space="preserve"> represents </w:t>
      </w:r>
      <w:r w:rsidR="00786850">
        <w:t xml:space="preserve">a major shift in partnership arrangements with government ministers and Aboriginal and Torres Strait Islander leaders working together as </w:t>
      </w:r>
      <w:r>
        <w:t>equal partners, recognising that ‘shared decision making with Aboriginal and Torres Strait Islander peoples, through their representative organisations, in the design, implementation, monitoring and evaluation of the Closing the Gap framework is essential to closing the gap in life outcomes between Indigenous and non</w:t>
      </w:r>
      <w:r w:rsidR="00CA6F42">
        <w:noBreakHyphen/>
      </w:r>
      <w:r>
        <w:t xml:space="preserve">Indigenous Australians’ </w:t>
      </w:r>
      <w:r w:rsidR="003E41C3" w:rsidRPr="003E41C3">
        <w:rPr>
          <w:szCs w:val="24"/>
        </w:rPr>
        <w:t>(JCOCTG 2019, p. 1)</w:t>
      </w:r>
      <w:r w:rsidR="000C46AE">
        <w:rPr>
          <w:rFonts w:eastAsiaTheme="majorEastAsia"/>
        </w:rPr>
        <w:t>.</w:t>
      </w:r>
    </w:p>
    <w:p w14:paraId="6E294AFB" w14:textId="330A7B21" w:rsidR="00CA6F42" w:rsidRDefault="009E2AB1" w:rsidP="00D96622">
      <w:pPr>
        <w:pStyle w:val="BodyText"/>
      </w:pPr>
      <w:r>
        <w:t xml:space="preserve">Only two of the current seven Closing </w:t>
      </w:r>
      <w:proofErr w:type="gramStart"/>
      <w:r>
        <w:t>The</w:t>
      </w:r>
      <w:proofErr w:type="gramEnd"/>
      <w:r>
        <w:t xml:space="preserve"> Gap targets are on track (box</w:t>
      </w:r>
      <w:r w:rsidR="00442E24">
        <w:t> </w:t>
      </w:r>
      <w:r w:rsidR="00C71086">
        <w:t>2</w:t>
      </w:r>
      <w:r>
        <w:t>).</w:t>
      </w:r>
    </w:p>
    <w:p w14:paraId="75F758DA" w14:textId="5C888836" w:rsidR="00BE3F16" w:rsidRDefault="00BE3F16" w:rsidP="00BE3F16">
      <w:pPr>
        <w:pStyle w:val="BodyText"/>
      </w:pPr>
      <w:r>
        <w:t>The lack of progress against the Closing the Gap targets (box</w:t>
      </w:r>
      <w:r w:rsidR="00442E24">
        <w:t> </w:t>
      </w:r>
      <w:r>
        <w:t xml:space="preserve">2) highlights the potential benefits from better evaluation of policies affecting </w:t>
      </w:r>
      <w:r w:rsidRPr="002B51BA">
        <w:t xml:space="preserve">Aboriginal and Torres Strait Islander </w:t>
      </w:r>
      <w:r>
        <w:t xml:space="preserve">people. Better and more systematic policy evaluation would lead to better policy planning, design, implementation, and greater avoidance of duplication. It would </w:t>
      </w:r>
      <w:r w:rsidR="001B194C">
        <w:t>provide the basis for</w:t>
      </w:r>
      <w:r>
        <w:t xml:space="preserve"> </w:t>
      </w:r>
      <w:r w:rsidR="008E6015">
        <w:t xml:space="preserve">successful </w:t>
      </w:r>
      <w:r>
        <w:lastRenderedPageBreak/>
        <w:t xml:space="preserve">policies and programs </w:t>
      </w:r>
      <w:r w:rsidR="001B194C">
        <w:t xml:space="preserve">to be </w:t>
      </w:r>
      <w:r>
        <w:t>expanded, and less successful programs curtailed. The Australian National Audit Office has noted:</w:t>
      </w:r>
    </w:p>
    <w:p w14:paraId="2D188E45" w14:textId="153C349D" w:rsidR="00BE3F16" w:rsidRPr="007A7D74" w:rsidRDefault="00BE3F16" w:rsidP="00BE3F16">
      <w:pPr>
        <w:pStyle w:val="Quote"/>
      </w:pPr>
      <w:r w:rsidRPr="007A7D74">
        <w:t xml:space="preserve">Over the period the NIRA has been in place, an overarching evaluation strategy or framework to measure the impact of programs on </w:t>
      </w:r>
      <w:proofErr w:type="gramStart"/>
      <w:r w:rsidRPr="007A7D74">
        <w:t>Closing</w:t>
      </w:r>
      <w:proofErr w:type="gramEnd"/>
      <w:r w:rsidRPr="007A7D74">
        <w:t xml:space="preserve"> the Gap targets has not been developed. Stakeholders consulted by the ANAO over the course of the audit commented on the lack of evaluation linked to the Closing the Gap framework, noting a need for more and better evaluation to inform policy and program development. </w:t>
      </w:r>
      <w:r w:rsidR="008E6015" w:rsidRPr="00C92B33">
        <w:rPr>
          <w:szCs w:val="24"/>
        </w:rPr>
        <w:t>(ANAO 2019b, p. 57)</w:t>
      </w:r>
    </w:p>
    <w:p w14:paraId="2216B646" w14:textId="25362D2B" w:rsidR="00BE3F16" w:rsidRDefault="00BE3F16" w:rsidP="00BE3F16">
      <w:pPr>
        <w:pStyle w:val="BodyText"/>
      </w:pPr>
      <w:r w:rsidRPr="005849E2">
        <w:t xml:space="preserve">As discussed in the Overcoming Indigenous Disadvantage </w:t>
      </w:r>
      <w:r w:rsidRPr="005849E2" w:rsidDel="00CA6F42">
        <w:t xml:space="preserve">Report </w:t>
      </w:r>
      <w:r w:rsidRPr="002F1274">
        <w:rPr>
          <w:szCs w:val="24"/>
        </w:rPr>
        <w:t>(SCRGSP 2016)</w:t>
      </w:r>
      <w:r w:rsidRPr="005849E2">
        <w:t xml:space="preserve">, while these </w:t>
      </w:r>
      <w:r>
        <w:t xml:space="preserve">Closing The Gap outcomes are </w:t>
      </w:r>
      <w:r w:rsidRPr="005849E2">
        <w:t>reflect</w:t>
      </w:r>
      <w:r>
        <w:t xml:space="preserve">ive of the overall </w:t>
      </w:r>
      <w:r w:rsidRPr="005849E2">
        <w:t>Aboriginal and Torres Strait Islander</w:t>
      </w:r>
      <w:r>
        <w:t xml:space="preserve"> community</w:t>
      </w:r>
      <w:r w:rsidRPr="005849E2">
        <w:t>, the diversity of Aboriginal and Torres Strait Islander</w:t>
      </w:r>
      <w:r>
        <w:t xml:space="preserve"> peoples, </w:t>
      </w:r>
      <w:r w:rsidRPr="005849E2">
        <w:t xml:space="preserve">cultures and experiences means outcomes can vary markedly by geography, age, sex, employment status and other factors. Some Aboriginal and Torres Strait Islander people experience little or no </w:t>
      </w:r>
      <w:r>
        <w:t xml:space="preserve">economic </w:t>
      </w:r>
      <w:r w:rsidRPr="005849E2">
        <w:t>disadvantage compared to non</w:t>
      </w:r>
      <w:r w:rsidRPr="005849E2">
        <w:noBreakHyphen/>
        <w:t>Indigenous Australians, while some Aboriginal and Torres Strait Islander p</w:t>
      </w:r>
      <w:r>
        <w:t>eople are highly disadvantaged. Aboriginal and Torres Strait Islander people, regardless of their level of socioeconomic disadvantage may also experience racism and discrimination.</w:t>
      </w:r>
    </w:p>
    <w:p w14:paraId="5E229FEC" w14:textId="7786748E" w:rsidR="00BE3F16" w:rsidRPr="001C6856" w:rsidRDefault="00BE3F16" w:rsidP="00D96622">
      <w:pPr>
        <w:pStyle w:val="BodyText"/>
        <w:rPr>
          <w:spacing w:val="-4"/>
        </w:rPr>
      </w:pPr>
      <w:r w:rsidRPr="001C6856">
        <w:rPr>
          <w:spacing w:val="-4"/>
        </w:rPr>
        <w:t>Policy evaluation also needs to be cognisant that outcomes may be the result of not only recent social influences and government programs, but also those from historical actions from decades earlier. For example, many health outcomes later in people’s lives are the result of events, environments and access to services many years earlier. The impacts of inter</w:t>
      </w:r>
      <w:r w:rsidRPr="001C6856">
        <w:rPr>
          <w:spacing w:val="-4"/>
        </w:rPr>
        <w:noBreakHyphen/>
        <w:t>generational trauma, institutional racism and discrimination negatively impacts the mental health and social and emotional wellbeing of Aboriginal and Torres Strait Islander people, leading to further socioeconomic disadvantage. Employment and economic outcomes</w:t>
      </w:r>
      <w:r w:rsidRPr="001C6856" w:rsidDel="007678AF">
        <w:rPr>
          <w:spacing w:val="-4"/>
        </w:rPr>
        <w:t xml:space="preserve"> </w:t>
      </w:r>
      <w:r w:rsidRPr="001C6856">
        <w:rPr>
          <w:spacing w:val="-4"/>
        </w:rPr>
        <w:t>also reflect education and schooling earlier in people’s lives. Lack of involvement of Aboriginal and Torres Strait Islander people in decision making can also adversely affect outcomes.</w:t>
      </w:r>
    </w:p>
    <w:p w14:paraId="41D9DE28" w14:textId="46AD3794" w:rsidR="00657677" w:rsidRDefault="0065767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57677" w14:paraId="6A5AE6CE" w14:textId="77777777" w:rsidTr="00B9516C">
        <w:trPr>
          <w:tblHeader/>
        </w:trPr>
        <w:tc>
          <w:tcPr>
            <w:tcW w:w="5000" w:type="pct"/>
            <w:tcBorders>
              <w:top w:val="single" w:sz="6" w:space="0" w:color="78A22F"/>
              <w:left w:val="nil"/>
              <w:bottom w:val="nil"/>
              <w:right w:val="nil"/>
            </w:tcBorders>
            <w:shd w:val="clear" w:color="auto" w:fill="F2F2F2"/>
          </w:tcPr>
          <w:p w14:paraId="5E2C7394" w14:textId="3D5D837F" w:rsidR="00657677" w:rsidRDefault="00657677" w:rsidP="00657677">
            <w:pPr>
              <w:pStyle w:val="BoxTitle"/>
            </w:pPr>
            <w:r>
              <w:rPr>
                <w:b w:val="0"/>
              </w:rPr>
              <w:t xml:space="preserve">Box </w:t>
            </w:r>
            <w:bookmarkStart w:id="59" w:name="OLE_LINK9"/>
            <w:r w:rsidR="00E109F5">
              <w:rPr>
                <w:b w:val="0"/>
                <w:noProof/>
              </w:rPr>
              <w:t>2</w:t>
            </w:r>
            <w:bookmarkEnd w:id="59"/>
            <w:r>
              <w:tab/>
              <w:t xml:space="preserve">Only two Closing the Gap </w:t>
            </w:r>
            <w:r w:rsidR="00773F3D">
              <w:t>targets are on track</w:t>
            </w:r>
          </w:p>
        </w:tc>
      </w:tr>
      <w:tr w:rsidR="00657677" w14:paraId="3125CE42" w14:textId="77777777" w:rsidTr="00B9516C">
        <w:tc>
          <w:tcPr>
            <w:tcW w:w="5000" w:type="pct"/>
            <w:tcBorders>
              <w:top w:val="nil"/>
              <w:left w:val="nil"/>
              <w:bottom w:val="nil"/>
              <w:right w:val="nil"/>
            </w:tcBorders>
            <w:shd w:val="clear" w:color="auto" w:fill="F2F2F2"/>
          </w:tcPr>
          <w:p w14:paraId="466D526A" w14:textId="77777777" w:rsidR="00657677" w:rsidRDefault="00657677" w:rsidP="00657677">
            <w:pPr>
              <w:pStyle w:val="Box"/>
            </w:pPr>
            <w:r w:rsidRPr="00F157D1">
              <w:t>There are currently seven C</w:t>
            </w:r>
            <w:r>
              <w:t>losing the Gap targets. Only t</w:t>
            </w:r>
            <w:r w:rsidRPr="00F157D1">
              <w:t>wo targets, early childhood education and Year 12 attainment, are on track to be met.</w:t>
            </w:r>
          </w:p>
          <w:p w14:paraId="6AFF8931" w14:textId="2D060776" w:rsidR="00657677" w:rsidRPr="00F157D1" w:rsidRDefault="00657677" w:rsidP="00657677">
            <w:pPr>
              <w:pStyle w:val="BoxListBullet"/>
            </w:pPr>
            <w:r w:rsidRPr="00F157D1">
              <w:t xml:space="preserve">The target to halve the gap in child mortality rates by 2018 is </w:t>
            </w:r>
            <w:r w:rsidRPr="00B70E48">
              <w:rPr>
                <w:b/>
              </w:rPr>
              <w:t>not on track</w:t>
            </w:r>
            <w:r w:rsidRPr="00F157D1">
              <w:t>. Since the target baseline (2008) Indigenous child mortality rates have declined by 10 per cent</w:t>
            </w:r>
            <w:r w:rsidR="00076DE8">
              <w:t xml:space="preserve"> </w:t>
            </w:r>
            <w:r w:rsidRPr="00F157D1">
              <w:t>but the gap has not narrowed as the non</w:t>
            </w:r>
            <w:r w:rsidR="00442E24">
              <w:noBreakHyphen/>
            </w:r>
            <w:r w:rsidRPr="00F157D1">
              <w:t>Indigenous rate</w:t>
            </w:r>
            <w:r>
              <w:t xml:space="preserve"> has declined by around 35 per cent.</w:t>
            </w:r>
          </w:p>
          <w:p w14:paraId="683F1116" w14:textId="77777777" w:rsidR="00657677" w:rsidRPr="00F157D1" w:rsidRDefault="00657677" w:rsidP="00657677">
            <w:pPr>
              <w:pStyle w:val="BoxListBullet"/>
            </w:pPr>
            <w:r w:rsidRPr="00F157D1">
              <w:t xml:space="preserve">The target to have 95 per cent of Indigenous four year olds enrolled in early childhood education by 2025 is </w:t>
            </w:r>
            <w:r w:rsidRPr="00B70E48">
              <w:rPr>
                <w:b/>
              </w:rPr>
              <w:t>on track</w:t>
            </w:r>
            <w:r w:rsidRPr="004B5D34">
              <w:t>, with</w:t>
            </w:r>
            <w:r w:rsidRPr="00F157D1">
              <w:t xml:space="preserve"> 95 per cent of Indigenous four year olds enrolle</w:t>
            </w:r>
            <w:r>
              <w:t>d in early childhood education in 2017.</w:t>
            </w:r>
          </w:p>
          <w:p w14:paraId="567F7599" w14:textId="698A2706" w:rsidR="00657677" w:rsidRPr="00F157D1" w:rsidRDefault="00657677" w:rsidP="00657677">
            <w:pPr>
              <w:pStyle w:val="BoxListBullet"/>
            </w:pPr>
            <w:r w:rsidRPr="00F157D1">
              <w:t xml:space="preserve">The target to close the gap in school attendance by 2018 is </w:t>
            </w:r>
            <w:r w:rsidRPr="00B70E48">
              <w:rPr>
                <w:b/>
              </w:rPr>
              <w:t>not on track</w:t>
            </w:r>
            <w:r w:rsidRPr="00F157D1">
              <w:t>. Attendance rates for Indigenous students have not improved between 2014 and 2018 (around 82 per cent in 2018) and remain below the rate for non</w:t>
            </w:r>
            <w:r w:rsidR="00442E24">
              <w:noBreakHyphen/>
            </w:r>
            <w:r w:rsidRPr="00F157D1">
              <w:t>Indigenous</w:t>
            </w:r>
            <w:r>
              <w:t xml:space="preserve"> students (around 93 per cent).</w:t>
            </w:r>
          </w:p>
          <w:p w14:paraId="72CF4B0A" w14:textId="2363305A" w:rsidR="00657677" w:rsidRPr="00F157D1" w:rsidRDefault="00657677" w:rsidP="00657677">
            <w:pPr>
              <w:pStyle w:val="BoxListBullet"/>
            </w:pPr>
            <w:r w:rsidRPr="00F157D1">
              <w:t xml:space="preserve">The target to close the gap in life expectancy by 2031 is </w:t>
            </w:r>
            <w:r w:rsidRPr="00B70E48">
              <w:rPr>
                <w:b/>
              </w:rPr>
              <w:t>not on track</w:t>
            </w:r>
            <w:r w:rsidRPr="00F157D1">
              <w:t xml:space="preserve">. </w:t>
            </w:r>
            <w:r w:rsidR="00D34F48">
              <w:t xml:space="preserve">The Australian Government’s </w:t>
            </w:r>
            <w:r w:rsidR="00D34F48" w:rsidRPr="00FB7ACB">
              <w:rPr>
                <w:i/>
              </w:rPr>
              <w:t>Closing The Gap Report 2019</w:t>
            </w:r>
            <w:r w:rsidR="00D34F48">
              <w:t xml:space="preserve"> </w:t>
            </w:r>
            <w:r w:rsidR="000C0DC7">
              <w:t>concluded</w:t>
            </w:r>
            <w:r w:rsidR="00D34F48">
              <w:t xml:space="preserve">, drawing on </w:t>
            </w:r>
            <w:r w:rsidR="00497BE2">
              <w:t>Australian Bureau of Statistics</w:t>
            </w:r>
            <w:r w:rsidR="00D34F48">
              <w:t xml:space="preserve"> data, that b</w:t>
            </w:r>
            <w:r w:rsidRPr="00F157D1">
              <w:t xml:space="preserve">etween 2010–12 and 2015–17, Indigenous life expectancy at birth improved by 2.5 years for Indigenous males and by 1.9 years for Indigenous females, </w:t>
            </w:r>
            <w:r w:rsidR="000C0DC7">
              <w:t>leading</w:t>
            </w:r>
            <w:r w:rsidRPr="00F157D1">
              <w:t xml:space="preserve"> t</w:t>
            </w:r>
            <w:r>
              <w:t>o a small reduction in the gap but a large gap remaining.</w:t>
            </w:r>
          </w:p>
          <w:p w14:paraId="0F3A04A0" w14:textId="0ADEE4F3" w:rsidR="00156DF1" w:rsidRDefault="00D34F48" w:rsidP="00657677">
            <w:pPr>
              <w:pStyle w:val="BoxListBullet"/>
            </w:pPr>
            <w:r>
              <w:t>However, a 2017 report by t</w:t>
            </w:r>
            <w:r w:rsidR="00156DF1">
              <w:t>he Australian Institute of Health and Welfare</w:t>
            </w:r>
            <w:r>
              <w:t>, measuring over a longer timeframe</w:t>
            </w:r>
            <w:r w:rsidR="00EE2AD0">
              <w:t xml:space="preserve"> and using different methods</w:t>
            </w:r>
            <w:r>
              <w:t>,</w:t>
            </w:r>
            <w:r w:rsidR="00156DF1">
              <w:t xml:space="preserve"> </w:t>
            </w:r>
            <w:r>
              <w:t xml:space="preserve">concluded the gap was </w:t>
            </w:r>
            <w:r w:rsidR="000C0DC7">
              <w:t>in fact</w:t>
            </w:r>
            <w:r>
              <w:t xml:space="preserve"> </w:t>
            </w:r>
            <w:r w:rsidRPr="00FB7ACB">
              <w:rPr>
                <w:i/>
              </w:rPr>
              <w:t>widening</w:t>
            </w:r>
            <w:r w:rsidR="00156DF1">
              <w:t>:</w:t>
            </w:r>
          </w:p>
          <w:p w14:paraId="2172FFAA" w14:textId="06B8C54F" w:rsidR="00156DF1" w:rsidRDefault="00156DF1" w:rsidP="00156DF1">
            <w:pPr>
              <w:pStyle w:val="BoxQuote"/>
            </w:pPr>
            <w:r>
              <w:t xml:space="preserve">… </w:t>
            </w:r>
            <w:proofErr w:type="gramStart"/>
            <w:r>
              <w:t>life</w:t>
            </w:r>
            <w:proofErr w:type="gramEnd"/>
            <w:r>
              <w:t xml:space="preserve"> expectancy at birth increased for both Indigenous males and females during the … period … 2001–2005 to 2011–2015 … However, greater increases in life expectancy at birth occurred for non</w:t>
            </w:r>
            <w:r>
              <w:noBreakHyphen/>
              <w:t>Indigenous males and females, meaning that the gap in life expectancy between Indigenous and non</w:t>
            </w:r>
            <w:r w:rsidR="00442E24">
              <w:noBreakHyphen/>
            </w:r>
            <w:r>
              <w:t>Indigenous Australians widened during the reference period</w:t>
            </w:r>
            <w:r w:rsidR="00530CF2">
              <w:t xml:space="preserve"> </w:t>
            </w:r>
            <w:r w:rsidR="003E41C3" w:rsidRPr="003E41C3">
              <w:rPr>
                <w:rFonts w:cs="Arial"/>
                <w:szCs w:val="24"/>
              </w:rPr>
              <w:t>(AIHW 2017, p. vii)</w:t>
            </w:r>
            <w:r>
              <w:t>.</w:t>
            </w:r>
          </w:p>
          <w:p w14:paraId="157EC462" w14:textId="77777777" w:rsidR="00657677" w:rsidRPr="00BC673F" w:rsidRDefault="00657677" w:rsidP="00657677">
            <w:pPr>
              <w:pStyle w:val="BoxListBullet"/>
            </w:pPr>
            <w:r w:rsidRPr="00F157D1">
              <w:t xml:space="preserve">The target to halve the gap in Year 12 attainment or equivalent by 2020 is </w:t>
            </w:r>
            <w:r>
              <w:rPr>
                <w:b/>
              </w:rPr>
              <w:t>on track</w:t>
            </w:r>
            <w:r>
              <w:t>, with the gap halving from 36 percentage points in 2006 to 24 points in 2016.</w:t>
            </w:r>
          </w:p>
          <w:p w14:paraId="3B409FEB" w14:textId="5B4392A7" w:rsidR="00657677" w:rsidRDefault="00657677" w:rsidP="00657677">
            <w:pPr>
              <w:pStyle w:val="BoxListBullet"/>
            </w:pPr>
            <w:r w:rsidRPr="00F157D1">
              <w:t xml:space="preserve">The target to halve the gap in reading and numeracy by 2018 is </w:t>
            </w:r>
            <w:r w:rsidRPr="00B70E48">
              <w:rPr>
                <w:b/>
              </w:rPr>
              <w:t>not on track</w:t>
            </w:r>
            <w:r>
              <w:t xml:space="preserve">, with a disproportionate share of Indigenous children remaining below national minimum standards in </w:t>
            </w:r>
            <w:r w:rsidRPr="00F157D1">
              <w:t>reading and numeracy</w:t>
            </w:r>
            <w:r>
              <w:t xml:space="preserve"> compared with non</w:t>
            </w:r>
            <w:r w:rsidR="00442E24">
              <w:noBreakHyphen/>
            </w:r>
            <w:r>
              <w:t>Indigenous students.</w:t>
            </w:r>
          </w:p>
          <w:p w14:paraId="3C555835" w14:textId="5A7F82D2" w:rsidR="00657677" w:rsidRDefault="00657677" w:rsidP="00657677">
            <w:pPr>
              <w:pStyle w:val="Box"/>
            </w:pPr>
            <w:r w:rsidRPr="00F157D1">
              <w:t xml:space="preserve">The target to halve the gap in employment by 2018 </w:t>
            </w:r>
            <w:r>
              <w:t xml:space="preserve">is </w:t>
            </w:r>
            <w:r w:rsidRPr="00B70E48">
              <w:rPr>
                <w:b/>
              </w:rPr>
              <w:t>not on track</w:t>
            </w:r>
            <w:r>
              <w:t>, with no improvement in the Indigenous employment rate and the gap widening.</w:t>
            </w:r>
            <w:r w:rsidR="0027201F" w:rsidRPr="00010044" w:rsidDel="0027201F">
              <w:rPr>
                <w:rStyle w:val="FootnoteReference"/>
              </w:rPr>
              <w:t xml:space="preserve"> </w:t>
            </w:r>
          </w:p>
        </w:tc>
      </w:tr>
      <w:tr w:rsidR="00657677" w14:paraId="0367146E" w14:textId="77777777" w:rsidTr="00B9516C">
        <w:tc>
          <w:tcPr>
            <w:tcW w:w="5000" w:type="pct"/>
            <w:tcBorders>
              <w:top w:val="nil"/>
              <w:left w:val="nil"/>
              <w:bottom w:val="nil"/>
              <w:right w:val="nil"/>
            </w:tcBorders>
            <w:shd w:val="clear" w:color="auto" w:fill="F2F2F2"/>
          </w:tcPr>
          <w:p w14:paraId="12668E20" w14:textId="093080F1" w:rsidR="00657677" w:rsidRDefault="00657677" w:rsidP="003E41C3">
            <w:pPr>
              <w:pStyle w:val="BoxSource"/>
            </w:pPr>
            <w:r>
              <w:rPr>
                <w:i/>
              </w:rPr>
              <w:t>Sources</w:t>
            </w:r>
            <w:r w:rsidRPr="00167F06">
              <w:t>:</w:t>
            </w:r>
            <w:r w:rsidR="00420A61">
              <w:t xml:space="preserve"> AIHW</w:t>
            </w:r>
            <w:r w:rsidRPr="00167F06">
              <w:t xml:space="preserve"> </w:t>
            </w:r>
            <w:r w:rsidR="00420A61" w:rsidRPr="00420A61">
              <w:rPr>
                <w:rFonts w:cs="Arial"/>
              </w:rPr>
              <w:t>(2017)</w:t>
            </w:r>
            <w:r w:rsidR="005D39F0">
              <w:t>;</w:t>
            </w:r>
            <w:r w:rsidR="00420A61">
              <w:t xml:space="preserve"> DPMC </w:t>
            </w:r>
            <w:r w:rsidR="007D259D" w:rsidRPr="007D259D">
              <w:rPr>
                <w:rFonts w:cs="Arial"/>
              </w:rPr>
              <w:t>(2019b)</w:t>
            </w:r>
            <w:r>
              <w:t>.</w:t>
            </w:r>
          </w:p>
        </w:tc>
      </w:tr>
      <w:tr w:rsidR="00657677" w14:paraId="7C449745" w14:textId="77777777" w:rsidTr="00B9516C">
        <w:tc>
          <w:tcPr>
            <w:tcW w:w="5000" w:type="pct"/>
            <w:tcBorders>
              <w:top w:val="nil"/>
              <w:left w:val="nil"/>
              <w:bottom w:val="single" w:sz="6" w:space="0" w:color="78A22F"/>
              <w:right w:val="nil"/>
            </w:tcBorders>
            <w:shd w:val="clear" w:color="auto" w:fill="F2F2F2"/>
          </w:tcPr>
          <w:p w14:paraId="24877948" w14:textId="77777777" w:rsidR="00657677" w:rsidRDefault="00657677">
            <w:pPr>
              <w:pStyle w:val="Box"/>
              <w:spacing w:before="0" w:line="120" w:lineRule="exact"/>
            </w:pPr>
          </w:p>
        </w:tc>
      </w:tr>
      <w:tr w:rsidR="00657677" w:rsidRPr="000863A5" w14:paraId="45926CAE" w14:textId="77777777" w:rsidTr="00B9516C">
        <w:tc>
          <w:tcPr>
            <w:tcW w:w="5000" w:type="pct"/>
            <w:tcBorders>
              <w:top w:val="single" w:sz="6" w:space="0" w:color="78A22F"/>
              <w:left w:val="nil"/>
              <w:bottom w:val="nil"/>
              <w:right w:val="nil"/>
            </w:tcBorders>
          </w:tcPr>
          <w:p w14:paraId="6E6C2348" w14:textId="6B8339B8" w:rsidR="00657677" w:rsidRPr="00626D32" w:rsidRDefault="00657677" w:rsidP="00B9516C">
            <w:pPr>
              <w:pStyle w:val="BoxSpaceBelow"/>
            </w:pPr>
          </w:p>
        </w:tc>
      </w:tr>
    </w:tbl>
    <w:p w14:paraId="6D9507BB" w14:textId="77777777" w:rsidR="000C46AE" w:rsidRDefault="000C46AE" w:rsidP="005F5A79">
      <w:pPr>
        <w:pStyle w:val="Heading3"/>
      </w:pPr>
      <w:r>
        <w:t>The Indigenous Advancement Strategy</w:t>
      </w:r>
    </w:p>
    <w:p w14:paraId="095691BD" w14:textId="556F5D50" w:rsidR="000C46AE" w:rsidRDefault="000C46AE" w:rsidP="00D96622">
      <w:pPr>
        <w:pStyle w:val="BodyText"/>
        <w:rPr>
          <w:rFonts w:eastAsiaTheme="majorEastAsia"/>
          <w:iCs/>
        </w:rPr>
      </w:pPr>
      <w:r w:rsidRPr="003974D8">
        <w:rPr>
          <w:rFonts w:eastAsiaTheme="majorEastAsia"/>
          <w:iCs/>
        </w:rPr>
        <w:t>The Australian Government</w:t>
      </w:r>
      <w:r w:rsidRPr="003974D8" w:rsidDel="00FE02A5">
        <w:rPr>
          <w:rFonts w:eastAsiaTheme="majorEastAsia"/>
          <w:iCs/>
        </w:rPr>
        <w:t xml:space="preserve"> </w:t>
      </w:r>
      <w:r w:rsidRPr="003974D8">
        <w:rPr>
          <w:rFonts w:eastAsiaTheme="majorEastAsia"/>
          <w:iCs/>
        </w:rPr>
        <w:t xml:space="preserve">implemented the Indigenous Advancement Strategy to consolidate the wide range of Indigenous policies and programs being delivered by Government </w:t>
      </w:r>
      <w:r>
        <w:rPr>
          <w:rFonts w:eastAsiaTheme="majorEastAsia"/>
          <w:iCs/>
        </w:rPr>
        <w:t>into five overarching programs.</w:t>
      </w:r>
      <w:r w:rsidRPr="003974D8">
        <w:rPr>
          <w:rFonts w:eastAsiaTheme="majorEastAsia"/>
          <w:iCs/>
        </w:rPr>
        <w:t xml:space="preserve"> The program streams are:</w:t>
      </w:r>
    </w:p>
    <w:p w14:paraId="5921BC6D" w14:textId="77777777" w:rsidR="000C46AE" w:rsidRPr="0037709C" w:rsidRDefault="000C46AE" w:rsidP="000C46AE">
      <w:pPr>
        <w:pStyle w:val="ListBullet"/>
      </w:pPr>
      <w:r w:rsidRPr="0037709C">
        <w:lastRenderedPageBreak/>
        <w:t>Jobs, Land and Economy</w:t>
      </w:r>
    </w:p>
    <w:p w14:paraId="7E468759" w14:textId="77777777" w:rsidR="000C46AE" w:rsidRPr="0037709C" w:rsidRDefault="000C46AE" w:rsidP="000C46AE">
      <w:pPr>
        <w:pStyle w:val="ListBullet"/>
      </w:pPr>
      <w:r w:rsidRPr="0037709C">
        <w:t>Children and Schooling</w:t>
      </w:r>
    </w:p>
    <w:p w14:paraId="72C354CB" w14:textId="0B3FA15F" w:rsidR="000C46AE" w:rsidRPr="0037709C" w:rsidRDefault="000C46AE" w:rsidP="000C46AE">
      <w:pPr>
        <w:pStyle w:val="ListBullet"/>
      </w:pPr>
      <w:r w:rsidRPr="0037709C">
        <w:t>Safety and Wellbeing</w:t>
      </w:r>
    </w:p>
    <w:p w14:paraId="4A98EC80" w14:textId="77777777" w:rsidR="000C46AE" w:rsidRPr="0037709C" w:rsidRDefault="000C46AE" w:rsidP="000C46AE">
      <w:pPr>
        <w:pStyle w:val="ListBullet"/>
      </w:pPr>
      <w:r w:rsidRPr="0037709C">
        <w:t>Culture and Capability</w:t>
      </w:r>
    </w:p>
    <w:p w14:paraId="67B5D4F9" w14:textId="77777777" w:rsidR="000C46AE" w:rsidRPr="0037709C" w:rsidRDefault="000C46AE" w:rsidP="000C46AE">
      <w:pPr>
        <w:pStyle w:val="ListBullet"/>
      </w:pPr>
      <w:r w:rsidRPr="0037709C">
        <w:t>Remote Australia Strategies.</w:t>
      </w:r>
    </w:p>
    <w:p w14:paraId="45B83291" w14:textId="5FE692F4" w:rsidR="000C46AE" w:rsidRDefault="000C46AE" w:rsidP="00D96622">
      <w:pPr>
        <w:pStyle w:val="BodyText"/>
        <w:rPr>
          <w:rFonts w:eastAsiaTheme="majorEastAsia"/>
          <w:iCs/>
        </w:rPr>
      </w:pPr>
      <w:r w:rsidRPr="000F36D8">
        <w:rPr>
          <w:rFonts w:eastAsiaTheme="majorEastAsia"/>
          <w:iCs/>
        </w:rPr>
        <w:t xml:space="preserve">The Indigenous Advancement Strategy reflects the Australian Government’s objective of achieving better results for Aboriginal and Torres Strait Islander </w:t>
      </w:r>
      <w:r w:rsidR="001B6C83">
        <w:rPr>
          <w:rFonts w:eastAsiaTheme="majorEastAsia"/>
          <w:iCs/>
        </w:rPr>
        <w:t>people</w:t>
      </w:r>
      <w:r w:rsidRPr="000F36D8">
        <w:rPr>
          <w:rFonts w:eastAsiaTheme="majorEastAsia"/>
          <w:iCs/>
        </w:rPr>
        <w:t xml:space="preserve"> in three priority areas – school attendance, employment outcomes and community safety, and seeks to simplify arrangements for organisations delivering</w:t>
      </w:r>
      <w:r w:rsidR="001B6C83" w:rsidRPr="001B6C83">
        <w:rPr>
          <w:rFonts w:eastAsiaTheme="majorEastAsia"/>
          <w:iCs/>
        </w:rPr>
        <w:t xml:space="preserve"> </w:t>
      </w:r>
      <w:r w:rsidR="001B6C83" w:rsidRPr="000F36D8">
        <w:rPr>
          <w:rFonts w:eastAsiaTheme="majorEastAsia"/>
          <w:iCs/>
        </w:rPr>
        <w:t>services</w:t>
      </w:r>
      <w:r w:rsidR="001B6C83">
        <w:rPr>
          <w:rFonts w:eastAsiaTheme="majorEastAsia"/>
          <w:iCs/>
        </w:rPr>
        <w:t xml:space="preserve"> at the</w:t>
      </w:r>
      <w:r w:rsidRPr="000F36D8">
        <w:rPr>
          <w:rFonts w:eastAsiaTheme="majorEastAsia"/>
          <w:iCs/>
        </w:rPr>
        <w:t xml:space="preserve"> local</w:t>
      </w:r>
      <w:r w:rsidR="001B6C83">
        <w:rPr>
          <w:rFonts w:eastAsiaTheme="majorEastAsia"/>
          <w:iCs/>
        </w:rPr>
        <w:t xml:space="preserve"> level</w:t>
      </w:r>
      <w:r w:rsidRPr="000F36D8">
        <w:rPr>
          <w:rFonts w:eastAsiaTheme="majorEastAsia"/>
          <w:iCs/>
        </w:rPr>
        <w:t xml:space="preserve">. </w:t>
      </w:r>
      <w:r w:rsidR="00EE085A">
        <w:rPr>
          <w:rFonts w:eastAsiaTheme="majorEastAsia"/>
          <w:iCs/>
        </w:rPr>
        <w:t>I</w:t>
      </w:r>
      <w:r w:rsidR="00EE085A" w:rsidRPr="000F36D8">
        <w:rPr>
          <w:rFonts w:eastAsiaTheme="majorEastAsia"/>
          <w:iCs/>
        </w:rPr>
        <w:t>n the 2018</w:t>
      </w:r>
      <w:r w:rsidR="003168D0">
        <w:rPr>
          <w:rFonts w:eastAsiaTheme="majorEastAsia"/>
          <w:iCs/>
        </w:rPr>
        <w:noBreakHyphen/>
      </w:r>
      <w:r w:rsidR="00EE085A" w:rsidRPr="000F36D8">
        <w:rPr>
          <w:rFonts w:eastAsiaTheme="majorEastAsia"/>
          <w:iCs/>
        </w:rPr>
        <w:t>19 Budget</w:t>
      </w:r>
      <w:r w:rsidR="00EE085A">
        <w:rPr>
          <w:rFonts w:eastAsiaTheme="majorEastAsia"/>
          <w:iCs/>
        </w:rPr>
        <w:t>, t</w:t>
      </w:r>
      <w:r w:rsidRPr="000F36D8">
        <w:rPr>
          <w:rFonts w:eastAsiaTheme="majorEastAsia"/>
          <w:iCs/>
        </w:rPr>
        <w:t>he Australian Government allocated $5.1 billion to the Indigenous Advancement Strategy, over four years to 2021</w:t>
      </w:r>
      <w:r w:rsidR="00442E24">
        <w:rPr>
          <w:rFonts w:eastAsiaTheme="majorEastAsia"/>
          <w:iCs/>
        </w:rPr>
        <w:noBreakHyphen/>
      </w:r>
      <w:r w:rsidRPr="000F36D8">
        <w:rPr>
          <w:rFonts w:eastAsiaTheme="majorEastAsia"/>
          <w:iCs/>
        </w:rPr>
        <w:t>22.</w:t>
      </w:r>
    </w:p>
    <w:p w14:paraId="4678C3E9" w14:textId="71C1F977" w:rsidR="000C46AE" w:rsidRDefault="000C46AE" w:rsidP="00D96622">
      <w:pPr>
        <w:pStyle w:val="BodyText"/>
        <w:rPr>
          <w:rFonts w:eastAsiaTheme="majorEastAsia"/>
          <w:iCs/>
        </w:rPr>
      </w:pPr>
      <w:r w:rsidRPr="000F36D8">
        <w:rPr>
          <w:rFonts w:eastAsiaTheme="majorEastAsia"/>
          <w:iCs/>
        </w:rPr>
        <w:t xml:space="preserve">Under the Indigenous Advancement Strategy, funded providers are expected to work closely with </w:t>
      </w:r>
      <w:r w:rsidR="00EE085A">
        <w:rPr>
          <w:rFonts w:eastAsiaTheme="majorEastAsia"/>
          <w:iCs/>
        </w:rPr>
        <w:t>Aboriginal and Torres Strait Islander</w:t>
      </w:r>
      <w:r w:rsidR="00EE085A" w:rsidRPr="000F36D8">
        <w:rPr>
          <w:rFonts w:eastAsiaTheme="majorEastAsia"/>
          <w:iCs/>
        </w:rPr>
        <w:t xml:space="preserve"> </w:t>
      </w:r>
      <w:r w:rsidRPr="000F36D8">
        <w:rPr>
          <w:rFonts w:eastAsiaTheme="majorEastAsia"/>
          <w:iCs/>
        </w:rPr>
        <w:t>communities in the design and delivery of projects</w:t>
      </w:r>
      <w:r w:rsidR="00E77FB0">
        <w:rPr>
          <w:rFonts w:eastAsiaTheme="majorEastAsia"/>
          <w:iCs/>
        </w:rPr>
        <w:t xml:space="preserve"> </w:t>
      </w:r>
      <w:r w:rsidR="007D259D" w:rsidRPr="007D259D">
        <w:rPr>
          <w:szCs w:val="24"/>
        </w:rPr>
        <w:t>(DPMC 2019c)</w:t>
      </w:r>
      <w:r w:rsidRPr="000F36D8">
        <w:rPr>
          <w:rFonts w:eastAsiaTheme="majorEastAsia"/>
          <w:iCs/>
        </w:rPr>
        <w:t>.</w:t>
      </w:r>
    </w:p>
    <w:p w14:paraId="22009651" w14:textId="74D29BD4" w:rsidR="000C46AE" w:rsidRDefault="000C46AE" w:rsidP="005F5A79">
      <w:pPr>
        <w:pStyle w:val="Heading3"/>
        <w:rPr>
          <w:rFonts w:eastAsiaTheme="majorEastAsia"/>
        </w:rPr>
      </w:pPr>
      <w:r>
        <w:rPr>
          <w:rFonts w:eastAsiaTheme="majorEastAsia"/>
        </w:rPr>
        <w:t>The Indigenous Australians’ Health Program</w:t>
      </w:r>
      <w:r w:rsidR="00CA6F42">
        <w:rPr>
          <w:rFonts w:eastAsiaTheme="majorEastAsia"/>
        </w:rPr>
        <w:t>me</w:t>
      </w:r>
    </w:p>
    <w:p w14:paraId="0B935EA5" w14:textId="6A90F777" w:rsidR="000C46AE" w:rsidRDefault="000C46AE" w:rsidP="00D96622">
      <w:pPr>
        <w:pStyle w:val="BodyText"/>
        <w:rPr>
          <w:rFonts w:eastAsiaTheme="majorEastAsia"/>
          <w:iCs/>
        </w:rPr>
      </w:pPr>
      <w:r w:rsidRPr="00D07478">
        <w:rPr>
          <w:rFonts w:eastAsiaTheme="majorEastAsia"/>
          <w:iCs/>
        </w:rPr>
        <w:t xml:space="preserve">The Australian Government established the Indigenous Australians’ Health Programme (IAHP) in July 2014, to consolidate funding streams for </w:t>
      </w:r>
      <w:r w:rsidR="00461C18">
        <w:rPr>
          <w:rFonts w:eastAsiaTheme="majorEastAsia"/>
          <w:iCs/>
        </w:rPr>
        <w:t xml:space="preserve">the then </w:t>
      </w:r>
      <w:r w:rsidRPr="00D07478">
        <w:rPr>
          <w:rFonts w:eastAsiaTheme="majorEastAsia"/>
          <w:iCs/>
        </w:rPr>
        <w:t>primary health care, child and maternal health programs, Stronger Futures in the Northern Territory and programs covered by the Aboriginal and Torres Strait Islander Chronic Disease Fund.</w:t>
      </w:r>
      <w:r w:rsidR="00C62E54">
        <w:rPr>
          <w:rFonts w:eastAsiaTheme="majorEastAsia"/>
          <w:iCs/>
        </w:rPr>
        <w:t xml:space="preserve"> </w:t>
      </w:r>
      <w:r w:rsidR="00C62E54" w:rsidRPr="00C62E54">
        <w:rPr>
          <w:rFonts w:eastAsiaTheme="majorEastAsia"/>
          <w:iCs/>
        </w:rPr>
        <w:t xml:space="preserve">The Australian Government will </w:t>
      </w:r>
      <w:r w:rsidR="00C263D1">
        <w:rPr>
          <w:rFonts w:eastAsiaTheme="majorEastAsia"/>
          <w:iCs/>
        </w:rPr>
        <w:t>spend</w:t>
      </w:r>
      <w:r w:rsidR="00C263D1" w:rsidRPr="00C62E54">
        <w:rPr>
          <w:rFonts w:eastAsiaTheme="majorEastAsia"/>
          <w:iCs/>
        </w:rPr>
        <w:t xml:space="preserve"> </w:t>
      </w:r>
      <w:r w:rsidR="00C62E54" w:rsidRPr="00C62E54">
        <w:rPr>
          <w:rFonts w:eastAsiaTheme="majorEastAsia"/>
          <w:iCs/>
        </w:rPr>
        <w:t xml:space="preserve">$3.9 billion </w:t>
      </w:r>
      <w:r w:rsidR="00C263D1">
        <w:rPr>
          <w:rFonts w:eastAsiaTheme="majorEastAsia"/>
          <w:iCs/>
        </w:rPr>
        <w:t>on</w:t>
      </w:r>
      <w:r w:rsidR="00C62E54" w:rsidRPr="00C62E54">
        <w:rPr>
          <w:rFonts w:eastAsiaTheme="majorEastAsia"/>
          <w:iCs/>
        </w:rPr>
        <w:t xml:space="preserve"> Indigenous </w:t>
      </w:r>
      <w:r w:rsidR="00C263D1">
        <w:rPr>
          <w:rFonts w:eastAsiaTheme="majorEastAsia"/>
          <w:iCs/>
        </w:rPr>
        <w:t>h</w:t>
      </w:r>
      <w:r w:rsidR="00C62E54" w:rsidRPr="00C62E54">
        <w:rPr>
          <w:rFonts w:eastAsiaTheme="majorEastAsia"/>
          <w:iCs/>
        </w:rPr>
        <w:t xml:space="preserve">ealth under the </w:t>
      </w:r>
      <w:r w:rsidR="00CA6F42" w:rsidRPr="00D07478">
        <w:rPr>
          <w:rFonts w:eastAsiaTheme="majorEastAsia"/>
          <w:iCs/>
        </w:rPr>
        <w:t>Programme</w:t>
      </w:r>
      <w:r w:rsidR="00C62E54" w:rsidRPr="00C62E54">
        <w:rPr>
          <w:rFonts w:eastAsiaTheme="majorEastAsia"/>
          <w:iCs/>
        </w:rPr>
        <w:t xml:space="preserve"> between 2018</w:t>
      </w:r>
      <w:r w:rsidR="00C62E54">
        <w:rPr>
          <w:rFonts w:eastAsiaTheme="majorEastAsia"/>
          <w:iCs/>
        </w:rPr>
        <w:noBreakHyphen/>
      </w:r>
      <w:r w:rsidR="00C62E54" w:rsidRPr="00C62E54">
        <w:rPr>
          <w:rFonts w:eastAsiaTheme="majorEastAsia"/>
          <w:iCs/>
        </w:rPr>
        <w:t>19 and 2021</w:t>
      </w:r>
      <w:r w:rsidR="00442E24">
        <w:rPr>
          <w:rFonts w:eastAsiaTheme="majorEastAsia"/>
          <w:iCs/>
        </w:rPr>
        <w:noBreakHyphen/>
      </w:r>
      <w:r w:rsidR="00C62E54" w:rsidRPr="00C62E54">
        <w:rPr>
          <w:rFonts w:eastAsiaTheme="majorEastAsia"/>
          <w:iCs/>
        </w:rPr>
        <w:t>22.</w:t>
      </w:r>
    </w:p>
    <w:p w14:paraId="2FA2A2C7" w14:textId="75B6AA2B" w:rsidR="000C46AE" w:rsidRDefault="000C46AE" w:rsidP="00D96622">
      <w:pPr>
        <w:pStyle w:val="BodyText"/>
        <w:rPr>
          <w:rFonts w:eastAsiaTheme="majorEastAsia"/>
          <w:iCs/>
        </w:rPr>
      </w:pPr>
      <w:r w:rsidRPr="00D07478">
        <w:rPr>
          <w:rFonts w:eastAsiaTheme="majorEastAsia"/>
          <w:iCs/>
        </w:rPr>
        <w:t xml:space="preserve">The IAHP seeks to provide Aboriginal and Torres Strait Islander people with access to effective high quality, comprehensive, culturally appropriate, primary health care services in urban, regional, rural and remote locations </w:t>
      </w:r>
      <w:r w:rsidRPr="00D07478">
        <w:rPr>
          <w:rFonts w:eastAsiaTheme="majorEastAsia"/>
          <w:iCs/>
        </w:rPr>
        <w:lastRenderedPageBreak/>
        <w:t xml:space="preserve">across Australia. This includes services provided through Aboriginal Community Controlled Health Services </w:t>
      </w:r>
      <w:r w:rsidR="00E95B65" w:rsidRPr="00224130">
        <w:rPr>
          <w:rFonts w:eastAsiaTheme="majorEastAsia"/>
          <w:iCs/>
        </w:rPr>
        <w:t>wherever possible and appropriate</w:t>
      </w:r>
      <w:r w:rsidRPr="00D07478">
        <w:rPr>
          <w:rFonts w:eastAsiaTheme="majorEastAsia"/>
          <w:iCs/>
        </w:rPr>
        <w:t xml:space="preserve"> </w:t>
      </w:r>
      <w:r w:rsidR="003E41C3" w:rsidRPr="003E41C3">
        <w:rPr>
          <w:rFonts w:eastAsiaTheme="majorEastAsia"/>
          <w:szCs w:val="24"/>
        </w:rPr>
        <w:t>(</w:t>
      </w:r>
      <w:proofErr w:type="spellStart"/>
      <w:r w:rsidR="003E41C3" w:rsidRPr="003E41C3">
        <w:rPr>
          <w:rFonts w:eastAsiaTheme="majorEastAsia"/>
          <w:szCs w:val="24"/>
        </w:rPr>
        <w:t>DoH</w:t>
      </w:r>
      <w:proofErr w:type="spellEnd"/>
      <w:r w:rsidR="003E41C3" w:rsidRPr="003E41C3">
        <w:rPr>
          <w:rFonts w:eastAsiaTheme="majorEastAsia"/>
          <w:szCs w:val="24"/>
        </w:rPr>
        <w:t> 2018)</w:t>
      </w:r>
      <w:r w:rsidRPr="00D07478">
        <w:rPr>
          <w:rFonts w:eastAsiaTheme="majorEastAsia"/>
          <w:iCs/>
        </w:rPr>
        <w:t>.</w:t>
      </w:r>
    </w:p>
    <w:p w14:paraId="07487242" w14:textId="50C83198" w:rsidR="001E24C6" w:rsidRDefault="001E24C6" w:rsidP="005F5A79">
      <w:pPr>
        <w:pStyle w:val="Heading3"/>
        <w:rPr>
          <w:rFonts w:eastAsiaTheme="majorEastAsia"/>
        </w:rPr>
      </w:pPr>
      <w:r>
        <w:rPr>
          <w:rFonts w:eastAsiaTheme="majorEastAsia"/>
        </w:rPr>
        <w:t>The National Disability Strategy</w:t>
      </w:r>
    </w:p>
    <w:p w14:paraId="47D79A7E" w14:textId="57BAFC11" w:rsidR="00DE512F" w:rsidRPr="001C6856" w:rsidRDefault="00DE512F" w:rsidP="00E51553">
      <w:pPr>
        <w:pStyle w:val="BodyText"/>
        <w:rPr>
          <w:rFonts w:eastAsiaTheme="majorEastAsia"/>
          <w:iCs/>
          <w:spacing w:val="-4"/>
        </w:rPr>
      </w:pPr>
      <w:r w:rsidRPr="001C6856">
        <w:rPr>
          <w:spacing w:val="-4"/>
        </w:rPr>
        <w:t>The National Disability Strategy</w:t>
      </w:r>
      <w:r w:rsidR="00C20F29" w:rsidRPr="001C6856">
        <w:rPr>
          <w:spacing w:val="-4"/>
        </w:rPr>
        <w:t>, of which the National Disability Insurance Scheme represents a key action,</w:t>
      </w:r>
      <w:r w:rsidRPr="001C6856">
        <w:rPr>
          <w:spacing w:val="-4"/>
        </w:rPr>
        <w:t xml:space="preserve"> is an agreement to guide policies supporting people with disability across Australian, state and territory and local governments from 2010</w:t>
      </w:r>
      <w:r w:rsidR="00C20F29" w:rsidRPr="001C6856">
        <w:rPr>
          <w:spacing w:val="-4"/>
        </w:rPr>
        <w:t xml:space="preserve"> to </w:t>
      </w:r>
      <w:r w:rsidRPr="001C6856">
        <w:rPr>
          <w:spacing w:val="-4"/>
        </w:rPr>
        <w:t xml:space="preserve">2020. </w:t>
      </w:r>
      <w:r w:rsidR="002A6F44" w:rsidRPr="001C6856">
        <w:rPr>
          <w:spacing w:val="-4"/>
        </w:rPr>
        <w:t xml:space="preserve">It is a mainstream strategy </w:t>
      </w:r>
      <w:r w:rsidR="00E51553" w:rsidRPr="001C6856">
        <w:rPr>
          <w:spacing w:val="-4"/>
        </w:rPr>
        <w:t>designed to support</w:t>
      </w:r>
      <w:r w:rsidR="002A6F44" w:rsidRPr="001C6856">
        <w:rPr>
          <w:spacing w:val="-4"/>
        </w:rPr>
        <w:t xml:space="preserve"> all Australians</w:t>
      </w:r>
      <w:r w:rsidR="00E51553" w:rsidRPr="001C6856">
        <w:rPr>
          <w:spacing w:val="-4"/>
        </w:rPr>
        <w:t>, together with their families and carers</w:t>
      </w:r>
      <w:r w:rsidR="002A6F44" w:rsidRPr="001C6856">
        <w:rPr>
          <w:spacing w:val="-4"/>
        </w:rPr>
        <w:t>.</w:t>
      </w:r>
    </w:p>
    <w:p w14:paraId="435205D7" w14:textId="648362AC" w:rsidR="00C20F29" w:rsidRDefault="00C20F29" w:rsidP="000109D2">
      <w:pPr>
        <w:pStyle w:val="BodyText"/>
      </w:pPr>
      <w:r>
        <w:t xml:space="preserve">The </w:t>
      </w:r>
      <w:r w:rsidRPr="000109D2">
        <w:rPr>
          <w:i/>
        </w:rPr>
        <w:t>Australian Government Plan to Improve Outcomes for Aboriginal and Torres Strait Islander People with Disability</w:t>
      </w:r>
      <w:r>
        <w:t xml:space="preserve"> is part of the </w:t>
      </w:r>
      <w:r w:rsidRPr="00DE512F">
        <w:t>National Disability Strategy</w:t>
      </w:r>
      <w:r>
        <w:t>, and highlights five priority areas</w:t>
      </w:r>
      <w:r w:rsidR="000109D2">
        <w:t xml:space="preserve"> for Aboriginal and Torres Strait Islander people with disability</w:t>
      </w:r>
      <w:r>
        <w:t>:</w:t>
      </w:r>
    </w:p>
    <w:p w14:paraId="3CB6F06F" w14:textId="08D640BA" w:rsidR="00C20F29" w:rsidRDefault="00C20F29" w:rsidP="00C20F29">
      <w:pPr>
        <w:pStyle w:val="ListBullet"/>
      </w:pPr>
      <w:r>
        <w:t xml:space="preserve">access to appropriately designed shelter and </w:t>
      </w:r>
      <w:r w:rsidR="002A6F44">
        <w:t xml:space="preserve">to </w:t>
      </w:r>
      <w:r>
        <w:t>live in accessible, well</w:t>
      </w:r>
      <w:r w:rsidR="00442E24">
        <w:noBreakHyphen/>
      </w:r>
      <w:r>
        <w:t>designed communities that are fully inclusive of all their residents</w:t>
      </w:r>
    </w:p>
    <w:p w14:paraId="5132984E" w14:textId="37099733" w:rsidR="00C20F29" w:rsidRDefault="00C20F29" w:rsidP="00C20F29">
      <w:pPr>
        <w:pStyle w:val="ListBullet"/>
      </w:pPr>
      <w:r>
        <w:t>the right to:</w:t>
      </w:r>
    </w:p>
    <w:p w14:paraId="1D09DB34" w14:textId="77777777" w:rsidR="00C20F29" w:rsidRDefault="00C20F29" w:rsidP="00C20F29">
      <w:pPr>
        <w:pStyle w:val="ListBullet2"/>
      </w:pPr>
      <w:r>
        <w:t>be free from racism and discrimination</w:t>
      </w:r>
    </w:p>
    <w:p w14:paraId="1E2B1ED4" w14:textId="77777777" w:rsidR="00C20F29" w:rsidRDefault="00C20F29" w:rsidP="00C20F29">
      <w:pPr>
        <w:pStyle w:val="ListBullet2"/>
      </w:pPr>
      <w:r>
        <w:t>have their rights promoted</w:t>
      </w:r>
    </w:p>
    <w:p w14:paraId="774A62AF" w14:textId="01C9A760" w:rsidR="00C20F29" w:rsidRDefault="00C20F29" w:rsidP="00C20F29">
      <w:pPr>
        <w:pStyle w:val="ListBullet2"/>
      </w:pPr>
      <w:r>
        <w:t>a disability</w:t>
      </w:r>
      <w:r w:rsidR="00442E24">
        <w:noBreakHyphen/>
      </w:r>
      <w:r>
        <w:t>inclusive justice system</w:t>
      </w:r>
    </w:p>
    <w:p w14:paraId="7BB8D233" w14:textId="729E0C47" w:rsidR="00C20F29" w:rsidRDefault="000109D2" w:rsidP="00C20F29">
      <w:pPr>
        <w:pStyle w:val="ListBullet"/>
      </w:pPr>
      <w:proofErr w:type="gramStart"/>
      <w:r>
        <w:t>capacity</w:t>
      </w:r>
      <w:proofErr w:type="gramEnd"/>
      <w:r>
        <w:t xml:space="preserve"> to </w:t>
      </w:r>
      <w:r w:rsidR="00C20F29">
        <w:t>achieve their full potential through participation in an inclusive high quality education system that is responsive to their needs. People with disability have opportunities for lifelong learning.</w:t>
      </w:r>
    </w:p>
    <w:p w14:paraId="7C64EDD4" w14:textId="4E2D5383" w:rsidR="00C20F29" w:rsidRDefault="000109D2" w:rsidP="00C20F29">
      <w:pPr>
        <w:pStyle w:val="ListBullet"/>
      </w:pPr>
      <w:r>
        <w:t xml:space="preserve">together with </w:t>
      </w:r>
      <w:r w:rsidR="00C20F29">
        <w:t>their families and carers</w:t>
      </w:r>
      <w:r>
        <w:t>,</w:t>
      </w:r>
      <w:r w:rsidR="00C20F29">
        <w:t xml:space="preserve"> hav</w:t>
      </w:r>
      <w:r>
        <w:t>ing</w:t>
      </w:r>
      <w:r w:rsidR="00C20F29">
        <w:t xml:space="preserve"> opportunities to gain economic security through employment and business ownership, enabling them to plan for the future and exercise choice and control over their lives.</w:t>
      </w:r>
    </w:p>
    <w:p w14:paraId="4704CF3B" w14:textId="50A7B81E" w:rsidR="00C20F29" w:rsidRDefault="000109D2" w:rsidP="00C20F29">
      <w:pPr>
        <w:pStyle w:val="ListBullet"/>
      </w:pPr>
      <w:proofErr w:type="gramStart"/>
      <w:r>
        <w:lastRenderedPageBreak/>
        <w:t>attainment</w:t>
      </w:r>
      <w:proofErr w:type="gramEnd"/>
      <w:r>
        <w:t xml:space="preserve"> of</w:t>
      </w:r>
      <w:r w:rsidR="00C20F29">
        <w:t xml:space="preserve"> the highest possible health and wellbeing outcomes throughout their lives, enabled by all health and disability services having the capability to meet their needs </w:t>
      </w:r>
      <w:r w:rsidR="003E41C3" w:rsidRPr="003E41C3">
        <w:rPr>
          <w:szCs w:val="24"/>
        </w:rPr>
        <w:t>(DSS 2017)</w:t>
      </w:r>
      <w:r w:rsidR="00C20F29">
        <w:t>.</w:t>
      </w:r>
    </w:p>
    <w:p w14:paraId="1DAA99A7" w14:textId="696F232D" w:rsidR="00343432" w:rsidRDefault="00343432" w:rsidP="00343432">
      <w:pPr>
        <w:pStyle w:val="BodyText"/>
      </w:pPr>
      <w:r>
        <w:t xml:space="preserve">Ahead of the development of a national disability strategy for beyond 2020, the Department of Social Services engaged the Social Policy Research Centre of the University of New South Wales to undertake an independent review of implementation of the </w:t>
      </w:r>
      <w:r w:rsidRPr="00224130">
        <w:rPr>
          <w:i/>
        </w:rPr>
        <w:t>National Disability Strategy 2010</w:t>
      </w:r>
      <w:r w:rsidR="00442E24">
        <w:rPr>
          <w:i/>
        </w:rPr>
        <w:t>–</w:t>
      </w:r>
      <w:r w:rsidRPr="00224130">
        <w:rPr>
          <w:i/>
        </w:rPr>
        <w:t>2020</w:t>
      </w:r>
      <w:r>
        <w:t>.</w:t>
      </w:r>
      <w:r w:rsidR="008D38F4">
        <w:t xml:space="preserve"> </w:t>
      </w:r>
      <w:r>
        <w:t xml:space="preserve">The review included a desktop review of documents about the implementation of the </w:t>
      </w:r>
      <w:r w:rsidR="00904AFF">
        <w:t xml:space="preserve">strategy </w:t>
      </w:r>
      <w:r>
        <w:t xml:space="preserve">and targeted stakeholder consultations. </w:t>
      </w:r>
    </w:p>
    <w:p w14:paraId="6B2B8133" w14:textId="0AA1D600" w:rsidR="006C320A" w:rsidRDefault="008D38F4" w:rsidP="006C320A">
      <w:pPr>
        <w:pStyle w:val="BodyText"/>
        <w:rPr>
          <w:rFonts w:eastAsiaTheme="majorEastAsia"/>
        </w:rPr>
      </w:pPr>
      <w:r>
        <w:t xml:space="preserve">Stakeholders felt that the </w:t>
      </w:r>
      <w:r w:rsidR="00904AFF">
        <w:t>strategy</w:t>
      </w:r>
      <w:r>
        <w:t xml:space="preserve">, as a national statement and national policy framework, was a good response to Australia’s obligations under the United Nations Convention on the Rights of Persons with Disabilities, and agreed the principles and goals of the </w:t>
      </w:r>
      <w:r w:rsidR="00904AFF">
        <w:t xml:space="preserve">strategy </w:t>
      </w:r>
      <w:r>
        <w:t>were important and valuable. However, stakeholders were overwhelmi</w:t>
      </w:r>
      <w:r w:rsidR="00702935">
        <w:t>n</w:t>
      </w:r>
      <w:r>
        <w:t>gly critical of implementation processes and outcomes</w:t>
      </w:r>
      <w:r w:rsidR="00B56690">
        <w:t>. It was suggested that specific barriers faced by Aboriginal and Torres Strait Islander people needed to be better addressed in the policy design and implementation stages (including through inclusion of Aboriginal and Torres Strait Islander community</w:t>
      </w:r>
      <w:r w:rsidR="00702935">
        <w:t xml:space="preserve"> </w:t>
      </w:r>
      <w:r w:rsidR="00B56690">
        <w:t>representatives in these processes)</w:t>
      </w:r>
      <w:r w:rsidR="00702935">
        <w:t xml:space="preserve"> </w:t>
      </w:r>
      <w:r w:rsidR="003E41C3" w:rsidRPr="003E41C3">
        <w:rPr>
          <w:szCs w:val="24"/>
        </w:rPr>
        <w:t>(Davy et al. 2018)</w:t>
      </w:r>
      <w:r>
        <w:t>.</w:t>
      </w:r>
    </w:p>
    <w:p w14:paraId="0D4B8709" w14:textId="77777777" w:rsidR="000C46AE" w:rsidRDefault="000C46AE" w:rsidP="005F5A79">
      <w:pPr>
        <w:pStyle w:val="Heading3"/>
        <w:rPr>
          <w:rFonts w:eastAsiaTheme="majorEastAsia"/>
        </w:rPr>
      </w:pPr>
      <w:r>
        <w:rPr>
          <w:rFonts w:eastAsiaTheme="majorEastAsia"/>
        </w:rPr>
        <w:t>The Community Development Program</w:t>
      </w:r>
    </w:p>
    <w:p w14:paraId="25881679" w14:textId="320E649D" w:rsidR="000C46AE" w:rsidRDefault="000C46AE" w:rsidP="00D96622">
      <w:pPr>
        <w:pStyle w:val="BodyText"/>
        <w:rPr>
          <w:rFonts w:eastAsiaTheme="majorEastAsia"/>
          <w:iCs/>
        </w:rPr>
      </w:pPr>
      <w:r w:rsidRPr="00467D6E">
        <w:rPr>
          <w:rFonts w:eastAsiaTheme="majorEastAsia"/>
          <w:iCs/>
        </w:rPr>
        <w:t xml:space="preserve">The Community Development Program (CDP) is an employment and community development service for job seekers in remote Australia, seeking to </w:t>
      </w:r>
      <w:r w:rsidR="00E81090">
        <w:rPr>
          <w:rFonts w:eastAsiaTheme="majorEastAsia"/>
          <w:iCs/>
        </w:rPr>
        <w:t>develop</w:t>
      </w:r>
      <w:r w:rsidRPr="00467D6E">
        <w:rPr>
          <w:rFonts w:eastAsiaTheme="majorEastAsia"/>
          <w:iCs/>
        </w:rPr>
        <w:t xml:space="preserve"> </w:t>
      </w:r>
      <w:r w:rsidR="002A6F44">
        <w:rPr>
          <w:rFonts w:eastAsiaTheme="majorEastAsia"/>
          <w:iCs/>
        </w:rPr>
        <w:t xml:space="preserve">and </w:t>
      </w:r>
      <w:r w:rsidR="00B5335D">
        <w:rPr>
          <w:rFonts w:eastAsiaTheme="majorEastAsia"/>
          <w:iCs/>
        </w:rPr>
        <w:t xml:space="preserve">strengthen the </w:t>
      </w:r>
      <w:r w:rsidRPr="00467D6E">
        <w:rPr>
          <w:rFonts w:eastAsiaTheme="majorEastAsia"/>
          <w:iCs/>
        </w:rPr>
        <w:t xml:space="preserve">skills </w:t>
      </w:r>
      <w:r w:rsidR="00B5335D">
        <w:rPr>
          <w:rFonts w:eastAsiaTheme="majorEastAsia"/>
          <w:iCs/>
        </w:rPr>
        <w:t xml:space="preserve">base </w:t>
      </w:r>
      <w:r w:rsidR="00EE085A">
        <w:rPr>
          <w:rFonts w:eastAsiaTheme="majorEastAsia"/>
          <w:iCs/>
        </w:rPr>
        <w:t xml:space="preserve">and </w:t>
      </w:r>
      <w:r w:rsidR="00E81090">
        <w:rPr>
          <w:rFonts w:eastAsiaTheme="majorEastAsia"/>
          <w:iCs/>
        </w:rPr>
        <w:t>contribut</w:t>
      </w:r>
      <w:r w:rsidR="00EE085A">
        <w:rPr>
          <w:rFonts w:eastAsiaTheme="majorEastAsia"/>
          <w:iCs/>
        </w:rPr>
        <w:t>e</w:t>
      </w:r>
      <w:r w:rsidR="00E81090">
        <w:rPr>
          <w:rFonts w:eastAsiaTheme="majorEastAsia"/>
          <w:iCs/>
        </w:rPr>
        <w:t xml:space="preserve"> to</w:t>
      </w:r>
      <w:r w:rsidRPr="00467D6E">
        <w:rPr>
          <w:rFonts w:eastAsiaTheme="majorEastAsia"/>
          <w:iCs/>
        </w:rPr>
        <w:t xml:space="preserve"> communities through a range of activities. It </w:t>
      </w:r>
      <w:r w:rsidR="00EE085A">
        <w:rPr>
          <w:rFonts w:eastAsiaTheme="majorEastAsia"/>
          <w:iCs/>
        </w:rPr>
        <w:t>was</w:t>
      </w:r>
      <w:r w:rsidRPr="00467D6E">
        <w:rPr>
          <w:rFonts w:eastAsiaTheme="majorEastAsia"/>
          <w:iCs/>
        </w:rPr>
        <w:t xml:space="preserve"> designed around the social and labour market conditions in remote</w:t>
      </w:r>
      <w:r w:rsidR="00904AFF">
        <w:rPr>
          <w:rFonts w:eastAsiaTheme="majorEastAsia"/>
          <w:iCs/>
        </w:rPr>
        <w:t xml:space="preserve"> communities</w:t>
      </w:r>
      <w:r w:rsidRPr="00467D6E">
        <w:rPr>
          <w:rFonts w:eastAsiaTheme="majorEastAsia"/>
          <w:iCs/>
        </w:rPr>
        <w:t>.</w:t>
      </w:r>
      <w:r>
        <w:rPr>
          <w:rFonts w:eastAsiaTheme="majorEastAsia"/>
          <w:iCs/>
        </w:rPr>
        <w:t xml:space="preserve"> </w:t>
      </w:r>
      <w:r w:rsidRPr="00467D6E">
        <w:rPr>
          <w:rFonts w:eastAsiaTheme="majorEastAsia"/>
          <w:iCs/>
        </w:rPr>
        <w:t>CDP participants with activity requirements are expected to complete up to 20 hours per week of work</w:t>
      </w:r>
      <w:r w:rsidR="00442E24">
        <w:rPr>
          <w:rFonts w:eastAsiaTheme="majorEastAsia"/>
          <w:iCs/>
        </w:rPr>
        <w:noBreakHyphen/>
      </w:r>
      <w:r w:rsidRPr="00467D6E">
        <w:rPr>
          <w:rFonts w:eastAsiaTheme="majorEastAsia"/>
          <w:iCs/>
        </w:rPr>
        <w:t>like activities that benefit their community</w:t>
      </w:r>
      <w:r w:rsidR="00A84EA0">
        <w:rPr>
          <w:rFonts w:eastAsiaTheme="majorEastAsia"/>
          <w:iCs/>
        </w:rPr>
        <w:t xml:space="preserve"> </w:t>
      </w:r>
      <w:r w:rsidR="003E41C3" w:rsidRPr="003E41C3">
        <w:rPr>
          <w:szCs w:val="24"/>
        </w:rPr>
        <w:t>(DPMC 2019e)</w:t>
      </w:r>
      <w:r w:rsidRPr="00467D6E">
        <w:rPr>
          <w:rFonts w:eastAsiaTheme="majorEastAsia"/>
          <w:iCs/>
        </w:rPr>
        <w:t>.</w:t>
      </w:r>
    </w:p>
    <w:p w14:paraId="70D2EE41" w14:textId="1BC9141E" w:rsidR="000C46AE" w:rsidRDefault="000C46AE" w:rsidP="00D96622">
      <w:pPr>
        <w:pStyle w:val="BodyText"/>
        <w:rPr>
          <w:rFonts w:eastAsiaTheme="majorEastAsia"/>
          <w:iCs/>
        </w:rPr>
      </w:pPr>
      <w:r w:rsidRPr="00467D6E">
        <w:rPr>
          <w:rFonts w:eastAsiaTheme="majorEastAsia"/>
          <w:iCs/>
        </w:rPr>
        <w:lastRenderedPageBreak/>
        <w:t>The CDP was introduced on 1</w:t>
      </w:r>
      <w:r w:rsidR="00442E24">
        <w:rPr>
          <w:rFonts w:eastAsiaTheme="majorEastAsia"/>
          <w:iCs/>
        </w:rPr>
        <w:t> </w:t>
      </w:r>
      <w:r w:rsidRPr="00467D6E">
        <w:rPr>
          <w:rFonts w:eastAsiaTheme="majorEastAsia"/>
          <w:iCs/>
        </w:rPr>
        <w:t>July 2015, replacing the Remote Jobs and</w:t>
      </w:r>
      <w:r>
        <w:rPr>
          <w:rFonts w:eastAsiaTheme="majorEastAsia"/>
          <w:iCs/>
        </w:rPr>
        <w:t xml:space="preserve"> </w:t>
      </w:r>
      <w:r w:rsidRPr="00467D6E">
        <w:rPr>
          <w:rFonts w:eastAsiaTheme="majorEastAsia"/>
          <w:iCs/>
        </w:rPr>
        <w:t>Communities Program (RJCP) which had, in turn</w:t>
      </w:r>
      <w:r w:rsidR="00904AFF">
        <w:rPr>
          <w:rFonts w:eastAsiaTheme="majorEastAsia"/>
          <w:iCs/>
        </w:rPr>
        <w:t>,</w:t>
      </w:r>
      <w:r w:rsidRPr="00467D6E">
        <w:rPr>
          <w:rFonts w:eastAsiaTheme="majorEastAsia"/>
          <w:iCs/>
        </w:rPr>
        <w:t xml:space="preserve"> replaced the longstanding Community Development and Employment Projects</w:t>
      </w:r>
      <w:r w:rsidR="00904AFF">
        <w:rPr>
          <w:rFonts w:eastAsiaTheme="majorEastAsia"/>
          <w:iCs/>
        </w:rPr>
        <w:t xml:space="preserve"> Program</w:t>
      </w:r>
      <w:r w:rsidRPr="00467D6E">
        <w:rPr>
          <w:rFonts w:eastAsiaTheme="majorEastAsia"/>
          <w:iCs/>
        </w:rPr>
        <w:t xml:space="preserve"> (CDEP)</w:t>
      </w:r>
      <w:r w:rsidR="00A84EA0">
        <w:rPr>
          <w:rFonts w:eastAsiaTheme="majorEastAsia"/>
          <w:iCs/>
        </w:rPr>
        <w:t xml:space="preserve"> </w:t>
      </w:r>
      <w:r w:rsidR="003E41C3" w:rsidRPr="003E41C3">
        <w:rPr>
          <w:szCs w:val="24"/>
        </w:rPr>
        <w:t>(FPARC 2017)</w:t>
      </w:r>
      <w:r w:rsidRPr="00467D6E">
        <w:rPr>
          <w:rFonts w:eastAsiaTheme="majorEastAsia"/>
          <w:iCs/>
        </w:rPr>
        <w:t>.</w:t>
      </w:r>
    </w:p>
    <w:p w14:paraId="670B2CB2" w14:textId="039C5952" w:rsidR="007761D7" w:rsidRDefault="000C46AE" w:rsidP="00D96622">
      <w:pPr>
        <w:pStyle w:val="BodyText"/>
        <w:rPr>
          <w:rFonts w:eastAsiaTheme="majorEastAsia"/>
          <w:iCs/>
        </w:rPr>
      </w:pPr>
      <w:r>
        <w:rPr>
          <w:rFonts w:eastAsiaTheme="majorEastAsia"/>
          <w:iCs/>
        </w:rPr>
        <w:t xml:space="preserve">An evaluation of </w:t>
      </w:r>
      <w:r w:rsidR="00027CFA">
        <w:rPr>
          <w:rFonts w:eastAsiaTheme="majorEastAsia"/>
          <w:iCs/>
        </w:rPr>
        <w:t xml:space="preserve">whether </w:t>
      </w:r>
      <w:r w:rsidR="00027CFA">
        <w:t>the CDP ha</w:t>
      </w:r>
      <w:r w:rsidR="00E34F8A">
        <w:t>d</w:t>
      </w:r>
      <w:r w:rsidR="00027CFA">
        <w:t xml:space="preserve"> been effective </w:t>
      </w:r>
      <w:r w:rsidR="00E34F8A">
        <w:rPr>
          <w:rFonts w:eastAsiaTheme="majorEastAsia"/>
          <w:iCs/>
        </w:rPr>
        <w:t>in its first two years</w:t>
      </w:r>
      <w:r w:rsidR="00E34F8A">
        <w:rPr>
          <w:rFonts w:eastAsiaTheme="majorEastAsia"/>
        </w:rPr>
        <w:t xml:space="preserve"> </w:t>
      </w:r>
      <w:r w:rsidR="00027CFA">
        <w:t xml:space="preserve">in achieving its key objectives </w:t>
      </w:r>
      <w:r w:rsidR="00027CFA">
        <w:rPr>
          <w:rFonts w:eastAsiaTheme="majorEastAsia"/>
        </w:rPr>
        <w:t xml:space="preserve">of </w:t>
      </w:r>
      <w:r w:rsidR="00027CFA">
        <w:t>increasing participation and employment outcomes in remote communities</w:t>
      </w:r>
      <w:r w:rsidR="00027CFA">
        <w:rPr>
          <w:rFonts w:eastAsiaTheme="majorEastAsia"/>
          <w:iCs/>
        </w:rPr>
        <w:t xml:space="preserve"> </w:t>
      </w:r>
      <w:r w:rsidR="00E34F8A">
        <w:rPr>
          <w:rFonts w:eastAsiaTheme="majorEastAsia"/>
          <w:iCs/>
        </w:rPr>
        <w:t>was undertaken in 2018. The evaluation was</w:t>
      </w:r>
      <w:r w:rsidR="009821D7">
        <w:rPr>
          <w:rFonts w:eastAsiaTheme="majorEastAsia"/>
          <w:iCs/>
        </w:rPr>
        <w:t xml:space="preserve"> a combination of</w:t>
      </w:r>
      <w:r w:rsidRPr="0029144C">
        <w:rPr>
          <w:rFonts w:eastAsiaTheme="majorEastAsia"/>
          <w:iCs/>
        </w:rPr>
        <w:t xml:space="preserve"> fieldwork undertaken by </w:t>
      </w:r>
      <w:proofErr w:type="spellStart"/>
      <w:r w:rsidRPr="0029144C">
        <w:rPr>
          <w:rFonts w:eastAsiaTheme="majorEastAsia"/>
          <w:iCs/>
        </w:rPr>
        <w:t>Winangali</w:t>
      </w:r>
      <w:proofErr w:type="spellEnd"/>
      <w:r w:rsidRPr="0029144C">
        <w:rPr>
          <w:rFonts w:eastAsiaTheme="majorEastAsia"/>
          <w:iCs/>
        </w:rPr>
        <w:t xml:space="preserve"> in partnership with </w:t>
      </w:r>
      <w:proofErr w:type="spellStart"/>
      <w:r w:rsidRPr="0029144C">
        <w:rPr>
          <w:rFonts w:eastAsiaTheme="majorEastAsia"/>
          <w:iCs/>
        </w:rPr>
        <w:t>Ipsos</w:t>
      </w:r>
      <w:proofErr w:type="spellEnd"/>
      <w:r w:rsidRPr="0029144C">
        <w:rPr>
          <w:rFonts w:eastAsiaTheme="majorEastAsia"/>
          <w:iCs/>
        </w:rPr>
        <w:t xml:space="preserve">, and an analysis of administrative data undertaken by the Department of the Prime Minister and Cabinet. </w:t>
      </w:r>
      <w:r w:rsidR="00DD753D">
        <w:rPr>
          <w:rFonts w:eastAsiaTheme="majorEastAsia"/>
          <w:iCs/>
        </w:rPr>
        <w:t>It</w:t>
      </w:r>
      <w:r>
        <w:rPr>
          <w:rFonts w:eastAsiaTheme="majorEastAsia"/>
          <w:iCs/>
        </w:rPr>
        <w:t xml:space="preserve"> found there</w:t>
      </w:r>
      <w:r w:rsidRPr="0029144C">
        <w:rPr>
          <w:rFonts w:eastAsiaTheme="majorEastAsia"/>
          <w:iCs/>
        </w:rPr>
        <w:t xml:space="preserve"> were diverse views on how the community had changed since the introduct</w:t>
      </w:r>
      <w:r w:rsidR="007761D7">
        <w:rPr>
          <w:rFonts w:eastAsiaTheme="majorEastAsia"/>
          <w:iCs/>
        </w:rPr>
        <w:t>ion of the CDP.</w:t>
      </w:r>
    </w:p>
    <w:p w14:paraId="32BE96E2" w14:textId="67205F9C" w:rsidR="000C46AE" w:rsidRDefault="000C46AE" w:rsidP="007761D7">
      <w:pPr>
        <w:pStyle w:val="ListBullet"/>
        <w:rPr>
          <w:rFonts w:eastAsiaTheme="majorEastAsia"/>
        </w:rPr>
      </w:pPr>
      <w:r>
        <w:rPr>
          <w:rFonts w:eastAsiaTheme="majorEastAsia"/>
        </w:rPr>
        <w:t>Of the almost 1</w:t>
      </w:r>
      <w:r w:rsidRPr="0029144C">
        <w:rPr>
          <w:rFonts w:eastAsiaTheme="majorEastAsia"/>
        </w:rPr>
        <w:t xml:space="preserve">000 community members surveyed across the eight remote communities, 21 per cent felt the community was better off since </w:t>
      </w:r>
      <w:r>
        <w:rPr>
          <w:rFonts w:eastAsiaTheme="majorEastAsia"/>
        </w:rPr>
        <w:t xml:space="preserve">the introduction of the </w:t>
      </w:r>
      <w:r w:rsidRPr="0029144C">
        <w:rPr>
          <w:rFonts w:eastAsiaTheme="majorEastAsia"/>
        </w:rPr>
        <w:t>CDP, 32</w:t>
      </w:r>
      <w:r w:rsidR="007D55F9">
        <w:rPr>
          <w:rFonts w:eastAsiaTheme="majorEastAsia"/>
        </w:rPr>
        <w:t> </w:t>
      </w:r>
      <w:r w:rsidRPr="0029144C">
        <w:rPr>
          <w:rFonts w:eastAsiaTheme="majorEastAsia"/>
        </w:rPr>
        <w:t>per</w:t>
      </w:r>
      <w:r w:rsidR="007D55F9">
        <w:rPr>
          <w:rFonts w:eastAsiaTheme="majorEastAsia"/>
        </w:rPr>
        <w:t> </w:t>
      </w:r>
      <w:r w:rsidRPr="0029144C">
        <w:rPr>
          <w:rFonts w:eastAsiaTheme="majorEastAsia"/>
        </w:rPr>
        <w:t>cent said the community was the same, and 36 per cent said the community was worse</w:t>
      </w:r>
      <w:r>
        <w:rPr>
          <w:rFonts w:eastAsiaTheme="majorEastAsia"/>
        </w:rPr>
        <w:t xml:space="preserve"> off</w:t>
      </w:r>
      <w:r w:rsidRPr="0029144C">
        <w:rPr>
          <w:rFonts w:eastAsiaTheme="majorEastAsia"/>
        </w:rPr>
        <w:t xml:space="preserve">. </w:t>
      </w:r>
      <w:r>
        <w:rPr>
          <w:rFonts w:eastAsiaTheme="majorEastAsia"/>
        </w:rPr>
        <w:t>Varying views were expressed</w:t>
      </w:r>
      <w:r w:rsidRPr="0029144C">
        <w:rPr>
          <w:rFonts w:eastAsiaTheme="majorEastAsia"/>
        </w:rPr>
        <w:t xml:space="preserve"> both within and between communities.</w:t>
      </w:r>
    </w:p>
    <w:p w14:paraId="54AF3D5C" w14:textId="6ECB7AAA" w:rsidR="000C46AE" w:rsidRDefault="000C46AE" w:rsidP="007761D7">
      <w:pPr>
        <w:pStyle w:val="ListBullet"/>
      </w:pPr>
      <w:r w:rsidRPr="00507122">
        <w:t>Using</w:t>
      </w:r>
      <w:r w:rsidRPr="00507122" w:rsidDel="00EE085A">
        <w:t xml:space="preserve"> </w:t>
      </w:r>
      <w:r w:rsidRPr="00507122">
        <w:t xml:space="preserve">administrative data, after controlling for the characteristics of participants and labour market conditions, the introduction of the CDP was estimated to have increased the share of participants achieving a 26 week job outcome by around one percentage point, </w:t>
      </w:r>
      <w:r w:rsidR="00E81090">
        <w:t xml:space="preserve">up </w:t>
      </w:r>
      <w:r w:rsidRPr="00507122">
        <w:t>from a base of around 5.7 per cent under the RJCP</w:t>
      </w:r>
      <w:r w:rsidR="00A84EA0">
        <w:t xml:space="preserve"> </w:t>
      </w:r>
      <w:r w:rsidR="003E41C3" w:rsidRPr="003E41C3">
        <w:rPr>
          <w:szCs w:val="24"/>
        </w:rPr>
        <w:t>(DPMC 2018c)</w:t>
      </w:r>
      <w:r>
        <w:t>.</w:t>
      </w:r>
    </w:p>
    <w:p w14:paraId="236A6C66" w14:textId="65DC4477" w:rsidR="009D0882" w:rsidRDefault="009D0882" w:rsidP="005F5A79">
      <w:pPr>
        <w:pStyle w:val="Heading3"/>
      </w:pPr>
      <w:r>
        <w:t>Indigenous Procurement Policy</w:t>
      </w:r>
    </w:p>
    <w:p w14:paraId="1DEE7FA1" w14:textId="3BE7D05C" w:rsidR="00952BCE" w:rsidRDefault="00952BCE" w:rsidP="00952BCE">
      <w:pPr>
        <w:pStyle w:val="BodyText"/>
      </w:pPr>
      <w:r>
        <w:t xml:space="preserve">The Indigenous Procurement Policy (IPP) </w:t>
      </w:r>
      <w:r w:rsidRPr="00952BCE">
        <w:t>was launched on 1</w:t>
      </w:r>
      <w:r w:rsidR="00442E24">
        <w:t> </w:t>
      </w:r>
      <w:r w:rsidRPr="00952BCE">
        <w:t xml:space="preserve">July 2015 </w:t>
      </w:r>
      <w:r>
        <w:t xml:space="preserve">and seeks to leverage the </w:t>
      </w:r>
      <w:r w:rsidR="00AF3C95">
        <w:t>Australian Government</w:t>
      </w:r>
      <w:r>
        <w:t xml:space="preserve">’s annual procurement spend to drive demand for </w:t>
      </w:r>
      <w:r w:rsidR="00AF3C95" w:rsidRPr="00D07478">
        <w:rPr>
          <w:rFonts w:eastAsiaTheme="majorEastAsia"/>
          <w:iCs/>
        </w:rPr>
        <w:t>Aboriginal and Torres Strait Islander</w:t>
      </w:r>
      <w:r>
        <w:t xml:space="preserve"> goods and services, </w:t>
      </w:r>
      <w:r w:rsidR="00AF3C95">
        <w:t xml:space="preserve">thereby </w:t>
      </w:r>
      <w:r>
        <w:t>stimulat</w:t>
      </w:r>
      <w:r w:rsidR="00AF3C95">
        <w:t>ing</w:t>
      </w:r>
      <w:r>
        <w:t xml:space="preserve"> Indigenous economic development and grow</w:t>
      </w:r>
      <w:r w:rsidR="00AF3C95">
        <w:t>ing</w:t>
      </w:r>
      <w:r>
        <w:t xml:space="preserve"> the Indigenous business sector.</w:t>
      </w:r>
    </w:p>
    <w:p w14:paraId="61A2FD42" w14:textId="592F51A3" w:rsidR="00952BCE" w:rsidRPr="00952BCE" w:rsidRDefault="00952BCE" w:rsidP="00952BCE">
      <w:pPr>
        <w:pStyle w:val="BodyText"/>
      </w:pPr>
      <w:r w:rsidRPr="00952BCE">
        <w:t>The IPP has three main elements:</w:t>
      </w:r>
    </w:p>
    <w:p w14:paraId="44DAA88A" w14:textId="5058EFDF" w:rsidR="00952BCE" w:rsidRDefault="00952BCE" w:rsidP="00952BCE">
      <w:pPr>
        <w:pStyle w:val="ListBullet"/>
      </w:pPr>
      <w:r>
        <w:lastRenderedPageBreak/>
        <w:t>a target number of contracts that need to be a</w:t>
      </w:r>
      <w:r w:rsidR="00030331">
        <w:t>warded to Indigenous businesses (3 per cent in 2018</w:t>
      </w:r>
      <w:r w:rsidR="00442E24">
        <w:noBreakHyphen/>
      </w:r>
      <w:r w:rsidR="00030331">
        <w:t>19)</w:t>
      </w:r>
    </w:p>
    <w:p w14:paraId="13808EA0" w14:textId="0C4F40B2" w:rsidR="00952BCE" w:rsidRDefault="00952BCE" w:rsidP="00952BCE">
      <w:pPr>
        <w:pStyle w:val="ListBullet"/>
      </w:pPr>
      <w:r>
        <w:t>a</w:t>
      </w:r>
      <w:r w:rsidR="00030331">
        <w:t xml:space="preserve"> mandatory set</w:t>
      </w:r>
      <w:r w:rsidR="00442E24">
        <w:noBreakHyphen/>
      </w:r>
      <w:r w:rsidR="00030331">
        <w:t xml:space="preserve">aside, </w:t>
      </w:r>
      <w:r w:rsidR="00030331" w:rsidRPr="00224130">
        <w:t>requiring Indigenous businesses to be approached first to quote on contracts delivered in remote areas and for all contracts valued between $80</w:t>
      </w:r>
      <w:r w:rsidR="00030331" w:rsidRPr="00224130">
        <w:rPr>
          <w:rFonts w:hint="eastAsia"/>
        </w:rPr>
        <w:t> </w:t>
      </w:r>
      <w:r w:rsidR="00030331" w:rsidRPr="00224130">
        <w:t xml:space="preserve">000 and </w:t>
      </w:r>
      <w:r w:rsidR="00030331">
        <w:t>$200 </w:t>
      </w:r>
      <w:r>
        <w:t>000</w:t>
      </w:r>
    </w:p>
    <w:p w14:paraId="45EC5775" w14:textId="7D452C51" w:rsidR="00952BCE" w:rsidRDefault="00952BCE" w:rsidP="00952BCE">
      <w:pPr>
        <w:pStyle w:val="ListBullet"/>
      </w:pPr>
      <w:proofErr w:type="gramStart"/>
      <w:r>
        <w:t>minimum</w:t>
      </w:r>
      <w:proofErr w:type="gramEnd"/>
      <w:r>
        <w:t xml:space="preserve"> Indigenous participation requirements in contracts valued at or above $7.5</w:t>
      </w:r>
      <w:r w:rsidR="00C83B1E">
        <w:t> </w:t>
      </w:r>
      <w:r>
        <w:t>m</w:t>
      </w:r>
      <w:r w:rsidR="00C83B1E">
        <w:t>illion</w:t>
      </w:r>
      <w:r>
        <w:t xml:space="preserve"> in </w:t>
      </w:r>
      <w:r w:rsidR="00030331">
        <w:t>designated</w:t>
      </w:r>
      <w:r>
        <w:t xml:space="preserve"> industries</w:t>
      </w:r>
      <w:r w:rsidR="00871CC5">
        <w:t xml:space="preserve"> (with the number of industries designated to be increased in 2020) </w:t>
      </w:r>
      <w:r w:rsidR="007D259D" w:rsidRPr="007D259D">
        <w:rPr>
          <w:szCs w:val="24"/>
        </w:rPr>
        <w:t>(DPMC 2019d, 2019a)</w:t>
      </w:r>
      <w:r>
        <w:t>.</w:t>
      </w:r>
    </w:p>
    <w:p w14:paraId="6225F95D" w14:textId="3A89165C" w:rsidR="009D0882" w:rsidRDefault="00952BCE" w:rsidP="009D0882">
      <w:pPr>
        <w:pStyle w:val="BodyText"/>
      </w:pPr>
      <w:r w:rsidRPr="001E0368">
        <w:t>From 1</w:t>
      </w:r>
      <w:r w:rsidR="00442E24">
        <w:t> </w:t>
      </w:r>
      <w:r w:rsidRPr="001E0368">
        <w:t xml:space="preserve">July 2019, a target based on the </w:t>
      </w:r>
      <w:r w:rsidRPr="00FB7ACB">
        <w:t>value</w:t>
      </w:r>
      <w:r w:rsidRPr="001E0368">
        <w:t xml:space="preserve"> of contracts awarded will be introduced. </w:t>
      </w:r>
      <w:r w:rsidR="001E0368" w:rsidRPr="001E0368">
        <w:t xml:space="preserve">This reflects concern that many contracts </w:t>
      </w:r>
      <w:r w:rsidR="001E0368" w:rsidRPr="00FB7ACB">
        <w:t>won by Indigenous businesses have been of low value. The change is designed to ensure Indigenous businesses win higher value contracts at a level closer to those of non</w:t>
      </w:r>
      <w:r w:rsidR="00442E24">
        <w:noBreakHyphen/>
      </w:r>
      <w:r w:rsidR="001E0368" w:rsidRPr="00FB7ACB">
        <w:t xml:space="preserve">Indigenous businesses. </w:t>
      </w:r>
      <w:r w:rsidRPr="001E0368">
        <w:t>The target will initially be set at one per cent for 2019</w:t>
      </w:r>
      <w:r w:rsidR="00442E24">
        <w:noBreakHyphen/>
      </w:r>
      <w:r w:rsidRPr="001E0368">
        <w:t>20 and will be increased by 0.25 per cent annually until it reaches three per cent in 2027</w:t>
      </w:r>
      <w:r w:rsidR="001E0368">
        <w:t xml:space="preserve"> </w:t>
      </w:r>
      <w:r w:rsidR="007D259D" w:rsidRPr="007D259D">
        <w:rPr>
          <w:szCs w:val="24"/>
        </w:rPr>
        <w:t>(DPMC 2019a)</w:t>
      </w:r>
      <w:r w:rsidRPr="001E0368">
        <w:t>.</w:t>
      </w:r>
    </w:p>
    <w:p w14:paraId="60E9C9C4" w14:textId="7CFCC456" w:rsidR="00952BCE" w:rsidRDefault="00952BCE" w:rsidP="00AF3C95">
      <w:pPr>
        <w:pStyle w:val="BodyText"/>
      </w:pPr>
      <w:r w:rsidRPr="00AF3C95">
        <w:t>I</w:t>
      </w:r>
      <w:r w:rsidR="00AF3C95">
        <w:t>n 2017</w:t>
      </w:r>
      <w:r w:rsidR="00442E24">
        <w:noBreakHyphen/>
      </w:r>
      <w:r w:rsidR="00AF3C95">
        <w:t xml:space="preserve">18, </w:t>
      </w:r>
      <w:r w:rsidRPr="00AF3C95">
        <w:t xml:space="preserve">the </w:t>
      </w:r>
      <w:r w:rsidR="00AF3C95" w:rsidRPr="00AF3C95">
        <w:t>Australian Government awarded 4</w:t>
      </w:r>
      <w:r w:rsidRPr="00AF3C95">
        <w:t>597 new contracts</w:t>
      </w:r>
      <w:r w:rsidR="00AF3C95" w:rsidRPr="00AF3C95">
        <w:t>, valued at $802 million,</w:t>
      </w:r>
      <w:r w:rsidRPr="00AF3C95">
        <w:t xml:space="preserve"> to 735 Indigenous businesses</w:t>
      </w:r>
      <w:r w:rsidR="00871CC5">
        <w:t xml:space="preserve"> </w:t>
      </w:r>
      <w:r w:rsidR="007D259D" w:rsidRPr="007D259D">
        <w:rPr>
          <w:szCs w:val="24"/>
        </w:rPr>
        <w:t>(DPMC 2019d)</w:t>
      </w:r>
      <w:r w:rsidRPr="00AF3C95">
        <w:t>.</w:t>
      </w:r>
    </w:p>
    <w:p w14:paraId="36655468" w14:textId="6B74AB67" w:rsidR="00480CF4" w:rsidRPr="00AF3C95" w:rsidRDefault="00480CF4" w:rsidP="00AF3C95">
      <w:pPr>
        <w:pStyle w:val="BodyText"/>
      </w:pPr>
      <w:r>
        <w:t xml:space="preserve">There have been concerns that </w:t>
      </w:r>
      <w:r w:rsidR="00A90B05">
        <w:t xml:space="preserve">businesses might have gamed the system by exaggerating </w:t>
      </w:r>
      <w:r w:rsidR="00806098">
        <w:t>Aboriginal and Torres Strait Islander</w:t>
      </w:r>
      <w:r w:rsidR="00A90B05">
        <w:t xml:space="preserve"> ownership levels (often known as ‘black cladding’). The Australian Government has allocated additional resources to confirm businesses, including joint ventures, are majority Indigenous</w:t>
      </w:r>
      <w:r w:rsidR="00442E24">
        <w:noBreakHyphen/>
      </w:r>
      <w:r w:rsidR="00A90B05">
        <w:t>owned, and required all joint ventures to register on the Indigenous Business Directory</w:t>
      </w:r>
      <w:r w:rsidR="00BE094E">
        <w:t xml:space="preserve"> </w:t>
      </w:r>
      <w:r w:rsidR="003E41C3" w:rsidRPr="003E41C3">
        <w:rPr>
          <w:szCs w:val="24"/>
        </w:rPr>
        <w:t>(Scullion 2018)</w:t>
      </w:r>
      <w:r w:rsidR="00A90B05">
        <w:t>.</w:t>
      </w:r>
    </w:p>
    <w:p w14:paraId="61D1C36B" w14:textId="5F421A27" w:rsidR="00535C70" w:rsidRPr="003C35B8" w:rsidRDefault="00535C70" w:rsidP="003C35B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535C70" w14:paraId="67E39561" w14:textId="77777777" w:rsidTr="00D63DEC">
        <w:trPr>
          <w:tblHeader/>
        </w:trPr>
        <w:tc>
          <w:tcPr>
            <w:tcW w:w="5000" w:type="pct"/>
            <w:tcBorders>
              <w:top w:val="single" w:sz="6" w:space="0" w:color="78A22F"/>
              <w:left w:val="nil"/>
              <w:bottom w:val="nil"/>
              <w:right w:val="nil"/>
            </w:tcBorders>
            <w:shd w:val="clear" w:color="auto" w:fill="auto"/>
          </w:tcPr>
          <w:p w14:paraId="4742C746" w14:textId="77777777" w:rsidR="00535C70" w:rsidRPr="00CE4C64" w:rsidRDefault="00535C70" w:rsidP="00535C70">
            <w:pPr>
              <w:pStyle w:val="InformationRequestTitle"/>
              <w:spacing w:before="120"/>
            </w:pPr>
            <w:r>
              <w:t>Question on government programs</w:t>
            </w:r>
          </w:p>
        </w:tc>
      </w:tr>
      <w:tr w:rsidR="00535C70" w:rsidRPr="00750BE2" w14:paraId="4987C0DB" w14:textId="77777777" w:rsidTr="00D63DEC">
        <w:tc>
          <w:tcPr>
            <w:tcW w:w="5000" w:type="pct"/>
            <w:tcBorders>
              <w:top w:val="nil"/>
              <w:left w:val="nil"/>
              <w:bottom w:val="nil"/>
              <w:right w:val="nil"/>
            </w:tcBorders>
            <w:shd w:val="clear" w:color="auto" w:fill="auto"/>
          </w:tcPr>
          <w:p w14:paraId="20E698FC" w14:textId="44BD0C5F" w:rsidR="00535C70" w:rsidRPr="006E7EE2" w:rsidRDefault="00535C70" w:rsidP="00904AFF">
            <w:pPr>
              <w:pStyle w:val="InformationRequest"/>
              <w:keepNext/>
            </w:pPr>
            <w:r>
              <w:t xml:space="preserve">What lessons </w:t>
            </w:r>
            <w:r w:rsidR="004E54AB">
              <w:t xml:space="preserve">from these and other </w:t>
            </w:r>
            <w:r>
              <w:t xml:space="preserve">major </w:t>
            </w:r>
            <w:r>
              <w:rPr>
                <w:rFonts w:eastAsiaTheme="majorEastAsia"/>
              </w:rPr>
              <w:t xml:space="preserve">Australian Government programs </w:t>
            </w:r>
            <w:r w:rsidR="00635A67">
              <w:rPr>
                <w:rFonts w:eastAsiaTheme="majorEastAsia"/>
              </w:rPr>
              <w:t>impacting</w:t>
            </w:r>
            <w:r w:rsidR="00076DE8">
              <w:rPr>
                <w:rFonts w:eastAsiaTheme="majorEastAsia"/>
              </w:rPr>
              <w:t xml:space="preserve"> </w:t>
            </w:r>
            <w:r w:rsidR="00635A67">
              <w:rPr>
                <w:rFonts w:eastAsiaTheme="majorEastAsia"/>
              </w:rPr>
              <w:t>on</w:t>
            </w:r>
            <w:r>
              <w:rPr>
                <w:rFonts w:eastAsiaTheme="majorEastAsia"/>
              </w:rPr>
              <w:t xml:space="preserve"> </w:t>
            </w:r>
            <w:r w:rsidRPr="00DC6254">
              <w:t xml:space="preserve">Aboriginal and Torres Strait Islander </w:t>
            </w:r>
            <w:r>
              <w:t xml:space="preserve">people would be useful in developing an </w:t>
            </w:r>
            <w:r w:rsidR="00794B5F">
              <w:t xml:space="preserve">Indigenous </w:t>
            </w:r>
            <w:r w:rsidR="00904AFF">
              <w:t>Evaluation Strategy</w:t>
            </w:r>
            <w:r w:rsidRPr="000D5EF5">
              <w:t>?</w:t>
            </w:r>
          </w:p>
        </w:tc>
      </w:tr>
      <w:tr w:rsidR="00535C70" w14:paraId="7684D88F" w14:textId="77777777" w:rsidTr="00D63DEC">
        <w:tc>
          <w:tcPr>
            <w:tcW w:w="5000" w:type="pct"/>
            <w:tcBorders>
              <w:top w:val="nil"/>
              <w:left w:val="nil"/>
              <w:bottom w:val="single" w:sz="6" w:space="0" w:color="78A22F"/>
              <w:right w:val="nil"/>
            </w:tcBorders>
            <w:shd w:val="clear" w:color="auto" w:fill="auto"/>
          </w:tcPr>
          <w:p w14:paraId="77FE6C12" w14:textId="77777777" w:rsidR="00535C70" w:rsidRDefault="00535C70" w:rsidP="00D63DEC">
            <w:pPr>
              <w:pStyle w:val="Space"/>
              <w:keepLines/>
            </w:pPr>
          </w:p>
        </w:tc>
      </w:tr>
      <w:tr w:rsidR="00535C70" w:rsidRPr="000863A5" w14:paraId="5CD0B65D" w14:textId="77777777" w:rsidTr="00D63DEC">
        <w:tc>
          <w:tcPr>
            <w:tcW w:w="5000" w:type="pct"/>
            <w:tcBorders>
              <w:top w:val="single" w:sz="6" w:space="0" w:color="78A22F"/>
              <w:left w:val="nil"/>
              <w:bottom w:val="nil"/>
              <w:right w:val="nil"/>
            </w:tcBorders>
          </w:tcPr>
          <w:p w14:paraId="6174E70D" w14:textId="13A62C45" w:rsidR="00535C70" w:rsidRPr="00626D32" w:rsidRDefault="00535C70" w:rsidP="00D63DEC">
            <w:pPr>
              <w:pStyle w:val="BoxSpaceBelow"/>
              <w:keepLines/>
            </w:pPr>
          </w:p>
        </w:tc>
      </w:tr>
    </w:tbl>
    <w:p w14:paraId="4DF0E30E" w14:textId="6CEBD2E7" w:rsidR="000C46AE" w:rsidRDefault="000C46AE" w:rsidP="005F5A79">
      <w:pPr>
        <w:pStyle w:val="Heading3"/>
        <w:spacing w:before="360"/>
      </w:pPr>
      <w:bookmarkStart w:id="60" w:name="_Toc10709998"/>
      <w:bookmarkStart w:id="61" w:name="_Toc10734422"/>
      <w:bookmarkStart w:id="62" w:name="_Toc10735494"/>
      <w:bookmarkStart w:id="63" w:name="_Toc10794223"/>
      <w:bookmarkStart w:id="64" w:name="_Toc10795558"/>
      <w:bookmarkStart w:id="65" w:name="_Toc10795703"/>
      <w:bookmarkStart w:id="66" w:name="_Toc10802390"/>
      <w:bookmarkStart w:id="67" w:name="_Toc10808036"/>
      <w:bookmarkStart w:id="68" w:name="_Toc10808777"/>
      <w:bookmarkStart w:id="69" w:name="_Toc12272478"/>
      <w:r>
        <w:lastRenderedPageBreak/>
        <w:t>Population characteristics</w:t>
      </w:r>
      <w:bookmarkEnd w:id="60"/>
      <w:bookmarkEnd w:id="61"/>
      <w:bookmarkEnd w:id="62"/>
      <w:bookmarkEnd w:id="63"/>
      <w:bookmarkEnd w:id="64"/>
      <w:bookmarkEnd w:id="65"/>
      <w:bookmarkEnd w:id="66"/>
      <w:bookmarkEnd w:id="67"/>
      <w:bookmarkEnd w:id="68"/>
      <w:bookmarkEnd w:id="69"/>
    </w:p>
    <w:p w14:paraId="2D435EB0" w14:textId="7E716684" w:rsidR="000C46AE" w:rsidRDefault="000C46AE" w:rsidP="00D96622">
      <w:pPr>
        <w:pStyle w:val="BodyText"/>
      </w:pPr>
      <w:r>
        <w:t>There were an estimated 798 400 Aboriginal and Torres Strait Islander people in Australia at 30</w:t>
      </w:r>
      <w:r w:rsidR="00442E24">
        <w:t> </w:t>
      </w:r>
      <w:r>
        <w:t>June 2016, representing 3.3 per cent of the total Australian population. This proportion varied across jurisdictions, from 0.9 per cent in Victoria to 30.3 per cent in the Northern Territory</w:t>
      </w:r>
      <w:r w:rsidR="00A84EA0">
        <w:t xml:space="preserve"> </w:t>
      </w:r>
      <w:r w:rsidR="00551497">
        <w:t>(</w:t>
      </w:r>
      <w:r w:rsidR="00E109F5">
        <w:t>table 1</w:t>
      </w:r>
      <w:r w:rsidR="00551497">
        <w:t xml:space="preserve">) </w:t>
      </w:r>
      <w:r w:rsidR="003E41C3" w:rsidRPr="003E41C3">
        <w:rPr>
          <w:szCs w:val="24"/>
        </w:rPr>
        <w:t>(SCRGSP 2019)</w:t>
      </w:r>
      <w:r w:rsidR="007A375E">
        <w:t>.</w:t>
      </w:r>
    </w:p>
    <w:p w14:paraId="5E8E4E99" w14:textId="4BFBE4D1" w:rsidR="00561784" w:rsidRDefault="00561784" w:rsidP="00D96622">
      <w:pPr>
        <w:pStyle w:val="BodyText"/>
      </w:pPr>
      <w:r>
        <w:t xml:space="preserve">The Aboriginal and Torres Strait Islander population is estimated to live overwhelmingly (81.3 per cent) in major urban or regional cities, with only 18.7 per cent of the Aboriginal and Torres Strait Islander population living in remote areas (although this proportion is </w:t>
      </w:r>
      <w:r w:rsidDel="00DE48D4">
        <w:t>76</w:t>
      </w:r>
      <w:r>
        <w:t>.6 per cent in the Northern Territory)</w:t>
      </w:r>
      <w:r w:rsidR="001325BB">
        <w:t xml:space="preserve"> (figure 2)</w:t>
      </w:r>
      <w:r>
        <w:t>.</w:t>
      </w:r>
    </w:p>
    <w:p w14:paraId="0C944E2C" w14:textId="0AFAF7E2" w:rsidR="005656FB" w:rsidRDefault="005656FB" w:rsidP="00CB706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656FB" w14:paraId="3DDDF2D6" w14:textId="77777777" w:rsidTr="00CB706D">
        <w:trPr>
          <w:tblHeader/>
        </w:trPr>
        <w:tc>
          <w:tcPr>
            <w:tcW w:w="5000" w:type="pct"/>
            <w:tcBorders>
              <w:top w:val="single" w:sz="6" w:space="0" w:color="78A22F"/>
              <w:left w:val="nil"/>
              <w:bottom w:val="nil"/>
              <w:right w:val="nil"/>
            </w:tcBorders>
            <w:shd w:val="clear" w:color="auto" w:fill="auto"/>
          </w:tcPr>
          <w:p w14:paraId="3087A55C" w14:textId="4CCA937F" w:rsidR="005656FB" w:rsidRPr="00AC3E15" w:rsidRDefault="005656FB" w:rsidP="00CB706D">
            <w:pPr>
              <w:pStyle w:val="TableTitle"/>
              <w:rPr>
                <w:spacing w:val="-8"/>
              </w:rPr>
            </w:pPr>
            <w:r>
              <w:rPr>
                <w:b w:val="0"/>
              </w:rPr>
              <w:t xml:space="preserve">Table </w:t>
            </w:r>
            <w:r w:rsidR="00E109F5">
              <w:rPr>
                <w:b w:val="0"/>
                <w:noProof/>
              </w:rPr>
              <w:t>1</w:t>
            </w:r>
            <w:r>
              <w:tab/>
            </w:r>
            <w:r w:rsidRPr="00AC3E15">
              <w:rPr>
                <w:spacing w:val="-8"/>
              </w:rPr>
              <w:t>Aboriginal and Torres Strait Islander people by state and territory</w:t>
            </w:r>
            <w:r w:rsidR="0048454D" w:rsidRPr="00AC3E15">
              <w:rPr>
                <w:rStyle w:val="NoteLabel"/>
                <w:b/>
                <w:spacing w:val="-8"/>
              </w:rPr>
              <w:t>a</w:t>
            </w:r>
          </w:p>
          <w:p w14:paraId="5EDF76D0" w14:textId="77D6D3CD" w:rsidR="005656FB" w:rsidRPr="00784A05" w:rsidRDefault="005656FB" w:rsidP="00CB706D">
            <w:pPr>
              <w:pStyle w:val="Subtitle"/>
            </w:pPr>
            <w:r>
              <w:t>As at 30</w:t>
            </w:r>
            <w:r w:rsidR="00442E24">
              <w:t> </w:t>
            </w:r>
            <w:r>
              <w:t>June 2016</w:t>
            </w:r>
          </w:p>
        </w:tc>
      </w:tr>
      <w:tr w:rsidR="005656FB" w14:paraId="74270547" w14:textId="77777777" w:rsidTr="00CB706D">
        <w:tc>
          <w:tcPr>
            <w:tcW w:w="5000" w:type="pct"/>
            <w:tcBorders>
              <w:top w:val="nil"/>
              <w:left w:val="nil"/>
              <w:bottom w:val="nil"/>
              <w:right w:val="nil"/>
            </w:tcBorders>
            <w:shd w:val="clear" w:color="auto" w:fill="auto"/>
          </w:tcPr>
          <w:tbl>
            <w:tblPr>
              <w:tblW w:w="8647" w:type="dxa"/>
              <w:tblCellMar>
                <w:top w:w="28" w:type="dxa"/>
                <w:left w:w="0" w:type="dxa"/>
                <w:right w:w="0" w:type="dxa"/>
              </w:tblCellMar>
              <w:tblLook w:val="0000" w:firstRow="0" w:lastRow="0" w:firstColumn="0" w:lastColumn="0" w:noHBand="0" w:noVBand="0"/>
            </w:tblPr>
            <w:tblGrid>
              <w:gridCol w:w="2129"/>
              <w:gridCol w:w="3116"/>
              <w:gridCol w:w="3402"/>
            </w:tblGrid>
            <w:tr w:rsidR="005656FB" w14:paraId="06C6B4CE" w14:textId="77777777" w:rsidTr="001C6856">
              <w:tc>
                <w:tcPr>
                  <w:tcW w:w="1231" w:type="pct"/>
                  <w:tcBorders>
                    <w:top w:val="single" w:sz="6" w:space="0" w:color="BFBFBF"/>
                    <w:bottom w:val="single" w:sz="6" w:space="0" w:color="BFBFBF"/>
                  </w:tcBorders>
                </w:tcPr>
                <w:p w14:paraId="06B9DD74" w14:textId="77777777" w:rsidR="005656FB" w:rsidRDefault="005656FB" w:rsidP="00CB706D">
                  <w:pPr>
                    <w:pStyle w:val="TableUnitsRow"/>
                    <w:jc w:val="left"/>
                  </w:pPr>
                </w:p>
              </w:tc>
              <w:tc>
                <w:tcPr>
                  <w:tcW w:w="1802" w:type="pct"/>
                  <w:tcBorders>
                    <w:top w:val="single" w:sz="6" w:space="0" w:color="BFBFBF"/>
                    <w:bottom w:val="single" w:sz="6" w:space="0" w:color="BFBFBF"/>
                  </w:tcBorders>
                </w:tcPr>
                <w:p w14:paraId="23715939" w14:textId="77777777" w:rsidR="005656FB" w:rsidRPr="00224130" w:rsidRDefault="005656FB" w:rsidP="00CB706D">
                  <w:pPr>
                    <w:pStyle w:val="TableUnitsRow"/>
                    <w:rPr>
                      <w:i/>
                    </w:rPr>
                  </w:pPr>
                  <w:r w:rsidRPr="00224130">
                    <w:rPr>
                      <w:i/>
                    </w:rPr>
                    <w:t>Number</w:t>
                  </w:r>
                </w:p>
              </w:tc>
              <w:tc>
                <w:tcPr>
                  <w:tcW w:w="1967" w:type="pct"/>
                  <w:tcBorders>
                    <w:top w:val="single" w:sz="6" w:space="0" w:color="BFBFBF"/>
                    <w:bottom w:val="single" w:sz="6" w:space="0" w:color="BFBFBF"/>
                  </w:tcBorders>
                </w:tcPr>
                <w:p w14:paraId="4E78AE62" w14:textId="023A326B" w:rsidR="005656FB" w:rsidRPr="00224130" w:rsidRDefault="0048454D" w:rsidP="0048454D">
                  <w:pPr>
                    <w:pStyle w:val="TableUnitsRow"/>
                    <w:ind w:right="28"/>
                    <w:rPr>
                      <w:i/>
                    </w:rPr>
                  </w:pPr>
                  <w:r w:rsidRPr="00224130">
                    <w:rPr>
                      <w:i/>
                    </w:rPr>
                    <w:t>Per cent a</w:t>
                  </w:r>
                  <w:r w:rsidR="005656FB" w:rsidRPr="00224130">
                    <w:rPr>
                      <w:i/>
                    </w:rPr>
                    <w:t xml:space="preserve">s proportion of </w:t>
                  </w:r>
                  <w:r w:rsidR="001C6856">
                    <w:rPr>
                      <w:i/>
                    </w:rPr>
                    <w:br/>
                  </w:r>
                  <w:r w:rsidR="005656FB" w:rsidRPr="00224130">
                    <w:rPr>
                      <w:i/>
                    </w:rPr>
                    <w:t>State or Territory</w:t>
                  </w:r>
                </w:p>
              </w:tc>
            </w:tr>
            <w:tr w:rsidR="005656FB" w14:paraId="31059A8E" w14:textId="77777777" w:rsidTr="001C6856">
              <w:tc>
                <w:tcPr>
                  <w:tcW w:w="1231" w:type="pct"/>
                  <w:tcBorders>
                    <w:top w:val="single" w:sz="6" w:space="0" w:color="BFBFBF"/>
                  </w:tcBorders>
                </w:tcPr>
                <w:p w14:paraId="1012F617" w14:textId="77777777" w:rsidR="005656FB" w:rsidRDefault="005656FB" w:rsidP="001C6856">
                  <w:pPr>
                    <w:pStyle w:val="TableBodyText"/>
                    <w:spacing w:before="80"/>
                    <w:jc w:val="left"/>
                  </w:pPr>
                  <w:r>
                    <w:t>New South Wales</w:t>
                  </w:r>
                </w:p>
              </w:tc>
              <w:tc>
                <w:tcPr>
                  <w:tcW w:w="1802" w:type="pct"/>
                  <w:tcBorders>
                    <w:top w:val="single" w:sz="6" w:space="0" w:color="BFBFBF"/>
                  </w:tcBorders>
                </w:tcPr>
                <w:p w14:paraId="42778D1F" w14:textId="77777777" w:rsidR="005656FB" w:rsidRDefault="005656FB" w:rsidP="001C6856">
                  <w:pPr>
                    <w:pStyle w:val="TableBodyText"/>
                    <w:spacing w:before="80"/>
                  </w:pPr>
                  <w:r>
                    <w:t>265 685</w:t>
                  </w:r>
                </w:p>
              </w:tc>
              <w:tc>
                <w:tcPr>
                  <w:tcW w:w="1967" w:type="pct"/>
                  <w:tcBorders>
                    <w:top w:val="single" w:sz="6" w:space="0" w:color="BFBFBF"/>
                  </w:tcBorders>
                </w:tcPr>
                <w:p w14:paraId="7F6DC403" w14:textId="77777777" w:rsidR="005656FB" w:rsidRDefault="0048454D" w:rsidP="001C6856">
                  <w:pPr>
                    <w:pStyle w:val="TableBodyText"/>
                    <w:spacing w:before="80"/>
                    <w:ind w:right="28"/>
                  </w:pPr>
                  <w:r>
                    <w:t>3.44</w:t>
                  </w:r>
                </w:p>
              </w:tc>
            </w:tr>
            <w:tr w:rsidR="005656FB" w14:paraId="1F9E5B67" w14:textId="77777777" w:rsidTr="00E55256">
              <w:tc>
                <w:tcPr>
                  <w:tcW w:w="1231" w:type="pct"/>
                </w:tcPr>
                <w:p w14:paraId="3F070FFB" w14:textId="77777777" w:rsidR="005656FB" w:rsidRDefault="005656FB" w:rsidP="00CB706D">
                  <w:pPr>
                    <w:pStyle w:val="TableBodyText"/>
                    <w:jc w:val="left"/>
                  </w:pPr>
                  <w:r>
                    <w:t>Victoria</w:t>
                  </w:r>
                </w:p>
              </w:tc>
              <w:tc>
                <w:tcPr>
                  <w:tcW w:w="1802" w:type="pct"/>
                </w:tcPr>
                <w:p w14:paraId="0CFCD439" w14:textId="77777777" w:rsidR="005656FB" w:rsidRDefault="005656FB" w:rsidP="00CB706D">
                  <w:pPr>
                    <w:pStyle w:val="TableBodyText"/>
                  </w:pPr>
                  <w:r>
                    <w:t>57 767</w:t>
                  </w:r>
                </w:p>
              </w:tc>
              <w:tc>
                <w:tcPr>
                  <w:tcW w:w="1967" w:type="pct"/>
                </w:tcPr>
                <w:p w14:paraId="5A663F7C" w14:textId="77777777" w:rsidR="005656FB" w:rsidRDefault="0048454D" w:rsidP="00CB706D">
                  <w:pPr>
                    <w:pStyle w:val="TableBodyText"/>
                    <w:ind w:right="28"/>
                  </w:pPr>
                  <w:r>
                    <w:t>0.94</w:t>
                  </w:r>
                </w:p>
              </w:tc>
            </w:tr>
            <w:tr w:rsidR="005656FB" w14:paraId="633255E2" w14:textId="77777777" w:rsidTr="00E55256">
              <w:tc>
                <w:tcPr>
                  <w:tcW w:w="1231" w:type="pct"/>
                </w:tcPr>
                <w:p w14:paraId="192552B7" w14:textId="77777777" w:rsidR="005656FB" w:rsidRDefault="005656FB" w:rsidP="00CB706D">
                  <w:pPr>
                    <w:pStyle w:val="TableBodyText"/>
                    <w:jc w:val="left"/>
                  </w:pPr>
                  <w:r>
                    <w:t>Queensland</w:t>
                  </w:r>
                </w:p>
              </w:tc>
              <w:tc>
                <w:tcPr>
                  <w:tcW w:w="1802" w:type="pct"/>
                </w:tcPr>
                <w:p w14:paraId="47E2F738" w14:textId="77777777" w:rsidR="005656FB" w:rsidRDefault="005656FB" w:rsidP="00CB706D">
                  <w:pPr>
                    <w:pStyle w:val="TableBodyText"/>
                  </w:pPr>
                  <w:r>
                    <w:t>221 276</w:t>
                  </w:r>
                </w:p>
              </w:tc>
              <w:tc>
                <w:tcPr>
                  <w:tcW w:w="1967" w:type="pct"/>
                </w:tcPr>
                <w:p w14:paraId="6932F6C8" w14:textId="77777777" w:rsidR="005656FB" w:rsidRDefault="0048454D" w:rsidP="00CB706D">
                  <w:pPr>
                    <w:pStyle w:val="TableBodyText"/>
                    <w:ind w:right="28"/>
                  </w:pPr>
                  <w:r>
                    <w:t>4.57</w:t>
                  </w:r>
                </w:p>
              </w:tc>
            </w:tr>
            <w:tr w:rsidR="005656FB" w14:paraId="70B4CC82" w14:textId="77777777" w:rsidTr="00E55256">
              <w:tc>
                <w:tcPr>
                  <w:tcW w:w="1231" w:type="pct"/>
                </w:tcPr>
                <w:p w14:paraId="1D15A947" w14:textId="77777777" w:rsidR="005656FB" w:rsidRDefault="005656FB" w:rsidP="00CB706D">
                  <w:pPr>
                    <w:pStyle w:val="TableBodyText"/>
                    <w:jc w:val="left"/>
                  </w:pPr>
                  <w:r>
                    <w:t>Western Australia</w:t>
                  </w:r>
                </w:p>
              </w:tc>
              <w:tc>
                <w:tcPr>
                  <w:tcW w:w="1802" w:type="pct"/>
                </w:tcPr>
                <w:p w14:paraId="630BCB07" w14:textId="77777777" w:rsidR="005656FB" w:rsidRDefault="005656FB" w:rsidP="00CB706D">
                  <w:pPr>
                    <w:pStyle w:val="TableBodyText"/>
                  </w:pPr>
                  <w:r>
                    <w:t>100 512</w:t>
                  </w:r>
                </w:p>
              </w:tc>
              <w:tc>
                <w:tcPr>
                  <w:tcW w:w="1967" w:type="pct"/>
                </w:tcPr>
                <w:p w14:paraId="5678BB43" w14:textId="77777777" w:rsidR="005656FB" w:rsidRDefault="0048454D" w:rsidP="00CB706D">
                  <w:pPr>
                    <w:pStyle w:val="TableBodyText"/>
                    <w:ind w:right="28"/>
                  </w:pPr>
                  <w:r>
                    <w:t>3.93</w:t>
                  </w:r>
                </w:p>
              </w:tc>
            </w:tr>
            <w:tr w:rsidR="005656FB" w14:paraId="5207C34D" w14:textId="77777777" w:rsidTr="00E55256">
              <w:tc>
                <w:tcPr>
                  <w:tcW w:w="1231" w:type="pct"/>
                </w:tcPr>
                <w:p w14:paraId="631688E4" w14:textId="77777777" w:rsidR="005656FB" w:rsidRDefault="005656FB" w:rsidP="00CB706D">
                  <w:pPr>
                    <w:pStyle w:val="TableBodyText"/>
                    <w:jc w:val="left"/>
                  </w:pPr>
                  <w:r>
                    <w:t>South Australia</w:t>
                  </w:r>
                </w:p>
              </w:tc>
              <w:tc>
                <w:tcPr>
                  <w:tcW w:w="1802" w:type="pct"/>
                </w:tcPr>
                <w:p w14:paraId="728E81CB" w14:textId="77777777" w:rsidR="005656FB" w:rsidRDefault="005656FB" w:rsidP="00CB706D">
                  <w:pPr>
                    <w:pStyle w:val="TableBodyText"/>
                  </w:pPr>
                  <w:r>
                    <w:t>42 265</w:t>
                  </w:r>
                </w:p>
              </w:tc>
              <w:tc>
                <w:tcPr>
                  <w:tcW w:w="1967" w:type="pct"/>
                </w:tcPr>
                <w:p w14:paraId="60164952" w14:textId="77777777" w:rsidR="005656FB" w:rsidRDefault="0048454D" w:rsidP="00CB706D">
                  <w:pPr>
                    <w:pStyle w:val="TableBodyText"/>
                    <w:ind w:right="28"/>
                  </w:pPr>
                  <w:r>
                    <w:t>2.47</w:t>
                  </w:r>
                </w:p>
              </w:tc>
            </w:tr>
            <w:tr w:rsidR="005656FB" w14:paraId="61B94080" w14:textId="77777777" w:rsidTr="005656FB">
              <w:tc>
                <w:tcPr>
                  <w:tcW w:w="1231" w:type="pct"/>
                </w:tcPr>
                <w:p w14:paraId="0EDC4C20" w14:textId="77777777" w:rsidR="005656FB" w:rsidRDefault="005656FB" w:rsidP="00CB706D">
                  <w:pPr>
                    <w:pStyle w:val="TableBodyText"/>
                    <w:jc w:val="left"/>
                  </w:pPr>
                  <w:r>
                    <w:t>Tasmania</w:t>
                  </w:r>
                </w:p>
              </w:tc>
              <w:tc>
                <w:tcPr>
                  <w:tcW w:w="1802" w:type="pct"/>
                </w:tcPr>
                <w:p w14:paraId="3461115C" w14:textId="77777777" w:rsidR="005656FB" w:rsidRDefault="005656FB" w:rsidP="00CB706D">
                  <w:pPr>
                    <w:pStyle w:val="TableBodyText"/>
                  </w:pPr>
                  <w:r>
                    <w:t>28 537</w:t>
                  </w:r>
                </w:p>
              </w:tc>
              <w:tc>
                <w:tcPr>
                  <w:tcW w:w="1967" w:type="pct"/>
                </w:tcPr>
                <w:p w14:paraId="0AE3D6EF" w14:textId="77777777" w:rsidR="005656FB" w:rsidRDefault="0048454D" w:rsidP="00CB706D">
                  <w:pPr>
                    <w:pStyle w:val="TableBodyText"/>
                    <w:ind w:right="28"/>
                  </w:pPr>
                  <w:r>
                    <w:t>5.51</w:t>
                  </w:r>
                </w:p>
              </w:tc>
            </w:tr>
            <w:tr w:rsidR="005656FB" w14:paraId="7B4C39B4" w14:textId="77777777" w:rsidTr="005656FB">
              <w:tc>
                <w:tcPr>
                  <w:tcW w:w="1231" w:type="pct"/>
                </w:tcPr>
                <w:p w14:paraId="1AEC58C0" w14:textId="77777777" w:rsidR="005656FB" w:rsidRDefault="005656FB" w:rsidP="00CB706D">
                  <w:pPr>
                    <w:pStyle w:val="TableBodyText"/>
                    <w:jc w:val="left"/>
                  </w:pPr>
                  <w:r>
                    <w:t>ACT</w:t>
                  </w:r>
                </w:p>
              </w:tc>
              <w:tc>
                <w:tcPr>
                  <w:tcW w:w="1802" w:type="pct"/>
                </w:tcPr>
                <w:p w14:paraId="781586F4" w14:textId="77777777" w:rsidR="005656FB" w:rsidRDefault="005656FB" w:rsidP="00CB706D">
                  <w:pPr>
                    <w:pStyle w:val="TableBodyText"/>
                  </w:pPr>
                  <w:r>
                    <w:t>7 513</w:t>
                  </w:r>
                </w:p>
              </w:tc>
              <w:tc>
                <w:tcPr>
                  <w:tcW w:w="1967" w:type="pct"/>
                </w:tcPr>
                <w:p w14:paraId="6CE72A3C" w14:textId="77777777" w:rsidR="005656FB" w:rsidRDefault="0048454D" w:rsidP="00CB706D">
                  <w:pPr>
                    <w:pStyle w:val="TableBodyText"/>
                    <w:ind w:right="28"/>
                  </w:pPr>
                  <w:r>
                    <w:t>1.86</w:t>
                  </w:r>
                </w:p>
              </w:tc>
            </w:tr>
            <w:tr w:rsidR="005656FB" w14:paraId="3C209DCC" w14:textId="77777777" w:rsidTr="005656FB">
              <w:tc>
                <w:tcPr>
                  <w:tcW w:w="1231" w:type="pct"/>
                </w:tcPr>
                <w:p w14:paraId="364E9C9C" w14:textId="77777777" w:rsidR="005656FB" w:rsidRDefault="005656FB" w:rsidP="00CB706D">
                  <w:pPr>
                    <w:pStyle w:val="TableBodyText"/>
                    <w:jc w:val="left"/>
                  </w:pPr>
                  <w:r>
                    <w:t>NT</w:t>
                  </w:r>
                </w:p>
              </w:tc>
              <w:tc>
                <w:tcPr>
                  <w:tcW w:w="1802" w:type="pct"/>
                </w:tcPr>
                <w:p w14:paraId="00DAEE02" w14:textId="77777777" w:rsidR="005656FB" w:rsidRDefault="005656FB" w:rsidP="00CB706D">
                  <w:pPr>
                    <w:pStyle w:val="TableBodyText"/>
                  </w:pPr>
                  <w:r>
                    <w:t>74 546</w:t>
                  </w:r>
                </w:p>
              </w:tc>
              <w:tc>
                <w:tcPr>
                  <w:tcW w:w="1967" w:type="pct"/>
                </w:tcPr>
                <w:p w14:paraId="69E97454" w14:textId="77777777" w:rsidR="005656FB" w:rsidRDefault="0048454D" w:rsidP="00CB706D">
                  <w:pPr>
                    <w:pStyle w:val="TableBodyText"/>
                    <w:ind w:right="28"/>
                  </w:pPr>
                  <w:r>
                    <w:t>30.34</w:t>
                  </w:r>
                </w:p>
              </w:tc>
            </w:tr>
            <w:tr w:rsidR="005656FB" w14:paraId="4F43F982" w14:textId="77777777" w:rsidTr="00E55256">
              <w:tc>
                <w:tcPr>
                  <w:tcW w:w="1231" w:type="pct"/>
                  <w:tcBorders>
                    <w:bottom w:val="single" w:sz="6" w:space="0" w:color="BFBFBF"/>
                  </w:tcBorders>
                  <w:shd w:val="clear" w:color="auto" w:fill="auto"/>
                </w:tcPr>
                <w:p w14:paraId="4A5273E6" w14:textId="77777777" w:rsidR="005656FB" w:rsidRPr="00224130" w:rsidRDefault="005656FB" w:rsidP="00CB706D">
                  <w:pPr>
                    <w:pStyle w:val="TableBodyText"/>
                    <w:jc w:val="left"/>
                    <w:rPr>
                      <w:b/>
                    </w:rPr>
                  </w:pPr>
                  <w:r w:rsidRPr="00224130">
                    <w:rPr>
                      <w:b/>
                    </w:rPr>
                    <w:t>Australia</w:t>
                  </w:r>
                </w:p>
              </w:tc>
              <w:tc>
                <w:tcPr>
                  <w:tcW w:w="1802" w:type="pct"/>
                  <w:tcBorders>
                    <w:bottom w:val="single" w:sz="6" w:space="0" w:color="BFBFBF"/>
                  </w:tcBorders>
                  <w:shd w:val="clear" w:color="auto" w:fill="auto"/>
                </w:tcPr>
                <w:p w14:paraId="583521C2" w14:textId="77777777" w:rsidR="005656FB" w:rsidRPr="00224130" w:rsidRDefault="005656FB" w:rsidP="00CB706D">
                  <w:pPr>
                    <w:pStyle w:val="TableBodyText"/>
                    <w:rPr>
                      <w:b/>
                    </w:rPr>
                  </w:pPr>
                  <w:r w:rsidRPr="00224130">
                    <w:rPr>
                      <w:b/>
                    </w:rPr>
                    <w:t>789 365</w:t>
                  </w:r>
                </w:p>
              </w:tc>
              <w:tc>
                <w:tcPr>
                  <w:tcW w:w="1967" w:type="pct"/>
                  <w:tcBorders>
                    <w:bottom w:val="single" w:sz="6" w:space="0" w:color="BFBFBF"/>
                  </w:tcBorders>
                  <w:shd w:val="clear" w:color="auto" w:fill="auto"/>
                </w:tcPr>
                <w:p w14:paraId="095CFC34" w14:textId="77777777" w:rsidR="005656FB" w:rsidRPr="00224130" w:rsidRDefault="0048454D" w:rsidP="00CB706D">
                  <w:pPr>
                    <w:pStyle w:val="TableBodyText"/>
                    <w:ind w:right="28"/>
                    <w:rPr>
                      <w:b/>
                    </w:rPr>
                  </w:pPr>
                  <w:r w:rsidRPr="00224130">
                    <w:rPr>
                      <w:b/>
                    </w:rPr>
                    <w:t>3.30</w:t>
                  </w:r>
                </w:p>
              </w:tc>
            </w:tr>
          </w:tbl>
          <w:p w14:paraId="7DC7C6EA" w14:textId="77777777" w:rsidR="005656FB" w:rsidRDefault="005656FB" w:rsidP="00CB706D">
            <w:pPr>
              <w:pStyle w:val="Box"/>
            </w:pPr>
          </w:p>
        </w:tc>
      </w:tr>
      <w:tr w:rsidR="005656FB" w14:paraId="2E6F4D7E" w14:textId="77777777" w:rsidTr="00CB706D">
        <w:tc>
          <w:tcPr>
            <w:tcW w:w="5000" w:type="pct"/>
            <w:tcBorders>
              <w:top w:val="nil"/>
              <w:left w:val="nil"/>
              <w:bottom w:val="nil"/>
              <w:right w:val="nil"/>
            </w:tcBorders>
            <w:shd w:val="clear" w:color="auto" w:fill="auto"/>
          </w:tcPr>
          <w:p w14:paraId="180261D1" w14:textId="77777777" w:rsidR="005656FB" w:rsidRDefault="005656FB" w:rsidP="002F4FFC">
            <w:pPr>
              <w:pStyle w:val="Note"/>
              <w:rPr>
                <w:i/>
              </w:rPr>
            </w:pPr>
            <w:proofErr w:type="gramStart"/>
            <w:r w:rsidRPr="008E77FE">
              <w:rPr>
                <w:rStyle w:val="NoteLabel"/>
              </w:rPr>
              <w:t>a</w:t>
            </w:r>
            <w:proofErr w:type="gramEnd"/>
            <w:r>
              <w:t xml:space="preserve"> </w:t>
            </w:r>
            <w:r w:rsidR="0048454D" w:rsidRPr="0048454D">
              <w:t xml:space="preserve">Projections data for Aboriginal and Torres Strait Islander population and Estimated Resident Population for 2016 </w:t>
            </w:r>
            <w:r w:rsidR="00CB706D">
              <w:t xml:space="preserve">(used to calculate proportions) </w:t>
            </w:r>
            <w:r w:rsidR="0048454D" w:rsidRPr="0048454D">
              <w:t xml:space="preserve">are not comparable as they are sourced from different </w:t>
            </w:r>
            <w:r w:rsidR="00CB706D">
              <w:t>d</w:t>
            </w:r>
            <w:r w:rsidR="0048454D" w:rsidRPr="0048454D">
              <w:t>ata collections.</w:t>
            </w:r>
          </w:p>
        </w:tc>
      </w:tr>
      <w:tr w:rsidR="005656FB" w:rsidRPr="001325BB" w14:paraId="3DC3F290" w14:textId="77777777" w:rsidTr="00CB706D">
        <w:tc>
          <w:tcPr>
            <w:tcW w:w="5000" w:type="pct"/>
            <w:tcBorders>
              <w:top w:val="nil"/>
              <w:left w:val="nil"/>
              <w:bottom w:val="nil"/>
              <w:right w:val="nil"/>
            </w:tcBorders>
            <w:shd w:val="clear" w:color="auto" w:fill="auto"/>
          </w:tcPr>
          <w:p w14:paraId="7EFCA7F2" w14:textId="1AE2BA10" w:rsidR="005656FB" w:rsidRPr="001325BB" w:rsidRDefault="0048454D" w:rsidP="003E41C3">
            <w:pPr>
              <w:pStyle w:val="Subtitle"/>
              <w:keepNext w:val="0"/>
              <w:spacing w:before="80" w:after="0" w:line="220" w:lineRule="exact"/>
              <w:ind w:left="0"/>
              <w:jc w:val="both"/>
              <w:rPr>
                <w:sz w:val="18"/>
                <w:szCs w:val="18"/>
              </w:rPr>
            </w:pPr>
            <w:r w:rsidRPr="001325BB">
              <w:rPr>
                <w:i/>
                <w:sz w:val="18"/>
                <w:szCs w:val="18"/>
              </w:rPr>
              <w:t>Source</w:t>
            </w:r>
            <w:r w:rsidR="005656FB" w:rsidRPr="001325BB">
              <w:rPr>
                <w:sz w:val="18"/>
                <w:szCs w:val="18"/>
              </w:rPr>
              <w:t xml:space="preserve">: </w:t>
            </w:r>
            <w:r w:rsidR="002809F0" w:rsidRPr="001325BB">
              <w:rPr>
                <w:sz w:val="18"/>
                <w:szCs w:val="18"/>
              </w:rPr>
              <w:t xml:space="preserve">SCRGSP </w:t>
            </w:r>
            <w:r w:rsidR="002809F0" w:rsidRPr="001325BB">
              <w:rPr>
                <w:rFonts w:cs="Arial"/>
                <w:sz w:val="18"/>
                <w:szCs w:val="18"/>
              </w:rPr>
              <w:t>(2019)</w:t>
            </w:r>
            <w:r w:rsidR="005656FB" w:rsidRPr="001325BB">
              <w:rPr>
                <w:sz w:val="18"/>
                <w:szCs w:val="18"/>
              </w:rPr>
              <w:t>.</w:t>
            </w:r>
          </w:p>
        </w:tc>
      </w:tr>
      <w:tr w:rsidR="005656FB" w14:paraId="4A405845" w14:textId="77777777" w:rsidTr="00CB706D">
        <w:tc>
          <w:tcPr>
            <w:tcW w:w="5000" w:type="pct"/>
            <w:tcBorders>
              <w:top w:val="nil"/>
              <w:left w:val="nil"/>
              <w:bottom w:val="single" w:sz="6" w:space="0" w:color="78A22F"/>
              <w:right w:val="nil"/>
            </w:tcBorders>
            <w:shd w:val="clear" w:color="auto" w:fill="auto"/>
          </w:tcPr>
          <w:p w14:paraId="213D5DB3" w14:textId="77777777" w:rsidR="005656FB" w:rsidRDefault="005656FB" w:rsidP="005F5A79">
            <w:pPr>
              <w:pStyle w:val="Box"/>
              <w:keepNext w:val="0"/>
              <w:spacing w:before="0" w:line="120" w:lineRule="exact"/>
            </w:pPr>
          </w:p>
        </w:tc>
      </w:tr>
      <w:tr w:rsidR="005656FB" w:rsidRPr="000863A5" w14:paraId="59729B5E" w14:textId="77777777" w:rsidTr="00CB706D">
        <w:tc>
          <w:tcPr>
            <w:tcW w:w="5000" w:type="pct"/>
            <w:tcBorders>
              <w:top w:val="single" w:sz="6" w:space="0" w:color="78A22F"/>
              <w:left w:val="nil"/>
              <w:bottom w:val="nil"/>
              <w:right w:val="nil"/>
            </w:tcBorders>
          </w:tcPr>
          <w:p w14:paraId="21872A68" w14:textId="032DC3BF" w:rsidR="005656FB" w:rsidRPr="00626D32" w:rsidRDefault="005656FB" w:rsidP="005F5A79">
            <w:pPr>
              <w:pStyle w:val="BoxSpaceBelow"/>
            </w:pPr>
          </w:p>
        </w:tc>
      </w:tr>
    </w:tbl>
    <w:p w14:paraId="6EF48C2F" w14:textId="118564F3" w:rsidR="00567838" w:rsidRDefault="00567838" w:rsidP="005641F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67838" w14:paraId="016C69DE" w14:textId="77777777" w:rsidTr="005641FD">
        <w:trPr>
          <w:tblHeader/>
        </w:trPr>
        <w:tc>
          <w:tcPr>
            <w:tcW w:w="5000" w:type="pct"/>
            <w:tcBorders>
              <w:top w:val="single" w:sz="6" w:space="0" w:color="78A22F"/>
              <w:left w:val="nil"/>
              <w:bottom w:val="nil"/>
              <w:right w:val="nil"/>
            </w:tcBorders>
            <w:shd w:val="clear" w:color="auto" w:fill="auto"/>
          </w:tcPr>
          <w:p w14:paraId="36B2DF7C" w14:textId="331FB8DC" w:rsidR="00567838" w:rsidRDefault="00567838" w:rsidP="005641FD">
            <w:pPr>
              <w:pStyle w:val="FigureTitle"/>
            </w:pPr>
            <w:r w:rsidRPr="00784A05">
              <w:rPr>
                <w:b w:val="0"/>
              </w:rPr>
              <w:t xml:space="preserve">Figure </w:t>
            </w:r>
            <w:bookmarkStart w:id="70" w:name="OLE_LINK10"/>
            <w:r w:rsidR="00E109F5">
              <w:rPr>
                <w:b w:val="0"/>
                <w:noProof/>
              </w:rPr>
              <w:t>2</w:t>
            </w:r>
            <w:bookmarkEnd w:id="70"/>
            <w:r>
              <w:tab/>
              <w:t>Aboriginal and Torres Strait Islander people by location</w:t>
            </w:r>
            <w:r w:rsidR="002F4FFC" w:rsidRPr="009557C3">
              <w:rPr>
                <w:rStyle w:val="NoteLabel"/>
                <w:b/>
              </w:rPr>
              <w:t>a</w:t>
            </w:r>
          </w:p>
          <w:p w14:paraId="07346DFE" w14:textId="55811615" w:rsidR="00567838" w:rsidRPr="00176D3F" w:rsidRDefault="00567838" w:rsidP="005641FD">
            <w:pPr>
              <w:pStyle w:val="Subtitle"/>
            </w:pPr>
            <w:r>
              <w:t>As at 30</w:t>
            </w:r>
            <w:r w:rsidR="00442E24">
              <w:t> </w:t>
            </w:r>
            <w:r>
              <w:t>June 2016</w:t>
            </w:r>
          </w:p>
        </w:tc>
      </w:tr>
      <w:tr w:rsidR="00567838" w14:paraId="64C84D3C" w14:textId="77777777" w:rsidTr="005641FD">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567838" w:rsidRPr="00B1465D" w14:paraId="49C5827E" w14:textId="77777777" w:rsidTr="005641FD">
              <w:trPr>
                <w:tblHeader/>
                <w:jc w:val="center"/>
              </w:trPr>
              <w:tc>
                <w:tcPr>
                  <w:tcW w:w="5000" w:type="pct"/>
                  <w:tcBorders>
                    <w:top w:val="nil"/>
                    <w:bottom w:val="nil"/>
                  </w:tcBorders>
                </w:tcPr>
                <w:p w14:paraId="37260CCA" w14:textId="5A6E82C8" w:rsidR="00567838" w:rsidRPr="00B1465D" w:rsidRDefault="00DD554A" w:rsidP="005641FD">
                  <w:pPr>
                    <w:pStyle w:val="Figure"/>
                    <w:spacing w:before="60" w:after="60"/>
                    <w:rPr>
                      <w:rFonts w:ascii="Arial" w:hAnsi="Arial" w:cs="Arial"/>
                      <w:sz w:val="18"/>
                      <w:szCs w:val="18"/>
                    </w:rPr>
                  </w:pPr>
                  <w:r w:rsidRPr="00DD554A">
                    <w:rPr>
                      <w:rFonts w:ascii="Arial" w:hAnsi="Arial" w:cs="Arial"/>
                      <w:noProof/>
                      <w:sz w:val="18"/>
                      <w:szCs w:val="18"/>
                    </w:rPr>
                    <w:drawing>
                      <wp:inline distT="0" distB="0" distL="0" distR="0" wp14:anchorId="7FC6B2C5" wp14:editId="6A8BED27">
                        <wp:extent cx="5402580" cy="2880360"/>
                        <wp:effectExtent l="0" t="0" r="7620" b="0"/>
                        <wp:docPr id="2" name="Picture 2" descr="Figure 2. More than 80 per cent of Aboriginal and Torres Strait Islander people live in major urban or regional cities (although almost 77 per cent of Aboriginal and Torres Strait Islander people living in the NT live in remote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2580" cy="2880360"/>
                                </a:xfrm>
                                <a:prstGeom prst="rect">
                                  <a:avLst/>
                                </a:prstGeom>
                                <a:noFill/>
                                <a:ln>
                                  <a:noFill/>
                                </a:ln>
                              </pic:spPr>
                            </pic:pic>
                          </a:graphicData>
                        </a:graphic>
                      </wp:inline>
                    </w:drawing>
                  </w:r>
                </w:p>
              </w:tc>
            </w:tr>
          </w:tbl>
          <w:p w14:paraId="392BEA4D" w14:textId="77777777" w:rsidR="00567838" w:rsidRDefault="00567838" w:rsidP="005641FD">
            <w:pPr>
              <w:pStyle w:val="Figure"/>
            </w:pPr>
          </w:p>
        </w:tc>
      </w:tr>
      <w:tr w:rsidR="00567838" w:rsidRPr="00176D3F" w14:paraId="264F610D" w14:textId="77777777" w:rsidTr="005641FD">
        <w:tc>
          <w:tcPr>
            <w:tcW w:w="5000" w:type="pct"/>
            <w:tcBorders>
              <w:top w:val="nil"/>
              <w:left w:val="nil"/>
              <w:bottom w:val="nil"/>
              <w:right w:val="nil"/>
            </w:tcBorders>
            <w:shd w:val="clear" w:color="auto" w:fill="auto"/>
          </w:tcPr>
          <w:p w14:paraId="0292299F" w14:textId="47E59FF5" w:rsidR="009A53D3" w:rsidRPr="00FB7ACB" w:rsidRDefault="009A53D3" w:rsidP="00FB7ACB">
            <w:pPr>
              <w:pStyle w:val="Note"/>
            </w:pPr>
            <w:proofErr w:type="gramStart"/>
            <w:r>
              <w:rPr>
                <w:rStyle w:val="NoteLabel"/>
              </w:rPr>
              <w:t>a</w:t>
            </w:r>
            <w:proofErr w:type="gramEnd"/>
            <w:r w:rsidRPr="00FB7ACB">
              <w:t xml:space="preserve"> Data unavailable</w:t>
            </w:r>
            <w:r w:rsidRPr="009A53D3">
              <w:t xml:space="preserve"> by remoteness area for the ACT</w:t>
            </w:r>
            <w:r>
              <w:t>.</w:t>
            </w:r>
          </w:p>
          <w:p w14:paraId="7347D8A7" w14:textId="2224457E" w:rsidR="00567838" w:rsidRPr="00176D3F" w:rsidRDefault="00567838" w:rsidP="006D63C5">
            <w:pPr>
              <w:pStyle w:val="Source"/>
            </w:pPr>
            <w:r w:rsidRPr="00784A05">
              <w:rPr>
                <w:i/>
              </w:rPr>
              <w:t>Data source</w:t>
            </w:r>
            <w:r w:rsidRPr="00176D3F">
              <w:t xml:space="preserve">: </w:t>
            </w:r>
            <w:r>
              <w:t xml:space="preserve">ABS </w:t>
            </w:r>
            <w:r w:rsidRPr="00567838">
              <w:t>Estimates of Aboriginal and Torres Strait Islander Australians, June 2016</w:t>
            </w:r>
            <w:r>
              <w:t xml:space="preserve"> (cat</w:t>
            </w:r>
            <w:r w:rsidDel="006D63C5">
              <w:t>.</w:t>
            </w:r>
            <w:r w:rsidR="006D63C5">
              <w:t> </w:t>
            </w:r>
            <w:r>
              <w:t>no</w:t>
            </w:r>
            <w:r w:rsidDel="006D63C5">
              <w:t>.</w:t>
            </w:r>
            <w:r w:rsidR="006D63C5">
              <w:t> </w:t>
            </w:r>
            <w:r w:rsidRPr="00E55256">
              <w:t>3238.0.55.001)</w:t>
            </w:r>
            <w:r>
              <w:t>.</w:t>
            </w:r>
          </w:p>
        </w:tc>
      </w:tr>
      <w:tr w:rsidR="00567838" w14:paraId="2CD50C5A" w14:textId="77777777" w:rsidTr="005641FD">
        <w:tc>
          <w:tcPr>
            <w:tcW w:w="5000" w:type="pct"/>
            <w:tcBorders>
              <w:top w:val="nil"/>
              <w:left w:val="nil"/>
              <w:bottom w:val="single" w:sz="6" w:space="0" w:color="78A22F"/>
              <w:right w:val="nil"/>
            </w:tcBorders>
            <w:shd w:val="clear" w:color="auto" w:fill="auto"/>
          </w:tcPr>
          <w:p w14:paraId="4E4AF63B" w14:textId="77777777" w:rsidR="00567838" w:rsidRDefault="00567838" w:rsidP="005641FD">
            <w:pPr>
              <w:pStyle w:val="Figurespace"/>
            </w:pPr>
          </w:p>
        </w:tc>
      </w:tr>
      <w:tr w:rsidR="00567838" w:rsidRPr="000863A5" w14:paraId="4BE41719" w14:textId="77777777" w:rsidTr="005641FD">
        <w:tc>
          <w:tcPr>
            <w:tcW w:w="5000" w:type="pct"/>
            <w:tcBorders>
              <w:top w:val="single" w:sz="6" w:space="0" w:color="78A22F"/>
              <w:left w:val="nil"/>
              <w:bottom w:val="nil"/>
              <w:right w:val="nil"/>
            </w:tcBorders>
          </w:tcPr>
          <w:p w14:paraId="0447A726" w14:textId="49E7684C" w:rsidR="00567838" w:rsidRPr="00626D32" w:rsidRDefault="00567838" w:rsidP="005641FD">
            <w:pPr>
              <w:pStyle w:val="BoxSpaceBelow"/>
            </w:pPr>
          </w:p>
        </w:tc>
      </w:tr>
    </w:tbl>
    <w:p w14:paraId="08570010" w14:textId="08B42D70" w:rsidR="000C46AE" w:rsidRDefault="00306AAD" w:rsidP="00733EF4">
      <w:pPr>
        <w:pStyle w:val="Heading3"/>
      </w:pPr>
      <w:bookmarkStart w:id="71" w:name="_Toc10709999"/>
      <w:bookmarkStart w:id="72" w:name="_Toc10734423"/>
      <w:bookmarkStart w:id="73" w:name="_Toc10735495"/>
      <w:bookmarkStart w:id="74" w:name="_Toc10794224"/>
      <w:bookmarkStart w:id="75" w:name="_Toc10795559"/>
      <w:bookmarkStart w:id="76" w:name="_Toc10795704"/>
      <w:bookmarkStart w:id="77" w:name="_Toc10802391"/>
      <w:bookmarkStart w:id="78" w:name="_Toc10808037"/>
      <w:bookmarkStart w:id="79" w:name="_Toc10808778"/>
      <w:bookmarkStart w:id="80" w:name="_Toc12272479"/>
      <w:r>
        <w:t>Expenditure information</w:t>
      </w:r>
      <w:bookmarkEnd w:id="71"/>
      <w:bookmarkEnd w:id="72"/>
      <w:bookmarkEnd w:id="73"/>
      <w:bookmarkEnd w:id="74"/>
      <w:bookmarkEnd w:id="75"/>
      <w:bookmarkEnd w:id="76"/>
      <w:bookmarkEnd w:id="77"/>
      <w:bookmarkEnd w:id="78"/>
      <w:bookmarkEnd w:id="79"/>
      <w:bookmarkEnd w:id="80"/>
    </w:p>
    <w:p w14:paraId="0CAA2175" w14:textId="0CD26B75" w:rsidR="00306AAD" w:rsidRDefault="00306AAD" w:rsidP="00D96622">
      <w:pPr>
        <w:pStyle w:val="BodyText"/>
      </w:pPr>
      <w:r w:rsidRPr="00DC6254">
        <w:t>In 2015</w:t>
      </w:r>
      <w:r w:rsidR="00442E24">
        <w:noBreakHyphen/>
      </w:r>
      <w:r w:rsidRPr="00DC6254">
        <w:t>16</w:t>
      </w:r>
      <w:r w:rsidR="003C4E6A" w:rsidRPr="00032C62">
        <w:rPr>
          <w:rStyle w:val="FootnoteReference"/>
        </w:rPr>
        <w:footnoteReference w:id="2"/>
      </w:r>
      <w:r w:rsidRPr="00DC6254">
        <w:t>, total direct government</w:t>
      </w:r>
      <w:r w:rsidR="00C11FE1" w:rsidRPr="00032C62">
        <w:rPr>
          <w:rStyle w:val="FootnoteReference"/>
        </w:rPr>
        <w:footnoteReference w:id="3"/>
      </w:r>
      <w:r w:rsidRPr="00DC6254">
        <w:t xml:space="preserve"> expenditure on Aboriginal and Torres Strait Islander</w:t>
      </w:r>
      <w:r>
        <w:t xml:space="preserve"> </w:t>
      </w:r>
      <w:r w:rsidR="00DB0CB6">
        <w:t>people</w:t>
      </w:r>
      <w:r w:rsidRPr="00DC6254">
        <w:t xml:space="preserve"> was estimated to be $33.4 billion. The estimated direct expenditure per person was $44</w:t>
      </w:r>
      <w:r w:rsidR="00C210FE">
        <w:t> </w:t>
      </w:r>
      <w:r w:rsidRPr="00DC6254">
        <w:t>886 for Aboriginal and Torres Strait Islander people, around twice the rate for non</w:t>
      </w:r>
      <w:r w:rsidR="00076C96">
        <w:noBreakHyphen/>
      </w:r>
      <w:r w:rsidR="00C210FE">
        <w:t xml:space="preserve">Indigenous Australians </w:t>
      </w:r>
      <w:r w:rsidR="00C210FE">
        <w:lastRenderedPageBreak/>
        <w:t>($22 </w:t>
      </w:r>
      <w:r w:rsidRPr="00DC6254">
        <w:t xml:space="preserve">356). The higher per person expenditure </w:t>
      </w:r>
      <w:r w:rsidR="00EC02C4" w:rsidRPr="00DC6254">
        <w:t xml:space="preserve">for Aboriginal and Torres Strait Islander people </w:t>
      </w:r>
      <w:r w:rsidRPr="00DC6254">
        <w:t>reflects the combined effects of:</w:t>
      </w:r>
    </w:p>
    <w:p w14:paraId="75D24F75" w14:textId="7E0DF38A" w:rsidR="00306AAD" w:rsidRDefault="00306AAD" w:rsidP="00306AAD">
      <w:pPr>
        <w:pStyle w:val="ListBullet"/>
      </w:pPr>
      <w:r>
        <w:t xml:space="preserve">greater </w:t>
      </w:r>
      <w:r>
        <w:rPr>
          <w:i/>
          <w:iCs/>
        </w:rPr>
        <w:t xml:space="preserve">intensity of service use by </w:t>
      </w:r>
      <w:r w:rsidRPr="00DC6254">
        <w:t>Aboriginal and Torres Strait Islander</w:t>
      </w:r>
      <w:r w:rsidR="00C210FE">
        <w:t xml:space="preserve"> people (representing $14 </w:t>
      </w:r>
      <w:r>
        <w:t>349 or 63.7 per cent) —</w:t>
      </w:r>
      <w:r w:rsidR="006D63C5">
        <w:t xml:space="preserve"> </w:t>
      </w:r>
      <w:r>
        <w:t xml:space="preserve">reflecting the greater needs of and the younger age profile of the </w:t>
      </w:r>
      <w:r w:rsidRPr="00DC6254">
        <w:t>Aboriginal and Torres Strait Islander</w:t>
      </w:r>
      <w:r>
        <w:t xml:space="preserve"> population</w:t>
      </w:r>
    </w:p>
    <w:p w14:paraId="203F200F" w14:textId="41DF8AB3" w:rsidR="00306AAD" w:rsidRDefault="00306AAD" w:rsidP="00306AAD">
      <w:pPr>
        <w:pStyle w:val="ListBullet"/>
      </w:pPr>
      <w:r>
        <w:t xml:space="preserve">higher </w:t>
      </w:r>
      <w:r>
        <w:rPr>
          <w:i/>
          <w:iCs/>
        </w:rPr>
        <w:t xml:space="preserve">cost of providing services </w:t>
      </w:r>
      <w:r>
        <w:t>(representing $8181 or 36.3 per cent) —</w:t>
      </w:r>
      <w:r w:rsidR="006D63C5">
        <w:t xml:space="preserve"> </w:t>
      </w:r>
      <w:r>
        <w:t xml:space="preserve">for example, because of more remote locations, or because of provision of targeted services </w:t>
      </w:r>
      <w:r w:rsidR="008E4130">
        <w:t xml:space="preserve">in </w:t>
      </w:r>
      <w:r>
        <w:t>addition to mainstream services (for example, Indigenous liaison officers in hospitals)</w:t>
      </w:r>
      <w:r w:rsidR="008E4130">
        <w:t xml:space="preserve"> to ensure provision of appropriate and accessible services</w:t>
      </w:r>
      <w:r>
        <w:t>.</w:t>
      </w:r>
    </w:p>
    <w:p w14:paraId="30BDB04C" w14:textId="53EAB581" w:rsidR="00306AAD" w:rsidRDefault="00B2473E" w:rsidP="00D96622">
      <w:pPr>
        <w:pStyle w:val="BodyText"/>
      </w:pPr>
      <w:r w:rsidRPr="00DC6254">
        <w:t>The Australian Government accounted for $14.7 billion (43.9 per cent) of direct Indigenous</w:t>
      </w:r>
      <w:r>
        <w:t xml:space="preserve"> </w:t>
      </w:r>
      <w:r w:rsidRPr="00DC6254">
        <w:t>expenditure in 2015</w:t>
      </w:r>
      <w:r w:rsidR="00442E24">
        <w:noBreakHyphen/>
      </w:r>
      <w:r w:rsidRPr="00DC6254">
        <w:t xml:space="preserve">16, </w:t>
      </w:r>
      <w:r>
        <w:t xml:space="preserve">with </w:t>
      </w:r>
      <w:r w:rsidRPr="00DC6254">
        <w:t xml:space="preserve">$18.8 billion (56.1 per cent) </w:t>
      </w:r>
      <w:r>
        <w:t>being</w:t>
      </w:r>
      <w:r w:rsidRPr="00DC6254">
        <w:t xml:space="preserve"> provided by </w:t>
      </w:r>
      <w:r w:rsidR="006D63C5">
        <w:t xml:space="preserve">state </w:t>
      </w:r>
      <w:r>
        <w:t xml:space="preserve">and </w:t>
      </w:r>
      <w:r w:rsidR="006D63C5">
        <w:t xml:space="preserve">territory </w:t>
      </w:r>
      <w:r>
        <w:t>governments</w:t>
      </w:r>
      <w:r w:rsidR="00A84EA0">
        <w:t xml:space="preserve"> </w:t>
      </w:r>
      <w:r w:rsidR="003E41C3" w:rsidRPr="003E41C3">
        <w:rPr>
          <w:szCs w:val="24"/>
        </w:rPr>
        <w:t>(SCRGSP 2017)</w:t>
      </w:r>
      <w:r w:rsidRPr="00DC6254">
        <w:t>.</w:t>
      </w:r>
    </w:p>
    <w:p w14:paraId="6E0E67E4" w14:textId="365FED33" w:rsidR="003C4E6A" w:rsidRPr="003C4E6A" w:rsidRDefault="00A64613" w:rsidP="00D96622">
      <w:pPr>
        <w:pStyle w:val="BodyText"/>
        <w:rPr>
          <w:rFonts w:eastAsiaTheme="majorEastAsia"/>
          <w:iCs/>
        </w:rPr>
      </w:pPr>
      <w:r>
        <w:t>G</w:t>
      </w:r>
      <w:r w:rsidR="003C4E6A">
        <w:t>overnment expenditure on m</w:t>
      </w:r>
      <w:r w:rsidR="003C4E6A" w:rsidRPr="00DC6254">
        <w:t>ainstream services accounted for 82 per cent</w:t>
      </w:r>
      <w:r w:rsidR="003C4E6A">
        <w:t xml:space="preserve"> </w:t>
      </w:r>
      <w:r w:rsidR="003C4E6A" w:rsidRPr="00DC6254">
        <w:t>of direct</w:t>
      </w:r>
      <w:r w:rsidR="003C4E6A">
        <w:t xml:space="preserve"> government </w:t>
      </w:r>
      <w:r w:rsidR="003C4E6A" w:rsidRPr="00DC6254">
        <w:t xml:space="preserve">expenditure on Aboriginal and Torres Strait Islander </w:t>
      </w:r>
      <w:r w:rsidR="003C4E6A">
        <w:t>people</w:t>
      </w:r>
      <w:r>
        <w:t xml:space="preserve"> in </w:t>
      </w:r>
      <w:r w:rsidRPr="00DC6254">
        <w:t>2015</w:t>
      </w:r>
      <w:r w:rsidR="00442E24">
        <w:noBreakHyphen/>
      </w:r>
      <w:r w:rsidRPr="00DC6254">
        <w:t>16</w:t>
      </w:r>
      <w:r w:rsidR="003C4E6A" w:rsidRPr="00DC6254">
        <w:t>,</w:t>
      </w:r>
      <w:r w:rsidR="003C4E6A">
        <w:t xml:space="preserve"> with </w:t>
      </w:r>
      <w:r w:rsidR="003C4E6A" w:rsidRPr="00DC6254">
        <w:t>Indigenous specific services account</w:t>
      </w:r>
      <w:r w:rsidR="00BD758E">
        <w:t>ing</w:t>
      </w:r>
      <w:r w:rsidR="003C4E6A" w:rsidRPr="00DC6254">
        <w:t xml:space="preserve"> for </w:t>
      </w:r>
      <w:r w:rsidR="003C4E6A">
        <w:t xml:space="preserve">the remaining </w:t>
      </w:r>
      <w:r w:rsidR="003C4E6A" w:rsidRPr="00DC6254">
        <w:t>18</w:t>
      </w:r>
      <w:r w:rsidR="003C4E6A">
        <w:t> </w:t>
      </w:r>
      <w:r w:rsidR="003C4E6A" w:rsidRPr="00DC6254">
        <w:t>per</w:t>
      </w:r>
      <w:r w:rsidR="003C4E6A">
        <w:t> </w:t>
      </w:r>
      <w:r w:rsidR="003C4E6A" w:rsidRPr="00DC6254">
        <w:t xml:space="preserve">cent </w:t>
      </w:r>
      <w:r w:rsidR="003E41C3" w:rsidRPr="003E41C3">
        <w:rPr>
          <w:szCs w:val="24"/>
        </w:rPr>
        <w:t>(SCRGSP 2017)</w:t>
      </w:r>
      <w:r w:rsidR="003C4E6A" w:rsidRPr="00DC6254">
        <w:t>.</w:t>
      </w:r>
    </w:p>
    <w:p w14:paraId="26DC11CA" w14:textId="73CE2E4E" w:rsidR="007D3814" w:rsidRPr="008072DD" w:rsidRDefault="008072DD" w:rsidP="00F25C26">
      <w:pPr>
        <w:pStyle w:val="Heading2"/>
      </w:pPr>
      <w:bookmarkStart w:id="81" w:name="_Toc10710000"/>
      <w:bookmarkStart w:id="82" w:name="_Toc10734424"/>
      <w:bookmarkStart w:id="83" w:name="_Toc10735496"/>
      <w:bookmarkStart w:id="84" w:name="_Toc10794225"/>
      <w:bookmarkStart w:id="85" w:name="_Toc10795560"/>
      <w:bookmarkStart w:id="86" w:name="_Toc10795705"/>
      <w:bookmarkStart w:id="87" w:name="_Toc10802392"/>
      <w:bookmarkStart w:id="88" w:name="_Toc10808038"/>
      <w:bookmarkStart w:id="89" w:name="_Toc10808779"/>
      <w:bookmarkStart w:id="90" w:name="_Toc12272480"/>
      <w:r>
        <w:t>3</w:t>
      </w:r>
      <w:r>
        <w:tab/>
      </w:r>
      <w:r w:rsidR="000F2D01" w:rsidRPr="008072DD">
        <w:t>Evaluation c</w:t>
      </w:r>
      <w:r w:rsidR="007D3814" w:rsidRPr="008072DD">
        <w:t xml:space="preserve">oncepts and </w:t>
      </w:r>
      <w:r w:rsidR="000F2D01" w:rsidRPr="008072DD">
        <w:t>practice</w:t>
      </w:r>
      <w:bookmarkEnd w:id="81"/>
      <w:bookmarkEnd w:id="82"/>
      <w:bookmarkEnd w:id="83"/>
      <w:bookmarkEnd w:id="84"/>
      <w:bookmarkEnd w:id="85"/>
      <w:bookmarkEnd w:id="86"/>
      <w:bookmarkEnd w:id="87"/>
      <w:bookmarkEnd w:id="88"/>
      <w:bookmarkEnd w:id="89"/>
      <w:bookmarkEnd w:id="90"/>
      <w:r w:rsidR="007D3814" w:rsidRPr="008072DD">
        <w:t xml:space="preserve"> </w:t>
      </w:r>
    </w:p>
    <w:p w14:paraId="340F5242" w14:textId="00F268BC" w:rsidR="00261983" w:rsidRDefault="00261983" w:rsidP="00AC3E15">
      <w:pPr>
        <w:pStyle w:val="Heading3"/>
        <w:spacing w:before="280"/>
      </w:pPr>
      <w:bookmarkStart w:id="91" w:name="_Toc10710001"/>
      <w:bookmarkStart w:id="92" w:name="_Toc10734425"/>
      <w:bookmarkStart w:id="93" w:name="_Toc10735497"/>
      <w:bookmarkStart w:id="94" w:name="_Toc10794226"/>
      <w:bookmarkStart w:id="95" w:name="_Toc10795561"/>
      <w:bookmarkStart w:id="96" w:name="_Toc10795706"/>
      <w:bookmarkStart w:id="97" w:name="_Toc10802393"/>
      <w:bookmarkStart w:id="98" w:name="_Toc10808039"/>
      <w:bookmarkStart w:id="99" w:name="_Toc10808780"/>
      <w:bookmarkStart w:id="100" w:name="_Toc12272481"/>
      <w:r>
        <w:t>What is evaluation?</w:t>
      </w:r>
      <w:bookmarkEnd w:id="91"/>
      <w:bookmarkEnd w:id="92"/>
      <w:bookmarkEnd w:id="93"/>
      <w:bookmarkEnd w:id="94"/>
      <w:bookmarkEnd w:id="95"/>
      <w:bookmarkEnd w:id="96"/>
      <w:bookmarkEnd w:id="97"/>
      <w:bookmarkEnd w:id="98"/>
      <w:bookmarkEnd w:id="99"/>
      <w:bookmarkEnd w:id="100"/>
    </w:p>
    <w:p w14:paraId="19D15BAE" w14:textId="1BA7F4F7" w:rsidR="0047463A" w:rsidRDefault="00B64F9F" w:rsidP="0047463A">
      <w:pPr>
        <w:pStyle w:val="BodyText"/>
      </w:pPr>
      <w:r w:rsidRPr="006A1745">
        <w:t>E</w:t>
      </w:r>
      <w:r w:rsidR="00261983" w:rsidRPr="006A1745">
        <w:t>valuation</w:t>
      </w:r>
      <w:r w:rsidR="00261983">
        <w:t xml:space="preserve"> is a widely used and </w:t>
      </w:r>
      <w:r>
        <w:t>long</w:t>
      </w:r>
      <w:r w:rsidR="00442E24">
        <w:noBreakHyphen/>
      </w:r>
      <w:r>
        <w:t>standing</w:t>
      </w:r>
      <w:r w:rsidR="00261983">
        <w:t xml:space="preserve"> </w:t>
      </w:r>
      <w:r>
        <w:t xml:space="preserve">policy </w:t>
      </w:r>
      <w:r w:rsidR="00F832C2">
        <w:t xml:space="preserve">making </w:t>
      </w:r>
      <w:r w:rsidR="00261983">
        <w:t>practice</w:t>
      </w:r>
      <w:r w:rsidR="00CF5675">
        <w:t xml:space="preserve"> in Australia</w:t>
      </w:r>
      <w:r w:rsidR="00261983">
        <w:t xml:space="preserve">. In broad terms, </w:t>
      </w:r>
      <w:r w:rsidR="00FB30E1">
        <w:t>it refers to</w:t>
      </w:r>
      <w:r w:rsidR="007D3814">
        <w:t xml:space="preserve"> the systematic process of collecting and analysing information to enable an assessment of an activity, project, policy or program</w:t>
      </w:r>
      <w:r w:rsidR="006F46D7">
        <w:t xml:space="preserve"> </w:t>
      </w:r>
      <w:r w:rsidR="003E41C3" w:rsidRPr="003E41C3">
        <w:rPr>
          <w:szCs w:val="24"/>
        </w:rPr>
        <w:t>(Department of Finance 2016)</w:t>
      </w:r>
      <w:r w:rsidR="007D3814">
        <w:t xml:space="preserve">. </w:t>
      </w:r>
      <w:r w:rsidR="00FB30E1">
        <w:t>Evaluation</w:t>
      </w:r>
      <w:r w:rsidR="0047463A">
        <w:t xml:space="preserve"> can point to ‘</w:t>
      </w:r>
      <w:r w:rsidR="00451A4A">
        <w:t>what works’, highlight problems and</w:t>
      </w:r>
      <w:r w:rsidR="0047463A">
        <w:t xml:space="preserve"> provide evidence of good practice </w:t>
      </w:r>
      <w:r w:rsidR="003E41C3" w:rsidRPr="003E41C3">
        <w:rPr>
          <w:szCs w:val="24"/>
        </w:rPr>
        <w:lastRenderedPageBreak/>
        <w:t>(HM Treasury 2011, p. 7)</w:t>
      </w:r>
      <w:r w:rsidR="0047463A">
        <w:t xml:space="preserve">. </w:t>
      </w:r>
      <w:r w:rsidR="0047463A">
        <w:rPr>
          <w:szCs w:val="24"/>
        </w:rPr>
        <w:t xml:space="preserve">It can also examine the efficacy of policy implementation and </w:t>
      </w:r>
      <w:r w:rsidR="00636D4C">
        <w:rPr>
          <w:szCs w:val="24"/>
        </w:rPr>
        <w:t xml:space="preserve">identify </w:t>
      </w:r>
      <w:r w:rsidR="0047463A">
        <w:rPr>
          <w:szCs w:val="24"/>
        </w:rPr>
        <w:t xml:space="preserve">how </w:t>
      </w:r>
      <w:r w:rsidR="00636D4C">
        <w:rPr>
          <w:szCs w:val="24"/>
        </w:rPr>
        <w:t>this</w:t>
      </w:r>
      <w:r w:rsidR="0047463A">
        <w:rPr>
          <w:szCs w:val="24"/>
        </w:rPr>
        <w:t xml:space="preserve"> may be improved. </w:t>
      </w:r>
      <w:r w:rsidR="0047463A">
        <w:t xml:space="preserve">Previous work by the Commission has highlighted the importance of evaluation </w:t>
      </w:r>
      <w:r w:rsidR="00A575D1">
        <w:t>as part of</w:t>
      </w:r>
      <w:r w:rsidR="0047463A">
        <w:t xml:space="preserve"> evidence</w:t>
      </w:r>
      <w:r w:rsidR="00442E24">
        <w:noBreakHyphen/>
      </w:r>
      <w:r w:rsidR="0047463A">
        <w:t xml:space="preserve">based policy making </w:t>
      </w:r>
      <w:r w:rsidR="006D4CFC" w:rsidRPr="006D4CFC">
        <w:rPr>
          <w:szCs w:val="24"/>
        </w:rPr>
        <w:t>(PC 2010)</w:t>
      </w:r>
      <w:r w:rsidR="0047463A">
        <w:t>.</w:t>
      </w:r>
    </w:p>
    <w:p w14:paraId="0A3B8E5A" w14:textId="1C83F97A" w:rsidR="00FD5BCD" w:rsidRPr="00CB6BD0" w:rsidRDefault="006400B0" w:rsidP="00CB6BD0">
      <w:pPr>
        <w:pStyle w:val="BodyText"/>
        <w:rPr>
          <w:rFonts w:ascii="Arial" w:hAnsi="Arial"/>
        </w:rPr>
      </w:pPr>
      <w:r w:rsidRPr="00CB6BD0">
        <w:rPr>
          <w:rFonts w:ascii="Arial" w:hAnsi="Arial"/>
        </w:rPr>
        <w:t>A</w:t>
      </w:r>
      <w:r w:rsidR="00FD5BCD" w:rsidRPr="00CB6BD0">
        <w:rPr>
          <w:rFonts w:ascii="Arial" w:hAnsi="Arial"/>
        </w:rPr>
        <w:t xml:space="preserve">pproaches to </w:t>
      </w:r>
      <w:r w:rsidR="001B16D0" w:rsidRPr="00CB6BD0">
        <w:rPr>
          <w:rFonts w:ascii="Arial" w:hAnsi="Arial"/>
        </w:rPr>
        <w:t xml:space="preserve">policy and program </w:t>
      </w:r>
      <w:r w:rsidR="00FD5BCD" w:rsidRPr="00CB6BD0">
        <w:rPr>
          <w:rFonts w:ascii="Arial" w:hAnsi="Arial"/>
        </w:rPr>
        <w:t>evaluation</w:t>
      </w:r>
    </w:p>
    <w:p w14:paraId="0CB3249F" w14:textId="7B466ED7" w:rsidR="007650D9" w:rsidRDefault="008E7591" w:rsidP="00846CE2">
      <w:pPr>
        <w:pStyle w:val="BodyText"/>
      </w:pPr>
      <w:r>
        <w:t xml:space="preserve">Evaluation </w:t>
      </w:r>
      <w:r w:rsidRPr="008E7591">
        <w:rPr>
          <w:i/>
        </w:rPr>
        <w:t>approaches</w:t>
      </w:r>
      <w:r>
        <w:t xml:space="preserve"> </w:t>
      </w:r>
      <w:r w:rsidR="005A2EE1">
        <w:t>(</w:t>
      </w:r>
      <w:r w:rsidR="007650D9">
        <w:t>b</w:t>
      </w:r>
      <w:r w:rsidR="005A2EE1">
        <w:t>ox</w:t>
      </w:r>
      <w:r w:rsidR="00442E24">
        <w:t> </w:t>
      </w:r>
      <w:r w:rsidR="0080522E">
        <w:t>3</w:t>
      </w:r>
      <w:r w:rsidR="00337810">
        <w:t>)</w:t>
      </w:r>
      <w:r w:rsidR="005A2EE1">
        <w:t xml:space="preserve"> </w:t>
      </w:r>
      <w:r>
        <w:t>are distinct ways of thinking about, designing and conducting evaluations</w:t>
      </w:r>
      <w:r w:rsidR="00337810">
        <w:t xml:space="preserve">. </w:t>
      </w:r>
      <w:r w:rsidR="00975724">
        <w:t xml:space="preserve">Evaluation </w:t>
      </w:r>
      <w:r w:rsidR="00975724" w:rsidRPr="00337810">
        <w:rPr>
          <w:i/>
        </w:rPr>
        <w:t>methods</w:t>
      </w:r>
      <w:r w:rsidR="00975724">
        <w:t xml:space="preserve"> are the </w:t>
      </w:r>
      <w:r w:rsidR="00975724" w:rsidRPr="00337810">
        <w:t>procedure</w:t>
      </w:r>
      <w:r w:rsidR="00975724">
        <w:t>s</w:t>
      </w:r>
      <w:r w:rsidR="00975724" w:rsidRPr="00337810">
        <w:t xml:space="preserve"> or technique</w:t>
      </w:r>
      <w:r w:rsidR="00975724">
        <w:t xml:space="preserve">s used </w:t>
      </w:r>
      <w:r w:rsidR="0067653D">
        <w:t>to obtain</w:t>
      </w:r>
      <w:r w:rsidR="00975724" w:rsidRPr="00337810">
        <w:t xml:space="preserve"> findings</w:t>
      </w:r>
      <w:r w:rsidR="007650D9">
        <w:t xml:space="preserve"> (for example, surveys)</w:t>
      </w:r>
      <w:r w:rsidR="00975724">
        <w:t xml:space="preserve">, </w:t>
      </w:r>
      <w:r w:rsidR="0067653D">
        <w:t xml:space="preserve">and can </w:t>
      </w:r>
      <w:r w:rsidR="00975724">
        <w:t>incorporat</w:t>
      </w:r>
      <w:r w:rsidR="0067653D">
        <w:t xml:space="preserve">e </w:t>
      </w:r>
      <w:r w:rsidR="00975724">
        <w:t xml:space="preserve">quantitative and/or qualitative </w:t>
      </w:r>
      <w:r w:rsidR="0067653D">
        <w:t>information</w:t>
      </w:r>
      <w:r w:rsidR="00975724">
        <w:t>.</w:t>
      </w:r>
    </w:p>
    <w:p w14:paraId="33D6A073" w14:textId="66B5499A" w:rsidR="00AC3E15" w:rsidRDefault="00AC3E15" w:rsidP="00846CE2">
      <w:pPr>
        <w:pStyle w:val="BodyText"/>
      </w:pPr>
      <w:r>
        <w:t xml:space="preserve">Each evaluation approach has strengths and limitations in different contexts. For example, randomised control trials (RCTs) are often considered to produce the strongest form of evidence, but provide limited insights about how or why the program worked (or did not work), and results may not be applicable to ‘real world’ circumstances. </w:t>
      </w:r>
      <w:r w:rsidRPr="00D80C2B">
        <w:t xml:space="preserve">For policies and programs affecting Aboriginal and Torres Strait Islander </w:t>
      </w:r>
      <w:r w:rsidRPr="00994669">
        <w:t xml:space="preserve">people, participatory approaches can be an effective way of incorporating </w:t>
      </w:r>
      <w:r>
        <w:t>Aboriginal and Torres Strait Islander</w:t>
      </w:r>
      <w:r w:rsidRPr="00994669">
        <w:t xml:space="preserve"> views into evaluation</w:t>
      </w:r>
      <w:r>
        <w:t xml:space="preserve"> design. T</w:t>
      </w:r>
      <w:r w:rsidRPr="00994669">
        <w:t xml:space="preserve">here is growing recognition that </w:t>
      </w:r>
      <w:r>
        <w:t xml:space="preserve">Aboriginal and Torres Strait Islander </w:t>
      </w:r>
      <w:r w:rsidRPr="00994669">
        <w:t xml:space="preserve">involvement must extend </w:t>
      </w:r>
      <w:r w:rsidRPr="000E2A4B">
        <w:rPr>
          <w:i/>
        </w:rPr>
        <w:t>beyond</w:t>
      </w:r>
      <w:r w:rsidRPr="00D80C2B">
        <w:t xml:space="preserve"> evaluation to the design and implementation of policies themselves</w:t>
      </w:r>
      <w:r>
        <w:t>. T</w:t>
      </w:r>
      <w:r w:rsidRPr="00D80C2B">
        <w:t>his model of partnership between governments and Aboriginal and Torres Strait Islander people th</w:t>
      </w:r>
      <w:r w:rsidRPr="00994669">
        <w:t>roughout the policy process is often referred to as ‘co</w:t>
      </w:r>
      <w:r>
        <w:noBreakHyphen/>
      </w:r>
      <w:r w:rsidRPr="00994669">
        <w:t>d</w:t>
      </w:r>
      <w:r>
        <w:t>esign</w:t>
      </w:r>
      <w:r w:rsidRPr="00D80C2B">
        <w:t xml:space="preserve">’. </w:t>
      </w:r>
      <w:r w:rsidRPr="000E2A4B">
        <w:t xml:space="preserve">The NSW Government’s OCHRE (Opportunity, Choice, Healing, Responsibility, </w:t>
      </w:r>
      <w:proofErr w:type="gramStart"/>
      <w:r w:rsidRPr="000E2A4B">
        <w:t>Empowerment</w:t>
      </w:r>
      <w:proofErr w:type="gramEnd"/>
      <w:r w:rsidRPr="000E2A4B">
        <w:t>) Plan espouses this approach</w:t>
      </w:r>
      <w:r>
        <w:t xml:space="preserve"> </w:t>
      </w:r>
      <w:r w:rsidRPr="008E6015">
        <w:rPr>
          <w:szCs w:val="24"/>
        </w:rPr>
        <w:t>(NSW Department of Aboriginal Affairs 2018)</w:t>
      </w:r>
      <w:r>
        <w:t>.</w:t>
      </w:r>
    </w:p>
    <w:p w14:paraId="3E447928" w14:textId="0EBA1EF6" w:rsidR="005A2EE1" w:rsidRDefault="005A2EE1" w:rsidP="00AC3E1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D5BCD" w14:paraId="2E4FE2F5" w14:textId="77777777" w:rsidTr="00727A3A">
        <w:trPr>
          <w:tblHeader/>
        </w:trPr>
        <w:tc>
          <w:tcPr>
            <w:tcW w:w="5000" w:type="pct"/>
            <w:tcBorders>
              <w:top w:val="single" w:sz="6" w:space="0" w:color="78A22F"/>
              <w:left w:val="nil"/>
              <w:bottom w:val="nil"/>
              <w:right w:val="nil"/>
            </w:tcBorders>
            <w:shd w:val="clear" w:color="auto" w:fill="F2F2F2"/>
          </w:tcPr>
          <w:p w14:paraId="13B55378" w14:textId="0EBA1EF6" w:rsidR="00FD5BCD" w:rsidRDefault="00FD5BCD" w:rsidP="00727A3A">
            <w:pPr>
              <w:pStyle w:val="BoxTitle"/>
            </w:pPr>
            <w:r>
              <w:rPr>
                <w:b w:val="0"/>
              </w:rPr>
              <w:t xml:space="preserve">Box </w:t>
            </w:r>
            <w:bookmarkStart w:id="101" w:name="OLE_LINK11"/>
            <w:r w:rsidR="00E109F5">
              <w:rPr>
                <w:b w:val="0"/>
                <w:noProof/>
              </w:rPr>
              <w:t>3</w:t>
            </w:r>
            <w:bookmarkEnd w:id="101"/>
            <w:r>
              <w:tab/>
            </w:r>
            <w:r w:rsidR="0001226B">
              <w:t>A</w:t>
            </w:r>
            <w:r>
              <w:t>pproaches to evaluation</w:t>
            </w:r>
          </w:p>
        </w:tc>
      </w:tr>
      <w:tr w:rsidR="00FD5BCD" w14:paraId="156B4F94" w14:textId="77777777" w:rsidTr="00727A3A">
        <w:tc>
          <w:tcPr>
            <w:tcW w:w="5000" w:type="pct"/>
            <w:tcBorders>
              <w:top w:val="nil"/>
              <w:left w:val="nil"/>
              <w:bottom w:val="nil"/>
              <w:right w:val="nil"/>
            </w:tcBorders>
            <w:shd w:val="clear" w:color="auto" w:fill="F2F2F2"/>
          </w:tcPr>
          <w:p w14:paraId="400FF355" w14:textId="4932D33B" w:rsidR="00A2609A" w:rsidRDefault="00FD5BCD" w:rsidP="00727A3A">
            <w:pPr>
              <w:pStyle w:val="Box"/>
            </w:pPr>
            <w:r w:rsidRPr="00A2609A">
              <w:rPr>
                <w:b/>
              </w:rPr>
              <w:t>Developmental evaluation</w:t>
            </w:r>
            <w:r w:rsidRPr="004F398E">
              <w:rPr>
                <w:i/>
              </w:rPr>
              <w:t xml:space="preserve"> </w:t>
            </w:r>
            <w:r>
              <w:t>is</w:t>
            </w:r>
            <w:r w:rsidRPr="004F398E">
              <w:rPr>
                <w:i/>
              </w:rPr>
              <w:t xml:space="preserve"> </w:t>
            </w:r>
            <w:r>
              <w:t>fast</w:t>
            </w:r>
            <w:r w:rsidRPr="004F398E">
              <w:t xml:space="preserve"> paced</w:t>
            </w:r>
            <w:r w:rsidR="00224130">
              <w:t xml:space="preserve"> and</w:t>
            </w:r>
            <w:r w:rsidRPr="004F398E">
              <w:t xml:space="preserve"> iterative</w:t>
            </w:r>
            <w:r w:rsidR="00224130">
              <w:t>, and</w:t>
            </w:r>
            <w:r w:rsidRPr="004F398E">
              <w:t xml:space="preserve"> intended to provide timely feedback as the program develops. </w:t>
            </w:r>
            <w:r>
              <w:t>The evaluator is part of the design team and evaluate</w:t>
            </w:r>
            <w:r w:rsidR="00A3317A">
              <w:t>s</w:t>
            </w:r>
            <w:r>
              <w:t xml:space="preserve"> both process and outcomes. </w:t>
            </w:r>
            <w:r w:rsidRPr="004F398E">
              <w:t xml:space="preserve">It is </w:t>
            </w:r>
            <w:r w:rsidRPr="004F398E">
              <w:lastRenderedPageBreak/>
              <w:t>often used</w:t>
            </w:r>
            <w:r w:rsidR="00AC55E0">
              <w:t xml:space="preserve"> where the solution to a problem is not immediately clear or where the environment </w:t>
            </w:r>
            <w:r w:rsidR="00A3317A">
              <w:t>in which</w:t>
            </w:r>
            <w:r w:rsidR="00AC55E0">
              <w:t xml:space="preserve"> the policy is being implemented </w:t>
            </w:r>
            <w:r w:rsidR="00A3317A">
              <w:t>is changing</w:t>
            </w:r>
            <w:r w:rsidRPr="004F398E">
              <w:t>.</w:t>
            </w:r>
            <w:r w:rsidR="001C46C1">
              <w:t xml:space="preserve"> </w:t>
            </w:r>
          </w:p>
          <w:p w14:paraId="4C4C1033" w14:textId="331CDBEB" w:rsidR="00FD5BCD" w:rsidRDefault="00FD5BCD" w:rsidP="00727A3A">
            <w:pPr>
              <w:pStyle w:val="Box"/>
            </w:pPr>
            <w:r w:rsidRPr="00A2609A">
              <w:rPr>
                <w:b/>
              </w:rPr>
              <w:t>Experimental designs</w:t>
            </w:r>
            <w:r>
              <w:rPr>
                <w:i/>
              </w:rPr>
              <w:t xml:space="preserve"> </w:t>
            </w:r>
            <w:r>
              <w:t>generally take the form of a randomised control trial (</w:t>
            </w:r>
            <w:r w:rsidR="00A3317A">
              <w:t>RCT</w:t>
            </w:r>
            <w:r>
              <w:t xml:space="preserve">). RCTs </w:t>
            </w:r>
            <w:r w:rsidR="00A3317A">
              <w:t>randomly</w:t>
            </w:r>
            <w:r>
              <w:t xml:space="preserve"> allocate individuals into a policy ‘treatment’ group or a control group. As both groups are </w:t>
            </w:r>
            <w:r w:rsidR="007C2B7D">
              <w:t>subject</w:t>
            </w:r>
            <w:r>
              <w:t xml:space="preserve"> to the same </w:t>
            </w:r>
            <w:r w:rsidR="007C2B7D">
              <w:t>conditions</w:t>
            </w:r>
            <w:r w:rsidR="00E968F4">
              <w:t>,</w:t>
            </w:r>
            <w:r>
              <w:t xml:space="preserve"> except for </w:t>
            </w:r>
            <w:r w:rsidR="00E968F4">
              <w:t>exposure to</w:t>
            </w:r>
            <w:r>
              <w:t xml:space="preserve"> the policy, any </w:t>
            </w:r>
            <w:r w:rsidR="00D249CB">
              <w:t xml:space="preserve">subsequent </w:t>
            </w:r>
            <w:r>
              <w:t xml:space="preserve">differences between groups can be attributed to the policy. </w:t>
            </w:r>
          </w:p>
          <w:p w14:paraId="05238CD2" w14:textId="2F688818" w:rsidR="00A2609A" w:rsidRDefault="00FD5BCD" w:rsidP="00727A3A">
            <w:pPr>
              <w:pStyle w:val="Box"/>
            </w:pPr>
            <w:r w:rsidRPr="00A2609A">
              <w:rPr>
                <w:b/>
              </w:rPr>
              <w:t>Realist evaluation</w:t>
            </w:r>
            <w:r>
              <w:rPr>
                <w:i/>
              </w:rPr>
              <w:t xml:space="preserve"> </w:t>
            </w:r>
            <w:r>
              <w:t xml:space="preserve">seeks not to determine ‘what works’, but ‘what works, for whom and in what contexts’. </w:t>
            </w:r>
            <w:r w:rsidR="00AC55E0">
              <w:t xml:space="preserve">It recognises that policies are unlikely to work in every circumstance, </w:t>
            </w:r>
            <w:r w:rsidR="00166EA0">
              <w:t xml:space="preserve">and </w:t>
            </w:r>
            <w:r>
              <w:t xml:space="preserve">focuses heavily on </w:t>
            </w:r>
            <w:r w:rsidR="00166EA0">
              <w:t>the</w:t>
            </w:r>
            <w:r w:rsidR="00AC55E0">
              <w:t xml:space="preserve"> specific </w:t>
            </w:r>
            <w:r>
              <w:t xml:space="preserve">context </w:t>
            </w:r>
            <w:r w:rsidR="00166EA0">
              <w:t>to examine</w:t>
            </w:r>
            <w:r>
              <w:t xml:space="preserve"> </w:t>
            </w:r>
            <w:r w:rsidRPr="00BB308F">
              <w:rPr>
                <w:i/>
              </w:rPr>
              <w:t>how</w:t>
            </w:r>
            <w:r>
              <w:t xml:space="preserve"> an intervention </w:t>
            </w:r>
            <w:r w:rsidR="00AC55E0">
              <w:t xml:space="preserve">leads to change. In general, realist evaluation </w:t>
            </w:r>
            <w:r w:rsidR="00EF102D">
              <w:t>incorporates</w:t>
            </w:r>
            <w:r w:rsidR="00AC55E0">
              <w:t xml:space="preserve"> program logics that outline in theory how a policy might achieve an outcome and then tests these logics with stakeholders. </w:t>
            </w:r>
          </w:p>
          <w:p w14:paraId="1F593C54" w14:textId="556F11BD" w:rsidR="00FD5BCD" w:rsidRDefault="00FD5BCD" w:rsidP="00727A3A">
            <w:pPr>
              <w:pStyle w:val="Box"/>
            </w:pPr>
            <w:r w:rsidRPr="00430056">
              <w:rPr>
                <w:b/>
              </w:rPr>
              <w:t>Participatory evaluation</w:t>
            </w:r>
            <w:r>
              <w:rPr>
                <w:i/>
              </w:rPr>
              <w:t xml:space="preserve"> </w:t>
            </w:r>
            <w:r>
              <w:t xml:space="preserve">involves stakeholders </w:t>
            </w:r>
            <w:r w:rsidR="00BB308F">
              <w:t>and program participants</w:t>
            </w:r>
            <w:r>
              <w:t xml:space="preserve"> in the evaluation process. It covers a broad range of types of participation and there can be disagreement about what participation means. Participation can occur at any stage of the process</w:t>
            </w:r>
            <w:r w:rsidR="00543DB2">
              <w:t>, including</w:t>
            </w:r>
            <w:r>
              <w:t xml:space="preserve"> design, data collection, analysis, </w:t>
            </w:r>
            <w:r w:rsidR="00F33B52">
              <w:t>management</w:t>
            </w:r>
            <w:r>
              <w:t xml:space="preserve"> </w:t>
            </w:r>
            <w:r w:rsidR="00BB308F">
              <w:t xml:space="preserve">and </w:t>
            </w:r>
            <w:r>
              <w:t xml:space="preserve">reporting. </w:t>
            </w:r>
          </w:p>
          <w:p w14:paraId="7DF404DB" w14:textId="3F88D1D6" w:rsidR="00A2609A" w:rsidRPr="005F5F2E" w:rsidRDefault="00B65523" w:rsidP="00BE28E9">
            <w:pPr>
              <w:pStyle w:val="Box"/>
            </w:pPr>
            <w:r>
              <w:rPr>
                <w:b/>
              </w:rPr>
              <w:t xml:space="preserve">Economic </w:t>
            </w:r>
            <w:r w:rsidRPr="002909C8">
              <w:rPr>
                <w:b/>
              </w:rPr>
              <w:t>evaluation</w:t>
            </w:r>
            <w:r w:rsidRPr="002909C8">
              <w:t xml:space="preserve"> </w:t>
            </w:r>
            <w:r w:rsidR="002909C8" w:rsidRPr="002909C8">
              <w:t>use</w:t>
            </w:r>
            <w:r w:rsidR="002909C8">
              <w:t>s</w:t>
            </w:r>
            <w:r w:rsidR="002909C8" w:rsidRPr="002909C8">
              <w:t xml:space="preserve"> systematic quantitative methods </w:t>
            </w:r>
            <w:r w:rsidR="002909C8">
              <w:t>to assess choices</w:t>
            </w:r>
            <w:r w:rsidR="002909C8" w:rsidRPr="002909C8">
              <w:t xml:space="preserve"> </w:t>
            </w:r>
            <w:r w:rsidR="002909C8">
              <w:t>and achieve</w:t>
            </w:r>
            <w:r w:rsidR="002909C8" w:rsidRPr="002909C8">
              <w:t xml:space="preserve"> optimal outcomes</w:t>
            </w:r>
            <w:r w:rsidR="002909C8">
              <w:t>, such as analysing</w:t>
            </w:r>
            <w:r>
              <w:t xml:space="preserve"> </w:t>
            </w:r>
            <w:r w:rsidR="002909C8">
              <w:t xml:space="preserve">a program’s </w:t>
            </w:r>
            <w:r w:rsidR="00D0029D">
              <w:t>costs and benefits. There are particular challenges with measuring intangibl</w:t>
            </w:r>
            <w:r w:rsidR="002909C8">
              <w:t xml:space="preserve">e costs and </w:t>
            </w:r>
            <w:r w:rsidR="00D0029D">
              <w:t xml:space="preserve">benefits. </w:t>
            </w:r>
          </w:p>
        </w:tc>
      </w:tr>
      <w:tr w:rsidR="00FD5BCD" w14:paraId="231A3966" w14:textId="77777777" w:rsidTr="00727A3A">
        <w:tc>
          <w:tcPr>
            <w:tcW w:w="5000" w:type="pct"/>
            <w:tcBorders>
              <w:top w:val="nil"/>
              <w:left w:val="nil"/>
              <w:bottom w:val="nil"/>
              <w:right w:val="nil"/>
            </w:tcBorders>
            <w:shd w:val="clear" w:color="auto" w:fill="F2F2F2"/>
          </w:tcPr>
          <w:p w14:paraId="50D8AAB8" w14:textId="7546C741" w:rsidR="00FD5BCD" w:rsidRDefault="00FD5BCD" w:rsidP="00F2346C">
            <w:pPr>
              <w:pStyle w:val="BoxSource"/>
            </w:pPr>
            <w:r>
              <w:rPr>
                <w:i/>
              </w:rPr>
              <w:lastRenderedPageBreak/>
              <w:t>Sources</w:t>
            </w:r>
            <w:r w:rsidRPr="00167F06">
              <w:t>:</w:t>
            </w:r>
            <w:r w:rsidR="002809F0">
              <w:t xml:space="preserve"> Better Evaluation </w:t>
            </w:r>
            <w:r w:rsidR="002809F0" w:rsidRPr="003E41C3">
              <w:rPr>
                <w:rFonts w:cs="Arial"/>
              </w:rPr>
              <w:t>(</w:t>
            </w:r>
            <w:proofErr w:type="spellStart"/>
            <w:r w:rsidR="002809F0" w:rsidRPr="003E41C3">
              <w:rPr>
                <w:rFonts w:cs="Arial"/>
              </w:rPr>
              <w:t>nd</w:t>
            </w:r>
            <w:proofErr w:type="spellEnd"/>
            <w:r w:rsidR="002809F0" w:rsidRPr="003E41C3">
              <w:rPr>
                <w:rFonts w:cs="Arial"/>
              </w:rPr>
              <w:t>)</w:t>
            </w:r>
            <w:r w:rsidR="00F2346C">
              <w:t>;</w:t>
            </w:r>
            <w:r w:rsidR="002809F0">
              <w:t xml:space="preserve"> </w:t>
            </w:r>
            <w:proofErr w:type="spellStart"/>
            <w:r w:rsidR="002809F0">
              <w:t>Guijt</w:t>
            </w:r>
            <w:proofErr w:type="spellEnd"/>
            <w:r w:rsidR="002809F0">
              <w:t xml:space="preserve"> </w:t>
            </w:r>
            <w:r w:rsidR="002809F0" w:rsidRPr="00697DC8">
              <w:rPr>
                <w:rFonts w:cs="Arial"/>
              </w:rPr>
              <w:t>(2014)</w:t>
            </w:r>
            <w:r w:rsidR="00F2346C">
              <w:t>;</w:t>
            </w:r>
            <w:r w:rsidR="002809F0">
              <w:t xml:space="preserve"> Katz et al</w:t>
            </w:r>
            <w:proofErr w:type="gramStart"/>
            <w:r w:rsidR="002809F0">
              <w:t>.</w:t>
            </w:r>
            <w:r w:rsidR="002809F0" w:rsidRPr="006B0F68">
              <w:rPr>
                <w:rFonts w:cs="Arial"/>
              </w:rPr>
              <w:t>(</w:t>
            </w:r>
            <w:proofErr w:type="gramEnd"/>
            <w:r w:rsidR="002809F0" w:rsidRPr="006B0F68">
              <w:rPr>
                <w:rFonts w:cs="Arial"/>
              </w:rPr>
              <w:t>2016)</w:t>
            </w:r>
            <w:r w:rsidR="00F2346C">
              <w:t>;</w:t>
            </w:r>
            <w:r w:rsidR="002809F0">
              <w:t xml:space="preserve"> </w:t>
            </w:r>
            <w:r w:rsidR="000C1C00">
              <w:t>PC</w:t>
            </w:r>
            <w:r w:rsidR="002809F0">
              <w:t xml:space="preserve"> </w:t>
            </w:r>
            <w:r w:rsidR="002809F0" w:rsidRPr="009436B9">
              <w:rPr>
                <w:rFonts w:cs="Arial"/>
              </w:rPr>
              <w:t>(2010)</w:t>
            </w:r>
            <w:r w:rsidR="006F46D7">
              <w:t>.</w:t>
            </w:r>
          </w:p>
        </w:tc>
      </w:tr>
      <w:tr w:rsidR="00FD5BCD" w14:paraId="12C08DA5" w14:textId="77777777" w:rsidTr="00727A3A">
        <w:tc>
          <w:tcPr>
            <w:tcW w:w="5000" w:type="pct"/>
            <w:tcBorders>
              <w:top w:val="nil"/>
              <w:left w:val="nil"/>
              <w:bottom w:val="single" w:sz="6" w:space="0" w:color="78A22F"/>
              <w:right w:val="nil"/>
            </w:tcBorders>
            <w:shd w:val="clear" w:color="auto" w:fill="F2F2F2"/>
          </w:tcPr>
          <w:p w14:paraId="4018CEC1" w14:textId="77777777" w:rsidR="00FD5BCD" w:rsidRDefault="00FD5BCD" w:rsidP="00727A3A">
            <w:pPr>
              <w:pStyle w:val="Box"/>
              <w:spacing w:before="0" w:line="120" w:lineRule="exact"/>
            </w:pPr>
          </w:p>
        </w:tc>
      </w:tr>
      <w:tr w:rsidR="00FD5BCD" w:rsidRPr="000863A5" w14:paraId="1AB52257" w14:textId="77777777" w:rsidTr="00727A3A">
        <w:tc>
          <w:tcPr>
            <w:tcW w:w="5000" w:type="pct"/>
            <w:tcBorders>
              <w:top w:val="single" w:sz="6" w:space="0" w:color="78A22F"/>
              <w:left w:val="nil"/>
              <w:bottom w:val="nil"/>
              <w:right w:val="nil"/>
            </w:tcBorders>
          </w:tcPr>
          <w:p w14:paraId="0006AA05" w14:textId="38B80B94" w:rsidR="00FD5BCD" w:rsidRPr="00626D32" w:rsidRDefault="00FD5BCD" w:rsidP="00727A3A">
            <w:pPr>
              <w:pStyle w:val="BoxSpaceBelow"/>
            </w:pPr>
          </w:p>
        </w:tc>
      </w:tr>
    </w:tbl>
    <w:p w14:paraId="06401A3E" w14:textId="2F42A32B" w:rsidR="00D80C2B" w:rsidRDefault="00561784" w:rsidP="00561784">
      <w:pPr>
        <w:pStyle w:val="BodyText"/>
      </w:pPr>
      <w:r>
        <w:t>Ultimately, the choice of approach should take into consideration the evaluation’s purpose, the nature of the program or policy, its stage of implementation, resource constraints including budget, time and data, and the target population or group. T</w:t>
      </w:r>
      <w:r w:rsidRPr="00BC12E7">
        <w:t>he</w:t>
      </w:r>
      <w:r>
        <w:t>re may also be merit in</w:t>
      </w:r>
      <w:r w:rsidRPr="00BC12E7">
        <w:t xml:space="preserve"> using multiple approaches</w:t>
      </w:r>
      <w:r>
        <w:t xml:space="preserve"> and methods in an evaluation — </w:t>
      </w:r>
      <w:r w:rsidRPr="00BC12E7">
        <w:t xml:space="preserve">for example using a statistical design to quantify an impact and pairing </w:t>
      </w:r>
      <w:r>
        <w:t>this</w:t>
      </w:r>
      <w:r w:rsidRPr="00BC12E7">
        <w:t xml:space="preserve"> with a participatory approach to </w:t>
      </w:r>
      <w:r>
        <w:t xml:space="preserve">gain more understanding of what is influencing outcomes </w:t>
      </w:r>
      <w:r w:rsidRPr="006D4CFC">
        <w:rPr>
          <w:szCs w:val="24"/>
        </w:rPr>
        <w:t>(PC 2010)</w:t>
      </w:r>
      <w:r>
        <w:t>.</w:t>
      </w:r>
      <w:r w:rsidR="00497BE2">
        <w:t xml:space="preserve"> </w:t>
      </w:r>
      <w:r w:rsidR="0096268C">
        <w:t>Indigenous</w:t>
      </w:r>
      <w:r w:rsidR="00442E24">
        <w:noBreakHyphen/>
      </w:r>
      <w:r w:rsidR="00D80C2B">
        <w:t xml:space="preserve">specific </w:t>
      </w:r>
      <w:r w:rsidR="0096268C">
        <w:t>approaches to evaluation</w:t>
      </w:r>
      <w:r w:rsidR="00A94364">
        <w:t xml:space="preserve"> are</w:t>
      </w:r>
      <w:r w:rsidR="008B643F">
        <w:t xml:space="preserve"> becoming more widely recognised and valued.</w:t>
      </w:r>
      <w:r w:rsidR="0096268C" w:rsidDel="008B643F">
        <w:t xml:space="preserve"> </w:t>
      </w:r>
      <w:r w:rsidR="00435F09">
        <w:t xml:space="preserve">Such </w:t>
      </w:r>
      <w:r w:rsidR="00D80C2B">
        <w:t xml:space="preserve">approaches </w:t>
      </w:r>
      <w:r w:rsidR="0096268C">
        <w:t xml:space="preserve">seek to </w:t>
      </w:r>
      <w:r w:rsidR="00D80C2B">
        <w:t xml:space="preserve">explicitly </w:t>
      </w:r>
      <w:r w:rsidR="0096268C">
        <w:t xml:space="preserve">incorporate </w:t>
      </w:r>
      <w:r w:rsidR="0062616C">
        <w:t xml:space="preserve">Aboriginal and Torres Strait Islander </w:t>
      </w:r>
      <w:r w:rsidR="0096268C">
        <w:t xml:space="preserve">knowledges </w:t>
      </w:r>
      <w:r w:rsidR="00D80C2B">
        <w:t>into evaluation</w:t>
      </w:r>
      <w:r w:rsidR="00435F09">
        <w:t xml:space="preserve"> (box</w:t>
      </w:r>
      <w:r w:rsidR="00442E24">
        <w:t> </w:t>
      </w:r>
      <w:r w:rsidR="00435F09">
        <w:t xml:space="preserve">8, </w:t>
      </w:r>
      <w:r w:rsidR="00CE1DC0">
        <w:t xml:space="preserve">in </w:t>
      </w:r>
      <w:r w:rsidR="00435F09">
        <w:t>section</w:t>
      </w:r>
      <w:r w:rsidR="00442E24">
        <w:t> </w:t>
      </w:r>
      <w:r w:rsidR="00435F09">
        <w:t>4)</w:t>
      </w:r>
      <w:r w:rsidR="00D80C2B">
        <w:t xml:space="preserve">, </w:t>
      </w:r>
      <w:r w:rsidR="0096268C">
        <w:t xml:space="preserve">and bring </w:t>
      </w:r>
      <w:r w:rsidR="0062616C">
        <w:t xml:space="preserve">Aboriginal and Torres Strait Islander </w:t>
      </w:r>
      <w:r w:rsidR="0096268C">
        <w:t xml:space="preserve">voices to the fore. </w:t>
      </w:r>
      <w:r w:rsidR="00437202">
        <w:t>They recognise</w:t>
      </w:r>
      <w:r w:rsidR="00D04C97">
        <w:t xml:space="preserve"> long histories of culture, lore and practice</w:t>
      </w:r>
      <w:r w:rsidR="000B7532">
        <w:t xml:space="preserve"> in </w:t>
      </w:r>
      <w:r w:rsidR="00896FF1">
        <w:t>evaluating</w:t>
      </w:r>
      <w:r w:rsidR="00D04C97">
        <w:t xml:space="preserve"> what wor</w:t>
      </w:r>
      <w:r w:rsidR="000B7532">
        <w:t>k</w:t>
      </w:r>
      <w:r w:rsidR="00D04C97">
        <w:t xml:space="preserve">s in </w:t>
      </w:r>
      <w:r w:rsidR="00542976">
        <w:t xml:space="preserve">Aboriginal and Torres Strait Islander </w:t>
      </w:r>
      <w:r w:rsidR="00D04C97">
        <w:t>cultures and societies.</w:t>
      </w:r>
      <w:r w:rsidR="0096268C" w:rsidDel="00D04C97">
        <w:t xml:space="preserve"> </w:t>
      </w:r>
      <w:r w:rsidR="00D04C97">
        <w:t xml:space="preserve">These approaches </w:t>
      </w:r>
      <w:r w:rsidR="0096268C">
        <w:t>have a particular focus on self-</w:t>
      </w:r>
      <w:r w:rsidR="0096268C" w:rsidRPr="00A27918">
        <w:t>determination, often</w:t>
      </w:r>
      <w:r w:rsidR="0096268C">
        <w:t xml:space="preserve"> requiring that </w:t>
      </w:r>
      <w:r w:rsidR="00CE7810">
        <w:lastRenderedPageBreak/>
        <w:t>Aboriginal and Torres Strait Islander</w:t>
      </w:r>
      <w:r w:rsidR="0096268C">
        <w:t xml:space="preserve"> individuals and communities be involved in shaping the evaluation </w:t>
      </w:r>
      <w:r w:rsidR="00896FF1" w:rsidRPr="00896FF1">
        <w:rPr>
          <w:szCs w:val="24"/>
        </w:rPr>
        <w:t>(Katz et al. 2016)</w:t>
      </w:r>
      <w:r w:rsidR="0096268C">
        <w:t xml:space="preserve">. Even though </w:t>
      </w:r>
      <w:r w:rsidR="003F2A60">
        <w:t>such</w:t>
      </w:r>
      <w:r w:rsidR="0096268C">
        <w:t xml:space="preserve"> approaches do not </w:t>
      </w:r>
      <w:r w:rsidR="00FD1082">
        <w:t>dictate a particular method</w:t>
      </w:r>
      <w:r w:rsidR="0096268C">
        <w:t>, there are</w:t>
      </w:r>
      <w:r w:rsidR="00CE7810">
        <w:t xml:space="preserve"> a growing number of Indigenous</w:t>
      </w:r>
      <w:r w:rsidR="00442E24">
        <w:noBreakHyphen/>
      </w:r>
      <w:r w:rsidR="0096268C">
        <w:t xml:space="preserve">specific data collection methods, such as </w:t>
      </w:r>
      <w:proofErr w:type="spellStart"/>
      <w:r w:rsidR="0096268C">
        <w:t>ganma</w:t>
      </w:r>
      <w:proofErr w:type="spellEnd"/>
      <w:r w:rsidR="0096268C">
        <w:t xml:space="preserve"> (knowledge sharing), yarning (storytelling) and </w:t>
      </w:r>
      <w:proofErr w:type="spellStart"/>
      <w:r w:rsidR="0096268C">
        <w:t>dadirri</w:t>
      </w:r>
      <w:proofErr w:type="spellEnd"/>
      <w:r w:rsidR="0096268C">
        <w:t xml:space="preserve"> (li</w:t>
      </w:r>
      <w:r w:rsidR="006B081D">
        <w:t xml:space="preserve">stening) </w:t>
      </w:r>
      <w:r w:rsidR="008B643F" w:rsidRPr="008B643F">
        <w:rPr>
          <w:szCs w:val="24"/>
        </w:rPr>
        <w:t>(</w:t>
      </w:r>
      <w:proofErr w:type="spellStart"/>
      <w:r w:rsidR="008B643F" w:rsidRPr="008B643F">
        <w:rPr>
          <w:szCs w:val="24"/>
        </w:rPr>
        <w:t>Laycock</w:t>
      </w:r>
      <w:proofErr w:type="spellEnd"/>
      <w:r w:rsidR="008B643F" w:rsidRPr="008B643F">
        <w:rPr>
          <w:szCs w:val="24"/>
        </w:rPr>
        <w:t xml:space="preserve"> et al. 2011)</w:t>
      </w:r>
      <w:r w:rsidR="008B643F">
        <w:t>.</w:t>
      </w:r>
      <w:r w:rsidR="00FD1082">
        <w:t xml:space="preserve"> </w:t>
      </w:r>
    </w:p>
    <w:p w14:paraId="1F9C6EF5" w14:textId="58A4DF8A" w:rsidR="00A27918" w:rsidRPr="00AC3E15" w:rsidRDefault="00A27918" w:rsidP="00A27918">
      <w:pPr>
        <w:pStyle w:val="BodyText"/>
        <w:rPr>
          <w:spacing w:val="2"/>
        </w:rPr>
      </w:pPr>
      <w:r w:rsidRPr="00AC3E15">
        <w:rPr>
          <w:spacing w:val="2"/>
        </w:rPr>
        <w:t>For evaluators, there may be tensions between relying on</w:t>
      </w:r>
      <w:r w:rsidRPr="00AC3E15" w:rsidDel="008B643F">
        <w:rPr>
          <w:spacing w:val="2"/>
        </w:rPr>
        <w:t xml:space="preserve"> </w:t>
      </w:r>
      <w:r w:rsidR="002B6CC4" w:rsidRPr="00AC3E15">
        <w:rPr>
          <w:spacing w:val="2"/>
        </w:rPr>
        <w:t>W</w:t>
      </w:r>
      <w:r w:rsidRPr="00AC3E15">
        <w:rPr>
          <w:spacing w:val="2"/>
        </w:rPr>
        <w:t xml:space="preserve">estern evaluation approaches and methods, and adopting models that are specific to Indigenous contexts. The Commission is seeking views on how evaluation can better incorporate </w:t>
      </w:r>
      <w:r w:rsidR="0062616C" w:rsidRPr="00AC3E15">
        <w:rPr>
          <w:spacing w:val="2"/>
        </w:rPr>
        <w:t xml:space="preserve">Aboriginal and Torres Strait Islander </w:t>
      </w:r>
      <w:r w:rsidRPr="00AC3E15">
        <w:rPr>
          <w:spacing w:val="2"/>
        </w:rPr>
        <w:t xml:space="preserve">knowledges and voices, </w:t>
      </w:r>
      <w:r w:rsidR="005C4AE9" w:rsidRPr="00AC3E15">
        <w:rPr>
          <w:spacing w:val="2"/>
        </w:rPr>
        <w:t>and</w:t>
      </w:r>
      <w:r w:rsidRPr="00AC3E15">
        <w:rPr>
          <w:spacing w:val="2"/>
        </w:rPr>
        <w:t xml:space="preserve"> </w:t>
      </w:r>
      <w:r w:rsidR="00E20FB4" w:rsidRPr="00AC3E15">
        <w:rPr>
          <w:spacing w:val="2"/>
        </w:rPr>
        <w:t>how</w:t>
      </w:r>
      <w:r w:rsidRPr="00AC3E15">
        <w:rPr>
          <w:spacing w:val="2"/>
        </w:rPr>
        <w:t xml:space="preserve"> </w:t>
      </w:r>
      <w:r w:rsidR="000B7532" w:rsidRPr="00AC3E15">
        <w:rPr>
          <w:spacing w:val="2"/>
        </w:rPr>
        <w:t xml:space="preserve">Indigenous </w:t>
      </w:r>
      <w:r w:rsidR="00EB6C27" w:rsidRPr="00AC3E15">
        <w:rPr>
          <w:spacing w:val="2"/>
        </w:rPr>
        <w:t>and</w:t>
      </w:r>
      <w:r w:rsidR="000B7532" w:rsidRPr="00AC3E15">
        <w:rPr>
          <w:spacing w:val="2"/>
        </w:rPr>
        <w:t xml:space="preserve"> Western </w:t>
      </w:r>
      <w:r w:rsidR="00EB6C27" w:rsidRPr="00AC3E15">
        <w:rPr>
          <w:spacing w:val="2"/>
        </w:rPr>
        <w:t xml:space="preserve">approaches </w:t>
      </w:r>
      <w:r w:rsidR="00727A12" w:rsidRPr="00AC3E15">
        <w:rPr>
          <w:spacing w:val="2"/>
        </w:rPr>
        <w:t>may</w:t>
      </w:r>
      <w:r w:rsidR="00EB6C27" w:rsidRPr="00AC3E15">
        <w:rPr>
          <w:spacing w:val="2"/>
        </w:rPr>
        <w:t xml:space="preserve"> </w:t>
      </w:r>
      <w:r w:rsidR="005C4AE9" w:rsidRPr="00AC3E15">
        <w:rPr>
          <w:spacing w:val="2"/>
        </w:rPr>
        <w:t>be successfully integrated</w:t>
      </w:r>
      <w:r w:rsidR="000B7532" w:rsidRPr="00AC3E15">
        <w:rPr>
          <w:spacing w:val="2"/>
        </w:rPr>
        <w:t>.</w:t>
      </w:r>
    </w:p>
    <w:p w14:paraId="796DB4BB" w14:textId="6450BEEE" w:rsidR="00070667" w:rsidRPr="004E3B94" w:rsidRDefault="00070667" w:rsidP="00A51C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70667" w14:paraId="3087969A" w14:textId="77777777" w:rsidTr="00A51C85">
        <w:trPr>
          <w:tblHeader/>
        </w:trPr>
        <w:tc>
          <w:tcPr>
            <w:tcW w:w="5000" w:type="pct"/>
            <w:tcBorders>
              <w:top w:val="single" w:sz="6" w:space="0" w:color="78A22F"/>
              <w:left w:val="nil"/>
              <w:bottom w:val="nil"/>
              <w:right w:val="nil"/>
            </w:tcBorders>
            <w:shd w:val="clear" w:color="auto" w:fill="auto"/>
          </w:tcPr>
          <w:p w14:paraId="00BB67BE" w14:textId="360C25E8" w:rsidR="00070667" w:rsidRPr="00CE4C64" w:rsidRDefault="00070667" w:rsidP="00A51C85">
            <w:pPr>
              <w:pStyle w:val="InformationRequestTitle"/>
              <w:spacing w:before="120"/>
            </w:pPr>
            <w:r>
              <w:t>Questions on evaluation approaches and methods</w:t>
            </w:r>
          </w:p>
        </w:tc>
      </w:tr>
      <w:tr w:rsidR="00070667" w:rsidRPr="00750BE2" w14:paraId="6857152F" w14:textId="77777777" w:rsidTr="00A51C85">
        <w:tc>
          <w:tcPr>
            <w:tcW w:w="5000" w:type="pct"/>
            <w:tcBorders>
              <w:top w:val="nil"/>
              <w:left w:val="nil"/>
              <w:bottom w:val="nil"/>
              <w:right w:val="nil"/>
            </w:tcBorders>
            <w:shd w:val="clear" w:color="auto" w:fill="auto"/>
          </w:tcPr>
          <w:p w14:paraId="35997C8F" w14:textId="77777777" w:rsidR="00AD74C6" w:rsidRDefault="00070667" w:rsidP="00070667">
            <w:pPr>
              <w:pStyle w:val="InformationRequest"/>
              <w:keepNext/>
            </w:pPr>
            <w:r>
              <w:t xml:space="preserve">Which evaluation approaches and methods are particularly suited to </w:t>
            </w:r>
            <w:r w:rsidR="004819D3">
              <w:t>policies and programs</w:t>
            </w:r>
            <w:r>
              <w:t xml:space="preserve"> affecting Aboriginal and Torres Strait Islander people? </w:t>
            </w:r>
          </w:p>
          <w:p w14:paraId="0CC73906" w14:textId="3C64C23D" w:rsidR="00070667" w:rsidRPr="00AC3E15" w:rsidRDefault="00070667" w:rsidP="00070667">
            <w:pPr>
              <w:pStyle w:val="InformationRequest"/>
              <w:keepNext/>
              <w:rPr>
                <w:spacing w:val="-4"/>
              </w:rPr>
            </w:pPr>
            <w:r w:rsidRPr="00AC3E15">
              <w:rPr>
                <w:spacing w:val="-4"/>
              </w:rPr>
              <w:t xml:space="preserve">What </w:t>
            </w:r>
            <w:r w:rsidR="009B504D" w:rsidRPr="00AC3E15">
              <w:rPr>
                <w:spacing w:val="-4"/>
              </w:rPr>
              <w:t>factors (</w:t>
            </w:r>
            <w:r w:rsidR="00B30C0B" w:rsidRPr="00AC3E15">
              <w:rPr>
                <w:spacing w:val="-4"/>
              </w:rPr>
              <w:t>for example,</w:t>
            </w:r>
            <w:r w:rsidR="009B504D" w:rsidRPr="00AC3E15">
              <w:rPr>
                <w:spacing w:val="-4"/>
              </w:rPr>
              <w:t xml:space="preserve"> circumstances or program characteristics) should</w:t>
            </w:r>
            <w:r w:rsidRPr="00AC3E15">
              <w:rPr>
                <w:spacing w:val="-4"/>
              </w:rPr>
              <w:t xml:space="preserve"> be considered when choosing the most appropriate evaluati</w:t>
            </w:r>
            <w:r w:rsidR="007E550D" w:rsidRPr="00AC3E15">
              <w:rPr>
                <w:spacing w:val="-4"/>
              </w:rPr>
              <w:t xml:space="preserve">on approach </w:t>
            </w:r>
            <w:r w:rsidR="00035FF5" w:rsidRPr="00AC3E15">
              <w:rPr>
                <w:spacing w:val="-4"/>
              </w:rPr>
              <w:t>or</w:t>
            </w:r>
            <w:r w:rsidR="007E550D" w:rsidRPr="00AC3E15">
              <w:rPr>
                <w:spacing w:val="-4"/>
              </w:rPr>
              <w:t xml:space="preserve"> method, a</w:t>
            </w:r>
            <w:r w:rsidR="009B504D" w:rsidRPr="00AC3E15">
              <w:rPr>
                <w:spacing w:val="-4"/>
              </w:rPr>
              <w:t>nd why?</w:t>
            </w:r>
          </w:p>
          <w:p w14:paraId="2BEDF849" w14:textId="3AC15937" w:rsidR="003B36F1" w:rsidRDefault="003B36F1" w:rsidP="00070667">
            <w:pPr>
              <w:pStyle w:val="InformationRequest"/>
              <w:keepNext/>
            </w:pPr>
            <w:r>
              <w:t>Which</w:t>
            </w:r>
            <w:r w:rsidR="00070667">
              <w:t xml:space="preserve"> evaluation</w:t>
            </w:r>
            <w:r w:rsidR="00AD74C6">
              <w:t xml:space="preserve"> </w:t>
            </w:r>
            <w:r w:rsidR="00070667">
              <w:t>approaches are best suited to encouraging self</w:t>
            </w:r>
            <w:r w:rsidR="00442E24">
              <w:noBreakHyphen/>
            </w:r>
            <w:r w:rsidR="00070667">
              <w:t xml:space="preserve">determination and </w:t>
            </w:r>
            <w:r w:rsidR="006E078F">
              <w:t>valuing</w:t>
            </w:r>
            <w:r w:rsidR="00070667" w:rsidDel="0062616C">
              <w:t xml:space="preserve"> </w:t>
            </w:r>
            <w:r w:rsidR="0062616C">
              <w:t xml:space="preserve">Aboriginal and Torres Strait Islander </w:t>
            </w:r>
            <w:r w:rsidR="00070667">
              <w:t>knowledges</w:t>
            </w:r>
            <w:r w:rsidR="0042521B">
              <w:t>? W</w:t>
            </w:r>
            <w:r>
              <w:t>hy are they suitable</w:t>
            </w:r>
            <w:r w:rsidR="006E078F">
              <w:t>?</w:t>
            </w:r>
          </w:p>
          <w:p w14:paraId="51E3589F" w14:textId="635ACBBA" w:rsidR="00070667" w:rsidRPr="00697DC8" w:rsidRDefault="005C4AE9" w:rsidP="00070667">
            <w:pPr>
              <w:pStyle w:val="InformationRequest"/>
              <w:keepNext/>
            </w:pPr>
            <w:r>
              <w:t>In what ways can</w:t>
            </w:r>
            <w:r w:rsidRPr="005C4AE9">
              <w:t xml:space="preserve"> Indigenous and Western evaluation approaches </w:t>
            </w:r>
            <w:r>
              <w:t>be successfully combined?</w:t>
            </w:r>
          </w:p>
          <w:p w14:paraId="5CA95CB9" w14:textId="16A440BE" w:rsidR="00070667" w:rsidRPr="006E7EE2" w:rsidRDefault="00070667" w:rsidP="00070667">
            <w:pPr>
              <w:pStyle w:val="InformationRequest"/>
              <w:keepNext/>
            </w:pPr>
            <w:r w:rsidRPr="000D5EF5">
              <w:t xml:space="preserve">What </w:t>
            </w:r>
            <w:r>
              <w:t xml:space="preserve">are the benefits, costs and challenges associated with </w:t>
            </w:r>
            <w:r w:rsidRPr="000D5EF5">
              <w:t>implement</w:t>
            </w:r>
            <w:r>
              <w:t>ing</w:t>
            </w:r>
            <w:r w:rsidRPr="000D5EF5">
              <w:t xml:space="preserve"> randomised control trials</w:t>
            </w:r>
            <w:r>
              <w:t>? W</w:t>
            </w:r>
            <w:r w:rsidRPr="000D5EF5">
              <w:t>hat are the most satisfactory alternatives</w:t>
            </w:r>
            <w:r w:rsidR="007E550D">
              <w:t>, and why</w:t>
            </w:r>
            <w:r w:rsidRPr="000D5EF5">
              <w:t>?</w:t>
            </w:r>
          </w:p>
        </w:tc>
      </w:tr>
      <w:tr w:rsidR="00070667" w14:paraId="4CAB53EC" w14:textId="77777777" w:rsidTr="00A51C85">
        <w:tc>
          <w:tcPr>
            <w:tcW w:w="5000" w:type="pct"/>
            <w:tcBorders>
              <w:top w:val="nil"/>
              <w:left w:val="nil"/>
              <w:bottom w:val="single" w:sz="6" w:space="0" w:color="78A22F"/>
              <w:right w:val="nil"/>
            </w:tcBorders>
            <w:shd w:val="clear" w:color="auto" w:fill="auto"/>
          </w:tcPr>
          <w:p w14:paraId="6FD4AADA" w14:textId="77777777" w:rsidR="00070667" w:rsidRDefault="00070667" w:rsidP="00A51C85">
            <w:pPr>
              <w:pStyle w:val="Space"/>
              <w:keepLines/>
            </w:pPr>
          </w:p>
        </w:tc>
      </w:tr>
      <w:tr w:rsidR="00070667" w:rsidRPr="000863A5" w14:paraId="3FC9FD01" w14:textId="77777777" w:rsidTr="00A51C85">
        <w:tc>
          <w:tcPr>
            <w:tcW w:w="5000" w:type="pct"/>
            <w:tcBorders>
              <w:top w:val="single" w:sz="6" w:space="0" w:color="78A22F"/>
              <w:left w:val="nil"/>
              <w:bottom w:val="nil"/>
              <w:right w:val="nil"/>
            </w:tcBorders>
          </w:tcPr>
          <w:p w14:paraId="63BF5FC5" w14:textId="5E615008" w:rsidR="00070667" w:rsidRPr="00626D32" w:rsidRDefault="00070667" w:rsidP="00A51C85">
            <w:pPr>
              <w:pStyle w:val="BoxSpaceBelow"/>
              <w:keepLines/>
            </w:pPr>
          </w:p>
        </w:tc>
      </w:tr>
    </w:tbl>
    <w:p w14:paraId="2D3872B1" w14:textId="2EDBE729" w:rsidR="00FD5BCD" w:rsidRDefault="005B51B1" w:rsidP="005B51B1">
      <w:pPr>
        <w:pStyle w:val="Heading3"/>
      </w:pPr>
      <w:bookmarkStart w:id="102" w:name="_Toc10710002"/>
      <w:bookmarkStart w:id="103" w:name="_Toc10734426"/>
      <w:bookmarkStart w:id="104" w:name="_Toc10735498"/>
      <w:bookmarkStart w:id="105" w:name="_Toc10794227"/>
      <w:bookmarkStart w:id="106" w:name="_Toc10795562"/>
      <w:bookmarkStart w:id="107" w:name="_Toc10795707"/>
      <w:bookmarkStart w:id="108" w:name="_Toc10802394"/>
      <w:bookmarkStart w:id="109" w:name="_Toc10808040"/>
      <w:bookmarkStart w:id="110" w:name="_Toc10808781"/>
      <w:bookmarkStart w:id="111" w:name="_Toc12272482"/>
      <w:r>
        <w:t>What are the benefits, costs and challenges of evaluation?</w:t>
      </w:r>
      <w:bookmarkEnd w:id="102"/>
      <w:bookmarkEnd w:id="103"/>
      <w:bookmarkEnd w:id="104"/>
      <w:bookmarkEnd w:id="105"/>
      <w:bookmarkEnd w:id="106"/>
      <w:bookmarkEnd w:id="107"/>
      <w:bookmarkEnd w:id="108"/>
      <w:bookmarkEnd w:id="109"/>
      <w:bookmarkEnd w:id="110"/>
      <w:bookmarkEnd w:id="111"/>
    </w:p>
    <w:p w14:paraId="5F11F79A" w14:textId="1729F53E" w:rsidR="000F7C59" w:rsidRDefault="004C5E10" w:rsidP="00AC3E15">
      <w:pPr>
        <w:pStyle w:val="Heading4"/>
        <w:spacing w:before="240"/>
      </w:pPr>
      <w:r>
        <w:t>Evaluation can have wide</w:t>
      </w:r>
      <w:r w:rsidR="00442E24">
        <w:noBreakHyphen/>
      </w:r>
      <w:r>
        <w:t>reaching benefits</w:t>
      </w:r>
    </w:p>
    <w:p w14:paraId="191EDE98" w14:textId="5E749ADE" w:rsidR="00FD5BCD" w:rsidRPr="00AC3E15" w:rsidRDefault="00153F3B" w:rsidP="0003145E">
      <w:pPr>
        <w:pStyle w:val="BodyText"/>
        <w:rPr>
          <w:spacing w:val="-2"/>
        </w:rPr>
      </w:pPr>
      <w:r w:rsidRPr="00AC3E15">
        <w:rPr>
          <w:spacing w:val="-2"/>
          <w:szCs w:val="24"/>
        </w:rPr>
        <w:t>For</w:t>
      </w:r>
      <w:r w:rsidR="00FD5BCD" w:rsidRPr="00AC3E15" w:rsidDel="00153F3B">
        <w:rPr>
          <w:spacing w:val="-2"/>
          <w:szCs w:val="24"/>
        </w:rPr>
        <w:t xml:space="preserve"> </w:t>
      </w:r>
      <w:r w:rsidR="00FD5BCD" w:rsidRPr="00AC3E15">
        <w:rPr>
          <w:spacing w:val="-2"/>
          <w:szCs w:val="24"/>
        </w:rPr>
        <w:t>government</w:t>
      </w:r>
      <w:r w:rsidRPr="00AC3E15">
        <w:rPr>
          <w:spacing w:val="-2"/>
          <w:szCs w:val="24"/>
        </w:rPr>
        <w:t>s and policy</w:t>
      </w:r>
      <w:r w:rsidR="00442E24" w:rsidRPr="00AC3E15">
        <w:rPr>
          <w:spacing w:val="-2"/>
          <w:szCs w:val="24"/>
        </w:rPr>
        <w:noBreakHyphen/>
      </w:r>
      <w:r w:rsidRPr="00AC3E15">
        <w:rPr>
          <w:spacing w:val="-2"/>
          <w:szCs w:val="24"/>
        </w:rPr>
        <w:t>makers</w:t>
      </w:r>
      <w:r w:rsidR="00FD5BCD" w:rsidRPr="00AC3E15">
        <w:rPr>
          <w:spacing w:val="-2"/>
          <w:szCs w:val="24"/>
        </w:rPr>
        <w:t xml:space="preserve">, evaluation </w:t>
      </w:r>
      <w:r w:rsidRPr="00AC3E15">
        <w:rPr>
          <w:spacing w:val="-2"/>
          <w:szCs w:val="24"/>
        </w:rPr>
        <w:t>is crucial for building an evidence base about what works and why. It can</w:t>
      </w:r>
      <w:r w:rsidR="00FD5BCD" w:rsidRPr="00AC3E15" w:rsidDel="00153F3B">
        <w:rPr>
          <w:spacing w:val="-2"/>
          <w:szCs w:val="24"/>
        </w:rPr>
        <w:t xml:space="preserve"> </w:t>
      </w:r>
      <w:r w:rsidR="00FD5BCD" w:rsidRPr="00AC3E15">
        <w:rPr>
          <w:spacing w:val="-2"/>
          <w:szCs w:val="24"/>
        </w:rPr>
        <w:t xml:space="preserve">determine whether a policy or program is producing its intended outcomes, </w:t>
      </w:r>
      <w:r w:rsidR="006F34CB" w:rsidRPr="00AC3E15">
        <w:rPr>
          <w:spacing w:val="-2"/>
          <w:szCs w:val="24"/>
        </w:rPr>
        <w:t>or</w:t>
      </w:r>
      <w:r w:rsidR="00FD5BCD" w:rsidRPr="00AC3E15">
        <w:rPr>
          <w:spacing w:val="-2"/>
          <w:szCs w:val="24"/>
        </w:rPr>
        <w:t xml:space="preserve"> whether there are better </w:t>
      </w:r>
      <w:r w:rsidR="00FD5BCD" w:rsidRPr="00AC3E15">
        <w:rPr>
          <w:spacing w:val="-2"/>
          <w:szCs w:val="24"/>
        </w:rPr>
        <w:lastRenderedPageBreak/>
        <w:t xml:space="preserve">ways of achieving </w:t>
      </w:r>
      <w:r w:rsidRPr="00AC3E15">
        <w:rPr>
          <w:spacing w:val="-2"/>
          <w:szCs w:val="24"/>
        </w:rPr>
        <w:t>those</w:t>
      </w:r>
      <w:r w:rsidR="00FD5BCD" w:rsidRPr="00AC3E15">
        <w:rPr>
          <w:spacing w:val="-2"/>
          <w:szCs w:val="24"/>
        </w:rPr>
        <w:t xml:space="preserve"> outcomes </w:t>
      </w:r>
      <w:r w:rsidR="003E41C3" w:rsidRPr="00AC3E15">
        <w:rPr>
          <w:spacing w:val="-2"/>
          <w:szCs w:val="24"/>
        </w:rPr>
        <w:t>(Rogers et al. 2015)</w:t>
      </w:r>
      <w:r w:rsidR="00FD5BCD" w:rsidRPr="00AC3E15">
        <w:rPr>
          <w:spacing w:val="-2"/>
          <w:szCs w:val="24"/>
        </w:rPr>
        <w:t>.</w:t>
      </w:r>
      <w:r w:rsidRPr="00AC3E15">
        <w:rPr>
          <w:spacing w:val="-2"/>
          <w:szCs w:val="24"/>
        </w:rPr>
        <w:t xml:space="preserve"> </w:t>
      </w:r>
      <w:r w:rsidR="00267618" w:rsidRPr="00AC3E15">
        <w:rPr>
          <w:spacing w:val="-2"/>
          <w:szCs w:val="24"/>
        </w:rPr>
        <w:t>E</w:t>
      </w:r>
      <w:r w:rsidRPr="00AC3E15">
        <w:rPr>
          <w:spacing w:val="-2"/>
          <w:szCs w:val="24"/>
        </w:rPr>
        <w:t>valuation help</w:t>
      </w:r>
      <w:r w:rsidR="006F34CB" w:rsidRPr="00AC3E15">
        <w:rPr>
          <w:spacing w:val="-2"/>
          <w:szCs w:val="24"/>
        </w:rPr>
        <w:t>s</w:t>
      </w:r>
      <w:r w:rsidRPr="00AC3E15">
        <w:rPr>
          <w:spacing w:val="-2"/>
          <w:szCs w:val="24"/>
        </w:rPr>
        <w:t xml:space="preserve"> </w:t>
      </w:r>
      <w:proofErr w:type="gramStart"/>
      <w:r w:rsidRPr="00AC3E15">
        <w:rPr>
          <w:spacing w:val="-2"/>
          <w:szCs w:val="24"/>
        </w:rPr>
        <w:t>decision</w:t>
      </w:r>
      <w:r w:rsidR="00442E24" w:rsidRPr="00AC3E15">
        <w:rPr>
          <w:spacing w:val="-2"/>
          <w:szCs w:val="24"/>
        </w:rPr>
        <w:noBreakHyphen/>
      </w:r>
      <w:r w:rsidRPr="00AC3E15">
        <w:rPr>
          <w:spacing w:val="-2"/>
          <w:szCs w:val="24"/>
        </w:rPr>
        <w:t>makers</w:t>
      </w:r>
      <w:proofErr w:type="gramEnd"/>
      <w:r w:rsidRPr="00AC3E15">
        <w:rPr>
          <w:spacing w:val="-2"/>
          <w:szCs w:val="24"/>
        </w:rPr>
        <w:t xml:space="preserve"> direct scar</w:t>
      </w:r>
      <w:r w:rsidR="00175451" w:rsidRPr="00AC3E15">
        <w:rPr>
          <w:spacing w:val="-2"/>
          <w:szCs w:val="24"/>
        </w:rPr>
        <w:t>c</w:t>
      </w:r>
      <w:r w:rsidRPr="00AC3E15">
        <w:rPr>
          <w:spacing w:val="-2"/>
          <w:szCs w:val="24"/>
        </w:rPr>
        <w:t>e</w:t>
      </w:r>
      <w:r w:rsidR="006F34CB" w:rsidRPr="00AC3E15">
        <w:rPr>
          <w:spacing w:val="-2"/>
          <w:szCs w:val="24"/>
        </w:rPr>
        <w:t xml:space="preserve"> </w:t>
      </w:r>
      <w:r w:rsidRPr="00AC3E15">
        <w:rPr>
          <w:spacing w:val="-2"/>
          <w:szCs w:val="24"/>
        </w:rPr>
        <w:t xml:space="preserve">resources </w:t>
      </w:r>
      <w:r w:rsidR="006F34CB" w:rsidRPr="00AC3E15">
        <w:rPr>
          <w:spacing w:val="-2"/>
          <w:szCs w:val="24"/>
        </w:rPr>
        <w:t xml:space="preserve">to programs that make the </w:t>
      </w:r>
      <w:r w:rsidRPr="00AC3E15">
        <w:rPr>
          <w:spacing w:val="-2"/>
          <w:szCs w:val="24"/>
        </w:rPr>
        <w:t xml:space="preserve">greatest contribution toward the achievement of objectives. </w:t>
      </w:r>
      <w:r w:rsidR="00267618" w:rsidRPr="00AC3E15">
        <w:rPr>
          <w:spacing w:val="-2"/>
          <w:szCs w:val="24"/>
        </w:rPr>
        <w:t xml:space="preserve">Ultimately, </w:t>
      </w:r>
      <w:r w:rsidR="00267618" w:rsidRPr="00AC3E15">
        <w:rPr>
          <w:spacing w:val="-2"/>
        </w:rPr>
        <w:t>b</w:t>
      </w:r>
      <w:r w:rsidR="00AA103B" w:rsidRPr="00AC3E15">
        <w:rPr>
          <w:spacing w:val="-2"/>
        </w:rPr>
        <w:t xml:space="preserve">roader society benefits when </w:t>
      </w:r>
      <w:r w:rsidR="006F34CB" w:rsidRPr="00AC3E15">
        <w:rPr>
          <w:spacing w:val="-2"/>
        </w:rPr>
        <w:t xml:space="preserve">governments are transparent and accountable for </w:t>
      </w:r>
      <w:r w:rsidR="00267618" w:rsidRPr="00AC3E15">
        <w:rPr>
          <w:spacing w:val="-2"/>
        </w:rPr>
        <w:t>their</w:t>
      </w:r>
      <w:r w:rsidR="006F34CB" w:rsidRPr="00AC3E15">
        <w:rPr>
          <w:spacing w:val="-2"/>
        </w:rPr>
        <w:t xml:space="preserve"> </w:t>
      </w:r>
      <w:r w:rsidR="0051761B" w:rsidRPr="00AC3E15">
        <w:rPr>
          <w:spacing w:val="-2"/>
        </w:rPr>
        <w:t xml:space="preserve">performance and </w:t>
      </w:r>
      <w:r w:rsidR="006F34CB" w:rsidRPr="00AC3E15">
        <w:rPr>
          <w:spacing w:val="-2"/>
        </w:rPr>
        <w:t>activities</w:t>
      </w:r>
      <w:r w:rsidR="00AA103B" w:rsidRPr="00AC3E15">
        <w:rPr>
          <w:spacing w:val="-2"/>
        </w:rPr>
        <w:t xml:space="preserve">, </w:t>
      </w:r>
      <w:r w:rsidR="006F34CB" w:rsidRPr="00AC3E15">
        <w:rPr>
          <w:spacing w:val="-2"/>
        </w:rPr>
        <w:t xml:space="preserve">when </w:t>
      </w:r>
      <w:r w:rsidR="00267618" w:rsidRPr="00AC3E15">
        <w:rPr>
          <w:spacing w:val="-2"/>
        </w:rPr>
        <w:t xml:space="preserve">public </w:t>
      </w:r>
      <w:r w:rsidR="009452F6" w:rsidRPr="00AC3E15">
        <w:rPr>
          <w:spacing w:val="-2"/>
        </w:rPr>
        <w:t>funding</w:t>
      </w:r>
      <w:r w:rsidR="006F34CB" w:rsidRPr="00AC3E15">
        <w:rPr>
          <w:spacing w:val="-2"/>
        </w:rPr>
        <w:t xml:space="preserve"> </w:t>
      </w:r>
      <w:r w:rsidR="009452F6" w:rsidRPr="00AC3E15">
        <w:rPr>
          <w:spacing w:val="-2"/>
        </w:rPr>
        <w:t>is</w:t>
      </w:r>
      <w:r w:rsidR="006F34CB" w:rsidRPr="00AC3E15">
        <w:rPr>
          <w:spacing w:val="-2"/>
        </w:rPr>
        <w:t xml:space="preserve"> allocated more efficiently</w:t>
      </w:r>
      <w:r w:rsidR="00267618" w:rsidRPr="00AC3E15">
        <w:rPr>
          <w:spacing w:val="-2"/>
        </w:rPr>
        <w:t>,</w:t>
      </w:r>
      <w:r w:rsidR="006F34CB" w:rsidRPr="00AC3E15">
        <w:rPr>
          <w:spacing w:val="-2"/>
        </w:rPr>
        <w:t xml:space="preserve"> and when public policy is</w:t>
      </w:r>
      <w:r w:rsidR="00FA7244" w:rsidRPr="00AC3E15">
        <w:rPr>
          <w:spacing w:val="-2"/>
        </w:rPr>
        <w:t> </w:t>
      </w:r>
      <w:r w:rsidR="006F34CB" w:rsidRPr="00AC3E15">
        <w:rPr>
          <w:spacing w:val="-2"/>
        </w:rPr>
        <w:t>improved</w:t>
      </w:r>
      <w:r w:rsidR="00AA103B" w:rsidRPr="00AC3E15">
        <w:rPr>
          <w:spacing w:val="-2"/>
        </w:rPr>
        <w:t>.</w:t>
      </w:r>
    </w:p>
    <w:p w14:paraId="5851689A" w14:textId="3A66062C" w:rsidR="00070667" w:rsidRDefault="002623EF" w:rsidP="007D3814">
      <w:pPr>
        <w:pStyle w:val="BodyText"/>
      </w:pPr>
      <w:r>
        <w:t>The benefits of e</w:t>
      </w:r>
      <w:r w:rsidR="007D3814" w:rsidRPr="008548A9">
        <w:t xml:space="preserve">valuation </w:t>
      </w:r>
      <w:r>
        <w:t>are not limited to</w:t>
      </w:r>
      <w:r w:rsidR="003378EE">
        <w:t xml:space="preserve"> government</w:t>
      </w:r>
      <w:r>
        <w:t xml:space="preserve">s </w:t>
      </w:r>
      <w:r w:rsidR="007D3814">
        <w:t>(</w:t>
      </w:r>
      <w:r w:rsidR="007D3814" w:rsidRPr="00606175">
        <w:t>table</w:t>
      </w:r>
      <w:r w:rsidR="00442E24">
        <w:t> </w:t>
      </w:r>
      <w:r w:rsidR="00C71086">
        <w:t>2</w:t>
      </w:r>
      <w:r w:rsidR="007D3814">
        <w:t xml:space="preserve">). For </w:t>
      </w:r>
      <w:r>
        <w:t>example,</w:t>
      </w:r>
      <w:r w:rsidR="007D3814">
        <w:t xml:space="preserve"> </w:t>
      </w:r>
      <w:r w:rsidR="007F4C54">
        <w:t>it</w:t>
      </w:r>
      <w:r>
        <w:t xml:space="preserve"> </w:t>
      </w:r>
      <w:r w:rsidR="007D3814">
        <w:t>offers opportunities</w:t>
      </w:r>
      <w:r w:rsidR="007D3814" w:rsidRPr="008548A9">
        <w:t xml:space="preserve"> </w:t>
      </w:r>
      <w:r>
        <w:t xml:space="preserve">for service providers </w:t>
      </w:r>
      <w:r w:rsidR="007D3814">
        <w:t xml:space="preserve">to </w:t>
      </w:r>
      <w:r w:rsidR="007D3814" w:rsidRPr="008548A9">
        <w:t>learn and reflect</w:t>
      </w:r>
      <w:r w:rsidR="007D3814">
        <w:t xml:space="preserve"> on how to improve organisational capacity and service delivery</w:t>
      </w:r>
      <w:r w:rsidR="006041E7">
        <w:t xml:space="preserve">. </w:t>
      </w:r>
      <w:r w:rsidR="00866B9C">
        <w:t xml:space="preserve">Evaluation can </w:t>
      </w:r>
      <w:r w:rsidR="001D07DA">
        <w:t xml:space="preserve">also </w:t>
      </w:r>
      <w:r w:rsidR="00866B9C">
        <w:t>empower communities to help shape the policies that affect them</w:t>
      </w:r>
      <w:r w:rsidR="006041E7">
        <w:t>, while program users benefit from better programs and</w:t>
      </w:r>
      <w:r w:rsidR="00EE0177">
        <w:t>, ultimately,</w:t>
      </w:r>
      <w:r w:rsidR="006041E7">
        <w:t xml:space="preserve"> </w:t>
      </w:r>
      <w:r w:rsidR="00B30C0B">
        <w:t xml:space="preserve">the achievement of </w:t>
      </w:r>
      <w:r w:rsidR="006041E7">
        <w:t>better outcomes.</w:t>
      </w:r>
    </w:p>
    <w:p w14:paraId="67474721" w14:textId="77777777" w:rsidR="007D3814" w:rsidRPr="008548A9" w:rsidRDefault="007D3814" w:rsidP="007D3814">
      <w:pPr>
        <w:keepNext/>
        <w:spacing w:before="360"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7D3814" w:rsidRPr="008548A9" w14:paraId="46437C60" w14:textId="77777777" w:rsidTr="00C30D7E">
        <w:trPr>
          <w:tblHeader/>
        </w:trPr>
        <w:tc>
          <w:tcPr>
            <w:tcW w:w="5000" w:type="pct"/>
            <w:tcBorders>
              <w:top w:val="single" w:sz="6" w:space="0" w:color="78A22F"/>
              <w:left w:val="nil"/>
              <w:bottom w:val="nil"/>
              <w:right w:val="nil"/>
            </w:tcBorders>
            <w:shd w:val="clear" w:color="auto" w:fill="auto"/>
          </w:tcPr>
          <w:p w14:paraId="3480A4EA" w14:textId="3344841C" w:rsidR="007D3814" w:rsidRPr="00DB0DE0" w:rsidRDefault="007D3814" w:rsidP="007D3814">
            <w:pPr>
              <w:pStyle w:val="TableTitle"/>
            </w:pPr>
            <w:r w:rsidRPr="007D3814">
              <w:rPr>
                <w:b w:val="0"/>
              </w:rPr>
              <w:t xml:space="preserve">Table </w:t>
            </w:r>
            <w:bookmarkStart w:id="112" w:name="OLE_LINK5"/>
            <w:r w:rsidR="00E109F5">
              <w:rPr>
                <w:b w:val="0"/>
                <w:noProof/>
              </w:rPr>
              <w:t>2</w:t>
            </w:r>
            <w:bookmarkEnd w:id="112"/>
            <w:r w:rsidRPr="008548A9">
              <w:tab/>
              <w:t>Benefits of evaluation for stakeholders</w:t>
            </w:r>
          </w:p>
        </w:tc>
      </w:tr>
      <w:tr w:rsidR="007D3814" w:rsidRPr="008548A9" w14:paraId="47BD0A48" w14:textId="77777777" w:rsidTr="00C30D7E">
        <w:tc>
          <w:tcPr>
            <w:tcW w:w="5000" w:type="pct"/>
            <w:tcBorders>
              <w:top w:val="nil"/>
              <w:left w:val="nil"/>
              <w:bottom w:val="nil"/>
              <w:right w:val="nil"/>
            </w:tcBorders>
            <w:shd w:val="clear" w:color="auto" w:fill="auto"/>
          </w:tcPr>
          <w:tbl>
            <w:tblPr>
              <w:tblW w:w="8647" w:type="dxa"/>
              <w:tblCellMar>
                <w:top w:w="28" w:type="dxa"/>
                <w:left w:w="0" w:type="dxa"/>
                <w:right w:w="0" w:type="dxa"/>
              </w:tblCellMar>
              <w:tblLook w:val="0000" w:firstRow="0" w:lastRow="0" w:firstColumn="0" w:lastColumn="0" w:noHBand="0" w:noVBand="0"/>
            </w:tblPr>
            <w:tblGrid>
              <w:gridCol w:w="2127"/>
              <w:gridCol w:w="6520"/>
            </w:tblGrid>
            <w:tr w:rsidR="007D3814" w:rsidRPr="008548A9" w14:paraId="3C9CE726" w14:textId="77777777" w:rsidTr="00C30D7E">
              <w:trPr>
                <w:tblHeader/>
              </w:trPr>
              <w:tc>
                <w:tcPr>
                  <w:tcW w:w="1230" w:type="pct"/>
                  <w:tcBorders>
                    <w:top w:val="single" w:sz="6" w:space="0" w:color="BFBFBF"/>
                    <w:bottom w:val="single" w:sz="6" w:space="0" w:color="BFBFBF"/>
                  </w:tcBorders>
                  <w:shd w:val="clear" w:color="auto" w:fill="auto"/>
                  <w:tcMar>
                    <w:top w:w="28" w:type="dxa"/>
                  </w:tcMar>
                </w:tcPr>
                <w:p w14:paraId="260740C6" w14:textId="77777777" w:rsidR="007D3814" w:rsidRPr="007D3814" w:rsidRDefault="007D3814" w:rsidP="00474338">
                  <w:pPr>
                    <w:pStyle w:val="TableBodyText"/>
                    <w:spacing w:before="80" w:after="80"/>
                    <w:jc w:val="left"/>
                    <w:rPr>
                      <w:i/>
                    </w:rPr>
                  </w:pPr>
                  <w:r w:rsidRPr="007D3814">
                    <w:rPr>
                      <w:i/>
                    </w:rPr>
                    <w:t>Stakeholder</w:t>
                  </w:r>
                </w:p>
              </w:tc>
              <w:tc>
                <w:tcPr>
                  <w:tcW w:w="3770" w:type="pct"/>
                  <w:tcBorders>
                    <w:top w:val="single" w:sz="6" w:space="0" w:color="BFBFBF"/>
                    <w:bottom w:val="single" w:sz="6" w:space="0" w:color="BFBFBF"/>
                  </w:tcBorders>
                </w:tcPr>
                <w:p w14:paraId="7F4CB3DB" w14:textId="77777777" w:rsidR="007D3814" w:rsidRPr="007D3814" w:rsidRDefault="007D3814" w:rsidP="00474338">
                  <w:pPr>
                    <w:pStyle w:val="TableBodyText"/>
                    <w:spacing w:before="80"/>
                    <w:jc w:val="left"/>
                    <w:rPr>
                      <w:i/>
                    </w:rPr>
                  </w:pPr>
                  <w:r w:rsidRPr="007D3814">
                    <w:rPr>
                      <w:i/>
                    </w:rPr>
                    <w:t>Potential benefits</w:t>
                  </w:r>
                </w:p>
              </w:tc>
            </w:tr>
            <w:tr w:rsidR="007D3814" w:rsidRPr="008548A9" w14:paraId="2054E3FF" w14:textId="77777777" w:rsidTr="00474338">
              <w:tc>
                <w:tcPr>
                  <w:tcW w:w="1230" w:type="pct"/>
                  <w:tcBorders>
                    <w:top w:val="single" w:sz="6" w:space="0" w:color="BFBFBF"/>
                  </w:tcBorders>
                  <w:shd w:val="clear" w:color="auto" w:fill="F2F2F2" w:themeFill="background1" w:themeFillShade="F2"/>
                </w:tcPr>
                <w:p w14:paraId="6A5C69C1" w14:textId="77777777" w:rsidR="007D3814" w:rsidRPr="008548A9" w:rsidRDefault="007D3814" w:rsidP="00474338">
                  <w:pPr>
                    <w:pStyle w:val="TableBodyText"/>
                    <w:spacing w:before="40"/>
                    <w:jc w:val="left"/>
                  </w:pPr>
                  <w:r w:rsidRPr="008548A9">
                    <w:t>Government</w:t>
                  </w:r>
                </w:p>
              </w:tc>
              <w:tc>
                <w:tcPr>
                  <w:tcW w:w="3770" w:type="pct"/>
                  <w:tcBorders>
                    <w:top w:val="single" w:sz="6" w:space="0" w:color="BFBFBF"/>
                  </w:tcBorders>
                  <w:shd w:val="clear" w:color="auto" w:fill="F2F2F2" w:themeFill="background1" w:themeFillShade="F2"/>
                </w:tcPr>
                <w:p w14:paraId="7651FFDB" w14:textId="77777777" w:rsidR="007D3814" w:rsidRPr="008548A9" w:rsidRDefault="007D3814" w:rsidP="00474338">
                  <w:pPr>
                    <w:pStyle w:val="TableBodyText"/>
                    <w:spacing w:before="40"/>
                    <w:jc w:val="left"/>
                  </w:pPr>
                  <w:r w:rsidRPr="008548A9">
                    <w:t xml:space="preserve">Information to assist </w:t>
                  </w:r>
                  <w:r>
                    <w:t>policy</w:t>
                  </w:r>
                  <w:r w:rsidRPr="008548A9">
                    <w:t xml:space="preserve"> making</w:t>
                  </w:r>
                </w:p>
                <w:p w14:paraId="42D1603B" w14:textId="77777777" w:rsidR="007D3814" w:rsidRPr="008548A9" w:rsidRDefault="007D3814" w:rsidP="007D3814">
                  <w:pPr>
                    <w:pStyle w:val="TableBodyText"/>
                    <w:jc w:val="left"/>
                  </w:pPr>
                  <w:r w:rsidRPr="008548A9">
                    <w:t>Improved ability to achieve government priorities</w:t>
                  </w:r>
                </w:p>
                <w:p w14:paraId="75659205" w14:textId="77777777" w:rsidR="007D3814" w:rsidRPr="008548A9" w:rsidRDefault="007D3814" w:rsidP="007D3814">
                  <w:pPr>
                    <w:pStyle w:val="TableBodyText"/>
                    <w:jc w:val="left"/>
                  </w:pPr>
                  <w:r w:rsidRPr="008548A9">
                    <w:t>Efficient resource allocation</w:t>
                  </w:r>
                </w:p>
                <w:p w14:paraId="549FBACF" w14:textId="77777777" w:rsidR="007D3814" w:rsidRPr="008548A9" w:rsidRDefault="007D3814" w:rsidP="007D3814">
                  <w:pPr>
                    <w:pStyle w:val="TableBodyText"/>
                    <w:jc w:val="left"/>
                  </w:pPr>
                  <w:r w:rsidRPr="008548A9">
                    <w:t>Highlights achievements and opportunities to strengthen performance</w:t>
                  </w:r>
                </w:p>
                <w:p w14:paraId="0ECE6DBF" w14:textId="77777777" w:rsidR="007D3814" w:rsidRPr="008548A9" w:rsidRDefault="007D3814" w:rsidP="007D3814">
                  <w:pPr>
                    <w:pStyle w:val="TableBodyText"/>
                    <w:jc w:val="left"/>
                  </w:pPr>
                  <w:r w:rsidRPr="008548A9">
                    <w:t>Encourages greater trust in government</w:t>
                  </w:r>
                </w:p>
              </w:tc>
            </w:tr>
            <w:tr w:rsidR="007D3814" w:rsidRPr="008548A9" w14:paraId="6C563A7F" w14:textId="77777777" w:rsidTr="00C30D7E">
              <w:tc>
                <w:tcPr>
                  <w:tcW w:w="1230" w:type="pct"/>
                </w:tcPr>
                <w:p w14:paraId="73BB7C89" w14:textId="77777777" w:rsidR="007D3814" w:rsidRPr="008548A9" w:rsidRDefault="007D3814" w:rsidP="00474338">
                  <w:pPr>
                    <w:pStyle w:val="TableBodyText"/>
                    <w:spacing w:before="40"/>
                    <w:jc w:val="left"/>
                  </w:pPr>
                  <w:r>
                    <w:t>A</w:t>
                  </w:r>
                  <w:r w:rsidRPr="008548A9">
                    <w:t>gencies</w:t>
                  </w:r>
                </w:p>
              </w:tc>
              <w:tc>
                <w:tcPr>
                  <w:tcW w:w="3770" w:type="pct"/>
                </w:tcPr>
                <w:p w14:paraId="7AA577DF" w14:textId="77777777" w:rsidR="007D3814" w:rsidRPr="008548A9" w:rsidRDefault="007D3814" w:rsidP="00474338">
                  <w:pPr>
                    <w:pStyle w:val="TableBodyText"/>
                    <w:spacing w:before="40"/>
                    <w:jc w:val="left"/>
                  </w:pPr>
                  <w:r w:rsidRPr="008548A9">
                    <w:t xml:space="preserve">Stronger </w:t>
                  </w:r>
                  <w:r>
                    <w:t>evidence base</w:t>
                  </w:r>
                  <w:r w:rsidRPr="008548A9">
                    <w:t xml:space="preserve"> for </w:t>
                  </w:r>
                  <w:r>
                    <w:t>advising</w:t>
                  </w:r>
                  <w:r w:rsidRPr="008548A9">
                    <w:t xml:space="preserve"> government and resource allocation</w:t>
                  </w:r>
                </w:p>
                <w:p w14:paraId="38F499A0" w14:textId="3AF8B2A6" w:rsidR="007D3814" w:rsidRPr="008548A9" w:rsidRDefault="007D3814" w:rsidP="007D3814">
                  <w:pPr>
                    <w:pStyle w:val="TableBodyText"/>
                    <w:jc w:val="left"/>
                  </w:pPr>
                  <w:r w:rsidRPr="008548A9">
                    <w:t xml:space="preserve">Builds an agency’s </w:t>
                  </w:r>
                  <w:r w:rsidR="000470CB">
                    <w:t>capacity</w:t>
                  </w:r>
                  <w:r w:rsidRPr="008548A9">
                    <w:t xml:space="preserve"> for innovation and continuous improvement</w:t>
                  </w:r>
                </w:p>
                <w:p w14:paraId="1AB67375" w14:textId="77777777" w:rsidR="007D3814" w:rsidRPr="008548A9" w:rsidRDefault="007D3814" w:rsidP="007D3814">
                  <w:pPr>
                    <w:pStyle w:val="TableBodyText"/>
                    <w:jc w:val="left"/>
                  </w:pPr>
                  <w:r w:rsidRPr="008548A9">
                    <w:t xml:space="preserve">Allows staff to develop </w:t>
                  </w:r>
                  <w:r>
                    <w:t>knowledge,</w:t>
                  </w:r>
                  <w:r w:rsidRPr="008548A9">
                    <w:t xml:space="preserve"> skills, capability and experience</w:t>
                  </w:r>
                </w:p>
                <w:p w14:paraId="64780B4B" w14:textId="77777777" w:rsidR="007D3814" w:rsidRPr="008548A9" w:rsidRDefault="007D3814" w:rsidP="007D3814">
                  <w:pPr>
                    <w:pStyle w:val="TableBodyText"/>
                    <w:jc w:val="left"/>
                  </w:pPr>
                  <w:r w:rsidRPr="008548A9">
                    <w:t>Supports a culture of monitoring and improving performance</w:t>
                  </w:r>
                </w:p>
              </w:tc>
            </w:tr>
            <w:tr w:rsidR="007D3814" w:rsidRPr="008548A9" w14:paraId="5CFFDB75" w14:textId="77777777" w:rsidTr="00474338">
              <w:tc>
                <w:tcPr>
                  <w:tcW w:w="1230" w:type="pct"/>
                  <w:shd w:val="clear" w:color="auto" w:fill="F2F2F2" w:themeFill="background1" w:themeFillShade="F2"/>
                </w:tcPr>
                <w:p w14:paraId="430F1CD0" w14:textId="77777777" w:rsidR="007D3814" w:rsidRPr="008548A9" w:rsidRDefault="007D3814" w:rsidP="00474338">
                  <w:pPr>
                    <w:pStyle w:val="TableBodyText"/>
                    <w:spacing w:before="40"/>
                    <w:jc w:val="left"/>
                  </w:pPr>
                  <w:r>
                    <w:t>Program</w:t>
                  </w:r>
                  <w:r w:rsidRPr="008548A9">
                    <w:t xml:space="preserve"> providers</w:t>
                  </w:r>
                </w:p>
              </w:tc>
              <w:tc>
                <w:tcPr>
                  <w:tcW w:w="3770" w:type="pct"/>
                  <w:shd w:val="clear" w:color="auto" w:fill="F2F2F2" w:themeFill="background1" w:themeFillShade="F2"/>
                </w:tcPr>
                <w:p w14:paraId="35D12903" w14:textId="77777777" w:rsidR="007D3814" w:rsidRPr="008548A9" w:rsidRDefault="007D3814" w:rsidP="00474338">
                  <w:pPr>
                    <w:pStyle w:val="TableBodyText"/>
                    <w:spacing w:before="40"/>
                    <w:jc w:val="left"/>
                  </w:pPr>
                  <w:r w:rsidRPr="008548A9">
                    <w:t>Formal mechanism for learning and reflection</w:t>
                  </w:r>
                </w:p>
                <w:p w14:paraId="341F1C93" w14:textId="77777777" w:rsidR="007D3814" w:rsidRPr="008548A9" w:rsidRDefault="007D3814" w:rsidP="007D3814">
                  <w:pPr>
                    <w:pStyle w:val="TableBodyText"/>
                    <w:jc w:val="left"/>
                  </w:pPr>
                  <w:r w:rsidRPr="008548A9">
                    <w:t>Evidence for the value of a service</w:t>
                  </w:r>
                </w:p>
                <w:p w14:paraId="28980DFE" w14:textId="77777777" w:rsidR="007D3814" w:rsidRPr="008548A9" w:rsidRDefault="007D3814" w:rsidP="007D3814">
                  <w:pPr>
                    <w:pStyle w:val="TableBodyText"/>
                    <w:jc w:val="left"/>
                  </w:pPr>
                  <w:r w:rsidRPr="008548A9">
                    <w:t>Improved service delivery and client satisfaction</w:t>
                  </w:r>
                </w:p>
                <w:p w14:paraId="6C5D93E6" w14:textId="77777777" w:rsidR="007D3814" w:rsidRPr="008548A9" w:rsidRDefault="007D3814" w:rsidP="007D3814">
                  <w:pPr>
                    <w:pStyle w:val="TableBodyText"/>
                    <w:jc w:val="left"/>
                  </w:pPr>
                  <w:r w:rsidRPr="008548A9">
                    <w:t>More opportunity to shape public policy</w:t>
                  </w:r>
                </w:p>
              </w:tc>
            </w:tr>
            <w:tr w:rsidR="007D3814" w:rsidRPr="008548A9" w14:paraId="780E58DB" w14:textId="77777777" w:rsidTr="00C30D7E">
              <w:tc>
                <w:tcPr>
                  <w:tcW w:w="1230" w:type="pct"/>
                  <w:tcBorders>
                    <w:bottom w:val="single" w:sz="6" w:space="0" w:color="BFBFBF"/>
                  </w:tcBorders>
                  <w:shd w:val="clear" w:color="auto" w:fill="auto"/>
                </w:tcPr>
                <w:p w14:paraId="5E930FEA" w14:textId="1826D367" w:rsidR="007D3814" w:rsidRPr="008548A9" w:rsidRDefault="007F4C54" w:rsidP="00474338">
                  <w:pPr>
                    <w:pStyle w:val="TableBodyText"/>
                    <w:spacing w:before="40"/>
                    <w:jc w:val="left"/>
                  </w:pPr>
                  <w:r>
                    <w:t>Communities</w:t>
                  </w:r>
                </w:p>
              </w:tc>
              <w:tc>
                <w:tcPr>
                  <w:tcW w:w="3770" w:type="pct"/>
                  <w:tcBorders>
                    <w:bottom w:val="single" w:sz="6" w:space="0" w:color="BFBFBF"/>
                  </w:tcBorders>
                </w:tcPr>
                <w:p w14:paraId="4AD659E0" w14:textId="77777777" w:rsidR="007D3814" w:rsidRPr="008548A9" w:rsidRDefault="007D3814" w:rsidP="00474338">
                  <w:pPr>
                    <w:pStyle w:val="TableBodyText"/>
                    <w:spacing w:before="40"/>
                    <w:jc w:val="left"/>
                  </w:pPr>
                  <w:r w:rsidRPr="008548A9">
                    <w:t>Better government services</w:t>
                  </w:r>
                </w:p>
                <w:p w14:paraId="1C42C65C" w14:textId="77777777" w:rsidR="007D3814" w:rsidRPr="008548A9" w:rsidRDefault="007D3814" w:rsidP="007D3814">
                  <w:pPr>
                    <w:pStyle w:val="TableBodyText"/>
                    <w:jc w:val="left"/>
                  </w:pPr>
                  <w:r w:rsidRPr="008548A9">
                    <w:t>Enhanced Indigenous voice</w:t>
                  </w:r>
                </w:p>
                <w:p w14:paraId="48C0850C" w14:textId="77777777" w:rsidR="007D3814" w:rsidRPr="008548A9" w:rsidRDefault="007D3814" w:rsidP="007D3814">
                  <w:pPr>
                    <w:pStyle w:val="TableBodyText"/>
                    <w:jc w:val="left"/>
                  </w:pPr>
                  <w:r w:rsidRPr="008548A9">
                    <w:t>Improved information and government reporting</w:t>
                  </w:r>
                </w:p>
                <w:p w14:paraId="1CBCFE18" w14:textId="77777777" w:rsidR="007D3814" w:rsidRPr="008548A9" w:rsidRDefault="007D3814" w:rsidP="007D3814">
                  <w:pPr>
                    <w:pStyle w:val="TableBodyText"/>
                    <w:jc w:val="left"/>
                  </w:pPr>
                  <w:r w:rsidRPr="008548A9">
                    <w:t>Transparent and accountable government</w:t>
                  </w:r>
                </w:p>
                <w:p w14:paraId="196CA54E" w14:textId="77777777" w:rsidR="007D3814" w:rsidRPr="008548A9" w:rsidRDefault="007D3814" w:rsidP="007D3814">
                  <w:pPr>
                    <w:pStyle w:val="TableBodyText"/>
                    <w:jc w:val="left"/>
                  </w:pPr>
                  <w:r w:rsidRPr="008548A9">
                    <w:t xml:space="preserve">Public </w:t>
                  </w:r>
                  <w:r>
                    <w:t>funds</w:t>
                  </w:r>
                  <w:r w:rsidRPr="008548A9">
                    <w:t xml:space="preserve"> used more efficiently</w:t>
                  </w:r>
                </w:p>
              </w:tc>
            </w:tr>
          </w:tbl>
          <w:p w14:paraId="5973BA40" w14:textId="77777777" w:rsidR="007D3814" w:rsidRPr="008548A9" w:rsidRDefault="007D3814" w:rsidP="00C30D7E">
            <w:pPr>
              <w:keepNext/>
              <w:spacing w:before="120" w:line="260" w:lineRule="atLeast"/>
              <w:jc w:val="both"/>
              <w:rPr>
                <w:sz w:val="20"/>
                <w:szCs w:val="20"/>
              </w:rPr>
            </w:pPr>
          </w:p>
        </w:tc>
      </w:tr>
      <w:tr w:rsidR="007D3814" w:rsidRPr="008548A9" w14:paraId="5014AA6F" w14:textId="77777777" w:rsidTr="00C30D7E">
        <w:tc>
          <w:tcPr>
            <w:tcW w:w="5000" w:type="pct"/>
            <w:tcBorders>
              <w:top w:val="nil"/>
              <w:left w:val="nil"/>
              <w:bottom w:val="nil"/>
              <w:right w:val="nil"/>
            </w:tcBorders>
            <w:shd w:val="clear" w:color="auto" w:fill="auto"/>
          </w:tcPr>
          <w:p w14:paraId="3A404E9D" w14:textId="7A4EE3F4" w:rsidR="007D3814" w:rsidRPr="008548A9" w:rsidRDefault="007D3814" w:rsidP="00474338">
            <w:pPr>
              <w:pStyle w:val="Source"/>
              <w:spacing w:before="120"/>
            </w:pPr>
            <w:r w:rsidRPr="007D3814">
              <w:rPr>
                <w:i/>
              </w:rPr>
              <w:t>Source</w:t>
            </w:r>
            <w:r w:rsidRPr="008548A9">
              <w:t xml:space="preserve">: Adapted from </w:t>
            </w:r>
            <w:r w:rsidR="00AA5E11" w:rsidRPr="00AA5E11">
              <w:t>ACT Chief Minister’s Department</w:t>
            </w:r>
            <w:r w:rsidR="00AA5E11">
              <w:t xml:space="preserve"> </w:t>
            </w:r>
            <w:r w:rsidR="00AA5E11" w:rsidRPr="00AA5E11">
              <w:rPr>
                <w:rFonts w:cs="Arial"/>
              </w:rPr>
              <w:t>(2010)</w:t>
            </w:r>
            <w:r w:rsidR="00E738AA">
              <w:t>.</w:t>
            </w:r>
          </w:p>
        </w:tc>
      </w:tr>
      <w:tr w:rsidR="007D3814" w:rsidRPr="008548A9" w14:paraId="5092D8E6" w14:textId="77777777" w:rsidTr="00C30D7E">
        <w:tc>
          <w:tcPr>
            <w:tcW w:w="5000" w:type="pct"/>
            <w:tcBorders>
              <w:top w:val="nil"/>
              <w:left w:val="nil"/>
              <w:bottom w:val="single" w:sz="6" w:space="0" w:color="78A22F"/>
              <w:right w:val="nil"/>
            </w:tcBorders>
            <w:shd w:val="clear" w:color="auto" w:fill="auto"/>
          </w:tcPr>
          <w:p w14:paraId="43DB5684" w14:textId="77777777" w:rsidR="007D3814" w:rsidRPr="008548A9" w:rsidRDefault="007D3814" w:rsidP="00C30D7E">
            <w:pPr>
              <w:keepNext/>
              <w:spacing w:line="120" w:lineRule="exact"/>
              <w:jc w:val="both"/>
              <w:rPr>
                <w:sz w:val="20"/>
                <w:szCs w:val="20"/>
              </w:rPr>
            </w:pPr>
          </w:p>
        </w:tc>
      </w:tr>
      <w:tr w:rsidR="007D3814" w:rsidRPr="008548A9" w14:paraId="56861452" w14:textId="77777777" w:rsidTr="00C30D7E">
        <w:tc>
          <w:tcPr>
            <w:tcW w:w="5000" w:type="pct"/>
            <w:tcBorders>
              <w:top w:val="single" w:sz="6" w:space="0" w:color="78A22F"/>
              <w:left w:val="nil"/>
              <w:bottom w:val="nil"/>
              <w:right w:val="nil"/>
            </w:tcBorders>
          </w:tcPr>
          <w:p w14:paraId="2C97CC51" w14:textId="2D92DF2D" w:rsidR="007D3814" w:rsidRPr="008548A9" w:rsidRDefault="007D3814" w:rsidP="00C30D7E">
            <w:pPr>
              <w:spacing w:before="60" w:after="60" w:line="80" w:lineRule="exact"/>
              <w:jc w:val="both"/>
              <w:rPr>
                <w:sz w:val="14"/>
                <w:szCs w:val="20"/>
              </w:rPr>
            </w:pPr>
          </w:p>
        </w:tc>
      </w:tr>
    </w:tbl>
    <w:p w14:paraId="0CBE1089" w14:textId="354FE3D8" w:rsidR="00757E3F" w:rsidRDefault="00757E3F" w:rsidP="006E059E">
      <w:pPr>
        <w:pStyle w:val="Heading4"/>
      </w:pPr>
      <w:r>
        <w:lastRenderedPageBreak/>
        <w:t>Common evaluation challenges</w:t>
      </w:r>
    </w:p>
    <w:p w14:paraId="73E82C9E" w14:textId="799BD12E" w:rsidR="007D3814" w:rsidRDefault="0003145E" w:rsidP="007D3814">
      <w:pPr>
        <w:pStyle w:val="BodyText"/>
      </w:pPr>
      <w:r>
        <w:t>E</w:t>
      </w:r>
      <w:r w:rsidR="007E5385">
        <w:t xml:space="preserve">valuation of policies and programs is rarely straightforward and </w:t>
      </w:r>
      <w:r w:rsidR="000E1110">
        <w:t>involves costs</w:t>
      </w:r>
      <w:r w:rsidR="00C1140E">
        <w:t>, r</w:t>
      </w:r>
      <w:r w:rsidR="000E1110">
        <w:t>isks</w:t>
      </w:r>
      <w:r w:rsidR="00C1140E">
        <w:t xml:space="preserve"> and challenges</w:t>
      </w:r>
      <w:r w:rsidR="000E1110">
        <w:t>.</w:t>
      </w:r>
      <w:r w:rsidR="00091A52">
        <w:t xml:space="preserve"> </w:t>
      </w:r>
      <w:r w:rsidR="00AB379A">
        <w:t>The</w:t>
      </w:r>
      <w:r w:rsidR="00C1140E">
        <w:t xml:space="preserve"> more common and well</w:t>
      </w:r>
      <w:r w:rsidR="00442E24">
        <w:noBreakHyphen/>
      </w:r>
      <w:r w:rsidR="00C1140E">
        <w:t>documented challenges include</w:t>
      </w:r>
      <w:r w:rsidR="007D3814">
        <w:t xml:space="preserve"> </w:t>
      </w:r>
      <w:r w:rsidR="006D4CFC" w:rsidRPr="006D4CFC">
        <w:rPr>
          <w:szCs w:val="24"/>
        </w:rPr>
        <w:t>(</w:t>
      </w:r>
      <w:proofErr w:type="spellStart"/>
      <w:r w:rsidR="006D4CFC" w:rsidRPr="006D4CFC">
        <w:rPr>
          <w:szCs w:val="24"/>
        </w:rPr>
        <w:t>Gray</w:t>
      </w:r>
      <w:proofErr w:type="spellEnd"/>
      <w:r w:rsidR="006D4CFC" w:rsidRPr="006D4CFC">
        <w:rPr>
          <w:szCs w:val="24"/>
        </w:rPr>
        <w:t xml:space="preserve"> and Bray 2019; Muir and Dean 2017; PC 2010, 2017)</w:t>
      </w:r>
      <w:r w:rsidR="007D3814">
        <w:t xml:space="preserve">: </w:t>
      </w:r>
    </w:p>
    <w:p w14:paraId="2D04A4BB" w14:textId="4C16E291" w:rsidR="00887691" w:rsidRDefault="00C1140E" w:rsidP="00887691">
      <w:pPr>
        <w:pStyle w:val="ListBullet"/>
      </w:pPr>
      <w:r>
        <w:t>the t</w:t>
      </w:r>
      <w:r w:rsidR="00887691" w:rsidRPr="00BC5CB9">
        <w:t xml:space="preserve">ime, resource and practical constraints </w:t>
      </w:r>
      <w:r>
        <w:t>facing government agencies</w:t>
      </w:r>
    </w:p>
    <w:p w14:paraId="326C4E7C" w14:textId="565B6C2D" w:rsidR="00C1140E" w:rsidRDefault="007D3814" w:rsidP="007D3814">
      <w:pPr>
        <w:pStyle w:val="ListBullet"/>
      </w:pPr>
      <w:r>
        <w:t>conflicting evaluation objectives</w:t>
      </w:r>
      <w:r w:rsidR="00576622">
        <w:t xml:space="preserve"> </w:t>
      </w:r>
      <w:r w:rsidR="00D35DE9">
        <w:t>among</w:t>
      </w:r>
      <w:r w:rsidR="00C1140E">
        <w:t xml:space="preserve"> stakeholders</w:t>
      </w:r>
    </w:p>
    <w:p w14:paraId="2630732D" w14:textId="00319D03" w:rsidR="007D3814" w:rsidRDefault="00C1140E" w:rsidP="00FB7ACB">
      <w:pPr>
        <w:pStyle w:val="ListBullet2"/>
      </w:pPr>
      <w:r>
        <w:t>For example, policy makers may be interested in cost effectiveness and performance against a relatively narrow set of outcomes, while</w:t>
      </w:r>
      <w:r w:rsidRPr="002A2CB5" w:rsidDel="00C1140E">
        <w:t xml:space="preserve"> </w:t>
      </w:r>
      <w:r w:rsidRPr="002A2CB5">
        <w:t>program manage</w:t>
      </w:r>
      <w:r>
        <w:t xml:space="preserve">rs, participants or communities may </w:t>
      </w:r>
      <w:r w:rsidR="00122B62">
        <w:t xml:space="preserve">see </w:t>
      </w:r>
      <w:r>
        <w:t>success</w:t>
      </w:r>
      <w:r w:rsidR="00122B62">
        <w:t xml:space="preserve"> differently</w:t>
      </w:r>
      <w:r>
        <w:t>.</w:t>
      </w:r>
      <w:r w:rsidR="00AB36AF">
        <w:t xml:space="preserve"> </w:t>
      </w:r>
      <w:r>
        <w:t xml:space="preserve">This can mean </w:t>
      </w:r>
      <w:r w:rsidR="00576622">
        <w:t>evaluation never get</w:t>
      </w:r>
      <w:r>
        <w:t>s</w:t>
      </w:r>
      <w:r w:rsidR="00576622">
        <w:t xml:space="preserve"> off the ground</w:t>
      </w:r>
      <w:r>
        <w:t>,</w:t>
      </w:r>
      <w:r w:rsidR="00576622">
        <w:t xml:space="preserve"> or </w:t>
      </w:r>
      <w:r w:rsidR="006C63DE">
        <w:t>the</w:t>
      </w:r>
      <w:r w:rsidR="00576622">
        <w:t xml:space="preserve"> credibility</w:t>
      </w:r>
      <w:r w:rsidR="006C63DE">
        <w:t xml:space="preserve"> of results</w:t>
      </w:r>
      <w:r>
        <w:t xml:space="preserve"> is </w:t>
      </w:r>
      <w:r w:rsidR="00051030">
        <w:t>compromis</w:t>
      </w:r>
      <w:r>
        <w:t>ed</w:t>
      </w:r>
    </w:p>
    <w:p w14:paraId="2BBF45A3" w14:textId="67CD4491" w:rsidR="007D3814" w:rsidRDefault="00C1140E" w:rsidP="007D3814">
      <w:pPr>
        <w:pStyle w:val="ListBullet"/>
      </w:pPr>
      <w:r>
        <w:t xml:space="preserve">difficulty </w:t>
      </w:r>
      <w:r w:rsidR="007D3814">
        <w:t>coordinati</w:t>
      </w:r>
      <w:r>
        <w:t xml:space="preserve">ng and overseeing </w:t>
      </w:r>
      <w:r w:rsidR="007D3814">
        <w:t xml:space="preserve">evaluation activities </w:t>
      </w:r>
      <w:r>
        <w:t>(especially where the evaluation is large and involves multiple stakeholders)</w:t>
      </w:r>
    </w:p>
    <w:p w14:paraId="63DF5235" w14:textId="36D35274" w:rsidR="007D3814" w:rsidRDefault="007D3814" w:rsidP="007D3814">
      <w:pPr>
        <w:pStyle w:val="ListBullet"/>
      </w:pPr>
      <w:r w:rsidRPr="00CF7C5A">
        <w:t>attribut</w:t>
      </w:r>
      <w:r w:rsidR="00C1140E">
        <w:t>ing</w:t>
      </w:r>
      <w:r w:rsidRPr="00CF7C5A">
        <w:t xml:space="preserve"> outcomes to </w:t>
      </w:r>
      <w:r w:rsidR="00C1140E">
        <w:t>the</w:t>
      </w:r>
      <w:r w:rsidR="00C1140E" w:rsidRPr="00CF7C5A">
        <w:t xml:space="preserve"> </w:t>
      </w:r>
      <w:r w:rsidRPr="00CF7C5A">
        <w:t>policy or program</w:t>
      </w:r>
      <w:r w:rsidR="00C1140E">
        <w:t xml:space="preserve"> under evaluation (especially where m</w:t>
      </w:r>
      <w:r>
        <w:t xml:space="preserve">ultiple programs </w:t>
      </w:r>
      <w:r w:rsidR="00E26EB8">
        <w:t>with similar objectives</w:t>
      </w:r>
      <w:r>
        <w:t xml:space="preserve"> </w:t>
      </w:r>
      <w:r w:rsidR="00C1140E">
        <w:t>are</w:t>
      </w:r>
      <w:r>
        <w:t xml:space="preserve"> delivered to </w:t>
      </w:r>
      <w:r w:rsidR="00E26EB8">
        <w:t>the same</w:t>
      </w:r>
      <w:r>
        <w:t xml:space="preserve"> population or group</w:t>
      </w:r>
      <w:r w:rsidR="00C1140E">
        <w:t>)</w:t>
      </w:r>
    </w:p>
    <w:p w14:paraId="0961ACD9" w14:textId="4E3C31AB" w:rsidR="007D3814" w:rsidRDefault="00C1140E" w:rsidP="007D3814">
      <w:pPr>
        <w:pStyle w:val="ListBullet"/>
      </w:pPr>
      <w:r>
        <w:t xml:space="preserve">the long-term nature of some policy and program objectives </w:t>
      </w:r>
      <w:r w:rsidR="00BC5871">
        <w:t>can limit the usefulness of short</w:t>
      </w:r>
      <w:r w:rsidR="00442E24">
        <w:noBreakHyphen/>
      </w:r>
      <w:r w:rsidR="00BC5871">
        <w:t xml:space="preserve">term </w:t>
      </w:r>
      <w:r w:rsidR="007D3814">
        <w:t>evaluation</w:t>
      </w:r>
      <w:r w:rsidR="00BC5871">
        <w:t>s</w:t>
      </w:r>
      <w:r w:rsidR="00D90054">
        <w:t xml:space="preserve"> </w:t>
      </w:r>
      <w:r w:rsidRPr="00BD1EC6">
        <w:t xml:space="preserve">(for example, preschool programs aimed </w:t>
      </w:r>
      <w:r w:rsidR="00D90054">
        <w:t>at improving</w:t>
      </w:r>
      <w:r w:rsidRPr="00BD1EC6">
        <w:t xml:space="preserve"> outcomes in later life</w:t>
      </w:r>
      <w:r>
        <w:t>)</w:t>
      </w:r>
    </w:p>
    <w:p w14:paraId="0330C266" w14:textId="7587179E" w:rsidR="00BC5CB9" w:rsidRDefault="00BC5871" w:rsidP="001C7AEA">
      <w:pPr>
        <w:pStyle w:val="ListBullet"/>
      </w:pPr>
      <w:r>
        <w:t xml:space="preserve">establishing </w:t>
      </w:r>
      <w:r w:rsidR="007D3814">
        <w:t xml:space="preserve">the counterfactual </w:t>
      </w:r>
      <w:r>
        <w:t>(</w:t>
      </w:r>
      <w:r w:rsidR="007D3814">
        <w:t>what would have happened in the absence of a prog</w:t>
      </w:r>
      <w:r w:rsidR="001C7AEA">
        <w:t>ram</w:t>
      </w:r>
      <w:r>
        <w:t>)</w:t>
      </w:r>
    </w:p>
    <w:p w14:paraId="6F12963F" w14:textId="031F248C" w:rsidR="00AB6788" w:rsidRDefault="00BC5871" w:rsidP="001C7AEA">
      <w:pPr>
        <w:pStyle w:val="ListBullet"/>
      </w:pPr>
      <w:proofErr w:type="gramStart"/>
      <w:r>
        <w:t>obtaining</w:t>
      </w:r>
      <w:proofErr w:type="gramEnd"/>
      <w:r>
        <w:t xml:space="preserve"> t</w:t>
      </w:r>
      <w:r w:rsidR="00AB6788">
        <w:t xml:space="preserve">he data and evidence required </w:t>
      </w:r>
      <w:r w:rsidR="00DE656B">
        <w:t>for evaluation</w:t>
      </w:r>
      <w:r w:rsidR="00AB6788">
        <w:t xml:space="preserve"> </w:t>
      </w:r>
      <w:r>
        <w:t>(</w:t>
      </w:r>
      <w:r w:rsidR="00EC623D">
        <w:t>especially if</w:t>
      </w:r>
      <w:r w:rsidR="00AB6788">
        <w:t xml:space="preserve"> </w:t>
      </w:r>
      <w:r>
        <w:t xml:space="preserve">it is </w:t>
      </w:r>
      <w:r w:rsidR="00AE08CE">
        <w:t xml:space="preserve">not considered in </w:t>
      </w:r>
      <w:r w:rsidR="00515673">
        <w:t>the</w:t>
      </w:r>
      <w:r w:rsidR="00AE08CE">
        <w:t xml:space="preserve"> </w:t>
      </w:r>
      <w:r>
        <w:t>early stages of policy development)</w:t>
      </w:r>
      <w:r w:rsidR="00AB6788">
        <w:t>.</w:t>
      </w:r>
    </w:p>
    <w:p w14:paraId="53FC692E" w14:textId="2C50D77E" w:rsidR="00C1140E" w:rsidRDefault="00A53743" w:rsidP="00C1140E">
      <w:pPr>
        <w:pStyle w:val="BodyText"/>
      </w:pPr>
      <w:r>
        <w:t>In many cases, it will be possible to overcome some of these challenges</w:t>
      </w:r>
      <w:r w:rsidR="00442E24">
        <w:t xml:space="preserve"> </w:t>
      </w:r>
      <w:r w:rsidR="00E90628">
        <w:t>—</w:t>
      </w:r>
      <w:r w:rsidR="00442E24">
        <w:t xml:space="preserve"> </w:t>
      </w:r>
      <w:r>
        <w:t>for example, by planning for evaluation early in the policy cycle (section</w:t>
      </w:r>
      <w:r w:rsidR="00442E24">
        <w:t> </w:t>
      </w:r>
      <w:r>
        <w:t xml:space="preserve">4), or scaling the evaluation so it is proportionate to the policy or program under consideration. Indeed, expensive ‘gold standard’ evaluation is unlikely to be viable for very small programs with limited budgets (although these low </w:t>
      </w:r>
      <w:r>
        <w:lastRenderedPageBreak/>
        <w:t xml:space="preserve">cost programs can be very successful so there may be benefit in conducting smaller scale evaluations) </w:t>
      </w:r>
      <w:r w:rsidR="003E41C3" w:rsidRPr="003E41C3">
        <w:rPr>
          <w:szCs w:val="24"/>
        </w:rPr>
        <w:t>(Hudson 2017)</w:t>
      </w:r>
      <w:r>
        <w:t xml:space="preserve">. </w:t>
      </w:r>
      <w:r w:rsidR="00DC4B10">
        <w:t>T</w:t>
      </w:r>
      <w:r w:rsidR="00C1140E">
        <w:t>here will always be instances where evaluation is not feasible or cost</w:t>
      </w:r>
      <w:r w:rsidR="00442E24">
        <w:noBreakHyphen/>
      </w:r>
      <w:r w:rsidR="00C1140E">
        <w:t xml:space="preserve">effective. </w:t>
      </w:r>
    </w:p>
    <w:p w14:paraId="5BFB96F9" w14:textId="3181535A" w:rsidR="002A412E" w:rsidRDefault="007164F0" w:rsidP="002A412E">
      <w:pPr>
        <w:pStyle w:val="Heading4"/>
      </w:pPr>
      <w:r>
        <w:t xml:space="preserve">Other </w:t>
      </w:r>
      <w:r w:rsidR="00672E35">
        <w:t>issues in</w:t>
      </w:r>
      <w:r w:rsidR="002A412E">
        <w:t xml:space="preserve"> </w:t>
      </w:r>
      <w:r w:rsidR="00072AB2">
        <w:t xml:space="preserve">Indigenous </w:t>
      </w:r>
      <w:r>
        <w:t>policy and program evaluation</w:t>
      </w:r>
    </w:p>
    <w:p w14:paraId="59D73559" w14:textId="1B41F632" w:rsidR="007D3814" w:rsidRDefault="007164F0" w:rsidP="007D3814">
      <w:pPr>
        <w:pStyle w:val="BodyText"/>
      </w:pPr>
      <w:r>
        <w:t>Some additional factors should be considered to enable successful evaluation</w:t>
      </w:r>
      <w:r w:rsidR="00BF23D3">
        <w:t xml:space="preserve"> </w:t>
      </w:r>
      <w:r>
        <w:t xml:space="preserve">of </w:t>
      </w:r>
      <w:r w:rsidR="004819D3">
        <w:t>policies and programs</w:t>
      </w:r>
      <w:r>
        <w:t xml:space="preserve"> affecting Aboriginal and Torres Strait Islander people</w:t>
      </w:r>
      <w:r w:rsidR="007D3814">
        <w:t>. Evaluation timeframes</w:t>
      </w:r>
      <w:r w:rsidR="00BF23D3">
        <w:t xml:space="preserve"> are problematic if they do</w:t>
      </w:r>
      <w:r w:rsidR="007D3814">
        <w:t xml:space="preserve"> </w:t>
      </w:r>
      <w:r w:rsidR="000A0F40">
        <w:t>not</w:t>
      </w:r>
      <w:r w:rsidR="007D3814">
        <w:t xml:space="preserve"> factor in the need for genuine relationship building and community </w:t>
      </w:r>
      <w:r w:rsidR="00672E35">
        <w:t>participation</w:t>
      </w:r>
      <w:r w:rsidR="007D3814">
        <w:t xml:space="preserve"> </w:t>
      </w:r>
      <w:r w:rsidR="003E41C3" w:rsidRPr="003E41C3">
        <w:rPr>
          <w:szCs w:val="24"/>
        </w:rPr>
        <w:t>(Hudson 2017, p. 6)</w:t>
      </w:r>
      <w:r w:rsidR="007D3814">
        <w:t xml:space="preserve">. </w:t>
      </w:r>
      <w:r w:rsidR="005B0A13">
        <w:t>If external</w:t>
      </w:r>
      <w:r w:rsidR="007D3814">
        <w:t xml:space="preserve"> consultants are </w:t>
      </w:r>
      <w:r w:rsidR="0027473F">
        <w:t>used</w:t>
      </w:r>
      <w:r w:rsidR="0063392C">
        <w:t>, they</w:t>
      </w:r>
      <w:r w:rsidR="007D3814">
        <w:t xml:space="preserve"> </w:t>
      </w:r>
      <w:r w:rsidR="00D0796A">
        <w:t>may</w:t>
      </w:r>
      <w:r w:rsidR="007D3814">
        <w:t xml:space="preserve"> </w:t>
      </w:r>
      <w:r w:rsidR="003C5630">
        <w:t>not have</w:t>
      </w:r>
      <w:r w:rsidR="009C2CFC">
        <w:t xml:space="preserve"> adequate</w:t>
      </w:r>
      <w:r w:rsidR="007D3814">
        <w:t xml:space="preserve"> local knowledge to </w:t>
      </w:r>
      <w:r w:rsidR="005B0A13">
        <w:t>ensure effective</w:t>
      </w:r>
      <w:r w:rsidR="007D3814">
        <w:t xml:space="preserve"> </w:t>
      </w:r>
      <w:r w:rsidR="005B0A13">
        <w:t>engagement</w:t>
      </w:r>
      <w:r w:rsidR="007D3814">
        <w:t xml:space="preserve">. </w:t>
      </w:r>
      <w:r w:rsidR="0062616C">
        <w:t xml:space="preserve">Aboriginal and Torres Strait Islander </w:t>
      </w:r>
      <w:r w:rsidR="007D3814">
        <w:t xml:space="preserve">community organisations </w:t>
      </w:r>
      <w:r w:rsidR="005B0A13">
        <w:t xml:space="preserve">themselves </w:t>
      </w:r>
      <w:r w:rsidR="002519AF">
        <w:t>may</w:t>
      </w:r>
      <w:r w:rsidR="007D3814">
        <w:t xml:space="preserve"> lack funding, incentives or support to develop an internal evaluation or data capacity, while the day</w:t>
      </w:r>
      <w:r w:rsidR="00442E24">
        <w:noBreakHyphen/>
      </w:r>
      <w:r w:rsidR="007D3814">
        <w:t>to</w:t>
      </w:r>
      <w:r w:rsidR="00442E24">
        <w:noBreakHyphen/>
      </w:r>
      <w:r w:rsidR="007D3814">
        <w:t xml:space="preserve">day demands of service delivery can detract from efforts to assess the value of those services </w:t>
      </w:r>
      <w:r w:rsidR="003E41C3" w:rsidRPr="003E41C3">
        <w:rPr>
          <w:szCs w:val="24"/>
        </w:rPr>
        <w:t>(Muir and Dean 2017)</w:t>
      </w:r>
      <w:r w:rsidR="00192288">
        <w:t xml:space="preserve">. </w:t>
      </w:r>
      <w:r w:rsidR="0063392C">
        <w:t>G</w:t>
      </w:r>
      <w:r w:rsidR="00FD0E29">
        <w:t xml:space="preserve">overnment </w:t>
      </w:r>
      <w:r w:rsidR="0063392C">
        <w:t xml:space="preserve">silos </w:t>
      </w:r>
      <w:r w:rsidR="005B0A13">
        <w:t xml:space="preserve">that </w:t>
      </w:r>
      <w:r w:rsidR="0063392C">
        <w:t xml:space="preserve">create structural </w:t>
      </w:r>
      <w:r w:rsidR="005B0A13">
        <w:t xml:space="preserve">inefficiencies in program delivery </w:t>
      </w:r>
      <w:r w:rsidR="0027473F">
        <w:t>may also lead to evaluation overburden;</w:t>
      </w:r>
      <w:r w:rsidR="005B0A13">
        <w:t xml:space="preserve"> organisations may report to </w:t>
      </w:r>
      <w:r w:rsidR="0027473F">
        <w:t>separate</w:t>
      </w:r>
      <w:r w:rsidR="005B0A13">
        <w:t xml:space="preserve"> agencies on </w:t>
      </w:r>
      <w:r w:rsidR="00661CE0">
        <w:t>programs with</w:t>
      </w:r>
      <w:r w:rsidR="005B0A13">
        <w:t xml:space="preserve"> overlapping </w:t>
      </w:r>
      <w:r w:rsidR="00661CE0">
        <w:t>objectives</w:t>
      </w:r>
      <w:r w:rsidR="0027473F">
        <w:t>, while the data and</w:t>
      </w:r>
      <w:r w:rsidR="00FD0E29" w:rsidRPr="00FD0E29">
        <w:t xml:space="preserve"> learnings from </w:t>
      </w:r>
      <w:r w:rsidR="0027473F">
        <w:t>evaluation</w:t>
      </w:r>
      <w:r w:rsidR="00FD0E29" w:rsidRPr="00FD0E29">
        <w:t xml:space="preserve"> may not be shared.</w:t>
      </w:r>
      <w:r w:rsidR="00D14770">
        <w:t xml:space="preserve"> </w:t>
      </w:r>
      <w:r>
        <w:t>These issues can be particularly challenging for evaluation in remote communities.</w:t>
      </w:r>
    </w:p>
    <w:p w14:paraId="53270077" w14:textId="5EC1D65E" w:rsidR="00CF6976" w:rsidRPr="004E3B94" w:rsidRDefault="00CF6976" w:rsidP="00A51C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F6976" w14:paraId="1A381B69" w14:textId="77777777" w:rsidTr="00A51C85">
        <w:trPr>
          <w:tblHeader/>
        </w:trPr>
        <w:tc>
          <w:tcPr>
            <w:tcW w:w="5000" w:type="pct"/>
            <w:tcBorders>
              <w:top w:val="single" w:sz="6" w:space="0" w:color="78A22F"/>
              <w:left w:val="nil"/>
              <w:bottom w:val="nil"/>
              <w:right w:val="nil"/>
            </w:tcBorders>
            <w:shd w:val="clear" w:color="auto" w:fill="auto"/>
          </w:tcPr>
          <w:p w14:paraId="1A49BF2F" w14:textId="4D2298CA" w:rsidR="00CF6976" w:rsidRPr="00CE4C64" w:rsidRDefault="00A51C85" w:rsidP="00A51C85">
            <w:pPr>
              <w:pStyle w:val="InformationRequestTitle"/>
              <w:spacing w:before="120"/>
            </w:pPr>
            <w:r>
              <w:t>Questions on the challenges of evaluation</w:t>
            </w:r>
          </w:p>
        </w:tc>
      </w:tr>
      <w:tr w:rsidR="00CF6976" w:rsidRPr="00750BE2" w14:paraId="5351128C" w14:textId="77777777" w:rsidTr="00A51C85">
        <w:tc>
          <w:tcPr>
            <w:tcW w:w="5000" w:type="pct"/>
            <w:tcBorders>
              <w:top w:val="nil"/>
              <w:left w:val="nil"/>
              <w:bottom w:val="nil"/>
              <w:right w:val="nil"/>
            </w:tcBorders>
            <w:shd w:val="clear" w:color="auto" w:fill="auto"/>
          </w:tcPr>
          <w:p w14:paraId="6D093CE4" w14:textId="48D497F3" w:rsidR="00A51C85" w:rsidRDefault="00A51C85" w:rsidP="00A51C85">
            <w:pPr>
              <w:pStyle w:val="InformationRequest"/>
              <w:keepNext/>
            </w:pPr>
            <w:r>
              <w:t>How can the challenges and complexities associat</w:t>
            </w:r>
            <w:r w:rsidR="0084468E">
              <w:t xml:space="preserve">ed with undertaking evaluation </w:t>
            </w:r>
            <w:r w:rsidR="00415B5B">
              <w:t>be overcome</w:t>
            </w:r>
            <w:r w:rsidR="003B36F1">
              <w:t xml:space="preserve"> </w:t>
            </w:r>
            <w:r w:rsidR="00415B5B">
              <w:t>—</w:t>
            </w:r>
            <w:r w:rsidR="003B36F1">
              <w:t xml:space="preserve"> </w:t>
            </w:r>
            <w:r>
              <w:t xml:space="preserve">both generally, and in Indigenous policy specifically? </w:t>
            </w:r>
          </w:p>
          <w:p w14:paraId="75803A7F" w14:textId="14689568" w:rsidR="00CF6976" w:rsidRPr="006E7EE2" w:rsidRDefault="00A51C85" w:rsidP="00A51C85">
            <w:pPr>
              <w:pStyle w:val="InformationRequest"/>
              <w:keepNext/>
            </w:pPr>
            <w:r>
              <w:t>In what circumstances is evaluation of policies and programs unlikely to be feasible or cost</w:t>
            </w:r>
            <w:r w:rsidR="00442E24">
              <w:noBreakHyphen/>
            </w:r>
            <w:r>
              <w:t>effective?</w:t>
            </w:r>
          </w:p>
        </w:tc>
      </w:tr>
      <w:tr w:rsidR="00CF6976" w14:paraId="2E45516D" w14:textId="77777777" w:rsidTr="00A51C85">
        <w:tc>
          <w:tcPr>
            <w:tcW w:w="5000" w:type="pct"/>
            <w:tcBorders>
              <w:top w:val="nil"/>
              <w:left w:val="nil"/>
              <w:bottom w:val="single" w:sz="6" w:space="0" w:color="78A22F"/>
              <w:right w:val="nil"/>
            </w:tcBorders>
            <w:shd w:val="clear" w:color="auto" w:fill="auto"/>
          </w:tcPr>
          <w:p w14:paraId="68415ACD" w14:textId="77777777" w:rsidR="00CF6976" w:rsidRDefault="00CF6976" w:rsidP="00A51C85">
            <w:pPr>
              <w:pStyle w:val="Space"/>
              <w:keepLines/>
            </w:pPr>
          </w:p>
        </w:tc>
      </w:tr>
      <w:tr w:rsidR="00CF6976" w:rsidRPr="000863A5" w14:paraId="3778A28E" w14:textId="77777777" w:rsidTr="00A51C85">
        <w:tc>
          <w:tcPr>
            <w:tcW w:w="5000" w:type="pct"/>
            <w:tcBorders>
              <w:top w:val="single" w:sz="6" w:space="0" w:color="78A22F"/>
              <w:left w:val="nil"/>
              <w:bottom w:val="nil"/>
              <w:right w:val="nil"/>
            </w:tcBorders>
          </w:tcPr>
          <w:p w14:paraId="34518C1A" w14:textId="6B3CD203" w:rsidR="00CF6976" w:rsidRPr="00626D32" w:rsidRDefault="00CF6976" w:rsidP="00A51C85">
            <w:pPr>
              <w:pStyle w:val="BoxSpaceBelow"/>
              <w:keepLines/>
            </w:pPr>
          </w:p>
        </w:tc>
      </w:tr>
    </w:tbl>
    <w:p w14:paraId="51A89582" w14:textId="679759C3" w:rsidR="007D3814" w:rsidRPr="00AD1E01" w:rsidRDefault="007D3814" w:rsidP="008F6EEC">
      <w:pPr>
        <w:pStyle w:val="Heading3"/>
        <w:rPr>
          <w:b w:val="0"/>
        </w:rPr>
      </w:pPr>
      <w:bookmarkStart w:id="113" w:name="_Toc10795708"/>
      <w:bookmarkStart w:id="114" w:name="_Toc10808041"/>
      <w:bookmarkStart w:id="115" w:name="_Toc10808782"/>
      <w:bookmarkStart w:id="116" w:name="_Toc12272483"/>
      <w:bookmarkStart w:id="117" w:name="_Toc10710003"/>
      <w:bookmarkStart w:id="118" w:name="_Toc10734427"/>
      <w:bookmarkStart w:id="119" w:name="_Toc10735499"/>
      <w:bookmarkStart w:id="120" w:name="_Toc10794228"/>
      <w:bookmarkStart w:id="121" w:name="_Toc10795563"/>
      <w:bookmarkStart w:id="122" w:name="_Toc10802395"/>
      <w:r>
        <w:lastRenderedPageBreak/>
        <w:t xml:space="preserve">Current </w:t>
      </w:r>
      <w:r w:rsidR="00653F41">
        <w:t xml:space="preserve">evaluation </w:t>
      </w:r>
      <w:r>
        <w:t>practice</w:t>
      </w:r>
      <w:bookmarkEnd w:id="113"/>
      <w:bookmarkEnd w:id="114"/>
      <w:bookmarkEnd w:id="115"/>
      <w:bookmarkEnd w:id="116"/>
      <w:r w:rsidR="00CB6BD0">
        <w:t xml:space="preserve"> </w:t>
      </w:r>
      <w:bookmarkEnd w:id="117"/>
      <w:bookmarkEnd w:id="118"/>
      <w:bookmarkEnd w:id="119"/>
      <w:bookmarkEnd w:id="120"/>
      <w:bookmarkEnd w:id="121"/>
      <w:bookmarkEnd w:id="122"/>
    </w:p>
    <w:p w14:paraId="67AB8BA9" w14:textId="00A1B843" w:rsidR="00715F1F" w:rsidRDefault="004601F3" w:rsidP="00AC3E15">
      <w:pPr>
        <w:pStyle w:val="Heading4"/>
        <w:spacing w:before="240"/>
      </w:pPr>
      <w:r>
        <w:t>Australian</w:t>
      </w:r>
      <w:r w:rsidR="00715F1F">
        <w:t xml:space="preserve"> Government</w:t>
      </w:r>
    </w:p>
    <w:p w14:paraId="0FB40BBF" w14:textId="7577D666" w:rsidR="007D3814" w:rsidRDefault="00086F94" w:rsidP="007D3814">
      <w:pPr>
        <w:pStyle w:val="BodyText"/>
      </w:pPr>
      <w:r>
        <w:t>Evaluation a</w:t>
      </w:r>
      <w:r w:rsidR="007D3814">
        <w:t>t the Commonwealth level has undergone substantial reorientation</w:t>
      </w:r>
      <w:r w:rsidR="00F728FE">
        <w:t xml:space="preserve"> over time</w:t>
      </w:r>
      <w:r w:rsidR="007D3814">
        <w:t>, from rigid</w:t>
      </w:r>
      <w:r w:rsidR="007D3814" w:rsidRPr="00DB460A">
        <w:t xml:space="preserve"> </w:t>
      </w:r>
      <w:r w:rsidR="007D3814">
        <w:t>requirements and a centralised model of cross</w:t>
      </w:r>
      <w:r w:rsidR="00442E24">
        <w:noBreakHyphen/>
      </w:r>
      <w:r w:rsidR="007D3814">
        <w:t xml:space="preserve">agency monitoring, toward a more flexible and decentralised approach </w:t>
      </w:r>
      <w:r w:rsidR="003E41C3" w:rsidRPr="003E41C3">
        <w:rPr>
          <w:szCs w:val="24"/>
        </w:rPr>
        <w:t>(</w:t>
      </w:r>
      <w:proofErr w:type="spellStart"/>
      <w:r w:rsidR="003E41C3" w:rsidRPr="003E41C3">
        <w:rPr>
          <w:szCs w:val="24"/>
        </w:rPr>
        <w:t>Gray</w:t>
      </w:r>
      <w:proofErr w:type="spellEnd"/>
      <w:r w:rsidR="003E41C3" w:rsidRPr="003E41C3">
        <w:rPr>
          <w:szCs w:val="24"/>
        </w:rPr>
        <w:t xml:space="preserve"> and Bray 2019, pp. 11–12)</w:t>
      </w:r>
      <w:r w:rsidR="007D3814">
        <w:t xml:space="preserve">. There is currently no single, overarching framework for evaluation for </w:t>
      </w:r>
      <w:r w:rsidR="004601F3">
        <w:t>Australian Government</w:t>
      </w:r>
      <w:r w:rsidR="007D3814">
        <w:t xml:space="preserve"> agencies. The Department of Finance oversees performance and financial reporting arrangements under the </w:t>
      </w:r>
      <w:r w:rsidR="00543766">
        <w:rPr>
          <w:i/>
        </w:rPr>
        <w:t xml:space="preserve">Public </w:t>
      </w:r>
      <w:r w:rsidR="007D3814" w:rsidRPr="00956399">
        <w:rPr>
          <w:i/>
        </w:rPr>
        <w:t>Governance</w:t>
      </w:r>
      <w:r w:rsidR="00543766">
        <w:rPr>
          <w:i/>
        </w:rPr>
        <w:t>,</w:t>
      </w:r>
      <w:r w:rsidR="007D3814" w:rsidRPr="00956399">
        <w:rPr>
          <w:i/>
        </w:rPr>
        <w:t xml:space="preserve"> </w:t>
      </w:r>
      <w:r w:rsidR="00543766">
        <w:rPr>
          <w:i/>
        </w:rPr>
        <w:t>Performance</w:t>
      </w:r>
      <w:r w:rsidR="00543766" w:rsidRPr="00956399">
        <w:rPr>
          <w:i/>
        </w:rPr>
        <w:t xml:space="preserve"> </w:t>
      </w:r>
      <w:r w:rsidR="007D3814" w:rsidRPr="00956399">
        <w:rPr>
          <w:i/>
        </w:rPr>
        <w:t>and Accountability Act</w:t>
      </w:r>
      <w:r w:rsidR="007D3814">
        <w:rPr>
          <w:i/>
        </w:rPr>
        <w:t xml:space="preserve"> </w:t>
      </w:r>
      <w:r w:rsidR="007D3814" w:rsidRPr="004E7CA2">
        <w:rPr>
          <w:i/>
        </w:rPr>
        <w:t>2013</w:t>
      </w:r>
      <w:r w:rsidR="007D3814">
        <w:t xml:space="preserve"> (PGPA</w:t>
      </w:r>
      <w:r w:rsidR="007D3814" w:rsidRPr="005B694A">
        <w:t xml:space="preserve"> </w:t>
      </w:r>
      <w:r w:rsidR="007D3814">
        <w:t>Act) but there is no requirement for agencies to undertake or report on evaluation.</w:t>
      </w:r>
      <w:r w:rsidR="00076DE8">
        <w:t xml:space="preserve"> </w:t>
      </w:r>
    </w:p>
    <w:p w14:paraId="047071D2" w14:textId="14F4CC90" w:rsidR="007D3814" w:rsidRDefault="007D3814" w:rsidP="007D3814">
      <w:pPr>
        <w:pStyle w:val="BodyText"/>
      </w:pPr>
      <w:r>
        <w:t xml:space="preserve">Initial research by the Commission for this project has revealed a diversity </w:t>
      </w:r>
      <w:r w:rsidR="00F363CB">
        <w:t xml:space="preserve">of </w:t>
      </w:r>
      <w:r>
        <w:t>practices across government. Some agencies have developed extensive evaluation guidelines, strategies and systems</w:t>
      </w:r>
      <w:r w:rsidR="00442E24">
        <w:t xml:space="preserve"> </w:t>
      </w:r>
      <w:r w:rsidR="007361B4">
        <w:t>—</w:t>
      </w:r>
      <w:r w:rsidR="00442E24">
        <w:t xml:space="preserve"> </w:t>
      </w:r>
      <w:r>
        <w:t>others</w:t>
      </w:r>
      <w:r w:rsidR="008937C4">
        <w:t xml:space="preserve"> have very little in comparison</w:t>
      </w:r>
      <w:r w:rsidR="00A615A4">
        <w:t xml:space="preserve">. </w:t>
      </w:r>
      <w:r>
        <w:t xml:space="preserve">The level of transparency of evaluation </w:t>
      </w:r>
      <w:r w:rsidR="0000346E">
        <w:t xml:space="preserve">activities </w:t>
      </w:r>
      <w:r>
        <w:t xml:space="preserve">across the Commonwealth is low and there is limited data on how much is </w:t>
      </w:r>
      <w:r w:rsidR="00CF481F">
        <w:t>spent on</w:t>
      </w:r>
      <w:r>
        <w:t xml:space="preserve"> evaluation</w:t>
      </w:r>
      <w:r w:rsidR="00AD1E01">
        <w:t>. R</w:t>
      </w:r>
      <w:r w:rsidR="00E45426">
        <w:t>ecent</w:t>
      </w:r>
      <w:r>
        <w:t xml:space="preserve"> reports </w:t>
      </w:r>
      <w:r w:rsidR="00AD1E01">
        <w:t xml:space="preserve">have </w:t>
      </w:r>
      <w:r w:rsidR="005500AB">
        <w:t>indicate</w:t>
      </w:r>
      <w:r w:rsidR="00AD1E01">
        <w:t>d</w:t>
      </w:r>
      <w:r>
        <w:t xml:space="preserve"> </w:t>
      </w:r>
      <w:r w:rsidR="00022A5B">
        <w:t xml:space="preserve">that </w:t>
      </w:r>
      <w:r w:rsidR="005500AB">
        <w:t>evaluation practice</w:t>
      </w:r>
      <w:r>
        <w:t xml:space="preserve"> </w:t>
      </w:r>
      <w:r w:rsidR="00AD1E01">
        <w:t xml:space="preserve">among Commonwealth agencies </w:t>
      </w:r>
      <w:r w:rsidR="00485F73">
        <w:t xml:space="preserve">is lacking and </w:t>
      </w:r>
      <w:r w:rsidR="00F941D2">
        <w:t>should</w:t>
      </w:r>
      <w:r w:rsidR="00A7460F">
        <w:t xml:space="preserve"> be improved </w:t>
      </w:r>
      <w:r w:rsidR="009A48D4">
        <w:t>(box</w:t>
      </w:r>
      <w:r w:rsidR="00442E24">
        <w:t> </w:t>
      </w:r>
      <w:r w:rsidR="00C71086">
        <w:t>4</w:t>
      </w:r>
      <w:r w:rsidR="009A48D4">
        <w:t>)</w:t>
      </w:r>
      <w:r w:rsidR="00E1373B">
        <w:t>.</w:t>
      </w:r>
    </w:p>
    <w:p w14:paraId="635D4EEC" w14:textId="42C62FB3" w:rsidR="004601F3" w:rsidRDefault="004601F3" w:rsidP="004601F3">
      <w:pPr>
        <w:pStyle w:val="Heading4"/>
      </w:pPr>
      <w:r>
        <w:t xml:space="preserve">State and </w:t>
      </w:r>
      <w:r w:rsidR="002D2AE8">
        <w:t>t</w:t>
      </w:r>
      <w:r>
        <w:t xml:space="preserve">erritory </w:t>
      </w:r>
      <w:r w:rsidR="002D2AE8">
        <w:t>g</w:t>
      </w:r>
      <w:r>
        <w:t>overnments</w:t>
      </w:r>
    </w:p>
    <w:p w14:paraId="03998C7B" w14:textId="449A35D1" w:rsidR="00561784" w:rsidRDefault="004601F3" w:rsidP="004601F3">
      <w:pPr>
        <w:pStyle w:val="BodyText"/>
      </w:pPr>
      <w:r>
        <w:t xml:space="preserve">Most Australian state and territory governments have published guidelines on evaluation for government programs, but these are largely silent on how to evaluate the impacts of policies and programs for Aboriginal and Torres Strait Islander people. </w:t>
      </w:r>
      <w:r w:rsidR="002D2AE8">
        <w:t>As with</w:t>
      </w:r>
      <w:r>
        <w:t xml:space="preserve"> the Australian Government, recent reviews have indicated that evaluation can be better utilised by state and territory governments to inform policy and program development </w:t>
      </w:r>
      <w:r w:rsidR="003E41C3" w:rsidRPr="003E41C3">
        <w:rPr>
          <w:szCs w:val="24"/>
        </w:rPr>
        <w:t>(AONSW 2016; QPC 2017)</w:t>
      </w:r>
      <w:r>
        <w:t>. Nevertheless, jurisdictions have introduced initiatives to improve the evidence base on what works for Aboriginal and</w:t>
      </w:r>
      <w:r w:rsidR="00561784">
        <w:t xml:space="preserve"> Torres Strait Islander people.</w:t>
      </w:r>
    </w:p>
    <w:p w14:paraId="553EC16C" w14:textId="77777777" w:rsidR="00AC3E15" w:rsidRDefault="00AC3E15" w:rsidP="00AC3E15">
      <w:pPr>
        <w:pStyle w:val="BodyText"/>
      </w:pPr>
      <w:r>
        <w:lastRenderedPageBreak/>
        <w:t>Examples of such initiatives include:</w:t>
      </w:r>
    </w:p>
    <w:p w14:paraId="638F2B04" w14:textId="77777777" w:rsidR="00AC3E15" w:rsidRDefault="00AC3E15" w:rsidP="00AC3E15">
      <w:pPr>
        <w:pStyle w:val="ListBullet"/>
      </w:pPr>
      <w:proofErr w:type="gramStart"/>
      <w:r>
        <w:t>the</w:t>
      </w:r>
      <w:proofErr w:type="gramEnd"/>
      <w:r>
        <w:t xml:space="preserve"> Victorian Government recently announced a commitment to creating an Aboriginal</w:t>
      </w:r>
      <w:r>
        <w:noBreakHyphen/>
        <w:t>led evaluation and review mechanism, whereby g</w:t>
      </w:r>
      <w:r w:rsidRPr="00B07467">
        <w:t>overnment, Aboriginal organisations and government</w:t>
      </w:r>
      <w:r>
        <w:noBreakHyphen/>
      </w:r>
      <w:r w:rsidRPr="00B07467">
        <w:t xml:space="preserve">funded organisations </w:t>
      </w:r>
      <w:r>
        <w:t>will be</w:t>
      </w:r>
      <w:r w:rsidRPr="00B07467">
        <w:t xml:space="preserve"> held accountable to </w:t>
      </w:r>
      <w:r>
        <w:t xml:space="preserve">the Aboriginal </w:t>
      </w:r>
      <w:r w:rsidRPr="00B07467">
        <w:t>community</w:t>
      </w:r>
      <w:r>
        <w:t xml:space="preserve">. It issued a </w:t>
      </w:r>
      <w:r w:rsidRPr="007C1C30">
        <w:rPr>
          <w:i/>
        </w:rPr>
        <w:t>Discussion Guide</w:t>
      </w:r>
      <w:r>
        <w:t xml:space="preserve"> in February 2019 and is in the early stages of consultation </w:t>
      </w:r>
      <w:r w:rsidRPr="003E41C3">
        <w:rPr>
          <w:szCs w:val="24"/>
        </w:rPr>
        <w:t>(Victorian Government 2019)</w:t>
      </w:r>
      <w:r>
        <w:t>.</w:t>
      </w:r>
    </w:p>
    <w:p w14:paraId="0672300B" w14:textId="77777777" w:rsidR="00AC3E15" w:rsidRPr="00474338" w:rsidRDefault="00AC3E15" w:rsidP="00AC3E15">
      <w:pPr>
        <w:pStyle w:val="ListBullet"/>
        <w:rPr>
          <w:spacing w:val="-4"/>
        </w:rPr>
      </w:pPr>
      <w:proofErr w:type="gramStart"/>
      <w:r w:rsidRPr="00474338">
        <w:rPr>
          <w:spacing w:val="-4"/>
        </w:rPr>
        <w:t>the</w:t>
      </w:r>
      <w:proofErr w:type="gramEnd"/>
      <w:r w:rsidRPr="00474338">
        <w:rPr>
          <w:spacing w:val="-4"/>
        </w:rPr>
        <w:t xml:space="preserve"> Queensland Government Statistician’s Office delivers statistical, demographic research and program evaluation services across government. The Queensland Government also committed to developing a best</w:t>
      </w:r>
      <w:r w:rsidRPr="00474338">
        <w:rPr>
          <w:spacing w:val="-4"/>
        </w:rPr>
        <w:noBreakHyphen/>
        <w:t xml:space="preserve">practice evaluation framework and establishing an independent body to evaluate and oversee its performance as part of its response to the 2017 Queensland Productivity Commission report into </w:t>
      </w:r>
      <w:r w:rsidRPr="00474338">
        <w:rPr>
          <w:i/>
          <w:spacing w:val="-4"/>
        </w:rPr>
        <w:t xml:space="preserve">Service Delivery in Queensland’s Remote and Discrete Indigenous Communities </w:t>
      </w:r>
      <w:r w:rsidRPr="00474338">
        <w:rPr>
          <w:spacing w:val="-4"/>
          <w:szCs w:val="24"/>
        </w:rPr>
        <w:t>(Queensland Government 2018)</w:t>
      </w:r>
      <w:r w:rsidRPr="00474338">
        <w:rPr>
          <w:spacing w:val="-4"/>
        </w:rPr>
        <w:t>.</w:t>
      </w:r>
    </w:p>
    <w:p w14:paraId="65A9C593" w14:textId="77777777" w:rsidR="00AC3E15" w:rsidRDefault="00AC3E15" w:rsidP="00AC3E15">
      <w:pPr>
        <w:pStyle w:val="ListBullet"/>
      </w:pPr>
      <w:proofErr w:type="gramStart"/>
      <w:r>
        <w:t>the</w:t>
      </w:r>
      <w:proofErr w:type="gramEnd"/>
      <w:r>
        <w:t xml:space="preserve"> NSW Government’s OCHRE Plan is supported by a three</w:t>
      </w:r>
      <w:r>
        <w:noBreakHyphen/>
        <w:t xml:space="preserve">stage evaluation strategy and will be conducted over ten years. Evaluations will provide evidence to improve the effectiveness of OCHRE projects and inform the NSW Government on any possible future expansion </w:t>
      </w:r>
      <w:r w:rsidRPr="003E41C3">
        <w:rPr>
          <w:szCs w:val="24"/>
        </w:rPr>
        <w:t>(Katz, Newton and Bates 2016)</w:t>
      </w:r>
      <w:r>
        <w:t>.</w:t>
      </w:r>
    </w:p>
    <w:p w14:paraId="3D0D7F5B" w14:textId="77777777" w:rsidR="00AC3E15" w:rsidRDefault="00AC3E15" w:rsidP="00AC3E15">
      <w:pPr>
        <w:pStyle w:val="ListBullet"/>
      </w:pPr>
      <w:proofErr w:type="gramStart"/>
      <w:r>
        <w:t>the</w:t>
      </w:r>
      <w:proofErr w:type="gramEnd"/>
      <w:r>
        <w:t xml:space="preserve"> Northern Territory Government has</w:t>
      </w:r>
      <w:r w:rsidRPr="00AA0435">
        <w:t xml:space="preserve"> an extensive, accessible digital repository for health program evaluations</w:t>
      </w:r>
      <w:r w:rsidRPr="005651F1">
        <w:t>, which</w:t>
      </w:r>
      <w:r>
        <w:t xml:space="preserve"> is</w:t>
      </w:r>
      <w:r w:rsidRPr="005651F1">
        <w:t xml:space="preserve"> maintained by the Department of Health</w:t>
      </w:r>
      <w:r>
        <w:t>. Much of the work on Indigenous health is conducted in partnership with specialist organisations and institutes, such the Menzies School of Health Research.</w:t>
      </w:r>
    </w:p>
    <w:p w14:paraId="68CB3BAF" w14:textId="20B46D6B" w:rsidR="007D3814" w:rsidRDefault="007D3814" w:rsidP="007D381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D3814" w14:paraId="2142F481" w14:textId="77777777" w:rsidTr="00C30D7E">
        <w:trPr>
          <w:tblHeader/>
        </w:trPr>
        <w:tc>
          <w:tcPr>
            <w:tcW w:w="5000" w:type="pct"/>
            <w:tcBorders>
              <w:top w:val="single" w:sz="6" w:space="0" w:color="78A22F"/>
              <w:left w:val="nil"/>
              <w:bottom w:val="nil"/>
              <w:right w:val="nil"/>
            </w:tcBorders>
            <w:shd w:val="clear" w:color="auto" w:fill="F2F2F2"/>
          </w:tcPr>
          <w:p w14:paraId="57BDA3D5" w14:textId="0E40D436" w:rsidR="007D3814" w:rsidRDefault="007D3814" w:rsidP="006A5A36">
            <w:pPr>
              <w:pStyle w:val="BoxTitle"/>
            </w:pPr>
            <w:r>
              <w:rPr>
                <w:b w:val="0"/>
              </w:rPr>
              <w:t xml:space="preserve">Box </w:t>
            </w:r>
            <w:bookmarkStart w:id="123" w:name="OLE_LINK4"/>
            <w:r w:rsidR="00E109F5">
              <w:rPr>
                <w:b w:val="0"/>
                <w:noProof/>
              </w:rPr>
              <w:t>4</w:t>
            </w:r>
            <w:bookmarkEnd w:id="123"/>
            <w:r>
              <w:tab/>
            </w:r>
            <w:r w:rsidR="006A5A36">
              <w:t>Reports and audits on</w:t>
            </w:r>
            <w:r>
              <w:t xml:space="preserve"> evaluation performance</w:t>
            </w:r>
          </w:p>
        </w:tc>
      </w:tr>
      <w:tr w:rsidR="007D3814" w14:paraId="3FDF86FF" w14:textId="77777777" w:rsidTr="00C30D7E">
        <w:tc>
          <w:tcPr>
            <w:tcW w:w="5000" w:type="pct"/>
            <w:tcBorders>
              <w:top w:val="nil"/>
              <w:left w:val="nil"/>
              <w:bottom w:val="nil"/>
              <w:right w:val="nil"/>
            </w:tcBorders>
            <w:shd w:val="clear" w:color="auto" w:fill="F2F2F2"/>
          </w:tcPr>
          <w:p w14:paraId="20AAAF57" w14:textId="2D637578" w:rsidR="004E340F" w:rsidRDefault="004E340F" w:rsidP="00A35476">
            <w:pPr>
              <w:pStyle w:val="BoxHeading1"/>
              <w:spacing w:before="180"/>
            </w:pPr>
            <w:r w:rsidRPr="003F73ED">
              <w:t>Evaluation in the Australian Public Service: Current State of Play, Some Issues and Future Directions</w:t>
            </w:r>
            <w:r>
              <w:t xml:space="preserve"> (</w:t>
            </w:r>
            <w:proofErr w:type="spellStart"/>
            <w:r w:rsidR="00A35476">
              <w:t>Gray</w:t>
            </w:r>
            <w:proofErr w:type="spellEnd"/>
            <w:r w:rsidR="00A35476">
              <w:t xml:space="preserve"> and Bray </w:t>
            </w:r>
            <w:r>
              <w:t>2019)</w:t>
            </w:r>
          </w:p>
          <w:p w14:paraId="4F15521B" w14:textId="29BD626A" w:rsidR="004E340F" w:rsidRDefault="004E340F" w:rsidP="00A35476">
            <w:pPr>
              <w:pStyle w:val="Box"/>
              <w:spacing w:before="110"/>
              <w:rPr>
                <w:i/>
              </w:rPr>
            </w:pPr>
            <w:r>
              <w:t xml:space="preserve">This research paper formed part of </w:t>
            </w:r>
            <w:r w:rsidR="00D36279">
              <w:t>a</w:t>
            </w:r>
            <w:r>
              <w:t xml:space="preserve"> wider review of the Australian Public Service</w:t>
            </w:r>
            <w:r w:rsidR="00653D83">
              <w:t xml:space="preserve"> (APS)</w:t>
            </w:r>
            <w:r>
              <w:t xml:space="preserve">. It found near universal support for greater evaluation efforts, but raised </w:t>
            </w:r>
            <w:r w:rsidR="00653D83">
              <w:t>concerns</w:t>
            </w:r>
            <w:r>
              <w:t xml:space="preserve"> about the quality</w:t>
            </w:r>
            <w:r w:rsidDel="002D2AE8">
              <w:t xml:space="preserve"> </w:t>
            </w:r>
            <w:r w:rsidR="002D2AE8">
              <w:t>and</w:t>
            </w:r>
            <w:r w:rsidR="00076DE8">
              <w:t xml:space="preserve"> </w:t>
            </w:r>
            <w:r>
              <w:t xml:space="preserve">extent of evaluation and whether evaluation efforts were being appropriately targeted. The review also pointed to reviews </w:t>
            </w:r>
            <w:r w:rsidR="00497BE2">
              <w:t>from the Australian National Audit Office</w:t>
            </w:r>
            <w:r>
              <w:t xml:space="preserve"> </w:t>
            </w:r>
            <w:r w:rsidR="00497BE2">
              <w:t>(</w:t>
            </w:r>
            <w:r>
              <w:t>ANAO</w:t>
            </w:r>
            <w:r w:rsidR="00497BE2">
              <w:t>)</w:t>
            </w:r>
            <w:r>
              <w:t xml:space="preserve"> and </w:t>
            </w:r>
            <w:r w:rsidR="00A35476">
              <w:t>Joint Committee of Public Accounts and Audit (</w:t>
            </w:r>
            <w:r>
              <w:t>JCPAA</w:t>
            </w:r>
            <w:r w:rsidR="00A35476">
              <w:t>)</w:t>
            </w:r>
            <w:r>
              <w:t xml:space="preserve"> that criticised the state of evaluation in the APS. </w:t>
            </w:r>
            <w:r w:rsidR="00653D83">
              <w:t>It</w:t>
            </w:r>
            <w:r>
              <w:t xml:space="preserve"> consider</w:t>
            </w:r>
            <w:r w:rsidR="00653D83">
              <w:t>ed</w:t>
            </w:r>
            <w:r>
              <w:t xml:space="preserve"> the need for a strong centralised </w:t>
            </w:r>
            <w:r w:rsidR="00653D83">
              <w:t>body</w:t>
            </w:r>
            <w:r>
              <w:t xml:space="preserve"> that sets priorities and provides oversight, as well as the impetus to build an evaluation culture in the APS. </w:t>
            </w:r>
          </w:p>
          <w:p w14:paraId="7FFBA3CE" w14:textId="516E13E5" w:rsidR="003F73ED" w:rsidRDefault="00DD339D" w:rsidP="00A35476">
            <w:pPr>
              <w:pStyle w:val="BoxHeading1"/>
              <w:spacing w:before="180"/>
            </w:pPr>
            <w:r w:rsidRPr="003F73ED">
              <w:t>Independent Review</w:t>
            </w:r>
            <w:r w:rsidR="003F73ED" w:rsidRPr="003F73ED">
              <w:t xml:space="preserve"> into the Operation of the Public Governance, Performance and Accountability Act 2013 and Rule</w:t>
            </w:r>
            <w:r w:rsidR="003F73ED">
              <w:t xml:space="preserve"> (</w:t>
            </w:r>
            <w:r w:rsidR="00A35476">
              <w:t xml:space="preserve">Alexander and </w:t>
            </w:r>
            <w:proofErr w:type="spellStart"/>
            <w:r w:rsidR="00A35476">
              <w:t>Thodey</w:t>
            </w:r>
            <w:proofErr w:type="spellEnd"/>
            <w:r w:rsidR="00A35476">
              <w:t xml:space="preserve"> </w:t>
            </w:r>
            <w:r w:rsidR="003F73ED">
              <w:t>2018)</w:t>
            </w:r>
          </w:p>
          <w:p w14:paraId="73C81968" w14:textId="398136B5" w:rsidR="003F73ED" w:rsidRPr="00AC3E15" w:rsidRDefault="00A35476" w:rsidP="00A35476">
            <w:pPr>
              <w:pStyle w:val="Box"/>
              <w:spacing w:before="110"/>
              <w:rPr>
                <w:i/>
                <w:spacing w:val="-4"/>
              </w:rPr>
            </w:pPr>
            <w:r w:rsidRPr="00AC3E15">
              <w:rPr>
                <w:spacing w:val="-4"/>
              </w:rPr>
              <w:t>This</w:t>
            </w:r>
            <w:r w:rsidR="00B37815" w:rsidRPr="00AC3E15">
              <w:rPr>
                <w:spacing w:val="-4"/>
              </w:rPr>
              <w:t xml:space="preserve"> review </w:t>
            </w:r>
            <w:r w:rsidR="007F630E" w:rsidRPr="00AC3E15">
              <w:rPr>
                <w:spacing w:val="-4"/>
              </w:rPr>
              <w:t xml:space="preserve">examined whether the PGPA </w:t>
            </w:r>
            <w:r w:rsidRPr="00AC3E15">
              <w:rPr>
                <w:spacing w:val="-4"/>
              </w:rPr>
              <w:t>A</w:t>
            </w:r>
            <w:r w:rsidR="007F630E" w:rsidRPr="00AC3E15">
              <w:rPr>
                <w:spacing w:val="-4"/>
              </w:rPr>
              <w:t xml:space="preserve">ct was achieving its objectives </w:t>
            </w:r>
            <w:r w:rsidR="00251C42" w:rsidRPr="00AC3E15">
              <w:rPr>
                <w:spacing w:val="-4"/>
              </w:rPr>
              <w:t>in line with</w:t>
            </w:r>
            <w:r w:rsidR="007F630E" w:rsidRPr="00AC3E15">
              <w:rPr>
                <w:spacing w:val="-4"/>
              </w:rPr>
              <w:t xml:space="preserve"> its guiding principles. </w:t>
            </w:r>
            <w:r w:rsidR="0044495D" w:rsidRPr="00AC3E15">
              <w:rPr>
                <w:spacing w:val="-4"/>
              </w:rPr>
              <w:t>It</w:t>
            </w:r>
            <w:r w:rsidR="00E927EC" w:rsidRPr="00AC3E15">
              <w:rPr>
                <w:spacing w:val="-4"/>
              </w:rPr>
              <w:t xml:space="preserve"> acknowledged the difficulty in creating effective performance reporting</w:t>
            </w:r>
            <w:r w:rsidR="0044495D" w:rsidRPr="00AC3E15">
              <w:rPr>
                <w:spacing w:val="-4"/>
              </w:rPr>
              <w:t xml:space="preserve"> and </w:t>
            </w:r>
            <w:r w:rsidR="00717B71" w:rsidRPr="00AC3E15">
              <w:rPr>
                <w:spacing w:val="-4"/>
              </w:rPr>
              <w:t xml:space="preserve">noted </w:t>
            </w:r>
            <w:r w:rsidR="00653D83" w:rsidRPr="00AC3E15">
              <w:rPr>
                <w:spacing w:val="-4"/>
              </w:rPr>
              <w:t xml:space="preserve">the importance of </w:t>
            </w:r>
            <w:r w:rsidR="0044495D" w:rsidRPr="00AC3E15">
              <w:rPr>
                <w:spacing w:val="-4"/>
              </w:rPr>
              <w:t>strong and sustained leadership</w:t>
            </w:r>
            <w:r w:rsidR="00E927EC" w:rsidRPr="00AC3E15">
              <w:rPr>
                <w:spacing w:val="-4"/>
              </w:rPr>
              <w:t xml:space="preserve"> </w:t>
            </w:r>
            <w:r w:rsidR="00653D83" w:rsidRPr="00AC3E15">
              <w:rPr>
                <w:spacing w:val="-4"/>
              </w:rPr>
              <w:t>to encourage improvement</w:t>
            </w:r>
            <w:r w:rsidR="00717B71" w:rsidRPr="00AC3E15">
              <w:rPr>
                <w:spacing w:val="-4"/>
              </w:rPr>
              <w:t xml:space="preserve">. </w:t>
            </w:r>
            <w:r w:rsidR="00251C42" w:rsidRPr="00AC3E15">
              <w:rPr>
                <w:spacing w:val="-4"/>
              </w:rPr>
              <w:t xml:space="preserve">It </w:t>
            </w:r>
            <w:r w:rsidR="00BC7408" w:rsidRPr="00AC3E15">
              <w:rPr>
                <w:spacing w:val="-4"/>
              </w:rPr>
              <w:t>observed that evaluation practice had fallen away, but that it could be reinvigorated through attention from senior leadership.</w:t>
            </w:r>
            <w:r w:rsidR="00076DE8" w:rsidRPr="00AC3E15">
              <w:rPr>
                <w:spacing w:val="-4"/>
              </w:rPr>
              <w:t xml:space="preserve"> </w:t>
            </w:r>
          </w:p>
          <w:p w14:paraId="5E83A97C" w14:textId="66D2F680" w:rsidR="007D3814" w:rsidRPr="00A91FC1" w:rsidRDefault="0019455E" w:rsidP="00A35476">
            <w:pPr>
              <w:pStyle w:val="BoxHeading1"/>
              <w:spacing w:before="180"/>
            </w:pPr>
            <w:r>
              <w:t>Evaluating Aboriginal and Torres Strait Islander Programs</w:t>
            </w:r>
            <w:r w:rsidR="004E340F">
              <w:t xml:space="preserve"> (</w:t>
            </w:r>
            <w:r w:rsidR="00A35476">
              <w:t xml:space="preserve">ANAO </w:t>
            </w:r>
            <w:r w:rsidR="004E340F">
              <w:t>20</w:t>
            </w:r>
            <w:r>
              <w:t>19</w:t>
            </w:r>
            <w:r w:rsidR="004E340F">
              <w:t>)</w:t>
            </w:r>
          </w:p>
          <w:p w14:paraId="5C355A5A" w14:textId="7AFE1F4C" w:rsidR="00764F87" w:rsidRDefault="00E92E8A" w:rsidP="00A35476">
            <w:pPr>
              <w:pStyle w:val="Box"/>
              <w:spacing w:before="110"/>
            </w:pPr>
            <w:r>
              <w:t>Th</w:t>
            </w:r>
            <w:r w:rsidR="00AB4FEA">
              <w:t>e</w:t>
            </w:r>
            <w:r>
              <w:t xml:space="preserve"> ANAO assessed</w:t>
            </w:r>
            <w:r w:rsidR="0019455E" w:rsidRPr="0019455E">
              <w:t xml:space="preserve"> the design and implementation of the Department of t</w:t>
            </w:r>
            <w:r>
              <w:t xml:space="preserve">he Prime Minister and Cabinet’s </w:t>
            </w:r>
            <w:r w:rsidR="0019455E" w:rsidRPr="0019455E">
              <w:t>(</w:t>
            </w:r>
            <w:r w:rsidR="00A35476">
              <w:t>DPM</w:t>
            </w:r>
            <w:r w:rsidR="0019455E" w:rsidRPr="0019455E">
              <w:t>C’s) evaluation framework for the Indige</w:t>
            </w:r>
            <w:r w:rsidR="0019455E">
              <w:t xml:space="preserve">nous Advancement Strategy (IAS). </w:t>
            </w:r>
            <w:r>
              <w:t>It</w:t>
            </w:r>
            <w:r w:rsidR="00F741BB">
              <w:t xml:space="preserve"> found that, </w:t>
            </w:r>
            <w:r w:rsidR="0019455E">
              <w:t>f</w:t>
            </w:r>
            <w:r w:rsidR="0019455E" w:rsidRPr="0019455E">
              <w:t xml:space="preserve">ive years after </w:t>
            </w:r>
            <w:r w:rsidR="00F741BB">
              <w:t>the</w:t>
            </w:r>
            <w:r w:rsidR="0019455E">
              <w:t xml:space="preserve"> IAS</w:t>
            </w:r>
            <w:r w:rsidR="00F741BB">
              <w:t xml:space="preserve"> was introduced</w:t>
            </w:r>
            <w:r w:rsidR="00CB1B9D">
              <w:t xml:space="preserve">, </w:t>
            </w:r>
            <w:r>
              <w:t xml:space="preserve">the </w:t>
            </w:r>
            <w:r w:rsidR="00AB4FEA">
              <w:t>D</w:t>
            </w:r>
            <w:r>
              <w:t>epartment</w:t>
            </w:r>
            <w:r w:rsidR="0019455E">
              <w:t xml:space="preserve"> was</w:t>
            </w:r>
            <w:r w:rsidR="0019455E" w:rsidRPr="0019455E">
              <w:t xml:space="preserve"> in the early stages of implementing an evaluation framework </w:t>
            </w:r>
            <w:r w:rsidR="009F4719">
              <w:t xml:space="preserve">with the potential </w:t>
            </w:r>
            <w:r w:rsidR="00032E2E">
              <w:t xml:space="preserve">to </w:t>
            </w:r>
            <w:r w:rsidR="0019455E">
              <w:t>deliver</w:t>
            </w:r>
            <w:r w:rsidR="0019455E" w:rsidRPr="0019455E">
              <w:t xml:space="preserve"> </w:t>
            </w:r>
            <w:r w:rsidR="005812D9">
              <w:t>high quality, ethical and</w:t>
            </w:r>
            <w:r w:rsidR="0019455E" w:rsidRPr="0019455E">
              <w:t xml:space="preserve"> inclusive</w:t>
            </w:r>
            <w:r w:rsidR="005812D9">
              <w:t xml:space="preserve"> evaluation</w:t>
            </w:r>
            <w:r>
              <w:t>,</w:t>
            </w:r>
            <w:r w:rsidR="005812D9">
              <w:t xml:space="preserve"> </w:t>
            </w:r>
            <w:r w:rsidR="0019455E" w:rsidRPr="0019455E">
              <w:t>focused on improving outcomes for Aboriginal an</w:t>
            </w:r>
            <w:r w:rsidR="009F4719">
              <w:t>d Torres Strait Islander </w:t>
            </w:r>
            <w:r w:rsidR="0019455E">
              <w:t>people</w:t>
            </w:r>
            <w:r w:rsidR="0019455E" w:rsidRPr="0019455E">
              <w:t>.</w:t>
            </w:r>
            <w:r w:rsidR="0022551B">
              <w:t xml:space="preserve"> I</w:t>
            </w:r>
            <w:r w:rsidR="0022551B" w:rsidRPr="0022551B">
              <w:t xml:space="preserve">mplementation of </w:t>
            </w:r>
            <w:r w:rsidR="00F741BB">
              <w:t xml:space="preserve">the framework was </w:t>
            </w:r>
            <w:r w:rsidR="003E55B6">
              <w:t xml:space="preserve">considered </w:t>
            </w:r>
            <w:r w:rsidR="00BF7375">
              <w:t>‘</w:t>
            </w:r>
            <w:r w:rsidR="0022551B" w:rsidRPr="0022551B">
              <w:t>partially effective</w:t>
            </w:r>
            <w:r w:rsidR="00BF7375">
              <w:t>’</w:t>
            </w:r>
            <w:r w:rsidR="003C35B8">
              <w:t xml:space="preserve"> </w:t>
            </w:r>
            <w:r w:rsidR="00F741BB">
              <w:t>—</w:t>
            </w:r>
            <w:r w:rsidR="00442E24">
              <w:t xml:space="preserve"> </w:t>
            </w:r>
            <w:r w:rsidR="00F741BB">
              <w:t>m</w:t>
            </w:r>
            <w:r w:rsidR="0022551B" w:rsidRPr="0022551B">
              <w:t xml:space="preserve">anagement oversight arrangements </w:t>
            </w:r>
            <w:r w:rsidR="00F741BB">
              <w:t>were</w:t>
            </w:r>
            <w:r w:rsidR="0022551B" w:rsidRPr="0022551B">
              <w:t xml:space="preserve"> developing, and evaluation advice provided to program area staff </w:t>
            </w:r>
            <w:r w:rsidR="00CB1B9D">
              <w:t>was</w:t>
            </w:r>
            <w:r w:rsidR="0022551B" w:rsidRPr="0022551B">
              <w:t xml:space="preserve"> relevant and </w:t>
            </w:r>
            <w:r w:rsidR="00CB1B9D">
              <w:t xml:space="preserve">of </w:t>
            </w:r>
            <w:r w:rsidR="004E3F6D">
              <w:t xml:space="preserve">high quality. The ANAO found that the </w:t>
            </w:r>
            <w:r w:rsidR="001D76B5">
              <w:t>framework lacked a</w:t>
            </w:r>
            <w:r w:rsidR="0022551B" w:rsidRPr="0022551B">
              <w:t xml:space="preserve"> reliable methodology for measuring outcomes</w:t>
            </w:r>
            <w:r w:rsidR="004E3F6D">
              <w:t>, and as</w:t>
            </w:r>
            <w:r w:rsidR="0022551B" w:rsidRPr="0022551B">
              <w:t xml:space="preserve"> evaluation procedures </w:t>
            </w:r>
            <w:r w:rsidR="00F741BB">
              <w:t>were</w:t>
            </w:r>
            <w:r w:rsidR="0022551B" w:rsidRPr="0022551B">
              <w:t xml:space="preserve"> still </w:t>
            </w:r>
            <w:r w:rsidR="00CB1B9D">
              <w:t>in development</w:t>
            </w:r>
            <w:r w:rsidR="004E3F6D">
              <w:t>,</w:t>
            </w:r>
            <w:r w:rsidR="00CB1B9D">
              <w:t xml:space="preserve"> it</w:t>
            </w:r>
            <w:r w:rsidR="00F741BB" w:rsidRPr="00F741BB">
              <w:t xml:space="preserve"> </w:t>
            </w:r>
            <w:r w:rsidR="001D76B5">
              <w:t xml:space="preserve">was </w:t>
            </w:r>
            <w:r w:rsidR="00F741BB" w:rsidRPr="00F741BB">
              <w:t xml:space="preserve">too early to assess whether evaluations </w:t>
            </w:r>
            <w:r w:rsidR="00CB1B9D">
              <w:t>were</w:t>
            </w:r>
            <w:r w:rsidR="00F741BB" w:rsidRPr="00F741BB">
              <w:t xml:space="preserve"> being conducted in</w:t>
            </w:r>
            <w:r w:rsidR="00D07CAE">
              <w:t xml:space="preserve"> accordance with the</w:t>
            </w:r>
            <w:r w:rsidR="00D64F25">
              <w:t xml:space="preserve"> </w:t>
            </w:r>
            <w:r w:rsidR="00CB1B9D">
              <w:t xml:space="preserve">framework. </w:t>
            </w:r>
            <w:r w:rsidR="00CB1B9D" w:rsidRPr="00CB1B9D">
              <w:t xml:space="preserve">It recommended that </w:t>
            </w:r>
            <w:r w:rsidR="00A35476">
              <w:t>the DPMC</w:t>
            </w:r>
            <w:r w:rsidR="009F4719">
              <w:t xml:space="preserve"> </w:t>
            </w:r>
            <w:r w:rsidR="001D76B5">
              <w:t>develop</w:t>
            </w:r>
            <w:r w:rsidR="005340AD">
              <w:t xml:space="preserve"> </w:t>
            </w:r>
            <w:r w:rsidR="001D76B5">
              <w:t xml:space="preserve">comprehensive </w:t>
            </w:r>
            <w:r w:rsidR="001D76B5" w:rsidRPr="001D76B5">
              <w:t xml:space="preserve">procedures to support </w:t>
            </w:r>
            <w:r>
              <w:t>evaluation</w:t>
            </w:r>
            <w:r w:rsidR="00B63EE0">
              <w:t xml:space="preserve"> </w:t>
            </w:r>
            <w:r w:rsidR="002F14AC">
              <w:t>implementation</w:t>
            </w:r>
            <w:r w:rsidR="000B00C1">
              <w:t xml:space="preserve"> as well as </w:t>
            </w:r>
            <w:r w:rsidR="00CB1B9D" w:rsidRPr="00CB1B9D">
              <w:t xml:space="preserve">structured criteria </w:t>
            </w:r>
            <w:r w:rsidR="009F4719">
              <w:t>to</w:t>
            </w:r>
            <w:r w:rsidR="00E55C8A">
              <w:t xml:space="preserve"> prioritise evaluation by</w:t>
            </w:r>
            <w:r w:rsidR="00CB1B9D" w:rsidRPr="00CB1B9D">
              <w:t xml:space="preserve"> asses</w:t>
            </w:r>
            <w:r w:rsidR="009F4719">
              <w:t>s</w:t>
            </w:r>
            <w:r w:rsidR="00E55C8A">
              <w:t>ing</w:t>
            </w:r>
            <w:r w:rsidR="009D6B9C">
              <w:t xml:space="preserve"> significance</w:t>
            </w:r>
            <w:r w:rsidR="002F14AC">
              <w:t xml:space="preserve">, contribution, </w:t>
            </w:r>
            <w:r w:rsidR="00CB1B9D" w:rsidRPr="00CB1B9D">
              <w:t>risk</w:t>
            </w:r>
            <w:r w:rsidR="00C37CAE">
              <w:t>,</w:t>
            </w:r>
            <w:r w:rsidR="00CB1B9D" w:rsidRPr="00CB1B9D">
              <w:t xml:space="preserve"> a</w:t>
            </w:r>
            <w:r w:rsidR="00CB1B9D">
              <w:t>nd gaps in evaluation coverage.</w:t>
            </w:r>
          </w:p>
          <w:p w14:paraId="20F872CB" w14:textId="186DE935" w:rsidR="004E340F" w:rsidRPr="00A91FC1" w:rsidRDefault="004E340F" w:rsidP="00A35476">
            <w:pPr>
              <w:pStyle w:val="BoxHeading1"/>
              <w:spacing w:before="180"/>
            </w:pPr>
            <w:r w:rsidRPr="00A91FC1">
              <w:t>Delivery and Evaluation of Grant Programmes</w:t>
            </w:r>
            <w:r>
              <w:t xml:space="preserve"> (</w:t>
            </w:r>
            <w:r w:rsidR="00A35476">
              <w:t xml:space="preserve">ANAO </w:t>
            </w:r>
            <w:r>
              <w:t>2015)</w:t>
            </w:r>
          </w:p>
          <w:p w14:paraId="5B4A851C" w14:textId="77777777" w:rsidR="00CD77AB" w:rsidRDefault="004E340F" w:rsidP="00A35476">
            <w:pPr>
              <w:pStyle w:val="Box"/>
              <w:spacing w:before="110"/>
            </w:pPr>
            <w:r>
              <w:t xml:space="preserve">The ANAO examined the management, delivery and evaluation of grant programs administered by the </w:t>
            </w:r>
            <w:r w:rsidRPr="008C59A8">
              <w:t>Department of Infrastr</w:t>
            </w:r>
            <w:r>
              <w:t>ucture and Regional Development, the</w:t>
            </w:r>
            <w:r w:rsidRPr="008C59A8">
              <w:t xml:space="preserve"> Dep</w:t>
            </w:r>
            <w:r>
              <w:t>artment of Industry and Science, and the</w:t>
            </w:r>
            <w:r w:rsidRPr="008C59A8">
              <w:t xml:space="preserve"> Department of Social Services</w:t>
            </w:r>
            <w:r>
              <w:t>. T</w:t>
            </w:r>
            <w:r w:rsidRPr="008C59A8">
              <w:t xml:space="preserve">wo of the three audited entities </w:t>
            </w:r>
            <w:r>
              <w:t>had evaluation plans in place, but o</w:t>
            </w:r>
            <w:r w:rsidRPr="008C59A8">
              <w:t>nly the plan developed by the Department of Industry, Innovation and Science was</w:t>
            </w:r>
            <w:r>
              <w:t xml:space="preserve"> </w:t>
            </w:r>
            <w:r w:rsidRPr="008C59A8">
              <w:t>comprehensive</w:t>
            </w:r>
            <w:r>
              <w:t xml:space="preserve">. Agencies completed their evaluations as planned but paid </w:t>
            </w:r>
            <w:r w:rsidRPr="008C59A8">
              <w:t>less</w:t>
            </w:r>
            <w:r w:rsidR="00C131F4">
              <w:t xml:space="preserve"> attention</w:t>
            </w:r>
            <w:r w:rsidRPr="008C59A8">
              <w:t xml:space="preserve"> to acting on </w:t>
            </w:r>
            <w:r>
              <w:t xml:space="preserve">their </w:t>
            </w:r>
            <w:r w:rsidRPr="008C59A8">
              <w:t>findings</w:t>
            </w:r>
            <w:r>
              <w:t>. The ANAO recommended that entities administering grant funding develop implementation plans to follow through on evaluation recommendations.</w:t>
            </w:r>
            <w:r w:rsidR="00B30266">
              <w:t xml:space="preserve"> </w:t>
            </w:r>
          </w:p>
          <w:p w14:paraId="76589881" w14:textId="50CBB48E" w:rsidR="007D3814" w:rsidRDefault="00CD77AB" w:rsidP="00A35476">
            <w:pPr>
              <w:pStyle w:val="Box"/>
              <w:spacing w:before="110"/>
            </w:pPr>
            <w:r>
              <w:t>Agencies i</w:t>
            </w:r>
            <w:r w:rsidR="00B30266">
              <w:t>n their responses to the report</w:t>
            </w:r>
            <w:r>
              <w:t xml:space="preserve"> agreed on </w:t>
            </w:r>
            <w:r w:rsidR="007A3D85">
              <w:t>actions</w:t>
            </w:r>
            <w:r w:rsidR="003C35B8">
              <w:t xml:space="preserve"> to improve evaluation </w:t>
            </w:r>
            <w:r w:rsidR="007A3D85">
              <w:t>—</w:t>
            </w:r>
            <w:r w:rsidR="003C35B8">
              <w:t xml:space="preserve"> </w:t>
            </w:r>
            <w:r w:rsidR="00F8490A">
              <w:t xml:space="preserve">for example, </w:t>
            </w:r>
            <w:r w:rsidR="00B30266">
              <w:t xml:space="preserve">the </w:t>
            </w:r>
            <w:r w:rsidR="00B30266" w:rsidRPr="008C59A8">
              <w:t>Department of Infrastr</w:t>
            </w:r>
            <w:r w:rsidR="00B30266">
              <w:t>ucture and Regional Development noted the creation of a</w:t>
            </w:r>
            <w:r w:rsidR="00D50FB3">
              <w:t xml:space="preserve"> </w:t>
            </w:r>
            <w:r w:rsidR="00B30266">
              <w:t>n</w:t>
            </w:r>
            <w:r w:rsidR="00D50FB3">
              <w:t>ew</w:t>
            </w:r>
            <w:r w:rsidR="00B30266">
              <w:t xml:space="preserve"> evaluation unit</w:t>
            </w:r>
            <w:r w:rsidR="00D50FB3">
              <w:t>,</w:t>
            </w:r>
            <w:r w:rsidR="00B30266">
              <w:t xml:space="preserve"> </w:t>
            </w:r>
            <w:r>
              <w:t>while</w:t>
            </w:r>
            <w:r w:rsidR="00B30266">
              <w:t xml:space="preserve"> the</w:t>
            </w:r>
            <w:r w:rsidR="00B30266" w:rsidRPr="008C59A8">
              <w:t xml:space="preserve"> Department of Social Services</w:t>
            </w:r>
            <w:r w:rsidR="00B30266">
              <w:t xml:space="preserve"> </w:t>
            </w:r>
            <w:r w:rsidR="00DF40E3">
              <w:t xml:space="preserve">stated </w:t>
            </w:r>
            <w:r>
              <w:t>its</w:t>
            </w:r>
            <w:r w:rsidR="00DF40E3">
              <w:t xml:space="preserve"> intention to update its</w:t>
            </w:r>
            <w:r w:rsidR="00B30266">
              <w:t xml:space="preserve"> Programme Delivery Model to monitor the adoption of evaluation findings. </w:t>
            </w:r>
          </w:p>
        </w:tc>
      </w:tr>
      <w:tr w:rsidR="007D3814" w14:paraId="37ED1AD2" w14:textId="77777777" w:rsidTr="00C30D7E">
        <w:tc>
          <w:tcPr>
            <w:tcW w:w="5000" w:type="pct"/>
            <w:tcBorders>
              <w:top w:val="nil"/>
              <w:left w:val="nil"/>
              <w:bottom w:val="nil"/>
              <w:right w:val="nil"/>
            </w:tcBorders>
            <w:shd w:val="clear" w:color="auto" w:fill="F2F2F2"/>
          </w:tcPr>
          <w:p w14:paraId="7D4AC178" w14:textId="344F5668" w:rsidR="007D3814" w:rsidRDefault="007D3814" w:rsidP="006811AE">
            <w:pPr>
              <w:pStyle w:val="BoxSource"/>
            </w:pPr>
            <w:r>
              <w:rPr>
                <w:i/>
              </w:rPr>
              <w:t>Sources</w:t>
            </w:r>
            <w:r w:rsidRPr="00167F06">
              <w:t>:</w:t>
            </w:r>
            <w:r w:rsidR="00AA5E11">
              <w:t xml:space="preserve"> Alexander and </w:t>
            </w:r>
            <w:proofErr w:type="spellStart"/>
            <w:r w:rsidR="00AA5E11">
              <w:t>Thodey</w:t>
            </w:r>
            <w:proofErr w:type="spellEnd"/>
            <w:r w:rsidR="00AA5E11">
              <w:t xml:space="preserve"> </w:t>
            </w:r>
            <w:r w:rsidR="00AA5E11" w:rsidRPr="00646902">
              <w:rPr>
                <w:rFonts w:cs="Arial"/>
              </w:rPr>
              <w:t>(2018)</w:t>
            </w:r>
            <w:r w:rsidR="006811AE">
              <w:t>;</w:t>
            </w:r>
            <w:r w:rsidR="00076DE8">
              <w:t xml:space="preserve"> </w:t>
            </w:r>
            <w:r w:rsidR="004E340F">
              <w:t xml:space="preserve">ANAO </w:t>
            </w:r>
            <w:r w:rsidR="008E6015" w:rsidRPr="008E6015">
              <w:rPr>
                <w:rFonts w:cs="Arial"/>
              </w:rPr>
              <w:t>(2015, 2019a)</w:t>
            </w:r>
            <w:r w:rsidR="006811AE">
              <w:rPr>
                <w:rFonts w:cs="Arial"/>
              </w:rPr>
              <w:t>;</w:t>
            </w:r>
            <w:r w:rsidR="004E340F">
              <w:t xml:space="preserve"> </w:t>
            </w:r>
            <w:proofErr w:type="spellStart"/>
            <w:r w:rsidR="004E340F">
              <w:t>Gray</w:t>
            </w:r>
            <w:proofErr w:type="spellEnd"/>
            <w:r w:rsidR="004E340F">
              <w:t xml:space="preserve"> and Bray </w:t>
            </w:r>
            <w:r w:rsidR="00646902" w:rsidRPr="00646902">
              <w:rPr>
                <w:rFonts w:cs="Arial"/>
              </w:rPr>
              <w:t>(2019)</w:t>
            </w:r>
            <w:r w:rsidR="00AA5E11">
              <w:t>.</w:t>
            </w:r>
          </w:p>
        </w:tc>
      </w:tr>
      <w:tr w:rsidR="007D3814" w14:paraId="67F28BD5" w14:textId="77777777" w:rsidTr="00C30D7E">
        <w:tc>
          <w:tcPr>
            <w:tcW w:w="5000" w:type="pct"/>
            <w:tcBorders>
              <w:top w:val="nil"/>
              <w:left w:val="nil"/>
              <w:bottom w:val="single" w:sz="6" w:space="0" w:color="78A22F"/>
              <w:right w:val="nil"/>
            </w:tcBorders>
            <w:shd w:val="clear" w:color="auto" w:fill="F2F2F2"/>
          </w:tcPr>
          <w:p w14:paraId="1E2AB871" w14:textId="77777777" w:rsidR="007D3814" w:rsidRDefault="007D3814" w:rsidP="00A35476">
            <w:pPr>
              <w:pStyle w:val="Box"/>
              <w:keepNext w:val="0"/>
              <w:spacing w:before="0" w:line="120" w:lineRule="exact"/>
            </w:pPr>
          </w:p>
        </w:tc>
      </w:tr>
    </w:tbl>
    <w:p w14:paraId="4F22F474" w14:textId="77777777" w:rsidR="0071608F" w:rsidRPr="00054F49" w:rsidRDefault="0071608F" w:rsidP="00054F49">
      <w:pPr>
        <w:pStyle w:val="Heading4"/>
      </w:pPr>
      <w:bookmarkStart w:id="124" w:name="_Toc10795564"/>
      <w:bookmarkStart w:id="125" w:name="_Toc10795709"/>
      <w:bookmarkStart w:id="126" w:name="_Toc10802396"/>
      <w:bookmarkStart w:id="127" w:name="_Toc10808042"/>
      <w:bookmarkStart w:id="128" w:name="_Toc12272484"/>
      <w:bookmarkStart w:id="129" w:name="_Toc10808783"/>
      <w:r w:rsidRPr="00054F49">
        <w:t>Aboriginal and Torres Strait Islander organisations</w:t>
      </w:r>
      <w:bookmarkEnd w:id="124"/>
      <w:bookmarkEnd w:id="125"/>
      <w:bookmarkEnd w:id="126"/>
      <w:bookmarkEnd w:id="127"/>
      <w:bookmarkEnd w:id="128"/>
    </w:p>
    <w:bookmarkEnd w:id="129"/>
    <w:p w14:paraId="0B08DC3D" w14:textId="6EF099F3" w:rsidR="0071608F" w:rsidRDefault="0071608F" w:rsidP="0071608F">
      <w:pPr>
        <w:pStyle w:val="BodyText"/>
      </w:pPr>
      <w:r>
        <w:t xml:space="preserve">Governments are not the only </w:t>
      </w:r>
      <w:r w:rsidRPr="00070ABB">
        <w:t>commissioners</w:t>
      </w:r>
      <w:r>
        <w:t xml:space="preserve">, doers and users of evaluation. Aboriginal and Torres Strait Islander </w:t>
      </w:r>
      <w:r w:rsidR="008219B9">
        <w:t xml:space="preserve">people </w:t>
      </w:r>
      <w:r>
        <w:t xml:space="preserve">and organisations also lead evaluations to understand the impacts and benefits of their programs, strategically plan for the future, contribute to the evidence base, and influence the development of government </w:t>
      </w:r>
      <w:r w:rsidR="004819D3">
        <w:t xml:space="preserve">policies and </w:t>
      </w:r>
      <w:r>
        <w:t xml:space="preserve">programs. </w:t>
      </w:r>
      <w:r w:rsidRPr="00BF7EBA">
        <w:t xml:space="preserve">Some organisations are taking a leading role in </w:t>
      </w:r>
      <w:r>
        <w:t>program evaluation to better track outcomes for Aboriginal and Torres Strait Islander people, alongside government (box</w:t>
      </w:r>
      <w:r w:rsidR="00442E24">
        <w:t> </w:t>
      </w:r>
      <w:r w:rsidR="00CA00D0">
        <w:t>5</w:t>
      </w:r>
      <w:r>
        <w:t>), and in areas such as health, trauma and healing, justice, child and family wellbeing, and education.</w:t>
      </w:r>
    </w:p>
    <w:p w14:paraId="2C6DFFA7" w14:textId="74054C50" w:rsidR="0042718E" w:rsidRDefault="0042718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2718E" w14:paraId="6C534B78" w14:textId="77777777" w:rsidTr="00093FAB">
        <w:trPr>
          <w:tblHeader/>
        </w:trPr>
        <w:tc>
          <w:tcPr>
            <w:tcW w:w="5000" w:type="pct"/>
            <w:tcBorders>
              <w:top w:val="single" w:sz="6" w:space="0" w:color="78A22F"/>
              <w:left w:val="nil"/>
              <w:bottom w:val="nil"/>
              <w:right w:val="nil"/>
            </w:tcBorders>
            <w:shd w:val="clear" w:color="auto" w:fill="F2F2F2"/>
          </w:tcPr>
          <w:p w14:paraId="12F56C95" w14:textId="370AC24F" w:rsidR="0042718E" w:rsidRDefault="0042718E">
            <w:pPr>
              <w:pStyle w:val="BoxTitle"/>
            </w:pPr>
            <w:r>
              <w:rPr>
                <w:b w:val="0"/>
              </w:rPr>
              <w:t xml:space="preserve">Box </w:t>
            </w:r>
            <w:r w:rsidR="00E109F5">
              <w:rPr>
                <w:b w:val="0"/>
                <w:noProof/>
              </w:rPr>
              <w:t>5</w:t>
            </w:r>
            <w:r>
              <w:tab/>
              <w:t>Institute for Urban Indigenous Health: A Case study</w:t>
            </w:r>
          </w:p>
        </w:tc>
      </w:tr>
      <w:tr w:rsidR="0042718E" w14:paraId="0EA47F2C" w14:textId="77777777" w:rsidTr="00093FAB">
        <w:tc>
          <w:tcPr>
            <w:tcW w:w="5000" w:type="pct"/>
            <w:tcBorders>
              <w:top w:val="nil"/>
              <w:left w:val="nil"/>
              <w:bottom w:val="nil"/>
              <w:right w:val="nil"/>
            </w:tcBorders>
            <w:shd w:val="clear" w:color="auto" w:fill="F2F2F2"/>
          </w:tcPr>
          <w:p w14:paraId="59A6E631" w14:textId="1170032D" w:rsidR="0042718E" w:rsidRDefault="0042718E" w:rsidP="0042718E">
            <w:pPr>
              <w:pStyle w:val="Box"/>
            </w:pPr>
            <w:r>
              <w:t xml:space="preserve">The Institute for Urban Indigenous Health (IUIH) </w:t>
            </w:r>
            <w:r w:rsidRPr="006F21B2">
              <w:t>leads the planning and delivery of primary health care</w:t>
            </w:r>
            <w:r>
              <w:t xml:space="preserve"> services to Aboriginal and Torres Stra</w:t>
            </w:r>
            <w:r w:rsidR="00CD0CF5">
              <w:t xml:space="preserve">it Islander people across South </w:t>
            </w:r>
            <w:r>
              <w:t xml:space="preserve">East Queensland. It works in </w:t>
            </w:r>
            <w:r w:rsidRPr="003A7BF4">
              <w:t xml:space="preserve">partnership with </w:t>
            </w:r>
            <w:r>
              <w:t xml:space="preserve">research bodies, </w:t>
            </w:r>
            <w:r w:rsidRPr="003A7BF4">
              <w:t>academia, government departments</w:t>
            </w:r>
            <w:r>
              <w:t>, and non</w:t>
            </w:r>
            <w:r>
              <w:noBreakHyphen/>
              <w:t>government organisations</w:t>
            </w:r>
            <w:r w:rsidRPr="003A7BF4">
              <w:t xml:space="preserve"> to improve the health of the urban </w:t>
            </w:r>
            <w:r>
              <w:t>Indigenous</w:t>
            </w:r>
            <w:r w:rsidRPr="003A7BF4">
              <w:t xml:space="preserve"> population</w:t>
            </w:r>
            <w:r>
              <w:t>,</w:t>
            </w:r>
            <w:r w:rsidRPr="003A7BF4">
              <w:t xml:space="preserve"> and </w:t>
            </w:r>
            <w:r w:rsidR="00FE485D">
              <w:t xml:space="preserve">to </w:t>
            </w:r>
            <w:r w:rsidRPr="003A7BF4">
              <w:t>close the gap in life expectancy between Indigenous and non</w:t>
            </w:r>
            <w:r w:rsidR="00442E24">
              <w:noBreakHyphen/>
            </w:r>
            <w:r w:rsidRPr="003A7BF4">
              <w:t>Indigenous people.</w:t>
            </w:r>
          </w:p>
          <w:p w14:paraId="72D9C57B" w14:textId="77777777" w:rsidR="0042718E" w:rsidRPr="003A7BF4" w:rsidRDefault="0042718E" w:rsidP="0042718E">
            <w:pPr>
              <w:pStyle w:val="Box"/>
            </w:pPr>
            <w:r>
              <w:t xml:space="preserve">In their 2014 case study, </w:t>
            </w:r>
            <w:proofErr w:type="spellStart"/>
            <w:r>
              <w:t>Gajjar</w:t>
            </w:r>
            <w:proofErr w:type="spellEnd"/>
            <w:r>
              <w:t xml:space="preserve"> et al. detail how IUIH uses evidence to respond to challenges in the Aboriginal community controlled health sector by (1) identifying evidence for change, (2) exploring and reframing this evidence, and (3) applying this evidence at different levels of policy and practice. </w:t>
            </w:r>
            <w:r w:rsidRPr="003A7BF4">
              <w:t xml:space="preserve">For example, in 2009, </w:t>
            </w:r>
            <w:r>
              <w:t>I</w:t>
            </w:r>
            <w:r w:rsidRPr="003A7BF4">
              <w:t>UIH used find</w:t>
            </w:r>
            <w:r>
              <w:t xml:space="preserve">ings from a study on Indigenous burden of disease to substantiate </w:t>
            </w:r>
            <w:r w:rsidRPr="003A7BF4">
              <w:t>urban disadvantage among Aborigin</w:t>
            </w:r>
            <w:r>
              <w:t xml:space="preserve">al and Torres Strait Islander people, </w:t>
            </w:r>
            <w:r w:rsidRPr="003A7BF4">
              <w:t>and</w:t>
            </w:r>
            <w:r>
              <w:t xml:space="preserve"> to justify investment</w:t>
            </w:r>
            <w:r w:rsidRPr="003A7BF4">
              <w:t xml:space="preserve"> in urban</w:t>
            </w:r>
            <w:r>
              <w:t>, as well as remote, Indigenous health.</w:t>
            </w:r>
          </w:p>
          <w:p w14:paraId="52833567" w14:textId="2779FE2A" w:rsidR="0042718E" w:rsidRDefault="0042718E" w:rsidP="0042718E">
            <w:pPr>
              <w:pStyle w:val="Box"/>
            </w:pPr>
            <w:r>
              <w:t xml:space="preserve">Recent evaluations by IUIH include a 2016 evaluation of its </w:t>
            </w:r>
            <w:r w:rsidRPr="009B7558">
              <w:t>Health Coordinated Care and Supplementary Services program</w:t>
            </w:r>
            <w:r>
              <w:t xml:space="preserve">, conducted with the </w:t>
            </w:r>
            <w:proofErr w:type="spellStart"/>
            <w:r w:rsidRPr="009B7558">
              <w:t>Wardliparingga</w:t>
            </w:r>
            <w:proofErr w:type="spellEnd"/>
            <w:r w:rsidRPr="009B7558">
              <w:t xml:space="preserve"> Aboriginal Research Unit</w:t>
            </w:r>
            <w:r>
              <w:t xml:space="preserve">, and a joint study examining the effectiveness of a </w:t>
            </w:r>
            <w:r w:rsidRPr="00A66FCD">
              <w:t>‘Birthing on Country’</w:t>
            </w:r>
            <w:r>
              <w:t xml:space="preserve"> model of care for Aboriginal and Torres Strait Islander women in an urban setting.</w:t>
            </w:r>
          </w:p>
        </w:tc>
      </w:tr>
      <w:tr w:rsidR="0042718E" w14:paraId="7FA09CDF" w14:textId="77777777" w:rsidTr="00093FAB">
        <w:tc>
          <w:tcPr>
            <w:tcW w:w="5000" w:type="pct"/>
            <w:tcBorders>
              <w:top w:val="nil"/>
              <w:left w:val="nil"/>
              <w:bottom w:val="nil"/>
              <w:right w:val="nil"/>
            </w:tcBorders>
            <w:shd w:val="clear" w:color="auto" w:fill="F2F2F2"/>
          </w:tcPr>
          <w:p w14:paraId="57AF6ACA" w14:textId="15FB8995" w:rsidR="0042718E" w:rsidRDefault="0042718E" w:rsidP="00F2346C">
            <w:pPr>
              <w:pStyle w:val="BoxSource"/>
            </w:pPr>
            <w:r>
              <w:rPr>
                <w:i/>
              </w:rPr>
              <w:t>Sources</w:t>
            </w:r>
            <w:r w:rsidRPr="00167F06">
              <w:t>:</w:t>
            </w:r>
            <w:r>
              <w:t xml:space="preserve"> </w:t>
            </w:r>
            <w:proofErr w:type="spellStart"/>
            <w:r>
              <w:t>Gaijar</w:t>
            </w:r>
            <w:proofErr w:type="spellEnd"/>
            <w:r>
              <w:t xml:space="preserve"> et al. </w:t>
            </w:r>
            <w:r w:rsidRPr="0042718E">
              <w:rPr>
                <w:rFonts w:cs="Arial"/>
              </w:rPr>
              <w:t>(2014)</w:t>
            </w:r>
            <w:r w:rsidR="00F2346C">
              <w:t>;</w:t>
            </w:r>
            <w:r>
              <w:t xml:space="preserve"> Hickey et al. </w:t>
            </w:r>
            <w:r w:rsidRPr="0042718E">
              <w:rPr>
                <w:rFonts w:cs="Arial"/>
              </w:rPr>
              <w:t>(2018)</w:t>
            </w:r>
            <w:r>
              <w:t>.</w:t>
            </w:r>
          </w:p>
        </w:tc>
      </w:tr>
      <w:tr w:rsidR="0042718E" w14:paraId="0C8D39F9" w14:textId="77777777" w:rsidTr="00093FAB">
        <w:tc>
          <w:tcPr>
            <w:tcW w:w="5000" w:type="pct"/>
            <w:tcBorders>
              <w:top w:val="nil"/>
              <w:left w:val="nil"/>
              <w:bottom w:val="single" w:sz="6" w:space="0" w:color="78A22F"/>
              <w:right w:val="nil"/>
            </w:tcBorders>
            <w:shd w:val="clear" w:color="auto" w:fill="F2F2F2"/>
          </w:tcPr>
          <w:p w14:paraId="4FAF20E1" w14:textId="77777777" w:rsidR="0042718E" w:rsidRDefault="0042718E">
            <w:pPr>
              <w:pStyle w:val="Box"/>
              <w:spacing w:before="0" w:line="120" w:lineRule="exact"/>
            </w:pPr>
          </w:p>
        </w:tc>
      </w:tr>
      <w:tr w:rsidR="0042718E" w:rsidRPr="000863A5" w14:paraId="0E8511D6" w14:textId="77777777" w:rsidTr="00093FAB">
        <w:tc>
          <w:tcPr>
            <w:tcW w:w="5000" w:type="pct"/>
            <w:tcBorders>
              <w:top w:val="single" w:sz="6" w:space="0" w:color="78A22F"/>
              <w:left w:val="nil"/>
              <w:bottom w:val="nil"/>
              <w:right w:val="nil"/>
            </w:tcBorders>
          </w:tcPr>
          <w:p w14:paraId="20F5BDF5" w14:textId="226652B5" w:rsidR="0042718E" w:rsidRPr="00626D32" w:rsidRDefault="0042718E" w:rsidP="00093FAB">
            <w:pPr>
              <w:pStyle w:val="BoxSpaceBelow"/>
            </w:pPr>
          </w:p>
        </w:tc>
      </w:tr>
    </w:tbl>
    <w:p w14:paraId="6DF5B852" w14:textId="0CC6173E" w:rsidR="0071608F" w:rsidRDefault="0071608F">
      <w:pPr>
        <w:pStyle w:val="BodyText"/>
      </w:pPr>
      <w:r>
        <w:lastRenderedPageBreak/>
        <w:t xml:space="preserve">The Indigenous </w:t>
      </w:r>
      <w:r w:rsidR="003168B7">
        <w:t>E</w:t>
      </w:r>
      <w:r>
        <w:t xml:space="preserve">valuation </w:t>
      </w:r>
      <w:r w:rsidR="003168B7">
        <w:t>S</w:t>
      </w:r>
      <w:r>
        <w:t xml:space="preserve">trategy provides an important opportunity to consider how Australian Government agencies can work better with Aboriginal and Torres Strait Islander organisations to deliver better evaluations and to </w:t>
      </w:r>
      <w:r w:rsidDel="008219B9">
        <w:t>make good</w:t>
      </w:r>
      <w:r>
        <w:t xml:space="preserve"> use </w:t>
      </w:r>
      <w:r w:rsidDel="008219B9">
        <w:t xml:space="preserve">of </w:t>
      </w:r>
      <w:r w:rsidR="0039367C">
        <w:t>their</w:t>
      </w:r>
      <w:r w:rsidR="008219B9">
        <w:t xml:space="preserve"> findings and recommendations</w:t>
      </w:r>
      <w:r>
        <w:t>.</w:t>
      </w:r>
    </w:p>
    <w:p w14:paraId="60EE138C" w14:textId="12BFA2F0" w:rsidR="00A51C85" w:rsidRPr="004E3B94" w:rsidRDefault="00A51C85" w:rsidP="00A51C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A51C85" w14:paraId="0978A136" w14:textId="77777777" w:rsidTr="00A51C85">
        <w:trPr>
          <w:tblHeader/>
        </w:trPr>
        <w:tc>
          <w:tcPr>
            <w:tcW w:w="5000" w:type="pct"/>
            <w:tcBorders>
              <w:top w:val="single" w:sz="6" w:space="0" w:color="78A22F"/>
              <w:left w:val="nil"/>
              <w:bottom w:val="nil"/>
              <w:right w:val="nil"/>
            </w:tcBorders>
            <w:shd w:val="clear" w:color="auto" w:fill="auto"/>
          </w:tcPr>
          <w:p w14:paraId="2870C66A" w14:textId="19A8EF99" w:rsidR="00A51C85" w:rsidRPr="00CE4C64" w:rsidRDefault="00A51C85" w:rsidP="00A51C85">
            <w:pPr>
              <w:pStyle w:val="InformationRequestTitle"/>
              <w:spacing w:before="120"/>
            </w:pPr>
            <w:r>
              <w:t>Questions on evaluation practice in australia</w:t>
            </w:r>
          </w:p>
        </w:tc>
      </w:tr>
      <w:tr w:rsidR="00A51C85" w:rsidRPr="00750BE2" w14:paraId="232E8B18" w14:textId="77777777" w:rsidTr="00A51C85">
        <w:tc>
          <w:tcPr>
            <w:tcW w:w="5000" w:type="pct"/>
            <w:tcBorders>
              <w:top w:val="nil"/>
              <w:left w:val="nil"/>
              <w:bottom w:val="nil"/>
              <w:right w:val="nil"/>
            </w:tcBorders>
            <w:shd w:val="clear" w:color="auto" w:fill="auto"/>
          </w:tcPr>
          <w:p w14:paraId="7850CBCD" w14:textId="6947585C" w:rsidR="00A51C85" w:rsidRDefault="00A51C85" w:rsidP="00A51C85">
            <w:pPr>
              <w:pStyle w:val="InformationRequest"/>
              <w:keepNext/>
            </w:pPr>
            <w:r w:rsidRPr="005B7A00">
              <w:t xml:space="preserve">To what extent do Australian Government agencies </w:t>
            </w:r>
            <w:r>
              <w:t xml:space="preserve">currently undertake </w:t>
            </w:r>
            <w:r w:rsidR="00435F09">
              <w:t>policy and program</w:t>
            </w:r>
            <w:r w:rsidRPr="005B7A00">
              <w:t xml:space="preserve"> evaluation</w:t>
            </w:r>
            <w:r>
              <w:t>? How does this vary across agencies? Approximately what proportion of evaluations are made public?</w:t>
            </w:r>
          </w:p>
          <w:p w14:paraId="4EA772BB" w14:textId="77777777" w:rsidR="00A51C85" w:rsidRPr="0001024F" w:rsidRDefault="00A51C85" w:rsidP="00B93970">
            <w:pPr>
              <w:pStyle w:val="InformationRequest"/>
              <w:keepNext/>
            </w:pPr>
            <w:r>
              <w:t>What are the strengths and weaknesses of current evaluation systems and practices across Australian Government agencies? Can you provide examples of good and bad practice?</w:t>
            </w:r>
          </w:p>
          <w:p w14:paraId="08E94222" w14:textId="77777777" w:rsidR="00A51C85" w:rsidRPr="00B93970" w:rsidRDefault="00A51C85" w:rsidP="00B93970">
            <w:pPr>
              <w:pStyle w:val="InformationRequest"/>
              <w:keepNext/>
            </w:pPr>
            <w:r w:rsidRPr="008219B9">
              <w:t xml:space="preserve">What can we learn from evaluation systems and practice at the state and territory level? </w:t>
            </w:r>
          </w:p>
          <w:p w14:paraId="779ACFCA" w14:textId="7115C1FF" w:rsidR="00A51C85" w:rsidRDefault="00A51C85" w:rsidP="00A51C85">
            <w:pPr>
              <w:pStyle w:val="InformationRequest"/>
              <w:keepNext/>
            </w:pPr>
            <w:r>
              <w:t xml:space="preserve">In what ways are Aboriginal and Torres Strait Islander </w:t>
            </w:r>
            <w:r w:rsidR="008219B9">
              <w:t xml:space="preserve">people and </w:t>
            </w:r>
            <w:r>
              <w:t xml:space="preserve">organisations contributing to policy and program evaluation? </w:t>
            </w:r>
          </w:p>
          <w:p w14:paraId="77469B86" w14:textId="29581F98" w:rsidR="008219B9" w:rsidRPr="008219B9" w:rsidRDefault="00B3544A" w:rsidP="00B93970">
            <w:pPr>
              <w:pStyle w:val="InformationRequest"/>
            </w:pPr>
            <w:r>
              <w:t xml:space="preserve">How </w:t>
            </w:r>
            <w:r w:rsidR="00D7310C">
              <w:t>do</w:t>
            </w:r>
            <w:r>
              <w:t xml:space="preserve"> we</w:t>
            </w:r>
            <w:r w:rsidR="008219B9">
              <w:t xml:space="preserve"> </w:t>
            </w:r>
            <w:r w:rsidR="0039367C">
              <w:t>better enable</w:t>
            </w:r>
            <w:r w:rsidR="008219B9">
              <w:t xml:space="preserve"> Aboriginal and Torres Strait Islander organisations to </w:t>
            </w:r>
            <w:r w:rsidR="00B93970">
              <w:t>lead</w:t>
            </w:r>
            <w:r w:rsidR="008219B9">
              <w:t xml:space="preserve"> evaluation</w:t>
            </w:r>
            <w:r w:rsidR="0039367C">
              <w:t xml:space="preserve"> and </w:t>
            </w:r>
            <w:r w:rsidR="00D455C8">
              <w:t>strengthen</w:t>
            </w:r>
            <w:r w:rsidR="00B93970">
              <w:t xml:space="preserve"> their </w:t>
            </w:r>
            <w:r w:rsidR="0039367C">
              <w:t>evaluation capability</w:t>
            </w:r>
            <w:r w:rsidR="00B93970">
              <w:t>?</w:t>
            </w:r>
          </w:p>
          <w:p w14:paraId="73CD39C7" w14:textId="7821F58D" w:rsidR="00A51C85" w:rsidRPr="006E7EE2" w:rsidRDefault="00A51C85">
            <w:pPr>
              <w:pStyle w:val="InformationRequest"/>
              <w:keepNext/>
            </w:pPr>
            <w:r>
              <w:t xml:space="preserve">How effectively do government agencies work with </w:t>
            </w:r>
            <w:r w:rsidR="0062616C">
              <w:t xml:space="preserve">Aboriginal and Torres Strait Islander </w:t>
            </w:r>
            <w:r>
              <w:t xml:space="preserve">organisations when evaluating </w:t>
            </w:r>
            <w:r w:rsidR="004819D3">
              <w:t>policies and programs</w:t>
            </w:r>
            <w:r w:rsidR="00161E66">
              <w:t>?</w:t>
            </w:r>
            <w:r w:rsidR="00CE6FAC">
              <w:t xml:space="preserve"> W</w:t>
            </w:r>
            <w:r w:rsidR="00425146">
              <w:t>hat</w:t>
            </w:r>
            <w:r>
              <w:t xml:space="preserve"> can </w:t>
            </w:r>
            <w:r w:rsidR="00AF3A88">
              <w:t>agencies</w:t>
            </w:r>
            <w:r>
              <w:t xml:space="preserve"> do better?</w:t>
            </w:r>
          </w:p>
        </w:tc>
      </w:tr>
      <w:tr w:rsidR="00A51C85" w14:paraId="0F5D6D37" w14:textId="77777777" w:rsidTr="00A51C85">
        <w:tc>
          <w:tcPr>
            <w:tcW w:w="5000" w:type="pct"/>
            <w:tcBorders>
              <w:top w:val="nil"/>
              <w:left w:val="nil"/>
              <w:bottom w:val="single" w:sz="6" w:space="0" w:color="78A22F"/>
              <w:right w:val="nil"/>
            </w:tcBorders>
            <w:shd w:val="clear" w:color="auto" w:fill="auto"/>
          </w:tcPr>
          <w:p w14:paraId="4B9ADEAD" w14:textId="77777777" w:rsidR="00A51C85" w:rsidRDefault="00A51C85" w:rsidP="00A51C85">
            <w:pPr>
              <w:pStyle w:val="Space"/>
              <w:keepLines/>
            </w:pPr>
          </w:p>
        </w:tc>
      </w:tr>
      <w:tr w:rsidR="00A51C85" w:rsidRPr="000863A5" w14:paraId="6AA9B84B" w14:textId="77777777" w:rsidTr="00A51C85">
        <w:tc>
          <w:tcPr>
            <w:tcW w:w="5000" w:type="pct"/>
            <w:tcBorders>
              <w:top w:val="single" w:sz="6" w:space="0" w:color="78A22F"/>
              <w:left w:val="nil"/>
              <w:bottom w:val="nil"/>
              <w:right w:val="nil"/>
            </w:tcBorders>
          </w:tcPr>
          <w:p w14:paraId="0E338CB5" w14:textId="5E0F1B3E" w:rsidR="00A51C85" w:rsidRPr="00626D32" w:rsidRDefault="00A51C85" w:rsidP="00A51C85">
            <w:pPr>
              <w:pStyle w:val="BoxSpaceBelow"/>
              <w:keepLines/>
            </w:pPr>
          </w:p>
        </w:tc>
      </w:tr>
    </w:tbl>
    <w:p w14:paraId="18C47714" w14:textId="3AF34A8A" w:rsidR="007D3814" w:rsidRDefault="007D3814" w:rsidP="008F6EEC">
      <w:pPr>
        <w:pStyle w:val="Heading3"/>
      </w:pPr>
      <w:bookmarkStart w:id="130" w:name="_Toc10710005"/>
      <w:bookmarkStart w:id="131" w:name="_Toc10734429"/>
      <w:bookmarkStart w:id="132" w:name="_Toc10735501"/>
      <w:bookmarkStart w:id="133" w:name="_Toc10794230"/>
      <w:bookmarkStart w:id="134" w:name="_Toc10795565"/>
      <w:bookmarkStart w:id="135" w:name="_Toc10795710"/>
      <w:bookmarkStart w:id="136" w:name="_Toc10802397"/>
      <w:bookmarkStart w:id="137" w:name="_Toc10808043"/>
      <w:bookmarkStart w:id="138" w:name="_Toc10808784"/>
      <w:bookmarkStart w:id="139" w:name="_Toc12272485"/>
      <w:r>
        <w:t>Lessons from international experience</w:t>
      </w:r>
      <w:bookmarkEnd w:id="130"/>
      <w:bookmarkEnd w:id="131"/>
      <w:bookmarkEnd w:id="132"/>
      <w:bookmarkEnd w:id="133"/>
      <w:bookmarkEnd w:id="134"/>
      <w:bookmarkEnd w:id="135"/>
      <w:bookmarkEnd w:id="136"/>
      <w:bookmarkEnd w:id="137"/>
      <w:bookmarkEnd w:id="138"/>
      <w:bookmarkEnd w:id="139"/>
    </w:p>
    <w:p w14:paraId="4418FE27" w14:textId="0C39F263" w:rsidR="007D3814" w:rsidRDefault="00BF241A" w:rsidP="007D3814">
      <w:pPr>
        <w:pStyle w:val="BodyText"/>
      </w:pPr>
      <w:r>
        <w:t>In developing an Indigenous Evaluation Strategy, t</w:t>
      </w:r>
      <w:r w:rsidR="007D3814">
        <w:t xml:space="preserve">he Commission </w:t>
      </w:r>
      <w:r>
        <w:t xml:space="preserve">will consider the merits or otherwise of the evaluation models in place in relevant overseas jurisdictions (for example, </w:t>
      </w:r>
      <w:r w:rsidR="002D2AE8">
        <w:t xml:space="preserve">the United States, </w:t>
      </w:r>
      <w:r w:rsidR="007D3814">
        <w:t>Canada</w:t>
      </w:r>
      <w:r w:rsidR="007D3814" w:rsidDel="002D2AE8">
        <w:t xml:space="preserve"> </w:t>
      </w:r>
      <w:r w:rsidR="007D3814">
        <w:t>and New Zealand</w:t>
      </w:r>
      <w:r>
        <w:t xml:space="preserve"> — box</w:t>
      </w:r>
      <w:r w:rsidR="00442E24">
        <w:t> </w:t>
      </w:r>
      <w:r w:rsidR="00CA00D0">
        <w:t>6</w:t>
      </w:r>
      <w:r w:rsidR="007353E5">
        <w:t>, section</w:t>
      </w:r>
      <w:r w:rsidR="00442E24">
        <w:t> </w:t>
      </w:r>
      <w:r w:rsidR="007353E5">
        <w:t>4</w:t>
      </w:r>
      <w:r>
        <w:t>)</w:t>
      </w:r>
      <w:r w:rsidR="007D3814">
        <w:t xml:space="preserve">. </w:t>
      </w:r>
      <w:r>
        <w:t xml:space="preserve">The Canadian Government </w:t>
      </w:r>
      <w:r w:rsidR="007D3814">
        <w:t>has a well</w:t>
      </w:r>
      <w:r>
        <w:noBreakHyphen/>
      </w:r>
      <w:r w:rsidR="007D3814">
        <w:t xml:space="preserve">established </w:t>
      </w:r>
      <w:r>
        <w:t xml:space="preserve">and </w:t>
      </w:r>
      <w:r w:rsidR="007D3814">
        <w:t xml:space="preserve">centralised </w:t>
      </w:r>
      <w:r>
        <w:t xml:space="preserve">evaluation </w:t>
      </w:r>
      <w:r w:rsidR="007D3814">
        <w:t xml:space="preserve">system, </w:t>
      </w:r>
      <w:r>
        <w:t xml:space="preserve">and </w:t>
      </w:r>
      <w:r w:rsidR="007D3814">
        <w:t xml:space="preserve">the United States has recently passed legislation </w:t>
      </w:r>
      <w:r>
        <w:t xml:space="preserve">to </w:t>
      </w:r>
      <w:r w:rsidR="007D3814">
        <w:t>bring its evaluation regime more in line with the Canadian model. New</w:t>
      </w:r>
      <w:r w:rsidR="002D2AE8">
        <w:t> </w:t>
      </w:r>
      <w:r w:rsidR="007D3814">
        <w:t>Zealand</w:t>
      </w:r>
      <w:r>
        <w:t xml:space="preserve">’s evaluation arrangements are more fragmented, and in 2018, the government </w:t>
      </w:r>
      <w:r w:rsidR="00E509B4">
        <w:t xml:space="preserve">abolished the </w:t>
      </w:r>
      <w:r w:rsidR="007D3814">
        <w:t xml:space="preserve">agency </w:t>
      </w:r>
      <w:r>
        <w:t xml:space="preserve">charged with </w:t>
      </w:r>
      <w:r w:rsidR="007D3814">
        <w:t>encourag</w:t>
      </w:r>
      <w:r>
        <w:t>ing</w:t>
      </w:r>
      <w:r w:rsidR="007D3814">
        <w:t xml:space="preserve"> evaluation through </w:t>
      </w:r>
      <w:r>
        <w:t xml:space="preserve">the </w:t>
      </w:r>
      <w:r w:rsidR="007D3814">
        <w:t>creati</w:t>
      </w:r>
      <w:r>
        <w:t>on and d</w:t>
      </w:r>
      <w:r w:rsidR="007D3814">
        <w:t>isseminati</w:t>
      </w:r>
      <w:r>
        <w:t xml:space="preserve">on of </w:t>
      </w:r>
      <w:r w:rsidR="007D3814">
        <w:t>evidence.</w:t>
      </w:r>
    </w:p>
    <w:p w14:paraId="0D256126" w14:textId="0C6033D3" w:rsidR="007D3814" w:rsidRPr="004E3B94" w:rsidRDefault="007D3814" w:rsidP="007D381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7D3814" w14:paraId="74E5BF65" w14:textId="77777777" w:rsidTr="00C30D7E">
        <w:trPr>
          <w:tblHeader/>
        </w:trPr>
        <w:tc>
          <w:tcPr>
            <w:tcW w:w="5000" w:type="pct"/>
            <w:tcBorders>
              <w:top w:val="single" w:sz="6" w:space="0" w:color="78A22F"/>
              <w:left w:val="nil"/>
              <w:bottom w:val="nil"/>
              <w:right w:val="nil"/>
            </w:tcBorders>
            <w:shd w:val="clear" w:color="auto" w:fill="auto"/>
          </w:tcPr>
          <w:p w14:paraId="6E0C9CBC" w14:textId="087100C5" w:rsidR="007D3814" w:rsidRPr="00CE4C64" w:rsidRDefault="007D3814" w:rsidP="00C30D7E">
            <w:pPr>
              <w:pStyle w:val="InformationRequestTitle"/>
              <w:spacing w:before="120"/>
            </w:pPr>
            <w:r>
              <w:t xml:space="preserve">Questions on evaluation </w:t>
            </w:r>
            <w:r w:rsidR="0018716F">
              <w:t>overseas</w:t>
            </w:r>
          </w:p>
        </w:tc>
      </w:tr>
      <w:tr w:rsidR="007D3814" w:rsidRPr="00750BE2" w14:paraId="3F47F6CE" w14:textId="77777777" w:rsidTr="00C30D7E">
        <w:tc>
          <w:tcPr>
            <w:tcW w:w="5000" w:type="pct"/>
            <w:tcBorders>
              <w:top w:val="nil"/>
              <w:left w:val="nil"/>
              <w:bottom w:val="nil"/>
              <w:right w:val="nil"/>
            </w:tcBorders>
            <w:shd w:val="clear" w:color="auto" w:fill="auto"/>
          </w:tcPr>
          <w:p w14:paraId="16305DEF" w14:textId="1E578E3D" w:rsidR="002D5C61" w:rsidRDefault="007D3814" w:rsidP="002F7AA5">
            <w:pPr>
              <w:pStyle w:val="InformationRequest"/>
              <w:keepNext/>
            </w:pPr>
            <w:r>
              <w:t xml:space="preserve">What lessons can </w:t>
            </w:r>
            <w:r w:rsidR="00367510">
              <w:t>we learn</w:t>
            </w:r>
            <w:r>
              <w:t xml:space="preserve"> from evaluation arrangements </w:t>
            </w:r>
            <w:r w:rsidR="00733C90">
              <w:t xml:space="preserve">in overseas </w:t>
            </w:r>
            <w:r w:rsidR="001638EE">
              <w:t>jurisdictions</w:t>
            </w:r>
            <w:r w:rsidR="00733C90">
              <w:t>?</w:t>
            </w:r>
            <w:r>
              <w:t xml:space="preserve"> </w:t>
            </w:r>
          </w:p>
          <w:p w14:paraId="2D7D6993" w14:textId="048989CE" w:rsidR="007D3814" w:rsidRPr="006E7EE2" w:rsidRDefault="007D3814" w:rsidP="007E08CA">
            <w:pPr>
              <w:pStyle w:val="InformationRequest"/>
              <w:keepNext/>
            </w:pPr>
            <w:r>
              <w:t xml:space="preserve">Are there any particularly beneficial </w:t>
            </w:r>
            <w:r w:rsidR="00512951">
              <w:t xml:space="preserve">international </w:t>
            </w:r>
            <w:r>
              <w:t xml:space="preserve">models for </w:t>
            </w:r>
            <w:r w:rsidR="00EF6C3F">
              <w:t>the</w:t>
            </w:r>
            <w:r>
              <w:t xml:space="preserve"> evaluation </w:t>
            </w:r>
            <w:r w:rsidR="00733C90">
              <w:t>of policies</w:t>
            </w:r>
            <w:r w:rsidR="002F7AA5">
              <w:t xml:space="preserve"> </w:t>
            </w:r>
            <w:r w:rsidR="00D915AE">
              <w:t>and programs</w:t>
            </w:r>
            <w:r w:rsidR="002F7AA5">
              <w:t xml:space="preserve"> affecting indigenous people</w:t>
            </w:r>
            <w:r>
              <w:t>?</w:t>
            </w:r>
            <w:r w:rsidR="00C36839">
              <w:t xml:space="preserve"> </w:t>
            </w:r>
            <w:r w:rsidR="007E08CA">
              <w:t>What makes them</w:t>
            </w:r>
            <w:r w:rsidR="00C36839">
              <w:t xml:space="preserve"> effective?</w:t>
            </w:r>
          </w:p>
        </w:tc>
      </w:tr>
      <w:tr w:rsidR="007D3814" w14:paraId="53960413" w14:textId="77777777" w:rsidTr="00C30D7E">
        <w:tc>
          <w:tcPr>
            <w:tcW w:w="5000" w:type="pct"/>
            <w:tcBorders>
              <w:top w:val="nil"/>
              <w:left w:val="nil"/>
              <w:bottom w:val="single" w:sz="6" w:space="0" w:color="78A22F"/>
              <w:right w:val="nil"/>
            </w:tcBorders>
            <w:shd w:val="clear" w:color="auto" w:fill="auto"/>
          </w:tcPr>
          <w:p w14:paraId="46D424D6" w14:textId="77777777" w:rsidR="007D3814" w:rsidRDefault="007D3814" w:rsidP="00C30D7E">
            <w:pPr>
              <w:pStyle w:val="Space"/>
              <w:keepLines/>
            </w:pPr>
          </w:p>
        </w:tc>
      </w:tr>
      <w:tr w:rsidR="007D3814" w:rsidRPr="000863A5" w14:paraId="25F70B4E" w14:textId="77777777" w:rsidTr="00C30D7E">
        <w:tc>
          <w:tcPr>
            <w:tcW w:w="5000" w:type="pct"/>
            <w:tcBorders>
              <w:top w:val="single" w:sz="6" w:space="0" w:color="78A22F"/>
              <w:left w:val="nil"/>
              <w:bottom w:val="nil"/>
              <w:right w:val="nil"/>
            </w:tcBorders>
          </w:tcPr>
          <w:p w14:paraId="3D27410B" w14:textId="5609A715" w:rsidR="007D3814" w:rsidRPr="00626D32" w:rsidRDefault="007D3814" w:rsidP="00C30D7E">
            <w:pPr>
              <w:pStyle w:val="BoxSpaceBelow"/>
              <w:keepLines/>
            </w:pPr>
          </w:p>
        </w:tc>
      </w:tr>
    </w:tbl>
    <w:p w14:paraId="5E6895E7" w14:textId="77777777" w:rsidR="00474338" w:rsidRDefault="00474338" w:rsidP="00474338">
      <w:pPr>
        <w:pStyle w:val="BoxSpaceAbove"/>
      </w:pPr>
      <w:bookmarkStart w:id="140" w:name="_Toc10710007"/>
      <w:bookmarkStart w:id="141" w:name="_Toc10734431"/>
      <w:bookmarkStart w:id="142" w:name="_Toc10735503"/>
      <w:bookmarkStart w:id="143" w:name="_Toc10794232"/>
      <w:bookmarkStart w:id="144" w:name="_Toc10795567"/>
      <w:bookmarkStart w:id="145" w:name="_Toc10795712"/>
      <w:bookmarkStart w:id="146" w:name="_Toc10802399"/>
      <w:bookmarkStart w:id="147" w:name="_Toc10808045"/>
      <w:bookmarkStart w:id="148" w:name="_Toc10808786"/>
      <w:bookmarkStart w:id="149" w:name="_Toc12272487"/>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74338" w14:paraId="09EAC83C" w14:textId="77777777" w:rsidTr="00D9468C">
        <w:trPr>
          <w:tblHeader/>
        </w:trPr>
        <w:tc>
          <w:tcPr>
            <w:tcW w:w="5000" w:type="pct"/>
            <w:tcBorders>
              <w:top w:val="single" w:sz="6" w:space="0" w:color="78A22F"/>
              <w:left w:val="nil"/>
              <w:bottom w:val="nil"/>
              <w:right w:val="nil"/>
            </w:tcBorders>
            <w:shd w:val="clear" w:color="auto" w:fill="F2F2F2"/>
          </w:tcPr>
          <w:p w14:paraId="6D4BA44B" w14:textId="77777777" w:rsidR="00474338" w:rsidRDefault="00474338" w:rsidP="00D9468C">
            <w:pPr>
              <w:pStyle w:val="BoxTitle"/>
            </w:pPr>
            <w:r>
              <w:rPr>
                <w:b w:val="0"/>
              </w:rPr>
              <w:t xml:space="preserve">Box </w:t>
            </w:r>
            <w:r>
              <w:rPr>
                <w:b w:val="0"/>
                <w:noProof/>
              </w:rPr>
              <w:t>6</w:t>
            </w:r>
            <w:r>
              <w:tab/>
              <w:t>Features of overseas evaluation</w:t>
            </w:r>
          </w:p>
        </w:tc>
      </w:tr>
      <w:tr w:rsidR="00474338" w14:paraId="04609FF4" w14:textId="77777777" w:rsidTr="00D9468C">
        <w:tc>
          <w:tcPr>
            <w:tcW w:w="5000" w:type="pct"/>
            <w:tcBorders>
              <w:top w:val="nil"/>
              <w:left w:val="nil"/>
              <w:bottom w:val="nil"/>
              <w:right w:val="nil"/>
            </w:tcBorders>
            <w:shd w:val="clear" w:color="auto" w:fill="F2F2F2"/>
          </w:tcPr>
          <w:p w14:paraId="0F106A5C" w14:textId="77777777" w:rsidR="00474338" w:rsidRDefault="00474338" w:rsidP="00D9468C">
            <w:pPr>
              <w:pStyle w:val="BoxHeading1"/>
            </w:pPr>
            <w:r>
              <w:t>Independent institute synthesising evidence for policy making — W</w:t>
            </w:r>
            <w:r w:rsidRPr="00E7069D">
              <w:t xml:space="preserve">ashington </w:t>
            </w:r>
            <w:r>
              <w:t>S</w:t>
            </w:r>
            <w:r w:rsidRPr="00E7069D">
              <w:t xml:space="preserve">tate </w:t>
            </w:r>
            <w:r>
              <w:t>I</w:t>
            </w:r>
            <w:r w:rsidRPr="00E7069D">
              <w:t xml:space="preserve">nstitute for </w:t>
            </w:r>
            <w:r>
              <w:t>P</w:t>
            </w:r>
            <w:r w:rsidRPr="00E7069D">
              <w:t xml:space="preserve">ublic </w:t>
            </w:r>
            <w:r>
              <w:t>P</w:t>
            </w:r>
            <w:r w:rsidRPr="00E7069D">
              <w:t>olicy</w:t>
            </w:r>
            <w:r>
              <w:t xml:space="preserve"> (United States)</w:t>
            </w:r>
          </w:p>
          <w:p w14:paraId="03CD069F" w14:textId="77777777" w:rsidR="00474338" w:rsidRDefault="00474338" w:rsidP="00D9468C">
            <w:pPr>
              <w:pStyle w:val="Box"/>
            </w:pPr>
            <w:r>
              <w:t>The Institute is a bipartisan research group, with the State Legislature directing its research agenda. Analysts create a thematic ‘menu’ of options that have evidence to support them. The Institute uses this menu to undertake cost</w:t>
            </w:r>
            <w:r>
              <w:noBreakHyphen/>
              <w:t>benefit analyses and ranks the programs. They have an evidence library that is periodically updated.</w:t>
            </w:r>
          </w:p>
          <w:p w14:paraId="6B83A1E7" w14:textId="77777777" w:rsidR="00474338" w:rsidRPr="007379D3" w:rsidRDefault="00474338" w:rsidP="00D9468C">
            <w:pPr>
              <w:pStyle w:val="BoxHeading1"/>
            </w:pPr>
            <w:r>
              <w:t xml:space="preserve">Local evaluation centres — Indian Health Service Tribal Epidemiology Centres (United States) </w:t>
            </w:r>
          </w:p>
          <w:p w14:paraId="33E71833" w14:textId="77777777" w:rsidR="00474338" w:rsidRDefault="00474338" w:rsidP="00D9468C">
            <w:pPr>
              <w:pStyle w:val="Box"/>
            </w:pPr>
            <w:r>
              <w:t>The Indian Health Service funds twelve Tribal Epidemiology Centres throughout the United States to provide epidemiology services. The Centres work i</w:t>
            </w:r>
            <w:r w:rsidRPr="00F030E5">
              <w:t>n consultation with and on the request of Indian tribes, tribal organizations, and urban Indian organizations</w:t>
            </w:r>
            <w:r>
              <w:t xml:space="preserve"> to conduct evaluations. Many of the Centres have developed their own research guidelines and each publishes research. In collaboration, the Centres published a ‘best practices’ report in 2013. </w:t>
            </w:r>
          </w:p>
          <w:p w14:paraId="43982AFA" w14:textId="77777777" w:rsidR="00474338" w:rsidRDefault="00474338" w:rsidP="00D9468C">
            <w:pPr>
              <w:pStyle w:val="BoxHeading1"/>
            </w:pPr>
            <w:r>
              <w:t>Whole of government requirements — Policy on Results (Canada)</w:t>
            </w:r>
          </w:p>
          <w:p w14:paraId="3FB5997A" w14:textId="77777777" w:rsidR="00474338" w:rsidRDefault="00474338" w:rsidP="00D9468C">
            <w:pPr>
              <w:pStyle w:val="Box"/>
            </w:pPr>
            <w:r>
              <w:t xml:space="preserve">Canada incorporates indigenous evaluation under its whole of government evaluation arrangements. This system requires that departments have an evaluation division that evaluates programs with more than $5 million in annual expenditure every five years. Programs are assessed on their relevance, effectiveness and efficiency, and department management is required to respond to recommendations. The Treasury Board Secretariat implements and ensures compliance with the policy. All reports are published on the department’s website and a central repository. </w:t>
            </w:r>
          </w:p>
          <w:p w14:paraId="34CDC34C" w14:textId="77777777" w:rsidR="00474338" w:rsidRDefault="00474338" w:rsidP="00D9468C">
            <w:pPr>
              <w:pStyle w:val="BoxHeading1"/>
            </w:pPr>
            <w:r>
              <w:t xml:space="preserve">Commissioning model — </w:t>
            </w:r>
            <w:proofErr w:type="spellStart"/>
            <w:r w:rsidRPr="00F83CF0">
              <w:t>Whānau</w:t>
            </w:r>
            <w:proofErr w:type="spellEnd"/>
            <w:r w:rsidRPr="00F83CF0">
              <w:t xml:space="preserve"> Ora</w:t>
            </w:r>
            <w:r>
              <w:t xml:space="preserve"> (New Zealand) </w:t>
            </w:r>
          </w:p>
          <w:p w14:paraId="54CA1C9D" w14:textId="77777777" w:rsidR="00474338" w:rsidRPr="0011366C" w:rsidRDefault="00474338" w:rsidP="00D9468C">
            <w:pPr>
              <w:pStyle w:val="Box"/>
            </w:pPr>
            <w:proofErr w:type="spellStart"/>
            <w:r w:rsidRPr="0011366C">
              <w:t>Whānau</w:t>
            </w:r>
            <w:proofErr w:type="spellEnd"/>
            <w:r w:rsidRPr="0011366C">
              <w:t xml:space="preserve"> Ora</w:t>
            </w:r>
            <w:r>
              <w:t xml:space="preserve"> (translates to ‘family wellbeing’) is a </w:t>
            </w:r>
            <w:proofErr w:type="spellStart"/>
            <w:r>
              <w:t>whānau</w:t>
            </w:r>
            <w:proofErr w:type="spellEnd"/>
            <w:r>
              <w:noBreakHyphen/>
              <w:t>centred (family</w:t>
            </w:r>
            <w:r>
              <w:noBreakHyphen/>
              <w:t xml:space="preserve">centred) approach to service delivery that assists </w:t>
            </w:r>
            <w:proofErr w:type="spellStart"/>
            <w:r>
              <w:t>whānau</w:t>
            </w:r>
            <w:proofErr w:type="spellEnd"/>
            <w:r>
              <w:t xml:space="preserve"> to achieve better outcomes for themselves. Three devolved commissioning agencies connect </w:t>
            </w:r>
            <w:proofErr w:type="spellStart"/>
            <w:r>
              <w:t>whānau</w:t>
            </w:r>
            <w:proofErr w:type="spellEnd"/>
            <w:r>
              <w:t xml:space="preserve"> with initiatives to build the capability needed to satisfy </w:t>
            </w:r>
            <w:proofErr w:type="spellStart"/>
            <w:r>
              <w:t>whānau</w:t>
            </w:r>
            <w:proofErr w:type="spellEnd"/>
            <w:r>
              <w:t xml:space="preserve"> needs and aspirations. Under this model, each commissioning agency is in charge of undertaking evaluation of their own </w:t>
            </w:r>
            <w:r>
              <w:lastRenderedPageBreak/>
              <w:t xml:space="preserve">commissioning activities, whereas </w:t>
            </w:r>
            <w:proofErr w:type="spellStart"/>
            <w:r>
              <w:t>Te</w:t>
            </w:r>
            <w:proofErr w:type="spellEnd"/>
            <w:r>
              <w:t xml:space="preserve"> </w:t>
            </w:r>
            <w:proofErr w:type="spellStart"/>
            <w:r>
              <w:t>Puni</w:t>
            </w:r>
            <w:proofErr w:type="spellEnd"/>
            <w:r>
              <w:t xml:space="preserve"> </w:t>
            </w:r>
            <w:proofErr w:type="spellStart"/>
            <w:r>
              <w:t>Kōkiri</w:t>
            </w:r>
            <w:proofErr w:type="spellEnd"/>
            <w:r>
              <w:t xml:space="preserve"> — the government department funding the </w:t>
            </w:r>
            <w:proofErr w:type="spellStart"/>
            <w:r w:rsidRPr="0011366C">
              <w:t>Whānau</w:t>
            </w:r>
            <w:proofErr w:type="spellEnd"/>
            <w:r w:rsidRPr="0011366C">
              <w:t xml:space="preserve"> Ora</w:t>
            </w:r>
            <w:r>
              <w:t xml:space="preserve"> program — undertakes evaluations of the </w:t>
            </w:r>
            <w:proofErr w:type="spellStart"/>
            <w:r w:rsidRPr="0011366C">
              <w:t>Whānau</w:t>
            </w:r>
            <w:proofErr w:type="spellEnd"/>
            <w:r w:rsidRPr="0011366C">
              <w:t xml:space="preserve"> Ora</w:t>
            </w:r>
            <w:r>
              <w:t xml:space="preserve"> program overall. </w:t>
            </w:r>
          </w:p>
          <w:p w14:paraId="68B8A35A" w14:textId="77777777" w:rsidR="00474338" w:rsidRDefault="00474338" w:rsidP="00D9468C">
            <w:pPr>
              <w:pStyle w:val="BoxHeading1"/>
            </w:pPr>
            <w:r>
              <w:t xml:space="preserve">Whole-of-government support for capability building — </w:t>
            </w:r>
            <w:proofErr w:type="spellStart"/>
            <w:r w:rsidRPr="00B1362E">
              <w:t>Superu</w:t>
            </w:r>
            <w:proofErr w:type="spellEnd"/>
            <w:r>
              <w:t xml:space="preserve"> (New Zealand) </w:t>
            </w:r>
          </w:p>
          <w:p w14:paraId="0E5F9841" w14:textId="77777777" w:rsidR="00474338" w:rsidRDefault="00474338" w:rsidP="00D9468C">
            <w:pPr>
              <w:pStyle w:val="Box"/>
            </w:pPr>
            <w:proofErr w:type="spellStart"/>
            <w:r>
              <w:t>Superu</w:t>
            </w:r>
            <w:proofErr w:type="spellEnd"/>
            <w:r>
              <w:t xml:space="preserve"> was a NZ Government agency that focused on increasing the use of evidence in the social sector. They did this through creating and sharing evidence on social issues and what works to solve them. They also provided independent assurance by developing standards of evidence and good practice guidelines and supporting the use of evidence and good evaluation. Guidelines did not appear to be mandatory. </w:t>
            </w:r>
            <w:proofErr w:type="spellStart"/>
            <w:r>
              <w:t>Superu</w:t>
            </w:r>
            <w:proofErr w:type="spellEnd"/>
            <w:r>
              <w:t xml:space="preserve"> was abolished in 2018. </w:t>
            </w:r>
          </w:p>
        </w:tc>
      </w:tr>
      <w:tr w:rsidR="00474338" w14:paraId="3029D446" w14:textId="77777777" w:rsidTr="00D9468C">
        <w:tc>
          <w:tcPr>
            <w:tcW w:w="5000" w:type="pct"/>
            <w:tcBorders>
              <w:top w:val="nil"/>
              <w:left w:val="nil"/>
              <w:bottom w:val="nil"/>
              <w:right w:val="nil"/>
            </w:tcBorders>
            <w:shd w:val="clear" w:color="auto" w:fill="F2F2F2"/>
          </w:tcPr>
          <w:p w14:paraId="09E4F8CF" w14:textId="77777777" w:rsidR="00474338" w:rsidRDefault="00474338" w:rsidP="00D9468C">
            <w:pPr>
              <w:pStyle w:val="BoxSource"/>
            </w:pPr>
            <w:r>
              <w:rPr>
                <w:i/>
              </w:rPr>
              <w:lastRenderedPageBreak/>
              <w:t>Sources</w:t>
            </w:r>
            <w:r w:rsidRPr="00167F06">
              <w:t xml:space="preserve">: </w:t>
            </w:r>
            <w:proofErr w:type="spellStart"/>
            <w:r>
              <w:t>Akroyd</w:t>
            </w:r>
            <w:proofErr w:type="spellEnd"/>
            <w:r>
              <w:t xml:space="preserve"> et. al. </w:t>
            </w:r>
            <w:r w:rsidRPr="00623A8C">
              <w:rPr>
                <w:rFonts w:cs="Arial"/>
              </w:rPr>
              <w:t>(2016)</w:t>
            </w:r>
            <w:r>
              <w:t xml:space="preserve">; </w:t>
            </w:r>
            <w:proofErr w:type="spellStart"/>
            <w:r>
              <w:t>Dube</w:t>
            </w:r>
            <w:proofErr w:type="spellEnd"/>
            <w:r>
              <w:t xml:space="preserve"> and White </w:t>
            </w:r>
            <w:r w:rsidRPr="00646902">
              <w:rPr>
                <w:rFonts w:cs="Arial"/>
              </w:rPr>
              <w:t>(2017)</w:t>
            </w:r>
            <w:r>
              <w:rPr>
                <w:rFonts w:cs="Arial"/>
              </w:rPr>
              <w:t>;</w:t>
            </w:r>
            <w:r>
              <w:t xml:space="preserve"> Government of Canada </w:t>
            </w:r>
            <w:r w:rsidRPr="00646902">
              <w:rPr>
                <w:rFonts w:cs="Arial"/>
              </w:rPr>
              <w:t>(2016)</w:t>
            </w:r>
            <w:r>
              <w:rPr>
                <w:rFonts w:cs="Arial"/>
              </w:rPr>
              <w:t>;</w:t>
            </w:r>
            <w:r>
              <w:t xml:space="preserve"> NZ Ministry of Social Development </w:t>
            </w:r>
            <w:r w:rsidRPr="00646902">
              <w:rPr>
                <w:rFonts w:cs="Arial"/>
              </w:rPr>
              <w:t>(2018)</w:t>
            </w:r>
            <w:r>
              <w:rPr>
                <w:rFonts w:cs="Arial"/>
              </w:rPr>
              <w:t>;</w:t>
            </w:r>
            <w:r>
              <w:t xml:space="preserve"> Tribal Epidemiology </w:t>
            </w:r>
            <w:proofErr w:type="spellStart"/>
            <w:r>
              <w:t>Centers</w:t>
            </w:r>
            <w:proofErr w:type="spellEnd"/>
            <w:r>
              <w:t xml:space="preserve"> </w:t>
            </w:r>
            <w:r w:rsidRPr="003E41C3">
              <w:rPr>
                <w:rFonts w:cs="Arial"/>
              </w:rPr>
              <w:t xml:space="preserve">(2013, </w:t>
            </w:r>
            <w:proofErr w:type="spellStart"/>
            <w:r w:rsidRPr="003E41C3">
              <w:rPr>
                <w:rFonts w:cs="Arial"/>
              </w:rPr>
              <w:t>nd</w:t>
            </w:r>
            <w:proofErr w:type="spellEnd"/>
            <w:r w:rsidRPr="003E41C3">
              <w:rPr>
                <w:rFonts w:cs="Arial"/>
              </w:rPr>
              <w:t>)</w:t>
            </w:r>
            <w:r>
              <w:t xml:space="preserve">. </w:t>
            </w:r>
          </w:p>
        </w:tc>
      </w:tr>
      <w:tr w:rsidR="00474338" w14:paraId="44FFF875" w14:textId="77777777" w:rsidTr="00D9468C">
        <w:tc>
          <w:tcPr>
            <w:tcW w:w="5000" w:type="pct"/>
            <w:tcBorders>
              <w:top w:val="nil"/>
              <w:left w:val="nil"/>
              <w:bottom w:val="single" w:sz="6" w:space="0" w:color="78A22F"/>
              <w:right w:val="nil"/>
            </w:tcBorders>
            <w:shd w:val="clear" w:color="auto" w:fill="F2F2F2"/>
          </w:tcPr>
          <w:p w14:paraId="4FC14850" w14:textId="77777777" w:rsidR="00474338" w:rsidRDefault="00474338" w:rsidP="00D9468C">
            <w:pPr>
              <w:pStyle w:val="Box"/>
              <w:spacing w:before="0" w:line="120" w:lineRule="exact"/>
            </w:pPr>
          </w:p>
        </w:tc>
      </w:tr>
      <w:tr w:rsidR="00474338" w:rsidRPr="000863A5" w14:paraId="27B5A8A6" w14:textId="77777777" w:rsidTr="00D9468C">
        <w:tc>
          <w:tcPr>
            <w:tcW w:w="5000" w:type="pct"/>
            <w:tcBorders>
              <w:top w:val="single" w:sz="6" w:space="0" w:color="78A22F"/>
              <w:left w:val="nil"/>
              <w:bottom w:val="nil"/>
              <w:right w:val="nil"/>
            </w:tcBorders>
          </w:tcPr>
          <w:p w14:paraId="2AEB80B7" w14:textId="77777777" w:rsidR="00474338" w:rsidRPr="00626D32" w:rsidRDefault="00474338" w:rsidP="00D9468C">
            <w:pPr>
              <w:pStyle w:val="BoxSpaceBelow"/>
            </w:pPr>
          </w:p>
        </w:tc>
      </w:tr>
    </w:tbl>
    <w:p w14:paraId="696E19F3" w14:textId="77777777" w:rsidR="00474338" w:rsidRPr="007F0F06" w:rsidRDefault="00474338" w:rsidP="00474338">
      <w:pPr>
        <w:pStyle w:val="Heading2"/>
      </w:pPr>
      <w:bookmarkStart w:id="150" w:name="_Toc10710006"/>
      <w:bookmarkStart w:id="151" w:name="_Toc10734430"/>
      <w:bookmarkStart w:id="152" w:name="_Toc10735502"/>
      <w:bookmarkStart w:id="153" w:name="_Toc10794231"/>
      <w:bookmarkStart w:id="154" w:name="_Toc10795566"/>
      <w:bookmarkStart w:id="155" w:name="_Toc10795711"/>
      <w:bookmarkStart w:id="156" w:name="_Toc10802398"/>
      <w:bookmarkStart w:id="157" w:name="_Toc10808044"/>
      <w:bookmarkStart w:id="158" w:name="_Toc10808785"/>
      <w:bookmarkStart w:id="159" w:name="_Toc12272486"/>
      <w:bookmarkStart w:id="160" w:name="_Toc12363004"/>
      <w:bookmarkEnd w:id="140"/>
      <w:bookmarkEnd w:id="141"/>
      <w:bookmarkEnd w:id="142"/>
      <w:bookmarkEnd w:id="143"/>
      <w:bookmarkEnd w:id="144"/>
      <w:bookmarkEnd w:id="145"/>
      <w:bookmarkEnd w:id="146"/>
      <w:bookmarkEnd w:id="147"/>
      <w:bookmarkEnd w:id="148"/>
      <w:r w:rsidRPr="007F0F06">
        <w:t>4</w:t>
      </w:r>
      <w:r w:rsidRPr="007F0F06">
        <w:tab/>
        <w:t xml:space="preserve">Developing an </w:t>
      </w:r>
      <w:r>
        <w:t>Indigenous evaluation framework</w:t>
      </w:r>
      <w:bookmarkEnd w:id="150"/>
      <w:bookmarkEnd w:id="151"/>
      <w:bookmarkEnd w:id="152"/>
      <w:bookmarkEnd w:id="153"/>
      <w:bookmarkEnd w:id="154"/>
      <w:bookmarkEnd w:id="155"/>
      <w:bookmarkEnd w:id="156"/>
      <w:bookmarkEnd w:id="157"/>
      <w:bookmarkEnd w:id="158"/>
      <w:bookmarkEnd w:id="159"/>
      <w:bookmarkEnd w:id="160"/>
    </w:p>
    <w:p w14:paraId="3FE678F6" w14:textId="77777777" w:rsidR="00474338" w:rsidRDefault="00474338" w:rsidP="00474338">
      <w:pPr>
        <w:pStyle w:val="BodyText"/>
      </w:pPr>
      <w:r w:rsidRPr="00094013">
        <w:t>The Commission has bee</w:t>
      </w:r>
      <w:r w:rsidRPr="000D7AEB">
        <w:t>n asked to develop a principles</w:t>
      </w:r>
      <w:r>
        <w:noBreakHyphen/>
      </w:r>
      <w:r w:rsidRPr="000D7AEB">
        <w:t>based framework for the evaluation of policies and programs affecting Indigenous Australians. The framework would apply to all Australian</w:t>
      </w:r>
      <w:r w:rsidRPr="00075283">
        <w:t xml:space="preserve"> Government agencies</w:t>
      </w:r>
      <w:r>
        <w:t xml:space="preserve"> and forms a central component of the Indigenous Evaluation Strategy (section 1)</w:t>
      </w:r>
      <w:r w:rsidRPr="00075283">
        <w:t>.</w:t>
      </w:r>
    </w:p>
    <w:p w14:paraId="1C9DA6FF" w14:textId="77777777" w:rsidR="00D433D8" w:rsidRPr="00B871BA" w:rsidRDefault="00D433D8" w:rsidP="00D433D8">
      <w:pPr>
        <w:pStyle w:val="Heading3"/>
      </w:pPr>
      <w:r>
        <w:t>What is a principles</w:t>
      </w:r>
      <w:r w:rsidR="00442E24">
        <w:noBreakHyphen/>
      </w:r>
      <w:r>
        <w:t>based framework?</w:t>
      </w:r>
      <w:bookmarkEnd w:id="149"/>
    </w:p>
    <w:p w14:paraId="671C4406" w14:textId="77777777" w:rsidR="00D433D8" w:rsidRDefault="00D433D8" w:rsidP="00D433D8">
      <w:pPr>
        <w:pStyle w:val="BodyText"/>
      </w:pPr>
      <w:r>
        <w:t xml:space="preserve">An Indigenous evaluation framework will guide the actions of Australian Government agencies in undertaking and commissioning evaluations. It may also inform or have implications for other key evaluation stakeholders, including: </w:t>
      </w:r>
    </w:p>
    <w:p w14:paraId="426A8DA5" w14:textId="3BEE407C" w:rsidR="00D433D8" w:rsidRDefault="00D433D8" w:rsidP="00D433D8">
      <w:pPr>
        <w:pStyle w:val="ListBullet"/>
      </w:pPr>
      <w:r>
        <w:t>non</w:t>
      </w:r>
      <w:r w:rsidR="00442E24">
        <w:noBreakHyphen/>
      </w:r>
      <w:r>
        <w:t xml:space="preserve">Australian Government </w:t>
      </w:r>
      <w:r w:rsidRPr="00FD2D95">
        <w:t>evaluators, who undertake evaluation projects (</w:t>
      </w:r>
      <w:r>
        <w:t>for example,</w:t>
      </w:r>
      <w:r w:rsidRPr="00FD2D95">
        <w:t xml:space="preserve"> </w:t>
      </w:r>
      <w:r>
        <w:t xml:space="preserve">state and territory governments, </w:t>
      </w:r>
      <w:r w:rsidRPr="00FD2D95">
        <w:t>consulting companies or academics)</w:t>
      </w:r>
    </w:p>
    <w:p w14:paraId="0CC8C943" w14:textId="77777777" w:rsidR="00D433D8" w:rsidRDefault="00D433D8" w:rsidP="00D433D8">
      <w:pPr>
        <w:pStyle w:val="ListBullet"/>
      </w:pPr>
      <w:r w:rsidRPr="00FD2D95">
        <w:lastRenderedPageBreak/>
        <w:t>participants, who are surveyed or interviewed during the evaluation project (</w:t>
      </w:r>
      <w:r>
        <w:t>for example,</w:t>
      </w:r>
      <w:r w:rsidRPr="00FD2D95">
        <w:t xml:space="preserve"> participants in the program being evaluated)</w:t>
      </w:r>
    </w:p>
    <w:p w14:paraId="606921F4" w14:textId="77777777" w:rsidR="00D433D8" w:rsidRDefault="00D433D8" w:rsidP="00094013">
      <w:pPr>
        <w:pStyle w:val="ListBullet"/>
      </w:pPr>
      <w:proofErr w:type="gramStart"/>
      <w:r>
        <w:t>other</w:t>
      </w:r>
      <w:proofErr w:type="gramEnd"/>
      <w:r w:rsidRPr="00FD2D95">
        <w:t xml:space="preserve"> stakeholders, who are the broader group of people affected by the program or evaluation (</w:t>
      </w:r>
      <w:r>
        <w:t>for example,</w:t>
      </w:r>
      <w:r w:rsidRPr="00FD2D95">
        <w:t xml:space="preserve"> community organisations in the area where the program runs)</w:t>
      </w:r>
      <w:r>
        <w:t>.</w:t>
      </w:r>
    </w:p>
    <w:p w14:paraId="5093C08E" w14:textId="77777777" w:rsidR="00F51FF8" w:rsidRDefault="00F51FF8" w:rsidP="00F51FF8">
      <w:pPr>
        <w:pStyle w:val="BodyText"/>
      </w:pPr>
      <w:r>
        <w:t>Adopting a principles based approach allows the framework to be adaptable to different kinds of evaluations, including evaluations of Indigenous specific and mainstream programs, as well as strategic or cross cutting evaluations, such as evaluation of the effects of a range of programs in a particular place or region, or thematic evaluations examining common themes across programs conducted across multiple agencies (for example, governance or family programs).</w:t>
      </w:r>
    </w:p>
    <w:p w14:paraId="62CAE7B6" w14:textId="4F4EFB33" w:rsidR="00F51FF8" w:rsidRPr="00094013" w:rsidRDefault="00F51FF8" w:rsidP="00F51FF8">
      <w:pPr>
        <w:pStyle w:val="BodyText"/>
      </w:pPr>
      <w:r>
        <w:t>The principles will provide guidance to agencies about what constitutes high quality and ethical evaluation practice. As well as laying out the principles at a broad level, it may be useful for the Commission to enunciate the sorts of actions and considerations that agencies could or should take to support these principles.</w:t>
      </w:r>
    </w:p>
    <w:p w14:paraId="0728C8A8" w14:textId="45EA64CC" w:rsidR="00C210B1" w:rsidRDefault="00C210B1" w:rsidP="00C210B1">
      <w:pPr>
        <w:pStyle w:val="Heading3"/>
      </w:pPr>
      <w:bookmarkStart w:id="161" w:name="_Toc10710008"/>
      <w:bookmarkStart w:id="162" w:name="_Toc10734432"/>
      <w:bookmarkStart w:id="163" w:name="_Toc10735504"/>
      <w:bookmarkStart w:id="164" w:name="_Toc10794233"/>
      <w:bookmarkStart w:id="165" w:name="_Toc10795568"/>
      <w:bookmarkStart w:id="166" w:name="_Toc10795713"/>
      <w:bookmarkStart w:id="167" w:name="_Toc10802400"/>
      <w:bookmarkStart w:id="168" w:name="_Toc10808046"/>
      <w:bookmarkStart w:id="169" w:name="_Toc10808787"/>
      <w:bookmarkStart w:id="170" w:name="_Toc12272488"/>
      <w:r>
        <w:t>Existing evaluation principles</w:t>
      </w:r>
      <w:bookmarkEnd w:id="161"/>
      <w:bookmarkEnd w:id="162"/>
      <w:bookmarkEnd w:id="163"/>
      <w:bookmarkEnd w:id="164"/>
      <w:bookmarkEnd w:id="165"/>
      <w:bookmarkEnd w:id="166"/>
      <w:bookmarkEnd w:id="167"/>
      <w:bookmarkEnd w:id="168"/>
      <w:bookmarkEnd w:id="169"/>
      <w:bookmarkEnd w:id="170"/>
      <w:r>
        <w:t xml:space="preserve"> </w:t>
      </w:r>
    </w:p>
    <w:p w14:paraId="42A68F40" w14:textId="7D711320" w:rsidR="00135D96" w:rsidRPr="00070541" w:rsidRDefault="00135D96" w:rsidP="00F51FF8">
      <w:pPr>
        <w:pStyle w:val="Heading4"/>
        <w:spacing w:before="240"/>
      </w:pPr>
      <w:r>
        <w:t xml:space="preserve">General evaluation principles </w:t>
      </w:r>
    </w:p>
    <w:p w14:paraId="0AD26943" w14:textId="656F5110" w:rsidR="00135D96" w:rsidRDefault="00135D96" w:rsidP="00135D96">
      <w:pPr>
        <w:pStyle w:val="BodyText"/>
      </w:pPr>
      <w:r>
        <w:t xml:space="preserve">Prevailing evaluation principles and frameworks provide useful context and ideas for developing an Indigenous evaluation framework for Australian </w:t>
      </w:r>
      <w:r w:rsidR="00C003AD">
        <w:t>G</w:t>
      </w:r>
      <w:r>
        <w:t>overnment agencies.</w:t>
      </w:r>
      <w:r w:rsidR="00076DE8">
        <w:t xml:space="preserve"> </w:t>
      </w:r>
      <w:r>
        <w:t>Indeed, p</w:t>
      </w:r>
      <w:r w:rsidRPr="00A63AD0">
        <w:t>rofessional bodies for evaluators in western countries</w:t>
      </w:r>
      <w:r>
        <w:t>, as well as intergovernmental organisations such as the United Nations, the World Bank and the OECD,</w:t>
      </w:r>
      <w:r w:rsidRPr="00A63AD0">
        <w:t xml:space="preserve"> have developed </w:t>
      </w:r>
      <w:r>
        <w:t>a range of principles</w:t>
      </w:r>
      <w:r w:rsidRPr="00A63AD0">
        <w:t xml:space="preserve"> to guide evaluation co</w:t>
      </w:r>
      <w:r>
        <w:t>mmissioners and practitioners (</w:t>
      </w:r>
      <w:r w:rsidR="006C5DED">
        <w:t>table</w:t>
      </w:r>
      <w:r w:rsidR="00442E24">
        <w:t> </w:t>
      </w:r>
      <w:r w:rsidR="00893151">
        <w:t>3</w:t>
      </w:r>
      <w:r w:rsidRPr="00A63AD0">
        <w:t>)</w:t>
      </w:r>
      <w:r>
        <w:t xml:space="preserve">. These </w:t>
      </w:r>
      <w:r w:rsidR="000B052B">
        <w:t>general</w:t>
      </w:r>
      <w:r>
        <w:t xml:space="preserve"> principles most commonly relate to ethical aspects of evaluation or </w:t>
      </w:r>
      <w:r>
        <w:lastRenderedPageBreak/>
        <w:t>research (such as respect and confidentiality) and aspects that affect the quality of the final output (such</w:t>
      </w:r>
      <w:r w:rsidR="00BE3F16">
        <w:t xml:space="preserve"> as competence and usefulness).</w:t>
      </w:r>
    </w:p>
    <w:p w14:paraId="3DCAB526" w14:textId="77777777" w:rsidR="00D433D8" w:rsidRDefault="00D433D8" w:rsidP="00D433D8">
      <w:pPr>
        <w:pStyle w:val="Heading4"/>
      </w:pPr>
      <w:r>
        <w:t>Additional considerations for evaluating policies and programs affecting Aboriginal and Torres Strait Islander people</w:t>
      </w:r>
    </w:p>
    <w:p w14:paraId="2494387D" w14:textId="72EA951C" w:rsidR="00D433D8" w:rsidRDefault="00D433D8" w:rsidP="00D433D8">
      <w:pPr>
        <w:pStyle w:val="BodyText"/>
      </w:pPr>
      <w:r>
        <w:t>Among evaluation practitioners, there is acknowledgement that general evaluation principles such as those outlined in table</w:t>
      </w:r>
      <w:r w:rsidR="00442E24">
        <w:t> </w:t>
      </w:r>
      <w:r>
        <w:t xml:space="preserve">3 do not provide enough guidance for working in an ethical and culturally appropriate way with Aboriginal and Torres Strait Islander people and communities </w:t>
      </w:r>
      <w:r w:rsidRPr="006F46D7">
        <w:t>(</w:t>
      </w:r>
      <w:r>
        <w:t>for example,</w:t>
      </w:r>
      <w:r w:rsidRPr="006F46D7">
        <w:t xml:space="preserve"> </w:t>
      </w:r>
      <w:proofErr w:type="spellStart"/>
      <w:r w:rsidRPr="006F46D7">
        <w:t>Markiewicz</w:t>
      </w:r>
      <w:proofErr w:type="spellEnd"/>
      <w:r w:rsidRPr="006F46D7">
        <w:t xml:space="preserve"> 2012; </w:t>
      </w:r>
      <w:proofErr w:type="spellStart"/>
      <w:r w:rsidRPr="006F46D7">
        <w:t>Scougall</w:t>
      </w:r>
      <w:proofErr w:type="spellEnd"/>
      <w:r w:rsidRPr="006F46D7">
        <w:t xml:space="preserve"> 2006; Taylor 2003; Williams, Guenther &amp; Arnott 2011)</w:t>
      </w:r>
      <w:r>
        <w:t>.</w:t>
      </w:r>
    </w:p>
    <w:p w14:paraId="7D03AE02" w14:textId="77777777" w:rsidR="00474338" w:rsidRPr="000A5052" w:rsidRDefault="00474338" w:rsidP="00474338">
      <w:pPr>
        <w:pStyle w:val="BodyText"/>
        <w:rPr>
          <w:spacing w:val="-2"/>
        </w:rPr>
      </w:pPr>
      <w:r w:rsidRPr="000A5052">
        <w:rPr>
          <w:spacing w:val="-2"/>
        </w:rPr>
        <w:t xml:space="preserve">Several frameworks have been developed to specifically address issues that may arise when evaluating policies and </w:t>
      </w:r>
      <w:r w:rsidRPr="00474338">
        <w:t>programs</w:t>
      </w:r>
      <w:r w:rsidRPr="000A5052">
        <w:rPr>
          <w:spacing w:val="-2"/>
        </w:rPr>
        <w:t xml:space="preserve"> affecting Aboriginal and Torres Strait Islander people, or indigenous people more generally (table 4). These incorporate many of the principles espoused in guidelines designed to address historical patterns of poor practice among researchers when engaging with Aboriginal and Torres Strait Islander people and communities, such as those developed by the Australian Institute of Aboriginal and Torres Strait Islander Studies </w:t>
      </w:r>
      <w:r w:rsidRPr="000A5052">
        <w:rPr>
          <w:spacing w:val="-2"/>
          <w:szCs w:val="24"/>
        </w:rPr>
        <w:t>(AIATSIS 2012)</w:t>
      </w:r>
      <w:r w:rsidRPr="000A5052">
        <w:rPr>
          <w:spacing w:val="-2"/>
        </w:rPr>
        <w:t xml:space="preserve">, research funding bodies </w:t>
      </w:r>
      <w:r w:rsidRPr="000A5052">
        <w:rPr>
          <w:spacing w:val="-2"/>
          <w:szCs w:val="24"/>
        </w:rPr>
        <w:t>(Australian Research Council, National Health and Medical Research Council and Universities Australia 2018; NHMRC 2018)</w:t>
      </w:r>
      <w:r w:rsidRPr="000A5052">
        <w:rPr>
          <w:spacing w:val="-2"/>
        </w:rPr>
        <w:t>, as well as by Aboriginal and Torres Strait Islander community organisations (for example, Kimberley Land Council 2011). They also attempt to address issues that are specific to evaluation, including negotiating the relationships between commissioners, evaluators and evaluation participants.</w:t>
      </w:r>
    </w:p>
    <w:p w14:paraId="7AE79504" w14:textId="77777777" w:rsidR="00BE3F16" w:rsidRDefault="00BE3F16">
      <w:pPr>
        <w:pStyle w:val="BodyText"/>
      </w:pPr>
      <w:r>
        <w:br w:type="page"/>
      </w:r>
    </w:p>
    <w:p w14:paraId="214CC513" w14:textId="77777777" w:rsidR="00BE3F16" w:rsidRDefault="00BE3F16">
      <w:pPr>
        <w:pStyle w:val="BodyText"/>
        <w:sectPr w:rsidR="00BE3F16" w:rsidSect="00DB4FD4">
          <w:headerReference w:type="even" r:id="rId22"/>
          <w:headerReference w:type="default" r:id="rId23"/>
          <w:pgSz w:w="11907" w:h="16840" w:code="9"/>
          <w:pgMar w:top="1985" w:right="1304" w:bottom="1418" w:left="1814" w:header="1701" w:footer="567" w:gutter="0"/>
          <w:pgNumType w:start="1" w:chapSep="period"/>
          <w:cols w:space="720"/>
        </w:sectPr>
      </w:pPr>
    </w:p>
    <w:p w14:paraId="5D7E8FAC" w14:textId="12C9D790" w:rsidR="00BE3F16" w:rsidRDefault="00BE3F16" w:rsidP="00BE3F16">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BE3F16" w14:paraId="3DAA3F20" w14:textId="77777777" w:rsidTr="00BE3F16">
        <w:trPr>
          <w:tblHeader/>
        </w:trPr>
        <w:tc>
          <w:tcPr>
            <w:tcW w:w="5000" w:type="pct"/>
            <w:tcBorders>
              <w:top w:val="single" w:sz="6" w:space="0" w:color="78A22F"/>
              <w:left w:val="nil"/>
              <w:bottom w:val="nil"/>
              <w:right w:val="nil"/>
            </w:tcBorders>
            <w:shd w:val="clear" w:color="auto" w:fill="auto"/>
          </w:tcPr>
          <w:p w14:paraId="5B5A98F1" w14:textId="08CE703C" w:rsidR="00BE3F16" w:rsidRPr="00784A05" w:rsidRDefault="00BE3F16" w:rsidP="00BE3F16">
            <w:pPr>
              <w:pStyle w:val="TableTitle"/>
            </w:pPr>
            <w:r>
              <w:rPr>
                <w:b w:val="0"/>
              </w:rPr>
              <w:t xml:space="preserve">Table </w:t>
            </w:r>
            <w:r w:rsidR="00E109F5">
              <w:rPr>
                <w:b w:val="0"/>
                <w:noProof/>
              </w:rPr>
              <w:t>3</w:t>
            </w:r>
            <w:r>
              <w:tab/>
              <w:t xml:space="preserve">Selected general principles for evaluation </w:t>
            </w:r>
          </w:p>
        </w:tc>
      </w:tr>
      <w:tr w:rsidR="00BE3F16" w14:paraId="27BB43E5" w14:textId="77777777" w:rsidTr="00BE3F16">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1879"/>
              <w:gridCol w:w="1879"/>
              <w:gridCol w:w="1879"/>
              <w:gridCol w:w="1879"/>
              <w:gridCol w:w="1879"/>
              <w:gridCol w:w="1879"/>
              <w:gridCol w:w="1879"/>
            </w:tblGrid>
            <w:tr w:rsidR="00BE3F16" w14:paraId="6353C40F" w14:textId="77777777" w:rsidTr="00BE3F16">
              <w:trPr>
                <w:tblHeader/>
              </w:trPr>
              <w:tc>
                <w:tcPr>
                  <w:tcW w:w="714" w:type="pct"/>
                  <w:tcBorders>
                    <w:top w:val="single" w:sz="6" w:space="0" w:color="BFBFBF"/>
                    <w:bottom w:val="single" w:sz="6" w:space="0" w:color="BFBFBF"/>
                  </w:tcBorders>
                  <w:shd w:val="clear" w:color="auto" w:fill="auto"/>
                  <w:tcMar>
                    <w:top w:w="28" w:type="dxa"/>
                  </w:tcMar>
                </w:tcPr>
                <w:p w14:paraId="474485D7" w14:textId="77777777" w:rsidR="00BE3F16" w:rsidRPr="005B524D" w:rsidRDefault="00BE3F16" w:rsidP="00BE3F16">
                  <w:pPr>
                    <w:pStyle w:val="TableColumnHeading"/>
                    <w:jc w:val="left"/>
                  </w:pPr>
                  <w:r w:rsidRPr="00630D14">
                    <w:t>Australasian Evaluation Society</w:t>
                  </w:r>
                </w:p>
              </w:tc>
              <w:tc>
                <w:tcPr>
                  <w:tcW w:w="714" w:type="pct"/>
                  <w:tcBorders>
                    <w:top w:val="single" w:sz="6" w:space="0" w:color="BFBFBF"/>
                    <w:bottom w:val="single" w:sz="6" w:space="0" w:color="BFBFBF"/>
                  </w:tcBorders>
                </w:tcPr>
                <w:p w14:paraId="2ACF736E" w14:textId="77777777" w:rsidR="00BE3F16" w:rsidRPr="005B524D" w:rsidRDefault="00BE3F16" w:rsidP="00BE3F16">
                  <w:pPr>
                    <w:pStyle w:val="TableColumnHeading"/>
                    <w:jc w:val="left"/>
                  </w:pPr>
                  <w:r w:rsidRPr="00630D14">
                    <w:t>American Evaluation Association</w:t>
                  </w:r>
                </w:p>
              </w:tc>
              <w:tc>
                <w:tcPr>
                  <w:tcW w:w="714" w:type="pct"/>
                  <w:tcBorders>
                    <w:top w:val="single" w:sz="6" w:space="0" w:color="BFBFBF"/>
                    <w:bottom w:val="single" w:sz="6" w:space="0" w:color="BFBFBF"/>
                  </w:tcBorders>
                  <w:shd w:val="clear" w:color="auto" w:fill="auto"/>
                  <w:tcMar>
                    <w:top w:w="28" w:type="dxa"/>
                  </w:tcMar>
                </w:tcPr>
                <w:p w14:paraId="738C1322" w14:textId="77777777" w:rsidR="00BE3F16" w:rsidRPr="005B524D" w:rsidRDefault="00BE3F16" w:rsidP="00BE3F16">
                  <w:pPr>
                    <w:pStyle w:val="TableColumnHeading"/>
                    <w:jc w:val="left"/>
                  </w:pPr>
                  <w:r w:rsidRPr="00630D14">
                    <w:t>Canadian Evaluation Society</w:t>
                  </w:r>
                </w:p>
              </w:tc>
              <w:tc>
                <w:tcPr>
                  <w:tcW w:w="714" w:type="pct"/>
                  <w:tcBorders>
                    <w:top w:val="single" w:sz="6" w:space="0" w:color="BFBFBF"/>
                    <w:bottom w:val="single" w:sz="6" w:space="0" w:color="BFBFBF"/>
                  </w:tcBorders>
                  <w:shd w:val="clear" w:color="auto" w:fill="auto"/>
                  <w:tcMar>
                    <w:top w:w="28" w:type="dxa"/>
                  </w:tcMar>
                </w:tcPr>
                <w:p w14:paraId="5FC6E6D3" w14:textId="77777777" w:rsidR="00BE3F16" w:rsidRPr="00F51FF8" w:rsidRDefault="00BE3F16" w:rsidP="00BE3F16">
                  <w:pPr>
                    <w:pStyle w:val="TableColumnHeading"/>
                    <w:ind w:right="28"/>
                    <w:jc w:val="left"/>
                    <w:rPr>
                      <w:spacing w:val="-2"/>
                    </w:rPr>
                  </w:pPr>
                  <w:r w:rsidRPr="00F51FF8">
                    <w:rPr>
                      <w:spacing w:val="-2"/>
                    </w:rPr>
                    <w:t>Aotearoa New Zealand Evaluation Association</w:t>
                  </w:r>
                </w:p>
              </w:tc>
              <w:tc>
                <w:tcPr>
                  <w:tcW w:w="714" w:type="pct"/>
                  <w:tcBorders>
                    <w:top w:val="single" w:sz="6" w:space="0" w:color="BFBFBF"/>
                    <w:bottom w:val="single" w:sz="6" w:space="0" w:color="BFBFBF"/>
                  </w:tcBorders>
                </w:tcPr>
                <w:p w14:paraId="6C922702" w14:textId="77777777" w:rsidR="00BE3F16" w:rsidRPr="00F51FF8" w:rsidRDefault="00BE3F16" w:rsidP="00BE3F16">
                  <w:pPr>
                    <w:pStyle w:val="TableColumnHeading"/>
                    <w:ind w:right="28"/>
                    <w:jc w:val="left"/>
                    <w:rPr>
                      <w:b/>
                      <w:spacing w:val="-2"/>
                    </w:rPr>
                  </w:pPr>
                  <w:r w:rsidRPr="00F51FF8">
                    <w:rPr>
                      <w:spacing w:val="-2"/>
                    </w:rPr>
                    <w:t>OECD Development Assistance Committee</w:t>
                  </w:r>
                </w:p>
              </w:tc>
              <w:tc>
                <w:tcPr>
                  <w:tcW w:w="714" w:type="pct"/>
                  <w:tcBorders>
                    <w:top w:val="single" w:sz="6" w:space="0" w:color="BFBFBF"/>
                    <w:bottom w:val="single" w:sz="6" w:space="0" w:color="BFBFBF"/>
                  </w:tcBorders>
                </w:tcPr>
                <w:p w14:paraId="3DEF6951" w14:textId="77777777" w:rsidR="00BE3F16" w:rsidRPr="00F51FF8" w:rsidRDefault="00BE3F16" w:rsidP="00BE3F16">
                  <w:pPr>
                    <w:pStyle w:val="TableColumnHeading"/>
                    <w:ind w:right="28"/>
                    <w:jc w:val="left"/>
                    <w:rPr>
                      <w:spacing w:val="-2"/>
                    </w:rPr>
                  </w:pPr>
                  <w:r w:rsidRPr="00F51FF8">
                    <w:rPr>
                      <w:spacing w:val="-2"/>
                    </w:rPr>
                    <w:t>United Nations Norms and Standards for Evaluation</w:t>
                  </w:r>
                </w:p>
              </w:tc>
              <w:tc>
                <w:tcPr>
                  <w:tcW w:w="714" w:type="pct"/>
                  <w:tcBorders>
                    <w:top w:val="single" w:sz="6" w:space="0" w:color="BFBFBF"/>
                    <w:bottom w:val="single" w:sz="6" w:space="0" w:color="BFBFBF"/>
                  </w:tcBorders>
                </w:tcPr>
                <w:p w14:paraId="24A8305A" w14:textId="77777777" w:rsidR="00BE3F16" w:rsidRPr="005B524D" w:rsidRDefault="00BE3F16" w:rsidP="00BE3F16">
                  <w:pPr>
                    <w:pStyle w:val="TableColumnHeading"/>
                    <w:ind w:right="28"/>
                    <w:jc w:val="left"/>
                  </w:pPr>
                  <w:r w:rsidRPr="00630D14">
                    <w:t>World Bank Development Grant Facility</w:t>
                  </w:r>
                </w:p>
              </w:tc>
            </w:tr>
            <w:tr w:rsidR="00BE3F16" w14:paraId="049C8983" w14:textId="77777777" w:rsidTr="00BE3F16">
              <w:tc>
                <w:tcPr>
                  <w:tcW w:w="714" w:type="pct"/>
                  <w:tcBorders>
                    <w:top w:val="single" w:sz="6" w:space="0" w:color="BFBFBF"/>
                  </w:tcBorders>
                </w:tcPr>
                <w:p w14:paraId="1F956BB6" w14:textId="77777777" w:rsidR="00BE3F16" w:rsidRPr="008065FD" w:rsidRDefault="00BE3F16" w:rsidP="00F51FF8">
                  <w:pPr>
                    <w:pStyle w:val="TableBodyText"/>
                    <w:spacing w:before="80"/>
                    <w:jc w:val="left"/>
                    <w:rPr>
                      <w:spacing w:val="-2"/>
                    </w:rPr>
                  </w:pPr>
                  <w:r w:rsidRPr="008065FD">
                    <w:t>Ethical conduct</w:t>
                  </w:r>
                </w:p>
                <w:p w14:paraId="4251ED0C" w14:textId="77777777" w:rsidR="00BE3F16" w:rsidRPr="008065FD" w:rsidRDefault="00BE3F16" w:rsidP="00BE3F16">
                  <w:pPr>
                    <w:pStyle w:val="TableBodyText"/>
                    <w:jc w:val="left"/>
                    <w:rPr>
                      <w:spacing w:val="-2"/>
                    </w:rPr>
                  </w:pPr>
                  <w:r w:rsidRPr="008065FD">
                    <w:t>Public interest</w:t>
                  </w:r>
                </w:p>
                <w:p w14:paraId="5BFFCD95" w14:textId="77777777" w:rsidR="00BE3F16" w:rsidRPr="008065FD" w:rsidRDefault="00BE3F16" w:rsidP="00BE3F16">
                  <w:pPr>
                    <w:pStyle w:val="TableBodyText"/>
                    <w:jc w:val="left"/>
                    <w:rPr>
                      <w:spacing w:val="-2"/>
                    </w:rPr>
                  </w:pPr>
                  <w:r w:rsidRPr="008065FD">
                    <w:t>Competence</w:t>
                  </w:r>
                </w:p>
                <w:p w14:paraId="7F7EC05D" w14:textId="77777777" w:rsidR="00BE3F16" w:rsidRPr="008065FD" w:rsidRDefault="00BE3F16" w:rsidP="00BE3F16">
                  <w:pPr>
                    <w:pStyle w:val="TableBodyText"/>
                    <w:jc w:val="left"/>
                    <w:rPr>
                      <w:spacing w:val="-2"/>
                    </w:rPr>
                  </w:pPr>
                  <w:r w:rsidRPr="008065FD">
                    <w:t>Quality work</w:t>
                  </w:r>
                </w:p>
                <w:p w14:paraId="3CA6BDED" w14:textId="77777777" w:rsidR="00BE3F16" w:rsidRPr="008065FD" w:rsidRDefault="00BE3F16" w:rsidP="00BE3F16">
                  <w:pPr>
                    <w:pStyle w:val="TableBodyText"/>
                    <w:jc w:val="left"/>
                    <w:rPr>
                      <w:spacing w:val="-2"/>
                    </w:rPr>
                  </w:pPr>
                  <w:r w:rsidRPr="008065FD">
                    <w:t>Confidentiality</w:t>
                  </w:r>
                </w:p>
                <w:p w14:paraId="63D0F69A" w14:textId="77777777" w:rsidR="00BE3F16" w:rsidRPr="008065FD" w:rsidRDefault="00BE3F16" w:rsidP="00BE3F16">
                  <w:pPr>
                    <w:pStyle w:val="TableBodyText"/>
                    <w:jc w:val="left"/>
                    <w:rPr>
                      <w:spacing w:val="-2"/>
                    </w:rPr>
                  </w:pPr>
                  <w:r w:rsidRPr="008065FD">
                    <w:t>Respect</w:t>
                  </w:r>
                </w:p>
                <w:p w14:paraId="6291530D" w14:textId="77777777" w:rsidR="00BE3F16" w:rsidRPr="008065FD" w:rsidRDefault="00BE3F16" w:rsidP="00BE3F16">
                  <w:pPr>
                    <w:pStyle w:val="TableBodyText"/>
                    <w:jc w:val="left"/>
                    <w:rPr>
                      <w:spacing w:val="-2"/>
                    </w:rPr>
                  </w:pPr>
                  <w:r w:rsidRPr="008065FD">
                    <w:t>Integrity and truthfulness</w:t>
                  </w:r>
                </w:p>
                <w:p w14:paraId="7C2C0325" w14:textId="77777777" w:rsidR="00BE3F16" w:rsidRPr="008065FD" w:rsidRDefault="00BE3F16" w:rsidP="00BE3F16">
                  <w:pPr>
                    <w:pStyle w:val="TableBodyText"/>
                    <w:jc w:val="left"/>
                    <w:rPr>
                      <w:spacing w:val="-2"/>
                    </w:rPr>
                  </w:pPr>
                  <w:r w:rsidRPr="008065FD">
                    <w:t>Accountability</w:t>
                  </w:r>
                </w:p>
                <w:p w14:paraId="3F819216" w14:textId="77777777" w:rsidR="00BE3F16" w:rsidRDefault="00BE3F16" w:rsidP="00BE3F16">
                  <w:pPr>
                    <w:pStyle w:val="TableUnitsRow"/>
                    <w:jc w:val="left"/>
                  </w:pPr>
                  <w:r w:rsidRPr="008065FD">
                    <w:t>Acknowledgement</w:t>
                  </w:r>
                </w:p>
              </w:tc>
              <w:tc>
                <w:tcPr>
                  <w:tcW w:w="714" w:type="pct"/>
                  <w:tcBorders>
                    <w:top w:val="single" w:sz="6" w:space="0" w:color="BFBFBF"/>
                  </w:tcBorders>
                </w:tcPr>
                <w:p w14:paraId="68CE2258" w14:textId="77777777" w:rsidR="00BE3F16" w:rsidRPr="008065FD" w:rsidRDefault="00BE3F16" w:rsidP="00F51FF8">
                  <w:pPr>
                    <w:pStyle w:val="TableBodyText"/>
                    <w:spacing w:before="80"/>
                    <w:jc w:val="left"/>
                    <w:rPr>
                      <w:spacing w:val="-2"/>
                    </w:rPr>
                  </w:pPr>
                  <w:r w:rsidRPr="008065FD">
                    <w:t>Systematic inquiry</w:t>
                  </w:r>
                </w:p>
                <w:p w14:paraId="47086754" w14:textId="77777777" w:rsidR="00BE3F16" w:rsidRPr="008065FD" w:rsidRDefault="00BE3F16" w:rsidP="00BE3F16">
                  <w:pPr>
                    <w:pStyle w:val="TableBodyText"/>
                    <w:jc w:val="left"/>
                    <w:rPr>
                      <w:spacing w:val="-2"/>
                    </w:rPr>
                  </w:pPr>
                  <w:r w:rsidRPr="008065FD">
                    <w:t>Competence</w:t>
                  </w:r>
                </w:p>
                <w:p w14:paraId="2870E7CB" w14:textId="77777777" w:rsidR="00BE3F16" w:rsidRPr="008065FD" w:rsidRDefault="00BE3F16" w:rsidP="00BE3F16">
                  <w:pPr>
                    <w:pStyle w:val="TableBodyText"/>
                    <w:jc w:val="left"/>
                    <w:rPr>
                      <w:spacing w:val="-2"/>
                    </w:rPr>
                  </w:pPr>
                  <w:r w:rsidRPr="008065FD">
                    <w:t>Integrity</w:t>
                  </w:r>
                </w:p>
                <w:p w14:paraId="0E792E44" w14:textId="77777777" w:rsidR="00BE3F16" w:rsidRPr="008065FD" w:rsidRDefault="00BE3F16" w:rsidP="00BE3F16">
                  <w:pPr>
                    <w:pStyle w:val="TableBodyText"/>
                    <w:jc w:val="left"/>
                    <w:rPr>
                      <w:spacing w:val="-2"/>
                    </w:rPr>
                  </w:pPr>
                  <w:r w:rsidRPr="008065FD">
                    <w:t>Respect for people</w:t>
                  </w:r>
                </w:p>
                <w:p w14:paraId="59F0A02C" w14:textId="77777777" w:rsidR="00BE3F16" w:rsidRDefault="00BE3F16" w:rsidP="00BE3F16">
                  <w:pPr>
                    <w:pStyle w:val="TableUnitsRow"/>
                    <w:jc w:val="left"/>
                  </w:pPr>
                  <w:r w:rsidRPr="008065FD">
                    <w:t>Common good and equity</w:t>
                  </w:r>
                </w:p>
              </w:tc>
              <w:tc>
                <w:tcPr>
                  <w:tcW w:w="714" w:type="pct"/>
                  <w:tcBorders>
                    <w:top w:val="single" w:sz="6" w:space="0" w:color="BFBFBF"/>
                  </w:tcBorders>
                </w:tcPr>
                <w:p w14:paraId="7F3D9E08" w14:textId="77777777" w:rsidR="00BE3F16" w:rsidRPr="008065FD" w:rsidRDefault="00BE3F16" w:rsidP="00F51FF8">
                  <w:pPr>
                    <w:pStyle w:val="TableBodyText"/>
                    <w:spacing w:before="80"/>
                    <w:jc w:val="left"/>
                    <w:rPr>
                      <w:spacing w:val="-2"/>
                    </w:rPr>
                  </w:pPr>
                  <w:r w:rsidRPr="008065FD">
                    <w:t>Competence</w:t>
                  </w:r>
                </w:p>
                <w:p w14:paraId="79E4A83E" w14:textId="77777777" w:rsidR="00BE3F16" w:rsidRPr="008065FD" w:rsidRDefault="00BE3F16" w:rsidP="00BE3F16">
                  <w:pPr>
                    <w:pStyle w:val="TableBodyText"/>
                    <w:jc w:val="left"/>
                    <w:rPr>
                      <w:spacing w:val="-2"/>
                    </w:rPr>
                  </w:pPr>
                  <w:r w:rsidRPr="008065FD">
                    <w:t>Integrity</w:t>
                  </w:r>
                </w:p>
                <w:p w14:paraId="54173ECB" w14:textId="77777777" w:rsidR="00BE3F16" w:rsidRDefault="00BE3F16" w:rsidP="00BE3F16">
                  <w:pPr>
                    <w:pStyle w:val="TableUnitsRow"/>
                    <w:jc w:val="left"/>
                  </w:pPr>
                  <w:r w:rsidRPr="008065FD">
                    <w:t>Accountability</w:t>
                  </w:r>
                </w:p>
              </w:tc>
              <w:tc>
                <w:tcPr>
                  <w:tcW w:w="714" w:type="pct"/>
                  <w:tcBorders>
                    <w:top w:val="single" w:sz="6" w:space="0" w:color="BFBFBF"/>
                  </w:tcBorders>
                </w:tcPr>
                <w:p w14:paraId="1AD0DDB8" w14:textId="77777777" w:rsidR="00BE3F16" w:rsidRPr="008065FD" w:rsidRDefault="00BE3F16" w:rsidP="00F51FF8">
                  <w:pPr>
                    <w:pStyle w:val="TableBodyText"/>
                    <w:spacing w:before="80"/>
                    <w:jc w:val="left"/>
                    <w:rPr>
                      <w:spacing w:val="-2"/>
                    </w:rPr>
                  </w:pPr>
                  <w:r w:rsidRPr="008065FD">
                    <w:t>Respectful, meaningful relationships</w:t>
                  </w:r>
                </w:p>
                <w:p w14:paraId="59D6ABDE" w14:textId="77777777" w:rsidR="00BE3F16" w:rsidRPr="008065FD" w:rsidRDefault="00BE3F16" w:rsidP="00BE3F16">
                  <w:pPr>
                    <w:pStyle w:val="TableBodyText"/>
                    <w:jc w:val="left"/>
                    <w:rPr>
                      <w:spacing w:val="-2"/>
                    </w:rPr>
                  </w:pPr>
                  <w:r w:rsidRPr="008065FD">
                    <w:t>Ethic of care</w:t>
                  </w:r>
                </w:p>
                <w:p w14:paraId="1B8C3D31" w14:textId="77777777" w:rsidR="00BE3F16" w:rsidRPr="008065FD" w:rsidRDefault="00BE3F16" w:rsidP="00BE3F16">
                  <w:pPr>
                    <w:pStyle w:val="TableBodyText"/>
                    <w:jc w:val="left"/>
                    <w:rPr>
                      <w:spacing w:val="-2"/>
                    </w:rPr>
                  </w:pPr>
                  <w:r w:rsidRPr="008065FD">
                    <w:t>Responsive methodologies and trustworthy results</w:t>
                  </w:r>
                </w:p>
                <w:p w14:paraId="6E143699" w14:textId="77777777" w:rsidR="00BE3F16" w:rsidRDefault="00BE3F16" w:rsidP="00BE3F16">
                  <w:pPr>
                    <w:pStyle w:val="TableUnitsRow"/>
                    <w:ind w:right="28"/>
                    <w:jc w:val="left"/>
                  </w:pPr>
                  <w:r w:rsidRPr="008065FD">
                    <w:t>Competence and usefulness</w:t>
                  </w:r>
                </w:p>
              </w:tc>
              <w:tc>
                <w:tcPr>
                  <w:tcW w:w="714" w:type="pct"/>
                  <w:tcBorders>
                    <w:top w:val="single" w:sz="6" w:space="0" w:color="BFBFBF"/>
                  </w:tcBorders>
                </w:tcPr>
                <w:p w14:paraId="187F7575" w14:textId="77777777" w:rsidR="00BE3F16" w:rsidRDefault="00BE3F16" w:rsidP="00F51FF8">
                  <w:pPr>
                    <w:pStyle w:val="TableBodyText"/>
                    <w:spacing w:before="80"/>
                    <w:jc w:val="left"/>
                    <w:rPr>
                      <w:spacing w:val="-2"/>
                    </w:rPr>
                  </w:pPr>
                  <w:r>
                    <w:t>Free and open processes</w:t>
                  </w:r>
                </w:p>
                <w:p w14:paraId="6CC9D64E" w14:textId="77777777" w:rsidR="00BE3F16" w:rsidRDefault="00BE3F16" w:rsidP="00BE3F16">
                  <w:pPr>
                    <w:pStyle w:val="TableBodyText"/>
                    <w:jc w:val="left"/>
                    <w:rPr>
                      <w:spacing w:val="-2"/>
                    </w:rPr>
                  </w:pPr>
                  <w:r>
                    <w:t>Evaluation ethics</w:t>
                  </w:r>
                </w:p>
                <w:p w14:paraId="162F4F25" w14:textId="77777777" w:rsidR="00BE3F16" w:rsidRDefault="00BE3F16" w:rsidP="00BE3F16">
                  <w:pPr>
                    <w:pStyle w:val="TableBodyText"/>
                    <w:jc w:val="left"/>
                    <w:rPr>
                      <w:spacing w:val="-2"/>
                    </w:rPr>
                  </w:pPr>
                  <w:r>
                    <w:t>Partnership approach</w:t>
                  </w:r>
                </w:p>
                <w:p w14:paraId="2FFC0BFE" w14:textId="3ECFB76B" w:rsidR="00BE3F16" w:rsidRDefault="00941F47" w:rsidP="00BE3F16">
                  <w:pPr>
                    <w:pStyle w:val="TableBodyText"/>
                    <w:jc w:val="left"/>
                    <w:rPr>
                      <w:spacing w:val="-2"/>
                    </w:rPr>
                  </w:pPr>
                  <w:r>
                    <w:t>Co</w:t>
                  </w:r>
                  <w:r w:rsidR="00BE3F16">
                    <w:t>ordination and alignment</w:t>
                  </w:r>
                </w:p>
                <w:p w14:paraId="7364E909" w14:textId="77777777" w:rsidR="00BE3F16" w:rsidRDefault="00BE3F16" w:rsidP="00BE3F16">
                  <w:pPr>
                    <w:pStyle w:val="TableBodyText"/>
                    <w:jc w:val="left"/>
                    <w:rPr>
                      <w:spacing w:val="-2"/>
                    </w:rPr>
                  </w:pPr>
                  <w:r>
                    <w:t>Capacity development</w:t>
                  </w:r>
                </w:p>
                <w:p w14:paraId="014CEF57" w14:textId="77777777" w:rsidR="00BE3F16" w:rsidRPr="008065FD" w:rsidRDefault="00BE3F16" w:rsidP="00BE3F16">
                  <w:pPr>
                    <w:pStyle w:val="TableBodyText"/>
                    <w:jc w:val="left"/>
                  </w:pPr>
                  <w:r>
                    <w:t>Quality control</w:t>
                  </w:r>
                </w:p>
              </w:tc>
              <w:tc>
                <w:tcPr>
                  <w:tcW w:w="714" w:type="pct"/>
                  <w:tcBorders>
                    <w:top w:val="single" w:sz="6" w:space="0" w:color="BFBFBF"/>
                  </w:tcBorders>
                </w:tcPr>
                <w:p w14:paraId="7F8693D3" w14:textId="77777777" w:rsidR="00BE3F16" w:rsidRDefault="00BE3F16" w:rsidP="00F51FF8">
                  <w:pPr>
                    <w:pStyle w:val="TableBodyText"/>
                    <w:spacing w:before="80"/>
                    <w:jc w:val="left"/>
                    <w:rPr>
                      <w:spacing w:val="-2"/>
                    </w:rPr>
                  </w:pPr>
                  <w:r>
                    <w:t>Internationally agreed principles, goals and targets</w:t>
                  </w:r>
                </w:p>
                <w:p w14:paraId="68E200D5" w14:textId="77777777" w:rsidR="00BE3F16" w:rsidRDefault="00BE3F16" w:rsidP="00BE3F16">
                  <w:pPr>
                    <w:pStyle w:val="TableBodyText"/>
                    <w:jc w:val="left"/>
                    <w:rPr>
                      <w:spacing w:val="-2"/>
                    </w:rPr>
                  </w:pPr>
                  <w:r>
                    <w:t>Utility</w:t>
                  </w:r>
                </w:p>
                <w:p w14:paraId="4146E86F" w14:textId="77777777" w:rsidR="00BE3F16" w:rsidRDefault="00BE3F16" w:rsidP="00BE3F16">
                  <w:pPr>
                    <w:pStyle w:val="TableBodyText"/>
                    <w:jc w:val="left"/>
                    <w:rPr>
                      <w:spacing w:val="-2"/>
                    </w:rPr>
                  </w:pPr>
                  <w:r>
                    <w:t>Credibility</w:t>
                  </w:r>
                </w:p>
                <w:p w14:paraId="584FCA3B" w14:textId="77777777" w:rsidR="00BE3F16" w:rsidRDefault="00BE3F16" w:rsidP="00BE3F16">
                  <w:pPr>
                    <w:pStyle w:val="TableBodyText"/>
                    <w:jc w:val="left"/>
                    <w:rPr>
                      <w:spacing w:val="-2"/>
                    </w:rPr>
                  </w:pPr>
                  <w:r>
                    <w:t>Independence</w:t>
                  </w:r>
                </w:p>
                <w:p w14:paraId="080E2675" w14:textId="77777777" w:rsidR="00BE3F16" w:rsidRDefault="00BE3F16" w:rsidP="00BE3F16">
                  <w:pPr>
                    <w:pStyle w:val="TableBodyText"/>
                    <w:jc w:val="left"/>
                    <w:rPr>
                      <w:spacing w:val="-2"/>
                    </w:rPr>
                  </w:pPr>
                  <w:r>
                    <w:t>Impartiality</w:t>
                  </w:r>
                </w:p>
                <w:p w14:paraId="21E614FF" w14:textId="77777777" w:rsidR="00BE3F16" w:rsidRDefault="00BE3F16" w:rsidP="00BE3F16">
                  <w:pPr>
                    <w:pStyle w:val="TableBodyText"/>
                    <w:jc w:val="left"/>
                    <w:rPr>
                      <w:spacing w:val="-2"/>
                    </w:rPr>
                  </w:pPr>
                  <w:r>
                    <w:t>Ethics</w:t>
                  </w:r>
                </w:p>
                <w:p w14:paraId="12C040D9" w14:textId="77777777" w:rsidR="00BE3F16" w:rsidRDefault="00BE3F16" w:rsidP="00BE3F16">
                  <w:pPr>
                    <w:pStyle w:val="TableBodyText"/>
                    <w:jc w:val="left"/>
                    <w:rPr>
                      <w:spacing w:val="-2"/>
                    </w:rPr>
                  </w:pPr>
                  <w:r>
                    <w:t>Transparency</w:t>
                  </w:r>
                </w:p>
                <w:p w14:paraId="74847FDF" w14:textId="77777777" w:rsidR="00BE3F16" w:rsidRDefault="00BE3F16" w:rsidP="00BE3F16">
                  <w:pPr>
                    <w:pStyle w:val="TableBodyText"/>
                    <w:jc w:val="left"/>
                    <w:rPr>
                      <w:spacing w:val="-2"/>
                    </w:rPr>
                  </w:pPr>
                  <w:r>
                    <w:t>Human rights and gender equality</w:t>
                  </w:r>
                </w:p>
                <w:p w14:paraId="1A2A9350" w14:textId="77777777" w:rsidR="00BE3F16" w:rsidRDefault="00BE3F16" w:rsidP="00BE3F16">
                  <w:pPr>
                    <w:pStyle w:val="TableBodyText"/>
                    <w:jc w:val="left"/>
                    <w:rPr>
                      <w:spacing w:val="-2"/>
                    </w:rPr>
                  </w:pPr>
                  <w:r>
                    <w:t>National evaluation capacities</w:t>
                  </w:r>
                </w:p>
                <w:p w14:paraId="6E621CEE" w14:textId="77777777" w:rsidR="00BE3F16" w:rsidRPr="008065FD" w:rsidRDefault="00BE3F16" w:rsidP="00BE3F16">
                  <w:pPr>
                    <w:pStyle w:val="TableBodyText"/>
                    <w:jc w:val="left"/>
                  </w:pPr>
                  <w:r>
                    <w:t>Professionalism</w:t>
                  </w:r>
                </w:p>
              </w:tc>
              <w:tc>
                <w:tcPr>
                  <w:tcW w:w="714" w:type="pct"/>
                  <w:tcBorders>
                    <w:top w:val="single" w:sz="6" w:space="0" w:color="BFBFBF"/>
                  </w:tcBorders>
                </w:tcPr>
                <w:p w14:paraId="44FCD17E" w14:textId="77777777" w:rsidR="00BE3F16" w:rsidRPr="008065FD" w:rsidRDefault="00BE3F16" w:rsidP="00F51FF8">
                  <w:pPr>
                    <w:pStyle w:val="TableBodyText"/>
                    <w:spacing w:before="80"/>
                    <w:jc w:val="left"/>
                    <w:rPr>
                      <w:spacing w:val="-2"/>
                    </w:rPr>
                  </w:pPr>
                  <w:r w:rsidRPr="008065FD">
                    <w:t>Usefulness</w:t>
                  </w:r>
                </w:p>
                <w:p w14:paraId="31FDB281" w14:textId="77777777" w:rsidR="00BE3F16" w:rsidRPr="008065FD" w:rsidRDefault="00BE3F16" w:rsidP="00BE3F16">
                  <w:pPr>
                    <w:pStyle w:val="TableBodyText"/>
                    <w:jc w:val="left"/>
                    <w:rPr>
                      <w:spacing w:val="-2"/>
                    </w:rPr>
                  </w:pPr>
                  <w:r w:rsidRPr="008065FD">
                    <w:t>Independence</w:t>
                  </w:r>
                </w:p>
                <w:p w14:paraId="6CB5CFA2" w14:textId="77777777" w:rsidR="00BE3F16" w:rsidRPr="008065FD" w:rsidRDefault="00BE3F16" w:rsidP="00BE3F16">
                  <w:pPr>
                    <w:pStyle w:val="TableBodyText"/>
                    <w:jc w:val="left"/>
                    <w:rPr>
                      <w:spacing w:val="-2"/>
                    </w:rPr>
                  </w:pPr>
                  <w:r w:rsidRPr="008065FD">
                    <w:t>Credibility</w:t>
                  </w:r>
                </w:p>
                <w:p w14:paraId="15EB72B7" w14:textId="77777777" w:rsidR="00BE3F16" w:rsidRPr="008065FD" w:rsidRDefault="00BE3F16" w:rsidP="00BE3F16">
                  <w:pPr>
                    <w:pStyle w:val="TableBodyText"/>
                    <w:jc w:val="left"/>
                  </w:pPr>
                  <w:r w:rsidRPr="008065FD">
                    <w:t>Transparency</w:t>
                  </w:r>
                </w:p>
              </w:tc>
            </w:tr>
          </w:tbl>
          <w:p w14:paraId="04540E75" w14:textId="77777777" w:rsidR="00BE3F16" w:rsidRDefault="00BE3F16" w:rsidP="00BE3F16">
            <w:pPr>
              <w:pStyle w:val="Box"/>
            </w:pPr>
          </w:p>
        </w:tc>
      </w:tr>
      <w:tr w:rsidR="00BE3F16" w14:paraId="68FD7680" w14:textId="77777777" w:rsidTr="00BE3F16">
        <w:tc>
          <w:tcPr>
            <w:tcW w:w="5000" w:type="pct"/>
            <w:tcBorders>
              <w:top w:val="nil"/>
              <w:left w:val="nil"/>
              <w:bottom w:val="nil"/>
              <w:right w:val="nil"/>
            </w:tcBorders>
            <w:shd w:val="clear" w:color="auto" w:fill="auto"/>
          </w:tcPr>
          <w:p w14:paraId="5628742B" w14:textId="3288BA56" w:rsidR="00BE3F16" w:rsidRDefault="00BE3F16" w:rsidP="00B20B6A">
            <w:pPr>
              <w:pStyle w:val="Subtitle"/>
              <w:keepNext w:val="0"/>
              <w:spacing w:before="80" w:after="0" w:line="220" w:lineRule="exact"/>
              <w:ind w:left="0"/>
              <w:jc w:val="both"/>
            </w:pPr>
            <w:r w:rsidRPr="00C003AD">
              <w:rPr>
                <w:i/>
                <w:sz w:val="18"/>
                <w:szCs w:val="18"/>
              </w:rPr>
              <w:t>Sources</w:t>
            </w:r>
            <w:r w:rsidRPr="00C003AD">
              <w:rPr>
                <w:sz w:val="18"/>
                <w:szCs w:val="18"/>
              </w:rPr>
              <w:t>:</w:t>
            </w:r>
            <w:r w:rsidRPr="00167F06">
              <w:t xml:space="preserve"> </w:t>
            </w:r>
            <w:r w:rsidRPr="00C003AD">
              <w:rPr>
                <w:sz w:val="18"/>
                <w:szCs w:val="18"/>
              </w:rPr>
              <w:t xml:space="preserve">AEA </w:t>
            </w:r>
            <w:r w:rsidRPr="00C003AD">
              <w:rPr>
                <w:rFonts w:cs="Arial"/>
                <w:sz w:val="18"/>
                <w:szCs w:val="18"/>
              </w:rPr>
              <w:t>(2018)</w:t>
            </w:r>
            <w:r w:rsidR="00B20B6A">
              <w:rPr>
                <w:sz w:val="18"/>
                <w:szCs w:val="18"/>
              </w:rPr>
              <w:t>;</w:t>
            </w:r>
            <w:r w:rsidRPr="00C003AD">
              <w:rPr>
                <w:sz w:val="18"/>
                <w:szCs w:val="18"/>
              </w:rPr>
              <w:t xml:space="preserve"> UN </w:t>
            </w:r>
            <w:r w:rsidRPr="00CC3D74">
              <w:rPr>
                <w:rFonts w:cs="Arial"/>
                <w:sz w:val="18"/>
              </w:rPr>
              <w:t>(2016)</w:t>
            </w:r>
            <w:r w:rsidR="00B20B6A">
              <w:rPr>
                <w:sz w:val="18"/>
                <w:szCs w:val="18"/>
              </w:rPr>
              <w:t>;</w:t>
            </w:r>
            <w:r w:rsidRPr="00C003AD">
              <w:rPr>
                <w:sz w:val="18"/>
                <w:szCs w:val="18"/>
              </w:rPr>
              <w:t xml:space="preserve"> ANZEA and </w:t>
            </w:r>
            <w:proofErr w:type="spellStart"/>
            <w:r w:rsidRPr="00C003AD">
              <w:rPr>
                <w:sz w:val="18"/>
                <w:szCs w:val="18"/>
              </w:rPr>
              <w:t>Superu</w:t>
            </w:r>
            <w:proofErr w:type="spellEnd"/>
            <w:r w:rsidRPr="00C003AD">
              <w:rPr>
                <w:sz w:val="18"/>
                <w:szCs w:val="18"/>
              </w:rPr>
              <w:t xml:space="preserve"> </w:t>
            </w:r>
            <w:r w:rsidRPr="00C003AD">
              <w:rPr>
                <w:rFonts w:cs="Arial"/>
                <w:sz w:val="18"/>
                <w:szCs w:val="18"/>
              </w:rPr>
              <w:t>(2015)</w:t>
            </w:r>
            <w:r w:rsidR="00B20B6A">
              <w:rPr>
                <w:rFonts w:cs="Arial"/>
                <w:sz w:val="18"/>
                <w:szCs w:val="18"/>
              </w:rPr>
              <w:t>;</w:t>
            </w:r>
            <w:r>
              <w:rPr>
                <w:sz w:val="18"/>
                <w:szCs w:val="18"/>
              </w:rPr>
              <w:t xml:space="preserve"> </w:t>
            </w:r>
            <w:r w:rsidRPr="00C003AD">
              <w:rPr>
                <w:sz w:val="18"/>
                <w:szCs w:val="18"/>
              </w:rPr>
              <w:t xml:space="preserve">AES </w:t>
            </w:r>
            <w:r w:rsidRPr="00C003AD">
              <w:rPr>
                <w:rFonts w:cs="Arial"/>
                <w:sz w:val="18"/>
                <w:szCs w:val="18"/>
              </w:rPr>
              <w:t>(2013b, 2013a)</w:t>
            </w:r>
            <w:r w:rsidRPr="00C003AD">
              <w:rPr>
                <w:sz w:val="18"/>
                <w:szCs w:val="18"/>
              </w:rPr>
              <w:t>; OECD</w:t>
            </w:r>
            <w:r>
              <w:rPr>
                <w:sz w:val="18"/>
                <w:szCs w:val="18"/>
              </w:rPr>
              <w:t xml:space="preserve"> </w:t>
            </w:r>
            <w:r w:rsidRPr="00272A71">
              <w:rPr>
                <w:rFonts w:cs="Arial"/>
                <w:sz w:val="18"/>
              </w:rPr>
              <w:t>(2010)</w:t>
            </w:r>
            <w:r w:rsidR="00B20B6A">
              <w:rPr>
                <w:sz w:val="18"/>
                <w:szCs w:val="18"/>
              </w:rPr>
              <w:t>;</w:t>
            </w:r>
            <w:r w:rsidRPr="00C003AD">
              <w:rPr>
                <w:sz w:val="18"/>
                <w:szCs w:val="18"/>
              </w:rPr>
              <w:t xml:space="preserve"> World Bank</w:t>
            </w:r>
            <w:r>
              <w:rPr>
                <w:sz w:val="18"/>
                <w:szCs w:val="18"/>
              </w:rPr>
              <w:t xml:space="preserve"> </w:t>
            </w:r>
            <w:r w:rsidRPr="00272A71">
              <w:rPr>
                <w:rFonts w:cs="Arial"/>
                <w:sz w:val="18"/>
              </w:rPr>
              <w:t>(2003)</w:t>
            </w:r>
            <w:r w:rsidRPr="00C003AD">
              <w:rPr>
                <w:sz w:val="18"/>
                <w:szCs w:val="18"/>
              </w:rPr>
              <w:t xml:space="preserve">; CES </w:t>
            </w:r>
            <w:r w:rsidRPr="003E41C3">
              <w:rPr>
                <w:rFonts w:cs="Arial"/>
                <w:sz w:val="18"/>
              </w:rPr>
              <w:t>(</w:t>
            </w:r>
            <w:proofErr w:type="spellStart"/>
            <w:r w:rsidRPr="003E41C3">
              <w:rPr>
                <w:rFonts w:cs="Arial"/>
                <w:sz w:val="18"/>
              </w:rPr>
              <w:t>nd</w:t>
            </w:r>
            <w:proofErr w:type="spellEnd"/>
            <w:r w:rsidRPr="003E41C3">
              <w:rPr>
                <w:rFonts w:cs="Arial"/>
                <w:sz w:val="18"/>
              </w:rPr>
              <w:t>)</w:t>
            </w:r>
            <w:r w:rsidRPr="00C003AD">
              <w:rPr>
                <w:sz w:val="18"/>
                <w:szCs w:val="18"/>
              </w:rPr>
              <w:t>.</w:t>
            </w:r>
          </w:p>
        </w:tc>
      </w:tr>
      <w:tr w:rsidR="00BE3F16" w14:paraId="5500103E" w14:textId="77777777" w:rsidTr="00BE3F16">
        <w:tc>
          <w:tcPr>
            <w:tcW w:w="5000" w:type="pct"/>
            <w:tcBorders>
              <w:top w:val="nil"/>
              <w:left w:val="nil"/>
              <w:bottom w:val="single" w:sz="6" w:space="0" w:color="78A22F"/>
              <w:right w:val="nil"/>
            </w:tcBorders>
            <w:shd w:val="clear" w:color="auto" w:fill="auto"/>
          </w:tcPr>
          <w:p w14:paraId="5EB80761" w14:textId="77777777" w:rsidR="00BE3F16" w:rsidRDefault="00BE3F16" w:rsidP="00BE3F16">
            <w:pPr>
              <w:pStyle w:val="Box"/>
              <w:spacing w:before="0" w:line="120" w:lineRule="exact"/>
            </w:pPr>
          </w:p>
        </w:tc>
      </w:tr>
      <w:tr w:rsidR="00BE3F16" w:rsidRPr="000863A5" w14:paraId="77E3DCB7" w14:textId="77777777" w:rsidTr="00BE3F16">
        <w:tc>
          <w:tcPr>
            <w:tcW w:w="5000" w:type="pct"/>
            <w:tcBorders>
              <w:top w:val="single" w:sz="6" w:space="0" w:color="78A22F"/>
              <w:left w:val="nil"/>
              <w:bottom w:val="nil"/>
              <w:right w:val="nil"/>
            </w:tcBorders>
          </w:tcPr>
          <w:p w14:paraId="7E7C0BF6" w14:textId="02317D27" w:rsidR="00BE3F16" w:rsidRPr="00626D32" w:rsidRDefault="00BE3F16" w:rsidP="00BE3F16">
            <w:pPr>
              <w:pStyle w:val="BoxSpaceBelow"/>
            </w:pPr>
          </w:p>
        </w:tc>
      </w:tr>
    </w:tbl>
    <w:p w14:paraId="19311EE1" w14:textId="77777777" w:rsidR="00BE3F16" w:rsidRDefault="00BE3F16">
      <w:pPr>
        <w:pStyle w:val="BodyText"/>
      </w:pPr>
    </w:p>
    <w:p w14:paraId="0C7A6154" w14:textId="77777777" w:rsidR="00BE3F16" w:rsidRDefault="00BE3F16">
      <w:pPr>
        <w:pStyle w:val="BodyText"/>
        <w:sectPr w:rsidR="00BE3F16">
          <w:headerReference w:type="even" r:id="rId24"/>
          <w:headerReference w:type="default" r:id="rId25"/>
          <w:footerReference w:type="even" r:id="rId26"/>
          <w:footerReference w:type="default" r:id="rId27"/>
          <w:pgSz w:w="16840" w:h="11907" w:orient="landscape" w:code="9"/>
          <w:pgMar w:top="1814" w:right="1985" w:bottom="1304" w:left="1418" w:header="1701" w:footer="567" w:gutter="0"/>
          <w:pgNumType w:chapSep="period"/>
          <w:cols w:space="720"/>
        </w:sectPr>
      </w:pPr>
    </w:p>
    <w:p w14:paraId="29EBCCA5" w14:textId="77777777" w:rsidR="000A5052" w:rsidRDefault="000A5052" w:rsidP="000A505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A5052" w14:paraId="3C90DDCA" w14:textId="77777777" w:rsidTr="00D9468C">
        <w:trPr>
          <w:tblHeader/>
        </w:trPr>
        <w:tc>
          <w:tcPr>
            <w:tcW w:w="5000" w:type="pct"/>
            <w:tcBorders>
              <w:top w:val="single" w:sz="6" w:space="0" w:color="78A22F"/>
              <w:left w:val="nil"/>
              <w:bottom w:val="nil"/>
              <w:right w:val="nil"/>
            </w:tcBorders>
            <w:shd w:val="clear" w:color="auto" w:fill="auto"/>
          </w:tcPr>
          <w:p w14:paraId="56169CF9" w14:textId="6D395629" w:rsidR="000A5052" w:rsidRPr="00784A05" w:rsidRDefault="000A5052" w:rsidP="00D9468C">
            <w:pPr>
              <w:pStyle w:val="TableTitle"/>
            </w:pPr>
            <w:r>
              <w:rPr>
                <w:b w:val="0"/>
              </w:rPr>
              <w:t xml:space="preserve">Table </w:t>
            </w:r>
            <w:r>
              <w:rPr>
                <w:b w:val="0"/>
                <w:noProof/>
              </w:rPr>
              <w:t>4</w:t>
            </w:r>
            <w:r>
              <w:tab/>
              <w:t>Frameworks and principles for evaluation of policies and programs affecting indigenous people</w:t>
            </w:r>
          </w:p>
        </w:tc>
      </w:tr>
      <w:tr w:rsidR="000A5052" w14:paraId="49C8F29D" w14:textId="77777777" w:rsidTr="00D9468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42"/>
              <w:gridCol w:w="1562"/>
              <w:gridCol w:w="1840"/>
              <w:gridCol w:w="1562"/>
              <w:gridCol w:w="1699"/>
            </w:tblGrid>
            <w:tr w:rsidR="000A5052" w14:paraId="3DACC543" w14:textId="77777777" w:rsidTr="000A5052">
              <w:trPr>
                <w:tblHeader/>
              </w:trPr>
              <w:tc>
                <w:tcPr>
                  <w:tcW w:w="1083" w:type="pct"/>
                  <w:tcBorders>
                    <w:top w:val="single" w:sz="6" w:space="0" w:color="BFBFBF"/>
                    <w:bottom w:val="single" w:sz="6" w:space="0" w:color="BFBFBF"/>
                  </w:tcBorders>
                  <w:shd w:val="clear" w:color="auto" w:fill="auto"/>
                  <w:tcMar>
                    <w:top w:w="28" w:type="dxa"/>
                  </w:tcMar>
                </w:tcPr>
                <w:p w14:paraId="1C99665A" w14:textId="77777777" w:rsidR="000A5052" w:rsidRPr="000A5052" w:rsidRDefault="000A5052" w:rsidP="000A5052">
                  <w:pPr>
                    <w:pStyle w:val="TableColumnHeading"/>
                    <w:jc w:val="left"/>
                    <w:rPr>
                      <w:spacing w:val="-2"/>
                    </w:rPr>
                  </w:pPr>
                  <w:proofErr w:type="spellStart"/>
                  <w:r w:rsidRPr="000A5052">
                    <w:rPr>
                      <w:spacing w:val="-2"/>
                    </w:rPr>
                    <w:t>Lowitja</w:t>
                  </w:r>
                  <w:proofErr w:type="spellEnd"/>
                  <w:r w:rsidRPr="000A5052">
                    <w:rPr>
                      <w:spacing w:val="-2"/>
                    </w:rPr>
                    <w:t xml:space="preserve"> Institute Evaluation Framework for Aboriginal and Torres Strait Islander Health</w:t>
                  </w:r>
                </w:p>
              </w:tc>
              <w:tc>
                <w:tcPr>
                  <w:tcW w:w="918" w:type="pct"/>
                  <w:tcBorders>
                    <w:top w:val="single" w:sz="6" w:space="0" w:color="BFBFBF"/>
                    <w:bottom w:val="single" w:sz="6" w:space="0" w:color="BFBFBF"/>
                  </w:tcBorders>
                </w:tcPr>
                <w:p w14:paraId="43F8479D" w14:textId="77777777" w:rsidR="000A5052" w:rsidRDefault="000A5052" w:rsidP="000A5052">
                  <w:pPr>
                    <w:pStyle w:val="TableColumnHeading"/>
                    <w:jc w:val="left"/>
                  </w:pPr>
                  <w:r>
                    <w:t>DPMC Indigenous Advancement Strategy Evaluation Framework</w:t>
                  </w:r>
                </w:p>
              </w:tc>
              <w:tc>
                <w:tcPr>
                  <w:tcW w:w="1082" w:type="pct"/>
                  <w:tcBorders>
                    <w:top w:val="single" w:sz="6" w:space="0" w:color="BFBFBF"/>
                    <w:bottom w:val="single" w:sz="6" w:space="0" w:color="BFBFBF"/>
                  </w:tcBorders>
                  <w:shd w:val="clear" w:color="auto" w:fill="auto"/>
                  <w:tcMar>
                    <w:top w:w="28" w:type="dxa"/>
                  </w:tcMar>
                </w:tcPr>
                <w:p w14:paraId="26E01F5D" w14:textId="449AC1AB" w:rsidR="000A5052" w:rsidRDefault="000A5052" w:rsidP="00D150B4">
                  <w:pPr>
                    <w:pStyle w:val="TableColumnHeading"/>
                    <w:jc w:val="left"/>
                  </w:pPr>
                  <w:r>
                    <w:t>BetterEvaluation.org Ethical Framework for Indigenous Evaluation</w:t>
                  </w:r>
                  <w:r w:rsidR="00D150B4">
                    <w:rPr>
                      <w:rStyle w:val="NoteLabel"/>
                      <w:position w:val="4"/>
                    </w:rPr>
                    <w:t>a</w:t>
                  </w:r>
                </w:p>
              </w:tc>
              <w:tc>
                <w:tcPr>
                  <w:tcW w:w="918" w:type="pct"/>
                  <w:tcBorders>
                    <w:top w:val="single" w:sz="6" w:space="0" w:color="BFBFBF"/>
                    <w:bottom w:val="single" w:sz="6" w:space="0" w:color="BFBFBF"/>
                  </w:tcBorders>
                  <w:shd w:val="clear" w:color="auto" w:fill="auto"/>
                  <w:tcMar>
                    <w:top w:w="28" w:type="dxa"/>
                  </w:tcMar>
                </w:tcPr>
                <w:p w14:paraId="7F1FF7A4" w14:textId="77777777" w:rsidR="000A5052" w:rsidRDefault="000A5052" w:rsidP="000A5052">
                  <w:pPr>
                    <w:pStyle w:val="TableColumnHeading"/>
                    <w:ind w:right="28"/>
                    <w:jc w:val="left"/>
                  </w:pPr>
                  <w:proofErr w:type="spellStart"/>
                  <w:r>
                    <w:t>Kaupapa</w:t>
                  </w:r>
                  <w:proofErr w:type="spellEnd"/>
                  <w:r>
                    <w:t xml:space="preserve"> Māori evaluation principles</w:t>
                  </w:r>
                  <w:r w:rsidRPr="000A5052">
                    <w:rPr>
                      <w:rStyle w:val="NoteLabel"/>
                      <w:position w:val="4"/>
                    </w:rPr>
                    <w:t>b</w:t>
                  </w:r>
                </w:p>
              </w:tc>
              <w:tc>
                <w:tcPr>
                  <w:tcW w:w="999" w:type="pct"/>
                  <w:tcBorders>
                    <w:top w:val="single" w:sz="6" w:space="0" w:color="BFBFBF"/>
                    <w:bottom w:val="single" w:sz="6" w:space="0" w:color="BFBFBF"/>
                  </w:tcBorders>
                </w:tcPr>
                <w:p w14:paraId="086C4C03" w14:textId="77777777" w:rsidR="000A5052" w:rsidRDefault="000A5052" w:rsidP="000A5052">
                  <w:pPr>
                    <w:pStyle w:val="TableColumnHeading"/>
                    <w:ind w:right="28"/>
                    <w:jc w:val="left"/>
                  </w:pPr>
                  <w:r>
                    <w:t>American Indian Higher Education Consortium Indigenous Evaluation Framework</w:t>
                  </w:r>
                </w:p>
              </w:tc>
            </w:tr>
            <w:tr w:rsidR="000A5052" w14:paraId="2C63A235" w14:textId="77777777" w:rsidTr="000A5052">
              <w:tc>
                <w:tcPr>
                  <w:tcW w:w="1083" w:type="pct"/>
                  <w:tcBorders>
                    <w:top w:val="single" w:sz="6" w:space="0" w:color="BFBFBF"/>
                    <w:bottom w:val="single" w:sz="4" w:space="0" w:color="BFBFBF"/>
                  </w:tcBorders>
                </w:tcPr>
                <w:p w14:paraId="281881B2" w14:textId="77777777" w:rsidR="000A5052" w:rsidRDefault="000A5052" w:rsidP="00D9468C">
                  <w:pPr>
                    <w:pStyle w:val="TableUnitsRow"/>
                    <w:jc w:val="left"/>
                  </w:pPr>
                  <w:r>
                    <w:t>Partnerships</w:t>
                  </w:r>
                </w:p>
                <w:p w14:paraId="4F3441C9" w14:textId="77777777" w:rsidR="000A5052" w:rsidRDefault="000A5052" w:rsidP="00D9468C">
                  <w:pPr>
                    <w:pStyle w:val="TableUnitsRow"/>
                    <w:jc w:val="left"/>
                  </w:pPr>
                  <w:r>
                    <w:t>Shared responsibility</w:t>
                  </w:r>
                </w:p>
                <w:p w14:paraId="22CC97BC" w14:textId="77777777" w:rsidR="000A5052" w:rsidRDefault="000A5052" w:rsidP="00D9468C">
                  <w:pPr>
                    <w:pStyle w:val="TableUnitsRow"/>
                    <w:jc w:val="left"/>
                  </w:pPr>
                  <w:r>
                    <w:t>Engagement</w:t>
                  </w:r>
                </w:p>
                <w:p w14:paraId="1DE5C75D" w14:textId="77777777" w:rsidR="000A5052" w:rsidRDefault="000A5052" w:rsidP="00D9468C">
                  <w:pPr>
                    <w:pStyle w:val="TableUnitsRow"/>
                    <w:jc w:val="left"/>
                  </w:pPr>
                  <w:r>
                    <w:t>Capacity building</w:t>
                  </w:r>
                </w:p>
                <w:p w14:paraId="131DF9E1" w14:textId="77777777" w:rsidR="000A5052" w:rsidRDefault="000A5052" w:rsidP="00D9468C">
                  <w:pPr>
                    <w:pStyle w:val="TableUnitsRow"/>
                    <w:jc w:val="left"/>
                  </w:pPr>
                  <w:r>
                    <w:t>Equity</w:t>
                  </w:r>
                </w:p>
                <w:p w14:paraId="0007DDF8" w14:textId="77777777" w:rsidR="000A5052" w:rsidRDefault="000A5052" w:rsidP="00D9468C">
                  <w:pPr>
                    <w:pStyle w:val="TableUnitsRow"/>
                    <w:jc w:val="left"/>
                  </w:pPr>
                  <w:r>
                    <w:t>Accountability</w:t>
                  </w:r>
                </w:p>
                <w:p w14:paraId="48DB3388" w14:textId="77777777" w:rsidR="000A5052" w:rsidRDefault="000A5052" w:rsidP="00D9468C">
                  <w:pPr>
                    <w:pStyle w:val="TableUnitsRow"/>
                    <w:jc w:val="left"/>
                  </w:pPr>
                  <w:r>
                    <w:t>Evidence based</w:t>
                  </w:r>
                </w:p>
                <w:p w14:paraId="1C54CA57" w14:textId="77777777" w:rsidR="000A5052" w:rsidRDefault="000A5052" w:rsidP="00D9468C">
                  <w:pPr>
                    <w:pStyle w:val="TableUnitsRow"/>
                    <w:jc w:val="left"/>
                  </w:pPr>
                  <w:r>
                    <w:t>Holistic concept of health</w:t>
                  </w:r>
                </w:p>
                <w:p w14:paraId="7BE33C3A" w14:textId="77777777" w:rsidR="000A5052" w:rsidRDefault="000A5052" w:rsidP="00D9468C">
                  <w:pPr>
                    <w:pStyle w:val="TableUnitsRow"/>
                    <w:jc w:val="left"/>
                  </w:pPr>
                  <w:r>
                    <w:t>Cultural competence</w:t>
                  </w:r>
                </w:p>
                <w:p w14:paraId="578A67FE" w14:textId="77777777" w:rsidR="000A5052" w:rsidRDefault="000A5052" w:rsidP="00D9468C">
                  <w:pPr>
                    <w:pStyle w:val="TableUnitsRow"/>
                    <w:jc w:val="left"/>
                  </w:pPr>
                  <w:r>
                    <w:t>Data governance and intellectual property</w:t>
                  </w:r>
                </w:p>
                <w:p w14:paraId="73C45CE7" w14:textId="77777777" w:rsidR="000A5052" w:rsidRDefault="000A5052" w:rsidP="00D9468C">
                  <w:pPr>
                    <w:pStyle w:val="TableUnitsRow"/>
                    <w:jc w:val="left"/>
                  </w:pPr>
                  <w:r>
                    <w:t>Capitalising on Indigenous strengths</w:t>
                  </w:r>
                </w:p>
              </w:tc>
              <w:tc>
                <w:tcPr>
                  <w:tcW w:w="918" w:type="pct"/>
                  <w:tcBorders>
                    <w:top w:val="single" w:sz="6" w:space="0" w:color="BFBFBF"/>
                    <w:bottom w:val="single" w:sz="4" w:space="0" w:color="BFBFBF"/>
                  </w:tcBorders>
                </w:tcPr>
                <w:p w14:paraId="4F2CFDC2" w14:textId="77777777" w:rsidR="000A5052" w:rsidRDefault="000A5052" w:rsidP="00D9468C">
                  <w:pPr>
                    <w:pStyle w:val="TableUnitsRow"/>
                    <w:jc w:val="left"/>
                  </w:pPr>
                  <w:r>
                    <w:t>Integrated</w:t>
                  </w:r>
                </w:p>
                <w:p w14:paraId="0C0FCE6D" w14:textId="77777777" w:rsidR="000A5052" w:rsidRDefault="000A5052" w:rsidP="00D9468C">
                  <w:pPr>
                    <w:pStyle w:val="TableUnitsRow"/>
                    <w:jc w:val="left"/>
                  </w:pPr>
                  <w:r>
                    <w:t>Respectful</w:t>
                  </w:r>
                </w:p>
                <w:p w14:paraId="556EE1FF" w14:textId="77777777" w:rsidR="000A5052" w:rsidRDefault="000A5052" w:rsidP="00D9468C">
                  <w:pPr>
                    <w:pStyle w:val="TableUnitsRow"/>
                    <w:jc w:val="left"/>
                  </w:pPr>
                  <w:r>
                    <w:t>Evidence based</w:t>
                  </w:r>
                </w:p>
                <w:p w14:paraId="19E0C888" w14:textId="77777777" w:rsidR="000A5052" w:rsidRDefault="000A5052" w:rsidP="00D9468C">
                  <w:pPr>
                    <w:pStyle w:val="TableUnitsRow"/>
                    <w:jc w:val="left"/>
                  </w:pPr>
                  <w:r>
                    <w:t>Impact focused</w:t>
                  </w:r>
                </w:p>
                <w:p w14:paraId="5F79DB87" w14:textId="77777777" w:rsidR="000A5052" w:rsidRDefault="000A5052" w:rsidP="00D9468C">
                  <w:pPr>
                    <w:pStyle w:val="TableUnitsRow"/>
                    <w:jc w:val="left"/>
                  </w:pPr>
                  <w:r>
                    <w:t>Transparent</w:t>
                  </w:r>
                </w:p>
                <w:p w14:paraId="60E7A6E1" w14:textId="77777777" w:rsidR="000A5052" w:rsidRDefault="000A5052" w:rsidP="00D9468C">
                  <w:pPr>
                    <w:pStyle w:val="TableUnitsRow"/>
                    <w:jc w:val="left"/>
                  </w:pPr>
                  <w:r>
                    <w:t>Independent</w:t>
                  </w:r>
                </w:p>
                <w:p w14:paraId="31F9E19A" w14:textId="77777777" w:rsidR="000A5052" w:rsidRDefault="000A5052" w:rsidP="00D9468C">
                  <w:pPr>
                    <w:pStyle w:val="TableUnitsRow"/>
                    <w:jc w:val="left"/>
                  </w:pPr>
                  <w:r>
                    <w:t>Ethical</w:t>
                  </w:r>
                </w:p>
                <w:p w14:paraId="5A509EF2" w14:textId="77777777" w:rsidR="000A5052" w:rsidRDefault="000A5052" w:rsidP="00D9468C">
                  <w:pPr>
                    <w:pStyle w:val="TableUnitsRow"/>
                    <w:jc w:val="left"/>
                  </w:pPr>
                  <w:r>
                    <w:t>Timely</w:t>
                  </w:r>
                </w:p>
                <w:p w14:paraId="61EE8720" w14:textId="77777777" w:rsidR="000A5052" w:rsidRDefault="000A5052" w:rsidP="00D9468C">
                  <w:pPr>
                    <w:pStyle w:val="TableUnitsRow"/>
                    <w:jc w:val="left"/>
                  </w:pPr>
                  <w:r>
                    <w:t>Fit for purpose</w:t>
                  </w:r>
                </w:p>
              </w:tc>
              <w:tc>
                <w:tcPr>
                  <w:tcW w:w="1082" w:type="pct"/>
                  <w:tcBorders>
                    <w:top w:val="single" w:sz="6" w:space="0" w:color="BFBFBF"/>
                    <w:bottom w:val="single" w:sz="4" w:space="0" w:color="BFBFBF"/>
                  </w:tcBorders>
                </w:tcPr>
                <w:p w14:paraId="16C2AEF8" w14:textId="77777777" w:rsidR="000A5052" w:rsidRPr="00224130" w:rsidRDefault="000A5052" w:rsidP="00D9468C">
                  <w:pPr>
                    <w:pStyle w:val="TableUnitsRow"/>
                    <w:jc w:val="left"/>
                  </w:pPr>
                  <w:r w:rsidRPr="00224130">
                    <w:t>Empowerment</w:t>
                  </w:r>
                </w:p>
                <w:p w14:paraId="45BF197D" w14:textId="77777777" w:rsidR="000A5052" w:rsidRPr="00224130" w:rsidRDefault="000A5052" w:rsidP="00D9468C">
                  <w:pPr>
                    <w:pStyle w:val="TableUnitsRow"/>
                    <w:jc w:val="left"/>
                  </w:pPr>
                  <w:r w:rsidRPr="00224130">
                    <w:t>Diversity</w:t>
                  </w:r>
                </w:p>
                <w:p w14:paraId="4F41AF7E" w14:textId="77777777" w:rsidR="000A5052" w:rsidRPr="00224130" w:rsidRDefault="000A5052" w:rsidP="00D9468C">
                  <w:pPr>
                    <w:pStyle w:val="TableUnitsRow"/>
                    <w:jc w:val="left"/>
                  </w:pPr>
                  <w:r w:rsidRPr="00224130">
                    <w:t>Inclusion</w:t>
                  </w:r>
                </w:p>
                <w:p w14:paraId="25F661DF" w14:textId="77777777" w:rsidR="000A5052" w:rsidRPr="00224130" w:rsidRDefault="000A5052" w:rsidP="00D9468C">
                  <w:pPr>
                    <w:pStyle w:val="TableUnitsRow"/>
                    <w:jc w:val="left"/>
                  </w:pPr>
                  <w:r w:rsidRPr="00224130">
                    <w:t>Community ownership</w:t>
                  </w:r>
                </w:p>
                <w:p w14:paraId="78156D78" w14:textId="77777777" w:rsidR="000A5052" w:rsidRPr="00224130" w:rsidRDefault="000A5052" w:rsidP="00D9468C">
                  <w:pPr>
                    <w:pStyle w:val="TableUnitsRow"/>
                    <w:jc w:val="left"/>
                  </w:pPr>
                  <w:r w:rsidRPr="00224130">
                    <w:t>Respect</w:t>
                  </w:r>
                </w:p>
                <w:p w14:paraId="69157D0B" w14:textId="77777777" w:rsidR="000A5052" w:rsidRPr="00224130" w:rsidRDefault="000A5052" w:rsidP="00D9468C">
                  <w:pPr>
                    <w:pStyle w:val="TableUnitsRow"/>
                    <w:jc w:val="left"/>
                  </w:pPr>
                  <w:r w:rsidRPr="00224130">
                    <w:t>Interpretation of culture</w:t>
                  </w:r>
                </w:p>
                <w:p w14:paraId="786AF0ED" w14:textId="77777777" w:rsidR="000A5052" w:rsidRPr="00224130" w:rsidRDefault="000A5052" w:rsidP="00D9468C">
                  <w:pPr>
                    <w:pStyle w:val="TableUnitsRow"/>
                    <w:jc w:val="left"/>
                  </w:pPr>
                  <w:r w:rsidRPr="00224130">
                    <w:t>Integrity and authenticity of culture and knowledge</w:t>
                  </w:r>
                </w:p>
                <w:p w14:paraId="39A99D73" w14:textId="77777777" w:rsidR="000A5052" w:rsidRPr="00224130" w:rsidRDefault="000A5052" w:rsidP="00D9468C">
                  <w:pPr>
                    <w:pStyle w:val="TableUnitsRow"/>
                    <w:jc w:val="left"/>
                  </w:pPr>
                  <w:r w:rsidRPr="00224130">
                    <w:t>Secrecy and confidentiality</w:t>
                  </w:r>
                </w:p>
                <w:p w14:paraId="3B0A073D" w14:textId="77777777" w:rsidR="000A5052" w:rsidRPr="00224130" w:rsidRDefault="000A5052" w:rsidP="00D9468C">
                  <w:pPr>
                    <w:pStyle w:val="TableUnitsRow"/>
                    <w:jc w:val="left"/>
                  </w:pPr>
                  <w:r w:rsidRPr="00224130">
                    <w:t>Consent</w:t>
                  </w:r>
                </w:p>
                <w:p w14:paraId="0AC48D6C" w14:textId="77777777" w:rsidR="000A5052" w:rsidRPr="00224130" w:rsidRDefault="000A5052" w:rsidP="00D9468C">
                  <w:pPr>
                    <w:pStyle w:val="TableUnitsRow"/>
                    <w:jc w:val="left"/>
                  </w:pPr>
                  <w:r w:rsidRPr="00224130">
                    <w:t>Equity</w:t>
                  </w:r>
                </w:p>
                <w:p w14:paraId="31722F0B" w14:textId="77777777" w:rsidR="000A5052" w:rsidRPr="00224130" w:rsidRDefault="000A5052" w:rsidP="00D9468C">
                  <w:pPr>
                    <w:pStyle w:val="TableUnitsRow"/>
                    <w:jc w:val="left"/>
                  </w:pPr>
                  <w:r w:rsidRPr="00224130">
                    <w:t>Attribution</w:t>
                  </w:r>
                </w:p>
                <w:p w14:paraId="0483856D" w14:textId="77777777" w:rsidR="000A5052" w:rsidRPr="00224130" w:rsidRDefault="000A5052" w:rsidP="00D9468C">
                  <w:pPr>
                    <w:pStyle w:val="TableUnitsRow"/>
                    <w:jc w:val="left"/>
                  </w:pPr>
                  <w:r w:rsidRPr="00224130">
                    <w:t>Strengths</w:t>
                  </w:r>
                  <w:r>
                    <w:noBreakHyphen/>
                  </w:r>
                  <w:r w:rsidRPr="00224130">
                    <w:t>based</w:t>
                  </w:r>
                </w:p>
                <w:p w14:paraId="44A26490" w14:textId="77777777" w:rsidR="000A5052" w:rsidRPr="00224130" w:rsidRDefault="000A5052" w:rsidP="00D9468C">
                  <w:pPr>
                    <w:pStyle w:val="TableUnitsRow"/>
                    <w:jc w:val="left"/>
                  </w:pPr>
                  <w:r w:rsidRPr="00224130">
                    <w:t>Strengthening of culture</w:t>
                  </w:r>
                </w:p>
                <w:p w14:paraId="24F8CA78" w14:textId="77777777" w:rsidR="000A5052" w:rsidRPr="00224130" w:rsidRDefault="000A5052" w:rsidP="00D9468C">
                  <w:pPr>
                    <w:pStyle w:val="TableUnitsRow"/>
                    <w:jc w:val="left"/>
                  </w:pPr>
                  <w:r w:rsidRPr="00224130">
                    <w:t>Participation</w:t>
                  </w:r>
                </w:p>
                <w:p w14:paraId="777C357B" w14:textId="77777777" w:rsidR="000A5052" w:rsidRPr="00224130" w:rsidRDefault="000A5052" w:rsidP="00D9468C">
                  <w:pPr>
                    <w:pStyle w:val="TableUnitsRow"/>
                    <w:jc w:val="left"/>
                  </w:pPr>
                  <w:r w:rsidRPr="00224130">
                    <w:t>Community transformation</w:t>
                  </w:r>
                </w:p>
                <w:p w14:paraId="731CB25B" w14:textId="77777777" w:rsidR="000A5052" w:rsidRPr="00224130" w:rsidRDefault="000A5052" w:rsidP="00D9468C">
                  <w:pPr>
                    <w:pStyle w:val="TableUnitsRow"/>
                    <w:jc w:val="left"/>
                  </w:pPr>
                  <w:r w:rsidRPr="00224130">
                    <w:t>Community priorities</w:t>
                  </w:r>
                </w:p>
                <w:p w14:paraId="2EF344DF" w14:textId="77777777" w:rsidR="000A5052" w:rsidRPr="00224130" w:rsidRDefault="000A5052" w:rsidP="00D9468C">
                  <w:pPr>
                    <w:pStyle w:val="TableUnitsRow"/>
                    <w:jc w:val="left"/>
                  </w:pPr>
                  <w:r w:rsidRPr="00224130">
                    <w:t>Strengthen capacity</w:t>
                  </w:r>
                </w:p>
                <w:p w14:paraId="45A5E392" w14:textId="77777777" w:rsidR="000A5052" w:rsidRPr="00224130" w:rsidRDefault="000A5052" w:rsidP="00D9468C">
                  <w:pPr>
                    <w:pStyle w:val="TableUnitsRow"/>
                    <w:jc w:val="left"/>
                  </w:pPr>
                  <w:r w:rsidRPr="00224130">
                    <w:t>Share results</w:t>
                  </w:r>
                </w:p>
                <w:p w14:paraId="08183999" w14:textId="77777777" w:rsidR="000A5052" w:rsidRPr="00224130" w:rsidRDefault="000A5052" w:rsidP="00D9468C">
                  <w:pPr>
                    <w:pStyle w:val="TableUnitsRow"/>
                    <w:jc w:val="left"/>
                  </w:pPr>
                  <w:r w:rsidRPr="00224130">
                    <w:t>Accountability</w:t>
                  </w:r>
                </w:p>
              </w:tc>
              <w:tc>
                <w:tcPr>
                  <w:tcW w:w="918" w:type="pct"/>
                  <w:tcBorders>
                    <w:top w:val="single" w:sz="6" w:space="0" w:color="BFBFBF"/>
                    <w:bottom w:val="single" w:sz="4" w:space="0" w:color="BFBFBF"/>
                  </w:tcBorders>
                </w:tcPr>
                <w:p w14:paraId="24666917" w14:textId="77777777" w:rsidR="000A5052" w:rsidRDefault="000A5052" w:rsidP="00D9468C">
                  <w:pPr>
                    <w:pStyle w:val="TableUnitsRow"/>
                    <w:ind w:right="28"/>
                    <w:jc w:val="left"/>
                  </w:pPr>
                  <w:r>
                    <w:t>Importance of meeting with people face to face</w:t>
                  </w:r>
                </w:p>
                <w:p w14:paraId="07DA6E47" w14:textId="77777777" w:rsidR="000A5052" w:rsidRDefault="000A5052" w:rsidP="00D9468C">
                  <w:pPr>
                    <w:pStyle w:val="TableUnitsRow"/>
                    <w:ind w:right="28"/>
                    <w:jc w:val="left"/>
                  </w:pPr>
                  <w:r>
                    <w:t>Look and listen to develop understanding from which to speak</w:t>
                  </w:r>
                </w:p>
                <w:p w14:paraId="61C541E1" w14:textId="77777777" w:rsidR="000A5052" w:rsidRDefault="000A5052" w:rsidP="00D9468C">
                  <w:pPr>
                    <w:pStyle w:val="TableUnitsRow"/>
                    <w:ind w:right="28"/>
                    <w:jc w:val="left"/>
                  </w:pPr>
                  <w:r>
                    <w:t>Collaboration and reciprocity</w:t>
                  </w:r>
                </w:p>
                <w:p w14:paraId="677D3565" w14:textId="77777777" w:rsidR="000A5052" w:rsidRDefault="000A5052" w:rsidP="00D9468C">
                  <w:pPr>
                    <w:pStyle w:val="TableUnitsRow"/>
                    <w:ind w:right="28"/>
                    <w:jc w:val="left"/>
                  </w:pPr>
                  <w:r>
                    <w:t>Be politically astute and culturally safe</w:t>
                  </w:r>
                </w:p>
                <w:p w14:paraId="497649AB" w14:textId="77777777" w:rsidR="000A5052" w:rsidRDefault="000A5052" w:rsidP="00D9468C">
                  <w:pPr>
                    <w:pStyle w:val="TableUnitsRow"/>
                    <w:ind w:right="28"/>
                    <w:jc w:val="left"/>
                  </w:pPr>
                  <w:r>
                    <w:t>Don’t trample the mana of the people</w:t>
                  </w:r>
                </w:p>
                <w:p w14:paraId="59F50720" w14:textId="77777777" w:rsidR="000A5052" w:rsidRDefault="000A5052" w:rsidP="00D9468C">
                  <w:pPr>
                    <w:pStyle w:val="TableUnitsRow"/>
                    <w:ind w:right="28"/>
                    <w:jc w:val="left"/>
                  </w:pPr>
                  <w:r>
                    <w:t>Be humble in your approach</w:t>
                  </w:r>
                </w:p>
              </w:tc>
              <w:tc>
                <w:tcPr>
                  <w:tcW w:w="999" w:type="pct"/>
                  <w:tcBorders>
                    <w:top w:val="single" w:sz="6" w:space="0" w:color="BFBFBF"/>
                    <w:bottom w:val="single" w:sz="4" w:space="0" w:color="BFBFBF"/>
                  </w:tcBorders>
                </w:tcPr>
                <w:p w14:paraId="281F46F2" w14:textId="77777777" w:rsidR="000A5052" w:rsidRDefault="000A5052" w:rsidP="00D9468C">
                  <w:pPr>
                    <w:pStyle w:val="TableUnitsRow"/>
                    <w:ind w:right="28"/>
                    <w:jc w:val="left"/>
                  </w:pPr>
                  <w:r>
                    <w:t>Informed and framed by indigenous knowledge</w:t>
                  </w:r>
                </w:p>
                <w:p w14:paraId="52F1701B" w14:textId="77777777" w:rsidR="000A5052" w:rsidRDefault="000A5052" w:rsidP="00D9468C">
                  <w:pPr>
                    <w:pStyle w:val="TableUnitsRow"/>
                    <w:ind w:right="28"/>
                    <w:jc w:val="left"/>
                  </w:pPr>
                  <w:r>
                    <w:t>Flexible and responsive to local traditions and cultures</w:t>
                  </w:r>
                </w:p>
                <w:p w14:paraId="13668C82" w14:textId="77777777" w:rsidR="000A5052" w:rsidRDefault="000A5052" w:rsidP="00D9468C">
                  <w:pPr>
                    <w:pStyle w:val="TableUnitsRow"/>
                    <w:ind w:right="28"/>
                    <w:jc w:val="left"/>
                  </w:pPr>
                  <w:r>
                    <w:t>Responsive practices to fit needs and conditions</w:t>
                  </w:r>
                </w:p>
                <w:p w14:paraId="602922C1" w14:textId="77777777" w:rsidR="000A5052" w:rsidRDefault="000A5052" w:rsidP="00D9468C">
                  <w:pPr>
                    <w:pStyle w:val="TableUnitsRow"/>
                    <w:ind w:right="28"/>
                    <w:jc w:val="left"/>
                  </w:pPr>
                  <w:r>
                    <w:t>Indigenous ownership</w:t>
                  </w:r>
                </w:p>
                <w:p w14:paraId="2527238D" w14:textId="77777777" w:rsidR="000A5052" w:rsidRDefault="000A5052" w:rsidP="00D9468C">
                  <w:pPr>
                    <w:pStyle w:val="TableUnitsRow"/>
                    <w:ind w:right="28"/>
                    <w:jc w:val="left"/>
                  </w:pPr>
                  <w:r>
                    <w:t>Respect for self</w:t>
                  </w:r>
                  <w:r>
                    <w:noBreakHyphen/>
                    <w:t>determination and sovereignty</w:t>
                  </w:r>
                </w:p>
                <w:p w14:paraId="698B9F1A" w14:textId="77777777" w:rsidR="000A5052" w:rsidRDefault="000A5052" w:rsidP="00D9468C">
                  <w:pPr>
                    <w:pStyle w:val="TableUnitsRow"/>
                    <w:ind w:right="28"/>
                    <w:jc w:val="left"/>
                  </w:pPr>
                  <w:r>
                    <w:t>Opportunity for learning and using information to create strong, viable tribal communities</w:t>
                  </w:r>
                </w:p>
              </w:tc>
            </w:tr>
          </w:tbl>
          <w:p w14:paraId="0552851A" w14:textId="77777777" w:rsidR="000A5052" w:rsidRDefault="000A5052" w:rsidP="00D9468C">
            <w:pPr>
              <w:pStyle w:val="Box"/>
            </w:pPr>
          </w:p>
        </w:tc>
      </w:tr>
      <w:tr w:rsidR="000A5052" w14:paraId="19F284BC" w14:textId="77777777" w:rsidTr="00D9468C">
        <w:tc>
          <w:tcPr>
            <w:tcW w:w="5000" w:type="pct"/>
            <w:tcBorders>
              <w:top w:val="nil"/>
              <w:left w:val="nil"/>
              <w:bottom w:val="nil"/>
              <w:right w:val="nil"/>
            </w:tcBorders>
            <w:shd w:val="clear" w:color="auto" w:fill="auto"/>
          </w:tcPr>
          <w:p w14:paraId="34436E7D" w14:textId="1B9CD1C4" w:rsidR="000A5052" w:rsidRPr="00224130" w:rsidRDefault="000A5052" w:rsidP="000A5052">
            <w:pPr>
              <w:pStyle w:val="Note"/>
            </w:pPr>
            <w:proofErr w:type="spellStart"/>
            <w:proofErr w:type="gramStart"/>
            <w:r w:rsidRPr="008E77FE">
              <w:rPr>
                <w:rStyle w:val="NoteLabel"/>
              </w:rPr>
              <w:t>a</w:t>
            </w:r>
            <w:proofErr w:type="spellEnd"/>
            <w:proofErr w:type="gramEnd"/>
            <w:r>
              <w:t xml:space="preserve"> </w:t>
            </w:r>
            <w:r w:rsidRPr="00224130">
              <w:t xml:space="preserve">The framework includes 6 key domains, fully defined principles for each domain, and protocols for how to apply the principles in practices. </w:t>
            </w:r>
            <w:r>
              <w:t>The table</w:t>
            </w:r>
            <w:r w:rsidRPr="00224130">
              <w:t xml:space="preserve"> lists the ‘labels’ (short description) of the principles.</w:t>
            </w:r>
            <w:r>
              <w:t xml:space="preserve"> </w:t>
            </w:r>
            <w:proofErr w:type="gramStart"/>
            <w:r>
              <w:rPr>
                <w:rStyle w:val="NoteLabel"/>
              </w:rPr>
              <w:t>b</w:t>
            </w:r>
            <w:proofErr w:type="gramEnd"/>
            <w:r>
              <w:t xml:space="preserve"> The table</w:t>
            </w:r>
            <w:r w:rsidRPr="00224130">
              <w:t xml:space="preserve"> present</w:t>
            </w:r>
            <w:r>
              <w:t xml:space="preserve">s one interpretation of </w:t>
            </w:r>
            <w:proofErr w:type="spellStart"/>
            <w:r>
              <w:t>Kaupapa</w:t>
            </w:r>
            <w:proofErr w:type="spellEnd"/>
            <w:r>
              <w:t xml:space="preserve"> Māori evaluation principles, based on Cram </w:t>
            </w:r>
            <w:r w:rsidRPr="00A73225">
              <w:rPr>
                <w:rFonts w:cs="Arial"/>
              </w:rPr>
              <w:t>(2009)</w:t>
            </w:r>
            <w:r>
              <w:t>.</w:t>
            </w:r>
          </w:p>
        </w:tc>
      </w:tr>
      <w:tr w:rsidR="000A5052" w14:paraId="70E425A2" w14:textId="77777777" w:rsidTr="00D9468C">
        <w:tc>
          <w:tcPr>
            <w:tcW w:w="5000" w:type="pct"/>
            <w:tcBorders>
              <w:top w:val="nil"/>
              <w:left w:val="nil"/>
              <w:bottom w:val="nil"/>
              <w:right w:val="nil"/>
            </w:tcBorders>
            <w:shd w:val="clear" w:color="auto" w:fill="auto"/>
          </w:tcPr>
          <w:p w14:paraId="07DAD32D" w14:textId="77777777" w:rsidR="000A5052" w:rsidRPr="000A5052" w:rsidRDefault="000A5052" w:rsidP="00D9468C">
            <w:pPr>
              <w:pStyle w:val="Source"/>
              <w:rPr>
                <w:spacing w:val="-6"/>
              </w:rPr>
            </w:pPr>
            <w:r w:rsidRPr="000A5052">
              <w:rPr>
                <w:i/>
                <w:spacing w:val="-6"/>
              </w:rPr>
              <w:t>Sources</w:t>
            </w:r>
            <w:r w:rsidRPr="000A5052">
              <w:rPr>
                <w:spacing w:val="-6"/>
              </w:rPr>
              <w:t xml:space="preserve">: </w:t>
            </w:r>
            <w:proofErr w:type="spellStart"/>
            <w:r w:rsidRPr="000A5052">
              <w:rPr>
                <w:spacing w:val="-6"/>
              </w:rPr>
              <w:t>Kelaher</w:t>
            </w:r>
            <w:proofErr w:type="spellEnd"/>
            <w:r w:rsidRPr="000A5052">
              <w:rPr>
                <w:spacing w:val="-6"/>
              </w:rPr>
              <w:t xml:space="preserve"> et al. </w:t>
            </w:r>
            <w:r w:rsidRPr="000A5052">
              <w:rPr>
                <w:rFonts w:cs="Arial"/>
                <w:spacing w:val="-6"/>
              </w:rPr>
              <w:t>(2018);</w:t>
            </w:r>
            <w:r w:rsidRPr="000A5052">
              <w:rPr>
                <w:spacing w:val="-6"/>
              </w:rPr>
              <w:t xml:space="preserve"> DPMC </w:t>
            </w:r>
            <w:r w:rsidRPr="000A5052">
              <w:rPr>
                <w:rFonts w:cs="Arial"/>
                <w:spacing w:val="-6"/>
              </w:rPr>
              <w:t>(2018a)</w:t>
            </w:r>
            <w:r w:rsidRPr="000A5052">
              <w:rPr>
                <w:spacing w:val="-6"/>
              </w:rPr>
              <w:t xml:space="preserve">; Gibb et al. </w:t>
            </w:r>
            <w:r w:rsidRPr="000A5052">
              <w:rPr>
                <w:rFonts w:cs="Arial"/>
                <w:spacing w:val="-6"/>
              </w:rPr>
              <w:t>(2019)</w:t>
            </w:r>
            <w:r w:rsidRPr="000A5052">
              <w:rPr>
                <w:spacing w:val="-6"/>
              </w:rPr>
              <w:t xml:space="preserve">; Cram </w:t>
            </w:r>
            <w:r w:rsidRPr="000A5052">
              <w:rPr>
                <w:rFonts w:cs="Arial"/>
                <w:spacing w:val="-6"/>
              </w:rPr>
              <w:t>(2009);</w:t>
            </w:r>
            <w:r w:rsidRPr="000A5052">
              <w:rPr>
                <w:spacing w:val="-6"/>
              </w:rPr>
              <w:t xml:space="preserve"> LaFrance and Nichols </w:t>
            </w:r>
            <w:r w:rsidRPr="000A5052">
              <w:rPr>
                <w:rFonts w:cs="Arial"/>
                <w:spacing w:val="-6"/>
              </w:rPr>
              <w:t>(2009)</w:t>
            </w:r>
            <w:r w:rsidRPr="000A5052">
              <w:rPr>
                <w:spacing w:val="-6"/>
              </w:rPr>
              <w:t>.</w:t>
            </w:r>
          </w:p>
        </w:tc>
      </w:tr>
      <w:tr w:rsidR="000A5052" w14:paraId="2CB58CEC" w14:textId="77777777" w:rsidTr="000A5052">
        <w:tc>
          <w:tcPr>
            <w:tcW w:w="5000" w:type="pct"/>
            <w:tcBorders>
              <w:top w:val="nil"/>
              <w:left w:val="nil"/>
              <w:bottom w:val="single" w:sz="6" w:space="0" w:color="78A22F"/>
              <w:right w:val="nil"/>
            </w:tcBorders>
            <w:shd w:val="clear" w:color="auto" w:fill="auto"/>
          </w:tcPr>
          <w:p w14:paraId="7B84B235" w14:textId="77777777" w:rsidR="000A5052" w:rsidRDefault="000A5052" w:rsidP="000A5052">
            <w:pPr>
              <w:pStyle w:val="Box"/>
              <w:keepNext w:val="0"/>
              <w:spacing w:before="0" w:line="120" w:lineRule="exact"/>
            </w:pPr>
          </w:p>
        </w:tc>
      </w:tr>
      <w:tr w:rsidR="000A5052" w:rsidRPr="000863A5" w14:paraId="27F9A747" w14:textId="77777777" w:rsidTr="000A5052">
        <w:tc>
          <w:tcPr>
            <w:tcW w:w="5000" w:type="pct"/>
            <w:tcBorders>
              <w:top w:val="single" w:sz="6" w:space="0" w:color="78A22F"/>
              <w:left w:val="nil"/>
              <w:bottom w:val="nil"/>
              <w:right w:val="nil"/>
            </w:tcBorders>
            <w:shd w:val="clear" w:color="auto" w:fill="auto"/>
          </w:tcPr>
          <w:p w14:paraId="504CA8EF" w14:textId="77777777" w:rsidR="000A5052" w:rsidRPr="00626D32" w:rsidRDefault="000A5052" w:rsidP="000A5052">
            <w:pPr>
              <w:pStyle w:val="Box"/>
              <w:keepNext w:val="0"/>
              <w:spacing w:before="0" w:line="120" w:lineRule="exact"/>
            </w:pPr>
            <w:bookmarkStart w:id="171" w:name="_Toc10710009"/>
            <w:bookmarkStart w:id="172" w:name="_Toc10734433"/>
            <w:bookmarkStart w:id="173" w:name="_Toc10735505"/>
            <w:bookmarkStart w:id="174" w:name="_Toc10794234"/>
            <w:bookmarkStart w:id="175" w:name="_Toc10795569"/>
            <w:bookmarkStart w:id="176" w:name="_Toc10795714"/>
            <w:bookmarkStart w:id="177" w:name="_Toc10802401"/>
            <w:bookmarkStart w:id="178" w:name="_Toc10808047"/>
            <w:bookmarkStart w:id="179" w:name="_Toc12272489"/>
          </w:p>
        </w:tc>
      </w:tr>
    </w:tbl>
    <w:p w14:paraId="341B642D" w14:textId="05BE489D" w:rsidR="00CA00D0" w:rsidRPr="000A5052" w:rsidRDefault="00CA00D0" w:rsidP="00CA00D0">
      <w:pPr>
        <w:pStyle w:val="Heading3"/>
      </w:pPr>
      <w:r w:rsidRPr="000A5052">
        <w:t>What principles might be included in an Indigenous evaluation framework?</w:t>
      </w:r>
      <w:bookmarkEnd w:id="171"/>
      <w:bookmarkEnd w:id="172"/>
      <w:bookmarkEnd w:id="173"/>
      <w:bookmarkEnd w:id="174"/>
      <w:bookmarkEnd w:id="175"/>
      <w:bookmarkEnd w:id="176"/>
      <w:bookmarkEnd w:id="177"/>
      <w:bookmarkEnd w:id="178"/>
      <w:bookmarkEnd w:id="179"/>
    </w:p>
    <w:p w14:paraId="19DEDA82" w14:textId="77777777" w:rsidR="00CA00D0" w:rsidDel="00B51751" w:rsidRDefault="00CA00D0" w:rsidP="00CA00D0">
      <w:pPr>
        <w:pStyle w:val="BodyText"/>
      </w:pPr>
      <w:r>
        <w:t xml:space="preserve">This section canvasses a number of principles that might be relevant to include in an Indigenous evaluation framework. They include general principles for ensuring ethical and high quality evaluation, as well as those that </w:t>
      </w:r>
      <w:r>
        <w:lastRenderedPageBreak/>
        <w:t>provide specific guidance on working with Aboriginal and Torres Strait Islander people. The Commission is seeking feedback on the appropriateness of these principles and suggestions for any other principles that should be included in the framework.</w:t>
      </w:r>
    </w:p>
    <w:p w14:paraId="15715DA2" w14:textId="50EA2F3E" w:rsidR="00CA00D0" w:rsidRPr="004E3B94" w:rsidRDefault="00CA00D0" w:rsidP="00CA00D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A00D0" w14:paraId="614368AF" w14:textId="77777777" w:rsidTr="00CA00D0">
        <w:trPr>
          <w:tblHeader/>
        </w:trPr>
        <w:tc>
          <w:tcPr>
            <w:tcW w:w="5000" w:type="pct"/>
            <w:tcBorders>
              <w:top w:val="single" w:sz="6" w:space="0" w:color="78A22F"/>
              <w:left w:val="nil"/>
              <w:bottom w:val="nil"/>
              <w:right w:val="nil"/>
            </w:tcBorders>
            <w:shd w:val="clear" w:color="auto" w:fill="auto"/>
          </w:tcPr>
          <w:p w14:paraId="3921D05E" w14:textId="6EA28ACA" w:rsidR="00CA00D0" w:rsidRPr="00CE4C64" w:rsidRDefault="00CA00D0" w:rsidP="00CA00D0">
            <w:pPr>
              <w:pStyle w:val="InformationRequestTitle"/>
              <w:spacing w:before="120"/>
            </w:pPr>
            <w:r>
              <w:t>Question</w:t>
            </w:r>
            <w:r w:rsidR="00A51C85">
              <w:t>s</w:t>
            </w:r>
            <w:r>
              <w:t xml:space="preserve"> on relevant principles for an EVALUATION framework</w:t>
            </w:r>
          </w:p>
        </w:tc>
      </w:tr>
      <w:tr w:rsidR="00CA00D0" w:rsidRPr="00750BE2" w14:paraId="504DF4A1" w14:textId="77777777" w:rsidTr="00CA00D0">
        <w:tc>
          <w:tcPr>
            <w:tcW w:w="5000" w:type="pct"/>
            <w:tcBorders>
              <w:top w:val="nil"/>
              <w:left w:val="nil"/>
              <w:bottom w:val="nil"/>
              <w:right w:val="nil"/>
            </w:tcBorders>
            <w:shd w:val="clear" w:color="auto" w:fill="auto"/>
          </w:tcPr>
          <w:p w14:paraId="7213E6CD" w14:textId="77777777" w:rsidR="00CA00D0" w:rsidRDefault="00CA00D0" w:rsidP="00CA00D0">
            <w:pPr>
              <w:pStyle w:val="InformationRequest"/>
              <w:keepNext/>
            </w:pPr>
            <w:r>
              <w:t>What principles should be included in an Indigenous evaluation framework to be used by Australian Government agencies?</w:t>
            </w:r>
          </w:p>
          <w:p w14:paraId="008A2F87" w14:textId="77777777" w:rsidR="00CA00D0" w:rsidRPr="004F3283" w:rsidRDefault="00CA00D0" w:rsidP="00CA00D0">
            <w:pPr>
              <w:pStyle w:val="InformationRequest"/>
              <w:keepNext/>
            </w:pPr>
            <w:r>
              <w:t>How should an Indigenous evaluation framework differ from a general evaluation framework for government policies and programs?</w:t>
            </w:r>
          </w:p>
        </w:tc>
      </w:tr>
      <w:tr w:rsidR="00CA00D0" w14:paraId="1E1ED592" w14:textId="77777777" w:rsidTr="00CA00D0">
        <w:tc>
          <w:tcPr>
            <w:tcW w:w="5000" w:type="pct"/>
            <w:tcBorders>
              <w:top w:val="nil"/>
              <w:left w:val="nil"/>
              <w:bottom w:val="single" w:sz="6" w:space="0" w:color="78A22F"/>
              <w:right w:val="nil"/>
            </w:tcBorders>
            <w:shd w:val="clear" w:color="auto" w:fill="auto"/>
          </w:tcPr>
          <w:p w14:paraId="59AEB33B" w14:textId="77777777" w:rsidR="00CA00D0" w:rsidRDefault="00CA00D0" w:rsidP="00CA00D0">
            <w:pPr>
              <w:pStyle w:val="Space"/>
              <w:keepLines/>
            </w:pPr>
          </w:p>
        </w:tc>
      </w:tr>
      <w:tr w:rsidR="00CA00D0" w:rsidRPr="000863A5" w14:paraId="71C4A515" w14:textId="77777777" w:rsidTr="00CA00D0">
        <w:tc>
          <w:tcPr>
            <w:tcW w:w="5000" w:type="pct"/>
            <w:tcBorders>
              <w:top w:val="single" w:sz="6" w:space="0" w:color="78A22F"/>
              <w:left w:val="nil"/>
              <w:bottom w:val="nil"/>
              <w:right w:val="nil"/>
            </w:tcBorders>
          </w:tcPr>
          <w:p w14:paraId="1FF4148A" w14:textId="7FF442C6" w:rsidR="00CA00D0" w:rsidRPr="00626D32" w:rsidRDefault="00CA00D0" w:rsidP="00CA00D0">
            <w:pPr>
              <w:pStyle w:val="BoxSpaceBelow"/>
              <w:keepLines/>
            </w:pPr>
          </w:p>
        </w:tc>
      </w:tr>
    </w:tbl>
    <w:p w14:paraId="7C0D8FFC" w14:textId="77777777" w:rsidR="00D433D8" w:rsidRDefault="00D433D8" w:rsidP="00D433D8">
      <w:pPr>
        <w:pStyle w:val="Heading4"/>
      </w:pPr>
      <w:bookmarkStart w:id="180" w:name="_Toc10808788"/>
      <w:r>
        <w:t>P</w:t>
      </w:r>
      <w:bookmarkEnd w:id="180"/>
      <w:r>
        <w:t>lanning early for evaluation</w:t>
      </w:r>
    </w:p>
    <w:p w14:paraId="2F59BB19" w14:textId="1BD774C7" w:rsidR="00D433D8" w:rsidRDefault="00D433D8" w:rsidP="00D433D8">
      <w:pPr>
        <w:pStyle w:val="BodyText"/>
      </w:pPr>
      <w:r>
        <w:t>At an early stage in the policy development process, agencies should lay the groundwork for the possibility of fu</w:t>
      </w:r>
      <w:r w:rsidR="00B20B6A">
        <w:t>ture evaluations by considering</w:t>
      </w:r>
      <w:r w:rsidR="00442E24">
        <w:t>:</w:t>
      </w:r>
    </w:p>
    <w:p w14:paraId="206B6E00" w14:textId="0C5F19E3" w:rsidR="00D433D8" w:rsidRDefault="00D433D8" w:rsidP="00D433D8">
      <w:pPr>
        <w:pStyle w:val="ListBullet"/>
      </w:pPr>
      <w:r>
        <w:t>whether evaluation of the policy or p</w:t>
      </w:r>
      <w:r w:rsidR="000A5052">
        <w:t>rogram is desirable or feasible</w:t>
      </w:r>
    </w:p>
    <w:p w14:paraId="5467A727" w14:textId="7D7E8AB4" w:rsidR="00D433D8" w:rsidRDefault="00D433D8" w:rsidP="00D433D8">
      <w:pPr>
        <w:pStyle w:val="ListBullet"/>
      </w:pPr>
      <w:r>
        <w:t>at what stage in the policy or program rollout ev</w:t>
      </w:r>
      <w:r w:rsidR="000A5052">
        <w:t>aluation would be most valuable</w:t>
      </w:r>
    </w:p>
    <w:p w14:paraId="27846301" w14:textId="4F51C531" w:rsidR="00D433D8" w:rsidRDefault="00D433D8" w:rsidP="00D433D8">
      <w:pPr>
        <w:pStyle w:val="ListBullet"/>
      </w:pPr>
      <w:r>
        <w:t>what types of resources would need to be devoted to evaluation over th</w:t>
      </w:r>
      <w:r w:rsidR="000A5052">
        <w:t>e life of the policy or program</w:t>
      </w:r>
    </w:p>
    <w:p w14:paraId="7FEF0E6C" w14:textId="13FB0182" w:rsidR="00117ACA" w:rsidRDefault="00D433D8" w:rsidP="00135D96">
      <w:pPr>
        <w:pStyle w:val="ListBullet"/>
      </w:pPr>
      <w:proofErr w:type="gramStart"/>
      <w:r>
        <w:t>possible</w:t>
      </w:r>
      <w:proofErr w:type="gramEnd"/>
      <w:r>
        <w:t xml:space="preserve"> evalu</w:t>
      </w:r>
      <w:r w:rsidR="000A5052">
        <w:t>ation questions and data needs.</w:t>
      </w:r>
    </w:p>
    <w:p w14:paraId="43E49580" w14:textId="7FEEFF5F" w:rsidR="0034186D" w:rsidRDefault="0034186D" w:rsidP="0034186D">
      <w:pPr>
        <w:pStyle w:val="BodyText"/>
      </w:pPr>
      <w:r>
        <w:t>Evaluations that are planned from the outset of a policy or program are likely to be easier to implement and generate more robust and useful results for several reasons, including:</w:t>
      </w:r>
    </w:p>
    <w:p w14:paraId="33483B66" w14:textId="77777777" w:rsidR="0034186D" w:rsidRDefault="0034186D" w:rsidP="0034186D">
      <w:pPr>
        <w:pStyle w:val="ListBullet"/>
      </w:pPr>
      <w:r>
        <w:t>program budgets and timeframes can incorporate additional resources for evaluation</w:t>
      </w:r>
    </w:p>
    <w:p w14:paraId="751B811B" w14:textId="0D98125F" w:rsidR="0034186D" w:rsidRDefault="0034186D" w:rsidP="0034186D">
      <w:pPr>
        <w:pStyle w:val="ListBullet"/>
      </w:pPr>
      <w:r>
        <w:t>appropriate baseline data can be collected for pre</w:t>
      </w:r>
      <w:r w:rsidR="00442E24">
        <w:noBreakHyphen/>
      </w:r>
      <w:r>
        <w:t>implementation outcome measures, and appropriate comparison groups identified</w:t>
      </w:r>
    </w:p>
    <w:p w14:paraId="3B34ECD5" w14:textId="480B5E9A" w:rsidR="0034186D" w:rsidRDefault="0034186D" w:rsidP="0034186D">
      <w:pPr>
        <w:pStyle w:val="ListBullet"/>
      </w:pPr>
      <w:r>
        <w:lastRenderedPageBreak/>
        <w:t>consideration can be given to tailoring program delivery in a way that facilitates evaluation (</w:t>
      </w:r>
      <w:r w:rsidR="006D2F24">
        <w:t>for example,</w:t>
      </w:r>
      <w:r>
        <w:t xml:space="preserve"> randomising rollout across geographical areas; collecting qualitative information from participants or service providers as part of regular reporting procedures that can be used in evaluation)</w:t>
      </w:r>
    </w:p>
    <w:p w14:paraId="42B08F65" w14:textId="4BCA8803" w:rsidR="0034186D" w:rsidRDefault="0034186D" w:rsidP="0034186D">
      <w:pPr>
        <w:pStyle w:val="ListBullet"/>
      </w:pPr>
      <w:proofErr w:type="gramStart"/>
      <w:r>
        <w:t>the</w:t>
      </w:r>
      <w:proofErr w:type="gramEnd"/>
      <w:r>
        <w:t xml:space="preserve"> evaluation planning process can prompt policy</w:t>
      </w:r>
      <w:r w:rsidR="00442E24">
        <w:noBreakHyphen/>
      </w:r>
      <w:r>
        <w:t xml:space="preserve">makers to consider the objectives </w:t>
      </w:r>
      <w:r w:rsidR="000A0C0C">
        <w:t xml:space="preserve">and implementation </w:t>
      </w:r>
      <w:r>
        <w:t>of the program more explicitly from the outset.</w:t>
      </w:r>
    </w:p>
    <w:p w14:paraId="04D8CAAD" w14:textId="5CF11716" w:rsidR="00B54253" w:rsidRDefault="0034186D" w:rsidP="0034186D">
      <w:pPr>
        <w:pStyle w:val="BodyText"/>
      </w:pPr>
      <w:r>
        <w:t>However, many evaluations are not planned until programs are well</w:t>
      </w:r>
      <w:r w:rsidR="00442E24">
        <w:noBreakHyphen/>
      </w:r>
      <w:r>
        <w:t xml:space="preserve">established </w:t>
      </w:r>
      <w:r w:rsidR="003E41C3" w:rsidRPr="003E41C3">
        <w:rPr>
          <w:szCs w:val="24"/>
        </w:rPr>
        <w:t>(Hudson 2017)</w:t>
      </w:r>
      <w:r>
        <w:t xml:space="preserve">. This may be due to a lack of awareness about the benefits and role of evaluation, or because policies are developed without sufficient time </w:t>
      </w:r>
      <w:r w:rsidR="000A0C0C">
        <w:t xml:space="preserve">or effort </w:t>
      </w:r>
      <w:r>
        <w:t xml:space="preserve">to incorporate evaluative thinking. </w:t>
      </w:r>
    </w:p>
    <w:p w14:paraId="0A79EEEF" w14:textId="5DCF2298" w:rsidR="0034186D" w:rsidRDefault="0034186D" w:rsidP="0034186D">
      <w:pPr>
        <w:pStyle w:val="BodyText"/>
      </w:pPr>
      <w:r>
        <w:t xml:space="preserve">Options to increase the likelihood that evaluation is planned early range from increasing awareness of evaluation practice and its benefits among staff responsible for policy development and program delivery, to </w:t>
      </w:r>
      <w:r w:rsidR="00A42C87">
        <w:t>requiring</w:t>
      </w:r>
      <w:r>
        <w:t xml:space="preserve"> evaluation plans </w:t>
      </w:r>
      <w:r w:rsidR="00A42C87">
        <w:t>as a part of new</w:t>
      </w:r>
      <w:r>
        <w:t xml:space="preserve"> policy proposals (box</w:t>
      </w:r>
      <w:r w:rsidR="00442E24">
        <w:t> </w:t>
      </w:r>
      <w:r w:rsidR="00C71086">
        <w:t>7</w:t>
      </w:r>
      <w:r>
        <w:t xml:space="preserve">), to linking evaluation directly to budget processes. </w:t>
      </w:r>
    </w:p>
    <w:p w14:paraId="2C4D62EA" w14:textId="4A705800" w:rsidR="00F03429" w:rsidRDefault="00F03429" w:rsidP="00F03429">
      <w:pPr>
        <w:pStyle w:val="BodyText"/>
      </w:pPr>
      <w:r>
        <w:t>Feeding evaluation results back into policy development and program implementation is also vital if evaluation efforts are to lead to better decision making. Within agencies, it is important that evaluation results are shared in a way that allows findings to feed into policy development. Canvassing existing evidence during policy development can also help identify gaps in the evidence base where further evaluation would be valuable. There is also a need for evaluation evidence to be collated and disseminated across agencies. This issue will be addressed in more detail in section</w:t>
      </w:r>
      <w:r w:rsidR="00442E24">
        <w:t> </w:t>
      </w:r>
      <w:r>
        <w:t>5.</w:t>
      </w:r>
    </w:p>
    <w:p w14:paraId="63F9C020" w14:textId="77777777" w:rsidR="006C03ED" w:rsidRDefault="006C03ED" w:rsidP="006C03E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C03ED" w14:paraId="353B8598" w14:textId="77777777" w:rsidTr="003D040D">
        <w:trPr>
          <w:tblHeader/>
        </w:trPr>
        <w:tc>
          <w:tcPr>
            <w:tcW w:w="5000" w:type="pct"/>
            <w:tcBorders>
              <w:top w:val="single" w:sz="6" w:space="0" w:color="78A22F"/>
              <w:left w:val="nil"/>
              <w:bottom w:val="nil"/>
              <w:right w:val="nil"/>
            </w:tcBorders>
            <w:shd w:val="clear" w:color="auto" w:fill="F2F2F2"/>
          </w:tcPr>
          <w:p w14:paraId="7F4C829C" w14:textId="6D00727C" w:rsidR="006C03ED" w:rsidRDefault="006C03ED" w:rsidP="003D040D">
            <w:pPr>
              <w:pStyle w:val="BoxTitle"/>
            </w:pPr>
            <w:r>
              <w:rPr>
                <w:b w:val="0"/>
              </w:rPr>
              <w:t xml:space="preserve">Box </w:t>
            </w:r>
            <w:r w:rsidR="00E109F5">
              <w:rPr>
                <w:b w:val="0"/>
                <w:noProof/>
              </w:rPr>
              <w:t>7</w:t>
            </w:r>
            <w:r>
              <w:tab/>
              <w:t>Building evaluation into policy and program design</w:t>
            </w:r>
          </w:p>
        </w:tc>
      </w:tr>
      <w:tr w:rsidR="006C03ED" w14:paraId="062B42FC" w14:textId="77777777" w:rsidTr="003D040D">
        <w:tc>
          <w:tcPr>
            <w:tcW w:w="5000" w:type="pct"/>
            <w:tcBorders>
              <w:top w:val="nil"/>
              <w:left w:val="nil"/>
              <w:bottom w:val="nil"/>
              <w:right w:val="nil"/>
            </w:tcBorders>
            <w:shd w:val="clear" w:color="auto" w:fill="F2F2F2"/>
          </w:tcPr>
          <w:p w14:paraId="4780F9DA" w14:textId="7306892B" w:rsidR="006C03ED" w:rsidRDefault="006C03ED" w:rsidP="003D040D">
            <w:pPr>
              <w:pStyle w:val="Box"/>
              <w:rPr>
                <w:color w:val="000000"/>
              </w:rPr>
            </w:pPr>
            <w:r>
              <w:rPr>
                <w:color w:val="000000"/>
              </w:rPr>
              <w:t xml:space="preserve">The Department of Industry, Innovation and Science’s </w:t>
            </w:r>
            <w:r w:rsidRPr="00DC0DE4">
              <w:rPr>
                <w:i/>
                <w:color w:val="000000"/>
              </w:rPr>
              <w:t>Evaluation Strategy 2017</w:t>
            </w:r>
            <w:r w:rsidR="00442E24">
              <w:rPr>
                <w:i/>
                <w:color w:val="000000"/>
              </w:rPr>
              <w:t>–</w:t>
            </w:r>
            <w:r w:rsidRPr="00DC0DE4">
              <w:rPr>
                <w:i/>
                <w:color w:val="000000"/>
              </w:rPr>
              <w:t xml:space="preserve">2021 </w:t>
            </w:r>
            <w:r>
              <w:rPr>
                <w:color w:val="000000"/>
              </w:rPr>
              <w:t xml:space="preserve">provides a framework to guide the evaluation of policies and programs in the department. As part of the strategy, the department </w:t>
            </w:r>
            <w:r>
              <w:rPr>
                <w:color w:val="000000"/>
              </w:rPr>
              <w:lastRenderedPageBreak/>
              <w:t>undertakes various types of evaluation at different stages in the program lifecycle including post</w:t>
            </w:r>
            <w:r w:rsidR="00442E24">
              <w:rPr>
                <w:color w:val="000000"/>
              </w:rPr>
              <w:noBreakHyphen/>
            </w:r>
            <w:r>
              <w:rPr>
                <w:color w:val="000000"/>
              </w:rPr>
              <w:t>commencement evaluation, monitoring evaluation and impact evaluation. All evaluation activities are guided by six key principles to ensure good evaluation practices are followed, including that evaluations are: integrated, fit</w:t>
            </w:r>
            <w:r w:rsidR="00442E24">
              <w:rPr>
                <w:color w:val="000000"/>
              </w:rPr>
              <w:noBreakHyphen/>
            </w:r>
            <w:r>
              <w:rPr>
                <w:color w:val="000000"/>
              </w:rPr>
              <w:t>for</w:t>
            </w:r>
            <w:r w:rsidR="00442E24">
              <w:rPr>
                <w:color w:val="000000"/>
              </w:rPr>
              <w:noBreakHyphen/>
            </w:r>
            <w:r>
              <w:rPr>
                <w:color w:val="000000"/>
              </w:rPr>
              <w:t>purpose, evidence</w:t>
            </w:r>
            <w:r w:rsidR="00442E24">
              <w:rPr>
                <w:color w:val="000000"/>
              </w:rPr>
              <w:noBreakHyphen/>
            </w:r>
            <w:r>
              <w:rPr>
                <w:color w:val="000000"/>
              </w:rPr>
              <w:t xml:space="preserve">based, timely, transparent and independent. </w:t>
            </w:r>
          </w:p>
          <w:p w14:paraId="39FDEDAC" w14:textId="77777777" w:rsidR="006C03ED" w:rsidRDefault="006C03ED" w:rsidP="003D040D">
            <w:pPr>
              <w:pStyle w:val="Box"/>
            </w:pPr>
            <w:r w:rsidRPr="00893A0F">
              <w:rPr>
                <w:color w:val="000000"/>
              </w:rPr>
              <w:t xml:space="preserve">An ‘Evaluation Ready’ process </w:t>
            </w:r>
            <w:r>
              <w:rPr>
                <w:color w:val="000000"/>
              </w:rPr>
              <w:t>should be</w:t>
            </w:r>
            <w:r w:rsidRPr="00893A0F">
              <w:rPr>
                <w:color w:val="000000"/>
              </w:rPr>
              <w:t xml:space="preserve"> conducted for all new policy proposals in the department. The process has three components to ensure programs are</w:t>
            </w:r>
            <w:r>
              <w:rPr>
                <w:color w:val="000000"/>
              </w:rPr>
              <w:t xml:space="preserve"> adequately</w:t>
            </w:r>
            <w:r w:rsidRPr="00893A0F">
              <w:rPr>
                <w:color w:val="000000"/>
              </w:rPr>
              <w:t xml:space="preserve"> prepared for future </w:t>
            </w:r>
            <w:r>
              <w:rPr>
                <w:color w:val="000000"/>
              </w:rPr>
              <w:t>monitoring and evaluation activities</w:t>
            </w:r>
            <w:r w:rsidRPr="00893A0F">
              <w:rPr>
                <w:color w:val="000000"/>
              </w:rPr>
              <w:t xml:space="preserve">: setting out the program’s theory of change; identifying key evaluation questions, indicators and data sources; and selecting appropriate types and timing of future evaluations. The department’s Evaluation Unit </w:t>
            </w:r>
            <w:r>
              <w:rPr>
                <w:color w:val="000000"/>
              </w:rPr>
              <w:t xml:space="preserve">provides training and guidance to policy and program areas in planning and conducting evaluations, including supporting programs through the Evaluation Ready </w:t>
            </w:r>
            <w:r>
              <w:t>process.</w:t>
            </w:r>
          </w:p>
          <w:p w14:paraId="5D93B247" w14:textId="03DEA98D" w:rsidR="006C03ED" w:rsidRDefault="006C03ED" w:rsidP="003D040D">
            <w:pPr>
              <w:pStyle w:val="Box"/>
            </w:pPr>
            <w:r w:rsidRPr="00C14952">
              <w:rPr>
                <w:color w:val="000000"/>
              </w:rPr>
              <w:t>A review of evaluation from 2015</w:t>
            </w:r>
            <w:r w:rsidR="00442E24">
              <w:rPr>
                <w:color w:val="000000"/>
              </w:rPr>
              <w:t>–</w:t>
            </w:r>
            <w:r w:rsidRPr="00C14952">
              <w:rPr>
                <w:color w:val="000000"/>
              </w:rPr>
              <w:t xml:space="preserve">19 </w:t>
            </w:r>
            <w:r>
              <w:rPr>
                <w:color w:val="000000"/>
              </w:rPr>
              <w:t>found</w:t>
            </w:r>
            <w:r w:rsidRPr="00C14952">
              <w:rPr>
                <w:color w:val="000000"/>
              </w:rPr>
              <w:t xml:space="preserve"> that the department’s overall evaluation maturity had progressed to the second</w:t>
            </w:r>
            <w:r>
              <w:rPr>
                <w:color w:val="000000"/>
              </w:rPr>
              <w:t xml:space="preserve"> stage of a four</w:t>
            </w:r>
            <w:r w:rsidR="00442E24">
              <w:rPr>
                <w:color w:val="000000"/>
              </w:rPr>
              <w:noBreakHyphen/>
            </w:r>
            <w:r>
              <w:rPr>
                <w:color w:val="000000"/>
              </w:rPr>
              <w:t>stage process, and also acknowledged that cultural shifts in moving towards evaluative thinking takes time as such more work would be required for the department to achieve its evaluation objectives.</w:t>
            </w:r>
          </w:p>
        </w:tc>
      </w:tr>
      <w:tr w:rsidR="006C03ED" w14:paraId="003C3F2A" w14:textId="77777777" w:rsidTr="003D040D">
        <w:tc>
          <w:tcPr>
            <w:tcW w:w="5000" w:type="pct"/>
            <w:tcBorders>
              <w:top w:val="nil"/>
              <w:left w:val="nil"/>
              <w:bottom w:val="nil"/>
              <w:right w:val="nil"/>
            </w:tcBorders>
            <w:shd w:val="clear" w:color="auto" w:fill="F2F2F2"/>
          </w:tcPr>
          <w:p w14:paraId="44B57452" w14:textId="758660CE" w:rsidR="006C03ED" w:rsidRDefault="006C03ED" w:rsidP="003D040D">
            <w:pPr>
              <w:pStyle w:val="BoxSource"/>
            </w:pPr>
            <w:r>
              <w:rPr>
                <w:i/>
              </w:rPr>
              <w:lastRenderedPageBreak/>
              <w:t>Sources</w:t>
            </w:r>
            <w:r w:rsidRPr="00167F06">
              <w:t xml:space="preserve">: </w:t>
            </w:r>
            <w:r>
              <w:t xml:space="preserve">Department of Industry, Innovation and Science </w:t>
            </w:r>
            <w:r w:rsidRPr="00A51C85">
              <w:rPr>
                <w:rFonts w:cs="Arial"/>
              </w:rPr>
              <w:t>(2017; 2019)</w:t>
            </w:r>
            <w:r w:rsidR="001325BB">
              <w:t>.</w:t>
            </w:r>
          </w:p>
        </w:tc>
      </w:tr>
      <w:tr w:rsidR="006C03ED" w14:paraId="6F14E9A3" w14:textId="77777777" w:rsidTr="003D040D">
        <w:tc>
          <w:tcPr>
            <w:tcW w:w="5000" w:type="pct"/>
            <w:tcBorders>
              <w:top w:val="nil"/>
              <w:left w:val="nil"/>
              <w:bottom w:val="single" w:sz="6" w:space="0" w:color="78A22F"/>
              <w:right w:val="nil"/>
            </w:tcBorders>
            <w:shd w:val="clear" w:color="auto" w:fill="F2F2F2"/>
          </w:tcPr>
          <w:p w14:paraId="224FEBC7" w14:textId="77777777" w:rsidR="006C03ED" w:rsidRDefault="006C03ED" w:rsidP="003D040D">
            <w:pPr>
              <w:pStyle w:val="Box"/>
              <w:spacing w:before="0" w:line="120" w:lineRule="exact"/>
            </w:pPr>
          </w:p>
        </w:tc>
      </w:tr>
      <w:tr w:rsidR="006C03ED" w:rsidRPr="000863A5" w14:paraId="042566B1" w14:textId="77777777" w:rsidTr="003D040D">
        <w:tc>
          <w:tcPr>
            <w:tcW w:w="5000" w:type="pct"/>
            <w:tcBorders>
              <w:top w:val="single" w:sz="6" w:space="0" w:color="78A22F"/>
              <w:left w:val="nil"/>
              <w:bottom w:val="nil"/>
              <w:right w:val="nil"/>
            </w:tcBorders>
          </w:tcPr>
          <w:p w14:paraId="10541139" w14:textId="77777777" w:rsidR="006C03ED" w:rsidRPr="00626D32" w:rsidRDefault="006C03ED" w:rsidP="003D040D">
            <w:pPr>
              <w:pStyle w:val="BoxSpaceBelow"/>
            </w:pPr>
          </w:p>
        </w:tc>
      </w:tr>
    </w:tbl>
    <w:p w14:paraId="06A88E5C" w14:textId="13B4FCBB" w:rsidR="0034186D" w:rsidRPr="004E3B94" w:rsidRDefault="0034186D" w:rsidP="0034186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34186D" w14:paraId="00C28374" w14:textId="77777777" w:rsidTr="00AD3908">
        <w:trPr>
          <w:tblHeader/>
        </w:trPr>
        <w:tc>
          <w:tcPr>
            <w:tcW w:w="5000" w:type="pct"/>
            <w:tcBorders>
              <w:top w:val="single" w:sz="6" w:space="0" w:color="78A22F"/>
              <w:left w:val="nil"/>
              <w:bottom w:val="nil"/>
              <w:right w:val="nil"/>
            </w:tcBorders>
            <w:shd w:val="clear" w:color="auto" w:fill="auto"/>
          </w:tcPr>
          <w:p w14:paraId="0B6A1C0B" w14:textId="7EE11CDC" w:rsidR="0034186D" w:rsidRPr="00CE4C64" w:rsidRDefault="007D6A37" w:rsidP="00AD3908">
            <w:pPr>
              <w:pStyle w:val="InformationRequestTitle"/>
              <w:spacing w:before="120"/>
            </w:pPr>
            <w:r>
              <w:t>questions on planning for evaluation early in the policy cycle</w:t>
            </w:r>
          </w:p>
        </w:tc>
      </w:tr>
      <w:tr w:rsidR="0034186D" w:rsidRPr="00750BE2" w14:paraId="15380ABC" w14:textId="77777777" w:rsidTr="00AD3908">
        <w:tc>
          <w:tcPr>
            <w:tcW w:w="5000" w:type="pct"/>
            <w:tcBorders>
              <w:top w:val="nil"/>
              <w:left w:val="nil"/>
              <w:bottom w:val="nil"/>
              <w:right w:val="nil"/>
            </w:tcBorders>
            <w:shd w:val="clear" w:color="auto" w:fill="auto"/>
          </w:tcPr>
          <w:p w14:paraId="4139A81F" w14:textId="7EE6F291" w:rsidR="0034186D" w:rsidRDefault="0034186D" w:rsidP="00AD3908">
            <w:pPr>
              <w:pStyle w:val="InformationRequest"/>
              <w:keepNext/>
            </w:pPr>
            <w:r>
              <w:t>To what extent is evaluation planned for during the design and development of policies and programs affecting Aboriginal and Torres Strait Islander people?</w:t>
            </w:r>
          </w:p>
          <w:p w14:paraId="1411834E" w14:textId="1A900A5E" w:rsidR="000A0C0C" w:rsidRDefault="0034186D" w:rsidP="00AD3908">
            <w:pPr>
              <w:pStyle w:val="InformationRequest"/>
              <w:keepNext/>
            </w:pPr>
            <w:r>
              <w:t>Is evaluation funded out of program budgets or from a central evaluation budget within agencies?</w:t>
            </w:r>
          </w:p>
          <w:p w14:paraId="27EEF4F4" w14:textId="1BE5477B" w:rsidR="0034186D" w:rsidRPr="00105DA5" w:rsidRDefault="006E5AFC" w:rsidP="00AD3908">
            <w:pPr>
              <w:pStyle w:val="InformationRequest"/>
              <w:keepNext/>
            </w:pPr>
            <w:r>
              <w:t xml:space="preserve">What are the key </w:t>
            </w:r>
            <w:r w:rsidR="00582D2B">
              <w:t>actions and decisions</w:t>
            </w:r>
            <w:r>
              <w:t xml:space="preserve"> agencies should </w:t>
            </w:r>
            <w:r w:rsidR="00582D2B">
              <w:t xml:space="preserve">take </w:t>
            </w:r>
            <w:r>
              <w:t>when planning early for evaluation?</w:t>
            </w:r>
          </w:p>
        </w:tc>
      </w:tr>
      <w:tr w:rsidR="0034186D" w14:paraId="0C8D0BEB" w14:textId="77777777" w:rsidTr="00AD3908">
        <w:tc>
          <w:tcPr>
            <w:tcW w:w="5000" w:type="pct"/>
            <w:tcBorders>
              <w:top w:val="nil"/>
              <w:left w:val="nil"/>
              <w:bottom w:val="single" w:sz="6" w:space="0" w:color="78A22F"/>
              <w:right w:val="nil"/>
            </w:tcBorders>
            <w:shd w:val="clear" w:color="auto" w:fill="auto"/>
          </w:tcPr>
          <w:p w14:paraId="22009CD3" w14:textId="77777777" w:rsidR="0034186D" w:rsidRDefault="0034186D" w:rsidP="00AD3908">
            <w:pPr>
              <w:pStyle w:val="Space"/>
              <w:keepLines/>
            </w:pPr>
          </w:p>
        </w:tc>
      </w:tr>
    </w:tbl>
    <w:p w14:paraId="1B849F8E" w14:textId="530177E2" w:rsidR="0034186D" w:rsidRDefault="0034186D" w:rsidP="0034186D">
      <w:pPr>
        <w:pStyle w:val="Heading4"/>
      </w:pPr>
      <w:r>
        <w:t>Incorporating Indigenous knowledge</w:t>
      </w:r>
      <w:r w:rsidR="008F60B3">
        <w:t>s</w:t>
      </w:r>
      <w:r>
        <w:t>, perspectives and priorities into evaluation</w:t>
      </w:r>
    </w:p>
    <w:p w14:paraId="49E9DA89" w14:textId="28E856FB" w:rsidR="0034186D" w:rsidRDefault="0034186D" w:rsidP="0034186D">
      <w:pPr>
        <w:pStyle w:val="BodyText"/>
      </w:pPr>
      <w:r>
        <w:t>For evaluation to have maximum benefit</w:t>
      </w:r>
      <w:r w:rsidR="00997CF6">
        <w:t>,</w:t>
      </w:r>
      <w:r>
        <w:t xml:space="preserve"> Aboriginal and Torres Strait Islander people</w:t>
      </w:r>
      <w:r w:rsidR="00997CF6">
        <w:t>s</w:t>
      </w:r>
      <w:r>
        <w:t>, their knowledge</w:t>
      </w:r>
      <w:r w:rsidR="00997CF6">
        <w:t>s</w:t>
      </w:r>
      <w:r w:rsidR="00074F98">
        <w:t xml:space="preserve"> (box</w:t>
      </w:r>
      <w:r w:rsidR="00442E24">
        <w:t> </w:t>
      </w:r>
      <w:r w:rsidR="00E109F5">
        <w:rPr>
          <w:noProof/>
        </w:rPr>
        <w:t>8</w:t>
      </w:r>
      <w:r w:rsidR="00074F98" w:rsidRPr="0035702B">
        <w:t>)</w:t>
      </w:r>
      <w:r>
        <w:t xml:space="preserve">, </w:t>
      </w:r>
      <w:r w:rsidR="00997CF6">
        <w:t xml:space="preserve">perspectives </w:t>
      </w:r>
      <w:r>
        <w:t xml:space="preserve">and priorities must be incorporated into evaluation planning and conduct. As a signatory to the </w:t>
      </w:r>
      <w:r w:rsidR="00E427DE">
        <w:t>UNDRIP</w:t>
      </w:r>
      <w:r w:rsidR="00F77AFE">
        <w:t xml:space="preserve"> (box </w:t>
      </w:r>
      <w:r w:rsidR="00EC7A2A">
        <w:t>1</w:t>
      </w:r>
      <w:r>
        <w:t xml:space="preserve">), the Australian Government has committed to facilitating and enabling greater involvement by </w:t>
      </w:r>
      <w:r w:rsidR="003168B7">
        <w:t>I</w:t>
      </w:r>
      <w:r>
        <w:t>ndigenous peoples in setting priorities and making decisions about policies and programs that affect them.</w:t>
      </w:r>
    </w:p>
    <w:p w14:paraId="3517E506" w14:textId="401F25D5" w:rsidR="00D94013" w:rsidRDefault="00D9401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4013" w14:paraId="2796E78B" w14:textId="77777777" w:rsidTr="00D94013">
        <w:trPr>
          <w:tblHeader/>
        </w:trPr>
        <w:tc>
          <w:tcPr>
            <w:tcW w:w="5000" w:type="pct"/>
            <w:tcBorders>
              <w:top w:val="single" w:sz="6" w:space="0" w:color="78A22F"/>
              <w:left w:val="nil"/>
              <w:bottom w:val="nil"/>
              <w:right w:val="nil"/>
            </w:tcBorders>
            <w:shd w:val="clear" w:color="auto" w:fill="F2F2F2"/>
          </w:tcPr>
          <w:p w14:paraId="70B9EBC5" w14:textId="51C6EAEF" w:rsidR="00D94013" w:rsidRDefault="00D94013" w:rsidP="00EC7A2A">
            <w:pPr>
              <w:pStyle w:val="BoxTitle"/>
            </w:pPr>
            <w:r>
              <w:rPr>
                <w:b w:val="0"/>
              </w:rPr>
              <w:t xml:space="preserve">Box </w:t>
            </w:r>
            <w:r w:rsidR="00EC7A2A">
              <w:rPr>
                <w:b w:val="0"/>
              </w:rPr>
              <w:t>8</w:t>
            </w:r>
            <w:r>
              <w:tab/>
            </w:r>
            <w:r w:rsidR="00872A40">
              <w:t xml:space="preserve">UN Permanent Forum on Indigenous Issues’ definition of </w:t>
            </w:r>
            <w:r w:rsidR="003168B7">
              <w:t>i</w:t>
            </w:r>
            <w:r>
              <w:t xml:space="preserve">ndigenous </w:t>
            </w:r>
            <w:r w:rsidR="003168B7">
              <w:t>k</w:t>
            </w:r>
            <w:r>
              <w:t>nowledges</w:t>
            </w:r>
          </w:p>
        </w:tc>
      </w:tr>
      <w:tr w:rsidR="00D94013" w14:paraId="4A5BEA81" w14:textId="77777777" w:rsidTr="00D94013">
        <w:tc>
          <w:tcPr>
            <w:tcW w:w="5000" w:type="pct"/>
            <w:tcBorders>
              <w:top w:val="nil"/>
              <w:left w:val="nil"/>
              <w:bottom w:val="nil"/>
              <w:right w:val="nil"/>
            </w:tcBorders>
            <w:shd w:val="clear" w:color="auto" w:fill="F2F2F2"/>
          </w:tcPr>
          <w:p w14:paraId="0DC94853" w14:textId="70437776" w:rsidR="00872A40" w:rsidRDefault="00862F83">
            <w:pPr>
              <w:pStyle w:val="Box"/>
            </w:pPr>
            <w:r>
              <w:t>T</w:t>
            </w:r>
            <w:r w:rsidR="00D94013">
              <w:t xml:space="preserve">here are various definitions of </w:t>
            </w:r>
            <w:r w:rsidR="00117B71">
              <w:t>i</w:t>
            </w:r>
            <w:r w:rsidR="00D94013">
              <w:t xml:space="preserve">ndigenous knowledges. The </w:t>
            </w:r>
            <w:r w:rsidR="00117B71">
              <w:t xml:space="preserve">term usually refers to the complex bodies and systems of knowledge maintained and developed by indigenous peoples. </w:t>
            </w:r>
            <w:r w:rsidR="00872A40">
              <w:t>These knowledge systems are based on values, beliefs and community laws/practices</w:t>
            </w:r>
            <w:r w:rsidR="00E63FA5">
              <w:t xml:space="preserve"> — they are a fundamental element of indigenous peoples’ identity</w:t>
            </w:r>
            <w:r w:rsidR="00872A40">
              <w:t xml:space="preserve">. They also include concepts and methods for land and ecosystem management. </w:t>
            </w:r>
          </w:p>
          <w:p w14:paraId="1CDBBE82" w14:textId="0F71F688" w:rsidR="00872A40" w:rsidRDefault="00872A40">
            <w:pPr>
              <w:pStyle w:val="Box"/>
            </w:pPr>
            <w:r>
              <w:t>Indigenous knowledges</w:t>
            </w:r>
            <w:r w:rsidR="00E63FA5">
              <w:t xml:space="preserve"> tend to be collectively owned and</w:t>
            </w:r>
            <w:r>
              <w:t xml:space="preserve"> are often transmitted orally through generations. </w:t>
            </w:r>
            <w:r w:rsidR="00E63FA5">
              <w:t>They are</w:t>
            </w:r>
            <w:r w:rsidR="00C01977">
              <w:t xml:space="preserve"> </w:t>
            </w:r>
            <w:r>
              <w:t>contained in indigenous languages, community practices</w:t>
            </w:r>
            <w:r w:rsidR="00C01977">
              <w:t>, institutions and relationships</w:t>
            </w:r>
            <w:r>
              <w:t xml:space="preserve">. </w:t>
            </w:r>
            <w:r w:rsidR="00C01977">
              <w:t>They</w:t>
            </w:r>
            <w:r>
              <w:t xml:space="preserve"> may take the form of stories, songs, beliefs, customary laws and artwork, as well as more technical knowledge and skills. </w:t>
            </w:r>
          </w:p>
          <w:p w14:paraId="633D8674" w14:textId="39C83D56" w:rsidR="00D94013" w:rsidRDefault="00872A40" w:rsidP="00ED3B0E">
            <w:pPr>
              <w:pStyle w:val="Box"/>
            </w:pPr>
            <w:r>
              <w:t xml:space="preserve">Indigenous knowledges provide opportunities for sustainable and collective development, while also reflecting </w:t>
            </w:r>
            <w:r w:rsidR="00E63FA5">
              <w:t>indigenous</w:t>
            </w:r>
            <w:r>
              <w:t xml:space="preserve"> worldviews. </w:t>
            </w:r>
            <w:r w:rsidR="00ED3B0E">
              <w:t>T</w:t>
            </w:r>
            <w:r>
              <w:t xml:space="preserve">he transmission of traditional knowledge is a practical process of perpetuating and sharing knowledge, as well as a way of preserving </w:t>
            </w:r>
            <w:r w:rsidR="00E63FA5">
              <w:t>indigenous</w:t>
            </w:r>
            <w:r>
              <w:t xml:space="preserve"> cultures and identities.</w:t>
            </w:r>
          </w:p>
        </w:tc>
      </w:tr>
      <w:tr w:rsidR="00D94013" w14:paraId="10EF7730" w14:textId="77777777" w:rsidTr="00D94013">
        <w:tc>
          <w:tcPr>
            <w:tcW w:w="5000" w:type="pct"/>
            <w:tcBorders>
              <w:top w:val="nil"/>
              <w:left w:val="nil"/>
              <w:bottom w:val="nil"/>
              <w:right w:val="nil"/>
            </w:tcBorders>
            <w:shd w:val="clear" w:color="auto" w:fill="F2F2F2"/>
          </w:tcPr>
          <w:p w14:paraId="434032F3" w14:textId="665E359F" w:rsidR="00D94013" w:rsidRDefault="00D94013" w:rsidP="00D94013">
            <w:pPr>
              <w:pStyle w:val="BoxSource"/>
            </w:pPr>
            <w:r>
              <w:rPr>
                <w:i/>
              </w:rPr>
              <w:t>Source</w:t>
            </w:r>
            <w:r w:rsidRPr="00167F06">
              <w:t xml:space="preserve">: </w:t>
            </w:r>
            <w:r w:rsidR="00862F83">
              <w:t xml:space="preserve">UNPFII </w:t>
            </w:r>
            <w:r w:rsidR="00862F83" w:rsidRPr="00862F83">
              <w:rPr>
                <w:rFonts w:cs="Arial"/>
              </w:rPr>
              <w:t>(2019)</w:t>
            </w:r>
            <w:r w:rsidR="001325BB">
              <w:rPr>
                <w:rFonts w:cs="Arial"/>
              </w:rPr>
              <w:t>.</w:t>
            </w:r>
          </w:p>
        </w:tc>
      </w:tr>
      <w:tr w:rsidR="00D94013" w14:paraId="43C83533" w14:textId="77777777" w:rsidTr="00D94013">
        <w:tc>
          <w:tcPr>
            <w:tcW w:w="5000" w:type="pct"/>
            <w:tcBorders>
              <w:top w:val="nil"/>
              <w:left w:val="nil"/>
              <w:bottom w:val="single" w:sz="6" w:space="0" w:color="78A22F"/>
              <w:right w:val="nil"/>
            </w:tcBorders>
            <w:shd w:val="clear" w:color="auto" w:fill="F2F2F2"/>
          </w:tcPr>
          <w:p w14:paraId="4DBC16EC" w14:textId="77777777" w:rsidR="00D94013" w:rsidRDefault="00D94013">
            <w:pPr>
              <w:pStyle w:val="Box"/>
              <w:spacing w:before="0" w:line="120" w:lineRule="exact"/>
            </w:pPr>
          </w:p>
        </w:tc>
      </w:tr>
      <w:tr w:rsidR="00D94013" w:rsidRPr="000863A5" w14:paraId="0DE112D8" w14:textId="77777777" w:rsidTr="00D94013">
        <w:tc>
          <w:tcPr>
            <w:tcW w:w="5000" w:type="pct"/>
            <w:tcBorders>
              <w:top w:val="single" w:sz="6" w:space="0" w:color="78A22F"/>
              <w:left w:val="nil"/>
              <w:bottom w:val="nil"/>
              <w:right w:val="nil"/>
            </w:tcBorders>
          </w:tcPr>
          <w:p w14:paraId="72ADBAB8" w14:textId="65C5A0C6" w:rsidR="00D94013" w:rsidRPr="00626D32" w:rsidRDefault="00D94013" w:rsidP="00D94013">
            <w:pPr>
              <w:pStyle w:val="BoxSpaceBelow"/>
            </w:pPr>
          </w:p>
        </w:tc>
      </w:tr>
    </w:tbl>
    <w:p w14:paraId="2B718C58" w14:textId="0D177ED8" w:rsidR="0034186D" w:rsidRDefault="0034186D" w:rsidP="0034186D">
      <w:pPr>
        <w:pStyle w:val="BodyText"/>
      </w:pPr>
      <w:r>
        <w:t xml:space="preserve">Incorporating Aboriginal and Torres Strait Islander </w:t>
      </w:r>
      <w:r w:rsidR="00997CF6">
        <w:t xml:space="preserve">knowledges, </w:t>
      </w:r>
      <w:r>
        <w:t>priorities and perspectives during evaluation can take many forms, including:</w:t>
      </w:r>
    </w:p>
    <w:p w14:paraId="3E21C5E4" w14:textId="77777777" w:rsidR="0034186D" w:rsidRDefault="0034186D" w:rsidP="0034186D">
      <w:pPr>
        <w:pStyle w:val="ListBullet"/>
      </w:pPr>
      <w:r>
        <w:t>evaluations being led and conducted by Aboriginal and Torres Strait Islander evaluators</w:t>
      </w:r>
    </w:p>
    <w:p w14:paraId="30B17EF7" w14:textId="681F2768" w:rsidR="0034186D" w:rsidRPr="000650AD" w:rsidRDefault="0034186D" w:rsidP="0034186D">
      <w:pPr>
        <w:pStyle w:val="ListBullet"/>
      </w:pPr>
      <w:r>
        <w:t>co</w:t>
      </w:r>
      <w:r w:rsidR="00442E24">
        <w:noBreakHyphen/>
      </w:r>
      <w:r>
        <w:t xml:space="preserve">design of evaluation plans between government agencies, evaluators and Aboriginal and Torres Strait Islander </w:t>
      </w:r>
      <w:r w:rsidR="00997CF6">
        <w:t xml:space="preserve">people </w:t>
      </w:r>
      <w:r>
        <w:t>(</w:t>
      </w:r>
      <w:r w:rsidRPr="004439D4">
        <w:t>box</w:t>
      </w:r>
      <w:r w:rsidR="00442E24">
        <w:t> </w:t>
      </w:r>
      <w:r w:rsidR="00792F51">
        <w:t>9</w:t>
      </w:r>
      <w:r>
        <w:t>)</w:t>
      </w:r>
    </w:p>
    <w:p w14:paraId="246099FB" w14:textId="239E60E6" w:rsidR="0034186D" w:rsidRDefault="00997CF6" w:rsidP="0034186D">
      <w:pPr>
        <w:pStyle w:val="ListBullet"/>
      </w:pPr>
      <w:r>
        <w:t xml:space="preserve">strengthening </w:t>
      </w:r>
      <w:r w:rsidR="0034186D">
        <w:t>involvement of Aboriginal and Torres Strait Islander staff and organisations in data collection and analysis phases of evaluation</w:t>
      </w:r>
    </w:p>
    <w:p w14:paraId="10A94282" w14:textId="099606CA" w:rsidR="00DC04DA" w:rsidRDefault="00DC04DA" w:rsidP="0034186D">
      <w:pPr>
        <w:pStyle w:val="ListBullet"/>
      </w:pPr>
      <w:r>
        <w:t>using or privileging Aboriginal and Torres Strait Islander research methodologies</w:t>
      </w:r>
    </w:p>
    <w:p w14:paraId="28FFFA44" w14:textId="77777777" w:rsidR="0034186D" w:rsidRDefault="0034186D" w:rsidP="0034186D">
      <w:pPr>
        <w:pStyle w:val="ListBullet"/>
      </w:pPr>
      <w:r>
        <w:t>Aboriginal and Torres Strait Islander representation on project steering committees</w:t>
      </w:r>
    </w:p>
    <w:p w14:paraId="7F30D280" w14:textId="77777777" w:rsidR="0034186D" w:rsidRDefault="0034186D" w:rsidP="0034186D">
      <w:pPr>
        <w:pStyle w:val="ListBullet"/>
      </w:pPr>
      <w:r>
        <w:t>presenting evaluation results to Aboriginal and Torres Strait Islander stakeholders</w:t>
      </w:r>
    </w:p>
    <w:p w14:paraId="0F086380" w14:textId="07EE4385" w:rsidR="0034186D" w:rsidRDefault="0034186D" w:rsidP="0034186D">
      <w:pPr>
        <w:pStyle w:val="ListBullet"/>
      </w:pPr>
      <w:proofErr w:type="gramStart"/>
      <w:r>
        <w:lastRenderedPageBreak/>
        <w:t>oversight</w:t>
      </w:r>
      <w:proofErr w:type="gramEnd"/>
      <w:r>
        <w:t xml:space="preserve"> by Aboriginal and Torres Strait Islander evaluation committees (</w:t>
      </w:r>
      <w:r w:rsidRPr="0028717D">
        <w:t>box</w:t>
      </w:r>
      <w:r w:rsidR="00442E24">
        <w:t> </w:t>
      </w:r>
      <w:r w:rsidR="004823B7" w:rsidRPr="00A51C85">
        <w:t>9</w:t>
      </w:r>
      <w:r>
        <w:t>).</w:t>
      </w:r>
    </w:p>
    <w:p w14:paraId="4FDDE7A9" w14:textId="13D589DA" w:rsidR="00C210B1" w:rsidRPr="00D150B4" w:rsidRDefault="0034186D" w:rsidP="0034186D">
      <w:pPr>
        <w:pStyle w:val="BodyText"/>
        <w:rPr>
          <w:rStyle w:val="BoxSpaceAboveElementChar"/>
          <w:b w:val="0"/>
          <w:vanish w:val="0"/>
          <w:color w:val="auto"/>
          <w:spacing w:val="-4"/>
          <w:sz w:val="24"/>
        </w:rPr>
      </w:pPr>
      <w:r w:rsidRPr="00D150B4">
        <w:rPr>
          <w:rStyle w:val="BoxSpaceAboveElementChar"/>
          <w:b w:val="0"/>
          <w:vanish w:val="0"/>
          <w:color w:val="auto"/>
          <w:spacing w:val="-4"/>
          <w:sz w:val="24"/>
        </w:rPr>
        <w:t>Meaningful engagement with</w:t>
      </w:r>
      <w:r w:rsidR="00336770" w:rsidRPr="00D150B4">
        <w:rPr>
          <w:rStyle w:val="BoxSpaceAboveElementChar"/>
          <w:b w:val="0"/>
          <w:vanish w:val="0"/>
          <w:color w:val="auto"/>
          <w:spacing w:val="-4"/>
          <w:sz w:val="24"/>
        </w:rPr>
        <w:t>,</w:t>
      </w:r>
      <w:r w:rsidRPr="00D150B4">
        <w:rPr>
          <w:rStyle w:val="BoxSpaceAboveElementChar"/>
          <w:b w:val="0"/>
          <w:vanish w:val="0"/>
          <w:color w:val="auto"/>
          <w:spacing w:val="-4"/>
          <w:sz w:val="24"/>
        </w:rPr>
        <w:t xml:space="preserve"> and involvement by</w:t>
      </w:r>
      <w:r w:rsidR="00336770" w:rsidRPr="00D150B4">
        <w:rPr>
          <w:rStyle w:val="BoxSpaceAboveElementChar"/>
          <w:b w:val="0"/>
          <w:vanish w:val="0"/>
          <w:color w:val="auto"/>
          <w:spacing w:val="-4"/>
          <w:sz w:val="24"/>
        </w:rPr>
        <w:t>,</w:t>
      </w:r>
      <w:r w:rsidRPr="00D150B4">
        <w:rPr>
          <w:rStyle w:val="BoxSpaceAboveElementChar"/>
          <w:b w:val="0"/>
          <w:vanish w:val="0"/>
          <w:color w:val="auto"/>
          <w:spacing w:val="-4"/>
          <w:sz w:val="24"/>
        </w:rPr>
        <w:t xml:space="preserve"> Aboriginal and Torres Strait Islander people in evaluation involves time and costs for evaluators and participants, and these costs should be </w:t>
      </w:r>
      <w:r w:rsidR="00F31725" w:rsidRPr="00D150B4">
        <w:rPr>
          <w:rStyle w:val="BoxSpaceAboveElementChar"/>
          <w:b w:val="0"/>
          <w:vanish w:val="0"/>
          <w:color w:val="auto"/>
          <w:spacing w:val="-4"/>
          <w:sz w:val="24"/>
        </w:rPr>
        <w:t xml:space="preserve">considered </w:t>
      </w:r>
      <w:r w:rsidR="00C16AA3" w:rsidRPr="00D150B4">
        <w:rPr>
          <w:rStyle w:val="BoxSpaceAboveElementChar"/>
          <w:b w:val="0"/>
          <w:vanish w:val="0"/>
          <w:color w:val="auto"/>
          <w:spacing w:val="-4"/>
          <w:sz w:val="24"/>
        </w:rPr>
        <w:t>in evaluation planning. E</w:t>
      </w:r>
      <w:r w:rsidRPr="00D150B4">
        <w:rPr>
          <w:rStyle w:val="BoxSpaceAboveElementChar"/>
          <w:b w:val="0"/>
          <w:vanish w:val="0"/>
          <w:color w:val="auto"/>
          <w:spacing w:val="-4"/>
          <w:sz w:val="24"/>
        </w:rPr>
        <w:t>valuation budgets and timeframes</w:t>
      </w:r>
      <w:r w:rsidR="00C16AA3" w:rsidRPr="00D150B4">
        <w:rPr>
          <w:rStyle w:val="BoxSpaceAboveElementChar"/>
          <w:b w:val="0"/>
          <w:vanish w:val="0"/>
          <w:color w:val="auto"/>
          <w:spacing w:val="-4"/>
          <w:sz w:val="24"/>
        </w:rPr>
        <w:t xml:space="preserve"> should build in sufficient resources to enable Indigenous knowledges, priorities and perspectives to be incorporated</w:t>
      </w:r>
      <w:r w:rsidRPr="00D150B4">
        <w:rPr>
          <w:rStyle w:val="BoxSpaceAboveElementChar"/>
          <w:b w:val="0"/>
          <w:vanish w:val="0"/>
          <w:color w:val="auto"/>
          <w:spacing w:val="-4"/>
          <w:sz w:val="24"/>
        </w:rPr>
        <w:t>.</w:t>
      </w:r>
    </w:p>
    <w:p w14:paraId="6B14E6ED" w14:textId="3216BED1" w:rsidR="00792F51" w:rsidRDefault="00792F5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92F51" w14:paraId="47EC03B9" w14:textId="77777777" w:rsidTr="00C75C7D">
        <w:trPr>
          <w:tblHeader/>
        </w:trPr>
        <w:tc>
          <w:tcPr>
            <w:tcW w:w="5000" w:type="pct"/>
            <w:tcBorders>
              <w:top w:val="single" w:sz="6" w:space="0" w:color="78A22F"/>
              <w:left w:val="nil"/>
              <w:bottom w:val="nil"/>
              <w:right w:val="nil"/>
            </w:tcBorders>
            <w:shd w:val="clear" w:color="auto" w:fill="F2F2F2"/>
          </w:tcPr>
          <w:p w14:paraId="1BEC00EB" w14:textId="797EB774" w:rsidR="00792F51" w:rsidRDefault="00792F51">
            <w:pPr>
              <w:pStyle w:val="BoxTitle"/>
            </w:pPr>
            <w:r>
              <w:rPr>
                <w:b w:val="0"/>
              </w:rPr>
              <w:t xml:space="preserve">Box </w:t>
            </w:r>
            <w:bookmarkStart w:id="181" w:name="OLE_LINK12"/>
            <w:r w:rsidR="00E109F5">
              <w:rPr>
                <w:b w:val="0"/>
                <w:noProof/>
              </w:rPr>
              <w:t>9</w:t>
            </w:r>
            <w:bookmarkEnd w:id="181"/>
            <w:r>
              <w:tab/>
              <w:t>Incorporating Indigenous perspectives into evaluation</w:t>
            </w:r>
          </w:p>
        </w:tc>
      </w:tr>
      <w:tr w:rsidR="00792F51" w14:paraId="72AA79F3" w14:textId="77777777" w:rsidTr="00C75C7D">
        <w:tc>
          <w:tcPr>
            <w:tcW w:w="5000" w:type="pct"/>
            <w:tcBorders>
              <w:top w:val="nil"/>
              <w:left w:val="nil"/>
              <w:bottom w:val="nil"/>
              <w:right w:val="nil"/>
            </w:tcBorders>
            <w:shd w:val="clear" w:color="auto" w:fill="F2F2F2"/>
          </w:tcPr>
          <w:p w14:paraId="4AAE6A8B" w14:textId="67752B74" w:rsidR="00792F51" w:rsidRDefault="00792F51" w:rsidP="00792F51">
            <w:pPr>
              <w:pStyle w:val="Box"/>
            </w:pPr>
            <w:r>
              <w:t xml:space="preserve">In 2017 the Department of </w:t>
            </w:r>
            <w:r w:rsidRPr="00B565C6">
              <w:t xml:space="preserve">Health </w:t>
            </w:r>
            <w:r w:rsidR="009460B0">
              <w:t>(</w:t>
            </w:r>
            <w:proofErr w:type="spellStart"/>
            <w:r w:rsidR="009460B0">
              <w:t>DoH</w:t>
            </w:r>
            <w:proofErr w:type="spellEnd"/>
            <w:r w:rsidR="009460B0">
              <w:t xml:space="preserve">) </w:t>
            </w:r>
            <w:r>
              <w:t>commissioned</w:t>
            </w:r>
            <w:r w:rsidRPr="00B565C6">
              <w:t xml:space="preserve"> an independent evaluation of the Australian Government’s investment in Aboriginal and Torres Strait Islander Primary Health Care </w:t>
            </w:r>
            <w:r w:rsidR="00B640C1">
              <w:t xml:space="preserve">through </w:t>
            </w:r>
            <w:r w:rsidRPr="00B565C6">
              <w:t>the Indigenous Australians’ Health Programme.</w:t>
            </w:r>
            <w:r>
              <w:t xml:space="preserve"> The evaluation design was underpinned by a co</w:t>
            </w:r>
            <w:r>
              <w:noBreakHyphen/>
              <w:t>design and co</w:t>
            </w:r>
            <w:r w:rsidR="00442E24">
              <w:noBreakHyphen/>
            </w:r>
            <w:r>
              <w:t>creation approach and incorporated processes for working with Aboriginal and Torres Strait Islander knowledge systems. Aboriginal and Torres Strait Islander people’s values, perspectives and experiences were embedded throughout the design phase through a participatory and collaborative approach, including involvement in the evaluation co</w:t>
            </w:r>
            <w:r w:rsidR="009460B0">
              <w:t xml:space="preserve">mmissioning organisation (the </w:t>
            </w:r>
            <w:proofErr w:type="spellStart"/>
            <w:r w:rsidR="009460B0">
              <w:t>Do</w:t>
            </w:r>
            <w:r>
              <w:t>H</w:t>
            </w:r>
            <w:proofErr w:type="spellEnd"/>
            <w:r>
              <w:t>), local evaluation governance arrangements (such as the Health Sector Co</w:t>
            </w:r>
            <w:r w:rsidR="00442E24">
              <w:noBreakHyphen/>
            </w:r>
            <w:r>
              <w:t>Design Group), in the evaluation team itself, and through evaluation co</w:t>
            </w:r>
            <w:r w:rsidR="00442E24">
              <w:noBreakHyphen/>
            </w:r>
            <w:r>
              <w:t>design and co</w:t>
            </w:r>
            <w:r w:rsidR="00442E24">
              <w:noBreakHyphen/>
            </w:r>
            <w:r>
              <w:t>creation sessions which were either led or co</w:t>
            </w:r>
            <w:r w:rsidR="00442E24">
              <w:noBreakHyphen/>
            </w:r>
            <w:r>
              <w:t>led by Aboriginal and/or Torres Strait Islander people.</w:t>
            </w:r>
          </w:p>
          <w:p w14:paraId="4457AD91" w14:textId="1FA3BB2F" w:rsidR="00792F51" w:rsidRDefault="00792F51" w:rsidP="00792F51">
            <w:pPr>
              <w:pStyle w:val="Box"/>
            </w:pPr>
            <w:r>
              <w:t>The Department of the Prime Minister and Cabinet’s Indigenous Evaluation Committee provides Aboriginal and Torres Strait Islander oversight to evaluation activities within the Department. The Committee, comprising three Indigenous members and a non</w:t>
            </w:r>
            <w:r w:rsidR="00442E24">
              <w:noBreakHyphen/>
            </w:r>
            <w:r>
              <w:t xml:space="preserve">Indigenous member with extensive evaluation experience, is responsible for ensuring the conduct and prioritisation of evaluations of programs and activities under the Indigenous Advancement Strategy are impartial and support transparency and openness in the implementation of the Department’s Evaluation Framework. The framework sets out best practice principles which guide evaluations, including that evaluation is appropriate, credit robust and relevant. The </w:t>
            </w:r>
            <w:r w:rsidR="006C03ED">
              <w:t>C</w:t>
            </w:r>
            <w:r>
              <w:t>ommittee also assists in bringing the diverse perspectives of Indigenous Australians into the evaluation process.</w:t>
            </w:r>
          </w:p>
        </w:tc>
      </w:tr>
      <w:tr w:rsidR="00792F51" w14:paraId="7BA3A75C" w14:textId="77777777" w:rsidTr="00C75C7D">
        <w:tc>
          <w:tcPr>
            <w:tcW w:w="5000" w:type="pct"/>
            <w:tcBorders>
              <w:top w:val="nil"/>
              <w:left w:val="nil"/>
              <w:bottom w:val="nil"/>
              <w:right w:val="nil"/>
            </w:tcBorders>
            <w:shd w:val="clear" w:color="auto" w:fill="F2F2F2"/>
          </w:tcPr>
          <w:p w14:paraId="11155D29" w14:textId="5C1EAF4F" w:rsidR="00792F51" w:rsidRDefault="00792F51" w:rsidP="00FA1082">
            <w:pPr>
              <w:pStyle w:val="BoxSource"/>
            </w:pPr>
            <w:r>
              <w:rPr>
                <w:i/>
              </w:rPr>
              <w:t>Sources</w:t>
            </w:r>
            <w:r w:rsidRPr="00167F06">
              <w:t>:</w:t>
            </w:r>
            <w:r>
              <w:t xml:space="preserve"> </w:t>
            </w:r>
            <w:r w:rsidR="00280F46">
              <w:t>Bailey et. al.</w:t>
            </w:r>
            <w:r w:rsidRPr="00167F06">
              <w:t xml:space="preserve"> </w:t>
            </w:r>
            <w:r w:rsidRPr="00646902">
              <w:rPr>
                <w:rFonts w:cs="Arial"/>
              </w:rPr>
              <w:t>(2018)</w:t>
            </w:r>
            <w:r w:rsidR="009460B0">
              <w:t>;</w:t>
            </w:r>
            <w:r>
              <w:t xml:space="preserve"> </w:t>
            </w:r>
            <w:r w:rsidR="00FA1082">
              <w:t>DPMC</w:t>
            </w:r>
            <w:r>
              <w:t xml:space="preserve"> </w:t>
            </w:r>
            <w:r w:rsidRPr="003D024E">
              <w:rPr>
                <w:rFonts w:cs="Arial"/>
              </w:rPr>
              <w:t>(2018b)</w:t>
            </w:r>
            <w:r w:rsidR="001A0DC7">
              <w:t>.</w:t>
            </w:r>
          </w:p>
        </w:tc>
      </w:tr>
      <w:tr w:rsidR="00792F51" w14:paraId="6E537ADD" w14:textId="77777777" w:rsidTr="00C75C7D">
        <w:tc>
          <w:tcPr>
            <w:tcW w:w="5000" w:type="pct"/>
            <w:tcBorders>
              <w:top w:val="nil"/>
              <w:left w:val="nil"/>
              <w:bottom w:val="single" w:sz="6" w:space="0" w:color="78A22F"/>
              <w:right w:val="nil"/>
            </w:tcBorders>
            <w:shd w:val="clear" w:color="auto" w:fill="F2F2F2"/>
          </w:tcPr>
          <w:p w14:paraId="505880D6" w14:textId="77777777" w:rsidR="00792F51" w:rsidRDefault="00792F51">
            <w:pPr>
              <w:pStyle w:val="Box"/>
              <w:spacing w:before="0" w:line="120" w:lineRule="exact"/>
            </w:pPr>
          </w:p>
        </w:tc>
      </w:tr>
      <w:tr w:rsidR="00792F51" w:rsidRPr="000863A5" w14:paraId="190867B6" w14:textId="77777777" w:rsidTr="00C75C7D">
        <w:tc>
          <w:tcPr>
            <w:tcW w:w="5000" w:type="pct"/>
            <w:tcBorders>
              <w:top w:val="single" w:sz="6" w:space="0" w:color="78A22F"/>
              <w:left w:val="nil"/>
              <w:bottom w:val="nil"/>
              <w:right w:val="nil"/>
            </w:tcBorders>
          </w:tcPr>
          <w:p w14:paraId="139D6A6C" w14:textId="56F0DF64" w:rsidR="00792F51" w:rsidRPr="00626D32" w:rsidRDefault="00792F51" w:rsidP="00C75C7D">
            <w:pPr>
              <w:pStyle w:val="BoxSpaceBelow"/>
            </w:pPr>
          </w:p>
        </w:tc>
      </w:tr>
    </w:tbl>
    <w:p w14:paraId="0C7238F9" w14:textId="34EE15BA" w:rsidR="00C210B1" w:rsidRPr="004E3B94" w:rsidRDefault="00C210B1" w:rsidP="00C210B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210B1" w14:paraId="4B605FA6" w14:textId="77777777" w:rsidTr="00551497">
        <w:trPr>
          <w:tblHeader/>
        </w:trPr>
        <w:tc>
          <w:tcPr>
            <w:tcW w:w="5000" w:type="pct"/>
            <w:tcBorders>
              <w:top w:val="single" w:sz="6" w:space="0" w:color="78A22F"/>
              <w:left w:val="nil"/>
              <w:bottom w:val="nil"/>
              <w:right w:val="nil"/>
            </w:tcBorders>
            <w:shd w:val="clear" w:color="auto" w:fill="auto"/>
          </w:tcPr>
          <w:p w14:paraId="15006647" w14:textId="1BBD03EB" w:rsidR="00C210B1" w:rsidRPr="00CE4C64" w:rsidRDefault="007D6A37" w:rsidP="007D6A37">
            <w:pPr>
              <w:pStyle w:val="InformationRequestTitle"/>
              <w:spacing w:before="120"/>
            </w:pPr>
            <w:r>
              <w:t xml:space="preserve">questions on INCORPORATING indigenous perspectives into evaluation </w:t>
            </w:r>
          </w:p>
        </w:tc>
      </w:tr>
      <w:tr w:rsidR="00C210B1" w:rsidRPr="00750BE2" w14:paraId="44C6A65B" w14:textId="77777777" w:rsidTr="00551497">
        <w:tc>
          <w:tcPr>
            <w:tcW w:w="5000" w:type="pct"/>
            <w:tcBorders>
              <w:top w:val="nil"/>
              <w:left w:val="nil"/>
              <w:bottom w:val="nil"/>
              <w:right w:val="nil"/>
            </w:tcBorders>
            <w:shd w:val="clear" w:color="auto" w:fill="auto"/>
          </w:tcPr>
          <w:p w14:paraId="4B424370" w14:textId="00F91DF4" w:rsidR="00C210B1" w:rsidRPr="00D150B4" w:rsidRDefault="00C210B1" w:rsidP="00551497">
            <w:pPr>
              <w:pStyle w:val="InformationRequest"/>
              <w:keepNext/>
              <w:rPr>
                <w:spacing w:val="-4"/>
              </w:rPr>
            </w:pPr>
            <w:r w:rsidRPr="00D150B4">
              <w:rPr>
                <w:spacing w:val="-4"/>
              </w:rPr>
              <w:t xml:space="preserve">How are Aboriginal and Torres Strait Islander </w:t>
            </w:r>
            <w:r w:rsidR="00997CF6" w:rsidRPr="00D150B4">
              <w:rPr>
                <w:spacing w:val="-4"/>
              </w:rPr>
              <w:t xml:space="preserve">knowledges, </w:t>
            </w:r>
            <w:r w:rsidRPr="00D150B4">
              <w:rPr>
                <w:spacing w:val="-4"/>
              </w:rPr>
              <w:t>perspectives and priorities currently incorporated into the design and conduct of Australian Government evaluation</w:t>
            </w:r>
            <w:r w:rsidR="00582D2B" w:rsidRPr="00D150B4">
              <w:rPr>
                <w:spacing w:val="-4"/>
              </w:rPr>
              <w:t>s of Indigenous</w:t>
            </w:r>
            <w:r w:rsidR="00442E24" w:rsidRPr="00D150B4">
              <w:rPr>
                <w:spacing w:val="-4"/>
              </w:rPr>
              <w:noBreakHyphen/>
            </w:r>
            <w:r w:rsidR="00582D2B" w:rsidRPr="00D150B4">
              <w:rPr>
                <w:spacing w:val="-4"/>
              </w:rPr>
              <w:t xml:space="preserve">specific and mainstream </w:t>
            </w:r>
            <w:r w:rsidR="00A75046" w:rsidRPr="00D150B4">
              <w:rPr>
                <w:spacing w:val="-4"/>
              </w:rPr>
              <w:t xml:space="preserve">policies and </w:t>
            </w:r>
            <w:r w:rsidR="00582D2B" w:rsidRPr="00D150B4">
              <w:rPr>
                <w:spacing w:val="-4"/>
              </w:rPr>
              <w:t>programs</w:t>
            </w:r>
            <w:r w:rsidRPr="00D150B4">
              <w:rPr>
                <w:spacing w:val="-4"/>
              </w:rPr>
              <w:t>?</w:t>
            </w:r>
            <w:r w:rsidR="00582D2B" w:rsidRPr="00D150B4">
              <w:rPr>
                <w:spacing w:val="-4"/>
              </w:rPr>
              <w:t xml:space="preserve"> How could this be improved?</w:t>
            </w:r>
          </w:p>
          <w:p w14:paraId="4821FB40" w14:textId="77777777" w:rsidR="00C210B1" w:rsidRDefault="00C210B1" w:rsidP="00551497">
            <w:pPr>
              <w:pStyle w:val="InformationRequest"/>
              <w:keepNext/>
            </w:pPr>
            <w:r>
              <w:t>What are the barriers to further increasing engagement with Aboriginal and Torres Strait Islander people during Australian Government evaluation projects?</w:t>
            </w:r>
          </w:p>
          <w:p w14:paraId="5AB09EBD" w14:textId="6A916F64" w:rsidR="00C210B1" w:rsidRPr="006E7EE2" w:rsidRDefault="001D26FB" w:rsidP="00582D2B">
            <w:pPr>
              <w:pStyle w:val="InformationRequest"/>
              <w:keepNext/>
            </w:pPr>
            <w:r>
              <w:t>How</w:t>
            </w:r>
            <w:r w:rsidR="00C210B1" w:rsidDel="00582D2B">
              <w:t xml:space="preserve"> can </w:t>
            </w:r>
            <w:r w:rsidR="008E6140">
              <w:t>the</w:t>
            </w:r>
            <w:r>
              <w:t xml:space="preserve"> costs to government and communities of engaging more meaningfully with Aboriginal and Torres Islander people during evaluation be </w:t>
            </w:r>
            <w:r w:rsidR="008E6140">
              <w:t>better integrated into existing and future program and evaluation budgets</w:t>
            </w:r>
            <w:r w:rsidR="00C210B1">
              <w:t>?</w:t>
            </w:r>
          </w:p>
        </w:tc>
      </w:tr>
      <w:tr w:rsidR="00C210B1" w14:paraId="6449B066" w14:textId="77777777" w:rsidTr="00551497">
        <w:tc>
          <w:tcPr>
            <w:tcW w:w="5000" w:type="pct"/>
            <w:tcBorders>
              <w:top w:val="nil"/>
              <w:left w:val="nil"/>
              <w:bottom w:val="single" w:sz="6" w:space="0" w:color="78A22F"/>
              <w:right w:val="nil"/>
            </w:tcBorders>
            <w:shd w:val="clear" w:color="auto" w:fill="auto"/>
          </w:tcPr>
          <w:p w14:paraId="13E8C7E7" w14:textId="77777777" w:rsidR="00C210B1" w:rsidRDefault="00C210B1" w:rsidP="00551497">
            <w:pPr>
              <w:pStyle w:val="Space"/>
              <w:keepLines/>
            </w:pPr>
          </w:p>
        </w:tc>
      </w:tr>
      <w:tr w:rsidR="00C210B1" w:rsidRPr="000863A5" w14:paraId="17E259FC" w14:textId="77777777" w:rsidTr="00551497">
        <w:tc>
          <w:tcPr>
            <w:tcW w:w="5000" w:type="pct"/>
            <w:tcBorders>
              <w:top w:val="single" w:sz="6" w:space="0" w:color="78A22F"/>
              <w:left w:val="nil"/>
              <w:bottom w:val="nil"/>
              <w:right w:val="nil"/>
            </w:tcBorders>
          </w:tcPr>
          <w:p w14:paraId="7A011DD4" w14:textId="03C9A342" w:rsidR="00C210B1" w:rsidRPr="00626D32" w:rsidRDefault="00C210B1" w:rsidP="00D150B4">
            <w:pPr>
              <w:pStyle w:val="BoxSpaceBelow"/>
            </w:pPr>
          </w:p>
        </w:tc>
      </w:tr>
    </w:tbl>
    <w:p w14:paraId="61A2D7B6" w14:textId="77777777" w:rsidR="0034186D" w:rsidRDefault="0034186D" w:rsidP="0034186D">
      <w:pPr>
        <w:pStyle w:val="Heading4"/>
      </w:pPr>
      <w:r>
        <w:t>Independence and objectivity</w:t>
      </w:r>
    </w:p>
    <w:p w14:paraId="3F3A3FAD" w14:textId="369B4B28" w:rsidR="0034186D" w:rsidRDefault="0034186D" w:rsidP="0034186D">
      <w:pPr>
        <w:pStyle w:val="BodyText"/>
      </w:pPr>
      <w:r>
        <w:t>Some degree of independence between evaluators</w:t>
      </w:r>
      <w:r w:rsidR="003F7436">
        <w:t>, on the one hand,</w:t>
      </w:r>
      <w:r>
        <w:t xml:space="preserve"> and </w:t>
      </w:r>
      <w:r w:rsidR="003F7436">
        <w:t xml:space="preserve">policy makers and program delivery </w:t>
      </w:r>
      <w:r>
        <w:t>areas</w:t>
      </w:r>
      <w:r w:rsidR="003F7436">
        <w:t>, on the other,</w:t>
      </w:r>
      <w:r>
        <w:t xml:space="preserve"> is desirable to ensure that programs are evaluated objectively. There are many models for evaluation governance that </w:t>
      </w:r>
      <w:r w:rsidR="00F13638">
        <w:t>potentially</w:t>
      </w:r>
      <w:r>
        <w:t xml:space="preserve"> meet this requirement, including appointing external (to the agency) evaluators, or having a centralised evaluation unit in the agency to undertake evaluations or provide advice and/or oversight to program areas who undertake evaluations.</w:t>
      </w:r>
    </w:p>
    <w:p w14:paraId="38A9B287" w14:textId="0F5E39D8" w:rsidR="0034186D" w:rsidRDefault="0034186D" w:rsidP="0034186D">
      <w:pPr>
        <w:pStyle w:val="BodyText"/>
      </w:pPr>
      <w:r>
        <w:t xml:space="preserve">There are advantages and disadvantages to each approach. External evaluators can arguably bring a greater level of objectivity to evaluation than </w:t>
      </w:r>
      <w:r w:rsidR="003353DA">
        <w:t>evaluators within</w:t>
      </w:r>
      <w:r>
        <w:t xml:space="preserve"> program areas, although if external evaluators </w:t>
      </w:r>
      <w:r w:rsidR="003F7436">
        <w:t xml:space="preserve">such as consultants or academics </w:t>
      </w:r>
      <w:r>
        <w:t>are concerned about repeat contracts with a particular agency they may be inclined to tell agencies what they think they want to hear. Using external evaluators also allows agencies to access skills and experience that may not be available in</w:t>
      </w:r>
      <w:r w:rsidR="00442E24">
        <w:noBreakHyphen/>
      </w:r>
      <w:r>
        <w:t xml:space="preserve">house. </w:t>
      </w:r>
      <w:r w:rsidR="00CB2CF9">
        <w:t>G</w:t>
      </w:r>
      <w:r w:rsidR="009A1710">
        <w:t>overnment procurement arrangements are likely to have implications for how agencies recruit and manage external evaluators.</w:t>
      </w:r>
    </w:p>
    <w:p w14:paraId="6132C759" w14:textId="2C6FB975" w:rsidR="0034186D" w:rsidRDefault="0034186D" w:rsidP="0034186D">
      <w:pPr>
        <w:pStyle w:val="BodyText"/>
      </w:pPr>
      <w:r>
        <w:t xml:space="preserve">Using internal evaluators allows agencies to build evaluative capacity and can provide opportunities for staff to learn more immediate lessons from </w:t>
      </w:r>
      <w:r>
        <w:lastRenderedPageBreak/>
        <w:t>evaluation and incorporate results into programs. Internal evaluators may also have easier access to administrative data to use in evaluation. However, some degree of independence is generally desirable to ensure that evaluations are objective.</w:t>
      </w:r>
    </w:p>
    <w:p w14:paraId="74168728" w14:textId="148DC8A9" w:rsidR="00C210B1" w:rsidRPr="004E3B94" w:rsidRDefault="00C210B1" w:rsidP="00C210B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210B1" w14:paraId="4240ED14" w14:textId="77777777" w:rsidTr="00551497">
        <w:trPr>
          <w:tblHeader/>
        </w:trPr>
        <w:tc>
          <w:tcPr>
            <w:tcW w:w="5000" w:type="pct"/>
            <w:tcBorders>
              <w:top w:val="single" w:sz="6" w:space="0" w:color="78A22F"/>
              <w:left w:val="nil"/>
              <w:bottom w:val="nil"/>
              <w:right w:val="nil"/>
            </w:tcBorders>
            <w:shd w:val="clear" w:color="auto" w:fill="auto"/>
          </w:tcPr>
          <w:p w14:paraId="1F4C03F7" w14:textId="770CB95E" w:rsidR="00C210B1" w:rsidRPr="00CE4C64" w:rsidRDefault="007D6A37" w:rsidP="00551497">
            <w:pPr>
              <w:pStyle w:val="InformationRequestTitle"/>
              <w:spacing w:before="120"/>
            </w:pPr>
            <w:r>
              <w:t xml:space="preserve">questions on the independence of evaluations and </w:t>
            </w:r>
            <w:r w:rsidR="003B39F0">
              <w:t>EVALUATORS</w:t>
            </w:r>
          </w:p>
        </w:tc>
      </w:tr>
      <w:tr w:rsidR="00C210B1" w:rsidRPr="00750BE2" w14:paraId="030ABE2E" w14:textId="77777777" w:rsidTr="00551497">
        <w:tc>
          <w:tcPr>
            <w:tcW w:w="5000" w:type="pct"/>
            <w:tcBorders>
              <w:top w:val="nil"/>
              <w:left w:val="nil"/>
              <w:bottom w:val="nil"/>
              <w:right w:val="nil"/>
            </w:tcBorders>
            <w:shd w:val="clear" w:color="auto" w:fill="auto"/>
          </w:tcPr>
          <w:p w14:paraId="40798E65" w14:textId="552A7C25" w:rsidR="00F43F34" w:rsidRDefault="00F43F34" w:rsidP="0034186D">
            <w:pPr>
              <w:pStyle w:val="InformationRequest"/>
              <w:keepNext/>
            </w:pPr>
            <w:r>
              <w:t>What degree of independence between evaluators</w:t>
            </w:r>
            <w:r w:rsidR="00582D2B">
              <w:t xml:space="preserve"> and policy makers/program delivery areas</w:t>
            </w:r>
            <w:r w:rsidDel="00582D2B">
              <w:t xml:space="preserve"> </w:t>
            </w:r>
            <w:r>
              <w:t>is necessary and/or desirable?</w:t>
            </w:r>
          </w:p>
          <w:p w14:paraId="0ED10072" w14:textId="550A7355" w:rsidR="00C210B1" w:rsidRPr="0014666F" w:rsidRDefault="0034186D" w:rsidP="0034186D">
            <w:pPr>
              <w:pStyle w:val="InformationRequest"/>
              <w:keepNext/>
            </w:pPr>
            <w:r>
              <w:t>What are the advantages and disadvantages of existing Australian Government contracting and procurement arrangements for managing relationships between agencies and external evaluators and ensuring high quality and objective evaluation?</w:t>
            </w:r>
          </w:p>
        </w:tc>
      </w:tr>
      <w:tr w:rsidR="00C210B1" w14:paraId="6C637586" w14:textId="77777777" w:rsidTr="00551497">
        <w:tc>
          <w:tcPr>
            <w:tcW w:w="5000" w:type="pct"/>
            <w:tcBorders>
              <w:top w:val="nil"/>
              <w:left w:val="nil"/>
              <w:bottom w:val="single" w:sz="6" w:space="0" w:color="78A22F"/>
              <w:right w:val="nil"/>
            </w:tcBorders>
            <w:shd w:val="clear" w:color="auto" w:fill="auto"/>
          </w:tcPr>
          <w:p w14:paraId="4E2E96FE" w14:textId="77777777" w:rsidR="00C210B1" w:rsidRDefault="00C210B1" w:rsidP="00551497">
            <w:pPr>
              <w:pStyle w:val="Space"/>
              <w:keepLines/>
            </w:pPr>
          </w:p>
        </w:tc>
      </w:tr>
      <w:tr w:rsidR="00C210B1" w:rsidRPr="000863A5" w14:paraId="3110375F" w14:textId="77777777" w:rsidTr="00551497">
        <w:tc>
          <w:tcPr>
            <w:tcW w:w="5000" w:type="pct"/>
            <w:tcBorders>
              <w:top w:val="single" w:sz="6" w:space="0" w:color="78A22F"/>
              <w:left w:val="nil"/>
              <w:bottom w:val="nil"/>
              <w:right w:val="nil"/>
            </w:tcBorders>
          </w:tcPr>
          <w:p w14:paraId="3EA09210" w14:textId="090DBE27" w:rsidR="00C210B1" w:rsidRPr="00626D32" w:rsidRDefault="00C210B1" w:rsidP="00551497">
            <w:pPr>
              <w:pStyle w:val="BoxSpaceBelow"/>
              <w:keepLines/>
            </w:pPr>
          </w:p>
        </w:tc>
      </w:tr>
    </w:tbl>
    <w:p w14:paraId="5628FCE5" w14:textId="77777777" w:rsidR="0034186D" w:rsidRDefault="0034186D" w:rsidP="006F4EF8">
      <w:pPr>
        <w:pStyle w:val="Heading4"/>
        <w:spacing w:before="360"/>
      </w:pPr>
      <w:r>
        <w:t>Ethical conduct</w:t>
      </w:r>
    </w:p>
    <w:p w14:paraId="797E04DC" w14:textId="77777777" w:rsidR="00595F08" w:rsidRDefault="0034186D" w:rsidP="0034186D">
      <w:pPr>
        <w:pStyle w:val="BodyText"/>
      </w:pPr>
      <w:r>
        <w:t xml:space="preserve">Evaluation commissioners and evaluators should behave in an ethical manner. Existing ethical guidelines for evaluation (for example, the Australian Evaluation Society </w:t>
      </w:r>
      <w:r>
        <w:rPr>
          <w:i/>
        </w:rPr>
        <w:t>Guidelines for the Ethical Conduct of Evaluations</w:t>
      </w:r>
      <w:r>
        <w:t xml:space="preserve">) cover a range of ethical issues that may be encountered during the commissioning and conduct of an evaluation, noting that not all these issues will be relevant to every evaluation. These include ensuring that stakeholders are fully informed and give consent to participation; avoiding conflicts of interest; respecting the rights, privacy, confidentiality and dignity of stakeholders; basing evaluation results on sound and complete information; and reporting results in a fair and balanced way. </w:t>
      </w:r>
    </w:p>
    <w:p w14:paraId="7D7ABEAB" w14:textId="416F4443" w:rsidR="0034186D" w:rsidRDefault="00595F08" w:rsidP="0034186D">
      <w:pPr>
        <w:pStyle w:val="BodyText"/>
      </w:pPr>
      <w:r>
        <w:t>E</w:t>
      </w:r>
      <w:r w:rsidR="0034186D">
        <w:t xml:space="preserve">thical guidelines for researchers working with Aboriginal and Torres Strait Islander people and communities </w:t>
      </w:r>
      <w:r w:rsidR="003E41C3" w:rsidRPr="003E41C3">
        <w:rPr>
          <w:szCs w:val="24"/>
        </w:rPr>
        <w:t>(e.g. AIATSIS 2012; NHMRC 2018)</w:t>
      </w:r>
      <w:r w:rsidR="0034186D">
        <w:t xml:space="preserve"> </w:t>
      </w:r>
      <w:r>
        <w:t>are also increasingly used to guide ethical conduct in evaluations</w:t>
      </w:r>
      <w:r w:rsidR="0034186D">
        <w:t>.</w:t>
      </w:r>
      <w:r>
        <w:t xml:space="preserve"> For example, evaluations conducted under the Indigenous Advancement Strategy Evaluation </w:t>
      </w:r>
      <w:r w:rsidR="008E6140">
        <w:t>Framework</w:t>
      </w:r>
      <w:r>
        <w:t xml:space="preserve"> are informed by AIATSIS </w:t>
      </w:r>
      <w:r w:rsidRPr="00595F08">
        <w:t>(2012)</w:t>
      </w:r>
      <w:r>
        <w:t xml:space="preserve"> and </w:t>
      </w:r>
      <w:r w:rsidR="008E6140">
        <w:t xml:space="preserve">most are </w:t>
      </w:r>
      <w:r>
        <w:t xml:space="preserve">subject to ethical review by the AIATSIS Research Ethics Committee. </w:t>
      </w:r>
    </w:p>
    <w:p w14:paraId="68F1B262" w14:textId="3349B794" w:rsidR="0034186D" w:rsidRDefault="0034186D" w:rsidP="0034186D">
      <w:pPr>
        <w:pStyle w:val="BodyText"/>
      </w:pPr>
      <w:r>
        <w:lastRenderedPageBreak/>
        <w:t xml:space="preserve">Ethics committees </w:t>
      </w:r>
      <w:r w:rsidR="00595F08">
        <w:t>can</w:t>
      </w:r>
      <w:r>
        <w:t xml:space="preserve"> provide important oversight over the conduct of evaluative research. However, there may be situations where formal review by an ethics committee is not warranted (</w:t>
      </w:r>
      <w:r w:rsidR="00B5698A">
        <w:t>for example,</w:t>
      </w:r>
      <w:r>
        <w:t xml:space="preserve"> when evaluations use existing, de</w:t>
      </w:r>
      <w:r w:rsidR="00442E24">
        <w:noBreakHyphen/>
      </w:r>
      <w:r>
        <w:t>identified data</w:t>
      </w:r>
      <w:r w:rsidR="00595F08">
        <w:t>)</w:t>
      </w:r>
      <w:r>
        <w:t>.</w:t>
      </w:r>
      <w:r w:rsidR="00595F08">
        <w:t xml:space="preserve"> It </w:t>
      </w:r>
      <w:r w:rsidR="005059D6">
        <w:t>may be necessary to build capacity within agencies around ethical review processes, as well as considering the capacity of existing research ethics committees to deal with an increasing number of requests for ethical review of evaluation projects.</w:t>
      </w:r>
    </w:p>
    <w:p w14:paraId="1B555B01" w14:textId="2319DF00" w:rsidR="00C210B1" w:rsidRPr="004E3B94" w:rsidRDefault="00C210B1" w:rsidP="00C210B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210B1" w14:paraId="3A3DC3DE" w14:textId="77777777" w:rsidTr="00551497">
        <w:trPr>
          <w:tblHeader/>
        </w:trPr>
        <w:tc>
          <w:tcPr>
            <w:tcW w:w="5000" w:type="pct"/>
            <w:tcBorders>
              <w:top w:val="single" w:sz="6" w:space="0" w:color="78A22F"/>
              <w:left w:val="nil"/>
              <w:bottom w:val="nil"/>
              <w:right w:val="nil"/>
            </w:tcBorders>
            <w:shd w:val="clear" w:color="auto" w:fill="auto"/>
          </w:tcPr>
          <w:p w14:paraId="34910371" w14:textId="65169BA3" w:rsidR="00C210B1" w:rsidRPr="00CE4C64" w:rsidRDefault="00E9742F" w:rsidP="00551497">
            <w:pPr>
              <w:pStyle w:val="InformationRequestTitle"/>
              <w:spacing w:before="120"/>
            </w:pPr>
            <w:r>
              <w:t>questions on ethical evaluation</w:t>
            </w:r>
          </w:p>
        </w:tc>
      </w:tr>
      <w:tr w:rsidR="00C210B1" w:rsidRPr="00750BE2" w14:paraId="31750FB5" w14:textId="77777777" w:rsidTr="00551497">
        <w:tc>
          <w:tcPr>
            <w:tcW w:w="5000" w:type="pct"/>
            <w:tcBorders>
              <w:top w:val="nil"/>
              <w:left w:val="nil"/>
              <w:bottom w:val="nil"/>
              <w:right w:val="nil"/>
            </w:tcBorders>
            <w:shd w:val="clear" w:color="auto" w:fill="auto"/>
          </w:tcPr>
          <w:p w14:paraId="6E8FEFDE" w14:textId="0891B39E" w:rsidR="0034186D" w:rsidRDefault="0034186D" w:rsidP="0034186D">
            <w:pPr>
              <w:pStyle w:val="InformationRequest"/>
              <w:keepNext/>
            </w:pPr>
            <w:r>
              <w:t xml:space="preserve">How do Australian Government </w:t>
            </w:r>
            <w:r w:rsidR="00582D2B">
              <w:t xml:space="preserve">agencies </w:t>
            </w:r>
            <w:r>
              <w:t>currently deal with ethical issues</w:t>
            </w:r>
            <w:r w:rsidR="00582D2B">
              <w:t xml:space="preserve"> associated with evaluation</w:t>
            </w:r>
            <w:r>
              <w:t>?</w:t>
            </w:r>
          </w:p>
          <w:p w14:paraId="22F1F7C9" w14:textId="77777777" w:rsidR="0034186D" w:rsidRDefault="0034186D" w:rsidP="0034186D">
            <w:pPr>
              <w:pStyle w:val="InformationRequest"/>
              <w:keepNext/>
            </w:pPr>
            <w:r>
              <w:t>Do existing ethical guidelines for evaluation and research provide sufficient guidance for evaluation commissioners, evaluators and participants in evaluations of programs affecting Aboriginal and Torres Strait Islander people? To what extent should the Indigenous Evaluation Strategy build in these guidelines?</w:t>
            </w:r>
          </w:p>
          <w:p w14:paraId="2BF94649" w14:textId="77777777" w:rsidR="00C210B1" w:rsidRDefault="0034186D" w:rsidP="0034186D">
            <w:pPr>
              <w:pStyle w:val="InformationRequest"/>
              <w:keepNext/>
            </w:pPr>
            <w:r>
              <w:t>In what circumstances should evaluation projects be subject to formal ethics review? In what circumstances should evaluation projects be exempt from formal ethics review?</w:t>
            </w:r>
          </w:p>
          <w:p w14:paraId="37BB8F4B" w14:textId="384B55DD" w:rsidR="00C210B1" w:rsidRPr="007173DC" w:rsidRDefault="001D26FB" w:rsidP="00582D2B">
            <w:pPr>
              <w:pStyle w:val="InformationRequest"/>
              <w:keepNext/>
            </w:pPr>
            <w:r>
              <w:t xml:space="preserve">What are the time and cost implications of </w:t>
            </w:r>
            <w:r w:rsidR="00582D2B">
              <w:t xml:space="preserve">embedding an </w:t>
            </w:r>
            <w:r>
              <w:t xml:space="preserve">ethics review process </w:t>
            </w:r>
            <w:r w:rsidR="00582D2B">
              <w:t xml:space="preserve">into Australian Government </w:t>
            </w:r>
            <w:r>
              <w:t>evaluation</w:t>
            </w:r>
            <w:r w:rsidR="00582D2B">
              <w:t>s</w:t>
            </w:r>
            <w:r>
              <w:t>?</w:t>
            </w:r>
          </w:p>
        </w:tc>
      </w:tr>
      <w:tr w:rsidR="00C210B1" w14:paraId="5636BBF2" w14:textId="77777777" w:rsidTr="00551497">
        <w:tc>
          <w:tcPr>
            <w:tcW w:w="5000" w:type="pct"/>
            <w:tcBorders>
              <w:top w:val="nil"/>
              <w:left w:val="nil"/>
              <w:bottom w:val="single" w:sz="6" w:space="0" w:color="78A22F"/>
              <w:right w:val="nil"/>
            </w:tcBorders>
            <w:shd w:val="clear" w:color="auto" w:fill="auto"/>
          </w:tcPr>
          <w:p w14:paraId="72E855F6" w14:textId="77777777" w:rsidR="00C210B1" w:rsidRDefault="00C210B1" w:rsidP="00551497">
            <w:pPr>
              <w:pStyle w:val="Space"/>
              <w:keepLines/>
            </w:pPr>
          </w:p>
        </w:tc>
      </w:tr>
      <w:tr w:rsidR="00C210B1" w:rsidRPr="000863A5" w14:paraId="66CF7D55" w14:textId="77777777" w:rsidTr="00551497">
        <w:tc>
          <w:tcPr>
            <w:tcW w:w="5000" w:type="pct"/>
            <w:tcBorders>
              <w:top w:val="single" w:sz="6" w:space="0" w:color="78A22F"/>
              <w:left w:val="nil"/>
              <w:bottom w:val="nil"/>
              <w:right w:val="nil"/>
            </w:tcBorders>
          </w:tcPr>
          <w:p w14:paraId="0CD51D3E" w14:textId="6BE2C536" w:rsidR="00C210B1" w:rsidRPr="00626D32" w:rsidRDefault="00C210B1" w:rsidP="00551497">
            <w:pPr>
              <w:pStyle w:val="BoxSpaceBelow"/>
              <w:keepLines/>
            </w:pPr>
          </w:p>
        </w:tc>
      </w:tr>
    </w:tbl>
    <w:p w14:paraId="41080D5B" w14:textId="658BDDDC" w:rsidR="0034186D" w:rsidRDefault="0034186D" w:rsidP="006F4EF8">
      <w:pPr>
        <w:pStyle w:val="Heading4"/>
        <w:spacing w:before="360"/>
      </w:pPr>
      <w:r>
        <w:t xml:space="preserve">Cultural </w:t>
      </w:r>
      <w:r w:rsidR="009173FF">
        <w:t xml:space="preserve">capability </w:t>
      </w:r>
      <w:r>
        <w:t>and respect</w:t>
      </w:r>
    </w:p>
    <w:p w14:paraId="1DB1A77D" w14:textId="71C50253" w:rsidR="004272BF" w:rsidRDefault="0034186D" w:rsidP="0034186D">
      <w:pPr>
        <w:pStyle w:val="BodyText"/>
      </w:pPr>
      <w:r>
        <w:t xml:space="preserve">Evaluation commissioners and practitioners should demonstrate cultural </w:t>
      </w:r>
      <w:r w:rsidR="00D45784">
        <w:t xml:space="preserve">capability </w:t>
      </w:r>
      <w:r w:rsidR="009E7ED6">
        <w:t>(box</w:t>
      </w:r>
      <w:r w:rsidR="00442E24">
        <w:t> </w:t>
      </w:r>
      <w:r w:rsidR="00792F51">
        <w:t>10</w:t>
      </w:r>
      <w:r w:rsidR="009E7ED6">
        <w:t xml:space="preserve">) </w:t>
      </w:r>
      <w:r>
        <w:t>and respect for Aboriginal and Torres Strait Islander culture, knowledge</w:t>
      </w:r>
      <w:r w:rsidR="00980FBB">
        <w:t>s</w:t>
      </w:r>
      <w:r>
        <w:t>, history and values. Evaluations should recognise the diversity of Aboriginal and Torres Strait Islander viewpoints and circumstances, and use culturally appropriate research methods.</w:t>
      </w:r>
      <w:r w:rsidR="00076DE8">
        <w:t xml:space="preserve"> </w:t>
      </w:r>
    </w:p>
    <w:p w14:paraId="46E59FA2" w14:textId="5ADBD8E0" w:rsidR="004272BF" w:rsidRDefault="00B027FE" w:rsidP="0034186D">
      <w:pPr>
        <w:pStyle w:val="BodyText"/>
      </w:pPr>
      <w:r>
        <w:t xml:space="preserve">The extent to which cultural capability and respect are addressed in current evaluation practice varies considerably. </w:t>
      </w:r>
      <w:proofErr w:type="spellStart"/>
      <w:r>
        <w:t>Kelaher</w:t>
      </w:r>
      <w:proofErr w:type="spellEnd"/>
      <w:r>
        <w:t xml:space="preserve"> et al. </w:t>
      </w:r>
      <w:r w:rsidRPr="00B027FE">
        <w:t>(2018)</w:t>
      </w:r>
      <w:r>
        <w:t xml:space="preserve"> found that only around half of the </w:t>
      </w:r>
      <w:r w:rsidR="00DE1699">
        <w:t>Australian Government</w:t>
      </w:r>
      <w:r w:rsidR="009A5090">
        <w:t xml:space="preserve"> and state/territory </w:t>
      </w:r>
      <w:r>
        <w:t xml:space="preserve">health program evaluation reports </w:t>
      </w:r>
      <w:r w:rsidR="009A5090">
        <w:t xml:space="preserve">commissioned between 2007 and 2017 </w:t>
      </w:r>
      <w:r w:rsidR="0097247A">
        <w:t xml:space="preserve">that </w:t>
      </w:r>
      <w:r>
        <w:t xml:space="preserve">they reviewed integrated aspects of </w:t>
      </w:r>
      <w:r w:rsidR="009F5342">
        <w:t>‘</w:t>
      </w:r>
      <w:r>
        <w:t>cultural respect</w:t>
      </w:r>
      <w:r w:rsidR="009F5342">
        <w:t>’</w:t>
      </w:r>
      <w:r>
        <w:t xml:space="preserve">, and that this largely consisted of </w:t>
      </w:r>
      <w:r>
        <w:lastRenderedPageBreak/>
        <w:t xml:space="preserve">evaluators demonstrating that they had experience undertaking research with Aboriginal and Torres Strait Islander people. </w:t>
      </w:r>
    </w:p>
    <w:p w14:paraId="6CCCBD32" w14:textId="1CD7CF48" w:rsidR="00023D9C" w:rsidRPr="006F4EF8" w:rsidRDefault="006073D5" w:rsidP="0035702B">
      <w:pPr>
        <w:pStyle w:val="BodyText"/>
        <w:rPr>
          <w:spacing w:val="-4"/>
        </w:rPr>
      </w:pPr>
      <w:r w:rsidRPr="006F4EF8">
        <w:rPr>
          <w:spacing w:val="-4"/>
        </w:rPr>
        <w:t xml:space="preserve">Guidelines for </w:t>
      </w:r>
      <w:r w:rsidR="00023D9C" w:rsidRPr="006F4EF8">
        <w:rPr>
          <w:spacing w:val="-4"/>
        </w:rPr>
        <w:t xml:space="preserve">Māori research </w:t>
      </w:r>
      <w:r w:rsidRPr="006F4EF8">
        <w:rPr>
          <w:spacing w:val="-4"/>
        </w:rPr>
        <w:t xml:space="preserve">ethics </w:t>
      </w:r>
      <w:r w:rsidR="008E6140" w:rsidRPr="006F4EF8">
        <w:rPr>
          <w:spacing w:val="-4"/>
          <w:szCs w:val="24"/>
        </w:rPr>
        <w:t>(Hudson et al. 2010)</w:t>
      </w:r>
      <w:r w:rsidR="008E6140" w:rsidRPr="006F4EF8">
        <w:rPr>
          <w:spacing w:val="-4"/>
        </w:rPr>
        <w:t xml:space="preserve"> </w:t>
      </w:r>
      <w:r w:rsidRPr="006F4EF8">
        <w:rPr>
          <w:spacing w:val="-4"/>
        </w:rPr>
        <w:t xml:space="preserve">provide one model for assessing </w:t>
      </w:r>
      <w:r w:rsidR="00364F7C" w:rsidRPr="006F4EF8">
        <w:rPr>
          <w:spacing w:val="-4"/>
        </w:rPr>
        <w:t>the</w:t>
      </w:r>
      <w:r w:rsidR="00FB3B26" w:rsidRPr="006F4EF8">
        <w:rPr>
          <w:spacing w:val="-4"/>
        </w:rPr>
        <w:t xml:space="preserve"> extent </w:t>
      </w:r>
      <w:r w:rsidR="009535C0" w:rsidRPr="006F4EF8">
        <w:rPr>
          <w:spacing w:val="-4"/>
        </w:rPr>
        <w:t>to which</w:t>
      </w:r>
      <w:r w:rsidR="00FB3B26" w:rsidRPr="006F4EF8">
        <w:rPr>
          <w:spacing w:val="-4"/>
        </w:rPr>
        <w:t xml:space="preserve"> </w:t>
      </w:r>
      <w:r w:rsidRPr="006F4EF8">
        <w:rPr>
          <w:spacing w:val="-4"/>
        </w:rPr>
        <w:t>evaluation projects</w:t>
      </w:r>
      <w:r w:rsidR="00066EF2" w:rsidRPr="006F4EF8">
        <w:rPr>
          <w:spacing w:val="-4"/>
        </w:rPr>
        <w:t xml:space="preserve"> demonstrate cultural capability and respect</w:t>
      </w:r>
      <w:r w:rsidRPr="006F4EF8">
        <w:rPr>
          <w:spacing w:val="-4"/>
        </w:rPr>
        <w:t xml:space="preserve">. One of the four components of the framework is </w:t>
      </w:r>
      <w:r w:rsidR="00023D9C" w:rsidRPr="006F4EF8">
        <w:rPr>
          <w:spacing w:val="-4"/>
        </w:rPr>
        <w:t>cultural and social responsibility and respect for persons</w:t>
      </w:r>
      <w:r w:rsidRPr="006F4EF8">
        <w:rPr>
          <w:spacing w:val="-4"/>
        </w:rPr>
        <w:t>. Within this domain, the framework</w:t>
      </w:r>
      <w:r w:rsidR="00023D9C" w:rsidRPr="006F4EF8">
        <w:rPr>
          <w:spacing w:val="-4"/>
        </w:rPr>
        <w:t xml:space="preserve"> recognise</w:t>
      </w:r>
      <w:r w:rsidRPr="006F4EF8">
        <w:rPr>
          <w:spacing w:val="-4"/>
        </w:rPr>
        <w:t>s</w:t>
      </w:r>
      <w:r w:rsidR="00023D9C" w:rsidRPr="006F4EF8">
        <w:rPr>
          <w:spacing w:val="-4"/>
        </w:rPr>
        <w:t xml:space="preserve"> </w:t>
      </w:r>
      <w:r w:rsidRPr="006F4EF8">
        <w:rPr>
          <w:spacing w:val="-4"/>
        </w:rPr>
        <w:t>three levels of progress towards achieving best practice:</w:t>
      </w:r>
    </w:p>
    <w:p w14:paraId="05831A08" w14:textId="4A77A210" w:rsidR="00023D9C" w:rsidRDefault="00023D9C" w:rsidP="00023D9C">
      <w:pPr>
        <w:pStyle w:val="ListBullet"/>
      </w:pPr>
      <w:r>
        <w:t>Minimum standard</w:t>
      </w:r>
      <w:r w:rsidR="006073D5">
        <w:t xml:space="preserve">: </w:t>
      </w:r>
      <w:r>
        <w:t>cultural sensitivity</w:t>
      </w:r>
      <w:r w:rsidR="006073D5">
        <w:t xml:space="preserve"> </w:t>
      </w:r>
      <w:r w:rsidR="00D150B4">
        <w:t xml:space="preserve">— </w:t>
      </w:r>
      <w:r w:rsidR="00066EF2">
        <w:t xml:space="preserve">awareness of cultural sensitivity; </w:t>
      </w:r>
      <w:r w:rsidR="006073D5">
        <w:t xml:space="preserve">participants are treated </w:t>
      </w:r>
      <w:r w:rsidR="00264C25">
        <w:t xml:space="preserve">with </w:t>
      </w:r>
      <w:r w:rsidR="006073D5">
        <w:t>dignity and respect; participants have access to appropriate advice; privacy and confidentiality is respected</w:t>
      </w:r>
      <w:r w:rsidR="00474338">
        <w:t>.</w:t>
      </w:r>
    </w:p>
    <w:p w14:paraId="118A69EB" w14:textId="6A911215" w:rsidR="00023D9C" w:rsidRDefault="00023D9C" w:rsidP="00023D9C">
      <w:pPr>
        <w:pStyle w:val="ListBullet"/>
      </w:pPr>
      <w:r>
        <w:t>Good practice</w:t>
      </w:r>
      <w:r w:rsidR="006073D5">
        <w:t xml:space="preserve">: </w:t>
      </w:r>
      <w:r>
        <w:t>cultural safety</w:t>
      </w:r>
      <w:r w:rsidR="00D150B4">
        <w:t xml:space="preserve"> — </w:t>
      </w:r>
      <w:r w:rsidR="006073D5">
        <w:t>Māori values are used in the research project; Māori protocols are observed; collective/community participation in establishing goals, benefits and implementation</w:t>
      </w:r>
      <w:r w:rsidR="00474338">
        <w:t>.</w:t>
      </w:r>
    </w:p>
    <w:p w14:paraId="6CC23449" w14:textId="4CF7C27E" w:rsidR="00023D9C" w:rsidRDefault="006073D5" w:rsidP="0035702B">
      <w:pPr>
        <w:pStyle w:val="ListBullet"/>
      </w:pPr>
      <w:r>
        <w:t xml:space="preserve">Best practice: </w:t>
      </w:r>
      <w:r w:rsidR="00023D9C">
        <w:t>respectful conduct</w:t>
      </w:r>
      <w:r w:rsidR="00D150B4">
        <w:t xml:space="preserve"> — </w:t>
      </w:r>
      <w:r w:rsidR="008D2127">
        <w:t>recognises spiritual integrity and Māori philosophy; research is guided by elders</w:t>
      </w:r>
      <w:r w:rsidR="000A736F">
        <w:t>.</w:t>
      </w:r>
    </w:p>
    <w:p w14:paraId="17DCAA5D" w14:textId="6DC76E1D" w:rsidR="00792F51" w:rsidRDefault="00792F5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92F51" w14:paraId="66854CCF" w14:textId="77777777" w:rsidTr="00C75C7D">
        <w:trPr>
          <w:tblHeader/>
        </w:trPr>
        <w:tc>
          <w:tcPr>
            <w:tcW w:w="5000" w:type="pct"/>
            <w:tcBorders>
              <w:top w:val="single" w:sz="6" w:space="0" w:color="78A22F"/>
              <w:left w:val="nil"/>
              <w:bottom w:val="nil"/>
              <w:right w:val="nil"/>
            </w:tcBorders>
            <w:shd w:val="clear" w:color="auto" w:fill="F2F2F2"/>
          </w:tcPr>
          <w:p w14:paraId="078077EC" w14:textId="2C8BDA28" w:rsidR="00792F51" w:rsidRDefault="00792F51">
            <w:pPr>
              <w:pStyle w:val="BoxTitle"/>
            </w:pPr>
            <w:r>
              <w:rPr>
                <w:b w:val="0"/>
              </w:rPr>
              <w:t xml:space="preserve">Box </w:t>
            </w:r>
            <w:bookmarkStart w:id="182" w:name="OLE_LINK13"/>
            <w:r w:rsidR="00E109F5">
              <w:rPr>
                <w:b w:val="0"/>
                <w:noProof/>
              </w:rPr>
              <w:t>10</w:t>
            </w:r>
            <w:bookmarkEnd w:id="182"/>
            <w:r>
              <w:tab/>
              <w:t>What is cultural capability?</w:t>
            </w:r>
          </w:p>
        </w:tc>
      </w:tr>
      <w:tr w:rsidR="00792F51" w14:paraId="1A3E9066" w14:textId="77777777" w:rsidTr="00C75C7D">
        <w:tc>
          <w:tcPr>
            <w:tcW w:w="5000" w:type="pct"/>
            <w:tcBorders>
              <w:top w:val="nil"/>
              <w:left w:val="nil"/>
              <w:bottom w:val="nil"/>
              <w:right w:val="nil"/>
            </w:tcBorders>
            <w:shd w:val="clear" w:color="auto" w:fill="F2F2F2"/>
          </w:tcPr>
          <w:p w14:paraId="5D1B931B" w14:textId="1F57D87B" w:rsidR="00F35908" w:rsidRPr="00474338" w:rsidRDefault="00F35908" w:rsidP="00F35908">
            <w:pPr>
              <w:pStyle w:val="Box"/>
              <w:rPr>
                <w:spacing w:val="-4"/>
              </w:rPr>
            </w:pPr>
            <w:r w:rsidRPr="00474338">
              <w:rPr>
                <w:spacing w:val="-4"/>
              </w:rPr>
              <w:t>Cultural capability has been defined as the ‘skills, knowledge, behaviours and systems that are required to plan, support, improve and deliver services in a cultural</w:t>
            </w:r>
            <w:r w:rsidR="00054400" w:rsidRPr="00474338">
              <w:rPr>
                <w:spacing w:val="-4"/>
              </w:rPr>
              <w:t>ly</w:t>
            </w:r>
            <w:r w:rsidRPr="00474338">
              <w:rPr>
                <w:spacing w:val="-4"/>
              </w:rPr>
              <w:t xml:space="preserve"> respectful and appropriate manner’ </w:t>
            </w:r>
            <w:r w:rsidRPr="00474338">
              <w:rPr>
                <w:rFonts w:cs="Arial"/>
                <w:spacing w:val="-4"/>
                <w:szCs w:val="24"/>
              </w:rPr>
              <w:t>(Queensland Health 2010, p. 9)</w:t>
            </w:r>
            <w:r w:rsidRPr="00474338">
              <w:rPr>
                <w:spacing w:val="-4"/>
              </w:rPr>
              <w:t xml:space="preserve">. </w:t>
            </w:r>
            <w:r w:rsidR="00AA2209" w:rsidRPr="00474338">
              <w:rPr>
                <w:spacing w:val="-4"/>
              </w:rPr>
              <w:t xml:space="preserve">While cultural </w:t>
            </w:r>
            <w:r w:rsidR="00AA2209" w:rsidRPr="00474338">
              <w:rPr>
                <w:i/>
                <w:spacing w:val="-4"/>
              </w:rPr>
              <w:t>competence</w:t>
            </w:r>
            <w:r w:rsidR="00AA2209" w:rsidRPr="00474338">
              <w:rPr>
                <w:spacing w:val="-4"/>
              </w:rPr>
              <w:t xml:space="preserve"> suggests reaching a particular standard in knowledge, behaviour or systems, cultural </w:t>
            </w:r>
            <w:r w:rsidR="00AA2209" w:rsidRPr="00474338">
              <w:rPr>
                <w:i/>
                <w:spacing w:val="-4"/>
              </w:rPr>
              <w:t>capability</w:t>
            </w:r>
            <w:r w:rsidR="00AA2209" w:rsidRPr="00474338">
              <w:rPr>
                <w:spacing w:val="-4"/>
              </w:rPr>
              <w:t xml:space="preserve"> emphasises improvement and adaptation to ‘varied and changing circumstances and responsibilities’ </w:t>
            </w:r>
            <w:r w:rsidR="00AA2209" w:rsidRPr="00474338">
              <w:rPr>
                <w:rFonts w:cs="Arial"/>
                <w:spacing w:val="-4"/>
                <w:szCs w:val="24"/>
              </w:rPr>
              <w:t>(Russell</w:t>
            </w:r>
            <w:r w:rsidR="00442E24" w:rsidRPr="00474338">
              <w:rPr>
                <w:rFonts w:cs="Arial"/>
                <w:spacing w:val="-4"/>
                <w:szCs w:val="24"/>
              </w:rPr>
              <w:noBreakHyphen/>
            </w:r>
            <w:proofErr w:type="spellStart"/>
            <w:r w:rsidR="00AA2209" w:rsidRPr="00474338">
              <w:rPr>
                <w:rFonts w:cs="Arial"/>
                <w:spacing w:val="-4"/>
                <w:szCs w:val="24"/>
              </w:rPr>
              <w:t>Mundine</w:t>
            </w:r>
            <w:proofErr w:type="spellEnd"/>
            <w:r w:rsidR="00AA2209" w:rsidRPr="00474338">
              <w:rPr>
                <w:rFonts w:cs="Arial"/>
                <w:spacing w:val="-4"/>
                <w:szCs w:val="24"/>
              </w:rPr>
              <w:t> 2017, p. 44)</w:t>
            </w:r>
            <w:r w:rsidR="00AA2209" w:rsidRPr="00474338">
              <w:rPr>
                <w:spacing w:val="-4"/>
              </w:rPr>
              <w:t xml:space="preserve">. </w:t>
            </w:r>
          </w:p>
          <w:p w14:paraId="02EE6D09" w14:textId="343CD984" w:rsidR="00AA2209" w:rsidRDefault="00F35908" w:rsidP="00F35908">
            <w:pPr>
              <w:pStyle w:val="Box"/>
            </w:pPr>
            <w:r>
              <w:t xml:space="preserve">The Australian Public Service Cultural Capability Framework </w:t>
            </w:r>
            <w:r w:rsidR="00135AC0" w:rsidRPr="00224130">
              <w:rPr>
                <w:rFonts w:cs="Arial"/>
                <w:szCs w:val="24"/>
              </w:rPr>
              <w:t>(APSC 2015, p. 16)</w:t>
            </w:r>
            <w:r w:rsidR="00744A3C">
              <w:t xml:space="preserve"> </w:t>
            </w:r>
            <w:r w:rsidR="00AA2209">
              <w:t xml:space="preserve">includes description of ‘research’ cultural capabilities to </w:t>
            </w:r>
            <w:r w:rsidR="00135AC0">
              <w:t>help</w:t>
            </w:r>
            <w:r w:rsidR="00AA2209">
              <w:t xml:space="preserve"> APS employees </w:t>
            </w:r>
            <w:r w:rsidR="00135AC0">
              <w:t xml:space="preserve">undertake </w:t>
            </w:r>
            <w:r w:rsidR="00AA2209">
              <w:t xml:space="preserve">research, monitoring or evaluation projects </w:t>
            </w:r>
            <w:r w:rsidR="00AA2209">
              <w:lastRenderedPageBreak/>
              <w:t>involving Aboriginal and Torres Strait Islander people and communities</w:t>
            </w:r>
            <w:r w:rsidR="00135AC0">
              <w:t xml:space="preserve"> in a culturally-appropriate manner, including</w:t>
            </w:r>
            <w:r w:rsidR="00AA2209">
              <w:t>:</w:t>
            </w:r>
          </w:p>
          <w:p w14:paraId="6728ED45" w14:textId="3324CE2D" w:rsidR="00AA2209" w:rsidRDefault="00AA2209" w:rsidP="00224130">
            <w:pPr>
              <w:pStyle w:val="KeyPointsListBullet"/>
            </w:pPr>
            <w:r>
              <w:t xml:space="preserve">understanding ethical research principles, </w:t>
            </w:r>
            <w:r w:rsidR="00135AC0">
              <w:t>and the heritage, cultural and intellectual property rights of Aboriginal and Torres Strait Islander people as they relate to research</w:t>
            </w:r>
          </w:p>
          <w:p w14:paraId="3FD6FAB2" w14:textId="53CD34D0" w:rsidR="00135AC0" w:rsidRDefault="00135AC0" w:rsidP="00224130">
            <w:pPr>
              <w:pStyle w:val="KeyPointsListBullet"/>
            </w:pPr>
            <w:r>
              <w:t>applying evidence</w:t>
            </w:r>
            <w:r w:rsidR="00442E24">
              <w:noBreakHyphen/>
            </w:r>
            <w:r>
              <w:t>based, ethical and culturally acceptable research practices, ensuring equitable benefits for participating communities, following community and cultural protocols and conducting research in ways that are most useful and least disruptive for Aboriginal and Torres Strait Islander people</w:t>
            </w:r>
          </w:p>
          <w:p w14:paraId="22E08442" w14:textId="1F223F13" w:rsidR="00792F51" w:rsidRDefault="00135AC0" w:rsidP="00224130">
            <w:pPr>
              <w:pStyle w:val="KeyPointsListBullet"/>
            </w:pPr>
            <w:proofErr w:type="gramStart"/>
            <w:r>
              <w:t>committing</w:t>
            </w:r>
            <w:proofErr w:type="gramEnd"/>
            <w:r>
              <w:t xml:space="preserve"> to meaningful engagement and reciprocity, identifying verbal and non</w:t>
            </w:r>
            <w:r w:rsidR="00442E24">
              <w:noBreakHyphen/>
            </w:r>
            <w:r>
              <w:t>verbal clues, displaying empathy, showing respect for Aboriginal and Torres Strait Islander culture, knowledge and materials, and engaging and negotiating in good faith.</w:t>
            </w:r>
          </w:p>
        </w:tc>
      </w:tr>
      <w:tr w:rsidR="00792F51" w14:paraId="757A3A9F" w14:textId="77777777" w:rsidTr="00C75C7D">
        <w:tc>
          <w:tcPr>
            <w:tcW w:w="5000" w:type="pct"/>
            <w:tcBorders>
              <w:top w:val="nil"/>
              <w:left w:val="nil"/>
              <w:bottom w:val="single" w:sz="6" w:space="0" w:color="78A22F"/>
              <w:right w:val="nil"/>
            </w:tcBorders>
            <w:shd w:val="clear" w:color="auto" w:fill="F2F2F2"/>
          </w:tcPr>
          <w:p w14:paraId="70A14252" w14:textId="77777777" w:rsidR="00792F51" w:rsidRDefault="00792F51">
            <w:pPr>
              <w:pStyle w:val="Box"/>
              <w:spacing w:before="0" w:line="120" w:lineRule="exact"/>
            </w:pPr>
          </w:p>
        </w:tc>
      </w:tr>
      <w:tr w:rsidR="00792F51" w:rsidRPr="000863A5" w14:paraId="2F2C80CA" w14:textId="77777777" w:rsidTr="00C75C7D">
        <w:tc>
          <w:tcPr>
            <w:tcW w:w="5000" w:type="pct"/>
            <w:tcBorders>
              <w:top w:val="single" w:sz="6" w:space="0" w:color="78A22F"/>
              <w:left w:val="nil"/>
              <w:bottom w:val="nil"/>
              <w:right w:val="nil"/>
            </w:tcBorders>
          </w:tcPr>
          <w:p w14:paraId="6D27E942" w14:textId="58D8E1D7" w:rsidR="00792F51" w:rsidRPr="00626D32" w:rsidRDefault="00792F51" w:rsidP="00C75C7D">
            <w:pPr>
              <w:pStyle w:val="BoxSpaceBelow"/>
            </w:pPr>
          </w:p>
        </w:tc>
      </w:tr>
    </w:tbl>
    <w:p w14:paraId="153E7472" w14:textId="5821563D" w:rsidR="00C210B1" w:rsidRPr="004E3B94" w:rsidRDefault="00C210B1" w:rsidP="00C210B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210B1" w14:paraId="391B18F2" w14:textId="77777777" w:rsidTr="00551497">
        <w:trPr>
          <w:tblHeader/>
        </w:trPr>
        <w:tc>
          <w:tcPr>
            <w:tcW w:w="5000" w:type="pct"/>
            <w:tcBorders>
              <w:top w:val="single" w:sz="6" w:space="0" w:color="78A22F"/>
              <w:left w:val="nil"/>
              <w:bottom w:val="nil"/>
              <w:right w:val="nil"/>
            </w:tcBorders>
            <w:shd w:val="clear" w:color="auto" w:fill="auto"/>
          </w:tcPr>
          <w:p w14:paraId="1805FF2D" w14:textId="268B747E" w:rsidR="00C210B1" w:rsidRPr="00CE4C64" w:rsidRDefault="00E9742F" w:rsidP="00DC5A08">
            <w:pPr>
              <w:pStyle w:val="InformationRequestTitle"/>
              <w:spacing w:before="120"/>
            </w:pPr>
            <w:r>
              <w:t>question on cu</w:t>
            </w:r>
            <w:r w:rsidR="00DC5A08">
              <w:t xml:space="preserve">ltural </w:t>
            </w:r>
            <w:r w:rsidR="006F479E">
              <w:t xml:space="preserve">CAPABILITY </w:t>
            </w:r>
          </w:p>
        </w:tc>
      </w:tr>
      <w:tr w:rsidR="00C210B1" w:rsidRPr="00750BE2" w14:paraId="04056D88" w14:textId="77777777" w:rsidTr="00551497">
        <w:tc>
          <w:tcPr>
            <w:tcW w:w="5000" w:type="pct"/>
            <w:tcBorders>
              <w:top w:val="nil"/>
              <w:left w:val="nil"/>
              <w:bottom w:val="nil"/>
              <w:right w:val="nil"/>
            </w:tcBorders>
            <w:shd w:val="clear" w:color="auto" w:fill="auto"/>
          </w:tcPr>
          <w:p w14:paraId="5F98CD36" w14:textId="6C310281" w:rsidR="00C210B1" w:rsidRPr="006E7EE2" w:rsidRDefault="0034186D" w:rsidP="00E9742F">
            <w:pPr>
              <w:pStyle w:val="InformationRequest"/>
              <w:keepNext/>
            </w:pPr>
            <w:r>
              <w:t xml:space="preserve">How can the cultural </w:t>
            </w:r>
            <w:r w:rsidR="00E97167">
              <w:t>capability</w:t>
            </w:r>
            <w:r>
              <w:t xml:space="preserve"> of evaluation </w:t>
            </w:r>
            <w:r w:rsidR="00E9742F">
              <w:t>commissioners and practitioners</w:t>
            </w:r>
            <w:r>
              <w:t xml:space="preserve"> </w:t>
            </w:r>
            <w:r w:rsidR="00E97167">
              <w:t xml:space="preserve">and their respect for </w:t>
            </w:r>
            <w:r w:rsidR="00E97167" w:rsidRPr="00E97167">
              <w:t xml:space="preserve">Aboriginal and Torres Strait Islander culture, knowledges, history and values </w:t>
            </w:r>
            <w:r>
              <w:t>be demonstrated and improved?</w:t>
            </w:r>
          </w:p>
        </w:tc>
      </w:tr>
      <w:tr w:rsidR="00C210B1" w14:paraId="5D3F7941" w14:textId="77777777" w:rsidTr="00551497">
        <w:tc>
          <w:tcPr>
            <w:tcW w:w="5000" w:type="pct"/>
            <w:tcBorders>
              <w:top w:val="nil"/>
              <w:left w:val="nil"/>
              <w:bottom w:val="single" w:sz="6" w:space="0" w:color="78A22F"/>
              <w:right w:val="nil"/>
            </w:tcBorders>
            <w:shd w:val="clear" w:color="auto" w:fill="auto"/>
          </w:tcPr>
          <w:p w14:paraId="5F47B6DF" w14:textId="77777777" w:rsidR="00C210B1" w:rsidRDefault="00C210B1" w:rsidP="00551497">
            <w:pPr>
              <w:pStyle w:val="Space"/>
              <w:keepLines/>
            </w:pPr>
          </w:p>
        </w:tc>
      </w:tr>
      <w:tr w:rsidR="00C210B1" w:rsidRPr="000863A5" w14:paraId="2777C959" w14:textId="77777777" w:rsidTr="00551497">
        <w:tc>
          <w:tcPr>
            <w:tcW w:w="5000" w:type="pct"/>
            <w:tcBorders>
              <w:top w:val="single" w:sz="6" w:space="0" w:color="78A22F"/>
              <w:left w:val="nil"/>
              <w:bottom w:val="nil"/>
              <w:right w:val="nil"/>
            </w:tcBorders>
          </w:tcPr>
          <w:p w14:paraId="671B9032" w14:textId="22F7F4E6" w:rsidR="00C210B1" w:rsidRPr="00626D32" w:rsidRDefault="00C210B1" w:rsidP="00551497">
            <w:pPr>
              <w:pStyle w:val="BoxSpaceBelow"/>
              <w:keepLines/>
            </w:pPr>
          </w:p>
        </w:tc>
      </w:tr>
    </w:tbl>
    <w:p w14:paraId="3974267C" w14:textId="3837FF26" w:rsidR="0034186D" w:rsidRDefault="0034186D" w:rsidP="0034186D">
      <w:pPr>
        <w:pStyle w:val="Heading4"/>
      </w:pPr>
      <w:r>
        <w:t xml:space="preserve">Using appropriate </w:t>
      </w:r>
      <w:r w:rsidR="00073960">
        <w:t xml:space="preserve">approaches, </w:t>
      </w:r>
      <w:r>
        <w:t>methods and data</w:t>
      </w:r>
    </w:p>
    <w:p w14:paraId="37F54401" w14:textId="08E76AFB" w:rsidR="0034186D" w:rsidRPr="00D150B4" w:rsidRDefault="0034186D" w:rsidP="0034186D">
      <w:pPr>
        <w:pStyle w:val="BodyText"/>
        <w:rPr>
          <w:spacing w:val="2"/>
        </w:rPr>
      </w:pPr>
      <w:r w:rsidRPr="00D150B4">
        <w:rPr>
          <w:spacing w:val="2"/>
        </w:rPr>
        <w:t xml:space="preserve">Evaluations must use appropriate </w:t>
      </w:r>
      <w:r w:rsidR="00073960" w:rsidRPr="00D150B4">
        <w:rPr>
          <w:spacing w:val="2"/>
        </w:rPr>
        <w:t xml:space="preserve">approaches and </w:t>
      </w:r>
      <w:r w:rsidRPr="00D150B4">
        <w:rPr>
          <w:spacing w:val="2"/>
        </w:rPr>
        <w:t>methods (section</w:t>
      </w:r>
      <w:r w:rsidR="00442E24" w:rsidRPr="00D150B4">
        <w:rPr>
          <w:spacing w:val="2"/>
        </w:rPr>
        <w:t> </w:t>
      </w:r>
      <w:r w:rsidRPr="00D150B4">
        <w:rPr>
          <w:spacing w:val="2"/>
        </w:rPr>
        <w:t>3) so that the evidence generated is robust and reliable. The Indigenous evaluation framework is unlikely to endorse particular approaches</w:t>
      </w:r>
      <w:r w:rsidR="00073960" w:rsidRPr="00D150B4">
        <w:rPr>
          <w:spacing w:val="2"/>
        </w:rPr>
        <w:t xml:space="preserve"> or methods</w:t>
      </w:r>
      <w:r w:rsidRPr="00D150B4">
        <w:rPr>
          <w:spacing w:val="2"/>
        </w:rPr>
        <w:t xml:space="preserve">, but may provide guidance to users on the appropriateness of </w:t>
      </w:r>
      <w:r w:rsidR="00544599" w:rsidRPr="00D150B4">
        <w:rPr>
          <w:spacing w:val="2"/>
        </w:rPr>
        <w:t>alternative options</w:t>
      </w:r>
      <w:r w:rsidRPr="00D150B4">
        <w:rPr>
          <w:spacing w:val="2"/>
        </w:rPr>
        <w:t xml:space="preserve"> given the evaluation objectives and the context in which the program operates. </w:t>
      </w:r>
    </w:p>
    <w:p w14:paraId="4AD6D596" w14:textId="4E643D78" w:rsidR="009D74A2" w:rsidRDefault="009D74A2" w:rsidP="009D74A2">
      <w:pPr>
        <w:pStyle w:val="BodyText"/>
      </w:pPr>
      <w:r>
        <w:t>Access to high quality data to inform evaluations is also crucial. As Professor Deborah Cobb</w:t>
      </w:r>
      <w:r w:rsidR="00F96932">
        <w:noBreakHyphen/>
        <w:t>Clark</w:t>
      </w:r>
      <w:r>
        <w:t xml:space="preserve"> has stated:</w:t>
      </w:r>
    </w:p>
    <w:p w14:paraId="2ECCAC91" w14:textId="521C06E9" w:rsidR="009D74A2" w:rsidRDefault="009D74A2" w:rsidP="009D74A2">
      <w:pPr>
        <w:pStyle w:val="Quote"/>
      </w:pPr>
      <w:r>
        <w:t xml:space="preserve">… </w:t>
      </w:r>
      <w:proofErr w:type="gramStart"/>
      <w:r>
        <w:t>program</w:t>
      </w:r>
      <w:proofErr w:type="gramEnd"/>
      <w:r>
        <w:t xml:space="preserve"> evaluations always rest on the available data. It is simply not possible to evaluate what we cannot observe. It is not uncommon for data limitations to constrain the evaluation questions, the evaluation method, the quality of the evaluation, and indeed whether an evaluation is even possible. </w:t>
      </w:r>
      <w:r w:rsidR="003A2B57" w:rsidRPr="003A2B57">
        <w:rPr>
          <w:szCs w:val="24"/>
        </w:rPr>
        <w:t>(PC 2013, p. 84)</w:t>
      </w:r>
    </w:p>
    <w:p w14:paraId="7F67098F" w14:textId="28466C65" w:rsidR="001F55AE" w:rsidRDefault="009D74A2" w:rsidP="0034186D">
      <w:pPr>
        <w:pStyle w:val="BodyText"/>
      </w:pPr>
      <w:r>
        <w:lastRenderedPageBreak/>
        <w:t xml:space="preserve">Evaluations that utilise high quality data are likely to be more complete and, ultimately, more useful than those that do not use high quality data. </w:t>
      </w:r>
      <w:r w:rsidR="006C03ED">
        <w:t>E</w:t>
      </w:r>
      <w:r w:rsidR="000802FD">
        <w:t xml:space="preserve">xisting data sources (such as </w:t>
      </w:r>
      <w:r w:rsidR="001F55AE">
        <w:t xml:space="preserve">program monitoring, survey or </w:t>
      </w:r>
      <w:r w:rsidR="000802FD">
        <w:t xml:space="preserve">administrative data) should be used in evaluation where </w:t>
      </w:r>
      <w:r w:rsidR="006C03ED">
        <w:t xml:space="preserve">possible </w:t>
      </w:r>
      <w:r w:rsidR="000802FD">
        <w:t xml:space="preserve">to reduce data collection burden for evaluation participants. </w:t>
      </w:r>
      <w:r>
        <w:t xml:space="preserve">That said, there will likely be instances where necessary data cannot be obtained through existing sources and data to inform evaluation will need to be collected before, during and/or after program delivery. </w:t>
      </w:r>
      <w:r w:rsidR="008E6140">
        <w:t>A better understanding of the range of existing data sources available for evaluation</w:t>
      </w:r>
      <w:r w:rsidR="00422FBC">
        <w:t>,</w:t>
      </w:r>
      <w:r w:rsidR="008E6140">
        <w:t xml:space="preserve"> as well as </w:t>
      </w:r>
      <w:r w:rsidR="00422FBC">
        <w:t xml:space="preserve">identifying </w:t>
      </w:r>
      <w:r w:rsidR="008E6140">
        <w:t>data gaps</w:t>
      </w:r>
      <w:r w:rsidR="00422FBC">
        <w:t>,</w:t>
      </w:r>
      <w:r w:rsidR="008E6140">
        <w:t xml:space="preserve"> </w:t>
      </w:r>
      <w:r w:rsidR="00422FBC">
        <w:t>could help evaluators make better use of existing data and inform future government and community</w:t>
      </w:r>
      <w:r w:rsidR="00442E24">
        <w:noBreakHyphen/>
      </w:r>
      <w:r w:rsidR="00422FBC">
        <w:t>led data collection activity.</w:t>
      </w:r>
    </w:p>
    <w:p w14:paraId="4BB30BAF" w14:textId="23CE168E" w:rsidR="0015076B" w:rsidRPr="00D150B4" w:rsidRDefault="0034186D" w:rsidP="0034186D">
      <w:pPr>
        <w:pStyle w:val="BodyText"/>
        <w:rPr>
          <w:spacing w:val="-4"/>
        </w:rPr>
      </w:pPr>
      <w:r w:rsidRPr="00D150B4">
        <w:rPr>
          <w:spacing w:val="-4"/>
        </w:rPr>
        <w:t xml:space="preserve">Where data are collected as part of an evaluation, agreement should be reached about data collection procedures, data </w:t>
      </w:r>
      <w:r w:rsidR="00F52CB9" w:rsidRPr="00D150B4">
        <w:rPr>
          <w:spacing w:val="-4"/>
        </w:rPr>
        <w:t xml:space="preserve">governance, </w:t>
      </w:r>
      <w:r w:rsidRPr="00D150B4">
        <w:rPr>
          <w:spacing w:val="-4"/>
        </w:rPr>
        <w:t>data ownership</w:t>
      </w:r>
      <w:r w:rsidR="00F52CB9" w:rsidRPr="00D150B4">
        <w:rPr>
          <w:spacing w:val="-4"/>
        </w:rPr>
        <w:t>, data use</w:t>
      </w:r>
      <w:r w:rsidRPr="00D150B4">
        <w:rPr>
          <w:spacing w:val="-4"/>
        </w:rPr>
        <w:t xml:space="preserve"> and storage between evaluators and participants.</w:t>
      </w:r>
      <w:r w:rsidR="009D74A2" w:rsidRPr="00D150B4">
        <w:rPr>
          <w:spacing w:val="-4"/>
        </w:rPr>
        <w:t xml:space="preserve"> Broader issues around data governance — including around the protocols for collecting, managing, linking, storing and sharing data — are discussed in section</w:t>
      </w:r>
      <w:r w:rsidR="00442E24" w:rsidRPr="00D150B4">
        <w:rPr>
          <w:spacing w:val="-4"/>
        </w:rPr>
        <w:t> </w:t>
      </w:r>
      <w:r w:rsidR="009D74A2" w:rsidRPr="00D150B4">
        <w:rPr>
          <w:spacing w:val="-4"/>
        </w:rPr>
        <w:t>5.</w:t>
      </w:r>
    </w:p>
    <w:p w14:paraId="462964B9" w14:textId="69588F25" w:rsidR="00C210B1" w:rsidRPr="004E3B94" w:rsidRDefault="00C210B1" w:rsidP="00C210B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210B1" w14:paraId="3E95B8AE" w14:textId="77777777" w:rsidTr="00551497">
        <w:trPr>
          <w:tblHeader/>
        </w:trPr>
        <w:tc>
          <w:tcPr>
            <w:tcW w:w="5000" w:type="pct"/>
            <w:tcBorders>
              <w:top w:val="single" w:sz="6" w:space="0" w:color="78A22F"/>
              <w:left w:val="nil"/>
              <w:bottom w:val="nil"/>
              <w:right w:val="nil"/>
            </w:tcBorders>
            <w:shd w:val="clear" w:color="auto" w:fill="auto"/>
          </w:tcPr>
          <w:p w14:paraId="3D09DDFB" w14:textId="5ABC3B58" w:rsidR="00C210B1" w:rsidRPr="00CE4C64" w:rsidRDefault="00DC5A08" w:rsidP="00551497">
            <w:pPr>
              <w:pStyle w:val="InformationRequestTitle"/>
              <w:spacing w:before="120"/>
            </w:pPr>
            <w:r>
              <w:t>questions on evaluation methods</w:t>
            </w:r>
            <w:r w:rsidR="001F55AE">
              <w:t xml:space="preserve"> and data</w:t>
            </w:r>
          </w:p>
        </w:tc>
      </w:tr>
      <w:tr w:rsidR="00C210B1" w:rsidRPr="00750BE2" w14:paraId="56D9F7D8" w14:textId="77777777" w:rsidTr="00551497">
        <w:tc>
          <w:tcPr>
            <w:tcW w:w="5000" w:type="pct"/>
            <w:tcBorders>
              <w:top w:val="nil"/>
              <w:left w:val="nil"/>
              <w:bottom w:val="nil"/>
              <w:right w:val="nil"/>
            </w:tcBorders>
            <w:shd w:val="clear" w:color="auto" w:fill="auto"/>
          </w:tcPr>
          <w:p w14:paraId="590846B5" w14:textId="2EC544CA" w:rsidR="00F52CB9" w:rsidRDefault="0034186D" w:rsidP="00F52CB9">
            <w:pPr>
              <w:pStyle w:val="InformationRequest"/>
              <w:keepNext/>
            </w:pPr>
            <w:r>
              <w:t xml:space="preserve">What types of evaluation </w:t>
            </w:r>
            <w:r w:rsidR="00582D2B">
              <w:t xml:space="preserve">approaches and </w:t>
            </w:r>
            <w:r>
              <w:t>methods are currently used to evaluate Indigenous programs? How could evaluation methods be improved to ensure robust and reliable evidence is produced?</w:t>
            </w:r>
          </w:p>
          <w:p w14:paraId="33B2364D" w14:textId="54C8ADA6" w:rsidR="00C210B1" w:rsidRPr="00113624" w:rsidRDefault="00A66669" w:rsidP="009D1BF2">
            <w:pPr>
              <w:pStyle w:val="InformationRequest"/>
            </w:pPr>
            <w:r>
              <w:t>To what extent does a lack of high</w:t>
            </w:r>
            <w:r w:rsidR="00442E24">
              <w:noBreakHyphen/>
            </w:r>
            <w:r>
              <w:t>quality, accessible data</w:t>
            </w:r>
            <w:r w:rsidR="00422FBC">
              <w:t>, including data gaps,</w:t>
            </w:r>
            <w:r>
              <w:t xml:space="preserve"> act as a barrier to undertaking effective evaluation of </w:t>
            </w:r>
            <w:r w:rsidR="004819D3">
              <w:t>policies and programs</w:t>
            </w:r>
            <w:r>
              <w:t xml:space="preserve"> affecting Aboriginal and Torres Strait Islander people? </w:t>
            </w:r>
          </w:p>
        </w:tc>
      </w:tr>
      <w:tr w:rsidR="00C210B1" w14:paraId="19F185BB" w14:textId="77777777" w:rsidTr="00551497">
        <w:tc>
          <w:tcPr>
            <w:tcW w:w="5000" w:type="pct"/>
            <w:tcBorders>
              <w:top w:val="nil"/>
              <w:left w:val="nil"/>
              <w:bottom w:val="single" w:sz="6" w:space="0" w:color="78A22F"/>
              <w:right w:val="nil"/>
            </w:tcBorders>
            <w:shd w:val="clear" w:color="auto" w:fill="auto"/>
          </w:tcPr>
          <w:p w14:paraId="03060B70" w14:textId="77777777" w:rsidR="00C210B1" w:rsidRDefault="00C210B1" w:rsidP="00551497">
            <w:pPr>
              <w:pStyle w:val="Space"/>
              <w:keepLines/>
            </w:pPr>
          </w:p>
        </w:tc>
      </w:tr>
      <w:tr w:rsidR="00C210B1" w:rsidRPr="000863A5" w14:paraId="6F7AAC6F" w14:textId="77777777" w:rsidTr="00551497">
        <w:tc>
          <w:tcPr>
            <w:tcW w:w="5000" w:type="pct"/>
            <w:tcBorders>
              <w:top w:val="single" w:sz="6" w:space="0" w:color="78A22F"/>
              <w:left w:val="nil"/>
              <w:bottom w:val="nil"/>
              <w:right w:val="nil"/>
            </w:tcBorders>
          </w:tcPr>
          <w:p w14:paraId="61A419B2" w14:textId="72A317EB" w:rsidR="00C210B1" w:rsidRPr="00626D32" w:rsidRDefault="00C210B1" w:rsidP="00551497">
            <w:pPr>
              <w:pStyle w:val="BoxSpaceBelow"/>
              <w:keepLines/>
            </w:pPr>
          </w:p>
        </w:tc>
      </w:tr>
    </w:tbl>
    <w:p w14:paraId="5036184F" w14:textId="77777777" w:rsidR="0034186D" w:rsidRDefault="0034186D" w:rsidP="0034186D">
      <w:pPr>
        <w:pStyle w:val="Heading4"/>
      </w:pPr>
      <w:r>
        <w:t>Transparency and accountability</w:t>
      </w:r>
    </w:p>
    <w:p w14:paraId="2BAD2634" w14:textId="5A5A0578" w:rsidR="006C606E" w:rsidRDefault="000802FD" w:rsidP="0034186D">
      <w:pPr>
        <w:pStyle w:val="BodyText"/>
      </w:pPr>
      <w:r>
        <w:t>While current practice varies across Australian Government agencies, it is clear that not all evaluation reports are publicly released. For example, a</w:t>
      </w:r>
      <w:r w:rsidR="006C606E" w:rsidRPr="000802FD">
        <w:t xml:space="preserve"> </w:t>
      </w:r>
      <w:r w:rsidR="006C606E" w:rsidRPr="000802FD">
        <w:lastRenderedPageBreak/>
        <w:t xml:space="preserve">review of program evaluations in Indigenous health </w:t>
      </w:r>
      <w:r w:rsidR="003F48A9">
        <w:t>comparing publicly</w:t>
      </w:r>
      <w:r w:rsidR="00442E24">
        <w:noBreakHyphen/>
      </w:r>
      <w:r w:rsidR="003F48A9">
        <w:t xml:space="preserve">advertised requests for tender for evaluation with published evaluation reports </w:t>
      </w:r>
      <w:r w:rsidR="006C606E" w:rsidRPr="000802FD">
        <w:t>found that only one</w:t>
      </w:r>
      <w:r w:rsidR="00442E24">
        <w:noBreakHyphen/>
      </w:r>
      <w:r w:rsidR="006C606E" w:rsidRPr="000802FD">
        <w:t>third of commissioned evaluation reports</w:t>
      </w:r>
      <w:r w:rsidR="00076DE8">
        <w:t xml:space="preserve"> </w:t>
      </w:r>
      <w:r w:rsidR="006C606E" w:rsidRPr="000802FD">
        <w:t xml:space="preserve">were made public </w:t>
      </w:r>
      <w:r>
        <w:t>between 2007 and 2017</w:t>
      </w:r>
      <w:r w:rsidR="006C606E">
        <w:t xml:space="preserve"> </w:t>
      </w:r>
      <w:r w:rsidR="003E41C3" w:rsidRPr="003E41C3">
        <w:rPr>
          <w:szCs w:val="24"/>
        </w:rPr>
        <w:t>(</w:t>
      </w:r>
      <w:proofErr w:type="spellStart"/>
      <w:r w:rsidR="003E41C3" w:rsidRPr="003E41C3">
        <w:rPr>
          <w:szCs w:val="24"/>
        </w:rPr>
        <w:t>Kelaher</w:t>
      </w:r>
      <w:proofErr w:type="spellEnd"/>
      <w:r w:rsidR="003E41C3" w:rsidRPr="003E41C3">
        <w:rPr>
          <w:szCs w:val="24"/>
        </w:rPr>
        <w:t xml:space="preserve"> et al. 2018)</w:t>
      </w:r>
      <w:r>
        <w:t>.</w:t>
      </w:r>
    </w:p>
    <w:p w14:paraId="464F5D73" w14:textId="6D8A4D36" w:rsidR="0034186D" w:rsidRDefault="0034186D" w:rsidP="0034186D">
      <w:pPr>
        <w:pStyle w:val="BodyText"/>
      </w:pPr>
      <w:r>
        <w:t>There are many arguments as to why evaluation reports should be made public. Publication increases accountability to the public and evaluation participants</w:t>
      </w:r>
      <w:r w:rsidR="00DE40EE">
        <w:t>,</w:t>
      </w:r>
      <w:r>
        <w:t xml:space="preserve"> and allows others to learn from evaluation findings. This may be particularly valuable where similar programs are delivered by different agencies, levels of government or regions. There may be some instances where publishing evaluation reports is not desirable. For example, where evaluations focus on a single geographic area or service provider, publishing detailed evaluation reports could compromise confidentiality and privacy. In these cases, it may be possible to publish a summary of evaluation findings rather than the full report</w:t>
      </w:r>
      <w:r w:rsidR="00442E24">
        <w:t>.</w:t>
      </w:r>
    </w:p>
    <w:p w14:paraId="6DC0DAF1" w14:textId="6775B4C3" w:rsidR="0034186D" w:rsidRDefault="0034186D" w:rsidP="0034186D">
      <w:pPr>
        <w:pStyle w:val="BodyText"/>
      </w:pPr>
      <w:r>
        <w:t>Transparency around evaluation processes (such as by publishing evaluation plans or methodologies, and clearly pointing out evaluation strengths and limitations) helps external viewers to judge the legitimacy of evaluation findings. Evaluation findings should be presented in a way that is of use to communities and individuals who were involved in the evaluation.</w:t>
      </w:r>
      <w:r w:rsidRPr="00D320FF">
        <w:t xml:space="preserve"> </w:t>
      </w:r>
      <w:r>
        <w:t>In order to increase accountability and the impact of evaluation on decision</w:t>
      </w:r>
      <w:r w:rsidR="006E3E1F">
        <w:t xml:space="preserve"> </w:t>
      </w:r>
      <w:r>
        <w:t xml:space="preserve">making processes, agencies </w:t>
      </w:r>
      <w:r w:rsidR="000802FD">
        <w:t xml:space="preserve">may </w:t>
      </w:r>
      <w:r>
        <w:t>require management to respond to evaluation recommendations or findings, and in some cases management responses are published alongside evaluation reports (</w:t>
      </w:r>
      <w:r w:rsidRPr="004D5B53">
        <w:t>box</w:t>
      </w:r>
      <w:r w:rsidR="00442E24">
        <w:t> </w:t>
      </w:r>
      <w:r w:rsidR="004D3BA9">
        <w:t>11</w:t>
      </w:r>
      <w:r>
        <w:t>).</w:t>
      </w:r>
    </w:p>
    <w:p w14:paraId="3260649F" w14:textId="12CEE96A" w:rsidR="00ED183B" w:rsidRDefault="00ED183B" w:rsidP="00ED183B">
      <w:pPr>
        <w:pStyle w:val="BodyText"/>
      </w:pPr>
      <w:r>
        <w:t>Requiring managers to formally consider the outcomes of evaluation mitigates the risk that findings from evaluation are placed in the ‘too hard’ basket, or that findings that governments do not find agreeable are ignored.</w:t>
      </w:r>
    </w:p>
    <w:p w14:paraId="4E25FE16" w14:textId="722B8B59" w:rsidR="00792F51" w:rsidRDefault="00792F5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92F51" w14:paraId="3F026623" w14:textId="77777777" w:rsidTr="00C75C7D">
        <w:trPr>
          <w:tblHeader/>
        </w:trPr>
        <w:tc>
          <w:tcPr>
            <w:tcW w:w="5000" w:type="pct"/>
            <w:tcBorders>
              <w:top w:val="single" w:sz="6" w:space="0" w:color="78A22F"/>
              <w:left w:val="nil"/>
              <w:bottom w:val="nil"/>
              <w:right w:val="nil"/>
            </w:tcBorders>
            <w:shd w:val="clear" w:color="auto" w:fill="F2F2F2"/>
          </w:tcPr>
          <w:p w14:paraId="229165FD" w14:textId="532CD80C" w:rsidR="00792F51" w:rsidRDefault="00792F51">
            <w:pPr>
              <w:pStyle w:val="BoxTitle"/>
            </w:pPr>
            <w:r>
              <w:rPr>
                <w:b w:val="0"/>
              </w:rPr>
              <w:t xml:space="preserve">Box </w:t>
            </w:r>
            <w:bookmarkStart w:id="183" w:name="OLE_LINK15"/>
            <w:r w:rsidR="00E109F5">
              <w:rPr>
                <w:b w:val="0"/>
                <w:noProof/>
              </w:rPr>
              <w:t>11</w:t>
            </w:r>
            <w:bookmarkEnd w:id="183"/>
            <w:r>
              <w:tab/>
              <w:t>Publishing and responding to evaluation results</w:t>
            </w:r>
          </w:p>
        </w:tc>
      </w:tr>
      <w:tr w:rsidR="00792F51" w14:paraId="7A914EF1" w14:textId="77777777" w:rsidTr="00C75C7D">
        <w:tc>
          <w:tcPr>
            <w:tcW w:w="5000" w:type="pct"/>
            <w:tcBorders>
              <w:top w:val="nil"/>
              <w:left w:val="nil"/>
              <w:bottom w:val="nil"/>
              <w:right w:val="nil"/>
            </w:tcBorders>
            <w:shd w:val="clear" w:color="auto" w:fill="F2F2F2"/>
          </w:tcPr>
          <w:p w14:paraId="6AE4F0D9" w14:textId="65EC8568" w:rsidR="00792F51" w:rsidRDefault="00792F51" w:rsidP="00792F51">
            <w:pPr>
              <w:pStyle w:val="Box"/>
            </w:pPr>
            <w:r>
              <w:t>The Office of Development Effectiveness (ODE) at the Department of Foreign Affairs and Trade (DFAT) monitors the quality and assesses the impact of the Australian aid program. As part of its work, the ODE supports, conducts and reviews program evaluations of Australia</w:t>
            </w:r>
            <w:r w:rsidR="0027424E">
              <w:t>n</w:t>
            </w:r>
            <w:r>
              <w:t xml:space="preserve"> aid investments. </w:t>
            </w:r>
          </w:p>
          <w:p w14:paraId="5A1534A4" w14:textId="6BF8B568" w:rsidR="00792F51" w:rsidRDefault="00792F51" w:rsidP="00792F51">
            <w:pPr>
              <w:pStyle w:val="Box"/>
            </w:pPr>
            <w:r>
              <w:t>To ensure its systems and processes facilitate the use of evaluations, the ODE works to ensure that management responses are provided for all evaluations. The responses outline whether there was agreement with the recommendations in the evaluation report, and how and when recommendations will be implemented. Under the 2016 Aid Evaluation Policy, all management responses to ODE’s strategic evaluations should be finalised within 28 days of completion of the evaluation report, and the completed report, along with the corresponding management response is then published on the DFAT website. The department’s 2019 Annual Aid Evaluation Plan suggests that four strategic evaluations and 44 program evaluations are expected to be published in 2019, with all program evaluations to include a management response.</w:t>
            </w:r>
          </w:p>
        </w:tc>
      </w:tr>
      <w:tr w:rsidR="00792F51" w14:paraId="79CAD291" w14:textId="77777777" w:rsidTr="00C75C7D">
        <w:tc>
          <w:tcPr>
            <w:tcW w:w="5000" w:type="pct"/>
            <w:tcBorders>
              <w:top w:val="nil"/>
              <w:left w:val="nil"/>
              <w:bottom w:val="nil"/>
              <w:right w:val="nil"/>
            </w:tcBorders>
            <w:shd w:val="clear" w:color="auto" w:fill="F2F2F2"/>
          </w:tcPr>
          <w:p w14:paraId="338E6BD0" w14:textId="580B2342" w:rsidR="00792F51" w:rsidRDefault="00792F51" w:rsidP="001035F2">
            <w:pPr>
              <w:pStyle w:val="BoxSource"/>
            </w:pPr>
            <w:r>
              <w:rPr>
                <w:i/>
              </w:rPr>
              <w:t>Sources</w:t>
            </w:r>
            <w:r w:rsidRPr="00167F06">
              <w:t xml:space="preserve">: </w:t>
            </w:r>
            <w:r w:rsidR="001035F2">
              <w:t>DFAT</w:t>
            </w:r>
            <w:r>
              <w:t xml:space="preserve"> </w:t>
            </w:r>
            <w:r w:rsidR="00CC3D74" w:rsidRPr="00CC3D74">
              <w:rPr>
                <w:rFonts w:cs="Arial"/>
              </w:rPr>
              <w:t>(2017, 2019)</w:t>
            </w:r>
            <w:r w:rsidR="001325BB">
              <w:t>.</w:t>
            </w:r>
          </w:p>
        </w:tc>
      </w:tr>
      <w:tr w:rsidR="00792F51" w14:paraId="27247AC5" w14:textId="77777777" w:rsidTr="00C75C7D">
        <w:tc>
          <w:tcPr>
            <w:tcW w:w="5000" w:type="pct"/>
            <w:tcBorders>
              <w:top w:val="nil"/>
              <w:left w:val="nil"/>
              <w:bottom w:val="single" w:sz="6" w:space="0" w:color="78A22F"/>
              <w:right w:val="nil"/>
            </w:tcBorders>
            <w:shd w:val="clear" w:color="auto" w:fill="F2F2F2"/>
          </w:tcPr>
          <w:p w14:paraId="74FCF3DE" w14:textId="77777777" w:rsidR="00792F51" w:rsidRDefault="00792F51">
            <w:pPr>
              <w:pStyle w:val="Box"/>
              <w:spacing w:before="0" w:line="120" w:lineRule="exact"/>
            </w:pPr>
          </w:p>
        </w:tc>
      </w:tr>
      <w:tr w:rsidR="00792F51" w:rsidRPr="000863A5" w14:paraId="6FB8DDD6" w14:textId="77777777" w:rsidTr="00C75C7D">
        <w:tc>
          <w:tcPr>
            <w:tcW w:w="5000" w:type="pct"/>
            <w:tcBorders>
              <w:top w:val="single" w:sz="6" w:space="0" w:color="78A22F"/>
              <w:left w:val="nil"/>
              <w:bottom w:val="nil"/>
              <w:right w:val="nil"/>
            </w:tcBorders>
          </w:tcPr>
          <w:p w14:paraId="3D86996E" w14:textId="3559485C" w:rsidR="00792F51" w:rsidRPr="00626D32" w:rsidRDefault="00792F51" w:rsidP="00C75C7D">
            <w:pPr>
              <w:pStyle w:val="BoxSpaceBelow"/>
            </w:pPr>
          </w:p>
        </w:tc>
      </w:tr>
    </w:tbl>
    <w:p w14:paraId="6A5B56DF" w14:textId="16255CA8" w:rsidR="00C210B1" w:rsidRPr="004E3B94" w:rsidRDefault="00C210B1" w:rsidP="00C210B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210B1" w14:paraId="7606174F" w14:textId="77777777" w:rsidTr="00551497">
        <w:trPr>
          <w:tblHeader/>
        </w:trPr>
        <w:tc>
          <w:tcPr>
            <w:tcW w:w="5000" w:type="pct"/>
            <w:tcBorders>
              <w:top w:val="single" w:sz="6" w:space="0" w:color="78A22F"/>
              <w:left w:val="nil"/>
              <w:bottom w:val="nil"/>
              <w:right w:val="nil"/>
            </w:tcBorders>
            <w:shd w:val="clear" w:color="auto" w:fill="auto"/>
          </w:tcPr>
          <w:p w14:paraId="4D209522" w14:textId="7C4D9936" w:rsidR="00C210B1" w:rsidRPr="00CE4C64" w:rsidRDefault="00DC5A08" w:rsidP="00551497">
            <w:pPr>
              <w:pStyle w:val="InformationRequestTitle"/>
              <w:spacing w:before="120"/>
            </w:pPr>
            <w:r>
              <w:t>questions on evaluation TRANSPARENCY</w:t>
            </w:r>
          </w:p>
        </w:tc>
      </w:tr>
      <w:tr w:rsidR="00C210B1" w:rsidRPr="00750BE2" w14:paraId="5E775FE3" w14:textId="77777777" w:rsidTr="00551497">
        <w:tc>
          <w:tcPr>
            <w:tcW w:w="5000" w:type="pct"/>
            <w:tcBorders>
              <w:top w:val="nil"/>
              <w:left w:val="nil"/>
              <w:bottom w:val="nil"/>
              <w:right w:val="nil"/>
            </w:tcBorders>
            <w:shd w:val="clear" w:color="auto" w:fill="auto"/>
          </w:tcPr>
          <w:p w14:paraId="62B9295C" w14:textId="77777777" w:rsidR="0034186D" w:rsidRDefault="0034186D" w:rsidP="0034186D">
            <w:pPr>
              <w:pStyle w:val="InformationRequest"/>
              <w:keepNext/>
            </w:pPr>
            <w:r>
              <w:t xml:space="preserve">What are the current arrangements and requirements (if any) for publishing Australian Government evaluation reports? How </w:t>
            </w:r>
            <w:proofErr w:type="gramStart"/>
            <w:r>
              <w:t>are agencies</w:t>
            </w:r>
            <w:proofErr w:type="gramEnd"/>
            <w:r>
              <w:t xml:space="preserve"> held accountable for responding to evaluation recommendations or findings? </w:t>
            </w:r>
          </w:p>
          <w:p w14:paraId="74748B68" w14:textId="77777777" w:rsidR="0034186D" w:rsidRDefault="0034186D" w:rsidP="0034186D">
            <w:pPr>
              <w:pStyle w:val="InformationRequest"/>
              <w:keepNext/>
            </w:pPr>
            <w:r>
              <w:t>Should all evaluation reports be published? In what circumstances might it be appropriate to not publish evaluation reports?</w:t>
            </w:r>
          </w:p>
          <w:p w14:paraId="3614FE95" w14:textId="451BADD6" w:rsidR="00C210B1" w:rsidRPr="006E7EE2" w:rsidRDefault="0034186D" w:rsidP="0034186D">
            <w:pPr>
              <w:pStyle w:val="InformationRequest"/>
              <w:keepNext/>
            </w:pPr>
            <w:r>
              <w:t xml:space="preserve">What mechanisms currently exist for </w:t>
            </w:r>
            <w:r w:rsidR="001F55AE">
              <w:t xml:space="preserve">sharing </w:t>
            </w:r>
            <w:r>
              <w:t xml:space="preserve">evaluation results </w:t>
            </w:r>
            <w:r w:rsidR="001F55AE">
              <w:t>and data with</w:t>
            </w:r>
            <w:r>
              <w:t xml:space="preserve"> Aboriginal and Torres Strait Islander evaluation participants? Are these effective? How could they be improved?</w:t>
            </w:r>
          </w:p>
        </w:tc>
      </w:tr>
      <w:tr w:rsidR="00C210B1" w14:paraId="1E8DD7E6" w14:textId="77777777" w:rsidTr="00551497">
        <w:tc>
          <w:tcPr>
            <w:tcW w:w="5000" w:type="pct"/>
            <w:tcBorders>
              <w:top w:val="nil"/>
              <w:left w:val="nil"/>
              <w:bottom w:val="single" w:sz="6" w:space="0" w:color="78A22F"/>
              <w:right w:val="nil"/>
            </w:tcBorders>
            <w:shd w:val="clear" w:color="auto" w:fill="auto"/>
          </w:tcPr>
          <w:p w14:paraId="24A6656D" w14:textId="77777777" w:rsidR="00C210B1" w:rsidRDefault="00C210B1" w:rsidP="00551497">
            <w:pPr>
              <w:pStyle w:val="Space"/>
              <w:keepLines/>
            </w:pPr>
          </w:p>
        </w:tc>
      </w:tr>
      <w:tr w:rsidR="00C210B1" w:rsidRPr="000863A5" w14:paraId="1A214D47" w14:textId="77777777" w:rsidTr="00551497">
        <w:tc>
          <w:tcPr>
            <w:tcW w:w="5000" w:type="pct"/>
            <w:tcBorders>
              <w:top w:val="single" w:sz="6" w:space="0" w:color="78A22F"/>
              <w:left w:val="nil"/>
              <w:bottom w:val="nil"/>
              <w:right w:val="nil"/>
            </w:tcBorders>
          </w:tcPr>
          <w:p w14:paraId="42A0491A" w14:textId="31FB83ED" w:rsidR="00C210B1" w:rsidRPr="00626D32" w:rsidRDefault="00C210B1" w:rsidP="00551497">
            <w:pPr>
              <w:pStyle w:val="BoxSpaceBelow"/>
              <w:keepLines/>
            </w:pPr>
          </w:p>
        </w:tc>
      </w:tr>
    </w:tbl>
    <w:p w14:paraId="79D5B211" w14:textId="14620A43" w:rsidR="00550848" w:rsidRDefault="00550848" w:rsidP="00550848">
      <w:pPr>
        <w:pStyle w:val="Heading2"/>
      </w:pPr>
      <w:bookmarkStart w:id="184" w:name="ChapterNumber"/>
      <w:bookmarkStart w:id="185" w:name="_Toc10710010"/>
      <w:bookmarkStart w:id="186" w:name="_Toc10734434"/>
      <w:bookmarkStart w:id="187" w:name="_Toc10735506"/>
      <w:bookmarkStart w:id="188" w:name="_Toc10794235"/>
      <w:bookmarkStart w:id="189" w:name="_Toc10795570"/>
      <w:bookmarkStart w:id="190" w:name="_Toc10795715"/>
      <w:bookmarkStart w:id="191" w:name="_Toc10802402"/>
      <w:bookmarkStart w:id="192" w:name="_Toc10808048"/>
      <w:bookmarkStart w:id="193" w:name="_Toc10808789"/>
      <w:bookmarkStart w:id="194" w:name="_Toc12272490"/>
      <w:bookmarkStart w:id="195" w:name="_Toc12363005"/>
      <w:bookmarkEnd w:id="184"/>
      <w:r>
        <w:t>5</w:t>
      </w:r>
      <w:r>
        <w:tab/>
        <w:t>Ensuring effective evaluation</w:t>
      </w:r>
      <w:bookmarkEnd w:id="185"/>
      <w:bookmarkEnd w:id="186"/>
      <w:bookmarkEnd w:id="187"/>
      <w:bookmarkEnd w:id="188"/>
      <w:bookmarkEnd w:id="189"/>
      <w:bookmarkEnd w:id="190"/>
      <w:bookmarkEnd w:id="191"/>
      <w:bookmarkEnd w:id="192"/>
      <w:bookmarkEnd w:id="193"/>
      <w:bookmarkEnd w:id="194"/>
      <w:bookmarkEnd w:id="195"/>
    </w:p>
    <w:p w14:paraId="44D2FEF7" w14:textId="013AE5B1" w:rsidR="0023566C" w:rsidRDefault="0023566C" w:rsidP="0023566C">
      <w:pPr>
        <w:pStyle w:val="BodyText"/>
      </w:pPr>
      <w:r>
        <w:t>A key component of the Indigenous Evaluation Strategy is the development of evaluation priorities for the Australian Government. This exercise is crucial for ensuring that evaluation effort and resource</w:t>
      </w:r>
      <w:r w:rsidR="00A35345">
        <w:t>s</w:t>
      </w:r>
      <w:r>
        <w:t xml:space="preserve"> </w:t>
      </w:r>
      <w:r w:rsidR="00A35345">
        <w:t xml:space="preserve">are </w:t>
      </w:r>
      <w:r>
        <w:t>directed in the most effective and impactful way. Some of the issues and complexities associated with this task, on which the Commission is seeking feedback, are described below.</w:t>
      </w:r>
    </w:p>
    <w:p w14:paraId="76A804EC" w14:textId="797B0945" w:rsidR="00496112" w:rsidRDefault="00496112" w:rsidP="00550848">
      <w:pPr>
        <w:pStyle w:val="BodyText"/>
      </w:pPr>
      <w:r>
        <w:lastRenderedPageBreak/>
        <w:t>An Indigenous evaluation framework (section</w:t>
      </w:r>
      <w:r w:rsidR="00442E24">
        <w:t> </w:t>
      </w:r>
      <w:r>
        <w:t xml:space="preserve">4), coupled with a list of policy and program priorities, would represent a significant step towards improving </w:t>
      </w:r>
      <w:r w:rsidR="00A734C9">
        <w:t xml:space="preserve">Indigenous </w:t>
      </w:r>
      <w:r>
        <w:t xml:space="preserve">evaluation practice across government. However, on their own these developments are not sufficient. </w:t>
      </w:r>
      <w:r w:rsidR="00550848" w:rsidRPr="002C665F">
        <w:t xml:space="preserve">A range of </w:t>
      </w:r>
      <w:r w:rsidR="00550848">
        <w:t xml:space="preserve">supporting processes and </w:t>
      </w:r>
      <w:r w:rsidR="00550848" w:rsidRPr="002C665F">
        <w:t>features must</w:t>
      </w:r>
      <w:r w:rsidR="00550848" w:rsidRPr="006A3C86">
        <w:t xml:space="preserve"> also be </w:t>
      </w:r>
      <w:r w:rsidR="00550848">
        <w:t xml:space="preserve">in place </w:t>
      </w:r>
      <w:r w:rsidR="00550848" w:rsidRPr="006A3C86">
        <w:t xml:space="preserve">to </w:t>
      </w:r>
      <w:r>
        <w:t xml:space="preserve">further </w:t>
      </w:r>
      <w:r w:rsidR="00550848">
        <w:t xml:space="preserve">the </w:t>
      </w:r>
      <w:r>
        <w:t xml:space="preserve">objectives and aspirations stakeholders have for the Indigenous </w:t>
      </w:r>
      <w:r w:rsidR="003168B7">
        <w:t>E</w:t>
      </w:r>
      <w:r>
        <w:t xml:space="preserve">valuation </w:t>
      </w:r>
      <w:r w:rsidR="003168B7">
        <w:t>S</w:t>
      </w:r>
      <w:r>
        <w:t xml:space="preserve">trategy, namely: </w:t>
      </w:r>
    </w:p>
    <w:p w14:paraId="10D1444B" w14:textId="7D359A72" w:rsidR="000D539A" w:rsidRDefault="00683364" w:rsidP="00550848">
      <w:pPr>
        <w:pStyle w:val="ListBullet"/>
      </w:pPr>
      <w:r>
        <w:t xml:space="preserve">a </w:t>
      </w:r>
      <w:r w:rsidR="000D539A">
        <w:t>strong evaluative culture, capability and capacity within organisations involved in evaluation</w:t>
      </w:r>
    </w:p>
    <w:p w14:paraId="51305161" w14:textId="0A2DC31B" w:rsidR="000D539A" w:rsidRDefault="00C92A4D" w:rsidP="00C92A4D">
      <w:pPr>
        <w:pStyle w:val="ListBullet"/>
      </w:pPr>
      <w:r>
        <w:t>protocols to link, manage and share data to aid evaluation</w:t>
      </w:r>
    </w:p>
    <w:p w14:paraId="18351610" w14:textId="4BF8986E" w:rsidR="00550848" w:rsidRDefault="00550848" w:rsidP="00550848">
      <w:pPr>
        <w:pStyle w:val="ListBullet"/>
      </w:pPr>
      <w:r w:rsidDel="0078025E">
        <w:t xml:space="preserve">processes </w:t>
      </w:r>
      <w:r w:rsidR="0078025E">
        <w:t xml:space="preserve">to identify and translate important </w:t>
      </w:r>
      <w:r w:rsidR="00A3663F">
        <w:t>knowledge from evaluation</w:t>
      </w:r>
      <w:r w:rsidR="0078025E">
        <w:t xml:space="preserve"> </w:t>
      </w:r>
    </w:p>
    <w:p w14:paraId="194AB0D9" w14:textId="4B8A6741" w:rsidR="003D4714" w:rsidRDefault="003D4714" w:rsidP="003D4714">
      <w:pPr>
        <w:pStyle w:val="ListBullet"/>
      </w:pPr>
      <w:r>
        <w:t>effective compliance and monitoring arrangements</w:t>
      </w:r>
      <w:r w:rsidR="00ED183B">
        <w:t xml:space="preserve"> for the </w:t>
      </w:r>
      <w:r w:rsidR="00A35345">
        <w:t>Strategy</w:t>
      </w:r>
    </w:p>
    <w:p w14:paraId="4FC4FF41" w14:textId="24E2E8BA" w:rsidR="00550848" w:rsidRDefault="00550848" w:rsidP="00550848">
      <w:pPr>
        <w:pStyle w:val="ListBullet"/>
      </w:pPr>
      <w:proofErr w:type="gramStart"/>
      <w:r>
        <w:t>a</w:t>
      </w:r>
      <w:proofErr w:type="gramEnd"/>
      <w:r>
        <w:t xml:space="preserve"> process for reviewing and revising the </w:t>
      </w:r>
      <w:r w:rsidR="00A35345">
        <w:t xml:space="preserve">Strategy </w:t>
      </w:r>
      <w:r>
        <w:t xml:space="preserve">over time. </w:t>
      </w:r>
    </w:p>
    <w:p w14:paraId="538130DC" w14:textId="43622FF7" w:rsidR="00550848" w:rsidRDefault="00550848" w:rsidP="00550848">
      <w:pPr>
        <w:pStyle w:val="BodyText"/>
      </w:pPr>
      <w:r>
        <w:t xml:space="preserve">Each of these requirements are </w:t>
      </w:r>
      <w:r w:rsidR="00BF7375">
        <w:t>discussed in more detail below.</w:t>
      </w:r>
    </w:p>
    <w:p w14:paraId="1E3C565E" w14:textId="7B9F8075" w:rsidR="00550848" w:rsidRPr="004E3B94" w:rsidRDefault="00550848" w:rsidP="0055084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550848" w14:paraId="64D1E5E9" w14:textId="77777777" w:rsidTr="000C4B5F">
        <w:trPr>
          <w:tblHeader/>
        </w:trPr>
        <w:tc>
          <w:tcPr>
            <w:tcW w:w="5000" w:type="pct"/>
            <w:tcBorders>
              <w:top w:val="single" w:sz="6" w:space="0" w:color="78A22F"/>
              <w:left w:val="nil"/>
              <w:bottom w:val="nil"/>
              <w:right w:val="nil"/>
            </w:tcBorders>
            <w:shd w:val="clear" w:color="auto" w:fill="auto"/>
          </w:tcPr>
          <w:p w14:paraId="0BCA23F3" w14:textId="0825C64B" w:rsidR="00550848" w:rsidRPr="00CE4C64" w:rsidRDefault="00DC5A08" w:rsidP="000C4B5F">
            <w:pPr>
              <w:pStyle w:val="InformationRequestTitle"/>
              <w:spacing w:before="120"/>
            </w:pPr>
            <w:r>
              <w:t xml:space="preserve">question on the key enabling MECHANISMS for effective evaluation </w:t>
            </w:r>
          </w:p>
        </w:tc>
      </w:tr>
      <w:tr w:rsidR="00550848" w:rsidRPr="00750BE2" w14:paraId="0EA2CE60" w14:textId="77777777" w:rsidTr="000C4B5F">
        <w:tc>
          <w:tcPr>
            <w:tcW w:w="5000" w:type="pct"/>
            <w:tcBorders>
              <w:top w:val="nil"/>
              <w:left w:val="nil"/>
              <w:bottom w:val="nil"/>
              <w:right w:val="nil"/>
            </w:tcBorders>
            <w:shd w:val="clear" w:color="auto" w:fill="auto"/>
          </w:tcPr>
          <w:p w14:paraId="636E042B" w14:textId="34A0A3BD" w:rsidR="00550848" w:rsidRPr="00305026" w:rsidRDefault="00550848" w:rsidP="000C4B5F">
            <w:pPr>
              <w:pStyle w:val="InformationRequest"/>
            </w:pPr>
            <w:r w:rsidRPr="00305026">
              <w:t xml:space="preserve">What </w:t>
            </w:r>
            <w:r>
              <w:t>supporting features and arrangements</w:t>
            </w:r>
            <w:r w:rsidRPr="00305026">
              <w:t xml:space="preserve"> are important for the successful implementation and operation of </w:t>
            </w:r>
            <w:r>
              <w:t>a principles</w:t>
            </w:r>
            <w:r w:rsidR="00442E24">
              <w:noBreakHyphen/>
            </w:r>
            <w:r>
              <w:t>based</w:t>
            </w:r>
            <w:r w:rsidRPr="00305026">
              <w:t xml:space="preserve"> Indigenous evaluation framework</w:t>
            </w:r>
            <w:r w:rsidR="00A734C9">
              <w:t xml:space="preserve"> and accompanying list of evaluation priorities</w:t>
            </w:r>
            <w:r w:rsidRPr="00305026">
              <w:t>?</w:t>
            </w:r>
          </w:p>
        </w:tc>
      </w:tr>
      <w:tr w:rsidR="00550848" w14:paraId="5ABD4EC3" w14:textId="77777777" w:rsidTr="000C4B5F">
        <w:tc>
          <w:tcPr>
            <w:tcW w:w="5000" w:type="pct"/>
            <w:tcBorders>
              <w:top w:val="nil"/>
              <w:left w:val="nil"/>
              <w:bottom w:val="single" w:sz="6" w:space="0" w:color="78A22F"/>
              <w:right w:val="nil"/>
            </w:tcBorders>
            <w:shd w:val="clear" w:color="auto" w:fill="auto"/>
          </w:tcPr>
          <w:p w14:paraId="16D3E9CE" w14:textId="77777777" w:rsidR="00550848" w:rsidRDefault="00550848" w:rsidP="000C4B5F">
            <w:pPr>
              <w:pStyle w:val="Space"/>
              <w:keepLines/>
            </w:pPr>
          </w:p>
        </w:tc>
      </w:tr>
      <w:tr w:rsidR="00550848" w:rsidRPr="000863A5" w14:paraId="6F028276" w14:textId="77777777" w:rsidTr="000C4B5F">
        <w:tc>
          <w:tcPr>
            <w:tcW w:w="5000" w:type="pct"/>
            <w:tcBorders>
              <w:top w:val="single" w:sz="6" w:space="0" w:color="78A22F"/>
              <w:left w:val="nil"/>
              <w:bottom w:val="nil"/>
              <w:right w:val="nil"/>
            </w:tcBorders>
          </w:tcPr>
          <w:p w14:paraId="2B838142" w14:textId="7A9C1BAC" w:rsidR="00550848" w:rsidRPr="00626D32" w:rsidRDefault="00550848" w:rsidP="000C4B5F">
            <w:pPr>
              <w:pStyle w:val="BoxSpaceBelow"/>
              <w:keepLines/>
            </w:pPr>
          </w:p>
        </w:tc>
      </w:tr>
    </w:tbl>
    <w:p w14:paraId="05549B8C" w14:textId="19B723B6" w:rsidR="00C519A8" w:rsidRDefault="00577C3D" w:rsidP="00D315F0">
      <w:pPr>
        <w:pStyle w:val="Heading3"/>
      </w:pPr>
      <w:bookmarkStart w:id="196" w:name="_Toc10710011"/>
      <w:bookmarkStart w:id="197" w:name="_Toc10734435"/>
      <w:bookmarkStart w:id="198" w:name="_Toc10735507"/>
      <w:bookmarkStart w:id="199" w:name="_Toc10794236"/>
      <w:bookmarkStart w:id="200" w:name="_Toc10795571"/>
      <w:bookmarkStart w:id="201" w:name="_Toc10795716"/>
      <w:bookmarkStart w:id="202" w:name="_Toc10802403"/>
      <w:bookmarkStart w:id="203" w:name="_Toc10808049"/>
      <w:bookmarkStart w:id="204" w:name="_Toc10808790"/>
      <w:bookmarkStart w:id="205" w:name="_Toc12272491"/>
      <w:r>
        <w:t>An appropriate process</w:t>
      </w:r>
      <w:r w:rsidR="00C519A8">
        <w:t xml:space="preserve"> for determining evaluation priorities</w:t>
      </w:r>
      <w:bookmarkEnd w:id="196"/>
      <w:bookmarkEnd w:id="197"/>
      <w:bookmarkEnd w:id="198"/>
      <w:bookmarkEnd w:id="199"/>
      <w:bookmarkEnd w:id="200"/>
      <w:bookmarkEnd w:id="201"/>
      <w:bookmarkEnd w:id="202"/>
      <w:bookmarkEnd w:id="203"/>
      <w:bookmarkEnd w:id="204"/>
      <w:bookmarkEnd w:id="205"/>
    </w:p>
    <w:p w14:paraId="1B3691D1" w14:textId="090CD4F1" w:rsidR="00C519A8" w:rsidRDefault="006C03ED" w:rsidP="00C519A8">
      <w:pPr>
        <w:pStyle w:val="BodyText"/>
      </w:pPr>
      <w:r w:rsidRPr="00EA5CD3">
        <w:t>Prioritisation is critical to ensure that the limited resources government agencies have to devote to evaluation are used wisely.</w:t>
      </w:r>
      <w:r>
        <w:t xml:space="preserve"> As </w:t>
      </w:r>
      <w:r w:rsidR="00A4022E">
        <w:t>g</w:t>
      </w:r>
      <w:r w:rsidR="00C519A8">
        <w:t xml:space="preserve">overnments have finite resources, it is unreasonable to expect agencies to comprehensively and formally evaluate every facet of their spending on </w:t>
      </w:r>
      <w:r w:rsidR="004819D3">
        <w:t>policies and programs</w:t>
      </w:r>
      <w:r w:rsidR="00C519A8">
        <w:t xml:space="preserve"> for Aboriginal and Torres Strait Islander people</w:t>
      </w:r>
      <w:r w:rsidR="00E179F9">
        <w:t>.</w:t>
      </w:r>
      <w:r w:rsidR="00C519A8">
        <w:t xml:space="preserve"> </w:t>
      </w:r>
      <w:r w:rsidR="00D42F72">
        <w:t xml:space="preserve">Indeed, not all </w:t>
      </w:r>
      <w:r w:rsidR="004819D3">
        <w:t xml:space="preserve">policies and </w:t>
      </w:r>
      <w:r w:rsidR="004819D3">
        <w:lastRenderedPageBreak/>
        <w:t>programs</w:t>
      </w:r>
      <w:r w:rsidR="00D42F72">
        <w:t xml:space="preserve"> will justify a significant investment in evaluation, and the net benefits of evaluation</w:t>
      </w:r>
      <w:r w:rsidR="00C519A8">
        <w:t xml:space="preserve"> </w:t>
      </w:r>
      <w:r w:rsidR="00840721">
        <w:t>are</w:t>
      </w:r>
      <w:r w:rsidR="00C519A8">
        <w:t xml:space="preserve"> </w:t>
      </w:r>
      <w:r w:rsidR="00D42F72">
        <w:t>likely to vary materially across programs.</w:t>
      </w:r>
    </w:p>
    <w:p w14:paraId="43389AD3" w14:textId="77C5C597" w:rsidR="00B23431" w:rsidRDefault="00D60AE7" w:rsidP="00C519A8">
      <w:pPr>
        <w:pStyle w:val="BodyText"/>
      </w:pPr>
      <w:r>
        <w:t>In the Commission’s view, t</w:t>
      </w:r>
      <w:r w:rsidR="00B23431">
        <w:t>he first step for developing evaluation priorities involves articulating a principles</w:t>
      </w:r>
      <w:r w:rsidR="00442E24">
        <w:noBreakHyphen/>
      </w:r>
      <w:r w:rsidR="00317A11">
        <w:t>based criteria</w:t>
      </w:r>
      <w:r w:rsidR="00B23431">
        <w:t xml:space="preserve"> to guide </w:t>
      </w:r>
      <w:r w:rsidR="00F33BCB">
        <w:t>priority</w:t>
      </w:r>
      <w:r w:rsidR="00442E24">
        <w:noBreakHyphen/>
      </w:r>
      <w:r w:rsidR="00B23431">
        <w:t>setting. These principles would likely have several dimensions</w:t>
      </w:r>
      <w:r w:rsidR="00326BD0">
        <w:t xml:space="preserve"> — for one, given the overriding objective of the framework is to improve outcomes for Aboriginal and Torres Strait Islander people,</w:t>
      </w:r>
      <w:r w:rsidR="006D5005">
        <w:t xml:space="preserve"> programs that have</w:t>
      </w:r>
      <w:r w:rsidR="00326BD0">
        <w:t xml:space="preserve"> </w:t>
      </w:r>
      <w:r w:rsidR="006D5005">
        <w:t>(</w:t>
      </w:r>
      <w:r w:rsidR="00326BD0">
        <w:t>or potentially have</w:t>
      </w:r>
      <w:r w:rsidR="006D5005">
        <w:t>)</w:t>
      </w:r>
      <w:r w:rsidR="00326BD0">
        <w:t xml:space="preserve"> large impacts </w:t>
      </w:r>
      <w:r w:rsidR="006D5005">
        <w:t xml:space="preserve">on outcomes for </w:t>
      </w:r>
      <w:r w:rsidR="003168B7">
        <w:t xml:space="preserve">Aboriginal and Torres Strait Islander </w:t>
      </w:r>
      <w:r w:rsidR="006D5005">
        <w:t>people are likely to be prime candidates for priority evaluation.</w:t>
      </w:r>
      <w:r w:rsidR="00326BD0">
        <w:t xml:space="preserve"> </w:t>
      </w:r>
      <w:r w:rsidR="00F574D9">
        <w:t xml:space="preserve">Other principles that may underpin priority setting include program size, program expenditure, perceived </w:t>
      </w:r>
      <w:r w:rsidR="00840721">
        <w:t xml:space="preserve">program </w:t>
      </w:r>
      <w:r w:rsidR="00F574D9">
        <w:t xml:space="preserve">effectiveness (or lack thereof) </w:t>
      </w:r>
      <w:r w:rsidR="00840721">
        <w:t>and</w:t>
      </w:r>
      <w:r w:rsidR="00F574D9">
        <w:t xml:space="preserve"> </w:t>
      </w:r>
      <w:r w:rsidR="00840721">
        <w:t>a program’s</w:t>
      </w:r>
      <w:r w:rsidR="00F574D9">
        <w:t xml:space="preserve"> strategic </w:t>
      </w:r>
      <w:r w:rsidR="00840721">
        <w:t>importance</w:t>
      </w:r>
      <w:r w:rsidR="00F574D9">
        <w:t xml:space="preserve">. </w:t>
      </w:r>
      <w:r w:rsidR="005D001B">
        <w:t>Developing the principles to underpin priority setting will be a key task for the Commission</w:t>
      </w:r>
      <w:r w:rsidR="00D01FED">
        <w:t>.</w:t>
      </w:r>
      <w:r w:rsidR="00F574D9">
        <w:t xml:space="preserve"> </w:t>
      </w:r>
    </w:p>
    <w:p w14:paraId="215433E2" w14:textId="3B0299A8" w:rsidR="005E6BE9" w:rsidRDefault="00F574D9" w:rsidP="00FB7ACB">
      <w:pPr>
        <w:pStyle w:val="BodyText"/>
      </w:pPr>
      <w:r>
        <w:t xml:space="preserve">Once the principles for determining priorities are </w:t>
      </w:r>
      <w:r w:rsidR="001504DF">
        <w:t>established</w:t>
      </w:r>
      <w:r>
        <w:t xml:space="preserve">, </w:t>
      </w:r>
      <w:r w:rsidR="005D001B">
        <w:t xml:space="preserve">they must be applied to the raft of policies and programs affecting </w:t>
      </w:r>
      <w:r w:rsidR="00B23431">
        <w:t>Aboriginal and Torres Strait Islander</w:t>
      </w:r>
      <w:r w:rsidR="00D54070">
        <w:t xml:space="preserve"> people</w:t>
      </w:r>
      <w:r w:rsidR="00B23431">
        <w:t xml:space="preserve"> to identify</w:t>
      </w:r>
      <w:r w:rsidR="005D001B">
        <w:t xml:space="preserve"> the</w:t>
      </w:r>
      <w:r w:rsidR="00B23431">
        <w:t xml:space="preserve"> specific </w:t>
      </w:r>
      <w:r w:rsidR="004819D3">
        <w:t>policies and programs</w:t>
      </w:r>
      <w:r w:rsidR="00B23431">
        <w:t xml:space="preserve"> that should be priorities for evaluation. </w:t>
      </w:r>
    </w:p>
    <w:p w14:paraId="69A8D82A" w14:textId="5CD7952D" w:rsidR="00C519A8" w:rsidRDefault="00431B88" w:rsidP="00FB7ACB">
      <w:pPr>
        <w:pStyle w:val="BodyText"/>
      </w:pPr>
      <w:r>
        <w:t>This task could be undertaken by</w:t>
      </w:r>
      <w:r w:rsidR="00AB581A">
        <w:t xml:space="preserve"> the</w:t>
      </w:r>
      <w:r>
        <w:t xml:space="preserve"> </w:t>
      </w:r>
      <w:r w:rsidR="002279E4">
        <w:t xml:space="preserve">Commission </w:t>
      </w:r>
      <w:r w:rsidR="00D01FED">
        <w:t xml:space="preserve">(as part of this project) </w:t>
      </w:r>
      <w:r w:rsidR="002279E4">
        <w:t xml:space="preserve">or by </w:t>
      </w:r>
      <w:r w:rsidR="00D01FED">
        <w:t>d</w:t>
      </w:r>
      <w:r w:rsidR="002279E4">
        <w:t xml:space="preserve">epartments themselves, and there </w:t>
      </w:r>
      <w:r w:rsidR="00317A11">
        <w:t>are</w:t>
      </w:r>
      <w:r w:rsidR="002279E4">
        <w:t xml:space="preserve"> conceivable benefits to both models. For example</w:t>
      </w:r>
      <w:r w:rsidR="00C23ECE">
        <w:t xml:space="preserve">, having the Commission identify specific </w:t>
      </w:r>
      <w:r w:rsidR="004819D3">
        <w:t>policies and programs</w:t>
      </w:r>
      <w:r w:rsidR="00C23ECE">
        <w:t xml:space="preserve"> as evaluation priorities </w:t>
      </w:r>
      <w:r w:rsidR="00D01FED">
        <w:t>provides a degree of independence between priority setting and service delivery.</w:t>
      </w:r>
      <w:r w:rsidR="00D60AE7">
        <w:t xml:space="preserve"> </w:t>
      </w:r>
      <w:r w:rsidR="00936011">
        <w:t>It could also facilitate a more whole</w:t>
      </w:r>
      <w:r w:rsidR="00442E24">
        <w:noBreakHyphen/>
      </w:r>
      <w:r w:rsidR="00936011">
        <w:t>of</w:t>
      </w:r>
      <w:r w:rsidR="00442E24">
        <w:noBreakHyphen/>
      </w:r>
      <w:r w:rsidR="00936011">
        <w:t>government approach to priority setting</w:t>
      </w:r>
      <w:r w:rsidR="00936011" w:rsidRPr="00936011">
        <w:t xml:space="preserve"> </w:t>
      </w:r>
      <w:r w:rsidR="00936011">
        <w:t>and make it easier for priorities to be set on a broader, more strategic basis (such as a priority to evaluate the effects of all programs in a particular region, or to undertake thematic evaluations examining common themes across multiple agencies).</w:t>
      </w:r>
      <w:r w:rsidR="00A35345">
        <w:t xml:space="preserve"> </w:t>
      </w:r>
      <w:r w:rsidR="00D60AE7">
        <w:t xml:space="preserve">That said, </w:t>
      </w:r>
      <w:r w:rsidR="00D01FED">
        <w:t>d</w:t>
      </w:r>
      <w:r w:rsidR="002F0FBF">
        <w:t>epartments — as service delivery agencies —</w:t>
      </w:r>
      <w:r w:rsidR="00C23ECE">
        <w:t xml:space="preserve"> </w:t>
      </w:r>
      <w:r w:rsidR="00D60AE7">
        <w:t>have extensive knowledge of the</w:t>
      </w:r>
      <w:r w:rsidR="002F0FBF">
        <w:t xml:space="preserve"> </w:t>
      </w:r>
      <w:r w:rsidR="004819D3">
        <w:t>policies and programs</w:t>
      </w:r>
      <w:r w:rsidR="002F0FBF">
        <w:t xml:space="preserve"> they administer, </w:t>
      </w:r>
      <w:r w:rsidR="00C23ECE">
        <w:t xml:space="preserve">meaning they could potentially apply the principles more accurately. </w:t>
      </w:r>
    </w:p>
    <w:p w14:paraId="0D79A797" w14:textId="15D5D7C8" w:rsidR="00C519A8" w:rsidRDefault="004D1B5D" w:rsidP="00C519A8">
      <w:pPr>
        <w:pStyle w:val="BodyText"/>
      </w:pPr>
      <w:r>
        <w:lastRenderedPageBreak/>
        <w:t xml:space="preserve">Aboriginal </w:t>
      </w:r>
      <w:r w:rsidR="00F5116C">
        <w:t>and Torres Strait Islander</w:t>
      </w:r>
      <w:r>
        <w:t xml:space="preserve"> voices, perspectives and views will be essential </w:t>
      </w:r>
      <w:r w:rsidR="007D2A2F">
        <w:t xml:space="preserve">in both developing </w:t>
      </w:r>
      <w:r w:rsidR="00C519A8">
        <w:t xml:space="preserve">the </w:t>
      </w:r>
      <w:r w:rsidR="007D2A2F">
        <w:t xml:space="preserve">principles </w:t>
      </w:r>
      <w:r w:rsidR="00683D10">
        <w:t>to inform priority</w:t>
      </w:r>
      <w:r w:rsidR="00442E24">
        <w:noBreakHyphen/>
      </w:r>
      <w:r w:rsidR="00683D10">
        <w:t>setting</w:t>
      </w:r>
      <w:r w:rsidR="007D2A2F">
        <w:t>,</w:t>
      </w:r>
      <w:r w:rsidR="00C519A8">
        <w:t xml:space="preserve"> and </w:t>
      </w:r>
      <w:r w:rsidR="007D2A2F">
        <w:t>in applying the</w:t>
      </w:r>
      <w:r w:rsidR="00683D10">
        <w:t>se</w:t>
      </w:r>
      <w:r w:rsidR="007D2A2F">
        <w:t xml:space="preserve"> principles to narrow in on particular </w:t>
      </w:r>
      <w:r w:rsidR="004819D3">
        <w:t>policies and programs</w:t>
      </w:r>
      <w:r w:rsidR="007D2A2F">
        <w:t xml:space="preserve"> that should</w:t>
      </w:r>
      <w:r w:rsidR="00C519A8">
        <w:t xml:space="preserve"> be </w:t>
      </w:r>
      <w:r w:rsidR="00683D10">
        <w:t xml:space="preserve">a high priority for </w:t>
      </w:r>
      <w:r w:rsidR="00C519A8">
        <w:t>evaluation.</w:t>
      </w:r>
    </w:p>
    <w:p w14:paraId="58C53CFF" w14:textId="3678CC0D" w:rsidR="00D150B4" w:rsidRDefault="000A33B8" w:rsidP="007D2A2F">
      <w:pPr>
        <w:pStyle w:val="BodyText"/>
      </w:pPr>
      <w:r>
        <w:t xml:space="preserve">The task of setting priorities for </w:t>
      </w:r>
      <w:r w:rsidR="00D91DC6">
        <w:t>evaluation</w:t>
      </w:r>
      <w:r>
        <w:t xml:space="preserve"> should not be viewed as a one</w:t>
      </w:r>
      <w:r w:rsidR="00442E24">
        <w:noBreakHyphen/>
      </w:r>
      <w:r>
        <w:t>off exercise</w:t>
      </w:r>
      <w:r w:rsidR="0022170D">
        <w:t xml:space="preserve">. </w:t>
      </w:r>
      <w:r w:rsidR="00807A9C">
        <w:t>A </w:t>
      </w:r>
      <w:r w:rsidR="0022170D">
        <w:t>process</w:t>
      </w:r>
      <w:r w:rsidR="00F415C0">
        <w:t xml:space="preserve"> is </w:t>
      </w:r>
      <w:r w:rsidR="0022170D">
        <w:t xml:space="preserve">needed whereby </w:t>
      </w:r>
      <w:r w:rsidR="00F415C0">
        <w:t xml:space="preserve">priorities are </w:t>
      </w:r>
      <w:r w:rsidR="0022170D">
        <w:t>regularly assessed to ensure that they are effective in directing evaluation effort and</w:t>
      </w:r>
      <w:r w:rsidR="00BC42D2">
        <w:t xml:space="preserve"> are</w:t>
      </w:r>
      <w:r w:rsidR="0022170D">
        <w:t xml:space="preserve"> revised as new evidence comes to light.</w:t>
      </w:r>
    </w:p>
    <w:p w14:paraId="0F1F07A7" w14:textId="1B88E3FE" w:rsidR="00C519A8" w:rsidRPr="004E3B94" w:rsidRDefault="00C519A8" w:rsidP="00C519A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519A8" w14:paraId="119FB17B" w14:textId="77777777" w:rsidTr="00C519A8">
        <w:trPr>
          <w:tblHeader/>
        </w:trPr>
        <w:tc>
          <w:tcPr>
            <w:tcW w:w="5000" w:type="pct"/>
            <w:tcBorders>
              <w:top w:val="single" w:sz="6" w:space="0" w:color="78A22F"/>
              <w:left w:val="nil"/>
              <w:bottom w:val="nil"/>
              <w:right w:val="nil"/>
            </w:tcBorders>
            <w:shd w:val="clear" w:color="auto" w:fill="auto"/>
          </w:tcPr>
          <w:p w14:paraId="34754332" w14:textId="350B14E5" w:rsidR="00C519A8" w:rsidRPr="00CE4C64" w:rsidRDefault="00C519A8" w:rsidP="00C519A8">
            <w:pPr>
              <w:pStyle w:val="InformationRequestTitle"/>
              <w:spacing w:before="120"/>
            </w:pPr>
            <w:r>
              <w:t xml:space="preserve">Questions on determining </w:t>
            </w:r>
            <w:r w:rsidR="0003349A">
              <w:t xml:space="preserve">evaluation </w:t>
            </w:r>
            <w:r>
              <w:t>priorities</w:t>
            </w:r>
          </w:p>
        </w:tc>
      </w:tr>
      <w:tr w:rsidR="00C519A8" w:rsidRPr="00750BE2" w14:paraId="25ADC550" w14:textId="77777777" w:rsidTr="00C519A8">
        <w:tc>
          <w:tcPr>
            <w:tcW w:w="5000" w:type="pct"/>
            <w:tcBorders>
              <w:top w:val="nil"/>
              <w:left w:val="nil"/>
              <w:bottom w:val="nil"/>
              <w:right w:val="nil"/>
            </w:tcBorders>
            <w:shd w:val="clear" w:color="auto" w:fill="auto"/>
          </w:tcPr>
          <w:p w14:paraId="366866C5" w14:textId="1C7882F5" w:rsidR="00C519A8" w:rsidRDefault="0022170D" w:rsidP="00C519A8">
            <w:pPr>
              <w:pStyle w:val="InformationRequest"/>
            </w:pPr>
            <w:r>
              <w:t xml:space="preserve">What principles should be used to determine evaluation priorities? </w:t>
            </w:r>
          </w:p>
          <w:p w14:paraId="0AB57858" w14:textId="25AFE87F" w:rsidR="00C519A8" w:rsidRDefault="00C519A8" w:rsidP="00C519A8">
            <w:pPr>
              <w:pStyle w:val="InformationRequest"/>
            </w:pPr>
            <w:r>
              <w:t>What policies and programs affecting Aboriginal and Torres Strait Islander people</w:t>
            </w:r>
            <w:r w:rsidR="008967CC">
              <w:t xml:space="preserve"> (or broader policy and program areas) </w:t>
            </w:r>
            <w:r>
              <w:t>should be the highest priority for evaluation</w:t>
            </w:r>
            <w:r w:rsidR="00807A9C">
              <w:t>, and why</w:t>
            </w:r>
            <w:r>
              <w:t>?</w:t>
            </w:r>
          </w:p>
          <w:p w14:paraId="5E3B580D" w14:textId="6F59D6BD" w:rsidR="00C519A8" w:rsidRPr="0064289F" w:rsidRDefault="0022170D" w:rsidP="00EB26EF">
            <w:pPr>
              <w:pStyle w:val="InformationRequest"/>
            </w:pPr>
            <w:r w:rsidRPr="0022170D">
              <w:t>How often should</w:t>
            </w:r>
            <w:r>
              <w:t xml:space="preserve"> </w:t>
            </w:r>
            <w:r w:rsidRPr="00683D10">
              <w:t>evaluation priorities be reviewed?</w:t>
            </w:r>
            <w:r w:rsidR="00EA2030" w:rsidRPr="00683D10">
              <w:t xml:space="preserve"> How should the process for reviewing priorities be structured?</w:t>
            </w:r>
            <w:r w:rsidR="00076DE8">
              <w:t xml:space="preserve"> </w:t>
            </w:r>
          </w:p>
        </w:tc>
      </w:tr>
      <w:tr w:rsidR="00C519A8" w14:paraId="7B9254D7" w14:textId="77777777" w:rsidTr="00C519A8">
        <w:tc>
          <w:tcPr>
            <w:tcW w:w="5000" w:type="pct"/>
            <w:tcBorders>
              <w:top w:val="nil"/>
              <w:left w:val="nil"/>
              <w:bottom w:val="single" w:sz="6" w:space="0" w:color="78A22F"/>
              <w:right w:val="nil"/>
            </w:tcBorders>
            <w:shd w:val="clear" w:color="auto" w:fill="auto"/>
          </w:tcPr>
          <w:p w14:paraId="167758B2" w14:textId="77777777" w:rsidR="00C519A8" w:rsidRDefault="00C519A8" w:rsidP="00C519A8">
            <w:pPr>
              <w:pStyle w:val="Space"/>
              <w:keepLines/>
            </w:pPr>
          </w:p>
        </w:tc>
      </w:tr>
      <w:tr w:rsidR="00C519A8" w:rsidRPr="000863A5" w14:paraId="69902219" w14:textId="77777777" w:rsidTr="00C519A8">
        <w:tc>
          <w:tcPr>
            <w:tcW w:w="5000" w:type="pct"/>
            <w:tcBorders>
              <w:top w:val="single" w:sz="6" w:space="0" w:color="78A22F"/>
              <w:left w:val="nil"/>
              <w:bottom w:val="nil"/>
              <w:right w:val="nil"/>
            </w:tcBorders>
          </w:tcPr>
          <w:p w14:paraId="37CDB471" w14:textId="3A55F23A" w:rsidR="00C519A8" w:rsidRPr="00626D32" w:rsidRDefault="00C519A8" w:rsidP="00C519A8">
            <w:pPr>
              <w:pStyle w:val="BoxSpaceBelow"/>
              <w:keepLines/>
            </w:pPr>
          </w:p>
        </w:tc>
      </w:tr>
    </w:tbl>
    <w:p w14:paraId="73D5E30A" w14:textId="64174D0A" w:rsidR="00DE61C9" w:rsidRDefault="00DE61C9" w:rsidP="000E2A4B">
      <w:pPr>
        <w:pStyle w:val="Heading3"/>
      </w:pPr>
      <w:bookmarkStart w:id="206" w:name="_Toc10710012"/>
      <w:bookmarkStart w:id="207" w:name="_Toc10734436"/>
      <w:bookmarkStart w:id="208" w:name="_Toc10735508"/>
      <w:bookmarkStart w:id="209" w:name="_Toc10794237"/>
      <w:bookmarkStart w:id="210" w:name="_Toc10795572"/>
      <w:bookmarkStart w:id="211" w:name="_Toc10795717"/>
      <w:bookmarkStart w:id="212" w:name="_Toc10802404"/>
      <w:bookmarkStart w:id="213" w:name="_Toc10808050"/>
      <w:bookmarkStart w:id="214" w:name="_Toc10808791"/>
      <w:bookmarkStart w:id="215" w:name="_Toc12272492"/>
      <w:r>
        <w:t>Institutional and other requirements for supporting effective evaluation</w:t>
      </w:r>
      <w:bookmarkEnd w:id="206"/>
      <w:bookmarkEnd w:id="207"/>
      <w:bookmarkEnd w:id="208"/>
      <w:bookmarkEnd w:id="209"/>
      <w:bookmarkEnd w:id="210"/>
      <w:bookmarkEnd w:id="211"/>
      <w:bookmarkEnd w:id="212"/>
      <w:bookmarkEnd w:id="213"/>
      <w:bookmarkEnd w:id="214"/>
      <w:bookmarkEnd w:id="215"/>
      <w:r>
        <w:t xml:space="preserve"> </w:t>
      </w:r>
    </w:p>
    <w:p w14:paraId="2AB040C2" w14:textId="4B1DF819" w:rsidR="00C77195" w:rsidRDefault="00C77195" w:rsidP="006F4EF8">
      <w:pPr>
        <w:pStyle w:val="Heading4"/>
        <w:spacing w:before="240"/>
      </w:pPr>
      <w:r>
        <w:t>Strong evaluation culture, capability and capacity within organisations</w:t>
      </w:r>
    </w:p>
    <w:p w14:paraId="46B10BA6" w14:textId="1A29D2C4" w:rsidR="00C77195" w:rsidRDefault="00C77195" w:rsidP="00C77195">
      <w:pPr>
        <w:pStyle w:val="BodyText"/>
      </w:pPr>
      <w:r>
        <w:t xml:space="preserve">Effective evaluation involves many parties. These include organisations that undertake evaluation (such as government agencies or commissioned evaluators), as well as participants in the evaluation process (such as communities or service delivery </w:t>
      </w:r>
      <w:r w:rsidR="00050D0A">
        <w:t>organisations</w:t>
      </w:r>
      <w:r>
        <w:t xml:space="preserve">, who often provide critical information to inform evaluation). </w:t>
      </w:r>
    </w:p>
    <w:p w14:paraId="1118A97D" w14:textId="77777777" w:rsidR="00C77195" w:rsidRDefault="00C77195" w:rsidP="00C77195">
      <w:pPr>
        <w:pStyle w:val="BodyText"/>
      </w:pPr>
      <w:r>
        <w:t>If evaluation is to be done well, each of these groups require:</w:t>
      </w:r>
    </w:p>
    <w:p w14:paraId="7A2ACD24" w14:textId="1D1323D3" w:rsidR="00C77195" w:rsidRDefault="00387ACF" w:rsidP="00C77195">
      <w:pPr>
        <w:pStyle w:val="ListBullet"/>
      </w:pPr>
      <w:r>
        <w:lastRenderedPageBreak/>
        <w:t>A</w:t>
      </w:r>
      <w:r w:rsidR="00C77195">
        <w:t xml:space="preserve">n </w:t>
      </w:r>
      <w:r w:rsidR="00C77195" w:rsidRPr="00DC473B">
        <w:t>evaluative culture</w:t>
      </w:r>
      <w:r w:rsidR="00C77195">
        <w:t xml:space="preserve">. That is, they recognise the value and importance of evaluation, as opposed to viewing it as a </w:t>
      </w:r>
      <w:r w:rsidR="00C77195" w:rsidRPr="00E423A5">
        <w:t>tedious, unimp</w:t>
      </w:r>
      <w:r w:rsidR="00C77195">
        <w:t>ortant, or undesirable exercise, and demonstrate a willingness to use evaluation findings to learn and improve.</w:t>
      </w:r>
    </w:p>
    <w:p w14:paraId="570CC8C6" w14:textId="22099395" w:rsidR="00C77195" w:rsidRDefault="00387ACF" w:rsidP="00C77195">
      <w:pPr>
        <w:pStyle w:val="ListBullet"/>
      </w:pPr>
      <w:r>
        <w:t>E</w:t>
      </w:r>
      <w:r w:rsidR="00C77195">
        <w:t xml:space="preserve">valuation capability. That is, they have the tools they need to undertake, or participate in evaluation effectively. For organisations undertaking evaluation, this includes having access to suitably skilled and experienced staff, access to data, and </w:t>
      </w:r>
      <w:r w:rsidR="00DA1CE8">
        <w:t>enough</w:t>
      </w:r>
      <w:r w:rsidR="00C77195">
        <w:t xml:space="preserve"> funding. It also means they have sufficient cultural competency to engage with </w:t>
      </w:r>
      <w:r w:rsidR="003168B7">
        <w:t>Aborig</w:t>
      </w:r>
      <w:r w:rsidR="00FD2FCC">
        <w:t>inal and Torres Strait Islander people</w:t>
      </w:r>
      <w:r w:rsidR="003168B7">
        <w:t xml:space="preserve"> </w:t>
      </w:r>
      <w:r w:rsidR="00C77195">
        <w:t xml:space="preserve">and </w:t>
      </w:r>
      <w:r w:rsidR="003168B7">
        <w:t xml:space="preserve">their </w:t>
      </w:r>
      <w:r w:rsidR="00C77195">
        <w:t>communities confidently and in a culturally appropriate way. For participants, it means they have the skills needed to engage helpfully in the evaluation process.</w:t>
      </w:r>
    </w:p>
    <w:p w14:paraId="207F46F2" w14:textId="24B3594D" w:rsidR="00C77195" w:rsidRDefault="00387ACF" w:rsidP="00C77195">
      <w:pPr>
        <w:pStyle w:val="ListBullet"/>
      </w:pPr>
      <w:r>
        <w:t>E</w:t>
      </w:r>
      <w:r w:rsidR="00C77195">
        <w:t>valuation capacity. That is, they have the freedom to undertake, participate</w:t>
      </w:r>
      <w:r w:rsidR="00A35345">
        <w:t xml:space="preserve"> in</w:t>
      </w:r>
      <w:r w:rsidR="00C77195">
        <w:t xml:space="preserve"> and use evaluation. For organisations undertaking evaluation, this means having the administrative and legislative freedom to undertake evaluations and use findings to improve </w:t>
      </w:r>
      <w:r w:rsidR="00435F09">
        <w:t>policy and program</w:t>
      </w:r>
      <w:r w:rsidR="00C77195">
        <w:t xml:space="preserve"> delivery. For participants, this means having the freedom</w:t>
      </w:r>
      <w:r w:rsidR="007F3F51">
        <w:t>,</w:t>
      </w:r>
      <w:r w:rsidR="00C77195">
        <w:t xml:space="preserve"> opportunity</w:t>
      </w:r>
      <w:r w:rsidR="007F3F51">
        <w:t xml:space="preserve"> and </w:t>
      </w:r>
      <w:r w:rsidR="00981B0D">
        <w:t>resources</w:t>
      </w:r>
      <w:r w:rsidR="00C77195">
        <w:t xml:space="preserve"> to meaningfully engage with the evaluation process.</w:t>
      </w:r>
    </w:p>
    <w:p w14:paraId="4DD184C9" w14:textId="77777777" w:rsidR="00C77195" w:rsidRDefault="00C77195" w:rsidP="00C77195">
      <w:pPr>
        <w:pStyle w:val="BodyText"/>
      </w:pPr>
      <w:r>
        <w:t>Not all organisations will be starting at the same points. Some will have a more developed evaluative culture, and/or a greater capability and capacity to undertake, or participate in,</w:t>
      </w:r>
      <w:r w:rsidDel="000746EE">
        <w:t xml:space="preserve"> </w:t>
      </w:r>
      <w:r>
        <w:t xml:space="preserve">evaluations than others. </w:t>
      </w:r>
    </w:p>
    <w:p w14:paraId="79DFE8CF" w14:textId="29FACC81" w:rsidR="00C77195" w:rsidRPr="004E3B94" w:rsidRDefault="00C77195" w:rsidP="00C7719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C77195" w14:paraId="19CD9B84" w14:textId="77777777" w:rsidTr="003D4714">
        <w:trPr>
          <w:tblHeader/>
        </w:trPr>
        <w:tc>
          <w:tcPr>
            <w:tcW w:w="5000" w:type="pct"/>
            <w:tcBorders>
              <w:top w:val="single" w:sz="6" w:space="0" w:color="78A22F"/>
              <w:left w:val="nil"/>
              <w:bottom w:val="nil"/>
              <w:right w:val="nil"/>
            </w:tcBorders>
            <w:shd w:val="clear" w:color="auto" w:fill="auto"/>
          </w:tcPr>
          <w:p w14:paraId="1DF34C94" w14:textId="77777777" w:rsidR="00C77195" w:rsidRPr="00CE4C64" w:rsidRDefault="00C77195" w:rsidP="003D4714">
            <w:pPr>
              <w:pStyle w:val="InformationRequestTitle"/>
              <w:spacing w:before="120"/>
            </w:pPr>
            <w:r>
              <w:t xml:space="preserve">questions on improving evaluative culture, capability and capacity </w:t>
            </w:r>
          </w:p>
        </w:tc>
      </w:tr>
      <w:tr w:rsidR="00C77195" w:rsidRPr="00750BE2" w14:paraId="3791AFCE" w14:textId="77777777" w:rsidTr="003D4714">
        <w:tc>
          <w:tcPr>
            <w:tcW w:w="5000" w:type="pct"/>
            <w:tcBorders>
              <w:top w:val="nil"/>
              <w:left w:val="nil"/>
              <w:bottom w:val="nil"/>
              <w:right w:val="nil"/>
            </w:tcBorders>
            <w:shd w:val="clear" w:color="auto" w:fill="auto"/>
          </w:tcPr>
          <w:p w14:paraId="7FD3D0F2" w14:textId="73556BE3" w:rsidR="00C77195" w:rsidRPr="00305026" w:rsidRDefault="00C77195" w:rsidP="003D4714">
            <w:pPr>
              <w:pStyle w:val="InformationRequest"/>
            </w:pPr>
            <w:r w:rsidRPr="00305026">
              <w:t xml:space="preserve">How much scope do you consider there is to improve evaluative culture, capability and capacity </w:t>
            </w:r>
            <w:r>
              <w:t>for both those who undertake evaluations, and those who participate in the evaluation process</w:t>
            </w:r>
            <w:r w:rsidRPr="00305026">
              <w:t>?</w:t>
            </w:r>
            <w:r w:rsidR="00807A9C">
              <w:t xml:space="preserve"> And how might improvements be achieved?</w:t>
            </w:r>
          </w:p>
          <w:p w14:paraId="6C92D11D" w14:textId="6D5F99D0" w:rsidR="0077098C" w:rsidRPr="0077098C" w:rsidRDefault="0077098C" w:rsidP="0077098C">
            <w:pPr>
              <w:pStyle w:val="InformationRequest"/>
            </w:pPr>
            <w:r>
              <w:t xml:space="preserve">What resources are currently available to build and strengthen evaluative capacity among program implementation staff, service delivery organisations and community stakeholders? </w:t>
            </w:r>
          </w:p>
          <w:p w14:paraId="7C03C461" w14:textId="77777777" w:rsidR="00C77195" w:rsidRPr="0064289F" w:rsidRDefault="00C77195" w:rsidP="003D4714">
            <w:pPr>
              <w:pStyle w:val="InformationRequest"/>
            </w:pPr>
            <w:r w:rsidRPr="00305026">
              <w:t xml:space="preserve">What impediments are there to improving evaluative culture, capability and capacity </w:t>
            </w:r>
            <w:r>
              <w:t>and</w:t>
            </w:r>
            <w:r w:rsidRPr="00305026" w:rsidDel="001D7345">
              <w:t xml:space="preserve"> </w:t>
            </w:r>
            <w:r>
              <w:t>w</w:t>
            </w:r>
            <w:r w:rsidRPr="00305026">
              <w:t>hat can be done to address these?</w:t>
            </w:r>
            <w:r>
              <w:t xml:space="preserve"> </w:t>
            </w:r>
          </w:p>
        </w:tc>
      </w:tr>
      <w:tr w:rsidR="00C77195" w14:paraId="36614F5E" w14:textId="77777777" w:rsidTr="003D4714">
        <w:tc>
          <w:tcPr>
            <w:tcW w:w="5000" w:type="pct"/>
            <w:tcBorders>
              <w:top w:val="nil"/>
              <w:left w:val="nil"/>
              <w:bottom w:val="single" w:sz="6" w:space="0" w:color="78A22F"/>
              <w:right w:val="nil"/>
            </w:tcBorders>
            <w:shd w:val="clear" w:color="auto" w:fill="auto"/>
          </w:tcPr>
          <w:p w14:paraId="6B124155" w14:textId="77777777" w:rsidR="00C77195" w:rsidRDefault="00C77195" w:rsidP="003D4714">
            <w:pPr>
              <w:pStyle w:val="Space"/>
              <w:keepLines/>
            </w:pPr>
          </w:p>
        </w:tc>
      </w:tr>
      <w:tr w:rsidR="00C77195" w:rsidRPr="000863A5" w14:paraId="6D1BA1FF" w14:textId="77777777" w:rsidTr="003D4714">
        <w:tc>
          <w:tcPr>
            <w:tcW w:w="5000" w:type="pct"/>
            <w:tcBorders>
              <w:top w:val="single" w:sz="6" w:space="0" w:color="78A22F"/>
              <w:left w:val="nil"/>
              <w:bottom w:val="nil"/>
              <w:right w:val="nil"/>
            </w:tcBorders>
          </w:tcPr>
          <w:p w14:paraId="4E2E9BCB" w14:textId="4E21BB30" w:rsidR="00C77195" w:rsidRPr="00626D32" w:rsidRDefault="00C77195" w:rsidP="003D4714">
            <w:pPr>
              <w:pStyle w:val="BoxSpaceBelow"/>
              <w:keepLines/>
            </w:pPr>
          </w:p>
        </w:tc>
      </w:tr>
    </w:tbl>
    <w:p w14:paraId="76B4C379" w14:textId="77777777" w:rsidR="00C92A4D" w:rsidRDefault="00C92A4D" w:rsidP="00C92A4D">
      <w:pPr>
        <w:pStyle w:val="Heading4"/>
      </w:pPr>
      <w:r>
        <w:t>Protocols to collect, link and share data to aid with evaluation</w:t>
      </w:r>
    </w:p>
    <w:p w14:paraId="7CA27B34" w14:textId="545B2604" w:rsidR="00C92A4D" w:rsidRDefault="002A6235" w:rsidP="00C92A4D">
      <w:pPr>
        <w:pStyle w:val="BodyText"/>
      </w:pPr>
      <w:r>
        <w:t>As discussed in section</w:t>
      </w:r>
      <w:r w:rsidR="00442E24">
        <w:t> </w:t>
      </w:r>
      <w:r>
        <w:t xml:space="preserve">4, access to </w:t>
      </w:r>
      <w:r w:rsidR="00C92A4D">
        <w:t>high</w:t>
      </w:r>
      <w:r w:rsidR="00442E24">
        <w:noBreakHyphen/>
      </w:r>
      <w:r w:rsidR="00C92A4D">
        <w:t xml:space="preserve">quality data is </w:t>
      </w:r>
      <w:r>
        <w:t>essential if</w:t>
      </w:r>
      <w:r w:rsidR="00C92A4D">
        <w:t xml:space="preserve"> evaluation </w:t>
      </w:r>
      <w:r>
        <w:t xml:space="preserve">is </w:t>
      </w:r>
      <w:r w:rsidR="00C92A4D">
        <w:t xml:space="preserve">to be </w:t>
      </w:r>
      <w:r>
        <w:t>done well.</w:t>
      </w:r>
      <w:r w:rsidR="00C92A4D">
        <w:t xml:space="preserve"> But there are challenges in </w:t>
      </w:r>
      <w:r>
        <w:t>collecting and using high</w:t>
      </w:r>
      <w:r w:rsidR="00442E24">
        <w:noBreakHyphen/>
      </w:r>
      <w:r>
        <w:t>quality data to inform evaluations.</w:t>
      </w:r>
      <w:r w:rsidR="00076DE8">
        <w:t xml:space="preserve"> </w:t>
      </w:r>
      <w:r w:rsidR="00C92A4D">
        <w:t xml:space="preserve">Some of these challenges are common to all forms of evaluation — for example, the challenge of balancing data availability with privacy — but other challenges are more specific to evaluating Indigenous policies and programs, such as issues around the consistent identification of </w:t>
      </w:r>
      <w:r w:rsidR="00A35345">
        <w:t xml:space="preserve">Aboriginal and Torres Strait Islander </w:t>
      </w:r>
      <w:r w:rsidR="00C92A4D">
        <w:t>people (box</w:t>
      </w:r>
      <w:r w:rsidR="00442E24">
        <w:t> </w:t>
      </w:r>
      <w:r w:rsidR="00792F51">
        <w:t>12</w:t>
      </w:r>
      <w:r w:rsidR="00C92A4D">
        <w:t>).</w:t>
      </w:r>
    </w:p>
    <w:p w14:paraId="0EA33024" w14:textId="40AEEDCE" w:rsidR="00792F51" w:rsidRDefault="00792F5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92F51" w14:paraId="6B25A69D" w14:textId="77777777" w:rsidTr="00C75C7D">
        <w:trPr>
          <w:tblHeader/>
        </w:trPr>
        <w:tc>
          <w:tcPr>
            <w:tcW w:w="5000" w:type="pct"/>
            <w:tcBorders>
              <w:top w:val="single" w:sz="6" w:space="0" w:color="78A22F"/>
              <w:left w:val="nil"/>
              <w:bottom w:val="nil"/>
              <w:right w:val="nil"/>
            </w:tcBorders>
            <w:shd w:val="clear" w:color="auto" w:fill="F2F2F2"/>
          </w:tcPr>
          <w:p w14:paraId="257A97FE" w14:textId="2DC47FFE" w:rsidR="00792F51" w:rsidRDefault="00792F51">
            <w:pPr>
              <w:pStyle w:val="BoxTitle"/>
            </w:pPr>
            <w:r>
              <w:rPr>
                <w:b w:val="0"/>
              </w:rPr>
              <w:t xml:space="preserve">Box </w:t>
            </w:r>
            <w:bookmarkStart w:id="216" w:name="OLE_LINK14"/>
            <w:r w:rsidR="00E109F5">
              <w:rPr>
                <w:b w:val="0"/>
                <w:noProof/>
              </w:rPr>
              <w:t>12</w:t>
            </w:r>
            <w:bookmarkEnd w:id="216"/>
            <w:r>
              <w:tab/>
              <w:t>Indigenous identification in data</w:t>
            </w:r>
          </w:p>
        </w:tc>
      </w:tr>
      <w:tr w:rsidR="00792F51" w14:paraId="28B36038" w14:textId="77777777" w:rsidTr="00C75C7D">
        <w:tc>
          <w:tcPr>
            <w:tcW w:w="5000" w:type="pct"/>
            <w:tcBorders>
              <w:top w:val="nil"/>
              <w:left w:val="nil"/>
              <w:bottom w:val="nil"/>
              <w:right w:val="nil"/>
            </w:tcBorders>
            <w:shd w:val="clear" w:color="auto" w:fill="F2F2F2"/>
          </w:tcPr>
          <w:p w14:paraId="44C98959" w14:textId="72232642" w:rsidR="00792F51" w:rsidRDefault="00792F51" w:rsidP="00792F51">
            <w:pPr>
              <w:pStyle w:val="Box"/>
            </w:pPr>
            <w:r>
              <w:t>Many data sources rely on respondents to self</w:t>
            </w:r>
            <w:r w:rsidR="00442E24">
              <w:noBreakHyphen/>
            </w:r>
            <w:r>
              <w:t xml:space="preserve">identify if they are Aboriginal </w:t>
            </w:r>
            <w:r w:rsidR="00422FBC">
              <w:t>and/</w:t>
            </w:r>
            <w:r>
              <w:t xml:space="preserve">or Torres Strait Islander. The decision whether to identify as Indigenous in response to a survey or administrative data request is often complex. As the </w:t>
            </w:r>
            <w:r w:rsidR="004B586E">
              <w:t>Australian Bureau of Statistics (</w:t>
            </w:r>
            <w:r>
              <w:t>ABS</w:t>
            </w:r>
            <w:r w:rsidR="004B586E">
              <w:t>)</w:t>
            </w:r>
            <w:r>
              <w:t xml:space="preserve"> identified:</w:t>
            </w:r>
          </w:p>
          <w:p w14:paraId="02A6E4EA" w14:textId="2863CC5B" w:rsidR="00792F51" w:rsidRDefault="00792F51" w:rsidP="00792F51">
            <w:pPr>
              <w:pStyle w:val="BoxQuote"/>
            </w:pPr>
            <w:r>
              <w:t>The decision to disclose one’s Indigenous status is a personal one, and potentially complex. In addition to an individual’s assessment of the question and data collection context, identification may be influenced by attitudes, beliefs and behaviours that the individual is not consciously aware of</w:t>
            </w:r>
            <w:r w:rsidR="00033A9E">
              <w:t>.</w:t>
            </w:r>
            <w:r w:rsidR="00A35345">
              <w:t xml:space="preserve"> </w:t>
            </w:r>
            <w:r w:rsidR="00CC3D74" w:rsidRPr="00CC3D74">
              <w:rPr>
                <w:rFonts w:cs="Arial"/>
                <w:szCs w:val="24"/>
              </w:rPr>
              <w:t>(ABS 2013, p. 6)</w:t>
            </w:r>
            <w:r>
              <w:t>.</w:t>
            </w:r>
          </w:p>
          <w:p w14:paraId="57A8A6B8" w14:textId="029EB13C" w:rsidR="00792F51" w:rsidRDefault="00792F51" w:rsidP="00792F51">
            <w:pPr>
              <w:pStyle w:val="Box"/>
            </w:pPr>
            <w:r>
              <w:t>The choice for people to self</w:t>
            </w:r>
            <w:r w:rsidR="00442E24">
              <w:noBreakHyphen/>
            </w:r>
            <w:r>
              <w:t xml:space="preserve">identify as </w:t>
            </w:r>
            <w:r w:rsidR="00422FBC">
              <w:t xml:space="preserve">Aboriginal and/or Torres Strait Islander </w:t>
            </w:r>
            <w:r>
              <w:t>may vary across time and contexts. As an example, between the 2011 and 2016 Censuses, the population of Aboriginal and Torres Strait Islander people rose by 18.4 per cent, and about one</w:t>
            </w:r>
            <w:r w:rsidR="00442E24">
              <w:noBreakHyphen/>
            </w:r>
            <w:r>
              <w:t>fifth of this change cannot be explained by demographic factors such as births, deaths and migration. A changing propensity to self</w:t>
            </w:r>
            <w:r w:rsidR="00442E24">
              <w:noBreakHyphen/>
            </w:r>
            <w:r>
              <w:t xml:space="preserve">identify as </w:t>
            </w:r>
            <w:r w:rsidR="00422FBC">
              <w:t xml:space="preserve">Aboriginal and/or Torres Strait Islander </w:t>
            </w:r>
            <w:r>
              <w:t xml:space="preserve">has been </w:t>
            </w:r>
            <w:r w:rsidR="00033A9E">
              <w:t xml:space="preserve">acknowledged </w:t>
            </w:r>
            <w:r>
              <w:t xml:space="preserve">as one possible factor that is contributing to the increase in the Aboriginal and Torres Strait Islander population recorded in the Census. </w:t>
            </w:r>
          </w:p>
          <w:p w14:paraId="1E75CFD8" w14:textId="7C10C625" w:rsidR="00792F51" w:rsidRDefault="00792F51" w:rsidP="00792F51">
            <w:pPr>
              <w:pStyle w:val="Box"/>
            </w:pPr>
            <w:r>
              <w:t>For Aboriginal and Torres Strait Islander people, the decision whether to identify their Indigeneity for data collection purposes is — rightly — theirs to make. But it does present challenges for researchers and evaluators when an individual’s Indigenous status varies within and across data sets, particularly when tracking outcomes over time, or the effects of a policy intervention.</w:t>
            </w:r>
          </w:p>
        </w:tc>
      </w:tr>
      <w:tr w:rsidR="00792F51" w14:paraId="1B28E916" w14:textId="77777777" w:rsidTr="00C75C7D">
        <w:tc>
          <w:tcPr>
            <w:tcW w:w="5000" w:type="pct"/>
            <w:tcBorders>
              <w:top w:val="nil"/>
              <w:left w:val="nil"/>
              <w:bottom w:val="nil"/>
              <w:right w:val="nil"/>
            </w:tcBorders>
            <w:shd w:val="clear" w:color="auto" w:fill="F2F2F2"/>
          </w:tcPr>
          <w:p w14:paraId="047F1A84" w14:textId="58B9170F" w:rsidR="00792F51" w:rsidRDefault="00792F51" w:rsidP="00033A9E">
            <w:pPr>
              <w:pStyle w:val="BoxSource"/>
            </w:pPr>
            <w:r>
              <w:rPr>
                <w:i/>
              </w:rPr>
              <w:t>Sources</w:t>
            </w:r>
            <w:r w:rsidRPr="00167F06">
              <w:t xml:space="preserve">: </w:t>
            </w:r>
            <w:r>
              <w:t xml:space="preserve">ABS </w:t>
            </w:r>
            <w:r w:rsidR="006F46D7" w:rsidRPr="006F46D7">
              <w:rPr>
                <w:rFonts w:cs="Arial"/>
              </w:rPr>
              <w:t>(2013, 2018)</w:t>
            </w:r>
            <w:r>
              <w:t>.</w:t>
            </w:r>
          </w:p>
        </w:tc>
      </w:tr>
      <w:tr w:rsidR="00792F51" w14:paraId="2F5F3095" w14:textId="77777777" w:rsidTr="00C75C7D">
        <w:tc>
          <w:tcPr>
            <w:tcW w:w="5000" w:type="pct"/>
            <w:tcBorders>
              <w:top w:val="nil"/>
              <w:left w:val="nil"/>
              <w:bottom w:val="single" w:sz="6" w:space="0" w:color="78A22F"/>
              <w:right w:val="nil"/>
            </w:tcBorders>
            <w:shd w:val="clear" w:color="auto" w:fill="F2F2F2"/>
          </w:tcPr>
          <w:p w14:paraId="0B82AE23" w14:textId="77777777" w:rsidR="00792F51" w:rsidRDefault="00792F51">
            <w:pPr>
              <w:pStyle w:val="Box"/>
              <w:spacing w:before="0" w:line="120" w:lineRule="exact"/>
            </w:pPr>
          </w:p>
        </w:tc>
      </w:tr>
      <w:tr w:rsidR="00792F51" w:rsidRPr="000863A5" w14:paraId="78949C19" w14:textId="77777777" w:rsidTr="00C75C7D">
        <w:tc>
          <w:tcPr>
            <w:tcW w:w="5000" w:type="pct"/>
            <w:tcBorders>
              <w:top w:val="single" w:sz="6" w:space="0" w:color="78A22F"/>
              <w:left w:val="nil"/>
              <w:bottom w:val="nil"/>
              <w:right w:val="nil"/>
            </w:tcBorders>
          </w:tcPr>
          <w:p w14:paraId="71D7A2FC" w14:textId="7BDE658F" w:rsidR="00792F51" w:rsidRPr="00626D32" w:rsidRDefault="00792F51" w:rsidP="00C75C7D">
            <w:pPr>
              <w:pStyle w:val="BoxSpaceBelow"/>
            </w:pPr>
          </w:p>
        </w:tc>
      </w:tr>
    </w:tbl>
    <w:p w14:paraId="4DBDA67A" w14:textId="49098518" w:rsidR="00C92A4D" w:rsidRDefault="00C92A4D" w:rsidP="00C92A4D">
      <w:pPr>
        <w:pStyle w:val="BodyText"/>
      </w:pPr>
      <w:r>
        <w:t xml:space="preserve">How to get the most out of data for the purpose of evaluation will be an important consideration for the Commission when designing an evaluation </w:t>
      </w:r>
      <w:r>
        <w:lastRenderedPageBreak/>
        <w:t>strategy. This will necessitate considering the effectiveness of the current governance structures around data for Indigenous evaluation, including:</w:t>
      </w:r>
    </w:p>
    <w:p w14:paraId="7FA8856F" w14:textId="0436DAFA" w:rsidR="00C92A4D" w:rsidRDefault="00D150B4" w:rsidP="00C92A4D">
      <w:pPr>
        <w:pStyle w:val="ListBullet"/>
      </w:pPr>
      <w:r>
        <w:t>H</w:t>
      </w:r>
      <w:r w:rsidR="00C92A4D">
        <w:t xml:space="preserve">ow </w:t>
      </w:r>
      <w:r w:rsidR="00946827">
        <w:t>(and what)</w:t>
      </w:r>
      <w:r w:rsidR="00C92A4D">
        <w:t xml:space="preserve"> data </w:t>
      </w:r>
      <w:r w:rsidR="00314660">
        <w:t>are</w:t>
      </w:r>
      <w:r w:rsidR="008418FA">
        <w:t xml:space="preserve"> </w:t>
      </w:r>
      <w:r w:rsidR="00C92A4D">
        <w:t xml:space="preserve">collected. This not only includes data collected on </w:t>
      </w:r>
      <w:r w:rsidR="004819D3">
        <w:t>policies and programs</w:t>
      </w:r>
      <w:r w:rsidR="00C92A4D">
        <w:t xml:space="preserve"> that affect Aboriginal and Torres Strait Islander people, but also the information collected about Aboriginal and Torres Strait Islander people and communities more broadly. Another important consideration is the extent that Indigenous knowledge</w:t>
      </w:r>
      <w:r w:rsidR="00807A9C">
        <w:t>s are</w:t>
      </w:r>
      <w:r w:rsidR="00C92A4D">
        <w:t xml:space="preserve"> represented in data collection.</w:t>
      </w:r>
      <w:r w:rsidR="00076DE8">
        <w:t xml:space="preserve"> </w:t>
      </w:r>
    </w:p>
    <w:p w14:paraId="7F1401D6" w14:textId="608B388F" w:rsidR="00C92A4D" w:rsidRDefault="00D150B4" w:rsidP="00C92A4D">
      <w:pPr>
        <w:pStyle w:val="ListBullet"/>
      </w:pPr>
      <w:r>
        <w:t>H</w:t>
      </w:r>
      <w:r w:rsidR="00C92A4D">
        <w:t>ow</w:t>
      </w:r>
      <w:r w:rsidR="00C92A4D" w:rsidDel="00DD6808">
        <w:t xml:space="preserve"> data </w:t>
      </w:r>
      <w:r w:rsidR="00C92A4D">
        <w:t xml:space="preserve">about Aboriginal and Torres Strait Islander people </w:t>
      </w:r>
      <w:r w:rsidR="00314660">
        <w:t>are</w:t>
      </w:r>
      <w:r w:rsidR="00C92A4D">
        <w:t xml:space="preserve"> linked. Linking occurs when different datasets containing information about the same individuals are bought together. Linking allows for more substantial data sets to be developed, often facilitating richer or more meaningful insights.</w:t>
      </w:r>
    </w:p>
    <w:p w14:paraId="3D975B2A" w14:textId="6CAD0496" w:rsidR="00C92A4D" w:rsidRDefault="00D150B4" w:rsidP="00C92A4D">
      <w:pPr>
        <w:pStyle w:val="ListBullet"/>
      </w:pPr>
      <w:r>
        <w:t>H</w:t>
      </w:r>
      <w:r w:rsidR="00C92A4D">
        <w:t>ow</w:t>
      </w:r>
      <w:r w:rsidR="00C92A4D" w:rsidDel="00DD6808">
        <w:t xml:space="preserve"> </w:t>
      </w:r>
      <w:r w:rsidR="00C92A4D">
        <w:t xml:space="preserve">data about Aboriginal and Torres Strait Islander people </w:t>
      </w:r>
      <w:r w:rsidR="00314660">
        <w:t>are</w:t>
      </w:r>
      <w:r w:rsidR="00C92A4D">
        <w:t xml:space="preserve"> shared</w:t>
      </w:r>
      <w:r w:rsidR="00946827">
        <w:t xml:space="preserve"> and stored</w:t>
      </w:r>
      <w:r w:rsidR="00C92A4D">
        <w:t xml:space="preserve">, including sharing with the people and communities that </w:t>
      </w:r>
      <w:r w:rsidR="00904D61">
        <w:t xml:space="preserve">these </w:t>
      </w:r>
      <w:r w:rsidR="00C92A4D">
        <w:t xml:space="preserve">data </w:t>
      </w:r>
      <w:r w:rsidR="00904D61">
        <w:t xml:space="preserve">are </w:t>
      </w:r>
      <w:r w:rsidR="00C92A4D">
        <w:t xml:space="preserve">about. Sharing arrangements also facilitates greater choice in who does evaluation, by ensuring that evaluators have access to the data they need in order to do evaluation well. </w:t>
      </w:r>
    </w:p>
    <w:p w14:paraId="72912DCD" w14:textId="4ABDBC6A" w:rsidR="00C92A4D" w:rsidRDefault="00C92A4D" w:rsidP="00C92A4D">
      <w:pPr>
        <w:pStyle w:val="BodyText"/>
      </w:pPr>
      <w:r>
        <w:t xml:space="preserve">In exploring these issues, it will also be critical to examine the extent that current data governance arrangements </w:t>
      </w:r>
      <w:r w:rsidR="00422FBC">
        <w:t xml:space="preserve">enable </w:t>
      </w:r>
      <w:r>
        <w:t xml:space="preserve">Aboriginal and Torres Strait Islander people to determine how </w:t>
      </w:r>
      <w:r w:rsidR="00422FBC">
        <w:t xml:space="preserve">their </w:t>
      </w:r>
      <w:r>
        <w:t xml:space="preserve">data </w:t>
      </w:r>
      <w:r w:rsidR="00705388">
        <w:t>a</w:t>
      </w:r>
      <w:r w:rsidR="00904D61">
        <w:t xml:space="preserve">re </w:t>
      </w:r>
      <w:r>
        <w:t xml:space="preserve">collected, managed, used and shared. </w:t>
      </w:r>
    </w:p>
    <w:p w14:paraId="6F7A70EE" w14:textId="6865DA94" w:rsidR="00F10AEB" w:rsidRPr="004E3B94" w:rsidRDefault="00F10AEB" w:rsidP="00C75C7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10AEB" w14:paraId="2D3327ED" w14:textId="77777777" w:rsidTr="00C75C7D">
        <w:trPr>
          <w:tblHeader/>
        </w:trPr>
        <w:tc>
          <w:tcPr>
            <w:tcW w:w="5000" w:type="pct"/>
            <w:tcBorders>
              <w:top w:val="single" w:sz="6" w:space="0" w:color="78A22F"/>
              <w:left w:val="nil"/>
              <w:bottom w:val="nil"/>
              <w:right w:val="nil"/>
            </w:tcBorders>
            <w:shd w:val="clear" w:color="auto" w:fill="auto"/>
          </w:tcPr>
          <w:p w14:paraId="474B4216" w14:textId="0A00DE78" w:rsidR="00F10AEB" w:rsidRPr="00CE4C64" w:rsidRDefault="00F10AEB" w:rsidP="00C75C7D">
            <w:pPr>
              <w:pStyle w:val="InformationRequestTitle"/>
              <w:spacing w:before="120"/>
            </w:pPr>
            <w:r>
              <w:t>question on data for EVALUATION</w:t>
            </w:r>
          </w:p>
        </w:tc>
      </w:tr>
      <w:tr w:rsidR="00F10AEB" w:rsidRPr="00750BE2" w14:paraId="0018784F" w14:textId="77777777" w:rsidTr="00C75C7D">
        <w:tc>
          <w:tcPr>
            <w:tcW w:w="5000" w:type="pct"/>
            <w:tcBorders>
              <w:top w:val="nil"/>
              <w:left w:val="nil"/>
              <w:bottom w:val="nil"/>
              <w:right w:val="nil"/>
            </w:tcBorders>
            <w:shd w:val="clear" w:color="auto" w:fill="auto"/>
          </w:tcPr>
          <w:p w14:paraId="1E8F7216" w14:textId="57F08383" w:rsidR="00F10AEB" w:rsidRPr="006E7EE2" w:rsidRDefault="00F10AEB" w:rsidP="00C75C7D">
            <w:pPr>
              <w:pStyle w:val="InformationRequest"/>
              <w:keepNext/>
            </w:pPr>
            <w:r>
              <w:t>To what extent are current data governance arrangements effective? What can be done to improve arrangements?</w:t>
            </w:r>
          </w:p>
        </w:tc>
      </w:tr>
      <w:tr w:rsidR="00F10AEB" w14:paraId="41DADA72" w14:textId="77777777" w:rsidTr="00C75C7D">
        <w:tc>
          <w:tcPr>
            <w:tcW w:w="5000" w:type="pct"/>
            <w:tcBorders>
              <w:top w:val="nil"/>
              <w:left w:val="nil"/>
              <w:bottom w:val="single" w:sz="6" w:space="0" w:color="78A22F"/>
              <w:right w:val="nil"/>
            </w:tcBorders>
            <w:shd w:val="clear" w:color="auto" w:fill="auto"/>
          </w:tcPr>
          <w:p w14:paraId="45CC18A9" w14:textId="77777777" w:rsidR="00F10AEB" w:rsidRDefault="00F10AEB" w:rsidP="00C75C7D">
            <w:pPr>
              <w:pStyle w:val="Space"/>
              <w:keepLines/>
            </w:pPr>
          </w:p>
        </w:tc>
      </w:tr>
      <w:tr w:rsidR="00F10AEB" w:rsidRPr="000863A5" w14:paraId="54236D31" w14:textId="77777777" w:rsidTr="00C75C7D">
        <w:tc>
          <w:tcPr>
            <w:tcW w:w="5000" w:type="pct"/>
            <w:tcBorders>
              <w:top w:val="single" w:sz="6" w:space="0" w:color="78A22F"/>
              <w:left w:val="nil"/>
              <w:bottom w:val="nil"/>
              <w:right w:val="nil"/>
            </w:tcBorders>
          </w:tcPr>
          <w:p w14:paraId="03FB20BC" w14:textId="0499E2C5" w:rsidR="00F10AEB" w:rsidRPr="00626D32" w:rsidRDefault="00F10AEB" w:rsidP="00C75C7D">
            <w:pPr>
              <w:pStyle w:val="BoxSpaceBelow"/>
              <w:keepLines/>
            </w:pPr>
          </w:p>
        </w:tc>
      </w:tr>
    </w:tbl>
    <w:p w14:paraId="564D473C" w14:textId="71A5293E" w:rsidR="00550848" w:rsidRDefault="0078025E" w:rsidP="00856655">
      <w:pPr>
        <w:pStyle w:val="Heading4"/>
      </w:pPr>
      <w:r>
        <w:lastRenderedPageBreak/>
        <w:t>Processes to i</w:t>
      </w:r>
      <w:r w:rsidR="00BA6B4F">
        <w:t>dentify</w:t>
      </w:r>
      <w:r>
        <w:t xml:space="preserve"> </w:t>
      </w:r>
      <w:r w:rsidR="00BA6B4F">
        <w:t>and translat</w:t>
      </w:r>
      <w:r>
        <w:t>e</w:t>
      </w:r>
      <w:r w:rsidR="00BA6B4F">
        <w:t xml:space="preserve"> important knowledge from </w:t>
      </w:r>
      <w:r w:rsidR="00851B87">
        <w:t>evaluation</w:t>
      </w:r>
    </w:p>
    <w:p w14:paraId="58B3B7FB" w14:textId="6F29AFEB" w:rsidR="0069445D" w:rsidRDefault="00550848" w:rsidP="00550848">
      <w:pPr>
        <w:pStyle w:val="BodyText"/>
      </w:pPr>
      <w:r>
        <w:t xml:space="preserve">If it achieves its goals, the </w:t>
      </w:r>
      <w:r w:rsidR="00904D61">
        <w:t xml:space="preserve">Evaluation Strategy </w:t>
      </w:r>
      <w:r>
        <w:t>should result in a marked increase in the number of high</w:t>
      </w:r>
      <w:r w:rsidR="00442E24">
        <w:noBreakHyphen/>
      </w:r>
      <w:r>
        <w:t xml:space="preserve">quality evaluations being undertaken. As more and more evaluation is completed, it is likely that </w:t>
      </w:r>
      <w:r w:rsidR="00B405B5">
        <w:t>knowledge</w:t>
      </w:r>
      <w:r w:rsidR="002A194D">
        <w:t xml:space="preserve"> (such as common findings or lessons)</w:t>
      </w:r>
      <w:r w:rsidR="00B405B5">
        <w:t xml:space="preserve"> </w:t>
      </w:r>
      <w:r>
        <w:t xml:space="preserve">will emerge that </w:t>
      </w:r>
      <w:r w:rsidR="002A194D">
        <w:t xml:space="preserve">has </w:t>
      </w:r>
      <w:r>
        <w:t>cross</w:t>
      </w:r>
      <w:r w:rsidR="00442E24">
        <w:noBreakHyphen/>
      </w:r>
      <w:r>
        <w:t xml:space="preserve">cutting implications for a range of services provided to Aboriginal and Torres Strait Islander people. </w:t>
      </w:r>
    </w:p>
    <w:p w14:paraId="5947BEEB" w14:textId="008CA50F" w:rsidR="002A194D" w:rsidRDefault="0069445D" w:rsidP="00550848">
      <w:pPr>
        <w:pStyle w:val="BodyText"/>
      </w:pPr>
      <w:r>
        <w:t xml:space="preserve">A process is needed to </w:t>
      </w:r>
      <w:r w:rsidR="00BA6B4F">
        <w:t>identify</w:t>
      </w:r>
      <w:r w:rsidR="002A194D">
        <w:t xml:space="preserve"> </w:t>
      </w:r>
      <w:r w:rsidR="00BA6B4F">
        <w:t>and translate this knowledge in such a way that it can usefully feed into policy design and implementation</w:t>
      </w:r>
      <w:r w:rsidR="002A194D">
        <w:t xml:space="preserve"> decisions</w:t>
      </w:r>
      <w:r w:rsidR="00BA6B4F">
        <w:t>.</w:t>
      </w:r>
      <w:r w:rsidR="00851B87">
        <w:t xml:space="preserve"> </w:t>
      </w:r>
      <w:r w:rsidR="0057597C">
        <w:t>This extend</w:t>
      </w:r>
      <w:r w:rsidR="0014129E">
        <w:t>s</w:t>
      </w:r>
      <w:r w:rsidR="0057597C">
        <w:t xml:space="preserve"> beyond just publishing evaluation reports, but also discerning common findings and lessons across evaluations, and summarising</w:t>
      </w:r>
      <w:r w:rsidR="00422FBC">
        <w:t>, translating</w:t>
      </w:r>
      <w:r w:rsidR="0057597C">
        <w:t xml:space="preserve"> and sharing these. </w:t>
      </w:r>
    </w:p>
    <w:p w14:paraId="02BC4DA6" w14:textId="2DB654A4" w:rsidR="00550848" w:rsidRPr="004E3B94" w:rsidRDefault="00550848" w:rsidP="0055084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550848" w14:paraId="2A9697D9" w14:textId="77777777" w:rsidTr="000C4B5F">
        <w:trPr>
          <w:tblHeader/>
        </w:trPr>
        <w:tc>
          <w:tcPr>
            <w:tcW w:w="5000" w:type="pct"/>
            <w:tcBorders>
              <w:top w:val="single" w:sz="6" w:space="0" w:color="78A22F"/>
              <w:left w:val="nil"/>
              <w:bottom w:val="nil"/>
              <w:right w:val="nil"/>
            </w:tcBorders>
            <w:shd w:val="clear" w:color="auto" w:fill="auto"/>
          </w:tcPr>
          <w:p w14:paraId="0CFB952D" w14:textId="5D8EC6D4" w:rsidR="00550848" w:rsidRPr="00CE4C64" w:rsidRDefault="00856655" w:rsidP="000C4B5F">
            <w:pPr>
              <w:pStyle w:val="InformationRequestTitle"/>
              <w:spacing w:before="120"/>
            </w:pPr>
            <w:r>
              <w:t xml:space="preserve">questions on </w:t>
            </w:r>
            <w:r w:rsidR="006658AF">
              <w:t>identifying and translating knowledge</w:t>
            </w:r>
            <w:r w:rsidR="00E00BDE">
              <w:t xml:space="preserve"> from evaluation</w:t>
            </w:r>
          </w:p>
        </w:tc>
      </w:tr>
      <w:tr w:rsidR="00550848" w:rsidRPr="00750BE2" w14:paraId="7AC06E89" w14:textId="77777777" w:rsidTr="000C4B5F">
        <w:tc>
          <w:tcPr>
            <w:tcW w:w="5000" w:type="pct"/>
            <w:tcBorders>
              <w:top w:val="nil"/>
              <w:left w:val="nil"/>
              <w:bottom w:val="nil"/>
              <w:right w:val="nil"/>
            </w:tcBorders>
            <w:shd w:val="clear" w:color="auto" w:fill="auto"/>
          </w:tcPr>
          <w:p w14:paraId="6E4C28A7" w14:textId="1138B4C3" w:rsidR="00550848" w:rsidRPr="00305026" w:rsidRDefault="00550848" w:rsidP="000C4B5F">
            <w:pPr>
              <w:pStyle w:val="InformationRequest"/>
            </w:pPr>
            <w:r w:rsidRPr="00305026">
              <w:t xml:space="preserve">What can be done to ensure that </w:t>
            </w:r>
            <w:r w:rsidR="00DC12A2">
              <w:t xml:space="preserve">knowledge generated through evaluation is identified and translated in such a way that it can be used to usefully and meaningfully inform policy design and implementation? </w:t>
            </w:r>
          </w:p>
        </w:tc>
      </w:tr>
      <w:tr w:rsidR="00550848" w14:paraId="74325126" w14:textId="77777777" w:rsidTr="000C4B5F">
        <w:tc>
          <w:tcPr>
            <w:tcW w:w="5000" w:type="pct"/>
            <w:tcBorders>
              <w:top w:val="nil"/>
              <w:left w:val="nil"/>
              <w:bottom w:val="single" w:sz="6" w:space="0" w:color="78A22F"/>
              <w:right w:val="nil"/>
            </w:tcBorders>
            <w:shd w:val="clear" w:color="auto" w:fill="auto"/>
          </w:tcPr>
          <w:p w14:paraId="435D7A86" w14:textId="77777777" w:rsidR="00550848" w:rsidRDefault="00550848" w:rsidP="000C4B5F">
            <w:pPr>
              <w:pStyle w:val="Space"/>
              <w:keepLines/>
            </w:pPr>
          </w:p>
        </w:tc>
      </w:tr>
      <w:tr w:rsidR="00550848" w:rsidRPr="000863A5" w14:paraId="08363A08" w14:textId="77777777" w:rsidTr="000C4B5F">
        <w:tc>
          <w:tcPr>
            <w:tcW w:w="5000" w:type="pct"/>
            <w:tcBorders>
              <w:top w:val="single" w:sz="6" w:space="0" w:color="78A22F"/>
              <w:left w:val="nil"/>
              <w:bottom w:val="nil"/>
              <w:right w:val="nil"/>
            </w:tcBorders>
          </w:tcPr>
          <w:p w14:paraId="49602347" w14:textId="41954AF5" w:rsidR="00550848" w:rsidRPr="00626D32" w:rsidRDefault="00550848" w:rsidP="000C4B5F">
            <w:pPr>
              <w:pStyle w:val="BoxSpaceBelow"/>
              <w:keepLines/>
            </w:pPr>
          </w:p>
        </w:tc>
      </w:tr>
    </w:tbl>
    <w:p w14:paraId="7EEF2566" w14:textId="6083BF8E" w:rsidR="003D4714" w:rsidRDefault="003D4714" w:rsidP="003D4714">
      <w:pPr>
        <w:pStyle w:val="Heading4"/>
      </w:pPr>
      <w:r>
        <w:t>Effective compliance and monitoring arrangements</w:t>
      </w:r>
      <w:r w:rsidR="00ED183B">
        <w:t xml:space="preserve"> for the strategy</w:t>
      </w:r>
    </w:p>
    <w:p w14:paraId="377AC7AC" w14:textId="77777777" w:rsidR="003D4714" w:rsidRPr="00D150B4" w:rsidRDefault="003D4714" w:rsidP="003D4714">
      <w:pPr>
        <w:pStyle w:val="BodyText"/>
        <w:rPr>
          <w:spacing w:val="-4"/>
        </w:rPr>
      </w:pPr>
      <w:r w:rsidRPr="00D150B4">
        <w:rPr>
          <w:spacing w:val="-4"/>
        </w:rPr>
        <w:t xml:space="preserve">The practice of evaluation within government is inextricably linked to the overarching governance and legislative structures in which agencies operate. Improving the conduct of evaluations will necessarily involve consideration of whether there is scope to improve existing compliance and monitoring arrangements that support evaluation within and across agencies. </w:t>
      </w:r>
    </w:p>
    <w:p w14:paraId="7C4AD0A5" w14:textId="3E2F93DA" w:rsidR="003D4714" w:rsidRPr="00D150B4" w:rsidRDefault="003D4714" w:rsidP="003D4714">
      <w:pPr>
        <w:pStyle w:val="BodyText"/>
        <w:rPr>
          <w:spacing w:val="-4"/>
        </w:rPr>
      </w:pPr>
      <w:r w:rsidRPr="00D150B4">
        <w:rPr>
          <w:spacing w:val="-4"/>
        </w:rPr>
        <w:t xml:space="preserve">Broadly speaking, compliance with the Indigenous </w:t>
      </w:r>
      <w:r w:rsidR="003168B7" w:rsidRPr="00D150B4">
        <w:rPr>
          <w:spacing w:val="-4"/>
        </w:rPr>
        <w:t>E</w:t>
      </w:r>
      <w:r w:rsidRPr="00D150B4">
        <w:rPr>
          <w:spacing w:val="-4"/>
        </w:rPr>
        <w:t xml:space="preserve">valuation </w:t>
      </w:r>
      <w:r w:rsidR="003168B7" w:rsidRPr="00D150B4">
        <w:rPr>
          <w:spacing w:val="-4"/>
        </w:rPr>
        <w:t>S</w:t>
      </w:r>
      <w:r w:rsidRPr="00D150B4">
        <w:rPr>
          <w:spacing w:val="-4"/>
        </w:rPr>
        <w:t>trategy can be encouraged by:</w:t>
      </w:r>
    </w:p>
    <w:p w14:paraId="5D334EDD" w14:textId="77777777" w:rsidR="003D4714" w:rsidRDefault="003D4714" w:rsidP="003D4714">
      <w:pPr>
        <w:pStyle w:val="ListBullet"/>
      </w:pPr>
      <w:r>
        <w:lastRenderedPageBreak/>
        <w:t>providing rewards to agencies that demonstrate compliance (that is, offering so called ‘carrots’)</w:t>
      </w:r>
    </w:p>
    <w:p w14:paraId="1465571E" w14:textId="25D4B175" w:rsidR="003D4714" w:rsidRDefault="003D4714" w:rsidP="003D4714">
      <w:pPr>
        <w:pStyle w:val="ListBullet"/>
      </w:pPr>
      <w:proofErr w:type="gramStart"/>
      <w:r>
        <w:t>setting</w:t>
      </w:r>
      <w:proofErr w:type="gramEnd"/>
      <w:r>
        <w:t xml:space="preserve"> rules on the conduct of evaluation, and</w:t>
      </w:r>
      <w:r w:rsidRPr="006316C4">
        <w:t xml:space="preserve"> </w:t>
      </w:r>
      <w:r>
        <w:t>sanctioning agencies that do not meet these rules (that is, utilising so called ‘sticks’)</w:t>
      </w:r>
      <w:r w:rsidR="003D70A5">
        <w:t>.</w:t>
      </w:r>
    </w:p>
    <w:p w14:paraId="0ECBE3C8" w14:textId="7FDB0EEC" w:rsidR="003D4714" w:rsidRDefault="003D4714" w:rsidP="003D4714">
      <w:pPr>
        <w:pStyle w:val="BodyText"/>
      </w:pPr>
      <w:r>
        <w:t xml:space="preserve">There are a range of possible options through which compliance arrangements for the Indigenous </w:t>
      </w:r>
      <w:r w:rsidR="003168B7">
        <w:t>E</w:t>
      </w:r>
      <w:r>
        <w:t xml:space="preserve">valuation </w:t>
      </w:r>
      <w:r w:rsidR="003168B7">
        <w:t>S</w:t>
      </w:r>
      <w:r>
        <w:t>trategy could be implemented. These range from highly formal approaches (where, for example, compliance is mandated through legislative and/or administrative arrangements, such as those currently operating through the PGPA Act) to less formal approaches (where, for example, compliance with the strategy is monitored and reported on</w:t>
      </w:r>
      <w:r w:rsidR="00710F85">
        <w:t xml:space="preserve"> publicly</w:t>
      </w:r>
      <w:r>
        <w:t xml:space="preserve">, but following the strategy is not mandated through law). </w:t>
      </w:r>
    </w:p>
    <w:p w14:paraId="3EEE26E1" w14:textId="3FD2DCC6" w:rsidR="003D4714" w:rsidRDefault="003D4714" w:rsidP="003D4714">
      <w:pPr>
        <w:pStyle w:val="BodyText"/>
      </w:pPr>
      <w:r>
        <w:t>Monitoring agencies’ compliance with the strategy will be important, not least so that instances of non</w:t>
      </w:r>
      <w:r w:rsidR="00442E24">
        <w:noBreakHyphen/>
      </w:r>
      <w:r>
        <w:t xml:space="preserve">compliance can be identified, called out and rectified in a timely manner. The Letter of Direction requests that the Commission ‘set out its approach for reviewing agencies’ conduct of evaluations against the strategy’ indicating that this monitoring function could, at least in part, be fulfilled by the Commission. </w:t>
      </w:r>
    </w:p>
    <w:p w14:paraId="6F094449" w14:textId="59835409" w:rsidR="00F10AEB" w:rsidRPr="004E3B94" w:rsidRDefault="00F10AEB" w:rsidP="00C75C7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10AEB" w14:paraId="402C1371" w14:textId="77777777" w:rsidTr="00C75C7D">
        <w:trPr>
          <w:tblHeader/>
        </w:trPr>
        <w:tc>
          <w:tcPr>
            <w:tcW w:w="5000" w:type="pct"/>
            <w:tcBorders>
              <w:top w:val="single" w:sz="6" w:space="0" w:color="78A22F"/>
              <w:left w:val="nil"/>
              <w:bottom w:val="nil"/>
              <w:right w:val="nil"/>
            </w:tcBorders>
            <w:shd w:val="clear" w:color="auto" w:fill="auto"/>
          </w:tcPr>
          <w:p w14:paraId="518D98CF" w14:textId="3B641937" w:rsidR="00F10AEB" w:rsidRPr="00CE4C64" w:rsidRDefault="00F10AEB" w:rsidP="00C75C7D">
            <w:pPr>
              <w:pStyle w:val="InformationRequestTitle"/>
              <w:spacing w:before="120"/>
            </w:pPr>
            <w:r>
              <w:t>questions on evaluation monitoring and compliance MECHANISMS</w:t>
            </w:r>
          </w:p>
        </w:tc>
      </w:tr>
      <w:tr w:rsidR="00F10AEB" w:rsidRPr="00750BE2" w14:paraId="7AB72AF8" w14:textId="77777777" w:rsidTr="00C75C7D">
        <w:tc>
          <w:tcPr>
            <w:tcW w:w="5000" w:type="pct"/>
            <w:tcBorders>
              <w:top w:val="nil"/>
              <w:left w:val="nil"/>
              <w:bottom w:val="nil"/>
              <w:right w:val="nil"/>
            </w:tcBorders>
            <w:shd w:val="clear" w:color="auto" w:fill="auto"/>
          </w:tcPr>
          <w:p w14:paraId="5E168556" w14:textId="18FF284D" w:rsidR="00F10AEB" w:rsidRPr="0064289F" w:rsidRDefault="00F10AEB" w:rsidP="00F10AEB">
            <w:pPr>
              <w:pStyle w:val="InformationRequest"/>
            </w:pPr>
            <w:r w:rsidRPr="0064289F">
              <w:t xml:space="preserve">What approaches and models </w:t>
            </w:r>
            <w:r>
              <w:t>c</w:t>
            </w:r>
            <w:r w:rsidRPr="0064289F">
              <w:t xml:space="preserve">ould be implemented to ensure that </w:t>
            </w:r>
            <w:r w:rsidR="00E00BDE">
              <w:t xml:space="preserve">Australian </w:t>
            </w:r>
            <w:r w:rsidR="00904D61">
              <w:t>G</w:t>
            </w:r>
            <w:r w:rsidR="00904D61" w:rsidRPr="0064289F">
              <w:t xml:space="preserve">overnment </w:t>
            </w:r>
            <w:r w:rsidRPr="0064289F">
              <w:t xml:space="preserve">agencies comply with the </w:t>
            </w:r>
            <w:r>
              <w:t xml:space="preserve">Indigenous </w:t>
            </w:r>
            <w:r w:rsidR="003168B7">
              <w:t>E</w:t>
            </w:r>
            <w:r w:rsidRPr="0064289F">
              <w:t xml:space="preserve">valuation </w:t>
            </w:r>
            <w:r w:rsidR="003168B7">
              <w:t>S</w:t>
            </w:r>
            <w:r>
              <w:t>trategy</w:t>
            </w:r>
            <w:r w:rsidRPr="0064289F">
              <w:t xml:space="preserve">? </w:t>
            </w:r>
          </w:p>
          <w:p w14:paraId="75F2B282" w14:textId="56C40275" w:rsidR="00F10AEB" w:rsidRPr="006E7EE2" w:rsidRDefault="00F10AEB" w:rsidP="00710F85">
            <w:pPr>
              <w:pStyle w:val="InformationRequest"/>
              <w:keepNext/>
            </w:pPr>
            <w:r w:rsidRPr="0064289F">
              <w:t xml:space="preserve">How should agencies’ conduct against the </w:t>
            </w:r>
            <w:r w:rsidR="00904D61">
              <w:t>S</w:t>
            </w:r>
            <w:r w:rsidR="00904D61" w:rsidRPr="0064289F">
              <w:t xml:space="preserve">trategy </w:t>
            </w:r>
            <w:r w:rsidRPr="0064289F">
              <w:t>be monitored?</w:t>
            </w:r>
          </w:p>
        </w:tc>
      </w:tr>
      <w:tr w:rsidR="00F10AEB" w14:paraId="59B2A218" w14:textId="77777777" w:rsidTr="00C75C7D">
        <w:tc>
          <w:tcPr>
            <w:tcW w:w="5000" w:type="pct"/>
            <w:tcBorders>
              <w:top w:val="nil"/>
              <w:left w:val="nil"/>
              <w:bottom w:val="single" w:sz="6" w:space="0" w:color="78A22F"/>
              <w:right w:val="nil"/>
            </w:tcBorders>
            <w:shd w:val="clear" w:color="auto" w:fill="auto"/>
          </w:tcPr>
          <w:p w14:paraId="5FF87523" w14:textId="77777777" w:rsidR="00F10AEB" w:rsidRDefault="00F10AEB" w:rsidP="00C75C7D">
            <w:pPr>
              <w:pStyle w:val="Space"/>
              <w:keepLines/>
            </w:pPr>
          </w:p>
        </w:tc>
      </w:tr>
      <w:tr w:rsidR="00F10AEB" w:rsidRPr="000863A5" w14:paraId="10BA1AE8" w14:textId="77777777" w:rsidTr="00C75C7D">
        <w:tc>
          <w:tcPr>
            <w:tcW w:w="5000" w:type="pct"/>
            <w:tcBorders>
              <w:top w:val="single" w:sz="6" w:space="0" w:color="78A22F"/>
              <w:left w:val="nil"/>
              <w:bottom w:val="nil"/>
              <w:right w:val="nil"/>
            </w:tcBorders>
          </w:tcPr>
          <w:p w14:paraId="35015F84" w14:textId="2720AFDA" w:rsidR="00F10AEB" w:rsidRPr="00626D32" w:rsidRDefault="00F10AEB" w:rsidP="00C75C7D">
            <w:pPr>
              <w:pStyle w:val="BoxSpaceBelow"/>
              <w:keepLines/>
            </w:pPr>
          </w:p>
        </w:tc>
      </w:tr>
    </w:tbl>
    <w:p w14:paraId="1DA08E49" w14:textId="2D06BF48" w:rsidR="00550848" w:rsidRDefault="00C16932" w:rsidP="00856655">
      <w:pPr>
        <w:pStyle w:val="Heading4"/>
      </w:pPr>
      <w:r>
        <w:t xml:space="preserve">A </w:t>
      </w:r>
      <w:r w:rsidR="00286746">
        <w:t>process</w:t>
      </w:r>
      <w:r>
        <w:t xml:space="preserve"> for reviewing and revising the </w:t>
      </w:r>
      <w:r w:rsidR="000D3A57">
        <w:t xml:space="preserve">Indigenous </w:t>
      </w:r>
      <w:r w:rsidR="000C459C">
        <w:t>E</w:t>
      </w:r>
      <w:r w:rsidR="000D3A57">
        <w:t xml:space="preserve">valuation </w:t>
      </w:r>
      <w:r w:rsidR="000C459C">
        <w:t>S</w:t>
      </w:r>
      <w:r w:rsidR="000D3A57">
        <w:t>trategy</w:t>
      </w:r>
    </w:p>
    <w:p w14:paraId="337F4563" w14:textId="7BCBE2A0" w:rsidR="00550848" w:rsidRDefault="00550848" w:rsidP="00550848">
      <w:pPr>
        <w:pStyle w:val="BodyText"/>
      </w:pPr>
      <w:r>
        <w:t xml:space="preserve">A key requirement of any evaluation strategy is that it be subject to regular review. If the strategy and its component parts </w:t>
      </w:r>
      <w:r w:rsidR="00097A35">
        <w:t>remain</w:t>
      </w:r>
      <w:r>
        <w:t xml:space="preserve"> static, there is a risk </w:t>
      </w:r>
      <w:r>
        <w:lastRenderedPageBreak/>
        <w:t xml:space="preserve">that it will fail to meet the evolving needs of Aboriginal and Torres Strait Islander people and governments, and ultimately, that it may not meaningfully contribute to improving outcomes for </w:t>
      </w:r>
      <w:r w:rsidR="000C459C">
        <w:t>Aboriginal and Torres Strait Islander</w:t>
      </w:r>
      <w:r w:rsidR="00FD2FCC">
        <w:t xml:space="preserve"> people</w:t>
      </w:r>
      <w:r w:rsidR="000C459C">
        <w:t xml:space="preserve"> </w:t>
      </w:r>
      <w:r>
        <w:t>and communities.</w:t>
      </w:r>
    </w:p>
    <w:p w14:paraId="3495A9A7" w14:textId="68707510" w:rsidR="00550848" w:rsidRPr="003D70A5" w:rsidRDefault="00550848" w:rsidP="00550848">
      <w:pPr>
        <w:pStyle w:val="BodyText"/>
        <w:rPr>
          <w:spacing w:val="-6"/>
        </w:rPr>
      </w:pPr>
      <w:r w:rsidRPr="003D70A5">
        <w:rPr>
          <w:spacing w:val="-6"/>
        </w:rPr>
        <w:t xml:space="preserve">Reviews provide an opportunity to assess the </w:t>
      </w:r>
      <w:r w:rsidR="00904D61" w:rsidRPr="003D70A5">
        <w:rPr>
          <w:spacing w:val="-6"/>
        </w:rPr>
        <w:t xml:space="preserve">Strategy’s </w:t>
      </w:r>
      <w:r w:rsidRPr="003D70A5">
        <w:rPr>
          <w:spacing w:val="-6"/>
        </w:rPr>
        <w:t xml:space="preserve">effectiveness; to draw upon updated knowledge, experiences and priorities; and to identify and implement improvements to the strategy. </w:t>
      </w:r>
    </w:p>
    <w:p w14:paraId="6C9A3878" w14:textId="7A57969E" w:rsidR="00550848" w:rsidRDefault="00550848" w:rsidP="00550848">
      <w:pPr>
        <w:pStyle w:val="BodyText"/>
      </w:pPr>
      <w:r>
        <w:t xml:space="preserve">The form that reviews of the </w:t>
      </w:r>
      <w:r w:rsidR="00904D61">
        <w:t xml:space="preserve">Strategy </w:t>
      </w:r>
      <w:r>
        <w:t>should take is an important consideration for the Commission. This includes determining:</w:t>
      </w:r>
    </w:p>
    <w:p w14:paraId="73753466" w14:textId="2E5CFCAA" w:rsidR="00550848" w:rsidRDefault="00550848" w:rsidP="00550848">
      <w:pPr>
        <w:pStyle w:val="ListBullet"/>
      </w:pPr>
      <w:r>
        <w:t>when the</w:t>
      </w:r>
      <w:r w:rsidR="00097A35" w:rsidDel="00904D61">
        <w:t xml:space="preserve"> </w:t>
      </w:r>
      <w:r w:rsidR="00904D61">
        <w:t xml:space="preserve">Strategy </w:t>
      </w:r>
      <w:r w:rsidR="00097A35">
        <w:t>should</w:t>
      </w:r>
      <w:r>
        <w:t xml:space="preserve"> be reviewed (recognising that there will need to be time between when the strategy is implemented and when there is sufficient information to make an informed assessment of its performance)</w:t>
      </w:r>
      <w:r w:rsidDel="008B26EF">
        <w:t xml:space="preserve"> </w:t>
      </w:r>
    </w:p>
    <w:p w14:paraId="726820F7" w14:textId="4055D688" w:rsidR="00550848" w:rsidRDefault="00550848" w:rsidP="00550848">
      <w:pPr>
        <w:pStyle w:val="ListBullet"/>
      </w:pPr>
      <w:r>
        <w:t xml:space="preserve">who should be responsible for reviewing and revising the </w:t>
      </w:r>
      <w:r w:rsidR="00904D61">
        <w:t>Strategy</w:t>
      </w:r>
    </w:p>
    <w:p w14:paraId="1FC5A3EF" w14:textId="794F5A2D" w:rsidR="00550848" w:rsidRDefault="00550848" w:rsidP="00550848">
      <w:pPr>
        <w:pStyle w:val="ListBullet"/>
      </w:pPr>
      <w:proofErr w:type="gramStart"/>
      <w:r>
        <w:t>how</w:t>
      </w:r>
      <w:proofErr w:type="gramEnd"/>
      <w:r>
        <w:t xml:space="preserve"> reviews should be undertaken</w:t>
      </w:r>
      <w:r w:rsidR="001B0BF4">
        <w:t>.</w:t>
      </w:r>
    </w:p>
    <w:p w14:paraId="7C2ED991" w14:textId="0FAAD26A" w:rsidR="00550848" w:rsidRDefault="00550848" w:rsidP="00550848">
      <w:pPr>
        <w:pStyle w:val="BodyText"/>
      </w:pPr>
      <w:r>
        <w:t xml:space="preserve">Regardless of who does the review and the form it takes, it will be critical to engage with Aboriginal and Torres Strait Islander people on the performance of the strategy and how it can be improved. Ample opportunity for Aboriginal and Torres Strait Islander people to participate in reviews is essential, as is a process to </w:t>
      </w:r>
      <w:r w:rsidR="00AA1455">
        <w:t xml:space="preserve">ensure </w:t>
      </w:r>
      <w:r>
        <w:t>Aboriginal and Torres Strait Islander perspectives and voice</w:t>
      </w:r>
      <w:r w:rsidR="00AA1455">
        <w:t>s are central to the process</w:t>
      </w:r>
      <w:r>
        <w:t>.</w:t>
      </w:r>
      <w:r w:rsidR="00076DE8">
        <w:t xml:space="preserve"> </w:t>
      </w:r>
    </w:p>
    <w:p w14:paraId="2C5D9666" w14:textId="7752887F" w:rsidR="00550848" w:rsidRPr="004E3B94" w:rsidRDefault="00550848" w:rsidP="003D70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550848" w14:paraId="76565DC3" w14:textId="77777777" w:rsidTr="000C4B5F">
        <w:trPr>
          <w:tblHeader/>
        </w:trPr>
        <w:tc>
          <w:tcPr>
            <w:tcW w:w="5000" w:type="pct"/>
            <w:tcBorders>
              <w:top w:val="single" w:sz="6" w:space="0" w:color="78A22F"/>
              <w:left w:val="nil"/>
              <w:bottom w:val="nil"/>
              <w:right w:val="nil"/>
            </w:tcBorders>
            <w:shd w:val="clear" w:color="auto" w:fill="auto"/>
          </w:tcPr>
          <w:p w14:paraId="1D5F9150" w14:textId="1D285CD1" w:rsidR="00550848" w:rsidRPr="00CE4C64" w:rsidRDefault="00856655" w:rsidP="000C4B5F">
            <w:pPr>
              <w:pStyle w:val="InformationRequestTitle"/>
              <w:spacing w:before="120"/>
            </w:pPr>
            <w:r>
              <w:t>question on revising the indigenous evaluation STRATEGY over time</w:t>
            </w:r>
          </w:p>
        </w:tc>
      </w:tr>
      <w:tr w:rsidR="00550848" w:rsidRPr="00750BE2" w14:paraId="497C1DF9" w14:textId="77777777" w:rsidTr="000C4B5F">
        <w:tc>
          <w:tcPr>
            <w:tcW w:w="5000" w:type="pct"/>
            <w:tcBorders>
              <w:top w:val="nil"/>
              <w:left w:val="nil"/>
              <w:bottom w:val="nil"/>
              <w:right w:val="nil"/>
            </w:tcBorders>
            <w:shd w:val="clear" w:color="auto" w:fill="auto"/>
          </w:tcPr>
          <w:p w14:paraId="6A57E86A" w14:textId="3813F1E7" w:rsidR="00550848" w:rsidRPr="006E7EE2" w:rsidRDefault="00550848" w:rsidP="007F57CC">
            <w:pPr>
              <w:pStyle w:val="InformationRequest"/>
              <w:keepNext/>
            </w:pPr>
            <w:r>
              <w:t xml:space="preserve">How do you think the process for reviewing and revising the </w:t>
            </w:r>
            <w:r w:rsidR="007F57CC">
              <w:t xml:space="preserve">Strategy </w:t>
            </w:r>
            <w:r>
              <w:t>should be structured?</w:t>
            </w:r>
          </w:p>
        </w:tc>
      </w:tr>
      <w:tr w:rsidR="00550848" w14:paraId="64E2225C" w14:textId="77777777" w:rsidTr="000C4B5F">
        <w:tc>
          <w:tcPr>
            <w:tcW w:w="5000" w:type="pct"/>
            <w:tcBorders>
              <w:top w:val="nil"/>
              <w:left w:val="nil"/>
              <w:bottom w:val="single" w:sz="6" w:space="0" w:color="78A22F"/>
              <w:right w:val="nil"/>
            </w:tcBorders>
            <w:shd w:val="clear" w:color="auto" w:fill="auto"/>
          </w:tcPr>
          <w:p w14:paraId="3996AFC6" w14:textId="77777777" w:rsidR="00550848" w:rsidRDefault="00550848" w:rsidP="000C4B5F">
            <w:pPr>
              <w:pStyle w:val="Space"/>
              <w:keepLines/>
            </w:pPr>
          </w:p>
        </w:tc>
      </w:tr>
      <w:tr w:rsidR="00550848" w:rsidRPr="000863A5" w14:paraId="6ED3628D" w14:textId="77777777" w:rsidTr="000C4B5F">
        <w:tc>
          <w:tcPr>
            <w:tcW w:w="5000" w:type="pct"/>
            <w:tcBorders>
              <w:top w:val="single" w:sz="6" w:space="0" w:color="78A22F"/>
              <w:left w:val="nil"/>
              <w:bottom w:val="nil"/>
              <w:right w:val="nil"/>
            </w:tcBorders>
          </w:tcPr>
          <w:p w14:paraId="524CFEAF" w14:textId="7FF0EBB5" w:rsidR="00550848" w:rsidRPr="00626D32" w:rsidRDefault="00550848" w:rsidP="000C4B5F">
            <w:pPr>
              <w:pStyle w:val="BoxSpaceBelow"/>
              <w:keepLines/>
            </w:pPr>
          </w:p>
        </w:tc>
      </w:tr>
    </w:tbl>
    <w:p w14:paraId="3E78B967" w14:textId="1030660A" w:rsidR="003222E7" w:rsidRDefault="0005485D" w:rsidP="0021123A">
      <w:pPr>
        <w:pStyle w:val="Heading2"/>
      </w:pPr>
      <w:bookmarkStart w:id="217" w:name="_Toc10710013"/>
      <w:bookmarkStart w:id="218" w:name="_Toc10734437"/>
      <w:bookmarkStart w:id="219" w:name="_Toc10735509"/>
      <w:bookmarkStart w:id="220" w:name="_Toc10794238"/>
      <w:bookmarkStart w:id="221" w:name="_Toc10795573"/>
      <w:bookmarkStart w:id="222" w:name="_Toc10795718"/>
      <w:bookmarkStart w:id="223" w:name="_Toc10802405"/>
      <w:bookmarkStart w:id="224" w:name="_Toc10808051"/>
      <w:bookmarkStart w:id="225" w:name="_Toc10808792"/>
      <w:bookmarkStart w:id="226" w:name="_Toc12272493"/>
      <w:bookmarkStart w:id="227" w:name="_Toc12363006"/>
      <w:r>
        <w:rPr>
          <w:noProof/>
        </w:rPr>
        <w:lastRenderedPageBreak/>
        <w:t>6</w:t>
      </w:r>
      <w:r w:rsidR="0021123A">
        <w:tab/>
        <w:t>How can you contribute?</w:t>
      </w:r>
      <w:bookmarkEnd w:id="217"/>
      <w:bookmarkEnd w:id="218"/>
      <w:bookmarkEnd w:id="219"/>
      <w:bookmarkEnd w:id="220"/>
      <w:bookmarkEnd w:id="221"/>
      <w:bookmarkEnd w:id="222"/>
      <w:bookmarkEnd w:id="223"/>
      <w:bookmarkEnd w:id="224"/>
      <w:bookmarkEnd w:id="225"/>
      <w:bookmarkEnd w:id="226"/>
      <w:bookmarkEnd w:id="227"/>
    </w:p>
    <w:p w14:paraId="0B008F91" w14:textId="1693390E" w:rsidR="006A1AE7" w:rsidRDefault="006A1AE7" w:rsidP="003D70A5">
      <w:pPr>
        <w:pStyle w:val="Heading3"/>
        <w:spacing w:before="280"/>
      </w:pPr>
      <w:bookmarkStart w:id="228" w:name="_Toc10710014"/>
      <w:bookmarkStart w:id="229" w:name="_Toc10734438"/>
      <w:bookmarkStart w:id="230" w:name="_Toc10735510"/>
      <w:bookmarkStart w:id="231" w:name="_Toc10794239"/>
      <w:bookmarkStart w:id="232" w:name="_Toc10795574"/>
      <w:bookmarkStart w:id="233" w:name="_Toc10795719"/>
      <w:bookmarkStart w:id="234" w:name="_Toc10802406"/>
      <w:bookmarkStart w:id="235" w:name="_Toc10808052"/>
      <w:bookmarkStart w:id="236" w:name="_Toc10808793"/>
      <w:bookmarkStart w:id="237" w:name="_Toc12272494"/>
      <w:r>
        <w:t>Stakeholder engagement and input is critical</w:t>
      </w:r>
      <w:r w:rsidR="009C44C2">
        <w:t xml:space="preserve"> to developing the Indigenous </w:t>
      </w:r>
      <w:r w:rsidR="000C459C">
        <w:t>E</w:t>
      </w:r>
      <w:r w:rsidR="009C44C2">
        <w:t xml:space="preserve">valuation </w:t>
      </w:r>
      <w:r w:rsidR="000C459C">
        <w:t>S</w:t>
      </w:r>
      <w:r w:rsidR="009C44C2">
        <w:t>trategy</w:t>
      </w:r>
      <w:bookmarkEnd w:id="228"/>
      <w:bookmarkEnd w:id="229"/>
      <w:bookmarkEnd w:id="230"/>
      <w:bookmarkEnd w:id="231"/>
      <w:bookmarkEnd w:id="232"/>
      <w:bookmarkEnd w:id="233"/>
      <w:bookmarkEnd w:id="234"/>
      <w:bookmarkEnd w:id="235"/>
      <w:bookmarkEnd w:id="236"/>
      <w:bookmarkEnd w:id="237"/>
    </w:p>
    <w:p w14:paraId="2F905743" w14:textId="7F8B391E" w:rsidR="006A1AE7" w:rsidRDefault="006A1AE7" w:rsidP="006A1AE7">
      <w:pPr>
        <w:pStyle w:val="BodyText"/>
      </w:pPr>
      <w:r>
        <w:t xml:space="preserve">In developing the strategy the Commission will </w:t>
      </w:r>
      <w:r w:rsidR="008F0463">
        <w:t>engage</w:t>
      </w:r>
      <w:r>
        <w:t xml:space="preserve"> widely, particularly with Aboriginal and Torres Strait Islander people, communities and organisations, experts in evaluation and all levels of government. The Commission will also consider evaluation experience in Australia and overseas, reviews of evaluation practice and the data requirements associated with effective evaluation.</w:t>
      </w:r>
    </w:p>
    <w:p w14:paraId="4F7077E9" w14:textId="5511AF14" w:rsidR="006A1AE7" w:rsidRPr="003D70A5" w:rsidRDefault="006A1AE7" w:rsidP="006A1AE7">
      <w:pPr>
        <w:pStyle w:val="BodyText"/>
        <w:rPr>
          <w:spacing w:val="-2"/>
        </w:rPr>
      </w:pPr>
      <w:r w:rsidRPr="003D70A5">
        <w:rPr>
          <w:spacing w:val="-2"/>
        </w:rPr>
        <w:t xml:space="preserve">The Commission sees Aboriginal and Torres Strait Islander </w:t>
      </w:r>
      <w:r w:rsidR="0017407F" w:rsidRPr="003D70A5">
        <w:rPr>
          <w:spacing w:val="-2"/>
        </w:rPr>
        <w:t>people’s</w:t>
      </w:r>
      <w:r w:rsidRPr="003D70A5">
        <w:rPr>
          <w:spacing w:val="-2"/>
        </w:rPr>
        <w:t xml:space="preserve"> participation, voices and perspectives as essential to developing an effective strategy – cognisant that Aboriginal and Torres Strait Islander people have not always been adequately </w:t>
      </w:r>
      <w:r w:rsidR="002E4413" w:rsidRPr="003D70A5">
        <w:rPr>
          <w:spacing w:val="-2"/>
        </w:rPr>
        <w:t xml:space="preserve">engaged </w:t>
      </w:r>
      <w:r w:rsidRPr="003D70A5">
        <w:rPr>
          <w:spacing w:val="-2"/>
        </w:rPr>
        <w:t xml:space="preserve">or had their views adequately considered in </w:t>
      </w:r>
      <w:r w:rsidR="00021914" w:rsidRPr="003D70A5">
        <w:rPr>
          <w:spacing w:val="-2"/>
        </w:rPr>
        <w:t xml:space="preserve">the </w:t>
      </w:r>
      <w:r w:rsidRPr="003D70A5">
        <w:rPr>
          <w:spacing w:val="-2"/>
        </w:rPr>
        <w:t>policy development processes. The Commission will listen to participants conscientiously and seek to reflect the voices, knowledge</w:t>
      </w:r>
      <w:r w:rsidR="00CF66AA" w:rsidRPr="003D70A5">
        <w:rPr>
          <w:spacing w:val="-2"/>
        </w:rPr>
        <w:t>s</w:t>
      </w:r>
      <w:r w:rsidRPr="003D70A5">
        <w:rPr>
          <w:spacing w:val="-2"/>
        </w:rPr>
        <w:t xml:space="preserve"> and experience</w:t>
      </w:r>
      <w:r w:rsidR="00422FBC" w:rsidRPr="003D70A5">
        <w:rPr>
          <w:spacing w:val="-2"/>
        </w:rPr>
        <w:t>s</w:t>
      </w:r>
      <w:r w:rsidRPr="003D70A5">
        <w:rPr>
          <w:spacing w:val="-2"/>
        </w:rPr>
        <w:t xml:space="preserve"> of Aboriginal and Torres Strait Islander people in the development of the strategy. </w:t>
      </w:r>
    </w:p>
    <w:p w14:paraId="28B505EE" w14:textId="13368C0C" w:rsidR="006A1AE7" w:rsidRDefault="005B4AB5" w:rsidP="006A1AE7">
      <w:pPr>
        <w:pStyle w:val="BodyText"/>
      </w:pPr>
      <w:r>
        <w:t>Engagement</w:t>
      </w:r>
      <w:r w:rsidR="006A1AE7">
        <w:t xml:space="preserve"> will take a range of forms including visits to organisations, communities and individuals, </w:t>
      </w:r>
      <w:r w:rsidR="008F0463">
        <w:t xml:space="preserve">workshop and </w:t>
      </w:r>
      <w:r w:rsidR="006A1AE7">
        <w:t xml:space="preserve">roundtable discussions, seeking written </w:t>
      </w:r>
      <w:r w:rsidR="008F0463">
        <w:t xml:space="preserve">and oral </w:t>
      </w:r>
      <w:r w:rsidR="006A1AE7">
        <w:t>submissions and online comments (</w:t>
      </w:r>
      <w:r w:rsidR="008F0463">
        <w:t>see attachment</w:t>
      </w:r>
      <w:r w:rsidR="006A1AE7">
        <w:t xml:space="preserve">). The Commission will be flexible and innovative in its approach to </w:t>
      </w:r>
      <w:r>
        <w:t>engagement</w:t>
      </w:r>
      <w:r w:rsidR="006A1AE7">
        <w:t xml:space="preserve"> and is open to advice on the most effective </w:t>
      </w:r>
      <w:r>
        <w:t>engagement</w:t>
      </w:r>
      <w:r w:rsidR="006A1AE7">
        <w:t xml:space="preserve"> methods.</w:t>
      </w:r>
    </w:p>
    <w:p w14:paraId="3DC6A92E" w14:textId="2976BEB9" w:rsidR="006C0376" w:rsidRDefault="006C0376" w:rsidP="006C0376">
      <w:pPr>
        <w:pStyle w:val="Heading3"/>
      </w:pPr>
      <w:bookmarkStart w:id="238" w:name="_Toc8377492"/>
      <w:bookmarkStart w:id="239" w:name="_Toc8393508"/>
      <w:bookmarkStart w:id="240" w:name="_Toc10710015"/>
      <w:bookmarkStart w:id="241" w:name="_Toc10734439"/>
      <w:bookmarkStart w:id="242" w:name="_Toc10735511"/>
      <w:bookmarkStart w:id="243" w:name="_Toc10794240"/>
      <w:bookmarkStart w:id="244" w:name="_Toc10795575"/>
      <w:bookmarkStart w:id="245" w:name="_Toc10795720"/>
      <w:bookmarkStart w:id="246" w:name="_Toc10802407"/>
      <w:bookmarkStart w:id="247" w:name="_Toc10808053"/>
      <w:bookmarkStart w:id="248" w:name="_Toc10808794"/>
      <w:bookmarkStart w:id="249" w:name="_Toc12272495"/>
      <w:r>
        <w:t xml:space="preserve">Written </w:t>
      </w:r>
      <w:r w:rsidR="008F0463">
        <w:t xml:space="preserve">and oral </w:t>
      </w:r>
      <w:r>
        <w:t>submissions and brief comments</w:t>
      </w:r>
      <w:bookmarkEnd w:id="238"/>
      <w:bookmarkEnd w:id="239"/>
      <w:bookmarkEnd w:id="240"/>
      <w:bookmarkEnd w:id="241"/>
      <w:bookmarkEnd w:id="242"/>
      <w:bookmarkEnd w:id="243"/>
      <w:bookmarkEnd w:id="244"/>
      <w:bookmarkEnd w:id="245"/>
      <w:bookmarkEnd w:id="246"/>
      <w:bookmarkEnd w:id="247"/>
      <w:bookmarkEnd w:id="248"/>
      <w:bookmarkEnd w:id="249"/>
    </w:p>
    <w:p w14:paraId="095523EE" w14:textId="59EE7318" w:rsidR="006C0376" w:rsidRDefault="006C0376" w:rsidP="006C0376">
      <w:pPr>
        <w:pStyle w:val="BodyText"/>
      </w:pPr>
      <w:r>
        <w:t xml:space="preserve">We are seeking written </w:t>
      </w:r>
      <w:r w:rsidR="009C44C2">
        <w:t xml:space="preserve">and oral (by phone) </w:t>
      </w:r>
      <w:r>
        <w:t xml:space="preserve">submissions from stakeholders and interested parties. Submissions can include relevant data and evidence, as well as your opinions or ideas about any of the matters raised by the </w:t>
      </w:r>
      <w:r w:rsidR="009C44C2">
        <w:t xml:space="preserve">letter </w:t>
      </w:r>
      <w:r w:rsidR="009C44C2">
        <w:lastRenderedPageBreak/>
        <w:t>of direction</w:t>
      </w:r>
      <w:r w:rsidRPr="000318EF">
        <w:t xml:space="preserve"> </w:t>
      </w:r>
      <w:r>
        <w:t xml:space="preserve">or in </w:t>
      </w:r>
      <w:r w:rsidRPr="000318EF">
        <w:t>this issues paper</w:t>
      </w:r>
      <w:r>
        <w:t xml:space="preserve">. </w:t>
      </w:r>
      <w:r w:rsidRPr="003E44CE">
        <w:t xml:space="preserve">You do not need to </w:t>
      </w:r>
      <w:r>
        <w:t>address</w:t>
      </w:r>
      <w:r w:rsidRPr="003E44CE">
        <w:t xml:space="preserve"> every issue raised in this paper and you are free to raise any other issues or ideas that are relevant to the </w:t>
      </w:r>
      <w:r w:rsidR="009C44C2">
        <w:t>letter of direction</w:t>
      </w:r>
      <w:r w:rsidRPr="003E44CE">
        <w:t xml:space="preserve">. </w:t>
      </w:r>
    </w:p>
    <w:p w14:paraId="22500940" w14:textId="2BC2355D" w:rsidR="006C0376" w:rsidRPr="003D70A5" w:rsidRDefault="006C0376" w:rsidP="006C0376">
      <w:pPr>
        <w:pStyle w:val="BodyText"/>
        <w:rPr>
          <w:spacing w:val="2"/>
        </w:rPr>
      </w:pPr>
      <w:r w:rsidRPr="003D70A5">
        <w:rPr>
          <w:spacing w:val="2"/>
        </w:rPr>
        <w:t xml:space="preserve">If you do not wish to make a public submission, you </w:t>
      </w:r>
      <w:r w:rsidR="009C44C2" w:rsidRPr="003D70A5">
        <w:rPr>
          <w:spacing w:val="2"/>
        </w:rPr>
        <w:t xml:space="preserve">can also </w:t>
      </w:r>
      <w:r w:rsidRPr="003D70A5">
        <w:rPr>
          <w:spacing w:val="2"/>
        </w:rPr>
        <w:t xml:space="preserve">provide us with a brief comment via our website. If you make a brief comment, you may choose to remain anonymous. The attachment at the end of this issues paper provides further details on how you can make a submission. </w:t>
      </w:r>
    </w:p>
    <w:p w14:paraId="737FA108" w14:textId="15542DCB" w:rsidR="006C0376" w:rsidRPr="003D70A5" w:rsidRDefault="006C0376" w:rsidP="006C0376">
      <w:pPr>
        <w:pStyle w:val="BodyText"/>
        <w:rPr>
          <w:b/>
          <w:spacing w:val="-6"/>
        </w:rPr>
      </w:pPr>
      <w:r w:rsidRPr="003D70A5">
        <w:rPr>
          <w:b/>
          <w:bCs/>
          <w:spacing w:val="-6"/>
        </w:rPr>
        <w:t xml:space="preserve">Submissions and brief comments in response to this issues paper are due by </w:t>
      </w:r>
      <w:r w:rsidR="008F0463" w:rsidRPr="003D70A5">
        <w:rPr>
          <w:b/>
          <w:bCs/>
          <w:spacing w:val="-6"/>
        </w:rPr>
        <w:t>23</w:t>
      </w:r>
      <w:r w:rsidR="00442E24" w:rsidRPr="003D70A5">
        <w:rPr>
          <w:b/>
          <w:bCs/>
          <w:spacing w:val="-6"/>
        </w:rPr>
        <w:t> </w:t>
      </w:r>
      <w:r w:rsidR="008F0463" w:rsidRPr="003D70A5">
        <w:rPr>
          <w:b/>
          <w:bCs/>
          <w:spacing w:val="-6"/>
        </w:rPr>
        <w:t>August 2019.</w:t>
      </w:r>
    </w:p>
    <w:p w14:paraId="0251A65F" w14:textId="62C21FDF" w:rsidR="006C0376" w:rsidRDefault="006C0376" w:rsidP="006C0376">
      <w:pPr>
        <w:pStyle w:val="BodyText"/>
      </w:pPr>
      <w:r>
        <w:t>We plan to</w:t>
      </w:r>
      <w:r w:rsidRPr="00542887">
        <w:t xml:space="preserve"> release a draft report in </w:t>
      </w:r>
      <w:r>
        <w:rPr>
          <w:b/>
        </w:rPr>
        <w:t>February</w:t>
      </w:r>
      <w:r w:rsidRPr="00690B9C">
        <w:rPr>
          <w:b/>
        </w:rPr>
        <w:t xml:space="preserve"> 20</w:t>
      </w:r>
      <w:r>
        <w:rPr>
          <w:b/>
        </w:rPr>
        <w:t>20</w:t>
      </w:r>
      <w:r w:rsidRPr="00690B9C">
        <w:rPr>
          <w:b/>
        </w:rPr>
        <w:t>.</w:t>
      </w:r>
      <w:r>
        <w:t xml:space="preserve"> There will be further opportunity to provide submissions and comments after the draft report is released. </w:t>
      </w:r>
    </w:p>
    <w:p w14:paraId="116844BC" w14:textId="5E3BD46D" w:rsidR="006C0376" w:rsidRDefault="006C0376" w:rsidP="006C0376">
      <w:pPr>
        <w:pStyle w:val="Heading3"/>
      </w:pPr>
      <w:bookmarkStart w:id="250" w:name="_Toc8377493"/>
      <w:bookmarkStart w:id="251" w:name="_Toc8393509"/>
      <w:bookmarkStart w:id="252" w:name="_Toc10710016"/>
      <w:bookmarkStart w:id="253" w:name="_Toc10734440"/>
      <w:bookmarkStart w:id="254" w:name="_Toc10735512"/>
      <w:bookmarkStart w:id="255" w:name="_Toc10794241"/>
      <w:bookmarkStart w:id="256" w:name="_Toc10795576"/>
      <w:bookmarkStart w:id="257" w:name="_Toc10795721"/>
      <w:bookmarkStart w:id="258" w:name="_Toc10802408"/>
      <w:bookmarkStart w:id="259" w:name="_Toc10808054"/>
      <w:bookmarkStart w:id="260" w:name="_Toc10808795"/>
      <w:bookmarkStart w:id="261" w:name="_Toc12272496"/>
      <w:r>
        <w:t>Meetings and discussions</w:t>
      </w:r>
      <w:bookmarkEnd w:id="250"/>
      <w:bookmarkEnd w:id="251"/>
      <w:bookmarkEnd w:id="252"/>
      <w:bookmarkEnd w:id="253"/>
      <w:bookmarkEnd w:id="254"/>
      <w:bookmarkEnd w:id="255"/>
      <w:bookmarkEnd w:id="256"/>
      <w:bookmarkEnd w:id="257"/>
      <w:bookmarkEnd w:id="258"/>
      <w:bookmarkEnd w:id="259"/>
      <w:bookmarkEnd w:id="260"/>
      <w:bookmarkEnd w:id="261"/>
    </w:p>
    <w:p w14:paraId="682198F1" w14:textId="0FDAB555" w:rsidR="006C0376" w:rsidRDefault="006C0376" w:rsidP="006C0376">
      <w:pPr>
        <w:pStyle w:val="BodyText"/>
      </w:pPr>
      <w:r>
        <w:t xml:space="preserve">Meetings and discussions are central to our </w:t>
      </w:r>
      <w:r w:rsidR="009F5BEF">
        <w:t>engagement</w:t>
      </w:r>
      <w:r>
        <w:t xml:space="preserve"> process. These may be in person or via telephone or video conference. </w:t>
      </w:r>
    </w:p>
    <w:p w14:paraId="656756C9" w14:textId="33718BDE" w:rsidR="006C0376" w:rsidRDefault="006C0376" w:rsidP="006A1AE7">
      <w:pPr>
        <w:pStyle w:val="BodyText"/>
      </w:pPr>
      <w:r>
        <w:t xml:space="preserve">We are seeking input on who we should </w:t>
      </w:r>
      <w:r w:rsidR="002E4413">
        <w:t xml:space="preserve">engaged </w:t>
      </w:r>
      <w:r>
        <w:t>with (including individuals, groups and organisations) and the preferred means for engaging with those parties. We also welcome your views about places, communities</w:t>
      </w:r>
      <w:r w:rsidR="00021914">
        <w:t>,</w:t>
      </w:r>
      <w:r>
        <w:t xml:space="preserve"> organisations </w:t>
      </w:r>
      <w:r w:rsidR="00021914">
        <w:t>or individuals</w:t>
      </w:r>
      <w:r>
        <w:t xml:space="preserve"> we should visit. </w:t>
      </w:r>
    </w:p>
    <w:p w14:paraId="2C735E3C" w14:textId="267716C2" w:rsidR="00E010C0" w:rsidRPr="004E3B94" w:rsidRDefault="00E010C0" w:rsidP="00016BC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010C0" w14:paraId="621C28DD" w14:textId="77777777" w:rsidTr="00016BCB">
        <w:trPr>
          <w:tblHeader/>
        </w:trPr>
        <w:tc>
          <w:tcPr>
            <w:tcW w:w="5000" w:type="pct"/>
            <w:tcBorders>
              <w:top w:val="single" w:sz="6" w:space="0" w:color="78A22F"/>
              <w:left w:val="nil"/>
              <w:bottom w:val="nil"/>
              <w:right w:val="nil"/>
            </w:tcBorders>
            <w:shd w:val="clear" w:color="auto" w:fill="auto"/>
          </w:tcPr>
          <w:p w14:paraId="60F2EA87" w14:textId="61DB5103" w:rsidR="00E010C0" w:rsidRPr="00CE4C64" w:rsidRDefault="004120D3" w:rsidP="00016BCB">
            <w:pPr>
              <w:pStyle w:val="InformationRequestTitle"/>
              <w:spacing w:before="120"/>
            </w:pPr>
            <w:r>
              <w:t>question on engagement suggestions</w:t>
            </w:r>
          </w:p>
        </w:tc>
      </w:tr>
      <w:tr w:rsidR="00E010C0" w:rsidRPr="00750BE2" w14:paraId="7968A413" w14:textId="77777777" w:rsidTr="00016BCB">
        <w:tc>
          <w:tcPr>
            <w:tcW w:w="5000" w:type="pct"/>
            <w:tcBorders>
              <w:top w:val="nil"/>
              <w:left w:val="nil"/>
              <w:bottom w:val="nil"/>
              <w:right w:val="nil"/>
            </w:tcBorders>
            <w:shd w:val="clear" w:color="auto" w:fill="auto"/>
          </w:tcPr>
          <w:p w14:paraId="6D588EBC" w14:textId="40B4CF19" w:rsidR="00E010C0" w:rsidRPr="006E7EE2" w:rsidRDefault="00E010C0" w:rsidP="00D739E0">
            <w:pPr>
              <w:pStyle w:val="InformationRequest"/>
              <w:keepNext/>
            </w:pPr>
            <w:r>
              <w:t xml:space="preserve">How and who should we </w:t>
            </w:r>
            <w:r w:rsidR="002E4413">
              <w:t xml:space="preserve">engage </w:t>
            </w:r>
            <w:r>
              <w:t xml:space="preserve">to maximise community and expert input to this </w:t>
            </w:r>
            <w:r w:rsidR="00D739E0">
              <w:t>project</w:t>
            </w:r>
            <w:r>
              <w:t>?</w:t>
            </w:r>
          </w:p>
        </w:tc>
      </w:tr>
      <w:tr w:rsidR="00E010C0" w14:paraId="3A84B3B6" w14:textId="77777777" w:rsidTr="00016BCB">
        <w:tc>
          <w:tcPr>
            <w:tcW w:w="5000" w:type="pct"/>
            <w:tcBorders>
              <w:top w:val="nil"/>
              <w:left w:val="nil"/>
              <w:bottom w:val="single" w:sz="6" w:space="0" w:color="78A22F"/>
              <w:right w:val="nil"/>
            </w:tcBorders>
            <w:shd w:val="clear" w:color="auto" w:fill="auto"/>
          </w:tcPr>
          <w:p w14:paraId="3E6B6EC1" w14:textId="77777777" w:rsidR="00E010C0" w:rsidRDefault="00E010C0" w:rsidP="00016BCB">
            <w:pPr>
              <w:pStyle w:val="Space"/>
              <w:keepLines/>
            </w:pPr>
          </w:p>
        </w:tc>
      </w:tr>
      <w:tr w:rsidR="00E010C0" w:rsidRPr="000863A5" w14:paraId="6399C37A" w14:textId="77777777" w:rsidTr="00016BCB">
        <w:tc>
          <w:tcPr>
            <w:tcW w:w="5000" w:type="pct"/>
            <w:tcBorders>
              <w:top w:val="single" w:sz="6" w:space="0" w:color="78A22F"/>
              <w:left w:val="nil"/>
              <w:bottom w:val="nil"/>
              <w:right w:val="nil"/>
            </w:tcBorders>
          </w:tcPr>
          <w:p w14:paraId="0FEF1F8B" w14:textId="0FF3D5D8" w:rsidR="00E010C0" w:rsidRPr="00626D32" w:rsidRDefault="00E010C0" w:rsidP="00016BCB">
            <w:pPr>
              <w:pStyle w:val="BoxSpaceBelow"/>
              <w:keepLines/>
            </w:pPr>
          </w:p>
        </w:tc>
      </w:tr>
    </w:tbl>
    <w:p w14:paraId="7B053087" w14:textId="77777777" w:rsidR="006F4EF8" w:rsidRDefault="006F4EF8" w:rsidP="006F4EF8">
      <w:pPr>
        <w:pStyle w:val="BodyText"/>
      </w:pPr>
      <w:bookmarkStart w:id="262" w:name="_Toc10710017"/>
      <w:bookmarkStart w:id="263" w:name="_Toc10734441"/>
      <w:bookmarkStart w:id="264" w:name="_Toc10735513"/>
      <w:bookmarkStart w:id="265" w:name="_Toc10794242"/>
      <w:bookmarkStart w:id="266" w:name="_Toc10795577"/>
      <w:bookmarkStart w:id="267" w:name="_Toc10795722"/>
      <w:bookmarkStart w:id="268" w:name="_Toc10802409"/>
      <w:bookmarkStart w:id="269" w:name="_Toc10808055"/>
      <w:bookmarkStart w:id="270" w:name="_Toc10808796"/>
      <w:bookmarkStart w:id="271" w:name="_Toc12272497"/>
      <w:r>
        <w:br w:type="page"/>
      </w:r>
    </w:p>
    <w:p w14:paraId="4BD4F1DB" w14:textId="06AB771C" w:rsidR="00ED2C65" w:rsidRDefault="00ED2C65" w:rsidP="00ED2C65">
      <w:pPr>
        <w:pStyle w:val="Heading2"/>
      </w:pPr>
      <w:bookmarkStart w:id="272" w:name="_Toc12363007"/>
      <w:r>
        <w:lastRenderedPageBreak/>
        <w:t>Appendix</w:t>
      </w:r>
      <w:r w:rsidR="00442E24">
        <w:t> </w:t>
      </w:r>
      <w:r>
        <w:t xml:space="preserve">A: </w:t>
      </w:r>
      <w:r w:rsidRPr="00DC7531">
        <w:t>Letter of Direction</w:t>
      </w:r>
      <w:bookmarkEnd w:id="262"/>
      <w:bookmarkEnd w:id="263"/>
      <w:bookmarkEnd w:id="264"/>
      <w:bookmarkEnd w:id="265"/>
      <w:bookmarkEnd w:id="266"/>
      <w:bookmarkEnd w:id="267"/>
      <w:bookmarkEnd w:id="268"/>
      <w:bookmarkEnd w:id="269"/>
      <w:bookmarkEnd w:id="270"/>
      <w:bookmarkEnd w:id="271"/>
      <w:bookmarkEnd w:id="272"/>
    </w:p>
    <w:p w14:paraId="434F2BCF" w14:textId="77777777" w:rsidR="00ED2C65" w:rsidRPr="003D70A5" w:rsidRDefault="00ED2C65" w:rsidP="00ED2C65">
      <w:pPr>
        <w:pStyle w:val="BodyText"/>
        <w:rPr>
          <w:rFonts w:ascii="Arial" w:hAnsi="Arial" w:cs="Arial"/>
          <w:b/>
        </w:rPr>
      </w:pPr>
      <w:r w:rsidRPr="003D70A5">
        <w:rPr>
          <w:rFonts w:ascii="Arial" w:hAnsi="Arial" w:cs="Arial"/>
          <w:b/>
        </w:rPr>
        <w:t xml:space="preserve">Evaluation of policies and programs impacting on Indigenous Australians </w:t>
      </w:r>
    </w:p>
    <w:p w14:paraId="4F508874" w14:textId="3C78006F" w:rsidR="00ED2C65" w:rsidRDefault="00ED2C65" w:rsidP="003D70A5">
      <w:pPr>
        <w:pStyle w:val="BodyText"/>
      </w:pPr>
      <w:r w:rsidRPr="00A0031E">
        <w:t xml:space="preserve">I, </w:t>
      </w:r>
      <w:r>
        <w:t xml:space="preserve">Josh </w:t>
      </w:r>
      <w:proofErr w:type="spellStart"/>
      <w:r>
        <w:t>Frydenberg</w:t>
      </w:r>
      <w:proofErr w:type="spellEnd"/>
      <w:r w:rsidRPr="00A0031E">
        <w:t xml:space="preserve">, </w:t>
      </w:r>
      <w:r>
        <w:t xml:space="preserve">Treasurer, </w:t>
      </w:r>
      <w:r w:rsidRPr="00A0031E">
        <w:t xml:space="preserve">pursuant to Parts 2 and 4 of the </w:t>
      </w:r>
      <w:r>
        <w:t>P</w:t>
      </w:r>
      <w:r>
        <w:rPr>
          <w:i/>
        </w:rPr>
        <w:t>roductivity</w:t>
      </w:r>
      <w:r w:rsidR="003D70A5">
        <w:rPr>
          <w:i/>
        </w:rPr>
        <w:t xml:space="preserve"> Commission </w:t>
      </w:r>
      <w:r>
        <w:rPr>
          <w:i/>
        </w:rPr>
        <w:t>Act </w:t>
      </w:r>
      <w:r w:rsidRPr="001C078D">
        <w:rPr>
          <w:i/>
        </w:rPr>
        <w:t>1998</w:t>
      </w:r>
      <w:r w:rsidRPr="00A0031E">
        <w:t xml:space="preserve"> hereby request the Productivit</w:t>
      </w:r>
      <w:r>
        <w:t>y Commission to develop a whole</w:t>
      </w:r>
      <w:r w:rsidR="00442E24">
        <w:noBreakHyphen/>
      </w:r>
      <w:r>
        <w:t>of</w:t>
      </w:r>
      <w:r w:rsidR="00442E24">
        <w:noBreakHyphen/>
      </w:r>
      <w:r w:rsidRPr="00A0031E">
        <w:t xml:space="preserve">government evaluation strategy for policies and programs </w:t>
      </w:r>
      <w:r>
        <w:t>affecting</w:t>
      </w:r>
      <w:r w:rsidRPr="00A0031E">
        <w:t xml:space="preserve"> Indigenous Australians. </w:t>
      </w:r>
      <w:r>
        <w:t>The Commission</w:t>
      </w:r>
      <w:r w:rsidRPr="00A0031E">
        <w:t xml:space="preserve"> will also review the </w:t>
      </w:r>
      <w:r>
        <w:t>performance of agencies against</w:t>
      </w:r>
      <w:r w:rsidRPr="00A0031E">
        <w:t xml:space="preserve"> the strategy over time, focusing on potential improvements and on lessons that may have broader </w:t>
      </w:r>
      <w:r w:rsidRPr="00A42C4B">
        <w:t>application for all governments.</w:t>
      </w:r>
    </w:p>
    <w:p w14:paraId="5F8FA554" w14:textId="7CFE91A8" w:rsidR="00ED2C65" w:rsidRPr="003D70A5" w:rsidRDefault="00ED2C65" w:rsidP="00ED2C65">
      <w:pPr>
        <w:pStyle w:val="BodyText"/>
        <w:rPr>
          <w:rFonts w:ascii="Arial" w:hAnsi="Arial" w:cs="Arial"/>
          <w:b/>
        </w:rPr>
      </w:pPr>
      <w:r w:rsidRPr="003D70A5">
        <w:rPr>
          <w:rFonts w:ascii="Arial" w:hAnsi="Arial" w:cs="Arial"/>
          <w:b/>
        </w:rPr>
        <w:t>Background</w:t>
      </w:r>
    </w:p>
    <w:p w14:paraId="24C66388" w14:textId="77777777" w:rsidR="00ED2C65" w:rsidRDefault="00ED2C65" w:rsidP="003D70A5">
      <w:pPr>
        <w:pStyle w:val="BodyText"/>
      </w:pPr>
      <w:r w:rsidRPr="00B10023">
        <w:t xml:space="preserve">A number of high profile reports have highlighted the need for more evaluation of policies and programs that have an impact on Indigenous </w:t>
      </w:r>
      <w:r>
        <w:t>Australians. For example</w:t>
      </w:r>
      <w:r w:rsidRPr="00B10023">
        <w:t xml:space="preserve">, the Commission’s </w:t>
      </w:r>
      <w:r w:rsidRPr="003D70A5">
        <w:rPr>
          <w:i/>
        </w:rPr>
        <w:t>Overcoming Indigenous Disadvantage Report 2016</w:t>
      </w:r>
      <w:r w:rsidRPr="00B10023">
        <w:t xml:space="preserve"> found that only a relatively small number </w:t>
      </w:r>
      <w:r>
        <w:t xml:space="preserve">of programs </w:t>
      </w:r>
      <w:r w:rsidRPr="00B10023">
        <w:t>have been rigorously evaluated.</w:t>
      </w:r>
    </w:p>
    <w:p w14:paraId="69E50DFA" w14:textId="77777777" w:rsidR="00ED2C65" w:rsidRPr="00A0031E" w:rsidRDefault="00ED2C65" w:rsidP="003D70A5">
      <w:pPr>
        <w:pStyle w:val="BodyText"/>
      </w:pPr>
      <w:r>
        <w:t xml:space="preserve">Improving outcomes for Indigenous Australians depends on agencies with responsibility for policies and programs affecting Indigenous Australians undertaking meaningful evaluations. The Commission is to develop a strategy to guide that evaluation effort. </w:t>
      </w:r>
    </w:p>
    <w:p w14:paraId="13562B28" w14:textId="77777777" w:rsidR="00ED2C65" w:rsidRPr="003D70A5" w:rsidRDefault="00ED2C65" w:rsidP="00ED2C65">
      <w:pPr>
        <w:pStyle w:val="BodyText"/>
        <w:rPr>
          <w:rFonts w:ascii="Arial" w:hAnsi="Arial" w:cs="Arial"/>
          <w:b/>
        </w:rPr>
      </w:pPr>
      <w:r w:rsidRPr="003D70A5">
        <w:rPr>
          <w:rFonts w:ascii="Arial" w:hAnsi="Arial" w:cs="Arial"/>
          <w:b/>
        </w:rPr>
        <w:t>Scope</w:t>
      </w:r>
    </w:p>
    <w:p w14:paraId="6BC25041" w14:textId="77777777" w:rsidR="00ED2C65" w:rsidRDefault="00ED2C65" w:rsidP="003D70A5">
      <w:pPr>
        <w:pStyle w:val="BodyText"/>
      </w:pPr>
      <w:r>
        <w:t xml:space="preserve">The Commission should develop an </w:t>
      </w:r>
      <w:r w:rsidRPr="00A0031E">
        <w:t xml:space="preserve">evaluation strategy for policies and programs </w:t>
      </w:r>
      <w:r>
        <w:t>affecting</w:t>
      </w:r>
      <w:r w:rsidRPr="00A0031E">
        <w:t xml:space="preserve"> Indigenous Australians</w:t>
      </w:r>
      <w:r>
        <w:t>, to be utilised by all Australian Government agencies</w:t>
      </w:r>
      <w:r w:rsidRPr="00A0031E">
        <w:t>.</w:t>
      </w:r>
      <w:r>
        <w:t xml:space="preserve"> As part of the strategy, the Commission should: </w:t>
      </w:r>
    </w:p>
    <w:p w14:paraId="188DCCB2" w14:textId="77777777" w:rsidR="00ED2C65" w:rsidRPr="00222674" w:rsidRDefault="00ED2C65" w:rsidP="003D70A5">
      <w:pPr>
        <w:pStyle w:val="ListBullet"/>
      </w:pPr>
      <w:r w:rsidRPr="00222674">
        <w:t>establish a principles based framework for the evaluation of policies and programs affecting Indigenous Australians</w:t>
      </w:r>
    </w:p>
    <w:p w14:paraId="12F27E8A" w14:textId="77777777" w:rsidR="00ED2C65" w:rsidRPr="0049044E" w:rsidRDefault="00ED2C65" w:rsidP="003D70A5">
      <w:pPr>
        <w:pStyle w:val="ListBullet"/>
      </w:pPr>
      <w:r w:rsidRPr="0049044E">
        <w:lastRenderedPageBreak/>
        <w:t>identify priorities for evaluation</w:t>
      </w:r>
    </w:p>
    <w:p w14:paraId="7BED3E9C" w14:textId="77777777" w:rsidR="00ED2C65" w:rsidRPr="00222674" w:rsidRDefault="00ED2C65" w:rsidP="003D70A5">
      <w:pPr>
        <w:pStyle w:val="ListBullet"/>
      </w:pPr>
      <w:proofErr w:type="gramStart"/>
      <w:r w:rsidRPr="00222674">
        <w:t>set</w:t>
      </w:r>
      <w:proofErr w:type="gramEnd"/>
      <w:r w:rsidRPr="00222674">
        <w:t xml:space="preserve"> out its approach for reviewing agencies’ conduct of evaluations against the strategy.</w:t>
      </w:r>
    </w:p>
    <w:p w14:paraId="5787D5A4" w14:textId="77777777" w:rsidR="00ED2C65" w:rsidRPr="00222674" w:rsidRDefault="00ED2C65" w:rsidP="00ED2C65">
      <w:pPr>
        <w:pStyle w:val="BodyText"/>
        <w:jc w:val="left"/>
      </w:pPr>
      <w:r w:rsidRPr="00222674">
        <w:t xml:space="preserve">In developing the strategy, the Commission should consider: </w:t>
      </w:r>
    </w:p>
    <w:p w14:paraId="111BCEDF" w14:textId="77777777" w:rsidR="00ED2C65" w:rsidRPr="00222674" w:rsidRDefault="00ED2C65" w:rsidP="003D70A5">
      <w:pPr>
        <w:pStyle w:val="ListBullet"/>
      </w:pPr>
      <w:r w:rsidRPr="00222674">
        <w:t xml:space="preserve">how to engage Indigenous communities and incorporate Indigenous </w:t>
      </w:r>
      <w:r>
        <w:t>knowledge and perspectives</w:t>
      </w:r>
    </w:p>
    <w:p w14:paraId="72DBEFC4" w14:textId="77777777" w:rsidR="00ED2C65" w:rsidRPr="00222674" w:rsidRDefault="00ED2C65" w:rsidP="003D70A5">
      <w:pPr>
        <w:pStyle w:val="ListBullet"/>
      </w:pPr>
      <w:r>
        <w:t>ethical approaches to evaluations</w:t>
      </w:r>
    </w:p>
    <w:p w14:paraId="7A8A193A" w14:textId="77777777" w:rsidR="00ED2C65" w:rsidRPr="00222674" w:rsidRDefault="00ED2C65" w:rsidP="003D70A5">
      <w:pPr>
        <w:pStyle w:val="ListBullet"/>
      </w:pPr>
      <w:r w:rsidRPr="00222674">
        <w:t>evaluation experience in</w:t>
      </w:r>
      <w:r>
        <w:t xml:space="preserve"> Australia and overseas</w:t>
      </w:r>
    </w:p>
    <w:p w14:paraId="1EF6BCFC" w14:textId="77777777" w:rsidR="00ED2C65" w:rsidRPr="00222674" w:rsidRDefault="00ED2C65" w:rsidP="003D70A5">
      <w:pPr>
        <w:pStyle w:val="ListBullet"/>
      </w:pPr>
      <w:r w:rsidRPr="00222674">
        <w:t>relevant current or recent reviews commissioned or undertaken by Australian, state, territory or local</w:t>
      </w:r>
      <w:r>
        <w:t xml:space="preserve"> government agencies</w:t>
      </w:r>
    </w:p>
    <w:p w14:paraId="7ABCCD36" w14:textId="77777777" w:rsidR="00ED2C65" w:rsidRDefault="00ED2C65" w:rsidP="003D70A5">
      <w:pPr>
        <w:pStyle w:val="ListBullet"/>
      </w:pPr>
      <w:r w:rsidRPr="00222674">
        <w:t>the availability and use of existing data, and the further development of other required data and information</w:t>
      </w:r>
    </w:p>
    <w:p w14:paraId="38197D44" w14:textId="77777777" w:rsidR="00ED2C65" w:rsidRPr="00222674" w:rsidRDefault="00ED2C65" w:rsidP="003D70A5">
      <w:pPr>
        <w:pStyle w:val="ListBullet"/>
      </w:pPr>
      <w:r>
        <w:t>areas in which there may be value in the Productivity Commission undertaking evaluation</w:t>
      </w:r>
    </w:p>
    <w:p w14:paraId="44E75BDD" w14:textId="77777777" w:rsidR="00ED2C65" w:rsidRPr="00222674" w:rsidRDefault="00ED2C65" w:rsidP="003D70A5">
      <w:pPr>
        <w:pStyle w:val="ListBullet"/>
      </w:pPr>
      <w:proofErr w:type="gramStart"/>
      <w:r w:rsidRPr="00222674">
        <w:t>how</w:t>
      </w:r>
      <w:proofErr w:type="gramEnd"/>
      <w:r w:rsidRPr="00222674">
        <w:t xml:space="preserve"> to translate evidence into practice and to embed evaluation in policy and program delivery.</w:t>
      </w:r>
    </w:p>
    <w:p w14:paraId="7ABC1608" w14:textId="77777777" w:rsidR="00ED2C65" w:rsidRPr="003D70A5" w:rsidRDefault="00ED2C65" w:rsidP="00ED2C65">
      <w:pPr>
        <w:pStyle w:val="BodyText"/>
        <w:keepNext/>
        <w:rPr>
          <w:rFonts w:ascii="Arial" w:hAnsi="Arial" w:cs="Arial"/>
          <w:b/>
        </w:rPr>
      </w:pPr>
      <w:r w:rsidRPr="003D70A5">
        <w:rPr>
          <w:rFonts w:ascii="Arial" w:hAnsi="Arial" w:cs="Arial"/>
          <w:b/>
        </w:rPr>
        <w:t>Process</w:t>
      </w:r>
    </w:p>
    <w:p w14:paraId="1CA62E90" w14:textId="714C42E8" w:rsidR="00ED2C65" w:rsidRPr="003D70A5" w:rsidRDefault="00ED2C65" w:rsidP="003D70A5">
      <w:pPr>
        <w:pStyle w:val="BodyText"/>
      </w:pPr>
      <w:r w:rsidRPr="003D70A5">
        <w:t>The Commission should consult widely on the strategy, in particular with Indigenous people, communities and organisations (such as the Empowered Community regions), and with all levels of government. It should also consult with non</w:t>
      </w:r>
      <w:r w:rsidR="00442E24" w:rsidRPr="003D70A5">
        <w:noBreakHyphen/>
      </w:r>
      <w:r w:rsidRPr="003D70A5">
        <w:t>Indigenous organisations, and individuals responsible for administering and delivering relevant policies and programs.</w:t>
      </w:r>
    </w:p>
    <w:p w14:paraId="2E551551" w14:textId="0B5E62E0" w:rsidR="00ED2C65" w:rsidRPr="003D70A5" w:rsidRDefault="00ED2C65" w:rsidP="003D70A5">
      <w:pPr>
        <w:pStyle w:val="BodyText"/>
      </w:pPr>
      <w:r w:rsidRPr="003D70A5">
        <w:t>The Commission should adopt a variety of consultation methods including seeking public submissions.</w:t>
      </w:r>
    </w:p>
    <w:p w14:paraId="111F9773" w14:textId="77777777" w:rsidR="00ED2C65" w:rsidRPr="003D70A5" w:rsidRDefault="00ED2C65" w:rsidP="003D70A5">
      <w:pPr>
        <w:pStyle w:val="BodyText"/>
      </w:pPr>
      <w:r w:rsidRPr="003D70A5">
        <w:t>The Commission should provide the evaluation strategy and forward work program to Government within 15 months of commencement.</w:t>
      </w:r>
    </w:p>
    <w:p w14:paraId="432551A3" w14:textId="3F03DF73" w:rsidR="00ED2C65" w:rsidRPr="00FA329B" w:rsidRDefault="00ED2C65" w:rsidP="006F4EF8">
      <w:pPr>
        <w:pStyle w:val="BodyText"/>
        <w:spacing w:before="600"/>
        <w:jc w:val="left"/>
        <w:rPr>
          <w:b/>
        </w:rPr>
      </w:pPr>
      <w:r w:rsidRPr="00FA329B">
        <w:rPr>
          <w:b/>
        </w:rPr>
        <w:lastRenderedPageBreak/>
        <w:t xml:space="preserve">The Hon </w:t>
      </w:r>
      <w:r>
        <w:rPr>
          <w:b/>
        </w:rPr>
        <w:t xml:space="preserve">Josh </w:t>
      </w:r>
      <w:proofErr w:type="spellStart"/>
      <w:r>
        <w:rPr>
          <w:b/>
        </w:rPr>
        <w:t>Frydenberg</w:t>
      </w:r>
      <w:proofErr w:type="spellEnd"/>
      <w:r>
        <w:rPr>
          <w:b/>
        </w:rPr>
        <w:t xml:space="preserve"> MP</w:t>
      </w:r>
      <w:r w:rsidR="003D70A5">
        <w:rPr>
          <w:b/>
        </w:rPr>
        <w:br/>
      </w:r>
      <w:r w:rsidRPr="00FA329B">
        <w:rPr>
          <w:b/>
        </w:rPr>
        <w:t>Treasurer</w:t>
      </w:r>
    </w:p>
    <w:p w14:paraId="09B9A17A" w14:textId="12A021D6" w:rsidR="00ED2C65" w:rsidRPr="003D70A5" w:rsidRDefault="000D7561" w:rsidP="00ED2C65">
      <w:pPr>
        <w:pStyle w:val="BodyText"/>
      </w:pPr>
      <w:r w:rsidRPr="003D70A5">
        <w:rPr>
          <w:spacing w:val="7"/>
          <w:lang w:val="en"/>
        </w:rPr>
        <w:t>[</w:t>
      </w:r>
      <w:r w:rsidR="003D70A5">
        <w:rPr>
          <w:spacing w:val="7"/>
          <w:lang w:val="en"/>
        </w:rPr>
        <w:t xml:space="preserve">Received </w:t>
      </w:r>
      <w:r w:rsidRPr="003D70A5">
        <w:rPr>
          <w:spacing w:val="7"/>
          <w:lang w:val="en"/>
        </w:rPr>
        <w:t>10 April 2019]</w:t>
      </w:r>
    </w:p>
    <w:p w14:paraId="31746ED5" w14:textId="77777777" w:rsidR="00ED2C65" w:rsidRDefault="00ED2C65" w:rsidP="00ED2C65">
      <w:pPr>
        <w:pStyle w:val="BodyText"/>
      </w:pPr>
    </w:p>
    <w:p w14:paraId="5ACCACFB" w14:textId="77777777" w:rsidR="00ED2C65" w:rsidRDefault="00ED2C65" w:rsidP="00ED2C65">
      <w:pPr>
        <w:pStyle w:val="BodyText"/>
        <w:sectPr w:rsidR="00ED2C65" w:rsidSect="00BE3F16">
          <w:headerReference w:type="even" r:id="rId28"/>
          <w:headerReference w:type="default" r:id="rId29"/>
          <w:footerReference w:type="even" r:id="rId30"/>
          <w:footerReference w:type="default" r:id="rId31"/>
          <w:pgSz w:w="11907" w:h="16840" w:code="9"/>
          <w:pgMar w:top="1985" w:right="1304" w:bottom="1247" w:left="1814" w:header="1701" w:footer="397" w:gutter="0"/>
          <w:pgNumType w:chapSep="period"/>
          <w:cols w:space="720"/>
        </w:sectPr>
      </w:pPr>
    </w:p>
    <w:p w14:paraId="7C8149FB" w14:textId="1FBA77A2" w:rsidR="00AC2DCE" w:rsidRDefault="00AC2DCE" w:rsidP="006F4EF8">
      <w:pPr>
        <w:pStyle w:val="Heading2"/>
        <w:spacing w:before="120"/>
      </w:pPr>
      <w:bookmarkStart w:id="273" w:name="_Toc10734442"/>
      <w:bookmarkStart w:id="274" w:name="_Toc10735514"/>
      <w:bookmarkStart w:id="275" w:name="_Toc10794243"/>
      <w:bookmarkStart w:id="276" w:name="_Toc10795578"/>
      <w:bookmarkStart w:id="277" w:name="_Toc10795723"/>
      <w:bookmarkStart w:id="278" w:name="_Toc10802410"/>
      <w:bookmarkStart w:id="279" w:name="_Toc10808056"/>
      <w:bookmarkStart w:id="280" w:name="_Toc10808797"/>
      <w:bookmarkStart w:id="281" w:name="_Toc12272498"/>
      <w:bookmarkStart w:id="282" w:name="_Toc12363008"/>
      <w:r>
        <w:lastRenderedPageBreak/>
        <w:t>References</w:t>
      </w:r>
      <w:bookmarkEnd w:id="273"/>
      <w:bookmarkEnd w:id="274"/>
      <w:bookmarkEnd w:id="275"/>
      <w:bookmarkEnd w:id="276"/>
      <w:bookmarkEnd w:id="277"/>
      <w:bookmarkEnd w:id="278"/>
      <w:bookmarkEnd w:id="279"/>
      <w:bookmarkEnd w:id="280"/>
      <w:bookmarkEnd w:id="281"/>
      <w:bookmarkEnd w:id="282"/>
    </w:p>
    <w:p w14:paraId="33724A1B" w14:textId="5A377329" w:rsidR="00D74BA7" w:rsidRDefault="00D74BA7" w:rsidP="00D74BA7">
      <w:pPr>
        <w:pStyle w:val="Reference"/>
      </w:pPr>
      <w:r>
        <w:t xml:space="preserve">ABS (Australian Bureau of Statistics) 2013, </w:t>
      </w:r>
      <w:r>
        <w:rPr>
          <w:i/>
          <w:iCs/>
        </w:rPr>
        <w:t>Perspectives on Aboriginal and Torres Strait Islander Identification in Selected Data Collection Contexts</w:t>
      </w:r>
      <w:r>
        <w:t xml:space="preserve">, Information paper, Cat. </w:t>
      </w:r>
      <w:proofErr w:type="gramStart"/>
      <w:r>
        <w:t>no</w:t>
      </w:r>
      <w:proofErr w:type="gramEnd"/>
      <w:r>
        <w:t>. 4726.0, Canberra.</w:t>
      </w:r>
    </w:p>
    <w:p w14:paraId="4291B344" w14:textId="08A67AEB" w:rsidR="00D74BA7" w:rsidRDefault="00D74BA7" w:rsidP="00D74BA7">
      <w:pPr>
        <w:pStyle w:val="Reference"/>
      </w:pPr>
      <w:r>
        <w:t>——</w:t>
      </w:r>
      <w:r w:rsidR="000304D5">
        <w:t xml:space="preserve"> </w:t>
      </w:r>
      <w:r>
        <w:t xml:space="preserve">2018, </w:t>
      </w:r>
      <w:r>
        <w:rPr>
          <w:i/>
          <w:iCs/>
        </w:rPr>
        <w:t>Census of Population and Housing: Understanding the Increase in Aboriginal and Torres Strait Islander Counts, 2016</w:t>
      </w:r>
      <w:r>
        <w:t>, 6 November, Cat. 2077.0, Canberra.</w:t>
      </w:r>
    </w:p>
    <w:p w14:paraId="6A972027" w14:textId="578495DC" w:rsidR="00D74BA7" w:rsidRDefault="00D74BA7" w:rsidP="00D74BA7">
      <w:pPr>
        <w:pStyle w:val="Reference"/>
      </w:pPr>
      <w:r>
        <w:t xml:space="preserve">ACT Chief Minister’s Department 2010, </w:t>
      </w:r>
      <w:r>
        <w:rPr>
          <w:i/>
          <w:iCs/>
        </w:rPr>
        <w:t>ACT Government Evaluation Policy and Guidelines</w:t>
      </w:r>
      <w:r>
        <w:t>, December, http://www.cmd.act.gov.au/__data/assets/pdf_file/0004/</w:t>
      </w:r>
      <w:r w:rsidR="001235B0">
        <w:br/>
      </w:r>
      <w:r>
        <w:t>175432/ACT-Evaluation-Policy-Guidelines.pdf (accessed 27 March 2018).</w:t>
      </w:r>
    </w:p>
    <w:p w14:paraId="42B959F3" w14:textId="77777777" w:rsidR="00D74BA7" w:rsidRDefault="00D74BA7" w:rsidP="00D74BA7">
      <w:pPr>
        <w:pStyle w:val="Reference"/>
      </w:pPr>
      <w:r>
        <w:t xml:space="preserve">AEA (American Evaluation Association) 2018, </w:t>
      </w:r>
      <w:r>
        <w:rPr>
          <w:i/>
          <w:iCs/>
        </w:rPr>
        <w:t>Guiding Principles for Evaluators</w:t>
      </w:r>
      <w:r>
        <w:t>, AEA, Washington.</w:t>
      </w:r>
    </w:p>
    <w:p w14:paraId="5BBC9AB0" w14:textId="77777777" w:rsidR="00D74BA7" w:rsidRDefault="00D74BA7" w:rsidP="00D74BA7">
      <w:pPr>
        <w:pStyle w:val="Reference"/>
      </w:pPr>
      <w:r>
        <w:t xml:space="preserve">AES (Australasian Evaluation Society) 2013a, </w:t>
      </w:r>
      <w:r>
        <w:rPr>
          <w:i/>
          <w:iCs/>
        </w:rPr>
        <w:t>Code of Ethics</w:t>
      </w:r>
      <w:r>
        <w:t>, AES, Melbourne.</w:t>
      </w:r>
    </w:p>
    <w:p w14:paraId="6D8742DA" w14:textId="77777777" w:rsidR="00D74BA7" w:rsidRDefault="00D74BA7" w:rsidP="00D74BA7">
      <w:pPr>
        <w:pStyle w:val="Reference"/>
      </w:pPr>
      <w:r>
        <w:t xml:space="preserve">—— (Australasian Evaluation Society) 2013b, </w:t>
      </w:r>
      <w:r>
        <w:rPr>
          <w:i/>
          <w:iCs/>
        </w:rPr>
        <w:t>Guidelines for the Ethical Conduct of Evaluations</w:t>
      </w:r>
      <w:r>
        <w:t>, AES, Melbourne.</w:t>
      </w:r>
    </w:p>
    <w:p w14:paraId="791C9B21" w14:textId="77777777" w:rsidR="00D74BA7" w:rsidRDefault="00D74BA7" w:rsidP="00D74BA7">
      <w:pPr>
        <w:pStyle w:val="Reference"/>
      </w:pPr>
      <w:r>
        <w:t xml:space="preserve">AHRC (Australian Human Rights Commission) 2010, </w:t>
      </w:r>
      <w:r>
        <w:rPr>
          <w:i/>
          <w:iCs/>
        </w:rPr>
        <w:t>Community Guide to the UN Declaration on the Rights of Indigenous Peoples</w:t>
      </w:r>
      <w:r>
        <w:t>, Australian Human Rights Commission.</w:t>
      </w:r>
    </w:p>
    <w:p w14:paraId="59783D98" w14:textId="77777777" w:rsidR="00D74BA7" w:rsidRDefault="00D74BA7" w:rsidP="00D74BA7">
      <w:pPr>
        <w:pStyle w:val="Reference"/>
      </w:pPr>
      <w:r>
        <w:t xml:space="preserve">AIATSIS (Australian Institute for Aboriginal and Torres Strait Islander Studies) 2012, </w:t>
      </w:r>
      <w:r>
        <w:rPr>
          <w:i/>
          <w:iCs/>
        </w:rPr>
        <w:t>Guidelines for Ethical Research in Australian Indigenous Studies</w:t>
      </w:r>
      <w:r>
        <w:t>, AIATSIS, Canberra.</w:t>
      </w:r>
    </w:p>
    <w:p w14:paraId="74DFCCC1" w14:textId="103D25DC" w:rsidR="00D74BA7" w:rsidRPr="001235B0" w:rsidRDefault="00D74BA7" w:rsidP="00D74BA7">
      <w:pPr>
        <w:pStyle w:val="Reference"/>
        <w:rPr>
          <w:spacing w:val="-4"/>
        </w:rPr>
      </w:pPr>
      <w:r w:rsidRPr="001235B0">
        <w:rPr>
          <w:spacing w:val="-4"/>
        </w:rPr>
        <w:t xml:space="preserve">AIHW (Australian Institute of Health and Welfare) 2017, </w:t>
      </w:r>
      <w:r w:rsidRPr="001235B0">
        <w:rPr>
          <w:i/>
          <w:iCs/>
          <w:spacing w:val="-4"/>
        </w:rPr>
        <w:t>Trends in Indigenous Mortality and Life Expectancy 2001</w:t>
      </w:r>
      <w:r w:rsidR="00442E24" w:rsidRPr="001235B0">
        <w:rPr>
          <w:i/>
          <w:iCs/>
          <w:spacing w:val="-4"/>
        </w:rPr>
        <w:t>–</w:t>
      </w:r>
      <w:r w:rsidRPr="001235B0">
        <w:rPr>
          <w:i/>
          <w:iCs/>
          <w:spacing w:val="-4"/>
        </w:rPr>
        <w:t>2015: Evidence from the Enhanced Mortality Database</w:t>
      </w:r>
      <w:r w:rsidRPr="001235B0">
        <w:rPr>
          <w:spacing w:val="-4"/>
        </w:rPr>
        <w:t>, Canberra.</w:t>
      </w:r>
    </w:p>
    <w:p w14:paraId="48BEEE77" w14:textId="77777777" w:rsidR="00D74BA7" w:rsidRPr="001235B0" w:rsidRDefault="00D74BA7" w:rsidP="00D74BA7">
      <w:pPr>
        <w:pStyle w:val="Reference"/>
        <w:rPr>
          <w:spacing w:val="-4"/>
        </w:rPr>
      </w:pPr>
      <w:r w:rsidRPr="001235B0">
        <w:rPr>
          <w:spacing w:val="-4"/>
        </w:rPr>
        <w:lastRenderedPageBreak/>
        <w:t xml:space="preserve">Alexander, E. and </w:t>
      </w:r>
      <w:proofErr w:type="spellStart"/>
      <w:r w:rsidRPr="001235B0">
        <w:rPr>
          <w:spacing w:val="-4"/>
        </w:rPr>
        <w:t>Thodey</w:t>
      </w:r>
      <w:proofErr w:type="spellEnd"/>
      <w:r w:rsidRPr="001235B0">
        <w:rPr>
          <w:spacing w:val="-4"/>
        </w:rPr>
        <w:t xml:space="preserve">, D. 2018, </w:t>
      </w:r>
      <w:r w:rsidRPr="001235B0">
        <w:rPr>
          <w:i/>
          <w:iCs/>
          <w:spacing w:val="-4"/>
        </w:rPr>
        <w:t>Independent Review into the Operation of the Public Governance, Performance and Accountability Act 2013 and Rule</w:t>
      </w:r>
      <w:r w:rsidRPr="001235B0">
        <w:rPr>
          <w:spacing w:val="-4"/>
        </w:rPr>
        <w:t>, Canberra, https://www.finance.gov.au/pgpa-independent-review/html/ (accessed 16 January 2019).</w:t>
      </w:r>
    </w:p>
    <w:p w14:paraId="5FCF29DD" w14:textId="1C878438" w:rsidR="00D74BA7" w:rsidRDefault="00D74BA7" w:rsidP="00D74BA7">
      <w:pPr>
        <w:pStyle w:val="Reference"/>
      </w:pPr>
      <w:r>
        <w:t xml:space="preserve">ANAO </w:t>
      </w:r>
      <w:r w:rsidR="000304D5">
        <w:t xml:space="preserve">(Australian National Audit Office) </w:t>
      </w:r>
      <w:r>
        <w:t xml:space="preserve">2019a, </w:t>
      </w:r>
      <w:r>
        <w:rPr>
          <w:i/>
          <w:iCs/>
        </w:rPr>
        <w:t>Evaluating Aboriginal and Torres Strait Islander Programs</w:t>
      </w:r>
      <w:r>
        <w:t>, No. 47 2018</w:t>
      </w:r>
      <w:r w:rsidR="00442E24">
        <w:noBreakHyphen/>
      </w:r>
      <w:r>
        <w:t>19, Commonwealth of Australia, Canberra, https://www.anao.gov.au/work/performance-audit/evaluating-indigenous-programs (accessed 19 June 2019).</w:t>
      </w:r>
    </w:p>
    <w:p w14:paraId="2985ECF0" w14:textId="242E9E6F" w:rsidR="00D74BA7" w:rsidRDefault="00D74BA7" w:rsidP="00D74BA7">
      <w:pPr>
        <w:pStyle w:val="Reference"/>
      </w:pPr>
      <w:r>
        <w:t xml:space="preserve">——2015, </w:t>
      </w:r>
      <w:r>
        <w:rPr>
          <w:i/>
          <w:iCs/>
        </w:rPr>
        <w:t>Delivery and Evaluation of Grant Programs: Department of Industry, Innovation and Science, Department of Infrastructure and Regional Development, Department of Social Services</w:t>
      </w:r>
      <w:r>
        <w:t>, Audit Report, 25, Commonwealth of Australia, Canberra.</w:t>
      </w:r>
    </w:p>
    <w:p w14:paraId="11DF6B03" w14:textId="739FEA08" w:rsidR="00D74BA7" w:rsidRDefault="00D74BA7" w:rsidP="00D74BA7">
      <w:pPr>
        <w:pStyle w:val="Reference"/>
      </w:pPr>
      <w:r>
        <w:t>——</w:t>
      </w:r>
      <w:r w:rsidR="000304D5">
        <w:t xml:space="preserve"> </w:t>
      </w:r>
      <w:r>
        <w:t xml:space="preserve">2019b, </w:t>
      </w:r>
      <w:r>
        <w:rPr>
          <w:i/>
          <w:iCs/>
        </w:rPr>
        <w:t xml:space="preserve">Closing </w:t>
      </w:r>
      <w:proofErr w:type="gramStart"/>
      <w:r>
        <w:rPr>
          <w:i/>
          <w:iCs/>
        </w:rPr>
        <w:t>The</w:t>
      </w:r>
      <w:proofErr w:type="gramEnd"/>
      <w:r>
        <w:rPr>
          <w:i/>
          <w:iCs/>
        </w:rPr>
        <w:t xml:space="preserve"> Gap</w:t>
      </w:r>
      <w:r>
        <w:t>, Auditor-General Report, 27, Canberra.</w:t>
      </w:r>
    </w:p>
    <w:p w14:paraId="431911EE" w14:textId="77777777" w:rsidR="00D74BA7" w:rsidRDefault="00D74BA7" w:rsidP="00D74BA7">
      <w:pPr>
        <w:pStyle w:val="Reference"/>
      </w:pPr>
      <w:r>
        <w:t xml:space="preserve">ANZEA and </w:t>
      </w:r>
      <w:proofErr w:type="spellStart"/>
      <w:r>
        <w:t>Superu</w:t>
      </w:r>
      <w:proofErr w:type="spellEnd"/>
      <w:r>
        <w:t xml:space="preserve"> (Aotearoa New Zealand Evaluation Association and Social Policy Evaluation and Research Unit) 2015, </w:t>
      </w:r>
      <w:r>
        <w:rPr>
          <w:i/>
          <w:iCs/>
        </w:rPr>
        <w:t>Evaluation standards for Aotearoa New Zealand</w:t>
      </w:r>
      <w:r>
        <w:t>.</w:t>
      </w:r>
    </w:p>
    <w:p w14:paraId="33D1A803" w14:textId="77777777" w:rsidR="00D74BA7" w:rsidRDefault="00D74BA7" w:rsidP="00D74BA7">
      <w:pPr>
        <w:pStyle w:val="Reference"/>
      </w:pPr>
      <w:r>
        <w:t xml:space="preserve">AONSW (Audit Office of New South Wales) 2016, </w:t>
      </w:r>
      <w:r>
        <w:rPr>
          <w:i/>
          <w:iCs/>
        </w:rPr>
        <w:t>Implementation of the NSW Government’s Program Evaluation Initiative: Performance Audit</w:t>
      </w:r>
      <w:r>
        <w:t>, Audit Office of New South Wales, Sydney.</w:t>
      </w:r>
    </w:p>
    <w:p w14:paraId="0D2738AF" w14:textId="77777777" w:rsidR="00D74BA7" w:rsidRDefault="00D74BA7" w:rsidP="00D74BA7">
      <w:pPr>
        <w:pStyle w:val="Reference"/>
      </w:pPr>
      <w:r>
        <w:t xml:space="preserve">APSC (Australian Public Service Commission) 2015, </w:t>
      </w:r>
      <w:r>
        <w:rPr>
          <w:i/>
          <w:iCs/>
        </w:rPr>
        <w:t>Aboriginal and Torres Strait Islander Cultural Capability: A Framework for Commonwealth Agencies</w:t>
      </w:r>
      <w:r>
        <w:t xml:space="preserve">, Australian Government, </w:t>
      </w:r>
      <w:proofErr w:type="gramStart"/>
      <w:r>
        <w:t>Canberra</w:t>
      </w:r>
      <w:proofErr w:type="gramEnd"/>
      <w:r>
        <w:t>.</w:t>
      </w:r>
    </w:p>
    <w:p w14:paraId="34B650E4" w14:textId="77777777" w:rsidR="00D74BA7" w:rsidRDefault="00D74BA7" w:rsidP="00D74BA7">
      <w:pPr>
        <w:pStyle w:val="Reference"/>
      </w:pPr>
      <w:r>
        <w:t xml:space="preserve">Australian Research Council, National Health and Medical Research Council and Universities Australia 2018, </w:t>
      </w:r>
      <w:r>
        <w:rPr>
          <w:i/>
          <w:iCs/>
        </w:rPr>
        <w:t>Australian Code for the Responsible Conduct of Research</w:t>
      </w:r>
      <w:r>
        <w:t>, National Health and Medical Research Council, Canberra.</w:t>
      </w:r>
    </w:p>
    <w:p w14:paraId="514A00F6" w14:textId="68D3AEE1" w:rsidR="00D74BA7" w:rsidRDefault="00D74BA7" w:rsidP="00D74BA7">
      <w:pPr>
        <w:pStyle w:val="Reference"/>
      </w:pPr>
      <w:r>
        <w:t xml:space="preserve">Baily, R., </w:t>
      </w:r>
      <w:proofErr w:type="spellStart"/>
      <w:r>
        <w:t>Hardie</w:t>
      </w:r>
      <w:proofErr w:type="spellEnd"/>
      <w:r>
        <w:t xml:space="preserve">-Boys, N., Bailie, J., </w:t>
      </w:r>
      <w:proofErr w:type="spellStart"/>
      <w:r>
        <w:t>Carr</w:t>
      </w:r>
      <w:proofErr w:type="spellEnd"/>
      <w:r>
        <w:t xml:space="preserve">, J., </w:t>
      </w:r>
      <w:proofErr w:type="spellStart"/>
      <w:r>
        <w:t>Moodie</w:t>
      </w:r>
      <w:proofErr w:type="spellEnd"/>
      <w:r>
        <w:t xml:space="preserve">, D., McLean, G., </w:t>
      </w:r>
      <w:proofErr w:type="spellStart"/>
      <w:r>
        <w:t>Scanlen</w:t>
      </w:r>
      <w:proofErr w:type="spellEnd"/>
      <w:r>
        <w:t xml:space="preserve">, A., Bainbridge, R., Monaghan, R., </w:t>
      </w:r>
      <w:proofErr w:type="spellStart"/>
      <w:r>
        <w:t>Walke</w:t>
      </w:r>
      <w:proofErr w:type="spellEnd"/>
      <w:r>
        <w:t xml:space="preserve">, E. and Bailie, R. </w:t>
      </w:r>
      <w:r>
        <w:lastRenderedPageBreak/>
        <w:t xml:space="preserve">2018, </w:t>
      </w:r>
      <w:r>
        <w:rPr>
          <w:i/>
          <w:iCs/>
        </w:rPr>
        <w:t xml:space="preserve">Evaluation of the Australian Government’s Investment in Aboriginal and Torres Strait Islander Primary Health Care through the Indigenous </w:t>
      </w:r>
      <w:r w:rsidR="0045754A">
        <w:rPr>
          <w:i/>
          <w:iCs/>
        </w:rPr>
        <w:t>Australians’</w:t>
      </w:r>
      <w:r>
        <w:rPr>
          <w:i/>
          <w:iCs/>
        </w:rPr>
        <w:t xml:space="preserve"> Health Program: Monitoring and Evaluation Design Report</w:t>
      </w:r>
      <w:r>
        <w:t>, Allen + Clarke, Wellington.</w:t>
      </w:r>
    </w:p>
    <w:p w14:paraId="1F13B7CF" w14:textId="77777777" w:rsidR="00D74BA7" w:rsidRDefault="00D74BA7" w:rsidP="00D74BA7">
      <w:pPr>
        <w:pStyle w:val="Reference"/>
      </w:pPr>
      <w:r>
        <w:t xml:space="preserve">Better Evaluation </w:t>
      </w:r>
      <w:proofErr w:type="spellStart"/>
      <w:r>
        <w:t>nd</w:t>
      </w:r>
      <w:proofErr w:type="spellEnd"/>
      <w:r>
        <w:t xml:space="preserve">, </w:t>
      </w:r>
      <w:r>
        <w:rPr>
          <w:i/>
          <w:iCs/>
        </w:rPr>
        <w:t>Developmental Evaluation</w:t>
      </w:r>
      <w:r>
        <w:t>, Better Evaluation, https://www.betterevaluation.org/en/plan/approach/developmental_evaluation (accessed 3 June 2019).</w:t>
      </w:r>
    </w:p>
    <w:p w14:paraId="527F3CE4" w14:textId="77777777" w:rsidR="00D74BA7" w:rsidRPr="001235B0" w:rsidRDefault="00D74BA7" w:rsidP="00D74BA7">
      <w:pPr>
        <w:pStyle w:val="Reference"/>
        <w:rPr>
          <w:spacing w:val="-4"/>
        </w:rPr>
      </w:pPr>
      <w:r w:rsidRPr="001235B0">
        <w:rPr>
          <w:spacing w:val="-4"/>
        </w:rPr>
        <w:t xml:space="preserve">CES (Canadian Evaluation Society) </w:t>
      </w:r>
      <w:proofErr w:type="spellStart"/>
      <w:r w:rsidRPr="001235B0">
        <w:rPr>
          <w:spacing w:val="-4"/>
        </w:rPr>
        <w:t>nd</w:t>
      </w:r>
      <w:proofErr w:type="spellEnd"/>
      <w:r w:rsidRPr="001235B0">
        <w:rPr>
          <w:spacing w:val="-4"/>
        </w:rPr>
        <w:t xml:space="preserve">, </w:t>
      </w:r>
      <w:r w:rsidRPr="001235B0">
        <w:rPr>
          <w:i/>
          <w:iCs/>
          <w:spacing w:val="-4"/>
        </w:rPr>
        <w:t>Ethics</w:t>
      </w:r>
      <w:r w:rsidRPr="001235B0">
        <w:rPr>
          <w:spacing w:val="-4"/>
        </w:rPr>
        <w:t>, CES, Renfrew, Ontario, https://evaluationcanada.ca/sites/default/files/ces_ethics_ethique_sce.pdf (accessed 23 May 2019).</w:t>
      </w:r>
    </w:p>
    <w:p w14:paraId="764FD59C" w14:textId="5E41A059" w:rsidR="00D74BA7" w:rsidRPr="001235B0" w:rsidRDefault="00D74BA7" w:rsidP="00D74BA7">
      <w:pPr>
        <w:pStyle w:val="Reference"/>
        <w:rPr>
          <w:spacing w:val="-4"/>
        </w:rPr>
      </w:pPr>
      <w:r w:rsidRPr="001235B0">
        <w:rPr>
          <w:spacing w:val="-4"/>
        </w:rPr>
        <w:t xml:space="preserve">COAG (Council of Australian Governments) 2018, </w:t>
      </w:r>
      <w:r w:rsidRPr="001235B0">
        <w:rPr>
          <w:i/>
          <w:iCs/>
          <w:spacing w:val="-4"/>
        </w:rPr>
        <w:t>COAG Statement on the Closing the Gap Refresh 12 December 2018</w:t>
      </w:r>
      <w:r w:rsidRPr="001235B0">
        <w:rPr>
          <w:spacing w:val="-4"/>
        </w:rPr>
        <w:t>, Council of Australian Governments, https://www.coag.gov.au/</w:t>
      </w:r>
      <w:r w:rsidR="001235B0">
        <w:rPr>
          <w:spacing w:val="-4"/>
        </w:rPr>
        <w:br/>
      </w:r>
      <w:r w:rsidRPr="001235B0">
        <w:rPr>
          <w:spacing w:val="-4"/>
        </w:rPr>
        <w:t>sites/default/files/communique/coag-statement-closing-the-gap-refresh.pdf (accessed 23</w:t>
      </w:r>
      <w:r w:rsidR="001235B0">
        <w:rPr>
          <w:spacing w:val="-4"/>
        </w:rPr>
        <w:t> </w:t>
      </w:r>
      <w:r w:rsidRPr="001235B0">
        <w:rPr>
          <w:spacing w:val="-4"/>
        </w:rPr>
        <w:t>May 2019).</w:t>
      </w:r>
    </w:p>
    <w:p w14:paraId="6FC2B941" w14:textId="77777777" w:rsidR="00D74BA7" w:rsidRPr="001235B0" w:rsidRDefault="00D74BA7" w:rsidP="00D74BA7">
      <w:pPr>
        <w:pStyle w:val="Reference"/>
        <w:rPr>
          <w:spacing w:val="-4"/>
        </w:rPr>
      </w:pPr>
      <w:r w:rsidRPr="001235B0">
        <w:rPr>
          <w:spacing w:val="-4"/>
        </w:rPr>
        <w:t xml:space="preserve">Cram, F. 2009, ‘Maintaining indigenous voices’, </w:t>
      </w:r>
      <w:r w:rsidRPr="001235B0">
        <w:rPr>
          <w:i/>
          <w:iCs/>
          <w:spacing w:val="-4"/>
        </w:rPr>
        <w:t>The Handbook of Social Research Ethics</w:t>
      </w:r>
      <w:r w:rsidRPr="001235B0">
        <w:rPr>
          <w:spacing w:val="-4"/>
        </w:rPr>
        <w:t>, pp. 308–322.</w:t>
      </w:r>
    </w:p>
    <w:p w14:paraId="1C49EEEC" w14:textId="5BD17CE9" w:rsidR="00D74BA7" w:rsidRPr="001235B0" w:rsidRDefault="00D74BA7" w:rsidP="00D74BA7">
      <w:pPr>
        <w:pStyle w:val="Reference"/>
        <w:rPr>
          <w:spacing w:val="-4"/>
        </w:rPr>
      </w:pPr>
      <w:r w:rsidRPr="001235B0">
        <w:rPr>
          <w:spacing w:val="-4"/>
        </w:rPr>
        <w:t xml:space="preserve">Davy, L., Fisher, K., </w:t>
      </w:r>
      <w:proofErr w:type="spellStart"/>
      <w:r w:rsidRPr="001235B0">
        <w:rPr>
          <w:spacing w:val="-4"/>
        </w:rPr>
        <w:t>Wehbe</w:t>
      </w:r>
      <w:proofErr w:type="spellEnd"/>
      <w:r w:rsidRPr="001235B0">
        <w:rPr>
          <w:spacing w:val="-4"/>
        </w:rPr>
        <w:t xml:space="preserve">, A., </w:t>
      </w:r>
      <w:proofErr w:type="spellStart"/>
      <w:r w:rsidRPr="001235B0">
        <w:rPr>
          <w:spacing w:val="-4"/>
        </w:rPr>
        <w:t>Purcal</w:t>
      </w:r>
      <w:proofErr w:type="spellEnd"/>
      <w:r w:rsidRPr="001235B0">
        <w:rPr>
          <w:spacing w:val="-4"/>
        </w:rPr>
        <w:t xml:space="preserve">, C., Robinson, S., </w:t>
      </w:r>
      <w:proofErr w:type="spellStart"/>
      <w:r w:rsidRPr="001235B0">
        <w:rPr>
          <w:spacing w:val="-4"/>
        </w:rPr>
        <w:t>Kayess</w:t>
      </w:r>
      <w:proofErr w:type="spellEnd"/>
      <w:r w:rsidRPr="001235B0">
        <w:rPr>
          <w:spacing w:val="-4"/>
        </w:rPr>
        <w:t xml:space="preserve">, R. and Santos, D. 2018, </w:t>
      </w:r>
      <w:r w:rsidRPr="001235B0">
        <w:rPr>
          <w:i/>
          <w:iCs/>
          <w:spacing w:val="-4"/>
        </w:rPr>
        <w:t>Review of implementation of the National Disability Strategy 2010</w:t>
      </w:r>
      <w:r w:rsidR="00442E24" w:rsidRPr="001235B0">
        <w:rPr>
          <w:i/>
          <w:iCs/>
          <w:spacing w:val="-4"/>
        </w:rPr>
        <w:t>–</w:t>
      </w:r>
      <w:r w:rsidRPr="001235B0">
        <w:rPr>
          <w:i/>
          <w:iCs/>
          <w:spacing w:val="-4"/>
        </w:rPr>
        <w:t>2020: Final report</w:t>
      </w:r>
      <w:r w:rsidRPr="001235B0">
        <w:rPr>
          <w:spacing w:val="-4"/>
        </w:rPr>
        <w:t>, Social Policy Research Centre, UNSW, Sydney.</w:t>
      </w:r>
    </w:p>
    <w:p w14:paraId="5B5F9465" w14:textId="31D33F7B" w:rsidR="00D74BA7" w:rsidRPr="001235B0" w:rsidRDefault="00D74BA7" w:rsidP="00D74BA7">
      <w:pPr>
        <w:pStyle w:val="Reference"/>
        <w:rPr>
          <w:spacing w:val="-4"/>
        </w:rPr>
      </w:pPr>
      <w:r w:rsidRPr="001235B0">
        <w:rPr>
          <w:spacing w:val="-4"/>
        </w:rPr>
        <w:t xml:space="preserve">Department of Finance 2016, </w:t>
      </w:r>
      <w:r w:rsidRPr="001235B0">
        <w:rPr>
          <w:i/>
          <w:iCs/>
          <w:spacing w:val="-4"/>
        </w:rPr>
        <w:t xml:space="preserve">Resource Management glossary </w:t>
      </w:r>
      <w:r w:rsidR="00941F47" w:rsidRPr="001235B0">
        <w:rPr>
          <w:i/>
          <w:iCs/>
          <w:spacing w:val="-4"/>
        </w:rPr>
        <w:t>—</w:t>
      </w:r>
      <w:r w:rsidRPr="001235B0">
        <w:rPr>
          <w:i/>
          <w:iCs/>
          <w:spacing w:val="-4"/>
        </w:rPr>
        <w:t xml:space="preserve"> evaluation (website)</w:t>
      </w:r>
      <w:r w:rsidRPr="001235B0">
        <w:rPr>
          <w:spacing w:val="-4"/>
        </w:rPr>
        <w:t>, Department of Finance, https://www.finance.gov.au/resource-management/pgpa-glossary/evaluation/ (accessed 23 May 2019).</w:t>
      </w:r>
    </w:p>
    <w:p w14:paraId="7CCCDD86" w14:textId="77777777" w:rsidR="00D74BA7" w:rsidRPr="001235B0" w:rsidRDefault="00D74BA7" w:rsidP="00D74BA7">
      <w:pPr>
        <w:pStyle w:val="Reference"/>
        <w:rPr>
          <w:spacing w:val="-4"/>
        </w:rPr>
      </w:pPr>
      <w:r w:rsidRPr="001235B0">
        <w:rPr>
          <w:spacing w:val="-4"/>
        </w:rPr>
        <w:t xml:space="preserve">Department of Finance and Deregulation 2010, </w:t>
      </w:r>
      <w:r w:rsidRPr="001235B0">
        <w:rPr>
          <w:i/>
          <w:iCs/>
          <w:spacing w:val="-4"/>
        </w:rPr>
        <w:t>Strategic Review of Indigenous Expenditure</w:t>
      </w:r>
      <w:r w:rsidRPr="001235B0">
        <w:rPr>
          <w:spacing w:val="-4"/>
        </w:rPr>
        <w:t>, Canberra.</w:t>
      </w:r>
    </w:p>
    <w:p w14:paraId="5A5B6107" w14:textId="77777777" w:rsidR="00D74BA7" w:rsidRPr="001235B0" w:rsidRDefault="00D74BA7" w:rsidP="00D74BA7">
      <w:pPr>
        <w:pStyle w:val="Reference"/>
        <w:rPr>
          <w:spacing w:val="-4"/>
        </w:rPr>
      </w:pPr>
      <w:r w:rsidRPr="001235B0">
        <w:rPr>
          <w:spacing w:val="-4"/>
        </w:rPr>
        <w:t xml:space="preserve">Department of Industry and Science 2017, </w:t>
      </w:r>
      <w:r w:rsidRPr="001235B0">
        <w:rPr>
          <w:i/>
          <w:iCs/>
          <w:spacing w:val="-4"/>
        </w:rPr>
        <w:t>Evaluation Strategy: Post Commencement Review</w:t>
      </w:r>
      <w:r w:rsidRPr="001235B0">
        <w:rPr>
          <w:spacing w:val="-4"/>
        </w:rPr>
        <w:t>, Canberra.</w:t>
      </w:r>
    </w:p>
    <w:p w14:paraId="7EA6336A" w14:textId="77777777" w:rsidR="00D74BA7" w:rsidRPr="001235B0" w:rsidRDefault="00D74BA7" w:rsidP="00D74BA7">
      <w:pPr>
        <w:pStyle w:val="Reference"/>
        <w:rPr>
          <w:spacing w:val="-4"/>
        </w:rPr>
      </w:pPr>
      <w:r w:rsidRPr="001235B0">
        <w:rPr>
          <w:spacing w:val="-4"/>
        </w:rPr>
        <w:lastRenderedPageBreak/>
        <w:t xml:space="preserve">Department of Industry, Innovation and Science 2019, </w:t>
      </w:r>
      <w:r w:rsidRPr="001235B0">
        <w:rPr>
          <w:i/>
          <w:iCs/>
          <w:spacing w:val="-4"/>
        </w:rPr>
        <w:t>Evaluation Strategy 2017 to 2021</w:t>
      </w:r>
      <w:r w:rsidRPr="001235B0">
        <w:rPr>
          <w:spacing w:val="-4"/>
        </w:rPr>
        <w:t>, Canberra.</w:t>
      </w:r>
    </w:p>
    <w:p w14:paraId="490F5C99" w14:textId="77777777" w:rsidR="00D74BA7" w:rsidRPr="001235B0" w:rsidRDefault="00D74BA7" w:rsidP="00D74BA7">
      <w:pPr>
        <w:pStyle w:val="Reference"/>
        <w:rPr>
          <w:spacing w:val="-4"/>
        </w:rPr>
      </w:pPr>
      <w:r w:rsidRPr="001235B0">
        <w:rPr>
          <w:spacing w:val="-4"/>
        </w:rPr>
        <w:t xml:space="preserve">DFAT (Department of Foreign Affairs and Trade) 2017, </w:t>
      </w:r>
      <w:r w:rsidRPr="001235B0">
        <w:rPr>
          <w:i/>
          <w:iCs/>
          <w:spacing w:val="-4"/>
        </w:rPr>
        <w:t>DFAT Aid Evaluation Policy</w:t>
      </w:r>
      <w:r w:rsidRPr="001235B0">
        <w:rPr>
          <w:spacing w:val="-4"/>
        </w:rPr>
        <w:t>.</w:t>
      </w:r>
    </w:p>
    <w:p w14:paraId="6D60336B" w14:textId="29EC6C5F" w:rsidR="00D74BA7" w:rsidRPr="001235B0" w:rsidRDefault="000304D5" w:rsidP="00D74BA7">
      <w:pPr>
        <w:pStyle w:val="Reference"/>
        <w:rPr>
          <w:spacing w:val="-4"/>
        </w:rPr>
      </w:pPr>
      <w:r w:rsidRPr="001235B0">
        <w:rPr>
          <w:spacing w:val="-4"/>
        </w:rPr>
        <w:t xml:space="preserve">—— </w:t>
      </w:r>
      <w:r w:rsidR="00D74BA7" w:rsidRPr="001235B0">
        <w:rPr>
          <w:spacing w:val="-4"/>
        </w:rPr>
        <w:t xml:space="preserve">2019, </w:t>
      </w:r>
      <w:r w:rsidR="00D74BA7" w:rsidRPr="001235B0">
        <w:rPr>
          <w:i/>
          <w:iCs/>
          <w:spacing w:val="-4"/>
        </w:rPr>
        <w:t>2019 Annual Aid Evaluation Plan</w:t>
      </w:r>
      <w:r w:rsidR="00D74BA7" w:rsidRPr="001235B0">
        <w:rPr>
          <w:spacing w:val="-4"/>
        </w:rPr>
        <w:t>, Canberra.</w:t>
      </w:r>
    </w:p>
    <w:p w14:paraId="1EA187E9" w14:textId="77777777" w:rsidR="00D74BA7" w:rsidRDefault="00D74BA7" w:rsidP="00D74BA7">
      <w:pPr>
        <w:pStyle w:val="Reference"/>
      </w:pPr>
      <w:proofErr w:type="spellStart"/>
      <w:r>
        <w:t>DoH</w:t>
      </w:r>
      <w:proofErr w:type="spellEnd"/>
      <w:r>
        <w:t xml:space="preserve"> (Department of Health) 2018, </w:t>
      </w:r>
      <w:r>
        <w:rPr>
          <w:i/>
          <w:iCs/>
        </w:rPr>
        <w:t>The Indigenous Australians’ Health Programme</w:t>
      </w:r>
      <w:r>
        <w:t>, http://www.health.gov.au/internet/main/publishing.nsf/Content/indigenous-programme-lp (accessed 21 March 2018).</w:t>
      </w:r>
    </w:p>
    <w:p w14:paraId="35E7A8D2" w14:textId="77777777" w:rsidR="00D74BA7" w:rsidRDefault="00D74BA7" w:rsidP="00D74BA7">
      <w:pPr>
        <w:pStyle w:val="Reference"/>
      </w:pPr>
      <w:r>
        <w:t xml:space="preserve">DPMC (Department of the Prime Minister and Cabinet) 2018a, </w:t>
      </w:r>
      <w:r>
        <w:rPr>
          <w:i/>
          <w:iCs/>
        </w:rPr>
        <w:t>Indigenous Advancement Strategy Evaluation Framework</w:t>
      </w:r>
      <w:r>
        <w:t>, Canberra.</w:t>
      </w:r>
    </w:p>
    <w:p w14:paraId="13445C74" w14:textId="75507C90" w:rsidR="00D74BA7" w:rsidRDefault="000304D5" w:rsidP="00D74BA7">
      <w:pPr>
        <w:pStyle w:val="Reference"/>
      </w:pPr>
      <w:r>
        <w:t xml:space="preserve">—— </w:t>
      </w:r>
      <w:r w:rsidR="00D74BA7">
        <w:t xml:space="preserve">2018b, </w:t>
      </w:r>
      <w:r w:rsidR="00D74BA7">
        <w:rPr>
          <w:i/>
          <w:iCs/>
        </w:rPr>
        <w:t>Indigenous Evaluation Committee Terms of Reference</w:t>
      </w:r>
      <w:r w:rsidR="00D74BA7">
        <w:t>, Canberra.</w:t>
      </w:r>
    </w:p>
    <w:p w14:paraId="409B91A7" w14:textId="14D4E439" w:rsidR="00D74BA7" w:rsidRDefault="000304D5" w:rsidP="00D74BA7">
      <w:pPr>
        <w:pStyle w:val="Reference"/>
      </w:pPr>
      <w:r>
        <w:t xml:space="preserve">—— </w:t>
      </w:r>
      <w:r w:rsidR="00D74BA7">
        <w:t xml:space="preserve">2018c, </w:t>
      </w:r>
      <w:r w:rsidR="00D74BA7">
        <w:rPr>
          <w:i/>
          <w:iCs/>
        </w:rPr>
        <w:t>The Community Development Programme: Evaluation of Participation and Employment Outcomes</w:t>
      </w:r>
      <w:r w:rsidR="00D74BA7">
        <w:t>, Canberra.</w:t>
      </w:r>
    </w:p>
    <w:p w14:paraId="2B2F8065" w14:textId="149EF3ED" w:rsidR="00D74BA7" w:rsidRDefault="000304D5" w:rsidP="00D74BA7">
      <w:pPr>
        <w:pStyle w:val="Reference"/>
      </w:pPr>
      <w:r>
        <w:t>——</w:t>
      </w:r>
      <w:r w:rsidR="001235B0">
        <w:t> </w:t>
      </w:r>
      <w:r w:rsidR="00D74BA7">
        <w:t xml:space="preserve">2019a, </w:t>
      </w:r>
      <w:r w:rsidR="00D74BA7">
        <w:rPr>
          <w:i/>
          <w:iCs/>
        </w:rPr>
        <w:t>Changes to the Indigenous Procurement Policy</w:t>
      </w:r>
      <w:r w:rsidR="00D74BA7">
        <w:t>, https://www.pmc.gov.au/</w:t>
      </w:r>
      <w:r w:rsidR="001235B0">
        <w:br/>
      </w:r>
      <w:r w:rsidR="00D74BA7">
        <w:t>resource-centre/indigenous-affairs/changes-indigenous-procurement-policy (accessed 4</w:t>
      </w:r>
      <w:r w:rsidR="001235B0">
        <w:t> </w:t>
      </w:r>
      <w:r w:rsidR="00D74BA7">
        <w:t>June 2019).</w:t>
      </w:r>
    </w:p>
    <w:p w14:paraId="585D7C87" w14:textId="3F494D95" w:rsidR="00D74BA7" w:rsidRDefault="000304D5" w:rsidP="00D74BA7">
      <w:pPr>
        <w:pStyle w:val="Reference"/>
      </w:pPr>
      <w:r>
        <w:t xml:space="preserve">—— </w:t>
      </w:r>
      <w:r w:rsidR="00D74BA7">
        <w:t xml:space="preserve">2019b, </w:t>
      </w:r>
      <w:r w:rsidR="00D74BA7">
        <w:rPr>
          <w:i/>
          <w:iCs/>
        </w:rPr>
        <w:t>Closing the Gap Report 2019</w:t>
      </w:r>
      <w:r w:rsidR="00D74BA7">
        <w:t>, Canberra.</w:t>
      </w:r>
    </w:p>
    <w:p w14:paraId="157F3F15" w14:textId="023A178C" w:rsidR="00D74BA7" w:rsidRDefault="000304D5" w:rsidP="00D74BA7">
      <w:pPr>
        <w:pStyle w:val="Reference"/>
      </w:pPr>
      <w:r>
        <w:t>——</w:t>
      </w:r>
      <w:r w:rsidR="001235B0">
        <w:t> </w:t>
      </w:r>
      <w:r w:rsidR="00D74BA7">
        <w:t xml:space="preserve">2019c, </w:t>
      </w:r>
      <w:r w:rsidR="00D74BA7">
        <w:rPr>
          <w:i/>
          <w:iCs/>
        </w:rPr>
        <w:t>Indigenous Advancement Strategy</w:t>
      </w:r>
      <w:r w:rsidR="00D74BA7">
        <w:t>, Prime Minister and Cabinet, https://www.pmc.gov.au/indigenous-affairs/indigenous-advancement-strategy (accessed 15 May 2019).</w:t>
      </w:r>
    </w:p>
    <w:p w14:paraId="4DA3BBA8" w14:textId="40510A78" w:rsidR="00D74BA7" w:rsidRPr="001235B0" w:rsidRDefault="000304D5" w:rsidP="00D74BA7">
      <w:pPr>
        <w:pStyle w:val="Reference"/>
        <w:rPr>
          <w:spacing w:val="-4"/>
        </w:rPr>
      </w:pPr>
      <w:r w:rsidRPr="001235B0">
        <w:rPr>
          <w:spacing w:val="-4"/>
        </w:rPr>
        <w:t>——</w:t>
      </w:r>
      <w:r w:rsidR="001235B0">
        <w:rPr>
          <w:spacing w:val="-4"/>
        </w:rPr>
        <w:t> </w:t>
      </w:r>
      <w:r w:rsidR="00D74BA7" w:rsidRPr="001235B0">
        <w:rPr>
          <w:spacing w:val="-4"/>
        </w:rPr>
        <w:t xml:space="preserve">2019d, </w:t>
      </w:r>
      <w:r w:rsidR="00D74BA7" w:rsidRPr="001235B0">
        <w:rPr>
          <w:i/>
          <w:iCs/>
          <w:spacing w:val="-4"/>
        </w:rPr>
        <w:t>Indigenous Procurement Policy</w:t>
      </w:r>
      <w:r w:rsidR="00D74BA7" w:rsidRPr="001235B0">
        <w:rPr>
          <w:spacing w:val="-4"/>
        </w:rPr>
        <w:t>, https://www.pmc.gov.au/indigenous-affairs/economic-development/indigenous-procurement-policy-ipp (accessed 4</w:t>
      </w:r>
      <w:r w:rsidR="00442E24" w:rsidRPr="001235B0">
        <w:rPr>
          <w:spacing w:val="-4"/>
        </w:rPr>
        <w:t> </w:t>
      </w:r>
      <w:r w:rsidR="00D74BA7" w:rsidRPr="001235B0">
        <w:rPr>
          <w:spacing w:val="-4"/>
        </w:rPr>
        <w:t>June 2019).</w:t>
      </w:r>
    </w:p>
    <w:p w14:paraId="1D62EA42" w14:textId="0A0756E4" w:rsidR="00D74BA7" w:rsidRDefault="000304D5" w:rsidP="00D74BA7">
      <w:pPr>
        <w:pStyle w:val="Reference"/>
      </w:pPr>
      <w:r>
        <w:t xml:space="preserve">—— </w:t>
      </w:r>
      <w:r w:rsidR="00D74BA7">
        <w:t xml:space="preserve">2019e, </w:t>
      </w:r>
      <w:r w:rsidR="00D74BA7">
        <w:rPr>
          <w:i/>
          <w:iCs/>
        </w:rPr>
        <w:t>The Community Development Program (CDP)</w:t>
      </w:r>
      <w:r w:rsidR="00D74BA7">
        <w:t>, Prime Minister and Cabinet, https://www.pmc.gov.au/indigenous-affairs/employment/cdp (accessed 15 May 2019).</w:t>
      </w:r>
    </w:p>
    <w:p w14:paraId="76C1B1BA" w14:textId="77777777" w:rsidR="00D74BA7" w:rsidRDefault="00D74BA7" w:rsidP="00D74BA7">
      <w:pPr>
        <w:pStyle w:val="Reference"/>
      </w:pPr>
      <w:r>
        <w:lastRenderedPageBreak/>
        <w:t xml:space="preserve">DSS (Department of Social Services) 2017, </w:t>
      </w:r>
      <w:r>
        <w:rPr>
          <w:i/>
          <w:iCs/>
        </w:rPr>
        <w:t>About People with Disability in Australia</w:t>
      </w:r>
      <w:r>
        <w:t>, https://www.dss.gov.au/disability-and-carers/supporting-people-with-disability/about-people-with-disability-in-australia (accessed 31 May 2019).</w:t>
      </w:r>
    </w:p>
    <w:p w14:paraId="7FCC1EE8" w14:textId="65C099DD" w:rsidR="00D74BA7" w:rsidRPr="001235B0" w:rsidRDefault="00D74BA7" w:rsidP="00D74BA7">
      <w:pPr>
        <w:pStyle w:val="Reference"/>
        <w:rPr>
          <w:spacing w:val="-4"/>
        </w:rPr>
      </w:pPr>
      <w:proofErr w:type="spellStart"/>
      <w:r w:rsidRPr="001235B0">
        <w:rPr>
          <w:spacing w:val="-4"/>
        </w:rPr>
        <w:t>Dube</w:t>
      </w:r>
      <w:proofErr w:type="spellEnd"/>
      <w:r w:rsidRPr="001235B0">
        <w:rPr>
          <w:spacing w:val="-4"/>
        </w:rPr>
        <w:t xml:space="preserve">, S. and White, D. 2017, </w:t>
      </w:r>
      <w:r w:rsidRPr="001235B0">
        <w:rPr>
          <w:i/>
          <w:iCs/>
          <w:spacing w:val="-4"/>
        </w:rPr>
        <w:t>Washington State Leads in Evidence-Based Policymaking</w:t>
      </w:r>
      <w:r w:rsidRPr="001235B0">
        <w:rPr>
          <w:spacing w:val="-4"/>
        </w:rPr>
        <w:t>, PEW Trusts, https://www.pewtrusts.org/en/research-and-analysis/articles/2017/02/07/washington</w:t>
      </w:r>
      <w:r w:rsidR="001235B0">
        <w:rPr>
          <w:spacing w:val="-4"/>
        </w:rPr>
        <w:br/>
      </w:r>
      <w:r w:rsidRPr="001235B0">
        <w:rPr>
          <w:spacing w:val="-4"/>
        </w:rPr>
        <w:t>-state-leads-in-evidence-based-policymaking (accessed 23 May 2019).</w:t>
      </w:r>
    </w:p>
    <w:p w14:paraId="54CAB1AD" w14:textId="55151CAA" w:rsidR="00D74BA7" w:rsidRDefault="00D74BA7" w:rsidP="00D74BA7">
      <w:pPr>
        <w:pStyle w:val="Reference"/>
      </w:pPr>
      <w:r>
        <w:t xml:space="preserve">Empowered Communities 2015, </w:t>
      </w:r>
      <w:r>
        <w:rPr>
          <w:i/>
          <w:iCs/>
        </w:rPr>
        <w:t xml:space="preserve">Empowered Communities: Empowered Peoples </w:t>
      </w:r>
      <w:r w:rsidR="00941F47">
        <w:rPr>
          <w:i/>
          <w:iCs/>
        </w:rPr>
        <w:t>—</w:t>
      </w:r>
      <w:r>
        <w:rPr>
          <w:i/>
          <w:iCs/>
        </w:rPr>
        <w:t xml:space="preserve"> Design Report</w:t>
      </w:r>
      <w:r>
        <w:t xml:space="preserve">, </w:t>
      </w:r>
      <w:proofErr w:type="spellStart"/>
      <w:r>
        <w:t>Wunan</w:t>
      </w:r>
      <w:proofErr w:type="spellEnd"/>
      <w:r>
        <w:t xml:space="preserve"> Foundation, Sydney.</w:t>
      </w:r>
    </w:p>
    <w:p w14:paraId="7F0F1C60" w14:textId="77777777" w:rsidR="00D74BA7" w:rsidRDefault="00D74BA7" w:rsidP="00D74BA7">
      <w:pPr>
        <w:pStyle w:val="Reference"/>
      </w:pPr>
      <w:r>
        <w:t xml:space="preserve">FPARC (Finance and Public Administration Reference Committee) 2017, </w:t>
      </w:r>
      <w:r>
        <w:rPr>
          <w:i/>
          <w:iCs/>
        </w:rPr>
        <w:t>Appropriateness and Effectiveness of the Objectives, Design, Implementation and Evaluation of the Community Development Program (CDP)</w:t>
      </w:r>
      <w:r>
        <w:t>, Canberra.</w:t>
      </w:r>
    </w:p>
    <w:p w14:paraId="01C0899D" w14:textId="5A88A2D9" w:rsidR="00D74BA7" w:rsidRDefault="00D74BA7" w:rsidP="00D74BA7">
      <w:pPr>
        <w:pStyle w:val="Reference"/>
      </w:pPr>
      <w:proofErr w:type="spellStart"/>
      <w:r>
        <w:t>Gajjar</w:t>
      </w:r>
      <w:proofErr w:type="spellEnd"/>
      <w:r>
        <w:t>, D., Anthony, B., Hill, P. and Shannon, C. 2014, ‘A case study in the use of evidence in a changing political context: an Aboriginal and Torres Strait Islander health service re</w:t>
      </w:r>
      <w:r w:rsidR="00442E24">
        <w:noBreakHyphen/>
      </w:r>
      <w:r>
        <w:t xml:space="preserve">examines practice models, governance and financing’, </w:t>
      </w:r>
      <w:r>
        <w:rPr>
          <w:i/>
          <w:iCs/>
        </w:rPr>
        <w:t>Australian Health Review,</w:t>
      </w:r>
      <w:r>
        <w:t xml:space="preserve"> vol. 38, 4, pp. 383–386.</w:t>
      </w:r>
    </w:p>
    <w:p w14:paraId="526BED87" w14:textId="77777777" w:rsidR="00D74BA7" w:rsidRPr="001235B0" w:rsidRDefault="00D74BA7" w:rsidP="00D74BA7">
      <w:pPr>
        <w:pStyle w:val="Reference"/>
        <w:rPr>
          <w:spacing w:val="-4"/>
        </w:rPr>
      </w:pPr>
      <w:r w:rsidRPr="001235B0">
        <w:rPr>
          <w:spacing w:val="-4"/>
        </w:rPr>
        <w:t xml:space="preserve">Gibb, B., </w:t>
      </w:r>
      <w:proofErr w:type="spellStart"/>
      <w:r w:rsidRPr="001235B0">
        <w:rPr>
          <w:spacing w:val="-4"/>
        </w:rPr>
        <w:t>Babyack</w:t>
      </w:r>
      <w:proofErr w:type="spellEnd"/>
      <w:r w:rsidRPr="001235B0">
        <w:rPr>
          <w:spacing w:val="-4"/>
        </w:rPr>
        <w:t xml:space="preserve">, S., Stephens, D., Kelleher, K., </w:t>
      </w:r>
      <w:proofErr w:type="spellStart"/>
      <w:r w:rsidRPr="001235B0">
        <w:rPr>
          <w:spacing w:val="-4"/>
        </w:rPr>
        <w:t>Hoger</w:t>
      </w:r>
      <w:proofErr w:type="spellEnd"/>
      <w:r w:rsidRPr="001235B0">
        <w:rPr>
          <w:spacing w:val="-4"/>
        </w:rPr>
        <w:t xml:space="preserve">, D., Vale, C. and </w:t>
      </w:r>
      <w:proofErr w:type="spellStart"/>
      <w:r w:rsidRPr="001235B0">
        <w:rPr>
          <w:spacing w:val="-4"/>
        </w:rPr>
        <w:t>Peersman</w:t>
      </w:r>
      <w:proofErr w:type="spellEnd"/>
      <w:r w:rsidRPr="001235B0">
        <w:rPr>
          <w:spacing w:val="-4"/>
        </w:rPr>
        <w:t xml:space="preserve">, G. 2019, </w:t>
      </w:r>
      <w:r w:rsidRPr="001235B0">
        <w:rPr>
          <w:i/>
          <w:iCs/>
          <w:spacing w:val="-4"/>
        </w:rPr>
        <w:t>Ethical Framework for Aboriginal and Torres Strait Islander Evaluation</w:t>
      </w:r>
      <w:r w:rsidRPr="001235B0">
        <w:rPr>
          <w:spacing w:val="-4"/>
        </w:rPr>
        <w:t xml:space="preserve">, </w:t>
      </w:r>
      <w:proofErr w:type="spellStart"/>
      <w:r w:rsidRPr="001235B0">
        <w:rPr>
          <w:spacing w:val="-4"/>
        </w:rPr>
        <w:t>BetterEvaluation</w:t>
      </w:r>
      <w:proofErr w:type="spellEnd"/>
      <w:r w:rsidRPr="001235B0">
        <w:rPr>
          <w:spacing w:val="-4"/>
        </w:rPr>
        <w:t>, www.betterevaluation/org/en/themes/indigenous_evaluation, Melbourne.</w:t>
      </w:r>
    </w:p>
    <w:p w14:paraId="1184354E" w14:textId="77777777" w:rsidR="00D74BA7" w:rsidRPr="001235B0" w:rsidRDefault="00D74BA7" w:rsidP="00D74BA7">
      <w:pPr>
        <w:pStyle w:val="Reference"/>
        <w:rPr>
          <w:spacing w:val="-4"/>
        </w:rPr>
      </w:pPr>
      <w:r w:rsidRPr="001235B0">
        <w:rPr>
          <w:spacing w:val="-4"/>
        </w:rPr>
        <w:t xml:space="preserve">Government of Canada 2016, </w:t>
      </w:r>
      <w:r w:rsidRPr="001235B0">
        <w:rPr>
          <w:i/>
          <w:iCs/>
          <w:spacing w:val="-4"/>
        </w:rPr>
        <w:t>Policy on Results</w:t>
      </w:r>
      <w:r w:rsidRPr="001235B0">
        <w:rPr>
          <w:spacing w:val="-4"/>
        </w:rPr>
        <w:t>, https://www.tbs-sct.gc.ca/pol/doc-eng.aspx?id=31300 (accessed 26 March 2019).</w:t>
      </w:r>
    </w:p>
    <w:p w14:paraId="17FDB2FA" w14:textId="182C0F30" w:rsidR="00D74BA7" w:rsidRPr="001235B0" w:rsidRDefault="00D74BA7" w:rsidP="00D74BA7">
      <w:pPr>
        <w:pStyle w:val="Reference"/>
        <w:rPr>
          <w:spacing w:val="-4"/>
        </w:rPr>
      </w:pPr>
      <w:proofErr w:type="spellStart"/>
      <w:r w:rsidRPr="001235B0">
        <w:rPr>
          <w:spacing w:val="-4"/>
        </w:rPr>
        <w:t>Gray</w:t>
      </w:r>
      <w:proofErr w:type="spellEnd"/>
      <w:r w:rsidRPr="001235B0">
        <w:rPr>
          <w:spacing w:val="-4"/>
        </w:rPr>
        <w:t>, M. and Bray, J.</w:t>
      </w:r>
      <w:r w:rsidR="00F411C3" w:rsidRPr="001235B0">
        <w:rPr>
          <w:spacing w:val="-4"/>
        </w:rPr>
        <w:t xml:space="preserve"> </w:t>
      </w:r>
      <w:r w:rsidRPr="001235B0">
        <w:rPr>
          <w:spacing w:val="-4"/>
        </w:rPr>
        <w:t xml:space="preserve">R. 2019, </w:t>
      </w:r>
      <w:r w:rsidRPr="001235B0">
        <w:rPr>
          <w:i/>
          <w:iCs/>
          <w:spacing w:val="-4"/>
        </w:rPr>
        <w:t>Evaluation in the Australian Public Service: Current State of Play, Some Issues and Future Directions</w:t>
      </w:r>
      <w:r w:rsidRPr="001235B0">
        <w:rPr>
          <w:spacing w:val="-4"/>
        </w:rPr>
        <w:t>, Australia and New Zealand School of Government, Canberra.</w:t>
      </w:r>
    </w:p>
    <w:p w14:paraId="7AC7D8CA" w14:textId="77777777" w:rsidR="00D74BA7" w:rsidRPr="001235B0" w:rsidRDefault="00D74BA7" w:rsidP="00D74BA7">
      <w:pPr>
        <w:pStyle w:val="Reference"/>
        <w:rPr>
          <w:spacing w:val="-4"/>
        </w:rPr>
      </w:pPr>
      <w:proofErr w:type="spellStart"/>
      <w:r w:rsidRPr="001235B0">
        <w:rPr>
          <w:spacing w:val="-4"/>
        </w:rPr>
        <w:t>Guijt</w:t>
      </w:r>
      <w:proofErr w:type="spellEnd"/>
      <w:r w:rsidRPr="001235B0">
        <w:rPr>
          <w:spacing w:val="-4"/>
        </w:rPr>
        <w:t xml:space="preserve">, I. 2014, </w:t>
      </w:r>
      <w:r w:rsidRPr="001235B0">
        <w:rPr>
          <w:i/>
          <w:iCs/>
          <w:spacing w:val="-4"/>
        </w:rPr>
        <w:t>Participatory Approaches</w:t>
      </w:r>
      <w:r w:rsidRPr="001235B0">
        <w:rPr>
          <w:spacing w:val="-4"/>
        </w:rPr>
        <w:t>, Methodological Briefs, Impact Evaluation No. 5, UNICEF, Florence, Italy.</w:t>
      </w:r>
    </w:p>
    <w:p w14:paraId="5FD4B185" w14:textId="77777777" w:rsidR="00D74BA7" w:rsidRPr="001235B0" w:rsidRDefault="00D74BA7" w:rsidP="00D74BA7">
      <w:pPr>
        <w:pStyle w:val="Reference"/>
        <w:rPr>
          <w:spacing w:val="-4"/>
        </w:rPr>
      </w:pPr>
      <w:r w:rsidRPr="001235B0">
        <w:rPr>
          <w:spacing w:val="-4"/>
        </w:rPr>
        <w:lastRenderedPageBreak/>
        <w:t xml:space="preserve">Hickey, S., Roe, Y., Gao, Y., Nelson, C., Carson, A., Currie, J., Reynolds, W., </w:t>
      </w:r>
      <w:proofErr w:type="spellStart"/>
      <w:r w:rsidRPr="001235B0">
        <w:rPr>
          <w:spacing w:val="-4"/>
        </w:rPr>
        <w:t>Kruske</w:t>
      </w:r>
      <w:proofErr w:type="spellEnd"/>
      <w:r w:rsidRPr="001235B0">
        <w:rPr>
          <w:spacing w:val="-4"/>
        </w:rPr>
        <w:t xml:space="preserve">, S., Blackman, R., </w:t>
      </w:r>
      <w:proofErr w:type="spellStart"/>
      <w:r w:rsidRPr="001235B0">
        <w:rPr>
          <w:spacing w:val="-4"/>
        </w:rPr>
        <w:t>Passey</w:t>
      </w:r>
      <w:proofErr w:type="spellEnd"/>
      <w:r w:rsidRPr="001235B0">
        <w:rPr>
          <w:spacing w:val="-4"/>
        </w:rPr>
        <w:t xml:space="preserve">, M., Clifford, A., Tracy, S., West, R., </w:t>
      </w:r>
      <w:proofErr w:type="spellStart"/>
      <w:r w:rsidRPr="001235B0">
        <w:rPr>
          <w:spacing w:val="-4"/>
        </w:rPr>
        <w:t>Kosiak</w:t>
      </w:r>
      <w:proofErr w:type="spellEnd"/>
      <w:r w:rsidRPr="001235B0">
        <w:rPr>
          <w:spacing w:val="-4"/>
        </w:rPr>
        <w:t xml:space="preserve">, M., Williamson, K., </w:t>
      </w:r>
      <w:proofErr w:type="spellStart"/>
      <w:r w:rsidRPr="001235B0">
        <w:rPr>
          <w:spacing w:val="-4"/>
        </w:rPr>
        <w:t>Watego</w:t>
      </w:r>
      <w:proofErr w:type="spellEnd"/>
      <w:r w:rsidRPr="001235B0">
        <w:rPr>
          <w:spacing w:val="-4"/>
        </w:rPr>
        <w:t xml:space="preserve">, S., Webster, J. and </w:t>
      </w:r>
      <w:proofErr w:type="spellStart"/>
      <w:r w:rsidRPr="001235B0">
        <w:rPr>
          <w:spacing w:val="-4"/>
        </w:rPr>
        <w:t>Kildea</w:t>
      </w:r>
      <w:proofErr w:type="spellEnd"/>
      <w:r w:rsidRPr="001235B0">
        <w:rPr>
          <w:spacing w:val="-4"/>
        </w:rPr>
        <w:t xml:space="preserve">, S. 2018, ‘The Indigenous Birthing in an Urban Setting study: the IBUS study’, </w:t>
      </w:r>
      <w:r w:rsidRPr="001235B0">
        <w:rPr>
          <w:i/>
          <w:iCs/>
          <w:spacing w:val="-4"/>
        </w:rPr>
        <w:t>BMC Pregnancy and Childbirth</w:t>
      </w:r>
      <w:r w:rsidRPr="001235B0">
        <w:rPr>
          <w:spacing w:val="-4"/>
        </w:rPr>
        <w:t>, vol. 18, 431, pp. 1–12.</w:t>
      </w:r>
    </w:p>
    <w:p w14:paraId="7DAB2A22" w14:textId="77777777" w:rsidR="00D74BA7" w:rsidRPr="001235B0" w:rsidRDefault="00D74BA7" w:rsidP="00D74BA7">
      <w:pPr>
        <w:pStyle w:val="Reference"/>
        <w:rPr>
          <w:spacing w:val="-4"/>
        </w:rPr>
      </w:pPr>
      <w:r w:rsidRPr="001235B0">
        <w:rPr>
          <w:spacing w:val="-4"/>
        </w:rPr>
        <w:t xml:space="preserve">HM Treasury 2011, </w:t>
      </w:r>
      <w:proofErr w:type="gramStart"/>
      <w:r w:rsidRPr="001235B0">
        <w:rPr>
          <w:i/>
          <w:iCs/>
          <w:spacing w:val="-4"/>
        </w:rPr>
        <w:t>The</w:t>
      </w:r>
      <w:proofErr w:type="gramEnd"/>
      <w:r w:rsidRPr="001235B0">
        <w:rPr>
          <w:i/>
          <w:iCs/>
          <w:spacing w:val="-4"/>
        </w:rPr>
        <w:t xml:space="preserve"> Magenta Book: Guidance for Evaluation</w:t>
      </w:r>
      <w:r w:rsidRPr="001235B0">
        <w:rPr>
          <w:spacing w:val="-4"/>
        </w:rPr>
        <w:t>, London.</w:t>
      </w:r>
    </w:p>
    <w:p w14:paraId="2A7C4CFE" w14:textId="49A600DA" w:rsidR="00D74BA7" w:rsidRPr="001235B0" w:rsidRDefault="00D74BA7" w:rsidP="00D74BA7">
      <w:pPr>
        <w:pStyle w:val="Reference"/>
        <w:rPr>
          <w:spacing w:val="-4"/>
        </w:rPr>
      </w:pPr>
      <w:r w:rsidRPr="001235B0">
        <w:rPr>
          <w:spacing w:val="-4"/>
        </w:rPr>
        <w:t xml:space="preserve">Hudson, M., Milne, M., Reynolds, P., Russell, K. and Smith, B. 2010, </w:t>
      </w:r>
      <w:proofErr w:type="spellStart"/>
      <w:r w:rsidRPr="001235B0">
        <w:rPr>
          <w:i/>
          <w:iCs/>
          <w:spacing w:val="-4"/>
        </w:rPr>
        <w:t>Te</w:t>
      </w:r>
      <w:proofErr w:type="spellEnd"/>
      <w:r w:rsidRPr="001235B0">
        <w:rPr>
          <w:i/>
          <w:iCs/>
          <w:spacing w:val="-4"/>
        </w:rPr>
        <w:t xml:space="preserve"> Ara </w:t>
      </w:r>
      <w:proofErr w:type="spellStart"/>
      <w:r w:rsidRPr="001235B0">
        <w:rPr>
          <w:i/>
          <w:iCs/>
          <w:spacing w:val="-4"/>
        </w:rPr>
        <w:t>Tika</w:t>
      </w:r>
      <w:proofErr w:type="spellEnd"/>
      <w:r w:rsidRPr="001235B0">
        <w:rPr>
          <w:i/>
          <w:iCs/>
          <w:spacing w:val="-4"/>
        </w:rPr>
        <w:t xml:space="preserve">: Guidelines for Māori Research Ethics </w:t>
      </w:r>
      <w:r w:rsidR="00941F47" w:rsidRPr="001235B0">
        <w:rPr>
          <w:i/>
          <w:iCs/>
          <w:spacing w:val="-4"/>
        </w:rPr>
        <w:t>—</w:t>
      </w:r>
      <w:r w:rsidRPr="001235B0">
        <w:rPr>
          <w:i/>
          <w:iCs/>
          <w:spacing w:val="-4"/>
        </w:rPr>
        <w:t xml:space="preserve"> A Framework for Researchers and Ethics Committee Members</w:t>
      </w:r>
      <w:r w:rsidRPr="001235B0">
        <w:rPr>
          <w:spacing w:val="-4"/>
        </w:rPr>
        <w:t>, Health Research Council of New Zealand, Auckland.</w:t>
      </w:r>
    </w:p>
    <w:p w14:paraId="7DA282D0" w14:textId="77777777" w:rsidR="00D74BA7" w:rsidRPr="001235B0" w:rsidRDefault="00D74BA7" w:rsidP="00D74BA7">
      <w:pPr>
        <w:pStyle w:val="Reference"/>
        <w:rPr>
          <w:spacing w:val="-4"/>
        </w:rPr>
      </w:pPr>
      <w:r w:rsidRPr="001235B0">
        <w:rPr>
          <w:spacing w:val="-4"/>
        </w:rPr>
        <w:t xml:space="preserve">Hudson, S. 2016, </w:t>
      </w:r>
      <w:r w:rsidRPr="001235B0">
        <w:rPr>
          <w:i/>
          <w:iCs/>
          <w:spacing w:val="-4"/>
        </w:rPr>
        <w:t>Mapping the Indigenous Program and Funding Maze</w:t>
      </w:r>
      <w:r w:rsidRPr="001235B0">
        <w:rPr>
          <w:spacing w:val="-4"/>
        </w:rPr>
        <w:t>, Research Report no. 18, Centre for Independent Studies, Sydney.</w:t>
      </w:r>
    </w:p>
    <w:p w14:paraId="5E815DE5" w14:textId="77777777" w:rsidR="00D74BA7" w:rsidRPr="001235B0" w:rsidRDefault="00D74BA7" w:rsidP="00D74BA7">
      <w:pPr>
        <w:pStyle w:val="Reference"/>
        <w:rPr>
          <w:spacing w:val="-4"/>
        </w:rPr>
      </w:pPr>
      <w:r w:rsidRPr="001235B0">
        <w:rPr>
          <w:spacing w:val="-4"/>
        </w:rPr>
        <w:t xml:space="preserve">—— 2017, </w:t>
      </w:r>
      <w:r w:rsidRPr="001235B0">
        <w:rPr>
          <w:i/>
          <w:iCs/>
          <w:spacing w:val="-4"/>
        </w:rPr>
        <w:t>Evaluating Indigenous Programs: a Toolkit for Change</w:t>
      </w:r>
      <w:r w:rsidRPr="001235B0">
        <w:rPr>
          <w:spacing w:val="-4"/>
        </w:rPr>
        <w:t>, June, 28, The Centre for Independent Studies, Sydney.</w:t>
      </w:r>
    </w:p>
    <w:p w14:paraId="23FC0F9B" w14:textId="77777777" w:rsidR="00D74BA7" w:rsidRPr="001235B0" w:rsidRDefault="00D74BA7" w:rsidP="00D74BA7">
      <w:pPr>
        <w:pStyle w:val="Reference"/>
        <w:rPr>
          <w:spacing w:val="-4"/>
        </w:rPr>
      </w:pPr>
      <w:r w:rsidRPr="001235B0">
        <w:rPr>
          <w:spacing w:val="-4"/>
        </w:rPr>
        <w:t xml:space="preserve">JCOCTG (Joint Council on Closing the Gap) 2019, </w:t>
      </w:r>
      <w:r w:rsidRPr="001235B0">
        <w:rPr>
          <w:i/>
          <w:iCs/>
          <w:spacing w:val="-4"/>
        </w:rPr>
        <w:t xml:space="preserve">Communique: First Meeting of the Joint Council on Closing </w:t>
      </w:r>
      <w:proofErr w:type="gramStart"/>
      <w:r w:rsidRPr="001235B0">
        <w:rPr>
          <w:i/>
          <w:iCs/>
          <w:spacing w:val="-4"/>
        </w:rPr>
        <w:t>The</w:t>
      </w:r>
      <w:proofErr w:type="gramEnd"/>
      <w:r w:rsidRPr="001235B0">
        <w:rPr>
          <w:i/>
          <w:iCs/>
          <w:spacing w:val="-4"/>
        </w:rPr>
        <w:t xml:space="preserve"> Gap</w:t>
      </w:r>
      <w:r w:rsidRPr="001235B0">
        <w:rPr>
          <w:spacing w:val="-4"/>
        </w:rPr>
        <w:t>, http://closingthegap.pmc.gov.au/sites/default/files/joint-council/ctg-joint-council-communique-20190327.docx (accessed 23 May 2019).</w:t>
      </w:r>
    </w:p>
    <w:p w14:paraId="17EF78FD" w14:textId="77777777" w:rsidR="00D74BA7" w:rsidRPr="001235B0" w:rsidRDefault="00D74BA7" w:rsidP="00D74BA7">
      <w:pPr>
        <w:pStyle w:val="Reference"/>
        <w:rPr>
          <w:spacing w:val="-4"/>
        </w:rPr>
      </w:pPr>
      <w:r w:rsidRPr="001235B0">
        <w:rPr>
          <w:spacing w:val="-4"/>
        </w:rPr>
        <w:t xml:space="preserve">Katz, I., Newton, B. and Bates, S. 2016, </w:t>
      </w:r>
      <w:r w:rsidRPr="001235B0">
        <w:rPr>
          <w:i/>
          <w:iCs/>
          <w:spacing w:val="-4"/>
        </w:rPr>
        <w:t>OCHRE Evaluation Plan (Overview and Stage 1)</w:t>
      </w:r>
      <w:r w:rsidRPr="001235B0">
        <w:rPr>
          <w:spacing w:val="-4"/>
        </w:rPr>
        <w:t>, Social Policy Research Centre, UNSW, Sydney.</w:t>
      </w:r>
    </w:p>
    <w:p w14:paraId="590146EB" w14:textId="77777777" w:rsidR="00D74BA7" w:rsidRPr="001235B0" w:rsidRDefault="00D74BA7" w:rsidP="00D74BA7">
      <w:pPr>
        <w:pStyle w:val="Reference"/>
        <w:rPr>
          <w:spacing w:val="-4"/>
        </w:rPr>
      </w:pPr>
      <w:r w:rsidRPr="001235B0">
        <w:rPr>
          <w:spacing w:val="-4"/>
        </w:rPr>
        <w:t xml:space="preserve">——, ——, —— and Raven, M. 2016, </w:t>
      </w:r>
      <w:r w:rsidRPr="001235B0">
        <w:rPr>
          <w:i/>
          <w:iCs/>
          <w:spacing w:val="-4"/>
        </w:rPr>
        <w:t>Evaluation Theories and Approaches; Relevance for Aboriginal Contexts</w:t>
      </w:r>
      <w:r w:rsidRPr="001235B0">
        <w:rPr>
          <w:spacing w:val="-4"/>
        </w:rPr>
        <w:t>, Social Policy Research Centre, UNSW, Sydney.</w:t>
      </w:r>
    </w:p>
    <w:p w14:paraId="210A8A60" w14:textId="77777777" w:rsidR="00D74BA7" w:rsidRPr="001235B0" w:rsidRDefault="00D74BA7" w:rsidP="00D74BA7">
      <w:pPr>
        <w:pStyle w:val="Reference"/>
        <w:rPr>
          <w:spacing w:val="-4"/>
        </w:rPr>
      </w:pPr>
      <w:proofErr w:type="spellStart"/>
      <w:r w:rsidRPr="001235B0">
        <w:rPr>
          <w:spacing w:val="-4"/>
        </w:rPr>
        <w:t>Kelaher</w:t>
      </w:r>
      <w:proofErr w:type="spellEnd"/>
      <w:r w:rsidRPr="001235B0">
        <w:rPr>
          <w:spacing w:val="-4"/>
        </w:rPr>
        <w:t xml:space="preserve">, M., Luke, J., Ferdinand, A., </w:t>
      </w:r>
      <w:proofErr w:type="spellStart"/>
      <w:r w:rsidRPr="001235B0">
        <w:rPr>
          <w:spacing w:val="-4"/>
        </w:rPr>
        <w:t>Chamravi</w:t>
      </w:r>
      <w:proofErr w:type="spellEnd"/>
      <w:r w:rsidRPr="001235B0">
        <w:rPr>
          <w:spacing w:val="-4"/>
        </w:rPr>
        <w:t xml:space="preserve">, D., Ewan, S. and </w:t>
      </w:r>
      <w:proofErr w:type="spellStart"/>
      <w:r w:rsidRPr="001235B0">
        <w:rPr>
          <w:spacing w:val="-4"/>
        </w:rPr>
        <w:t>Paradies</w:t>
      </w:r>
      <w:proofErr w:type="spellEnd"/>
      <w:r w:rsidRPr="001235B0">
        <w:rPr>
          <w:spacing w:val="-4"/>
        </w:rPr>
        <w:t xml:space="preserve">, Y. 2018, </w:t>
      </w:r>
      <w:r w:rsidRPr="001235B0">
        <w:rPr>
          <w:i/>
          <w:iCs/>
          <w:spacing w:val="-4"/>
        </w:rPr>
        <w:t>An Evaluation Framework to Improve Aboriginal and Torres Strait Islander Health</w:t>
      </w:r>
      <w:r w:rsidRPr="001235B0">
        <w:rPr>
          <w:spacing w:val="-4"/>
        </w:rPr>
        <w:t xml:space="preserve">, </w:t>
      </w:r>
      <w:proofErr w:type="spellStart"/>
      <w:r w:rsidRPr="001235B0">
        <w:rPr>
          <w:spacing w:val="-4"/>
        </w:rPr>
        <w:t>Lowitja</w:t>
      </w:r>
      <w:proofErr w:type="spellEnd"/>
      <w:r w:rsidRPr="001235B0">
        <w:rPr>
          <w:spacing w:val="-4"/>
        </w:rPr>
        <w:t xml:space="preserve"> Institute, Melbourne.</w:t>
      </w:r>
    </w:p>
    <w:p w14:paraId="2C6B5905" w14:textId="77777777" w:rsidR="00D74BA7" w:rsidRPr="001235B0" w:rsidRDefault="00D74BA7" w:rsidP="00D74BA7">
      <w:pPr>
        <w:pStyle w:val="Reference"/>
        <w:rPr>
          <w:spacing w:val="-4"/>
        </w:rPr>
      </w:pPr>
      <w:r w:rsidRPr="001235B0">
        <w:rPr>
          <w:spacing w:val="-4"/>
        </w:rPr>
        <w:t xml:space="preserve">Kimberley Land Council 2011, </w:t>
      </w:r>
      <w:r w:rsidRPr="001235B0">
        <w:rPr>
          <w:i/>
          <w:iCs/>
          <w:spacing w:val="-4"/>
        </w:rPr>
        <w:t>Kimberley Land Council Research Protocol</w:t>
      </w:r>
      <w:r w:rsidRPr="001235B0">
        <w:rPr>
          <w:spacing w:val="-4"/>
        </w:rPr>
        <w:t>, Kimberley Land Council, Broome.</w:t>
      </w:r>
    </w:p>
    <w:p w14:paraId="2D42EDFC" w14:textId="77777777" w:rsidR="00D74BA7" w:rsidRPr="001235B0" w:rsidRDefault="00D74BA7" w:rsidP="00D74BA7">
      <w:pPr>
        <w:pStyle w:val="Reference"/>
        <w:rPr>
          <w:spacing w:val="-4"/>
        </w:rPr>
      </w:pPr>
      <w:r w:rsidRPr="001235B0">
        <w:rPr>
          <w:spacing w:val="-4"/>
        </w:rPr>
        <w:lastRenderedPageBreak/>
        <w:t xml:space="preserve">LaFrance, J. and Nichols, R. 2009, </w:t>
      </w:r>
      <w:r w:rsidRPr="001235B0">
        <w:rPr>
          <w:i/>
          <w:iCs/>
          <w:spacing w:val="-4"/>
        </w:rPr>
        <w:t>Indigenous Evaluation Framework</w:t>
      </w:r>
      <w:r w:rsidRPr="001235B0">
        <w:rPr>
          <w:spacing w:val="-4"/>
        </w:rPr>
        <w:t>, American Indian Higher Education Consortium, Alexandria.</w:t>
      </w:r>
    </w:p>
    <w:p w14:paraId="7BB095DD" w14:textId="77777777" w:rsidR="00D74BA7" w:rsidRPr="001235B0" w:rsidRDefault="00D74BA7" w:rsidP="00D74BA7">
      <w:pPr>
        <w:pStyle w:val="Reference"/>
        <w:rPr>
          <w:spacing w:val="-4"/>
        </w:rPr>
      </w:pPr>
      <w:proofErr w:type="spellStart"/>
      <w:r w:rsidRPr="001235B0">
        <w:rPr>
          <w:spacing w:val="-4"/>
        </w:rPr>
        <w:t>Laycock</w:t>
      </w:r>
      <w:proofErr w:type="spellEnd"/>
      <w:r w:rsidRPr="001235B0">
        <w:rPr>
          <w:spacing w:val="-4"/>
        </w:rPr>
        <w:t xml:space="preserve">, A., Walker, D., Harrison, N. and Brands, J. 2011, </w:t>
      </w:r>
      <w:r w:rsidRPr="001235B0">
        <w:rPr>
          <w:i/>
          <w:iCs/>
          <w:spacing w:val="-4"/>
        </w:rPr>
        <w:t>Researching Indigenous Health: A Practical Guide for Researchers</w:t>
      </w:r>
      <w:r w:rsidRPr="001235B0">
        <w:rPr>
          <w:spacing w:val="-4"/>
        </w:rPr>
        <w:t xml:space="preserve">, </w:t>
      </w:r>
      <w:proofErr w:type="gramStart"/>
      <w:r w:rsidRPr="001235B0">
        <w:rPr>
          <w:spacing w:val="-4"/>
        </w:rPr>
        <w:t>The</w:t>
      </w:r>
      <w:proofErr w:type="gramEnd"/>
      <w:r w:rsidRPr="001235B0">
        <w:rPr>
          <w:spacing w:val="-4"/>
        </w:rPr>
        <w:t xml:space="preserve"> </w:t>
      </w:r>
      <w:proofErr w:type="spellStart"/>
      <w:r w:rsidRPr="001235B0">
        <w:rPr>
          <w:spacing w:val="-4"/>
        </w:rPr>
        <w:t>Lowitja</w:t>
      </w:r>
      <w:proofErr w:type="spellEnd"/>
      <w:r w:rsidRPr="001235B0">
        <w:rPr>
          <w:spacing w:val="-4"/>
        </w:rPr>
        <w:t xml:space="preserve"> Institute, Melbourne.</w:t>
      </w:r>
    </w:p>
    <w:p w14:paraId="40723DC4" w14:textId="77777777" w:rsidR="00D74BA7" w:rsidRPr="001235B0" w:rsidRDefault="00D74BA7" w:rsidP="00D74BA7">
      <w:pPr>
        <w:pStyle w:val="Reference"/>
        <w:rPr>
          <w:spacing w:val="-4"/>
        </w:rPr>
      </w:pPr>
      <w:proofErr w:type="spellStart"/>
      <w:r w:rsidRPr="001235B0">
        <w:rPr>
          <w:spacing w:val="-4"/>
        </w:rPr>
        <w:t>Markiewicz</w:t>
      </w:r>
      <w:proofErr w:type="spellEnd"/>
      <w:r w:rsidRPr="001235B0">
        <w:rPr>
          <w:spacing w:val="-4"/>
        </w:rPr>
        <w:t xml:space="preserve">, A. 2012, ‘Closing the gap through respect, relevance, reciprocity and responsibility: Issues in the evaluation of programs for Indigenous communities in Australia’, </w:t>
      </w:r>
      <w:r w:rsidRPr="001235B0">
        <w:rPr>
          <w:i/>
          <w:iCs/>
          <w:spacing w:val="-4"/>
        </w:rPr>
        <w:t>Evaluation Journal of Australasia</w:t>
      </w:r>
      <w:r w:rsidRPr="001235B0">
        <w:rPr>
          <w:spacing w:val="-4"/>
        </w:rPr>
        <w:t>, vol. 12, 1, pp. 19–25.</w:t>
      </w:r>
    </w:p>
    <w:p w14:paraId="79B8530E" w14:textId="77777777" w:rsidR="00D74BA7" w:rsidRPr="001235B0" w:rsidRDefault="00D74BA7" w:rsidP="00D74BA7">
      <w:pPr>
        <w:pStyle w:val="Reference"/>
        <w:rPr>
          <w:spacing w:val="-4"/>
        </w:rPr>
      </w:pPr>
      <w:r w:rsidRPr="001235B0">
        <w:rPr>
          <w:spacing w:val="-4"/>
        </w:rPr>
        <w:t xml:space="preserve">Ministry of Social Development 2018, </w:t>
      </w:r>
      <w:proofErr w:type="gramStart"/>
      <w:r w:rsidRPr="001235B0">
        <w:rPr>
          <w:i/>
          <w:iCs/>
          <w:spacing w:val="-4"/>
        </w:rPr>
        <w:t>Our</w:t>
      </w:r>
      <w:proofErr w:type="gramEnd"/>
      <w:r w:rsidRPr="001235B0">
        <w:rPr>
          <w:i/>
          <w:iCs/>
          <w:spacing w:val="-4"/>
        </w:rPr>
        <w:t xml:space="preserve"> role</w:t>
      </w:r>
      <w:r w:rsidRPr="001235B0">
        <w:rPr>
          <w:spacing w:val="-4"/>
        </w:rPr>
        <w:t xml:space="preserve">, </w:t>
      </w:r>
      <w:proofErr w:type="spellStart"/>
      <w:r w:rsidRPr="001235B0">
        <w:rPr>
          <w:spacing w:val="-4"/>
        </w:rPr>
        <w:t>Superu</w:t>
      </w:r>
      <w:proofErr w:type="spellEnd"/>
      <w:r w:rsidRPr="001235B0">
        <w:rPr>
          <w:spacing w:val="-4"/>
        </w:rPr>
        <w:t>, https://www.superu.govt.nz/about-us/our-role (accessed 23 May 2019).</w:t>
      </w:r>
    </w:p>
    <w:p w14:paraId="2F572B89" w14:textId="737D3A8D" w:rsidR="00D74BA7" w:rsidRPr="005F5A79" w:rsidRDefault="00D74BA7" w:rsidP="00D74BA7">
      <w:pPr>
        <w:pStyle w:val="Reference"/>
        <w:rPr>
          <w:spacing w:val="-6"/>
        </w:rPr>
      </w:pPr>
      <w:r w:rsidRPr="005F5A79">
        <w:rPr>
          <w:spacing w:val="-6"/>
        </w:rPr>
        <w:t xml:space="preserve">Muir, S. and Dean, M. 2017, </w:t>
      </w:r>
      <w:proofErr w:type="gramStart"/>
      <w:r w:rsidRPr="005F5A79">
        <w:rPr>
          <w:i/>
          <w:iCs/>
          <w:spacing w:val="-6"/>
        </w:rPr>
        <w:t>Evaluating</w:t>
      </w:r>
      <w:proofErr w:type="gramEnd"/>
      <w:r w:rsidRPr="005F5A79">
        <w:rPr>
          <w:i/>
          <w:iCs/>
          <w:spacing w:val="-6"/>
        </w:rPr>
        <w:t xml:space="preserve"> the outcomes of programs for Indigenous families and communities</w:t>
      </w:r>
      <w:r w:rsidRPr="005F5A79">
        <w:rPr>
          <w:spacing w:val="-6"/>
        </w:rPr>
        <w:t>, CFCA Practice Resource, February, https://aifs.gov.au/cfca/publications/</w:t>
      </w:r>
      <w:r w:rsidR="001235B0" w:rsidRPr="005F5A79">
        <w:rPr>
          <w:spacing w:val="-6"/>
        </w:rPr>
        <w:br/>
      </w:r>
      <w:r w:rsidRPr="005F5A79">
        <w:rPr>
          <w:spacing w:val="-6"/>
        </w:rPr>
        <w:t>evaluating-outcomes-programs-indigenous-families-and-communities (accessed 23 May 2019).</w:t>
      </w:r>
    </w:p>
    <w:p w14:paraId="3E2DEC87" w14:textId="4E1984F9" w:rsidR="00D74BA7" w:rsidRPr="001235B0" w:rsidRDefault="00D74BA7" w:rsidP="00D74BA7">
      <w:pPr>
        <w:pStyle w:val="Reference"/>
        <w:rPr>
          <w:spacing w:val="-4"/>
        </w:rPr>
      </w:pPr>
      <w:r w:rsidRPr="001235B0">
        <w:rPr>
          <w:spacing w:val="-4"/>
        </w:rPr>
        <w:t xml:space="preserve">NCC (National Constitutional Convention) 2017, </w:t>
      </w:r>
      <w:r w:rsidRPr="001235B0">
        <w:rPr>
          <w:i/>
          <w:iCs/>
          <w:spacing w:val="-4"/>
        </w:rPr>
        <w:t>Uluru Statement from the Heart</w:t>
      </w:r>
      <w:r w:rsidRPr="001235B0">
        <w:rPr>
          <w:spacing w:val="-4"/>
        </w:rPr>
        <w:t>, Referendum Council, https://www.referendumcouncil.org.au/sites/default/files/2017-05/Uluru_</w:t>
      </w:r>
      <w:r w:rsidR="001235B0">
        <w:rPr>
          <w:spacing w:val="-4"/>
        </w:rPr>
        <w:br/>
      </w:r>
      <w:r w:rsidRPr="001235B0">
        <w:rPr>
          <w:spacing w:val="-4"/>
        </w:rPr>
        <w:t>Statement_From_The_Heart_0.PDF (accessed 3 June 2019).</w:t>
      </w:r>
    </w:p>
    <w:p w14:paraId="02D7D502" w14:textId="77777777" w:rsidR="00D74BA7" w:rsidRPr="001235B0" w:rsidRDefault="00D74BA7" w:rsidP="00D74BA7">
      <w:pPr>
        <w:pStyle w:val="Reference"/>
        <w:rPr>
          <w:spacing w:val="-4"/>
        </w:rPr>
      </w:pPr>
      <w:r w:rsidRPr="001235B0">
        <w:rPr>
          <w:spacing w:val="-4"/>
        </w:rPr>
        <w:t xml:space="preserve">NHMRC (National Health and Medical Research Council) 2018, </w:t>
      </w:r>
      <w:r w:rsidRPr="001235B0">
        <w:rPr>
          <w:i/>
          <w:iCs/>
          <w:spacing w:val="-4"/>
        </w:rPr>
        <w:t>Ethical Conduct in Research with Aboriginal and Torres Strait Islander Peoples and Communities: Guidelines for Researchers and Stakeholders</w:t>
      </w:r>
      <w:r w:rsidRPr="001235B0">
        <w:rPr>
          <w:spacing w:val="-4"/>
        </w:rPr>
        <w:t>, NHMRC, Canberra.</w:t>
      </w:r>
    </w:p>
    <w:p w14:paraId="2D1358A9" w14:textId="79C2E1A8" w:rsidR="00D74BA7" w:rsidRPr="001235B0" w:rsidRDefault="00D74BA7" w:rsidP="00D74BA7">
      <w:pPr>
        <w:pStyle w:val="Reference"/>
        <w:rPr>
          <w:spacing w:val="-4"/>
        </w:rPr>
      </w:pPr>
      <w:r w:rsidRPr="001235B0">
        <w:rPr>
          <w:spacing w:val="-4"/>
        </w:rPr>
        <w:t xml:space="preserve">NSW Department of Aboriginal Affairs 2018, </w:t>
      </w:r>
      <w:r w:rsidRPr="001235B0">
        <w:rPr>
          <w:i/>
          <w:iCs/>
          <w:spacing w:val="-4"/>
        </w:rPr>
        <w:t>Weaving Knowledges: Knowledge Exchange, Co</w:t>
      </w:r>
      <w:r w:rsidR="00442E24" w:rsidRPr="001235B0">
        <w:rPr>
          <w:i/>
          <w:iCs/>
          <w:spacing w:val="-4"/>
        </w:rPr>
        <w:noBreakHyphen/>
      </w:r>
      <w:r w:rsidRPr="001235B0">
        <w:rPr>
          <w:i/>
          <w:iCs/>
          <w:spacing w:val="-4"/>
        </w:rPr>
        <w:t>design and Community</w:t>
      </w:r>
      <w:r w:rsidR="00442E24" w:rsidRPr="001235B0">
        <w:rPr>
          <w:i/>
          <w:iCs/>
          <w:spacing w:val="-4"/>
        </w:rPr>
        <w:noBreakHyphen/>
      </w:r>
      <w:r w:rsidRPr="001235B0">
        <w:rPr>
          <w:i/>
          <w:iCs/>
          <w:spacing w:val="-4"/>
        </w:rPr>
        <w:t>based Participatory Research and Evaluation in Aboriginal Communities</w:t>
      </w:r>
      <w:r w:rsidRPr="001235B0">
        <w:rPr>
          <w:spacing w:val="-4"/>
        </w:rPr>
        <w:t xml:space="preserve">, Sydney, </w:t>
      </w:r>
      <w:proofErr w:type="gramStart"/>
      <w:r w:rsidRPr="001235B0">
        <w:rPr>
          <w:spacing w:val="-4"/>
        </w:rPr>
        <w:t>https</w:t>
      </w:r>
      <w:proofErr w:type="gramEnd"/>
      <w:r w:rsidRPr="001235B0">
        <w:rPr>
          <w:spacing w:val="-4"/>
        </w:rPr>
        <w:t>://www.aboriginalaffairs.nsw.gov.au/pdfs/new-knowledge/Weaving-Knowledges-codesign-report-FINAL.pdf (accessed 1 July 2019).</w:t>
      </w:r>
    </w:p>
    <w:p w14:paraId="5A3D284F" w14:textId="77777777" w:rsidR="00D74BA7" w:rsidRPr="001235B0" w:rsidRDefault="00D74BA7" w:rsidP="00D74BA7">
      <w:pPr>
        <w:pStyle w:val="Reference"/>
        <w:rPr>
          <w:spacing w:val="-4"/>
        </w:rPr>
      </w:pPr>
      <w:r w:rsidRPr="001235B0">
        <w:rPr>
          <w:spacing w:val="-4"/>
        </w:rPr>
        <w:lastRenderedPageBreak/>
        <w:t xml:space="preserve">OECD (Organisation for Economic Co-Operation and Development) 2010, </w:t>
      </w:r>
      <w:r w:rsidRPr="001235B0">
        <w:rPr>
          <w:i/>
          <w:iCs/>
          <w:spacing w:val="-4"/>
        </w:rPr>
        <w:t>Quality Standards for Development Evaluation</w:t>
      </w:r>
      <w:r w:rsidRPr="001235B0">
        <w:rPr>
          <w:spacing w:val="-4"/>
        </w:rPr>
        <w:t>, DAC Guidelines and Reference Series, Paris.</w:t>
      </w:r>
    </w:p>
    <w:p w14:paraId="7740322B" w14:textId="7943AE40" w:rsidR="00D74BA7" w:rsidRPr="001235B0" w:rsidRDefault="00D74BA7" w:rsidP="00D74BA7">
      <w:pPr>
        <w:pStyle w:val="Reference"/>
        <w:rPr>
          <w:spacing w:val="-4"/>
        </w:rPr>
      </w:pPr>
      <w:r w:rsidRPr="001235B0">
        <w:rPr>
          <w:spacing w:val="-4"/>
        </w:rPr>
        <w:t xml:space="preserve">PC (Productivity Commission) 2010, </w:t>
      </w:r>
      <w:r w:rsidRPr="001235B0">
        <w:rPr>
          <w:i/>
          <w:iCs/>
          <w:spacing w:val="-4"/>
        </w:rPr>
        <w:t>Strengthening Evidence</w:t>
      </w:r>
      <w:r w:rsidR="00442E24" w:rsidRPr="001235B0">
        <w:rPr>
          <w:i/>
          <w:iCs/>
          <w:spacing w:val="-4"/>
        </w:rPr>
        <w:noBreakHyphen/>
      </w:r>
      <w:r w:rsidRPr="001235B0">
        <w:rPr>
          <w:i/>
          <w:iCs/>
          <w:spacing w:val="-4"/>
        </w:rPr>
        <w:t>based Policy in the Australian Federation, Volume 2: Background Paper, Productivity Commission, Canberra</w:t>
      </w:r>
      <w:r w:rsidRPr="001235B0">
        <w:rPr>
          <w:spacing w:val="-4"/>
        </w:rPr>
        <w:t xml:space="preserve">, Productivity Commission, </w:t>
      </w:r>
      <w:proofErr w:type="gramStart"/>
      <w:r w:rsidRPr="001235B0">
        <w:rPr>
          <w:spacing w:val="-4"/>
        </w:rPr>
        <w:t>Canberra</w:t>
      </w:r>
      <w:proofErr w:type="gramEnd"/>
      <w:r w:rsidRPr="001235B0">
        <w:rPr>
          <w:spacing w:val="-4"/>
        </w:rPr>
        <w:t>.</w:t>
      </w:r>
    </w:p>
    <w:p w14:paraId="74D182CB" w14:textId="6592E54D" w:rsidR="00D74BA7" w:rsidRPr="001235B0" w:rsidRDefault="000304D5" w:rsidP="00D74BA7">
      <w:pPr>
        <w:pStyle w:val="Reference"/>
        <w:rPr>
          <w:spacing w:val="-4"/>
        </w:rPr>
      </w:pPr>
      <w:r w:rsidRPr="001235B0">
        <w:rPr>
          <w:spacing w:val="-4"/>
        </w:rPr>
        <w:t xml:space="preserve">—— </w:t>
      </w:r>
      <w:r w:rsidR="00D74BA7" w:rsidRPr="001235B0">
        <w:rPr>
          <w:spacing w:val="-4"/>
        </w:rPr>
        <w:t xml:space="preserve">2013, </w:t>
      </w:r>
      <w:r w:rsidR="00D74BA7" w:rsidRPr="001235B0">
        <w:rPr>
          <w:i/>
          <w:iCs/>
          <w:spacing w:val="-4"/>
        </w:rPr>
        <w:t>Better Indigenous Policies: The Role of Evaluation</w:t>
      </w:r>
      <w:r w:rsidR="00D74BA7" w:rsidRPr="001235B0">
        <w:rPr>
          <w:spacing w:val="-4"/>
        </w:rPr>
        <w:t xml:space="preserve">, Roundtable Proceedings, </w:t>
      </w:r>
      <w:proofErr w:type="gramStart"/>
      <w:r w:rsidR="00D74BA7" w:rsidRPr="001235B0">
        <w:rPr>
          <w:spacing w:val="-4"/>
        </w:rPr>
        <w:t>Canberra</w:t>
      </w:r>
      <w:proofErr w:type="gramEnd"/>
      <w:r w:rsidR="00D74BA7" w:rsidRPr="001235B0">
        <w:rPr>
          <w:spacing w:val="-4"/>
        </w:rPr>
        <w:t>.</w:t>
      </w:r>
    </w:p>
    <w:p w14:paraId="2493AA99" w14:textId="0DAD43E3" w:rsidR="00D74BA7" w:rsidRPr="001235B0" w:rsidRDefault="000304D5" w:rsidP="00D74BA7">
      <w:pPr>
        <w:pStyle w:val="Reference"/>
        <w:rPr>
          <w:spacing w:val="-4"/>
        </w:rPr>
      </w:pPr>
      <w:r w:rsidRPr="001235B0">
        <w:rPr>
          <w:spacing w:val="-4"/>
        </w:rPr>
        <w:t xml:space="preserve">—— </w:t>
      </w:r>
      <w:r w:rsidR="00D74BA7" w:rsidRPr="001235B0">
        <w:rPr>
          <w:spacing w:val="-4"/>
        </w:rPr>
        <w:t xml:space="preserve">2015, </w:t>
      </w:r>
      <w:r w:rsidR="00D74BA7" w:rsidRPr="001235B0">
        <w:rPr>
          <w:i/>
          <w:iCs/>
          <w:spacing w:val="-4"/>
        </w:rPr>
        <w:t>National Indigenous Reform Agreement: Performance Assessment 2013</w:t>
      </w:r>
      <w:r w:rsidR="00442E24" w:rsidRPr="001235B0">
        <w:rPr>
          <w:i/>
          <w:iCs/>
          <w:spacing w:val="-4"/>
        </w:rPr>
        <w:noBreakHyphen/>
      </w:r>
      <w:r w:rsidR="00D74BA7" w:rsidRPr="001235B0">
        <w:rPr>
          <w:i/>
          <w:iCs/>
          <w:spacing w:val="-4"/>
        </w:rPr>
        <w:t>14</w:t>
      </w:r>
      <w:r w:rsidR="00D74BA7" w:rsidRPr="001235B0">
        <w:rPr>
          <w:spacing w:val="-4"/>
        </w:rPr>
        <w:t xml:space="preserve">, </w:t>
      </w:r>
      <w:r w:rsidR="001235B0">
        <w:rPr>
          <w:spacing w:val="-4"/>
        </w:rPr>
        <w:t>Canberra.</w:t>
      </w:r>
    </w:p>
    <w:p w14:paraId="50046501" w14:textId="440F2A5C" w:rsidR="00D74BA7" w:rsidRPr="001235B0" w:rsidRDefault="000304D5" w:rsidP="00D74BA7">
      <w:pPr>
        <w:pStyle w:val="Reference"/>
        <w:rPr>
          <w:spacing w:val="-4"/>
        </w:rPr>
      </w:pPr>
      <w:r w:rsidRPr="001235B0">
        <w:rPr>
          <w:spacing w:val="-4"/>
        </w:rPr>
        <w:t xml:space="preserve">—— </w:t>
      </w:r>
      <w:r w:rsidR="00D74BA7" w:rsidRPr="001235B0">
        <w:rPr>
          <w:spacing w:val="-4"/>
        </w:rPr>
        <w:t xml:space="preserve">2017, </w:t>
      </w:r>
      <w:r w:rsidR="00D74BA7" w:rsidRPr="001235B0">
        <w:rPr>
          <w:i/>
          <w:iCs/>
          <w:spacing w:val="-4"/>
        </w:rPr>
        <w:t>Shifting the Dial: 5 Year Productivity Review</w:t>
      </w:r>
      <w:r w:rsidR="00D74BA7" w:rsidRPr="001235B0">
        <w:rPr>
          <w:spacing w:val="-4"/>
        </w:rPr>
        <w:t xml:space="preserve">, </w:t>
      </w:r>
      <w:r w:rsidR="001235B0">
        <w:rPr>
          <w:spacing w:val="-4"/>
        </w:rPr>
        <w:t xml:space="preserve">Report no. </w:t>
      </w:r>
      <w:r w:rsidR="00D74BA7" w:rsidRPr="001235B0">
        <w:rPr>
          <w:spacing w:val="-4"/>
        </w:rPr>
        <w:t>84, Canberra.</w:t>
      </w:r>
    </w:p>
    <w:p w14:paraId="53A3C4C2" w14:textId="77777777" w:rsidR="00D74BA7" w:rsidRPr="001235B0" w:rsidRDefault="00D74BA7" w:rsidP="00D74BA7">
      <w:pPr>
        <w:pStyle w:val="Reference"/>
        <w:rPr>
          <w:spacing w:val="-4"/>
        </w:rPr>
      </w:pPr>
      <w:r w:rsidRPr="001235B0">
        <w:rPr>
          <w:spacing w:val="-4"/>
        </w:rPr>
        <w:t xml:space="preserve">QPC (Queensland Productivity Commission) 2017, </w:t>
      </w:r>
      <w:r w:rsidRPr="001235B0">
        <w:rPr>
          <w:i/>
          <w:iCs/>
          <w:spacing w:val="-4"/>
        </w:rPr>
        <w:t>Service Delivery in Remote and Discrete Aboriginal and Torres Strait Islander Communities</w:t>
      </w:r>
      <w:r w:rsidRPr="001235B0">
        <w:rPr>
          <w:spacing w:val="-4"/>
        </w:rPr>
        <w:t>, Brisbane.</w:t>
      </w:r>
    </w:p>
    <w:p w14:paraId="4CC027CF" w14:textId="77777777" w:rsidR="00D74BA7" w:rsidRPr="001235B0" w:rsidRDefault="00D74BA7" w:rsidP="00D74BA7">
      <w:pPr>
        <w:pStyle w:val="Reference"/>
        <w:rPr>
          <w:spacing w:val="-4"/>
        </w:rPr>
      </w:pPr>
      <w:r w:rsidRPr="001235B0">
        <w:rPr>
          <w:spacing w:val="-4"/>
        </w:rPr>
        <w:t xml:space="preserve">Queensland Government 2018, </w:t>
      </w:r>
      <w:r w:rsidRPr="001235B0">
        <w:rPr>
          <w:i/>
          <w:iCs/>
          <w:spacing w:val="-4"/>
        </w:rPr>
        <w:t>Queensland Government Response to the Queensland Productivity Commission Inquiry into Service Delivery in Remote and Discrete Aboriginal and Torres Strait Islander Communities</w:t>
      </w:r>
      <w:r w:rsidRPr="001235B0">
        <w:rPr>
          <w:spacing w:val="-4"/>
        </w:rPr>
        <w:t>, Queensland Government, Brisbane.</w:t>
      </w:r>
    </w:p>
    <w:p w14:paraId="02C4082B" w14:textId="38943E3E" w:rsidR="00D74BA7" w:rsidRPr="001235B0" w:rsidRDefault="00D74BA7" w:rsidP="00D74BA7">
      <w:pPr>
        <w:pStyle w:val="Reference"/>
        <w:rPr>
          <w:spacing w:val="-4"/>
        </w:rPr>
      </w:pPr>
      <w:r w:rsidRPr="001235B0">
        <w:rPr>
          <w:spacing w:val="-4"/>
        </w:rPr>
        <w:t xml:space="preserve">Queensland Health 2010, </w:t>
      </w:r>
      <w:r w:rsidRPr="001235B0">
        <w:rPr>
          <w:i/>
          <w:iCs/>
          <w:spacing w:val="-4"/>
        </w:rPr>
        <w:t>Aboriginal and Torres Strait Islander Cultural Capability Framework 2010</w:t>
      </w:r>
      <w:r w:rsidR="00442E24" w:rsidRPr="001235B0">
        <w:rPr>
          <w:i/>
          <w:iCs/>
          <w:spacing w:val="-4"/>
        </w:rPr>
        <w:t>–</w:t>
      </w:r>
      <w:r w:rsidRPr="001235B0">
        <w:rPr>
          <w:i/>
          <w:iCs/>
          <w:spacing w:val="-4"/>
        </w:rPr>
        <w:t>2033</w:t>
      </w:r>
      <w:r w:rsidRPr="001235B0">
        <w:rPr>
          <w:spacing w:val="-4"/>
        </w:rPr>
        <w:t>, Queensland Government, Brisbane.</w:t>
      </w:r>
    </w:p>
    <w:p w14:paraId="357A168A" w14:textId="77777777" w:rsidR="00D74BA7" w:rsidRPr="001235B0" w:rsidRDefault="00D74BA7" w:rsidP="00D74BA7">
      <w:pPr>
        <w:pStyle w:val="Reference"/>
        <w:rPr>
          <w:spacing w:val="-4"/>
        </w:rPr>
      </w:pPr>
      <w:r w:rsidRPr="001235B0">
        <w:rPr>
          <w:spacing w:val="-4"/>
        </w:rPr>
        <w:t xml:space="preserve">Rogers, P., Hawkins, A., McDonald, B., </w:t>
      </w:r>
      <w:proofErr w:type="spellStart"/>
      <w:r w:rsidRPr="001235B0">
        <w:rPr>
          <w:spacing w:val="-4"/>
        </w:rPr>
        <w:t>Macfarlan</w:t>
      </w:r>
      <w:proofErr w:type="spellEnd"/>
      <w:r w:rsidRPr="001235B0">
        <w:rPr>
          <w:spacing w:val="-4"/>
        </w:rPr>
        <w:t xml:space="preserve">, A. and Milne, C. 2015, </w:t>
      </w:r>
      <w:r w:rsidRPr="001235B0">
        <w:rPr>
          <w:i/>
          <w:iCs/>
          <w:spacing w:val="-4"/>
        </w:rPr>
        <w:t>Choosing appropriate designs and methods for impact evaluation</w:t>
      </w:r>
      <w:r w:rsidRPr="001235B0">
        <w:rPr>
          <w:spacing w:val="-4"/>
        </w:rPr>
        <w:t>, Department of Industry, Innovation and Science, Canberra.</w:t>
      </w:r>
    </w:p>
    <w:p w14:paraId="27BF7977" w14:textId="617EB0B0" w:rsidR="00D74BA7" w:rsidRPr="001235B0" w:rsidRDefault="00D74BA7" w:rsidP="00D74BA7">
      <w:pPr>
        <w:pStyle w:val="Reference"/>
        <w:rPr>
          <w:spacing w:val="-4"/>
        </w:rPr>
      </w:pPr>
      <w:r w:rsidRPr="001235B0">
        <w:rPr>
          <w:spacing w:val="-4"/>
        </w:rPr>
        <w:t>Russell</w:t>
      </w:r>
      <w:r w:rsidR="00442E24" w:rsidRPr="001235B0">
        <w:rPr>
          <w:spacing w:val="-4"/>
        </w:rPr>
        <w:noBreakHyphen/>
      </w:r>
      <w:proofErr w:type="spellStart"/>
      <w:r w:rsidRPr="001235B0">
        <w:rPr>
          <w:spacing w:val="-4"/>
        </w:rPr>
        <w:t>Mundine</w:t>
      </w:r>
      <w:proofErr w:type="spellEnd"/>
      <w:r w:rsidRPr="001235B0">
        <w:rPr>
          <w:spacing w:val="-4"/>
        </w:rPr>
        <w:t xml:space="preserve">, G. 2017, ‘The Cultural Capability of New South Wales Public Servants’, </w:t>
      </w:r>
      <w:r w:rsidRPr="001235B0">
        <w:rPr>
          <w:i/>
          <w:iCs/>
          <w:spacing w:val="-4"/>
        </w:rPr>
        <w:t xml:space="preserve">Transforming the Relationship </w:t>
      </w:r>
      <w:proofErr w:type="gramStart"/>
      <w:r w:rsidRPr="001235B0">
        <w:rPr>
          <w:i/>
          <w:iCs/>
          <w:spacing w:val="-4"/>
        </w:rPr>
        <w:t>Between</w:t>
      </w:r>
      <w:proofErr w:type="gramEnd"/>
      <w:r w:rsidRPr="001235B0">
        <w:rPr>
          <w:i/>
          <w:iCs/>
          <w:spacing w:val="-4"/>
        </w:rPr>
        <w:t xml:space="preserve"> Aboriginal Peoples and the NSW Government: Aboriginal Affairs NSW Research Agenda 2018</w:t>
      </w:r>
      <w:r w:rsidR="00442E24" w:rsidRPr="001235B0">
        <w:rPr>
          <w:i/>
          <w:iCs/>
          <w:spacing w:val="-4"/>
        </w:rPr>
        <w:t>–</w:t>
      </w:r>
      <w:r w:rsidRPr="001235B0">
        <w:rPr>
          <w:i/>
          <w:iCs/>
          <w:spacing w:val="-4"/>
        </w:rPr>
        <w:t>2023</w:t>
      </w:r>
      <w:r w:rsidRPr="001235B0">
        <w:rPr>
          <w:spacing w:val="-4"/>
        </w:rPr>
        <w:t>, Aboriginal Affairs NSW, Sydney, pp. 43–52.</w:t>
      </w:r>
    </w:p>
    <w:p w14:paraId="77A37FBA" w14:textId="77777777" w:rsidR="00D74BA7" w:rsidRPr="001235B0" w:rsidRDefault="00D74BA7" w:rsidP="00D74BA7">
      <w:pPr>
        <w:pStyle w:val="Reference"/>
        <w:rPr>
          <w:spacing w:val="-4"/>
        </w:rPr>
      </w:pPr>
      <w:proofErr w:type="spellStart"/>
      <w:r w:rsidRPr="001235B0">
        <w:rPr>
          <w:spacing w:val="-4"/>
        </w:rPr>
        <w:lastRenderedPageBreak/>
        <w:t>Scougall</w:t>
      </w:r>
      <w:proofErr w:type="spellEnd"/>
      <w:r w:rsidRPr="001235B0">
        <w:rPr>
          <w:spacing w:val="-4"/>
        </w:rPr>
        <w:t xml:space="preserve">, J. 2006, ‘Reconciling tensions between principles and practice in Indigenous evaluation’, </w:t>
      </w:r>
      <w:r w:rsidRPr="001235B0">
        <w:rPr>
          <w:i/>
          <w:iCs/>
          <w:spacing w:val="-4"/>
        </w:rPr>
        <w:t>Evaluation Journal of Australasia</w:t>
      </w:r>
      <w:r w:rsidRPr="001235B0">
        <w:rPr>
          <w:spacing w:val="-4"/>
        </w:rPr>
        <w:t>, vol. 6, 2, pp. 49–55.</w:t>
      </w:r>
    </w:p>
    <w:p w14:paraId="5667F6EF" w14:textId="77777777" w:rsidR="00D74BA7" w:rsidRPr="001235B0" w:rsidRDefault="00D74BA7" w:rsidP="00D74BA7">
      <w:pPr>
        <w:pStyle w:val="Reference"/>
        <w:rPr>
          <w:spacing w:val="-4"/>
        </w:rPr>
      </w:pPr>
      <w:r w:rsidRPr="001235B0">
        <w:rPr>
          <w:spacing w:val="-4"/>
        </w:rPr>
        <w:t xml:space="preserve">SCRGSP (Steering Committee for the Review of Government Service Provision) 2016, </w:t>
      </w:r>
      <w:r w:rsidRPr="001235B0">
        <w:rPr>
          <w:i/>
          <w:iCs/>
          <w:spacing w:val="-4"/>
        </w:rPr>
        <w:t>Overcoming Indigenous Disadvantage: Key Indicators 2016</w:t>
      </w:r>
      <w:r w:rsidRPr="001235B0">
        <w:rPr>
          <w:spacing w:val="-4"/>
        </w:rPr>
        <w:t xml:space="preserve">, Productivity Commission, </w:t>
      </w:r>
      <w:proofErr w:type="gramStart"/>
      <w:r w:rsidRPr="001235B0">
        <w:rPr>
          <w:spacing w:val="-4"/>
        </w:rPr>
        <w:t>Canberra</w:t>
      </w:r>
      <w:proofErr w:type="gramEnd"/>
      <w:r w:rsidRPr="001235B0">
        <w:rPr>
          <w:spacing w:val="-4"/>
        </w:rPr>
        <w:t>.</w:t>
      </w:r>
    </w:p>
    <w:p w14:paraId="6D790C1C" w14:textId="3B10D0CC" w:rsidR="00D74BA7" w:rsidRPr="001235B0" w:rsidRDefault="000304D5" w:rsidP="00D74BA7">
      <w:pPr>
        <w:pStyle w:val="Reference"/>
        <w:rPr>
          <w:spacing w:val="-4"/>
        </w:rPr>
      </w:pPr>
      <w:r w:rsidRPr="001235B0">
        <w:rPr>
          <w:spacing w:val="-4"/>
        </w:rPr>
        <w:t xml:space="preserve">—— </w:t>
      </w:r>
      <w:r w:rsidR="00D74BA7" w:rsidRPr="001235B0">
        <w:rPr>
          <w:spacing w:val="-4"/>
        </w:rPr>
        <w:t xml:space="preserve">2017, </w:t>
      </w:r>
      <w:r w:rsidR="00D74BA7" w:rsidRPr="001235B0">
        <w:rPr>
          <w:i/>
          <w:iCs/>
          <w:spacing w:val="-4"/>
        </w:rPr>
        <w:t>Indigenous Expenditure Report 2017</w:t>
      </w:r>
      <w:r w:rsidR="00D74BA7" w:rsidRPr="001235B0">
        <w:rPr>
          <w:spacing w:val="-4"/>
        </w:rPr>
        <w:t>, Productivity Commission, Canberra, http://www.pc.gov.au/research/ongoing/indigenous-expenditure-report/2017 (accessed 18</w:t>
      </w:r>
      <w:r w:rsidR="001235B0">
        <w:rPr>
          <w:spacing w:val="-4"/>
        </w:rPr>
        <w:t> </w:t>
      </w:r>
      <w:r w:rsidR="00D74BA7" w:rsidRPr="001235B0">
        <w:rPr>
          <w:spacing w:val="-4"/>
        </w:rPr>
        <w:t>May 2018).</w:t>
      </w:r>
    </w:p>
    <w:p w14:paraId="57D26D7B" w14:textId="6F2BDB64" w:rsidR="00D74BA7" w:rsidRPr="001235B0" w:rsidRDefault="000304D5" w:rsidP="00D74BA7">
      <w:pPr>
        <w:pStyle w:val="Reference"/>
        <w:rPr>
          <w:spacing w:val="-4"/>
        </w:rPr>
      </w:pPr>
      <w:r w:rsidRPr="001235B0">
        <w:rPr>
          <w:spacing w:val="-4"/>
        </w:rPr>
        <w:t xml:space="preserve">—— </w:t>
      </w:r>
      <w:r w:rsidR="00D74BA7" w:rsidRPr="001235B0">
        <w:rPr>
          <w:spacing w:val="-4"/>
        </w:rPr>
        <w:t xml:space="preserve">2019, </w:t>
      </w:r>
      <w:r w:rsidR="00D74BA7" w:rsidRPr="001235B0">
        <w:rPr>
          <w:i/>
          <w:iCs/>
          <w:spacing w:val="-4"/>
        </w:rPr>
        <w:t>Report on Government Services 2019</w:t>
      </w:r>
      <w:r w:rsidR="00D74BA7" w:rsidRPr="001235B0">
        <w:rPr>
          <w:spacing w:val="-4"/>
        </w:rPr>
        <w:t>, Productivity Commission, Canberra.</w:t>
      </w:r>
    </w:p>
    <w:p w14:paraId="3EBEE352" w14:textId="77777777" w:rsidR="00D74BA7" w:rsidRPr="001235B0" w:rsidRDefault="00D74BA7" w:rsidP="00D74BA7">
      <w:pPr>
        <w:pStyle w:val="Reference"/>
        <w:rPr>
          <w:spacing w:val="-4"/>
        </w:rPr>
      </w:pPr>
      <w:r w:rsidRPr="001235B0">
        <w:rPr>
          <w:spacing w:val="-4"/>
        </w:rPr>
        <w:t xml:space="preserve">Scullion, N. 2018, </w:t>
      </w:r>
      <w:r w:rsidRPr="001235B0">
        <w:rPr>
          <w:i/>
          <w:iCs/>
          <w:spacing w:val="-4"/>
        </w:rPr>
        <w:t>Minister Scullion Celebrates Aboriginal and Torres Strait Islander Business Success</w:t>
      </w:r>
      <w:r w:rsidRPr="001235B0">
        <w:rPr>
          <w:spacing w:val="-4"/>
        </w:rPr>
        <w:t>, Department of the Prime Minister and Cabinet, https://ministers.pmc.gov.au/scullion/2018/minister-scullion-celebrates-aboriginal-and-torres-strait-islander-business-success (accessed 18 June 2019).</w:t>
      </w:r>
    </w:p>
    <w:p w14:paraId="3C23A040" w14:textId="33EBB38E" w:rsidR="00D74BA7" w:rsidRPr="001235B0" w:rsidRDefault="00D74BA7" w:rsidP="00D74BA7">
      <w:pPr>
        <w:pStyle w:val="Reference"/>
        <w:rPr>
          <w:spacing w:val="-4"/>
        </w:rPr>
      </w:pPr>
      <w:r w:rsidRPr="001235B0">
        <w:rPr>
          <w:spacing w:val="-4"/>
        </w:rPr>
        <w:t>Taylor, R. 2003, ‘An Indigenous perspective on evaluations in the inter</w:t>
      </w:r>
      <w:r w:rsidR="00442E24" w:rsidRPr="001235B0">
        <w:rPr>
          <w:spacing w:val="-4"/>
        </w:rPr>
        <w:noBreakHyphen/>
      </w:r>
      <w:r w:rsidRPr="001235B0">
        <w:rPr>
          <w:spacing w:val="-4"/>
        </w:rPr>
        <w:t>cultural context: How far can one throw a Moree boomerang?</w:t>
      </w:r>
      <w:proofErr w:type="gramStart"/>
      <w:r w:rsidRPr="001235B0">
        <w:rPr>
          <w:spacing w:val="-4"/>
        </w:rPr>
        <w:t>’,</w:t>
      </w:r>
      <w:proofErr w:type="gramEnd"/>
      <w:r w:rsidRPr="001235B0">
        <w:rPr>
          <w:spacing w:val="-4"/>
        </w:rPr>
        <w:t xml:space="preserve"> </w:t>
      </w:r>
      <w:r w:rsidRPr="001235B0">
        <w:rPr>
          <w:i/>
          <w:iCs/>
          <w:spacing w:val="-4"/>
        </w:rPr>
        <w:t>Evaluation Journal of Australasia</w:t>
      </w:r>
      <w:r w:rsidRPr="001235B0">
        <w:rPr>
          <w:spacing w:val="-4"/>
        </w:rPr>
        <w:t>, vol. 3, 2, pp. 44–52.</w:t>
      </w:r>
    </w:p>
    <w:p w14:paraId="3DC77A76" w14:textId="77777777" w:rsidR="00D74BA7" w:rsidRPr="001235B0" w:rsidRDefault="00D74BA7" w:rsidP="00D74BA7">
      <w:pPr>
        <w:pStyle w:val="Reference"/>
        <w:rPr>
          <w:spacing w:val="-4"/>
        </w:rPr>
      </w:pPr>
      <w:r w:rsidRPr="001235B0">
        <w:rPr>
          <w:spacing w:val="-4"/>
        </w:rPr>
        <w:t xml:space="preserve">Tribal Epidemiology </w:t>
      </w:r>
      <w:proofErr w:type="spellStart"/>
      <w:r w:rsidRPr="001235B0">
        <w:rPr>
          <w:spacing w:val="-4"/>
        </w:rPr>
        <w:t>Centers</w:t>
      </w:r>
      <w:proofErr w:type="spellEnd"/>
      <w:r w:rsidRPr="001235B0">
        <w:rPr>
          <w:spacing w:val="-4"/>
        </w:rPr>
        <w:t xml:space="preserve"> 2013, </w:t>
      </w:r>
      <w:r w:rsidRPr="001235B0">
        <w:rPr>
          <w:i/>
          <w:iCs/>
          <w:spacing w:val="-4"/>
        </w:rPr>
        <w:t>Best Practices in American Indian &amp; Alaska Native Public Health</w:t>
      </w:r>
      <w:r w:rsidRPr="001235B0">
        <w:rPr>
          <w:spacing w:val="-4"/>
        </w:rPr>
        <w:t>, https://tribalepicenters.org/wp-content/uploads/2016/03/TEC-Best-Practices-Book-2013.pdf (accessed 23 May 2019).</w:t>
      </w:r>
    </w:p>
    <w:p w14:paraId="28B1D816" w14:textId="77777777" w:rsidR="00D74BA7" w:rsidRPr="001235B0" w:rsidRDefault="00D74BA7" w:rsidP="00D74BA7">
      <w:pPr>
        <w:pStyle w:val="Reference"/>
        <w:rPr>
          <w:spacing w:val="-4"/>
        </w:rPr>
      </w:pPr>
      <w:r w:rsidRPr="001235B0">
        <w:rPr>
          <w:spacing w:val="-4"/>
        </w:rPr>
        <w:t xml:space="preserve">—— </w:t>
      </w:r>
      <w:proofErr w:type="spellStart"/>
      <w:r w:rsidRPr="001235B0">
        <w:rPr>
          <w:spacing w:val="-4"/>
        </w:rPr>
        <w:t>nd</w:t>
      </w:r>
      <w:proofErr w:type="spellEnd"/>
      <w:r w:rsidRPr="001235B0">
        <w:rPr>
          <w:spacing w:val="-4"/>
        </w:rPr>
        <w:t xml:space="preserve">, </w:t>
      </w:r>
      <w:r w:rsidRPr="001235B0">
        <w:rPr>
          <w:i/>
          <w:iCs/>
          <w:spacing w:val="-4"/>
        </w:rPr>
        <w:t xml:space="preserve">7 Core Functions | Tribal Epidemiology </w:t>
      </w:r>
      <w:proofErr w:type="spellStart"/>
      <w:r w:rsidRPr="001235B0">
        <w:rPr>
          <w:i/>
          <w:iCs/>
          <w:spacing w:val="-4"/>
        </w:rPr>
        <w:t>Centers</w:t>
      </w:r>
      <w:proofErr w:type="spellEnd"/>
      <w:r w:rsidRPr="001235B0">
        <w:rPr>
          <w:spacing w:val="-4"/>
        </w:rPr>
        <w:t>, https://tribalepicenters.org/7-core-functions/ (accessed 14 March 2019).</w:t>
      </w:r>
    </w:p>
    <w:p w14:paraId="49BB87F4" w14:textId="77777777" w:rsidR="00D74BA7" w:rsidRPr="001235B0" w:rsidRDefault="00D74BA7" w:rsidP="00D74BA7">
      <w:pPr>
        <w:pStyle w:val="Reference"/>
        <w:rPr>
          <w:spacing w:val="-4"/>
        </w:rPr>
      </w:pPr>
      <w:r w:rsidRPr="001235B0">
        <w:rPr>
          <w:spacing w:val="-4"/>
        </w:rPr>
        <w:t xml:space="preserve">UN Permanent Forum on Indigenous Issues 2019, </w:t>
      </w:r>
      <w:r w:rsidRPr="001235B0">
        <w:rPr>
          <w:i/>
          <w:iCs/>
          <w:spacing w:val="-4"/>
        </w:rPr>
        <w:t>Permanent Forum on Indigenous Issues: Discussion on the Theme “Traditional Knowledge: Generation, Transmission and Protection”</w:t>
      </w:r>
      <w:r w:rsidRPr="001235B0">
        <w:rPr>
          <w:spacing w:val="-4"/>
        </w:rPr>
        <w:t>, 22 May, Eighteenth session, UN Economic and Social Council, New York.</w:t>
      </w:r>
    </w:p>
    <w:p w14:paraId="3A5B6BD1" w14:textId="77777777" w:rsidR="00D74BA7" w:rsidRPr="001235B0" w:rsidRDefault="00D74BA7" w:rsidP="00D74BA7">
      <w:pPr>
        <w:pStyle w:val="Reference"/>
        <w:rPr>
          <w:spacing w:val="-4"/>
        </w:rPr>
      </w:pPr>
      <w:r w:rsidRPr="001235B0">
        <w:rPr>
          <w:spacing w:val="-4"/>
        </w:rPr>
        <w:lastRenderedPageBreak/>
        <w:t xml:space="preserve">UN (United Nations) 2007, </w:t>
      </w:r>
      <w:r w:rsidRPr="001235B0">
        <w:rPr>
          <w:i/>
          <w:iCs/>
          <w:spacing w:val="-4"/>
        </w:rPr>
        <w:t>United Nations Declaration on the Rights of Indigenous Peoples</w:t>
      </w:r>
      <w:r w:rsidRPr="001235B0">
        <w:rPr>
          <w:spacing w:val="-4"/>
        </w:rPr>
        <w:t>.</w:t>
      </w:r>
    </w:p>
    <w:p w14:paraId="6043F209" w14:textId="77777777" w:rsidR="00D74BA7" w:rsidRPr="001235B0" w:rsidRDefault="00D74BA7" w:rsidP="00D74BA7">
      <w:pPr>
        <w:pStyle w:val="Reference"/>
        <w:rPr>
          <w:spacing w:val="-4"/>
        </w:rPr>
      </w:pPr>
      <w:r w:rsidRPr="001235B0">
        <w:rPr>
          <w:spacing w:val="-4"/>
        </w:rPr>
        <w:t xml:space="preserve">—— (United Nations) 2016, </w:t>
      </w:r>
      <w:r w:rsidRPr="001235B0">
        <w:rPr>
          <w:i/>
          <w:iCs/>
          <w:spacing w:val="-4"/>
        </w:rPr>
        <w:t>UNEG Norms and Standards for Evaluation</w:t>
      </w:r>
      <w:r w:rsidRPr="001235B0">
        <w:rPr>
          <w:spacing w:val="-4"/>
        </w:rPr>
        <w:t>, Evaluation Group, New York.</w:t>
      </w:r>
    </w:p>
    <w:p w14:paraId="29A93D8E" w14:textId="4CB89677" w:rsidR="00D74BA7" w:rsidRPr="001235B0" w:rsidRDefault="00D74BA7" w:rsidP="00D74BA7">
      <w:pPr>
        <w:pStyle w:val="Reference"/>
        <w:rPr>
          <w:spacing w:val="-4"/>
        </w:rPr>
      </w:pPr>
      <w:r w:rsidRPr="001235B0">
        <w:rPr>
          <w:spacing w:val="-4"/>
        </w:rPr>
        <w:t xml:space="preserve">Victorian Government 2019, </w:t>
      </w:r>
      <w:r w:rsidRPr="001235B0">
        <w:rPr>
          <w:i/>
          <w:iCs/>
          <w:spacing w:val="-4"/>
        </w:rPr>
        <w:t>Establishing an Aboriginal</w:t>
      </w:r>
      <w:r w:rsidR="00442E24" w:rsidRPr="001235B0">
        <w:rPr>
          <w:i/>
          <w:iCs/>
          <w:spacing w:val="-4"/>
        </w:rPr>
        <w:noBreakHyphen/>
      </w:r>
      <w:r w:rsidRPr="001235B0">
        <w:rPr>
          <w:i/>
          <w:iCs/>
          <w:spacing w:val="-4"/>
        </w:rPr>
        <w:t>led Evaluation and Review Mechanism in Victoria: Discussion Guide 1</w:t>
      </w:r>
      <w:r w:rsidRPr="001235B0">
        <w:rPr>
          <w:spacing w:val="-4"/>
        </w:rPr>
        <w:t>, Victorian Government, Melbourne, https://s3.ap-southeast-2.amazonaws.com/hdp.au.prod.app.vic-engage.files/7615/5004/0550/Discussion_Guide_1_Final.pdf (accessed 6 June 2019).</w:t>
      </w:r>
    </w:p>
    <w:p w14:paraId="5CAB34D8" w14:textId="77777777" w:rsidR="00D74BA7" w:rsidRPr="001235B0" w:rsidRDefault="00D74BA7" w:rsidP="00D74BA7">
      <w:pPr>
        <w:pStyle w:val="Reference"/>
        <w:rPr>
          <w:spacing w:val="-4"/>
        </w:rPr>
      </w:pPr>
      <w:proofErr w:type="spellStart"/>
      <w:r w:rsidRPr="001235B0">
        <w:rPr>
          <w:spacing w:val="-4"/>
        </w:rPr>
        <w:t>Wehipeihana</w:t>
      </w:r>
      <w:proofErr w:type="spellEnd"/>
      <w:r w:rsidRPr="001235B0">
        <w:rPr>
          <w:spacing w:val="-4"/>
        </w:rPr>
        <w:t xml:space="preserve">, N., Were, L., </w:t>
      </w:r>
      <w:proofErr w:type="spellStart"/>
      <w:r w:rsidRPr="001235B0">
        <w:rPr>
          <w:spacing w:val="-4"/>
        </w:rPr>
        <w:t>Akroyd</w:t>
      </w:r>
      <w:proofErr w:type="spellEnd"/>
      <w:r w:rsidRPr="001235B0">
        <w:rPr>
          <w:spacing w:val="-4"/>
        </w:rPr>
        <w:t xml:space="preserve">, S. and </w:t>
      </w:r>
      <w:proofErr w:type="spellStart"/>
      <w:r w:rsidRPr="001235B0">
        <w:rPr>
          <w:spacing w:val="-4"/>
        </w:rPr>
        <w:t>Lanumata</w:t>
      </w:r>
      <w:proofErr w:type="spellEnd"/>
      <w:r w:rsidRPr="001235B0">
        <w:rPr>
          <w:spacing w:val="-4"/>
        </w:rPr>
        <w:t xml:space="preserve">, T. 2016, </w:t>
      </w:r>
      <w:r w:rsidRPr="001235B0">
        <w:rPr>
          <w:i/>
          <w:iCs/>
          <w:spacing w:val="-4"/>
        </w:rPr>
        <w:t xml:space="preserve">Formative Evaluation of the </w:t>
      </w:r>
      <w:proofErr w:type="spellStart"/>
      <w:r w:rsidRPr="001235B0">
        <w:rPr>
          <w:i/>
          <w:iCs/>
          <w:spacing w:val="-4"/>
        </w:rPr>
        <w:t>Whānau</w:t>
      </w:r>
      <w:proofErr w:type="spellEnd"/>
      <w:r w:rsidRPr="001235B0">
        <w:rPr>
          <w:i/>
          <w:iCs/>
          <w:spacing w:val="-4"/>
        </w:rPr>
        <w:t xml:space="preserve"> Ora Commissioning Agency Model</w:t>
      </w:r>
      <w:r w:rsidRPr="001235B0">
        <w:rPr>
          <w:spacing w:val="-4"/>
        </w:rPr>
        <w:t xml:space="preserve">, December, </w:t>
      </w:r>
      <w:proofErr w:type="spellStart"/>
      <w:r w:rsidRPr="001235B0">
        <w:rPr>
          <w:spacing w:val="-4"/>
        </w:rPr>
        <w:t>Te</w:t>
      </w:r>
      <w:proofErr w:type="spellEnd"/>
      <w:r w:rsidRPr="001235B0">
        <w:rPr>
          <w:spacing w:val="-4"/>
        </w:rPr>
        <w:t xml:space="preserve"> </w:t>
      </w:r>
      <w:proofErr w:type="spellStart"/>
      <w:r w:rsidRPr="001235B0">
        <w:rPr>
          <w:spacing w:val="-4"/>
        </w:rPr>
        <w:t>Puni</w:t>
      </w:r>
      <w:proofErr w:type="spellEnd"/>
      <w:r w:rsidRPr="001235B0">
        <w:rPr>
          <w:spacing w:val="-4"/>
        </w:rPr>
        <w:t xml:space="preserve"> </w:t>
      </w:r>
      <w:proofErr w:type="spellStart"/>
      <w:r w:rsidRPr="001235B0">
        <w:rPr>
          <w:spacing w:val="-4"/>
        </w:rPr>
        <w:t>Kōkiri</w:t>
      </w:r>
      <w:proofErr w:type="spellEnd"/>
      <w:r w:rsidRPr="001235B0">
        <w:rPr>
          <w:spacing w:val="-4"/>
        </w:rPr>
        <w:t>, Wellington.</w:t>
      </w:r>
    </w:p>
    <w:p w14:paraId="2F172E84" w14:textId="77777777" w:rsidR="00D74BA7" w:rsidRPr="001235B0" w:rsidRDefault="00D74BA7" w:rsidP="00D74BA7">
      <w:pPr>
        <w:pStyle w:val="Reference"/>
        <w:rPr>
          <w:spacing w:val="-4"/>
        </w:rPr>
      </w:pPr>
      <w:r w:rsidRPr="001235B0">
        <w:rPr>
          <w:spacing w:val="-4"/>
        </w:rPr>
        <w:t>Williams, E., Guenther, J. and Arnott, A. 2011, ‘Beyond Informed Consent: How is it Possible to Ethically Evaluate Indigenous Programs?</w:t>
      </w:r>
      <w:proofErr w:type="gramStart"/>
      <w:r w:rsidRPr="001235B0">
        <w:rPr>
          <w:spacing w:val="-4"/>
        </w:rPr>
        <w:t>’,</w:t>
      </w:r>
      <w:proofErr w:type="gramEnd"/>
      <w:r w:rsidRPr="001235B0">
        <w:rPr>
          <w:spacing w:val="-4"/>
        </w:rPr>
        <w:t xml:space="preserve"> presented at NARU Public Seminar Series, Darwin.</w:t>
      </w:r>
    </w:p>
    <w:p w14:paraId="276054F2" w14:textId="77777777" w:rsidR="00D74BA7" w:rsidRPr="001235B0" w:rsidRDefault="00D74BA7" w:rsidP="00D74BA7">
      <w:pPr>
        <w:pStyle w:val="Reference"/>
        <w:rPr>
          <w:spacing w:val="-4"/>
        </w:rPr>
      </w:pPr>
      <w:r w:rsidRPr="001235B0">
        <w:rPr>
          <w:spacing w:val="-4"/>
        </w:rPr>
        <w:t xml:space="preserve">World Bank 2003, </w:t>
      </w:r>
      <w:r w:rsidRPr="001235B0">
        <w:rPr>
          <w:i/>
          <w:iCs/>
          <w:spacing w:val="-4"/>
        </w:rPr>
        <w:t xml:space="preserve">Independent Evaluation: Principles, Guidelines </w:t>
      </w:r>
      <w:proofErr w:type="gramStart"/>
      <w:r w:rsidRPr="001235B0">
        <w:rPr>
          <w:i/>
          <w:iCs/>
          <w:spacing w:val="-4"/>
        </w:rPr>
        <w:t>And</w:t>
      </w:r>
      <w:proofErr w:type="gramEnd"/>
      <w:r w:rsidRPr="001235B0">
        <w:rPr>
          <w:i/>
          <w:iCs/>
          <w:spacing w:val="-4"/>
        </w:rPr>
        <w:t xml:space="preserve"> Good Practice</w:t>
      </w:r>
      <w:r w:rsidRPr="001235B0">
        <w:rPr>
          <w:spacing w:val="-4"/>
        </w:rPr>
        <w:t>, Technical Note, Development Grant Facility, Washington, D.C.</w:t>
      </w:r>
    </w:p>
    <w:p w14:paraId="42FF0ED3" w14:textId="559F456E" w:rsidR="00D96622" w:rsidRPr="001235B0" w:rsidRDefault="00D96622" w:rsidP="001235B0">
      <w:pPr>
        <w:pStyle w:val="Heading2"/>
      </w:pPr>
      <w:bookmarkStart w:id="283" w:name="_Toc10734443"/>
      <w:bookmarkStart w:id="284" w:name="_Toc10735515"/>
      <w:bookmarkStart w:id="285" w:name="_Toc10794244"/>
      <w:bookmarkStart w:id="286" w:name="_Toc10795579"/>
      <w:bookmarkStart w:id="287" w:name="_Toc10795724"/>
      <w:bookmarkStart w:id="288" w:name="_Toc10802411"/>
      <w:bookmarkStart w:id="289" w:name="_Toc10808057"/>
      <w:bookmarkStart w:id="290" w:name="_Toc10808798"/>
      <w:bookmarkStart w:id="291" w:name="_Toc12272499"/>
      <w:bookmarkStart w:id="292" w:name="_Toc12363009"/>
      <w:r w:rsidRPr="001235B0">
        <w:t>Attachment: How to make a submission</w:t>
      </w:r>
      <w:bookmarkEnd w:id="283"/>
      <w:bookmarkEnd w:id="284"/>
      <w:bookmarkEnd w:id="285"/>
      <w:bookmarkEnd w:id="286"/>
      <w:bookmarkEnd w:id="287"/>
      <w:bookmarkEnd w:id="288"/>
      <w:bookmarkEnd w:id="289"/>
      <w:bookmarkEnd w:id="290"/>
      <w:bookmarkEnd w:id="291"/>
      <w:bookmarkEnd w:id="292"/>
    </w:p>
    <w:p w14:paraId="4DE88B7E" w14:textId="5EF9BAD9" w:rsidR="00D96622" w:rsidRDefault="00D96622" w:rsidP="001235B0">
      <w:pPr>
        <w:pStyle w:val="Heading3"/>
        <w:spacing w:before="280"/>
      </w:pPr>
      <w:bookmarkStart w:id="293" w:name="_Toc10710018"/>
      <w:bookmarkStart w:id="294" w:name="_Toc10734444"/>
      <w:bookmarkStart w:id="295" w:name="_Toc10735516"/>
      <w:bookmarkStart w:id="296" w:name="_Toc10794245"/>
      <w:bookmarkStart w:id="297" w:name="_Toc10795580"/>
      <w:bookmarkStart w:id="298" w:name="_Toc10795725"/>
      <w:bookmarkStart w:id="299" w:name="_Toc10802412"/>
      <w:bookmarkStart w:id="300" w:name="_Toc10808058"/>
      <w:bookmarkStart w:id="301" w:name="_Toc10808799"/>
      <w:bookmarkStart w:id="302" w:name="_Toc12272500"/>
      <w:r>
        <w:t>How to prepare a submission</w:t>
      </w:r>
      <w:bookmarkEnd w:id="293"/>
      <w:bookmarkEnd w:id="294"/>
      <w:bookmarkEnd w:id="295"/>
      <w:bookmarkEnd w:id="296"/>
      <w:bookmarkEnd w:id="297"/>
      <w:bookmarkEnd w:id="298"/>
      <w:bookmarkEnd w:id="299"/>
      <w:bookmarkEnd w:id="300"/>
      <w:bookmarkEnd w:id="301"/>
      <w:bookmarkEnd w:id="302"/>
    </w:p>
    <w:p w14:paraId="708239F8" w14:textId="005F51A7" w:rsidR="00084492" w:rsidRDefault="00084492" w:rsidP="00D96622">
      <w:pPr>
        <w:pStyle w:val="BodyText"/>
      </w:pPr>
      <w:r>
        <w:t>Written submissions</w:t>
      </w:r>
      <w:r w:rsidR="00D96622">
        <w:t xml:space="preserve"> may range from a short letter outlining your views on a particular topic to a much more substantial document covering a range of issues. Where possible, you should provide evidence, such as relevant data and documentation, to support your views.</w:t>
      </w:r>
      <w:r w:rsidR="007A23E7">
        <w:t xml:space="preserve"> Stakeholders are also </w:t>
      </w:r>
      <w:r w:rsidR="00EA375C">
        <w:t>welcome</w:t>
      </w:r>
      <w:r w:rsidR="007A23E7">
        <w:t xml:space="preserve"> to make a</w:t>
      </w:r>
      <w:r w:rsidR="00EA375C">
        <w:t>n</w:t>
      </w:r>
      <w:r w:rsidR="007A23E7">
        <w:t xml:space="preserve"> </w:t>
      </w:r>
      <w:r w:rsidR="0096202B">
        <w:t>oral</w:t>
      </w:r>
      <w:r w:rsidR="007A23E7">
        <w:t xml:space="preserve"> submission by </w:t>
      </w:r>
      <w:r w:rsidR="00EA375C">
        <w:t>calling the Commission (details below).</w:t>
      </w:r>
    </w:p>
    <w:p w14:paraId="3DA0E82D" w14:textId="77777777" w:rsidR="00D96622" w:rsidRDefault="00D96622" w:rsidP="00D96622">
      <w:pPr>
        <w:pStyle w:val="Heading4"/>
      </w:pPr>
      <w:r>
        <w:lastRenderedPageBreak/>
        <w:t>Generally</w:t>
      </w:r>
    </w:p>
    <w:p w14:paraId="60F7EC06" w14:textId="05778E00" w:rsidR="00D96622" w:rsidRDefault="00D96622" w:rsidP="00D96622">
      <w:pPr>
        <w:pStyle w:val="ListBullet"/>
      </w:pPr>
      <w:r>
        <w:t>Each submission, except for any attachment supplied in confidence, will be published on the Commission’s website shortly after receipt, and will remain there indefinitely as a public document.</w:t>
      </w:r>
    </w:p>
    <w:p w14:paraId="22268EAE" w14:textId="77777777" w:rsidR="00D96622" w:rsidRDefault="00D96622" w:rsidP="00D96622">
      <w:pPr>
        <w:pStyle w:val="ListBullet"/>
      </w:pPr>
      <w:r>
        <w:t>The Commission reserves the right to not publish material on its website that is offensive, potentially defamatory, or clearly out of scope for the inquiry or study in question.</w:t>
      </w:r>
    </w:p>
    <w:p w14:paraId="3C3C5D49" w14:textId="77777777" w:rsidR="00D96622" w:rsidRDefault="00D96622" w:rsidP="00D96622">
      <w:pPr>
        <w:pStyle w:val="Heading4"/>
      </w:pPr>
      <w:r>
        <w:t>Copyright</w:t>
      </w:r>
    </w:p>
    <w:p w14:paraId="72D39C92" w14:textId="77777777" w:rsidR="00D96622" w:rsidRDefault="00D96622" w:rsidP="00D96622">
      <w:pPr>
        <w:pStyle w:val="ListBullet"/>
      </w:pPr>
      <w:r>
        <w:t>Copyright in submissions sent to the Commission resides with the author(s), not with the Commission.</w:t>
      </w:r>
    </w:p>
    <w:p w14:paraId="3B2A9230" w14:textId="77777777" w:rsidR="00D96622" w:rsidRDefault="00D96622" w:rsidP="00D96622">
      <w:pPr>
        <w:pStyle w:val="ListBullet"/>
      </w:pPr>
      <w:r>
        <w:t>Do not send us material for which you are not the copyright owner — such as newspaper articles — you should just reference or link to this material in your submission.</w:t>
      </w:r>
    </w:p>
    <w:p w14:paraId="6B370CBB" w14:textId="77777777" w:rsidR="00D96622" w:rsidRDefault="00D96622" w:rsidP="00D96622">
      <w:pPr>
        <w:pStyle w:val="Heading4"/>
      </w:pPr>
      <w:r>
        <w:t>In confidence material</w:t>
      </w:r>
    </w:p>
    <w:p w14:paraId="39F06535" w14:textId="77777777" w:rsidR="00D96622" w:rsidRPr="009D6440" w:rsidRDefault="00D96622" w:rsidP="00D96622">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14:paraId="56678515" w14:textId="77777777" w:rsidR="00D96622" w:rsidRDefault="00D96622" w:rsidP="00D96622">
      <w:pPr>
        <w:pStyle w:val="ListBullet"/>
      </w:pPr>
      <w:r w:rsidRPr="009D6440">
        <w:t>The Commission may also request a non</w:t>
      </w:r>
      <w:r>
        <w:noBreakHyphen/>
      </w:r>
      <w:r w:rsidRPr="009D6440">
        <w:t>confidential summary of the confidential material it is given, or the reasons why a summary cannot be provided.</w:t>
      </w:r>
    </w:p>
    <w:p w14:paraId="5C6966DF" w14:textId="77777777" w:rsidR="00D96622" w:rsidRDefault="00D96622" w:rsidP="00D96622">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14:paraId="529C5699" w14:textId="77777777" w:rsidR="00D96622" w:rsidRPr="009D6440" w:rsidRDefault="00D96622" w:rsidP="00D96622">
      <w:pPr>
        <w:pStyle w:val="ListBullet"/>
      </w:pPr>
      <w:r w:rsidRPr="009D6440">
        <w:t>You are encouraged to contact the Commission for further information and advice before submitting such material.</w:t>
      </w:r>
    </w:p>
    <w:p w14:paraId="52B30066" w14:textId="77777777" w:rsidR="00D96622" w:rsidRDefault="00D96622" w:rsidP="00D96622">
      <w:pPr>
        <w:pStyle w:val="Heading4"/>
      </w:pPr>
      <w:r>
        <w:lastRenderedPageBreak/>
        <w:t>Privacy</w:t>
      </w:r>
    </w:p>
    <w:p w14:paraId="38233A92" w14:textId="77777777" w:rsidR="00D96622" w:rsidRDefault="00D96622" w:rsidP="00D96622">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a these details unless necessary.</w:t>
      </w:r>
    </w:p>
    <w:p w14:paraId="3A8AD3FF" w14:textId="77777777" w:rsidR="00D96622" w:rsidRDefault="00D96622" w:rsidP="00D96622">
      <w:pPr>
        <w:pStyle w:val="ListBullet"/>
      </w:pPr>
      <w:r>
        <w:t>You may wish to remain anonymous or use a pseudonym. Please note that, if you choose to remain anonymous or use a pseudonym, the Commission may place less weight on your submission.</w:t>
      </w:r>
    </w:p>
    <w:p w14:paraId="7AF3B91F" w14:textId="77777777" w:rsidR="00D96622" w:rsidRDefault="00D96622" w:rsidP="00D96622">
      <w:pPr>
        <w:pStyle w:val="Heading4"/>
      </w:pPr>
      <w:r>
        <w:t>Technical tips</w:t>
      </w:r>
    </w:p>
    <w:p w14:paraId="7311D225" w14:textId="1DAA0B23" w:rsidR="00D96622" w:rsidRPr="009D6440" w:rsidRDefault="00D96622" w:rsidP="00D96622">
      <w:pPr>
        <w:pStyle w:val="ListBullet"/>
      </w:pPr>
      <w:r w:rsidRPr="009D6440">
        <w:t>The Commission prefers to receive submissions as a Microsoft Word (.</w:t>
      </w:r>
      <w:proofErr w:type="spellStart"/>
      <w:r w:rsidRPr="009D6440">
        <w:t>docx</w:t>
      </w:r>
      <w:proofErr w:type="spellEnd"/>
      <w:r w:rsidRPr="009D6440">
        <w:t>) files. PDF</w:t>
      </w:r>
      <w:r w:rsidR="00941F47">
        <w:t> </w:t>
      </w:r>
      <w:r w:rsidRPr="009D6440">
        <w:t>files are acceptable if produced from a Word document or similar text based software. You may wish to research the Internet on how to make your documents more accessible or for the more technical, follow advice from Web Content Accessibility Guidelines (WCAG) 2.0</w:t>
      </w:r>
      <w:r>
        <w:t>&lt;</w:t>
      </w:r>
      <w:r w:rsidRPr="00C738C7">
        <w:t>http://www.w3.org/TR/WCAG20/</w:t>
      </w:r>
      <w:r>
        <w:t>&gt;.</w:t>
      </w:r>
    </w:p>
    <w:p w14:paraId="0DB7C743" w14:textId="77777777" w:rsidR="00D96622" w:rsidRPr="009D6440" w:rsidRDefault="00D96622" w:rsidP="00D96622">
      <w:pPr>
        <w:pStyle w:val="ListBullet"/>
      </w:pPr>
      <w:r w:rsidRPr="009D6440">
        <w:t>Do not send password protected files.</w:t>
      </w:r>
    </w:p>
    <w:p w14:paraId="5E640584" w14:textId="77777777" w:rsidR="00D96622" w:rsidRPr="009D6440" w:rsidRDefault="00D96622" w:rsidP="00D96622">
      <w:pPr>
        <w:pStyle w:val="ListBullet"/>
      </w:pPr>
      <w:r w:rsidRPr="009D6440">
        <w:t>Track changes, editing marks, hidden text and internal links should be removed from submissions.</w:t>
      </w:r>
    </w:p>
    <w:p w14:paraId="3E34914A" w14:textId="77777777" w:rsidR="00D96622" w:rsidRDefault="00D96622" w:rsidP="00D96622">
      <w:pPr>
        <w:pStyle w:val="ListBullet"/>
      </w:pPr>
      <w:r w:rsidRPr="009D6440">
        <w:t>To minimise linking problems, type the full web address (for example, http://www.referred</w:t>
      </w:r>
      <w:r>
        <w:noBreakHyphen/>
      </w:r>
      <w:r w:rsidRPr="009D6440">
        <w:t>website.com/folder/file</w:t>
      </w:r>
      <w:r>
        <w:noBreakHyphen/>
      </w:r>
      <w:r w:rsidRPr="009D6440">
        <w:t>name.html).</w:t>
      </w:r>
    </w:p>
    <w:p w14:paraId="01B692C9" w14:textId="77777777" w:rsidR="00D96622" w:rsidRDefault="00D96622" w:rsidP="00D96622">
      <w:pPr>
        <w:pStyle w:val="Heading3"/>
      </w:pPr>
      <w:bookmarkStart w:id="303" w:name="_Toc10710019"/>
      <w:bookmarkStart w:id="304" w:name="_Toc10734445"/>
      <w:bookmarkStart w:id="305" w:name="_Toc10735517"/>
      <w:bookmarkStart w:id="306" w:name="_Toc10794246"/>
      <w:bookmarkStart w:id="307" w:name="_Toc10795581"/>
      <w:bookmarkStart w:id="308" w:name="_Toc10795726"/>
      <w:bookmarkStart w:id="309" w:name="_Toc10802413"/>
      <w:bookmarkStart w:id="310" w:name="_Toc10808059"/>
      <w:bookmarkStart w:id="311" w:name="_Toc10808800"/>
      <w:bookmarkStart w:id="312" w:name="_Toc12272501"/>
      <w:r>
        <w:t>How to lodge a submission</w:t>
      </w:r>
      <w:bookmarkEnd w:id="303"/>
      <w:bookmarkEnd w:id="304"/>
      <w:bookmarkEnd w:id="305"/>
      <w:bookmarkEnd w:id="306"/>
      <w:bookmarkEnd w:id="307"/>
      <w:bookmarkEnd w:id="308"/>
      <w:bookmarkEnd w:id="309"/>
      <w:bookmarkEnd w:id="310"/>
      <w:bookmarkEnd w:id="311"/>
      <w:bookmarkEnd w:id="312"/>
    </w:p>
    <w:p w14:paraId="5429E6C2" w14:textId="5D11C65D" w:rsidR="00D96622" w:rsidRDefault="007A23E7" w:rsidP="00D96622">
      <w:pPr>
        <w:pStyle w:val="BodyText"/>
        <w:spacing w:after="240"/>
      </w:pPr>
      <w:r>
        <w:t>Written s</w:t>
      </w:r>
      <w:r w:rsidR="00D96622" w:rsidRPr="008960C8">
        <w:t>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layout."/>
      </w:tblPr>
      <w:tblGrid>
        <w:gridCol w:w="1367"/>
        <w:gridCol w:w="7422"/>
      </w:tblGrid>
      <w:tr w:rsidR="00D96622" w14:paraId="27382629" w14:textId="77777777" w:rsidTr="00551497">
        <w:trPr>
          <w:tblHeader/>
        </w:trPr>
        <w:tc>
          <w:tcPr>
            <w:tcW w:w="1384" w:type="dxa"/>
          </w:tcPr>
          <w:p w14:paraId="66869417" w14:textId="77777777" w:rsidR="00D96622" w:rsidRDefault="00D96622" w:rsidP="00551497">
            <w:pPr>
              <w:pStyle w:val="BodyText"/>
              <w:tabs>
                <w:tab w:val="left" w:pos="1701"/>
              </w:tabs>
              <w:spacing w:before="120"/>
            </w:pPr>
            <w:r>
              <w:lastRenderedPageBreak/>
              <w:t>Online*</w:t>
            </w:r>
          </w:p>
        </w:tc>
        <w:tc>
          <w:tcPr>
            <w:tcW w:w="7621" w:type="dxa"/>
          </w:tcPr>
          <w:p w14:paraId="53EC319D" w14:textId="1C9D324C" w:rsidR="00D96622" w:rsidRDefault="00ED2C65" w:rsidP="00551497">
            <w:pPr>
              <w:pStyle w:val="BodyText"/>
              <w:tabs>
                <w:tab w:val="left" w:pos="1701"/>
              </w:tabs>
              <w:spacing w:before="120"/>
            </w:pPr>
            <w:r w:rsidRPr="00D74BA7">
              <w:rPr>
                <w:rStyle w:val="Hyperlink"/>
              </w:rPr>
              <w:t>www.pc.gov.au/Indigenous-Evaluation</w:t>
            </w:r>
          </w:p>
        </w:tc>
      </w:tr>
      <w:tr w:rsidR="00D96622" w14:paraId="7A08DC16" w14:textId="77777777" w:rsidTr="00551497">
        <w:tc>
          <w:tcPr>
            <w:tcW w:w="1384" w:type="dxa"/>
          </w:tcPr>
          <w:p w14:paraId="301CA95E" w14:textId="77777777" w:rsidR="00D96622" w:rsidRDefault="00D96622" w:rsidP="00551497">
            <w:pPr>
              <w:pStyle w:val="BodyText"/>
              <w:tabs>
                <w:tab w:val="left" w:pos="1701"/>
              </w:tabs>
              <w:spacing w:before="120"/>
            </w:pPr>
            <w:r>
              <w:t>Post*</w:t>
            </w:r>
          </w:p>
        </w:tc>
        <w:tc>
          <w:tcPr>
            <w:tcW w:w="7621" w:type="dxa"/>
          </w:tcPr>
          <w:p w14:paraId="569A5702" w14:textId="740CCAD6" w:rsidR="00D96622" w:rsidRDefault="00F46E26" w:rsidP="00551497">
            <w:pPr>
              <w:pStyle w:val="BodyText"/>
              <w:tabs>
                <w:tab w:val="left" w:pos="1701"/>
              </w:tabs>
              <w:spacing w:before="120"/>
              <w:jc w:val="left"/>
            </w:pPr>
            <w:r>
              <w:t>Indigenous Evaluation Strategy</w:t>
            </w:r>
            <w:r w:rsidR="00D96622">
              <w:br/>
              <w:t>Productivity Commission</w:t>
            </w:r>
            <w:r w:rsidR="00D96622">
              <w:br/>
            </w:r>
            <w:r>
              <w:t>Locked Bag 2, Collins Street East, Melbourne VIC 8003</w:t>
            </w:r>
          </w:p>
        </w:tc>
      </w:tr>
      <w:tr w:rsidR="009E6F54" w14:paraId="75936763" w14:textId="77777777" w:rsidTr="00551497">
        <w:tc>
          <w:tcPr>
            <w:tcW w:w="1384" w:type="dxa"/>
          </w:tcPr>
          <w:p w14:paraId="2D0F3CD3" w14:textId="03630573" w:rsidR="009E6F54" w:rsidRDefault="00583A97" w:rsidP="00551497">
            <w:pPr>
              <w:pStyle w:val="BodyText"/>
              <w:tabs>
                <w:tab w:val="left" w:pos="1701"/>
              </w:tabs>
              <w:spacing w:before="120"/>
            </w:pPr>
            <w:r>
              <w:t>Phone</w:t>
            </w:r>
          </w:p>
        </w:tc>
        <w:tc>
          <w:tcPr>
            <w:tcW w:w="7621" w:type="dxa"/>
          </w:tcPr>
          <w:p w14:paraId="3C9D31FC" w14:textId="648D71F3" w:rsidR="009E6F54" w:rsidRDefault="007A23E7" w:rsidP="00551497">
            <w:pPr>
              <w:pStyle w:val="BodyText"/>
              <w:tabs>
                <w:tab w:val="left" w:pos="1701"/>
              </w:tabs>
              <w:spacing w:before="120"/>
              <w:jc w:val="left"/>
            </w:pPr>
            <w:r>
              <w:t>Please c</w:t>
            </w:r>
            <w:r w:rsidR="00583A97">
              <w:t>ontact the Administrative Officer on 03 9653 2356.</w:t>
            </w:r>
          </w:p>
        </w:tc>
      </w:tr>
    </w:tbl>
    <w:p w14:paraId="40F03B91" w14:textId="25363514" w:rsidR="00D96622" w:rsidRDefault="00D96622" w:rsidP="00D96622">
      <w:pPr>
        <w:pStyle w:val="BodyText"/>
      </w:pPr>
      <w:r>
        <w:t>*</w:t>
      </w:r>
      <w:r w:rsidRPr="007354B8">
        <w:t xml:space="preserve"> </w:t>
      </w:r>
      <w:r>
        <w:t>If you do not receive notification of receipt of your submission to the Commission, please contact the Administrative Officer</w:t>
      </w:r>
      <w:r w:rsidR="00F46E26">
        <w:t xml:space="preserve"> on 03 9653 2356</w:t>
      </w:r>
      <w:r>
        <w:t>.</w:t>
      </w:r>
    </w:p>
    <w:p w14:paraId="5B2A0204" w14:textId="77777777" w:rsidR="00D96622" w:rsidRPr="00391500" w:rsidRDefault="00D96622" w:rsidP="00D96622">
      <w:pPr>
        <w:pStyle w:val="Heading4"/>
      </w:pPr>
      <w:r w:rsidRPr="00391500">
        <w:t>Due date for submissions</w:t>
      </w:r>
    </w:p>
    <w:p w14:paraId="759C3335" w14:textId="29FC11E9" w:rsidR="00D434A0" w:rsidRDefault="00D96622" w:rsidP="00120072">
      <w:pPr>
        <w:pStyle w:val="BodyText"/>
      </w:pPr>
      <w:r>
        <w:t xml:space="preserve">Please send submissions to the Commission by </w:t>
      </w:r>
      <w:r w:rsidR="00F46E26">
        <w:t>23</w:t>
      </w:r>
      <w:r w:rsidR="00442E24">
        <w:t> </w:t>
      </w:r>
      <w:r w:rsidR="00F46E26">
        <w:t>August 2019.</w:t>
      </w:r>
    </w:p>
    <w:sectPr w:rsidR="00D434A0" w:rsidSect="00CF6976">
      <w:headerReference w:type="even" r:id="rId32"/>
      <w:headerReference w:type="default" r:id="rId33"/>
      <w:footerReference w:type="even" r:id="rId34"/>
      <w:footerReference w:type="default" r:id="rId35"/>
      <w:headerReference w:type="first" r:id="rId36"/>
      <w:footerReference w:type="first" r:id="rId37"/>
      <w:pgSz w:w="11907" w:h="16840" w:code="9"/>
      <w:pgMar w:top="1985" w:right="1304" w:bottom="1247" w:left="1814" w:header="1701" w:footer="397" w:gutter="0"/>
      <w:pgNumType w:chapSep="period"/>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6129A7" w16cid:durableId="2091197E"/>
  <w16cid:commentId w16cid:paraId="4287F6E3" w16cid:durableId="2091197F"/>
  <w16cid:commentId w16cid:paraId="498CA425" w16cid:durableId="20911980"/>
  <w16cid:commentId w16cid:paraId="3382045F" w16cid:durableId="20911981"/>
  <w16cid:commentId w16cid:paraId="1DEE7DB1" w16cid:durableId="20911982"/>
  <w16cid:commentId w16cid:paraId="5AB94D17" w16cid:durableId="20911983"/>
  <w16cid:commentId w16cid:paraId="11CF4AD1" w16cid:durableId="20911985"/>
  <w16cid:commentId w16cid:paraId="5875F723" w16cid:durableId="20911986"/>
  <w16cid:commentId w16cid:paraId="19627268" w16cid:durableId="2091197D"/>
  <w16cid:commentId w16cid:paraId="4096D0EF" w16cid:durableId="209119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3E5CA" w14:textId="77777777" w:rsidR="001C6856" w:rsidRDefault="001C6856">
      <w:r>
        <w:separator/>
      </w:r>
    </w:p>
  </w:endnote>
  <w:endnote w:type="continuationSeparator" w:id="0">
    <w:p w14:paraId="45B6ABB7" w14:textId="77777777" w:rsidR="001C6856" w:rsidRDefault="001C6856">
      <w:r>
        <w:continuationSeparator/>
      </w:r>
    </w:p>
  </w:endnote>
  <w:endnote w:type="continuationNotice" w:id="1">
    <w:p w14:paraId="2267B9D7" w14:textId="77777777" w:rsidR="001C6856" w:rsidRDefault="001C6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C6856" w14:paraId="4FF026C8" w14:textId="77777777" w:rsidTr="005F48ED">
      <w:trPr>
        <w:trHeight w:hRule="exact" w:val="567"/>
      </w:trPr>
      <w:tc>
        <w:tcPr>
          <w:tcW w:w="510" w:type="dxa"/>
        </w:tcPr>
        <w:p w14:paraId="41DF2499" w14:textId="77777777" w:rsidR="001C6856" w:rsidRDefault="001C6856">
          <w:pPr>
            <w:pStyle w:val="Footer"/>
            <w:ind w:right="360" w:firstLine="360"/>
          </w:pPr>
        </w:p>
      </w:tc>
      <w:tc>
        <w:tcPr>
          <w:tcW w:w="7767" w:type="dxa"/>
        </w:tcPr>
        <w:p w14:paraId="288BDB59" w14:textId="77777777" w:rsidR="001C6856" w:rsidRPr="00BA5B14" w:rsidRDefault="001C6856"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CD5F7B">
            <w:rPr>
              <w:rFonts w:cs="Arial"/>
            </w:rPr>
            <w:t>Indigenous Evaluation Strategy - Issues Paper</w:t>
          </w:r>
          <w:r w:rsidRPr="00BA5B14">
            <w:rPr>
              <w:rFonts w:cs="Arial"/>
            </w:rPr>
            <w:fldChar w:fldCharType="end"/>
          </w:r>
        </w:p>
      </w:tc>
      <w:tc>
        <w:tcPr>
          <w:tcW w:w="510" w:type="dxa"/>
        </w:tcPr>
        <w:p w14:paraId="186AB00A" w14:textId="77777777" w:rsidR="001C6856" w:rsidRPr="00A24443" w:rsidRDefault="001C6856">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25</w:t>
          </w:r>
          <w:r w:rsidRPr="0045783B">
            <w:rPr>
              <w:rStyle w:val="PageNumber"/>
              <w:caps w:val="0"/>
            </w:rPr>
            <w:fldChar w:fldCharType="end"/>
          </w:r>
        </w:p>
      </w:tc>
    </w:tr>
  </w:tbl>
  <w:p w14:paraId="4B0C9482" w14:textId="77777777" w:rsidR="001C6856" w:rsidRDefault="001C6856">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07470" w14:textId="77777777" w:rsidR="001C6856" w:rsidRDefault="001C6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C6856" w14:paraId="4340436F" w14:textId="77777777" w:rsidTr="005F48ED">
      <w:trPr>
        <w:trHeight w:hRule="exact" w:val="567"/>
      </w:trPr>
      <w:tc>
        <w:tcPr>
          <w:tcW w:w="510" w:type="dxa"/>
        </w:tcPr>
        <w:p w14:paraId="19A8CD42" w14:textId="77777777" w:rsidR="001C6856" w:rsidRPr="00A24443" w:rsidRDefault="001C685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D5F7B">
            <w:rPr>
              <w:rStyle w:val="PageNumber"/>
              <w:caps w:val="0"/>
              <w:noProof/>
            </w:rPr>
            <w:t>18</w:t>
          </w:r>
          <w:r w:rsidRPr="00A24443">
            <w:rPr>
              <w:rStyle w:val="PageNumber"/>
              <w:caps w:val="0"/>
            </w:rPr>
            <w:fldChar w:fldCharType="end"/>
          </w:r>
        </w:p>
      </w:tc>
      <w:tc>
        <w:tcPr>
          <w:tcW w:w="7767" w:type="dxa"/>
        </w:tcPr>
        <w:p w14:paraId="7BD7297A" w14:textId="6C580574" w:rsidR="001C6856" w:rsidRPr="0013739A" w:rsidRDefault="001C6856" w:rsidP="0013739A">
          <w:pPr>
            <w:pStyle w:val="Footer"/>
            <w:rPr>
              <w:rFonts w:cs="Arial"/>
            </w:rPr>
          </w:pPr>
          <w:r>
            <w:rPr>
              <w:rFonts w:cs="Arial"/>
            </w:rPr>
            <w:t>INDIGENOUS EVALUATION STRATEGY</w:t>
          </w:r>
        </w:p>
      </w:tc>
      <w:tc>
        <w:tcPr>
          <w:tcW w:w="510" w:type="dxa"/>
        </w:tcPr>
        <w:p w14:paraId="085F189F" w14:textId="77777777" w:rsidR="001C6856" w:rsidRDefault="001C6856" w:rsidP="0019293B">
          <w:pPr>
            <w:pStyle w:val="Footer"/>
          </w:pPr>
        </w:p>
      </w:tc>
    </w:tr>
  </w:tbl>
  <w:p w14:paraId="1367D198" w14:textId="77777777" w:rsidR="001C6856" w:rsidRDefault="001C6856"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C6856" w14:paraId="53B5CDDA" w14:textId="77777777" w:rsidTr="005F48ED">
      <w:trPr>
        <w:trHeight w:hRule="exact" w:val="567"/>
      </w:trPr>
      <w:tc>
        <w:tcPr>
          <w:tcW w:w="510" w:type="dxa"/>
        </w:tcPr>
        <w:p w14:paraId="0BCEAB26" w14:textId="77777777" w:rsidR="001C6856" w:rsidRDefault="001C6856">
          <w:pPr>
            <w:pStyle w:val="Footer"/>
            <w:ind w:right="360" w:firstLine="360"/>
          </w:pPr>
        </w:p>
      </w:tc>
      <w:tc>
        <w:tcPr>
          <w:tcW w:w="7767" w:type="dxa"/>
        </w:tcPr>
        <w:p w14:paraId="1288972A" w14:textId="75913CBD" w:rsidR="001C6856" w:rsidRPr="00BA5B14" w:rsidRDefault="001C6856" w:rsidP="0013739A">
          <w:pPr>
            <w:pStyle w:val="Footer"/>
            <w:jc w:val="right"/>
            <w:rPr>
              <w:rFonts w:cs="Arial"/>
            </w:rPr>
          </w:pPr>
          <w:r>
            <w:rPr>
              <w:rFonts w:cs="Arial"/>
            </w:rPr>
            <w:t>Issues Paper</w:t>
          </w:r>
        </w:p>
      </w:tc>
      <w:tc>
        <w:tcPr>
          <w:tcW w:w="510" w:type="dxa"/>
        </w:tcPr>
        <w:p w14:paraId="1D1BEF3E" w14:textId="77777777" w:rsidR="001C6856" w:rsidRPr="00A24443" w:rsidRDefault="001C685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D5F7B">
            <w:rPr>
              <w:rStyle w:val="PageNumber"/>
              <w:caps w:val="0"/>
              <w:noProof/>
            </w:rPr>
            <w:t>19</w:t>
          </w:r>
          <w:r w:rsidRPr="00A24443">
            <w:rPr>
              <w:rStyle w:val="PageNumber"/>
              <w:caps w:val="0"/>
            </w:rPr>
            <w:fldChar w:fldCharType="end"/>
          </w:r>
        </w:p>
      </w:tc>
    </w:tr>
  </w:tbl>
  <w:p w14:paraId="00A7041C" w14:textId="77777777" w:rsidR="001C6856" w:rsidRDefault="001C6856">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1CF57" w14:textId="77777777" w:rsidR="001C6856" w:rsidRDefault="001C685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D5F7B">
      <w:rPr>
        <w:rStyle w:val="PageNumber"/>
        <w:noProof/>
      </w:rPr>
      <w:t>26</w:t>
    </w:r>
    <w:r>
      <w:rPr>
        <w:rStyle w:val="PageNumber"/>
      </w:rPr>
      <w:fldChar w:fldCharType="end"/>
    </w:r>
  </w:p>
  <w:p w14:paraId="750C4280" w14:textId="77777777" w:rsidR="001C6856" w:rsidRDefault="001C6856">
    <w:pPr>
      <w:pStyle w:val="FooterEnd"/>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06E09" w14:textId="77777777" w:rsidR="001C6856" w:rsidRDefault="001C685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74338">
      <w:rPr>
        <w:rStyle w:val="PageNumber"/>
        <w:noProof/>
      </w:rPr>
      <w:t>25</w:t>
    </w:r>
    <w:r>
      <w:rPr>
        <w:rStyle w:val="PageNumber"/>
      </w:rPr>
      <w:fldChar w:fldCharType="end"/>
    </w:r>
  </w:p>
  <w:p w14:paraId="6A7A3CE3" w14:textId="77777777" w:rsidR="001C6856" w:rsidRDefault="001C6856">
    <w:pPr>
      <w:pStyle w:val="Footer"/>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C6856" w14:paraId="7F520A74" w14:textId="77777777" w:rsidTr="005F48ED">
      <w:trPr>
        <w:trHeight w:hRule="exact" w:val="567"/>
      </w:trPr>
      <w:tc>
        <w:tcPr>
          <w:tcW w:w="510" w:type="dxa"/>
        </w:tcPr>
        <w:p w14:paraId="715E4FCF" w14:textId="77777777" w:rsidR="001C6856" w:rsidRPr="00A24443" w:rsidRDefault="001C685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D5F7B">
            <w:rPr>
              <w:rStyle w:val="PageNumber"/>
              <w:caps w:val="0"/>
              <w:noProof/>
            </w:rPr>
            <w:t>46</w:t>
          </w:r>
          <w:r w:rsidRPr="00A24443">
            <w:rPr>
              <w:rStyle w:val="PageNumber"/>
              <w:caps w:val="0"/>
            </w:rPr>
            <w:fldChar w:fldCharType="end"/>
          </w:r>
        </w:p>
      </w:tc>
      <w:tc>
        <w:tcPr>
          <w:tcW w:w="7767" w:type="dxa"/>
        </w:tcPr>
        <w:p w14:paraId="4A289FC0" w14:textId="77777777" w:rsidR="001C6856" w:rsidRPr="0013739A" w:rsidRDefault="001C6856" w:rsidP="0013739A">
          <w:pPr>
            <w:pStyle w:val="Footer"/>
            <w:rPr>
              <w:rFonts w:cs="Arial"/>
            </w:rPr>
          </w:pPr>
          <w:r>
            <w:rPr>
              <w:rFonts w:cs="Arial"/>
            </w:rPr>
            <w:t>INDIGENOUS EVALUATION STRATEGY</w:t>
          </w:r>
        </w:p>
      </w:tc>
      <w:tc>
        <w:tcPr>
          <w:tcW w:w="510" w:type="dxa"/>
        </w:tcPr>
        <w:p w14:paraId="138563CA" w14:textId="77777777" w:rsidR="001C6856" w:rsidRDefault="001C6856" w:rsidP="0019293B">
          <w:pPr>
            <w:pStyle w:val="Footer"/>
          </w:pPr>
        </w:p>
      </w:tc>
    </w:tr>
  </w:tbl>
  <w:p w14:paraId="09680EB0" w14:textId="77777777" w:rsidR="001C6856" w:rsidRDefault="001C6856"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C6856" w14:paraId="7BDA7B05" w14:textId="77777777" w:rsidTr="005F48ED">
      <w:trPr>
        <w:trHeight w:hRule="exact" w:val="567"/>
      </w:trPr>
      <w:tc>
        <w:tcPr>
          <w:tcW w:w="510" w:type="dxa"/>
        </w:tcPr>
        <w:p w14:paraId="67438A85" w14:textId="77777777" w:rsidR="001C6856" w:rsidRDefault="001C6856">
          <w:pPr>
            <w:pStyle w:val="Footer"/>
            <w:ind w:right="360" w:firstLine="360"/>
          </w:pPr>
        </w:p>
      </w:tc>
      <w:tc>
        <w:tcPr>
          <w:tcW w:w="7767" w:type="dxa"/>
        </w:tcPr>
        <w:p w14:paraId="2525FB77" w14:textId="47CE7C42" w:rsidR="001C6856" w:rsidRPr="00BA5B14" w:rsidRDefault="001C6856" w:rsidP="006F4EF8">
          <w:pPr>
            <w:pStyle w:val="Footer"/>
            <w:tabs>
              <w:tab w:val="left" w:pos="680"/>
              <w:tab w:val="right" w:pos="7761"/>
            </w:tabs>
            <w:jc w:val="right"/>
            <w:rPr>
              <w:rFonts w:cs="Arial"/>
            </w:rPr>
          </w:pPr>
          <w:r>
            <w:rPr>
              <w:rFonts w:cs="Arial"/>
            </w:rPr>
            <w:t>Issues Paper</w:t>
          </w:r>
        </w:p>
      </w:tc>
      <w:tc>
        <w:tcPr>
          <w:tcW w:w="510" w:type="dxa"/>
        </w:tcPr>
        <w:p w14:paraId="3D2CD454" w14:textId="77777777" w:rsidR="001C6856" w:rsidRPr="00A24443" w:rsidRDefault="001C685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D5F7B">
            <w:rPr>
              <w:rStyle w:val="PageNumber"/>
              <w:caps w:val="0"/>
              <w:noProof/>
            </w:rPr>
            <w:t>45</w:t>
          </w:r>
          <w:r w:rsidRPr="00A24443">
            <w:rPr>
              <w:rStyle w:val="PageNumber"/>
              <w:caps w:val="0"/>
            </w:rPr>
            <w:fldChar w:fldCharType="end"/>
          </w:r>
        </w:p>
      </w:tc>
    </w:tr>
  </w:tbl>
  <w:p w14:paraId="07AE6D39" w14:textId="77777777" w:rsidR="001C6856" w:rsidRDefault="001C6856">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C6856" w14:paraId="4206A3E5" w14:textId="77777777" w:rsidTr="005F48ED">
      <w:trPr>
        <w:trHeight w:hRule="exact" w:val="567"/>
      </w:trPr>
      <w:tc>
        <w:tcPr>
          <w:tcW w:w="510" w:type="dxa"/>
        </w:tcPr>
        <w:p w14:paraId="4A212139" w14:textId="77777777" w:rsidR="001C6856" w:rsidRPr="00A24443" w:rsidRDefault="001C6856"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D5F7B">
            <w:rPr>
              <w:rStyle w:val="PageNumber"/>
              <w:caps w:val="0"/>
              <w:noProof/>
            </w:rPr>
            <w:t>54</w:t>
          </w:r>
          <w:r w:rsidRPr="00A24443">
            <w:rPr>
              <w:rStyle w:val="PageNumber"/>
              <w:caps w:val="0"/>
            </w:rPr>
            <w:fldChar w:fldCharType="end"/>
          </w:r>
        </w:p>
      </w:tc>
      <w:tc>
        <w:tcPr>
          <w:tcW w:w="7767" w:type="dxa"/>
        </w:tcPr>
        <w:p w14:paraId="7404709B" w14:textId="17C58C39" w:rsidR="001C6856" w:rsidRPr="0013739A" w:rsidRDefault="006F4EF8" w:rsidP="0013739A">
          <w:pPr>
            <w:pStyle w:val="Footer"/>
            <w:rPr>
              <w:rFonts w:cs="Arial"/>
            </w:rPr>
          </w:pPr>
          <w:bookmarkStart w:id="313" w:name="DraftReportEven"/>
          <w:bookmarkEnd w:id="313"/>
          <w:r>
            <w:rPr>
              <w:rFonts w:cs="Arial"/>
            </w:rPr>
            <w:t>INDIGENOUS EVALUATION STRATEGY</w:t>
          </w:r>
        </w:p>
      </w:tc>
      <w:tc>
        <w:tcPr>
          <w:tcW w:w="510" w:type="dxa"/>
        </w:tcPr>
        <w:p w14:paraId="6960CF89" w14:textId="77777777" w:rsidR="001C6856" w:rsidRDefault="001C6856" w:rsidP="0019293B">
          <w:pPr>
            <w:pStyle w:val="Footer"/>
          </w:pPr>
        </w:p>
      </w:tc>
    </w:tr>
  </w:tbl>
  <w:p w14:paraId="13CA5BF7" w14:textId="77777777" w:rsidR="001C6856" w:rsidRDefault="001C6856" w:rsidP="0019293B">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C6856" w14:paraId="10CB6B24" w14:textId="77777777" w:rsidTr="005F48ED">
      <w:trPr>
        <w:trHeight w:hRule="exact" w:val="567"/>
      </w:trPr>
      <w:tc>
        <w:tcPr>
          <w:tcW w:w="510" w:type="dxa"/>
        </w:tcPr>
        <w:p w14:paraId="31CBEC03" w14:textId="77777777" w:rsidR="001C6856" w:rsidRDefault="001C6856">
          <w:pPr>
            <w:pStyle w:val="Footer"/>
            <w:ind w:right="360" w:firstLine="360"/>
          </w:pPr>
        </w:p>
      </w:tc>
      <w:tc>
        <w:tcPr>
          <w:tcW w:w="7767" w:type="dxa"/>
        </w:tcPr>
        <w:p w14:paraId="772A0554" w14:textId="638AC1D1" w:rsidR="001C6856" w:rsidRPr="00BA5B14" w:rsidRDefault="001C6856" w:rsidP="0013739A">
          <w:pPr>
            <w:pStyle w:val="Footer"/>
            <w:jc w:val="right"/>
            <w:rPr>
              <w:rFonts w:cs="Arial"/>
            </w:rPr>
          </w:pPr>
          <w:r>
            <w:rPr>
              <w:rFonts w:cs="Arial"/>
            </w:rPr>
            <w:t>Issues Paper</w:t>
          </w:r>
          <w:bookmarkStart w:id="314" w:name="DraftReportOdd"/>
          <w:bookmarkEnd w:id="314"/>
        </w:p>
      </w:tc>
      <w:tc>
        <w:tcPr>
          <w:tcW w:w="510" w:type="dxa"/>
        </w:tcPr>
        <w:p w14:paraId="221B6A58" w14:textId="77777777" w:rsidR="001C6856" w:rsidRPr="00A24443" w:rsidRDefault="001C6856">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D5F7B">
            <w:rPr>
              <w:rStyle w:val="PageNumber"/>
              <w:caps w:val="0"/>
              <w:noProof/>
            </w:rPr>
            <w:t>53</w:t>
          </w:r>
          <w:r w:rsidRPr="00A24443">
            <w:rPr>
              <w:rStyle w:val="PageNumber"/>
              <w:caps w:val="0"/>
            </w:rPr>
            <w:fldChar w:fldCharType="end"/>
          </w:r>
        </w:p>
      </w:tc>
    </w:tr>
  </w:tbl>
  <w:p w14:paraId="66DA0E41" w14:textId="77777777" w:rsidR="001C6856" w:rsidRDefault="001C685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ABD06" w14:textId="77777777" w:rsidR="001C6856" w:rsidRDefault="001C6856">
      <w:r>
        <w:separator/>
      </w:r>
    </w:p>
  </w:footnote>
  <w:footnote w:type="continuationSeparator" w:id="0">
    <w:p w14:paraId="19291F36" w14:textId="77777777" w:rsidR="001C6856" w:rsidRDefault="001C6856">
      <w:r>
        <w:continuationSeparator/>
      </w:r>
    </w:p>
  </w:footnote>
  <w:footnote w:type="continuationNotice" w:id="1">
    <w:p w14:paraId="49AC9532" w14:textId="77777777" w:rsidR="001C6856" w:rsidRDefault="001C6856"/>
  </w:footnote>
  <w:footnote w:id="2">
    <w:p w14:paraId="49D57FAA" w14:textId="77EEB824" w:rsidR="001C6856" w:rsidRDefault="001C6856" w:rsidP="003C4E6A">
      <w:pPr>
        <w:pStyle w:val="FootnoteText"/>
      </w:pPr>
      <w:r w:rsidRPr="00032C62">
        <w:rPr>
          <w:rStyle w:val="FootnoteReference"/>
        </w:rPr>
        <w:footnoteRef/>
      </w:r>
      <w:r>
        <w:tab/>
        <w:t xml:space="preserve">This is the most recent year for which data on this expenditure breakdown are available. Data are obtained from the 2017 </w:t>
      </w:r>
      <w:r w:rsidRPr="00856465">
        <w:rPr>
          <w:i/>
        </w:rPr>
        <w:t>Indigenous Expenditure Report</w:t>
      </w:r>
      <w:r>
        <w:t xml:space="preserve"> </w:t>
      </w:r>
      <w:r w:rsidRPr="003E41C3">
        <w:rPr>
          <w:szCs w:val="24"/>
        </w:rPr>
        <w:t>(SCRGSP 2017)</w:t>
      </w:r>
      <w:r>
        <w:rPr>
          <w:rFonts w:eastAsiaTheme="majorEastAsia"/>
          <w:iCs/>
        </w:rPr>
        <w:t>.</w:t>
      </w:r>
    </w:p>
  </w:footnote>
  <w:footnote w:id="3">
    <w:p w14:paraId="62A66F8A" w14:textId="59AF200F" w:rsidR="001C6856" w:rsidRDefault="001C6856">
      <w:pPr>
        <w:pStyle w:val="FootnoteText"/>
      </w:pPr>
      <w:r w:rsidRPr="00032C62">
        <w:rPr>
          <w:rStyle w:val="FootnoteReference"/>
        </w:rPr>
        <w:footnoteRef/>
      </w:r>
      <w:r>
        <w:tab/>
        <w:t>Direct expenditure refers to government expenditure on services and payments provided directly to individuals, non</w:t>
      </w:r>
      <w:r>
        <w:noBreakHyphen/>
        <w:t xml:space="preserve">government service providers and local governments. Transfers between governments (indirect expenditure) are excluded to avoid double counting </w:t>
      </w:r>
      <w:r w:rsidRPr="003E41C3">
        <w:rPr>
          <w:szCs w:val="24"/>
        </w:rPr>
        <w:t>(SCRGSP 2017)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C6856" w14:paraId="6178CC10" w14:textId="77777777">
      <w:tc>
        <w:tcPr>
          <w:tcW w:w="6634" w:type="dxa"/>
          <w:tcBorders>
            <w:top w:val="single" w:sz="6" w:space="0" w:color="auto"/>
          </w:tcBorders>
        </w:tcPr>
        <w:p w14:paraId="7ACF698B" w14:textId="77777777" w:rsidR="001C6856" w:rsidRDefault="001C6856" w:rsidP="00E669E2">
          <w:pPr>
            <w:pStyle w:val="HeaderOdd"/>
          </w:pPr>
        </w:p>
      </w:tc>
      <w:tc>
        <w:tcPr>
          <w:tcW w:w="2155" w:type="dxa"/>
          <w:tcBorders>
            <w:top w:val="single" w:sz="24" w:space="0" w:color="auto"/>
          </w:tcBorders>
        </w:tcPr>
        <w:p w14:paraId="021101A5" w14:textId="77777777" w:rsidR="001C6856" w:rsidRDefault="001C6856" w:rsidP="00E669E2">
          <w:pPr>
            <w:pStyle w:val="HeaderOdd"/>
          </w:pPr>
        </w:p>
      </w:tc>
    </w:tr>
  </w:tbl>
  <w:p w14:paraId="723979B3" w14:textId="77777777" w:rsidR="001C6856" w:rsidRDefault="001C6856" w:rsidP="00E669E2">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C6856" w14:paraId="179EC025" w14:textId="77777777">
      <w:tc>
        <w:tcPr>
          <w:tcW w:w="2155" w:type="dxa"/>
          <w:tcBorders>
            <w:top w:val="single" w:sz="24" w:space="0" w:color="auto"/>
          </w:tcBorders>
        </w:tcPr>
        <w:p w14:paraId="12BC2B88" w14:textId="77777777" w:rsidR="001C6856" w:rsidRDefault="001C6856" w:rsidP="0019293B">
          <w:pPr>
            <w:pStyle w:val="HeaderEven"/>
          </w:pPr>
        </w:p>
      </w:tc>
      <w:tc>
        <w:tcPr>
          <w:tcW w:w="6634" w:type="dxa"/>
          <w:tcBorders>
            <w:top w:val="single" w:sz="6" w:space="0" w:color="auto"/>
          </w:tcBorders>
        </w:tcPr>
        <w:p w14:paraId="57DEC0FE" w14:textId="77777777" w:rsidR="001C6856" w:rsidRDefault="001C6856" w:rsidP="0019293B">
          <w:pPr>
            <w:pStyle w:val="HeaderEven"/>
          </w:pPr>
        </w:p>
      </w:tc>
    </w:tr>
  </w:tbl>
  <w:p w14:paraId="403E062F" w14:textId="77777777" w:rsidR="001C6856" w:rsidRDefault="001C6856" w:rsidP="0019293B">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C6856" w14:paraId="62539458" w14:textId="77777777">
      <w:tc>
        <w:tcPr>
          <w:tcW w:w="6634" w:type="dxa"/>
          <w:tcBorders>
            <w:top w:val="single" w:sz="6" w:space="0" w:color="auto"/>
          </w:tcBorders>
        </w:tcPr>
        <w:p w14:paraId="1CB851C8" w14:textId="77777777" w:rsidR="001C6856" w:rsidRDefault="001C6856" w:rsidP="00E669E2">
          <w:pPr>
            <w:pStyle w:val="HeaderOdd"/>
          </w:pPr>
        </w:p>
      </w:tc>
      <w:tc>
        <w:tcPr>
          <w:tcW w:w="2155" w:type="dxa"/>
          <w:tcBorders>
            <w:top w:val="single" w:sz="24" w:space="0" w:color="auto"/>
          </w:tcBorders>
        </w:tcPr>
        <w:p w14:paraId="662631DB" w14:textId="77777777" w:rsidR="001C6856" w:rsidRDefault="001C6856" w:rsidP="00E669E2">
          <w:pPr>
            <w:pStyle w:val="HeaderOdd"/>
          </w:pPr>
        </w:p>
      </w:tc>
    </w:tr>
  </w:tbl>
  <w:p w14:paraId="3B6EE27D" w14:textId="77777777" w:rsidR="001C6856" w:rsidRDefault="001C6856" w:rsidP="00E669E2">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5163E" w14:textId="77777777" w:rsidR="001C6856" w:rsidRDefault="001C68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C6856" w14:paraId="7FD5285E" w14:textId="77777777">
      <w:tc>
        <w:tcPr>
          <w:tcW w:w="2155" w:type="dxa"/>
          <w:tcBorders>
            <w:top w:val="single" w:sz="24" w:space="0" w:color="auto"/>
          </w:tcBorders>
        </w:tcPr>
        <w:p w14:paraId="32CED9CF" w14:textId="77777777" w:rsidR="001C6856" w:rsidRDefault="001C6856" w:rsidP="0019293B">
          <w:pPr>
            <w:pStyle w:val="HeaderEven"/>
          </w:pPr>
        </w:p>
      </w:tc>
      <w:tc>
        <w:tcPr>
          <w:tcW w:w="6634" w:type="dxa"/>
          <w:tcBorders>
            <w:top w:val="single" w:sz="6" w:space="0" w:color="auto"/>
          </w:tcBorders>
        </w:tcPr>
        <w:p w14:paraId="4486BB88" w14:textId="77777777" w:rsidR="001C6856" w:rsidRDefault="001C6856" w:rsidP="0019293B">
          <w:pPr>
            <w:pStyle w:val="HeaderEven"/>
          </w:pPr>
        </w:p>
      </w:tc>
    </w:tr>
  </w:tbl>
  <w:p w14:paraId="2F7AA7CB" w14:textId="77777777" w:rsidR="001C6856" w:rsidRDefault="001C6856"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C6856" w14:paraId="67DC1CDE" w14:textId="77777777">
      <w:tc>
        <w:tcPr>
          <w:tcW w:w="6634" w:type="dxa"/>
          <w:tcBorders>
            <w:top w:val="single" w:sz="6" w:space="0" w:color="auto"/>
          </w:tcBorders>
        </w:tcPr>
        <w:p w14:paraId="51D451A2" w14:textId="77777777" w:rsidR="001C6856" w:rsidRDefault="001C6856" w:rsidP="00E669E2">
          <w:pPr>
            <w:pStyle w:val="HeaderOdd"/>
          </w:pPr>
        </w:p>
      </w:tc>
      <w:tc>
        <w:tcPr>
          <w:tcW w:w="2155" w:type="dxa"/>
          <w:tcBorders>
            <w:top w:val="single" w:sz="24" w:space="0" w:color="auto"/>
          </w:tcBorders>
        </w:tcPr>
        <w:p w14:paraId="594C86CC" w14:textId="77777777" w:rsidR="001C6856" w:rsidRDefault="001C6856" w:rsidP="00E669E2">
          <w:pPr>
            <w:pStyle w:val="HeaderOdd"/>
          </w:pPr>
        </w:p>
      </w:tc>
    </w:tr>
  </w:tbl>
  <w:p w14:paraId="024C6BE9" w14:textId="77777777" w:rsidR="001C6856" w:rsidRDefault="001C6856"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C6856" w14:paraId="6D702544" w14:textId="77777777">
      <w:tc>
        <w:tcPr>
          <w:tcW w:w="2155" w:type="dxa"/>
          <w:tcBorders>
            <w:top w:val="single" w:sz="24" w:space="0" w:color="auto"/>
          </w:tcBorders>
        </w:tcPr>
        <w:p w14:paraId="4DF480D9" w14:textId="77777777" w:rsidR="001C6856" w:rsidRDefault="001C6856">
          <w:pPr>
            <w:pStyle w:val="HeaderEven"/>
          </w:pPr>
        </w:p>
      </w:tc>
      <w:tc>
        <w:tcPr>
          <w:tcW w:w="6634" w:type="dxa"/>
          <w:tcBorders>
            <w:top w:val="single" w:sz="6" w:space="0" w:color="auto"/>
          </w:tcBorders>
        </w:tcPr>
        <w:p w14:paraId="37FFDA8D" w14:textId="77777777" w:rsidR="001C6856" w:rsidRDefault="001C6856">
          <w:pPr>
            <w:pStyle w:val="HeaderEven"/>
          </w:pPr>
        </w:p>
      </w:tc>
    </w:tr>
  </w:tbl>
  <w:p w14:paraId="02529DF0" w14:textId="77777777" w:rsidR="001C6856" w:rsidRDefault="001C6856">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C6856" w14:paraId="60AD5740" w14:textId="77777777">
      <w:tc>
        <w:tcPr>
          <w:tcW w:w="6634" w:type="dxa"/>
          <w:tcBorders>
            <w:top w:val="single" w:sz="6" w:space="0" w:color="auto"/>
          </w:tcBorders>
        </w:tcPr>
        <w:p w14:paraId="29C7C792" w14:textId="77777777" w:rsidR="001C6856" w:rsidRDefault="001C6856">
          <w:pPr>
            <w:pStyle w:val="HeaderOdd"/>
          </w:pPr>
        </w:p>
      </w:tc>
      <w:tc>
        <w:tcPr>
          <w:tcW w:w="2155" w:type="dxa"/>
          <w:tcBorders>
            <w:top w:val="single" w:sz="24" w:space="0" w:color="auto"/>
          </w:tcBorders>
        </w:tcPr>
        <w:p w14:paraId="703FF52B" w14:textId="77777777" w:rsidR="001C6856" w:rsidRDefault="001C6856">
          <w:pPr>
            <w:pStyle w:val="HeaderOdd"/>
          </w:pPr>
        </w:p>
      </w:tc>
    </w:tr>
  </w:tbl>
  <w:p w14:paraId="74F909FD" w14:textId="77777777" w:rsidR="001C6856" w:rsidRDefault="001C6856">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D0578" w14:textId="77777777" w:rsidR="001C6856" w:rsidRDefault="001C6856">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FB068" w14:textId="77777777" w:rsidR="001C6856" w:rsidRDefault="001C6856">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C6856" w14:paraId="2DDD2F9E" w14:textId="77777777">
      <w:tc>
        <w:tcPr>
          <w:tcW w:w="2155" w:type="dxa"/>
          <w:tcBorders>
            <w:top w:val="single" w:sz="24" w:space="0" w:color="auto"/>
          </w:tcBorders>
        </w:tcPr>
        <w:p w14:paraId="01133087" w14:textId="77777777" w:rsidR="001C6856" w:rsidRDefault="001C6856" w:rsidP="0019293B">
          <w:pPr>
            <w:pStyle w:val="HeaderEven"/>
          </w:pPr>
        </w:p>
      </w:tc>
      <w:tc>
        <w:tcPr>
          <w:tcW w:w="6634" w:type="dxa"/>
          <w:tcBorders>
            <w:top w:val="single" w:sz="6" w:space="0" w:color="auto"/>
          </w:tcBorders>
        </w:tcPr>
        <w:p w14:paraId="58396B7B" w14:textId="77777777" w:rsidR="001C6856" w:rsidRDefault="001C6856" w:rsidP="0019293B">
          <w:pPr>
            <w:pStyle w:val="HeaderEven"/>
          </w:pPr>
        </w:p>
      </w:tc>
    </w:tr>
  </w:tbl>
  <w:p w14:paraId="19788EDA" w14:textId="77777777" w:rsidR="001C6856" w:rsidRDefault="001C6856" w:rsidP="0019293B">
    <w:pPr>
      <w:pStyle w:val="HeaderEnd"/>
    </w:pPr>
  </w:p>
  <w:p w14:paraId="45E86FBB" w14:textId="77777777" w:rsidR="001C6856" w:rsidRDefault="001C6856">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C6856" w14:paraId="71A0CE58" w14:textId="77777777">
      <w:tc>
        <w:tcPr>
          <w:tcW w:w="6634" w:type="dxa"/>
          <w:tcBorders>
            <w:top w:val="single" w:sz="6" w:space="0" w:color="auto"/>
          </w:tcBorders>
        </w:tcPr>
        <w:p w14:paraId="2406434D" w14:textId="77777777" w:rsidR="001C6856" w:rsidRDefault="001C6856" w:rsidP="00E669E2">
          <w:pPr>
            <w:pStyle w:val="HeaderOdd"/>
          </w:pPr>
        </w:p>
      </w:tc>
      <w:tc>
        <w:tcPr>
          <w:tcW w:w="2155" w:type="dxa"/>
          <w:tcBorders>
            <w:top w:val="single" w:sz="24" w:space="0" w:color="auto"/>
          </w:tcBorders>
        </w:tcPr>
        <w:p w14:paraId="1F509640" w14:textId="77777777" w:rsidR="001C6856" w:rsidRDefault="001C6856" w:rsidP="00E669E2">
          <w:pPr>
            <w:pStyle w:val="HeaderOdd"/>
          </w:pPr>
        </w:p>
      </w:tc>
    </w:tr>
  </w:tbl>
  <w:p w14:paraId="4118EF8B" w14:textId="77777777" w:rsidR="001C6856" w:rsidRDefault="001C6856"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0F34F9"/>
    <w:multiLevelType w:val="hybridMultilevel"/>
    <w:tmpl w:val="D13EAD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8396831"/>
    <w:multiLevelType w:val="hybridMultilevel"/>
    <w:tmpl w:val="E9D2B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763BD0"/>
    <w:multiLevelType w:val="hybridMultilevel"/>
    <w:tmpl w:val="AF5849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lvlText w:val=""/>
      <w:lvlJc w:val="left"/>
      <w:pPr>
        <w:tabs>
          <w:tab w:val="num" w:pos="284"/>
        </w:tabs>
        <w:ind w:left="284" w:hanging="284"/>
      </w:pPr>
      <w:rPr>
        <w:rFonts w:ascii="Symbol" w:hAnsi="Symbol" w:hint="default"/>
        <w:sz w:val="18"/>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CCA7AFC"/>
    <w:multiLevelType w:val="hybridMultilevel"/>
    <w:tmpl w:val="947CD816"/>
    <w:lvl w:ilvl="0" w:tplc="0FA209E2">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15:restartNumberingAfterBreak="0">
    <w:nsid w:val="64DB7E6D"/>
    <w:multiLevelType w:val="multilevel"/>
    <w:tmpl w:val="CBE21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C32AD"/>
    <w:multiLevelType w:val="hybridMultilevel"/>
    <w:tmpl w:val="94D094FE"/>
    <w:lvl w:ilvl="0" w:tplc="6D9EA50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BC6EC3"/>
    <w:multiLevelType w:val="multilevel"/>
    <w:tmpl w:val="13C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3"/>
  </w:num>
  <w:num w:numId="3">
    <w:abstractNumId w:val="17"/>
  </w:num>
  <w:num w:numId="4">
    <w:abstractNumId w:val="4"/>
  </w:num>
  <w:num w:numId="5">
    <w:abstractNumId w:val="23"/>
  </w:num>
  <w:num w:numId="6">
    <w:abstractNumId w:val="19"/>
  </w:num>
  <w:num w:numId="7">
    <w:abstractNumId w:val="8"/>
  </w:num>
  <w:num w:numId="8">
    <w:abstractNumId w:val="18"/>
  </w:num>
  <w:num w:numId="9">
    <w:abstractNumId w:val="7"/>
  </w:num>
  <w:num w:numId="10">
    <w:abstractNumId w:val="6"/>
  </w:num>
  <w:num w:numId="11">
    <w:abstractNumId w:val="13"/>
  </w:num>
  <w:num w:numId="12">
    <w:abstractNumId w:val="14"/>
  </w:num>
  <w:num w:numId="13">
    <w:abstractNumId w:val="5"/>
  </w:num>
  <w:num w:numId="14">
    <w:abstractNumId w:val="20"/>
  </w:num>
  <w:num w:numId="15">
    <w:abstractNumId w:val="27"/>
  </w:num>
  <w:num w:numId="16">
    <w:abstractNumId w:val="16"/>
  </w:num>
  <w:num w:numId="17">
    <w:abstractNumId w:val="28"/>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2"/>
  </w:num>
  <w:num w:numId="21">
    <w:abstractNumId w:val="10"/>
  </w:num>
  <w:num w:numId="22">
    <w:abstractNumId w:val="1"/>
  </w:num>
  <w:num w:numId="23">
    <w:abstractNumId w:val="9"/>
  </w:num>
  <w:num w:numId="24">
    <w:abstractNumId w:val="25"/>
  </w:num>
  <w:num w:numId="25">
    <w:abstractNumId w:val="11"/>
  </w:num>
  <w:num w:numId="26">
    <w:abstractNumId w:val="17"/>
  </w:num>
  <w:num w:numId="27">
    <w:abstractNumId w:val="15"/>
  </w:num>
  <w:num w:numId="28">
    <w:abstractNumId w:val="26"/>
  </w:num>
  <w:num w:numId="29">
    <w:abstractNumId w:val="24"/>
  </w:num>
  <w:num w:numId="30">
    <w:abstractNumId w:val="12"/>
  </w:num>
  <w:num w:numId="31">
    <w:abstractNumId w:val="21"/>
  </w:num>
  <w:num w:numId="32">
    <w:abstractNumId w:val="17"/>
  </w:num>
  <w:num w:numId="33">
    <w:abstractNumId w:val="7"/>
    <w:lvlOverride w:ilvl="0">
      <w:startOverride w:val="3"/>
    </w:lvlOverride>
  </w:num>
  <w:num w:numId="34">
    <w:abstractNumId w:val="17"/>
  </w:num>
  <w:num w:numId="35">
    <w:abstractNumId w:val="17"/>
  </w:num>
  <w:num w:numId="36">
    <w:abstractNumId w:val="17"/>
  </w:num>
  <w:num w:numId="37">
    <w:abstractNumId w:val="17"/>
  </w:num>
  <w:num w:numId="3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0C46AE"/>
    <w:rsid w:val="00000C71"/>
    <w:rsid w:val="00001757"/>
    <w:rsid w:val="000018B2"/>
    <w:rsid w:val="00001EC1"/>
    <w:rsid w:val="00001F58"/>
    <w:rsid w:val="00002D30"/>
    <w:rsid w:val="0000319F"/>
    <w:rsid w:val="0000346E"/>
    <w:rsid w:val="00003A84"/>
    <w:rsid w:val="00003AA4"/>
    <w:rsid w:val="00003D51"/>
    <w:rsid w:val="00004FBA"/>
    <w:rsid w:val="00005162"/>
    <w:rsid w:val="000077A7"/>
    <w:rsid w:val="00007D03"/>
    <w:rsid w:val="00007F14"/>
    <w:rsid w:val="00010044"/>
    <w:rsid w:val="0001024F"/>
    <w:rsid w:val="000105F6"/>
    <w:rsid w:val="00010675"/>
    <w:rsid w:val="0001081E"/>
    <w:rsid w:val="000109D2"/>
    <w:rsid w:val="0001116C"/>
    <w:rsid w:val="000113B8"/>
    <w:rsid w:val="00011763"/>
    <w:rsid w:val="00011DF2"/>
    <w:rsid w:val="0001226B"/>
    <w:rsid w:val="00012B72"/>
    <w:rsid w:val="00012BD7"/>
    <w:rsid w:val="000131C2"/>
    <w:rsid w:val="00013253"/>
    <w:rsid w:val="00015AEB"/>
    <w:rsid w:val="0001664D"/>
    <w:rsid w:val="00016A32"/>
    <w:rsid w:val="00016B53"/>
    <w:rsid w:val="00016BCB"/>
    <w:rsid w:val="00016ED0"/>
    <w:rsid w:val="00017E19"/>
    <w:rsid w:val="00020403"/>
    <w:rsid w:val="00021914"/>
    <w:rsid w:val="00022078"/>
    <w:rsid w:val="000227D5"/>
    <w:rsid w:val="00022A5B"/>
    <w:rsid w:val="00022C2F"/>
    <w:rsid w:val="00022F06"/>
    <w:rsid w:val="00023039"/>
    <w:rsid w:val="00023D9C"/>
    <w:rsid w:val="0002426A"/>
    <w:rsid w:val="00024439"/>
    <w:rsid w:val="000245AA"/>
    <w:rsid w:val="00024A6F"/>
    <w:rsid w:val="00024D4A"/>
    <w:rsid w:val="00025541"/>
    <w:rsid w:val="00025572"/>
    <w:rsid w:val="000268FA"/>
    <w:rsid w:val="00026BAB"/>
    <w:rsid w:val="00027415"/>
    <w:rsid w:val="00027C57"/>
    <w:rsid w:val="00027CFA"/>
    <w:rsid w:val="0003013F"/>
    <w:rsid w:val="00030331"/>
    <w:rsid w:val="000304D5"/>
    <w:rsid w:val="00030E3C"/>
    <w:rsid w:val="000311B8"/>
    <w:rsid w:val="0003145E"/>
    <w:rsid w:val="00032005"/>
    <w:rsid w:val="000324D2"/>
    <w:rsid w:val="0003261A"/>
    <w:rsid w:val="00032C62"/>
    <w:rsid w:val="00032CE3"/>
    <w:rsid w:val="00032E2E"/>
    <w:rsid w:val="0003349A"/>
    <w:rsid w:val="00033A9E"/>
    <w:rsid w:val="0003484B"/>
    <w:rsid w:val="000349D9"/>
    <w:rsid w:val="0003542B"/>
    <w:rsid w:val="00035FF5"/>
    <w:rsid w:val="0003647F"/>
    <w:rsid w:val="0003664B"/>
    <w:rsid w:val="00036783"/>
    <w:rsid w:val="00036B2E"/>
    <w:rsid w:val="000373F5"/>
    <w:rsid w:val="000406CC"/>
    <w:rsid w:val="0004111F"/>
    <w:rsid w:val="000419DB"/>
    <w:rsid w:val="0004224A"/>
    <w:rsid w:val="00042562"/>
    <w:rsid w:val="000425BF"/>
    <w:rsid w:val="00044247"/>
    <w:rsid w:val="00044477"/>
    <w:rsid w:val="00044A16"/>
    <w:rsid w:val="00044B2D"/>
    <w:rsid w:val="00044FCE"/>
    <w:rsid w:val="000464DB"/>
    <w:rsid w:val="00046678"/>
    <w:rsid w:val="00046AFC"/>
    <w:rsid w:val="000470CB"/>
    <w:rsid w:val="00047693"/>
    <w:rsid w:val="00047809"/>
    <w:rsid w:val="00047B0E"/>
    <w:rsid w:val="00050099"/>
    <w:rsid w:val="00050B6C"/>
    <w:rsid w:val="00050D0A"/>
    <w:rsid w:val="00050E7F"/>
    <w:rsid w:val="00050ECC"/>
    <w:rsid w:val="00051030"/>
    <w:rsid w:val="000516FC"/>
    <w:rsid w:val="0005196F"/>
    <w:rsid w:val="000519FB"/>
    <w:rsid w:val="00051EFB"/>
    <w:rsid w:val="000524FC"/>
    <w:rsid w:val="0005280C"/>
    <w:rsid w:val="00052E23"/>
    <w:rsid w:val="00053462"/>
    <w:rsid w:val="00054400"/>
    <w:rsid w:val="0005473A"/>
    <w:rsid w:val="0005485D"/>
    <w:rsid w:val="00054F49"/>
    <w:rsid w:val="0005506B"/>
    <w:rsid w:val="00055077"/>
    <w:rsid w:val="00055794"/>
    <w:rsid w:val="00055A57"/>
    <w:rsid w:val="00055BA7"/>
    <w:rsid w:val="00055EB8"/>
    <w:rsid w:val="00055EFB"/>
    <w:rsid w:val="0005637C"/>
    <w:rsid w:val="000565B3"/>
    <w:rsid w:val="00056D70"/>
    <w:rsid w:val="000574BD"/>
    <w:rsid w:val="00057C59"/>
    <w:rsid w:val="00060710"/>
    <w:rsid w:val="00060A96"/>
    <w:rsid w:val="00060AC5"/>
    <w:rsid w:val="000621EB"/>
    <w:rsid w:val="000621FD"/>
    <w:rsid w:val="00062BE9"/>
    <w:rsid w:val="00062EC7"/>
    <w:rsid w:val="00063189"/>
    <w:rsid w:val="0006578A"/>
    <w:rsid w:val="00065945"/>
    <w:rsid w:val="00065AD5"/>
    <w:rsid w:val="00065BCC"/>
    <w:rsid w:val="0006669E"/>
    <w:rsid w:val="00066EF2"/>
    <w:rsid w:val="000677BF"/>
    <w:rsid w:val="00067A1B"/>
    <w:rsid w:val="00070304"/>
    <w:rsid w:val="00070667"/>
    <w:rsid w:val="00070799"/>
    <w:rsid w:val="00070ABB"/>
    <w:rsid w:val="00070BA2"/>
    <w:rsid w:val="00070E51"/>
    <w:rsid w:val="0007150B"/>
    <w:rsid w:val="00071A62"/>
    <w:rsid w:val="000724FB"/>
    <w:rsid w:val="00072AB2"/>
    <w:rsid w:val="00072B21"/>
    <w:rsid w:val="00072F78"/>
    <w:rsid w:val="00073704"/>
    <w:rsid w:val="00073960"/>
    <w:rsid w:val="000746EE"/>
    <w:rsid w:val="0007476E"/>
    <w:rsid w:val="00074CA5"/>
    <w:rsid w:val="00074DF8"/>
    <w:rsid w:val="00074F69"/>
    <w:rsid w:val="00074F72"/>
    <w:rsid w:val="00074F98"/>
    <w:rsid w:val="00075283"/>
    <w:rsid w:val="00075936"/>
    <w:rsid w:val="00075F44"/>
    <w:rsid w:val="00075FD7"/>
    <w:rsid w:val="00076A2B"/>
    <w:rsid w:val="00076AFE"/>
    <w:rsid w:val="00076C96"/>
    <w:rsid w:val="00076DE8"/>
    <w:rsid w:val="000774D7"/>
    <w:rsid w:val="00077A19"/>
    <w:rsid w:val="00080032"/>
    <w:rsid w:val="000802FD"/>
    <w:rsid w:val="00080339"/>
    <w:rsid w:val="0008065C"/>
    <w:rsid w:val="00080C78"/>
    <w:rsid w:val="00080EE3"/>
    <w:rsid w:val="00081E13"/>
    <w:rsid w:val="00081F4D"/>
    <w:rsid w:val="00082471"/>
    <w:rsid w:val="00082E27"/>
    <w:rsid w:val="00084492"/>
    <w:rsid w:val="00085681"/>
    <w:rsid w:val="00085EC2"/>
    <w:rsid w:val="00086497"/>
    <w:rsid w:val="00086F94"/>
    <w:rsid w:val="00087553"/>
    <w:rsid w:val="00090395"/>
    <w:rsid w:val="00090A75"/>
    <w:rsid w:val="00090EFB"/>
    <w:rsid w:val="0009199C"/>
    <w:rsid w:val="00091A52"/>
    <w:rsid w:val="00092034"/>
    <w:rsid w:val="00092C02"/>
    <w:rsid w:val="000934A0"/>
    <w:rsid w:val="000938F5"/>
    <w:rsid w:val="00093B2C"/>
    <w:rsid w:val="00093FAB"/>
    <w:rsid w:val="00094013"/>
    <w:rsid w:val="00094A2C"/>
    <w:rsid w:val="00095663"/>
    <w:rsid w:val="000959DC"/>
    <w:rsid w:val="00095AF6"/>
    <w:rsid w:val="00095B00"/>
    <w:rsid w:val="000966D3"/>
    <w:rsid w:val="00096E55"/>
    <w:rsid w:val="0009783E"/>
    <w:rsid w:val="00097A35"/>
    <w:rsid w:val="00097E6F"/>
    <w:rsid w:val="000A028A"/>
    <w:rsid w:val="000A0C0C"/>
    <w:rsid w:val="000A0C22"/>
    <w:rsid w:val="000A0F40"/>
    <w:rsid w:val="000A120A"/>
    <w:rsid w:val="000A121E"/>
    <w:rsid w:val="000A2148"/>
    <w:rsid w:val="000A221F"/>
    <w:rsid w:val="000A275F"/>
    <w:rsid w:val="000A2978"/>
    <w:rsid w:val="000A2FF6"/>
    <w:rsid w:val="000A3259"/>
    <w:rsid w:val="000A33B8"/>
    <w:rsid w:val="000A4C20"/>
    <w:rsid w:val="000A5052"/>
    <w:rsid w:val="000A557A"/>
    <w:rsid w:val="000A669F"/>
    <w:rsid w:val="000A6AFA"/>
    <w:rsid w:val="000A6CAB"/>
    <w:rsid w:val="000A7087"/>
    <w:rsid w:val="000A736F"/>
    <w:rsid w:val="000A7441"/>
    <w:rsid w:val="000A7DA7"/>
    <w:rsid w:val="000B00C1"/>
    <w:rsid w:val="000B052B"/>
    <w:rsid w:val="000B06CA"/>
    <w:rsid w:val="000B0E49"/>
    <w:rsid w:val="000B1022"/>
    <w:rsid w:val="000B1239"/>
    <w:rsid w:val="000B15E9"/>
    <w:rsid w:val="000B189A"/>
    <w:rsid w:val="000B22B1"/>
    <w:rsid w:val="000B2755"/>
    <w:rsid w:val="000B2821"/>
    <w:rsid w:val="000B4230"/>
    <w:rsid w:val="000B45FF"/>
    <w:rsid w:val="000B463F"/>
    <w:rsid w:val="000B4C0F"/>
    <w:rsid w:val="000B4C73"/>
    <w:rsid w:val="000B5A81"/>
    <w:rsid w:val="000B5E76"/>
    <w:rsid w:val="000B601B"/>
    <w:rsid w:val="000B642F"/>
    <w:rsid w:val="000B6E6F"/>
    <w:rsid w:val="000B72CD"/>
    <w:rsid w:val="000B7532"/>
    <w:rsid w:val="000B77CE"/>
    <w:rsid w:val="000B7CC9"/>
    <w:rsid w:val="000B7F84"/>
    <w:rsid w:val="000C0246"/>
    <w:rsid w:val="000C08AB"/>
    <w:rsid w:val="000C0DC7"/>
    <w:rsid w:val="000C10E7"/>
    <w:rsid w:val="000C143E"/>
    <w:rsid w:val="000C15CB"/>
    <w:rsid w:val="000C180C"/>
    <w:rsid w:val="000C1C00"/>
    <w:rsid w:val="000C1C88"/>
    <w:rsid w:val="000C207E"/>
    <w:rsid w:val="000C2253"/>
    <w:rsid w:val="000C27D0"/>
    <w:rsid w:val="000C2B27"/>
    <w:rsid w:val="000C39FF"/>
    <w:rsid w:val="000C3B65"/>
    <w:rsid w:val="000C459C"/>
    <w:rsid w:val="000C46AE"/>
    <w:rsid w:val="000C4A53"/>
    <w:rsid w:val="000C4B5F"/>
    <w:rsid w:val="000C6426"/>
    <w:rsid w:val="000C7BDA"/>
    <w:rsid w:val="000C7EA2"/>
    <w:rsid w:val="000D0363"/>
    <w:rsid w:val="000D038D"/>
    <w:rsid w:val="000D0B2A"/>
    <w:rsid w:val="000D0C03"/>
    <w:rsid w:val="000D0E3D"/>
    <w:rsid w:val="000D120B"/>
    <w:rsid w:val="000D1236"/>
    <w:rsid w:val="000D1EBE"/>
    <w:rsid w:val="000D1FE3"/>
    <w:rsid w:val="000D2FAC"/>
    <w:rsid w:val="000D3778"/>
    <w:rsid w:val="000D3A57"/>
    <w:rsid w:val="000D4116"/>
    <w:rsid w:val="000D41E9"/>
    <w:rsid w:val="000D4B39"/>
    <w:rsid w:val="000D524D"/>
    <w:rsid w:val="000D539A"/>
    <w:rsid w:val="000D5646"/>
    <w:rsid w:val="000D5703"/>
    <w:rsid w:val="000D5C3C"/>
    <w:rsid w:val="000D5EFE"/>
    <w:rsid w:val="000D6986"/>
    <w:rsid w:val="000D6C69"/>
    <w:rsid w:val="000D706B"/>
    <w:rsid w:val="000D7561"/>
    <w:rsid w:val="000D7AEB"/>
    <w:rsid w:val="000D7DED"/>
    <w:rsid w:val="000E03DD"/>
    <w:rsid w:val="000E04EB"/>
    <w:rsid w:val="000E0AE6"/>
    <w:rsid w:val="000E1110"/>
    <w:rsid w:val="000E1132"/>
    <w:rsid w:val="000E1341"/>
    <w:rsid w:val="000E1CA3"/>
    <w:rsid w:val="000E2156"/>
    <w:rsid w:val="000E2A4B"/>
    <w:rsid w:val="000E345B"/>
    <w:rsid w:val="000E350B"/>
    <w:rsid w:val="000E3C8D"/>
    <w:rsid w:val="000E45D2"/>
    <w:rsid w:val="000E5231"/>
    <w:rsid w:val="000E565B"/>
    <w:rsid w:val="000E5696"/>
    <w:rsid w:val="000E5B83"/>
    <w:rsid w:val="000E5C65"/>
    <w:rsid w:val="000E5CCD"/>
    <w:rsid w:val="000E5E01"/>
    <w:rsid w:val="000E6603"/>
    <w:rsid w:val="000E66A8"/>
    <w:rsid w:val="000E6F7F"/>
    <w:rsid w:val="000E736F"/>
    <w:rsid w:val="000E75E1"/>
    <w:rsid w:val="000E7A18"/>
    <w:rsid w:val="000F0035"/>
    <w:rsid w:val="000F0089"/>
    <w:rsid w:val="000F04E7"/>
    <w:rsid w:val="000F060A"/>
    <w:rsid w:val="000F0B4D"/>
    <w:rsid w:val="000F0C00"/>
    <w:rsid w:val="000F0CF7"/>
    <w:rsid w:val="000F0EDC"/>
    <w:rsid w:val="000F0FB1"/>
    <w:rsid w:val="000F19A7"/>
    <w:rsid w:val="000F2230"/>
    <w:rsid w:val="000F26D9"/>
    <w:rsid w:val="000F2D01"/>
    <w:rsid w:val="000F36F0"/>
    <w:rsid w:val="000F392D"/>
    <w:rsid w:val="000F3FFF"/>
    <w:rsid w:val="000F420B"/>
    <w:rsid w:val="000F4396"/>
    <w:rsid w:val="000F469F"/>
    <w:rsid w:val="000F539C"/>
    <w:rsid w:val="000F5BFB"/>
    <w:rsid w:val="000F5DC4"/>
    <w:rsid w:val="000F67E8"/>
    <w:rsid w:val="000F742C"/>
    <w:rsid w:val="000F7C59"/>
    <w:rsid w:val="001002AD"/>
    <w:rsid w:val="001008CF"/>
    <w:rsid w:val="001009CA"/>
    <w:rsid w:val="00101471"/>
    <w:rsid w:val="0010192D"/>
    <w:rsid w:val="00102085"/>
    <w:rsid w:val="001028FC"/>
    <w:rsid w:val="00102EE7"/>
    <w:rsid w:val="001035F2"/>
    <w:rsid w:val="001041E4"/>
    <w:rsid w:val="00105789"/>
    <w:rsid w:val="001061DC"/>
    <w:rsid w:val="00106958"/>
    <w:rsid w:val="00107C20"/>
    <w:rsid w:val="00110116"/>
    <w:rsid w:val="00111274"/>
    <w:rsid w:val="001118D4"/>
    <w:rsid w:val="0011215B"/>
    <w:rsid w:val="00112592"/>
    <w:rsid w:val="001132E6"/>
    <w:rsid w:val="0011366C"/>
    <w:rsid w:val="00113BEC"/>
    <w:rsid w:val="00113EF7"/>
    <w:rsid w:val="00114346"/>
    <w:rsid w:val="001146E8"/>
    <w:rsid w:val="001146F5"/>
    <w:rsid w:val="00115BD5"/>
    <w:rsid w:val="00116096"/>
    <w:rsid w:val="001166F5"/>
    <w:rsid w:val="001169F8"/>
    <w:rsid w:val="00117000"/>
    <w:rsid w:val="001174AC"/>
    <w:rsid w:val="0011768D"/>
    <w:rsid w:val="00117A1C"/>
    <w:rsid w:val="00117ACA"/>
    <w:rsid w:val="00117B71"/>
    <w:rsid w:val="00117C09"/>
    <w:rsid w:val="00120072"/>
    <w:rsid w:val="001208FB"/>
    <w:rsid w:val="00120977"/>
    <w:rsid w:val="00120ABD"/>
    <w:rsid w:val="00120FAA"/>
    <w:rsid w:val="00121642"/>
    <w:rsid w:val="00121987"/>
    <w:rsid w:val="001222FF"/>
    <w:rsid w:val="00122676"/>
    <w:rsid w:val="00122B62"/>
    <w:rsid w:val="001235B0"/>
    <w:rsid w:val="0012500C"/>
    <w:rsid w:val="0012641B"/>
    <w:rsid w:val="00126EB8"/>
    <w:rsid w:val="001274D4"/>
    <w:rsid w:val="001275F0"/>
    <w:rsid w:val="00130F64"/>
    <w:rsid w:val="001312A1"/>
    <w:rsid w:val="0013157A"/>
    <w:rsid w:val="00131D61"/>
    <w:rsid w:val="00132139"/>
    <w:rsid w:val="0013247D"/>
    <w:rsid w:val="001324FE"/>
    <w:rsid w:val="001325BB"/>
    <w:rsid w:val="001328CA"/>
    <w:rsid w:val="00132BB2"/>
    <w:rsid w:val="00132D5D"/>
    <w:rsid w:val="00133866"/>
    <w:rsid w:val="00133A3F"/>
    <w:rsid w:val="00133E96"/>
    <w:rsid w:val="00135AC0"/>
    <w:rsid w:val="00135D96"/>
    <w:rsid w:val="001363AA"/>
    <w:rsid w:val="00136DF9"/>
    <w:rsid w:val="0013739A"/>
    <w:rsid w:val="00140012"/>
    <w:rsid w:val="00140216"/>
    <w:rsid w:val="001405B9"/>
    <w:rsid w:val="0014129E"/>
    <w:rsid w:val="00142165"/>
    <w:rsid w:val="001425D0"/>
    <w:rsid w:val="00142CD2"/>
    <w:rsid w:val="00142DDA"/>
    <w:rsid w:val="001430A0"/>
    <w:rsid w:val="001439F0"/>
    <w:rsid w:val="0014426D"/>
    <w:rsid w:val="00144791"/>
    <w:rsid w:val="00144830"/>
    <w:rsid w:val="00144E00"/>
    <w:rsid w:val="00145089"/>
    <w:rsid w:val="00145C57"/>
    <w:rsid w:val="001463B6"/>
    <w:rsid w:val="001469F4"/>
    <w:rsid w:val="00146A90"/>
    <w:rsid w:val="00146C81"/>
    <w:rsid w:val="00147198"/>
    <w:rsid w:val="001479B7"/>
    <w:rsid w:val="001504DF"/>
    <w:rsid w:val="00150761"/>
    <w:rsid w:val="0015076B"/>
    <w:rsid w:val="00150CA2"/>
    <w:rsid w:val="00150DA7"/>
    <w:rsid w:val="001523B9"/>
    <w:rsid w:val="001525C2"/>
    <w:rsid w:val="001527FD"/>
    <w:rsid w:val="001530D7"/>
    <w:rsid w:val="00153EED"/>
    <w:rsid w:val="00153F3B"/>
    <w:rsid w:val="00154557"/>
    <w:rsid w:val="00154E81"/>
    <w:rsid w:val="00155FC9"/>
    <w:rsid w:val="00156DF1"/>
    <w:rsid w:val="00156F50"/>
    <w:rsid w:val="001571C0"/>
    <w:rsid w:val="0015760B"/>
    <w:rsid w:val="001578A3"/>
    <w:rsid w:val="00157A32"/>
    <w:rsid w:val="00157DEF"/>
    <w:rsid w:val="00157F7C"/>
    <w:rsid w:val="00160545"/>
    <w:rsid w:val="00160E04"/>
    <w:rsid w:val="0016135B"/>
    <w:rsid w:val="00161D2E"/>
    <w:rsid w:val="00161E66"/>
    <w:rsid w:val="0016222B"/>
    <w:rsid w:val="00162434"/>
    <w:rsid w:val="00163434"/>
    <w:rsid w:val="001638EE"/>
    <w:rsid w:val="001639A2"/>
    <w:rsid w:val="001640EF"/>
    <w:rsid w:val="001651C0"/>
    <w:rsid w:val="00166385"/>
    <w:rsid w:val="00166950"/>
    <w:rsid w:val="001669ED"/>
    <w:rsid w:val="00166BB4"/>
    <w:rsid w:val="00166EA0"/>
    <w:rsid w:val="001676DA"/>
    <w:rsid w:val="00170EB7"/>
    <w:rsid w:val="00171045"/>
    <w:rsid w:val="00171462"/>
    <w:rsid w:val="001714FE"/>
    <w:rsid w:val="00171AA2"/>
    <w:rsid w:val="00171D5B"/>
    <w:rsid w:val="001727FA"/>
    <w:rsid w:val="0017300C"/>
    <w:rsid w:val="00173409"/>
    <w:rsid w:val="001739DE"/>
    <w:rsid w:val="00173F55"/>
    <w:rsid w:val="0017407F"/>
    <w:rsid w:val="001747AD"/>
    <w:rsid w:val="001750DE"/>
    <w:rsid w:val="00175451"/>
    <w:rsid w:val="001759DC"/>
    <w:rsid w:val="00175BD2"/>
    <w:rsid w:val="00175F27"/>
    <w:rsid w:val="00176AA1"/>
    <w:rsid w:val="00176BAB"/>
    <w:rsid w:val="00176BC5"/>
    <w:rsid w:val="00176F44"/>
    <w:rsid w:val="00177E28"/>
    <w:rsid w:val="00177E6B"/>
    <w:rsid w:val="0018024D"/>
    <w:rsid w:val="001807AB"/>
    <w:rsid w:val="00180F18"/>
    <w:rsid w:val="0018119E"/>
    <w:rsid w:val="00181288"/>
    <w:rsid w:val="00181539"/>
    <w:rsid w:val="00182348"/>
    <w:rsid w:val="00182C09"/>
    <w:rsid w:val="00182EDC"/>
    <w:rsid w:val="00182F64"/>
    <w:rsid w:val="00183135"/>
    <w:rsid w:val="001833AE"/>
    <w:rsid w:val="00183BC6"/>
    <w:rsid w:val="00183BCD"/>
    <w:rsid w:val="00183E82"/>
    <w:rsid w:val="001842E8"/>
    <w:rsid w:val="00185752"/>
    <w:rsid w:val="001857E7"/>
    <w:rsid w:val="00185D6E"/>
    <w:rsid w:val="00185FB1"/>
    <w:rsid w:val="00186093"/>
    <w:rsid w:val="00186495"/>
    <w:rsid w:val="00186614"/>
    <w:rsid w:val="0018716F"/>
    <w:rsid w:val="001878BB"/>
    <w:rsid w:val="00190FD2"/>
    <w:rsid w:val="00191071"/>
    <w:rsid w:val="00191AE0"/>
    <w:rsid w:val="00191D1D"/>
    <w:rsid w:val="001921C6"/>
    <w:rsid w:val="00192288"/>
    <w:rsid w:val="0019293B"/>
    <w:rsid w:val="00192AEE"/>
    <w:rsid w:val="001931DD"/>
    <w:rsid w:val="0019340C"/>
    <w:rsid w:val="001937E1"/>
    <w:rsid w:val="0019426B"/>
    <w:rsid w:val="00194327"/>
    <w:rsid w:val="0019450C"/>
    <w:rsid w:val="0019455E"/>
    <w:rsid w:val="001948A2"/>
    <w:rsid w:val="001950F9"/>
    <w:rsid w:val="001953D2"/>
    <w:rsid w:val="00195B63"/>
    <w:rsid w:val="001A0637"/>
    <w:rsid w:val="001A0DC7"/>
    <w:rsid w:val="001A1F55"/>
    <w:rsid w:val="001A1F84"/>
    <w:rsid w:val="001A1F94"/>
    <w:rsid w:val="001A22A4"/>
    <w:rsid w:val="001A22C2"/>
    <w:rsid w:val="001A253D"/>
    <w:rsid w:val="001A2CB2"/>
    <w:rsid w:val="001A33BF"/>
    <w:rsid w:val="001A3A1C"/>
    <w:rsid w:val="001A3B08"/>
    <w:rsid w:val="001A3D8C"/>
    <w:rsid w:val="001A430B"/>
    <w:rsid w:val="001A52C1"/>
    <w:rsid w:val="001A5542"/>
    <w:rsid w:val="001A5902"/>
    <w:rsid w:val="001A64F7"/>
    <w:rsid w:val="001A6A4B"/>
    <w:rsid w:val="001A7399"/>
    <w:rsid w:val="001A7528"/>
    <w:rsid w:val="001A76FA"/>
    <w:rsid w:val="001B0742"/>
    <w:rsid w:val="001B0A38"/>
    <w:rsid w:val="001B0BF4"/>
    <w:rsid w:val="001B0C03"/>
    <w:rsid w:val="001B0F9A"/>
    <w:rsid w:val="001B16D0"/>
    <w:rsid w:val="001B194C"/>
    <w:rsid w:val="001B1BD8"/>
    <w:rsid w:val="001B3696"/>
    <w:rsid w:val="001B4667"/>
    <w:rsid w:val="001B488B"/>
    <w:rsid w:val="001B5705"/>
    <w:rsid w:val="001B68F0"/>
    <w:rsid w:val="001B6C83"/>
    <w:rsid w:val="001B7CF6"/>
    <w:rsid w:val="001C0865"/>
    <w:rsid w:val="001C0AED"/>
    <w:rsid w:val="001C217A"/>
    <w:rsid w:val="001C36B2"/>
    <w:rsid w:val="001C3ABA"/>
    <w:rsid w:val="001C46C1"/>
    <w:rsid w:val="001C4761"/>
    <w:rsid w:val="001C5111"/>
    <w:rsid w:val="001C5EA8"/>
    <w:rsid w:val="001C626B"/>
    <w:rsid w:val="001C6459"/>
    <w:rsid w:val="001C6691"/>
    <w:rsid w:val="001C6856"/>
    <w:rsid w:val="001C6A6C"/>
    <w:rsid w:val="001C6F0C"/>
    <w:rsid w:val="001C7AEA"/>
    <w:rsid w:val="001D07DA"/>
    <w:rsid w:val="001D1955"/>
    <w:rsid w:val="001D1DBF"/>
    <w:rsid w:val="001D26EF"/>
    <w:rsid w:val="001D26FB"/>
    <w:rsid w:val="001D28C6"/>
    <w:rsid w:val="001D32A0"/>
    <w:rsid w:val="001D3822"/>
    <w:rsid w:val="001D3DB2"/>
    <w:rsid w:val="001D44CA"/>
    <w:rsid w:val="001D590A"/>
    <w:rsid w:val="001D6BFF"/>
    <w:rsid w:val="001D6F38"/>
    <w:rsid w:val="001D7345"/>
    <w:rsid w:val="001D76B5"/>
    <w:rsid w:val="001D786C"/>
    <w:rsid w:val="001D7B2F"/>
    <w:rsid w:val="001D7BAC"/>
    <w:rsid w:val="001D7D8A"/>
    <w:rsid w:val="001E006B"/>
    <w:rsid w:val="001E00FE"/>
    <w:rsid w:val="001E0368"/>
    <w:rsid w:val="001E1BEE"/>
    <w:rsid w:val="001E2164"/>
    <w:rsid w:val="001E24C6"/>
    <w:rsid w:val="001E2933"/>
    <w:rsid w:val="001E363F"/>
    <w:rsid w:val="001E36E8"/>
    <w:rsid w:val="001E3A0B"/>
    <w:rsid w:val="001E3F3E"/>
    <w:rsid w:val="001E433E"/>
    <w:rsid w:val="001E4639"/>
    <w:rsid w:val="001E48CE"/>
    <w:rsid w:val="001E51AF"/>
    <w:rsid w:val="001E5737"/>
    <w:rsid w:val="001E622D"/>
    <w:rsid w:val="001E6270"/>
    <w:rsid w:val="001E6FC2"/>
    <w:rsid w:val="001E7BE8"/>
    <w:rsid w:val="001F0248"/>
    <w:rsid w:val="001F0AD2"/>
    <w:rsid w:val="001F17E1"/>
    <w:rsid w:val="001F2547"/>
    <w:rsid w:val="001F3325"/>
    <w:rsid w:val="001F3EB3"/>
    <w:rsid w:val="001F4F86"/>
    <w:rsid w:val="001F55AE"/>
    <w:rsid w:val="001F589D"/>
    <w:rsid w:val="001F6102"/>
    <w:rsid w:val="001F62B0"/>
    <w:rsid w:val="001F72D8"/>
    <w:rsid w:val="001F7A2B"/>
    <w:rsid w:val="0020015D"/>
    <w:rsid w:val="0020017C"/>
    <w:rsid w:val="00200556"/>
    <w:rsid w:val="002006DF"/>
    <w:rsid w:val="00200D65"/>
    <w:rsid w:val="002026A5"/>
    <w:rsid w:val="00202B52"/>
    <w:rsid w:val="00202C2C"/>
    <w:rsid w:val="00202DB3"/>
    <w:rsid w:val="00203050"/>
    <w:rsid w:val="00203201"/>
    <w:rsid w:val="00203487"/>
    <w:rsid w:val="002043AF"/>
    <w:rsid w:val="00206927"/>
    <w:rsid w:val="0020714D"/>
    <w:rsid w:val="0021075E"/>
    <w:rsid w:val="0021123A"/>
    <w:rsid w:val="00211629"/>
    <w:rsid w:val="002118B1"/>
    <w:rsid w:val="00211F19"/>
    <w:rsid w:val="002129A2"/>
    <w:rsid w:val="002135AB"/>
    <w:rsid w:val="00213A3C"/>
    <w:rsid w:val="002144BE"/>
    <w:rsid w:val="00214B40"/>
    <w:rsid w:val="00214E31"/>
    <w:rsid w:val="00214E62"/>
    <w:rsid w:val="00214E7B"/>
    <w:rsid w:val="00216103"/>
    <w:rsid w:val="0021610B"/>
    <w:rsid w:val="002161BA"/>
    <w:rsid w:val="0021621B"/>
    <w:rsid w:val="00216270"/>
    <w:rsid w:val="002162F7"/>
    <w:rsid w:val="002166FF"/>
    <w:rsid w:val="00216AD5"/>
    <w:rsid w:val="0021703B"/>
    <w:rsid w:val="002171A2"/>
    <w:rsid w:val="002178B0"/>
    <w:rsid w:val="0021791F"/>
    <w:rsid w:val="00217987"/>
    <w:rsid w:val="00217CC2"/>
    <w:rsid w:val="00221563"/>
    <w:rsid w:val="0022170D"/>
    <w:rsid w:val="00221915"/>
    <w:rsid w:val="002219D0"/>
    <w:rsid w:val="00222464"/>
    <w:rsid w:val="00222F6C"/>
    <w:rsid w:val="002237E2"/>
    <w:rsid w:val="00224130"/>
    <w:rsid w:val="00224248"/>
    <w:rsid w:val="00224CD7"/>
    <w:rsid w:val="00224DC5"/>
    <w:rsid w:val="0022500F"/>
    <w:rsid w:val="0022551B"/>
    <w:rsid w:val="00225F34"/>
    <w:rsid w:val="00225FD1"/>
    <w:rsid w:val="002265C4"/>
    <w:rsid w:val="0022677F"/>
    <w:rsid w:val="002279E4"/>
    <w:rsid w:val="002300DD"/>
    <w:rsid w:val="002303D5"/>
    <w:rsid w:val="0023078F"/>
    <w:rsid w:val="0023085B"/>
    <w:rsid w:val="002316CC"/>
    <w:rsid w:val="002319E8"/>
    <w:rsid w:val="0023203B"/>
    <w:rsid w:val="002320B8"/>
    <w:rsid w:val="00232766"/>
    <w:rsid w:val="002330F2"/>
    <w:rsid w:val="002332B8"/>
    <w:rsid w:val="0023478F"/>
    <w:rsid w:val="00234B8A"/>
    <w:rsid w:val="0023566C"/>
    <w:rsid w:val="00236847"/>
    <w:rsid w:val="00236AE7"/>
    <w:rsid w:val="002407B7"/>
    <w:rsid w:val="00240B16"/>
    <w:rsid w:val="00240C7B"/>
    <w:rsid w:val="0024159F"/>
    <w:rsid w:val="00241897"/>
    <w:rsid w:val="00242094"/>
    <w:rsid w:val="00242279"/>
    <w:rsid w:val="002427B3"/>
    <w:rsid w:val="00242C9F"/>
    <w:rsid w:val="00243746"/>
    <w:rsid w:val="00243775"/>
    <w:rsid w:val="00243929"/>
    <w:rsid w:val="00243997"/>
    <w:rsid w:val="0024399C"/>
    <w:rsid w:val="00243AB0"/>
    <w:rsid w:val="00243AD3"/>
    <w:rsid w:val="00243C5A"/>
    <w:rsid w:val="00243FC5"/>
    <w:rsid w:val="0024516C"/>
    <w:rsid w:val="00245428"/>
    <w:rsid w:val="00245C82"/>
    <w:rsid w:val="00245E43"/>
    <w:rsid w:val="002466CD"/>
    <w:rsid w:val="002471AE"/>
    <w:rsid w:val="002474E9"/>
    <w:rsid w:val="0024793B"/>
    <w:rsid w:val="00250768"/>
    <w:rsid w:val="00250B24"/>
    <w:rsid w:val="002515B2"/>
    <w:rsid w:val="00251826"/>
    <w:rsid w:val="002519AF"/>
    <w:rsid w:val="00251A96"/>
    <w:rsid w:val="00251C42"/>
    <w:rsid w:val="00252478"/>
    <w:rsid w:val="00253810"/>
    <w:rsid w:val="0025431A"/>
    <w:rsid w:val="002544A4"/>
    <w:rsid w:val="0025460A"/>
    <w:rsid w:val="00254AD6"/>
    <w:rsid w:val="00255566"/>
    <w:rsid w:val="00255783"/>
    <w:rsid w:val="002558D5"/>
    <w:rsid w:val="00255BB9"/>
    <w:rsid w:val="00255F3D"/>
    <w:rsid w:val="00256168"/>
    <w:rsid w:val="00256172"/>
    <w:rsid w:val="00256290"/>
    <w:rsid w:val="00260881"/>
    <w:rsid w:val="002609A6"/>
    <w:rsid w:val="00261172"/>
    <w:rsid w:val="00261983"/>
    <w:rsid w:val="00261CF7"/>
    <w:rsid w:val="002623EF"/>
    <w:rsid w:val="00262797"/>
    <w:rsid w:val="00263576"/>
    <w:rsid w:val="00264101"/>
    <w:rsid w:val="00264254"/>
    <w:rsid w:val="00264C25"/>
    <w:rsid w:val="00265DCA"/>
    <w:rsid w:val="002669A3"/>
    <w:rsid w:val="00266CAC"/>
    <w:rsid w:val="00267535"/>
    <w:rsid w:val="00267618"/>
    <w:rsid w:val="00267B78"/>
    <w:rsid w:val="00267F84"/>
    <w:rsid w:val="00271154"/>
    <w:rsid w:val="00271160"/>
    <w:rsid w:val="00271855"/>
    <w:rsid w:val="0027201F"/>
    <w:rsid w:val="002724BA"/>
    <w:rsid w:val="00272820"/>
    <w:rsid w:val="00272857"/>
    <w:rsid w:val="00272A71"/>
    <w:rsid w:val="00273C4F"/>
    <w:rsid w:val="00273FE0"/>
    <w:rsid w:val="0027424E"/>
    <w:rsid w:val="002745F7"/>
    <w:rsid w:val="0027473F"/>
    <w:rsid w:val="00274939"/>
    <w:rsid w:val="00275315"/>
    <w:rsid w:val="00275FD2"/>
    <w:rsid w:val="00276544"/>
    <w:rsid w:val="0027672C"/>
    <w:rsid w:val="00277990"/>
    <w:rsid w:val="0028068E"/>
    <w:rsid w:val="00280830"/>
    <w:rsid w:val="002809F0"/>
    <w:rsid w:val="00280F46"/>
    <w:rsid w:val="00281003"/>
    <w:rsid w:val="0028143D"/>
    <w:rsid w:val="00281835"/>
    <w:rsid w:val="002824C0"/>
    <w:rsid w:val="002824FD"/>
    <w:rsid w:val="002826C5"/>
    <w:rsid w:val="00282803"/>
    <w:rsid w:val="002832C3"/>
    <w:rsid w:val="00283B9B"/>
    <w:rsid w:val="0028472E"/>
    <w:rsid w:val="0028514B"/>
    <w:rsid w:val="002855A4"/>
    <w:rsid w:val="00285706"/>
    <w:rsid w:val="00285915"/>
    <w:rsid w:val="00285B89"/>
    <w:rsid w:val="00286158"/>
    <w:rsid w:val="00286380"/>
    <w:rsid w:val="00286425"/>
    <w:rsid w:val="00286746"/>
    <w:rsid w:val="00286886"/>
    <w:rsid w:val="0028717D"/>
    <w:rsid w:val="00290225"/>
    <w:rsid w:val="0029043B"/>
    <w:rsid w:val="002909C8"/>
    <w:rsid w:val="00290A4D"/>
    <w:rsid w:val="00291482"/>
    <w:rsid w:val="00291B40"/>
    <w:rsid w:val="00291C39"/>
    <w:rsid w:val="00293511"/>
    <w:rsid w:val="0029370C"/>
    <w:rsid w:val="00293F4F"/>
    <w:rsid w:val="0029450C"/>
    <w:rsid w:val="002951F8"/>
    <w:rsid w:val="0029624B"/>
    <w:rsid w:val="0029704E"/>
    <w:rsid w:val="002A16E0"/>
    <w:rsid w:val="002A194D"/>
    <w:rsid w:val="002A2339"/>
    <w:rsid w:val="002A2697"/>
    <w:rsid w:val="002A31BA"/>
    <w:rsid w:val="002A32E7"/>
    <w:rsid w:val="002A3EB0"/>
    <w:rsid w:val="002A412E"/>
    <w:rsid w:val="002A44E7"/>
    <w:rsid w:val="002A4A26"/>
    <w:rsid w:val="002A4F9D"/>
    <w:rsid w:val="002A5AFD"/>
    <w:rsid w:val="002A5DA2"/>
    <w:rsid w:val="002A6235"/>
    <w:rsid w:val="002A6F44"/>
    <w:rsid w:val="002A70AB"/>
    <w:rsid w:val="002A79DC"/>
    <w:rsid w:val="002A7A69"/>
    <w:rsid w:val="002B1BBB"/>
    <w:rsid w:val="002B2077"/>
    <w:rsid w:val="002B25F9"/>
    <w:rsid w:val="002B2919"/>
    <w:rsid w:val="002B3130"/>
    <w:rsid w:val="002B3E31"/>
    <w:rsid w:val="002B4008"/>
    <w:rsid w:val="002B4275"/>
    <w:rsid w:val="002B490A"/>
    <w:rsid w:val="002B4A30"/>
    <w:rsid w:val="002B6971"/>
    <w:rsid w:val="002B6BFF"/>
    <w:rsid w:val="002B6CC4"/>
    <w:rsid w:val="002B7954"/>
    <w:rsid w:val="002C128E"/>
    <w:rsid w:val="002C1DC5"/>
    <w:rsid w:val="002C26AE"/>
    <w:rsid w:val="002C2878"/>
    <w:rsid w:val="002C2A7D"/>
    <w:rsid w:val="002C2FCD"/>
    <w:rsid w:val="002C3FD4"/>
    <w:rsid w:val="002C439F"/>
    <w:rsid w:val="002C4A89"/>
    <w:rsid w:val="002C4D71"/>
    <w:rsid w:val="002C5715"/>
    <w:rsid w:val="002C5A8C"/>
    <w:rsid w:val="002C5F77"/>
    <w:rsid w:val="002C6A53"/>
    <w:rsid w:val="002C6ACA"/>
    <w:rsid w:val="002C6BBC"/>
    <w:rsid w:val="002C7AA2"/>
    <w:rsid w:val="002D0C42"/>
    <w:rsid w:val="002D0C83"/>
    <w:rsid w:val="002D0E8E"/>
    <w:rsid w:val="002D15F1"/>
    <w:rsid w:val="002D19E3"/>
    <w:rsid w:val="002D22EF"/>
    <w:rsid w:val="002D2910"/>
    <w:rsid w:val="002D2AE8"/>
    <w:rsid w:val="002D40FA"/>
    <w:rsid w:val="002D49F5"/>
    <w:rsid w:val="002D5C61"/>
    <w:rsid w:val="002D69ED"/>
    <w:rsid w:val="002D726F"/>
    <w:rsid w:val="002D7CA1"/>
    <w:rsid w:val="002E041B"/>
    <w:rsid w:val="002E08A6"/>
    <w:rsid w:val="002E139F"/>
    <w:rsid w:val="002E1C2C"/>
    <w:rsid w:val="002E2315"/>
    <w:rsid w:val="002E23FB"/>
    <w:rsid w:val="002E29A8"/>
    <w:rsid w:val="002E2DBE"/>
    <w:rsid w:val="002E340E"/>
    <w:rsid w:val="002E373B"/>
    <w:rsid w:val="002E4413"/>
    <w:rsid w:val="002E49DB"/>
    <w:rsid w:val="002E4CBF"/>
    <w:rsid w:val="002E4D7D"/>
    <w:rsid w:val="002E53D1"/>
    <w:rsid w:val="002E5B3D"/>
    <w:rsid w:val="002E5EE0"/>
    <w:rsid w:val="002E6235"/>
    <w:rsid w:val="002E6872"/>
    <w:rsid w:val="002E6B54"/>
    <w:rsid w:val="002E6DA9"/>
    <w:rsid w:val="002E75C6"/>
    <w:rsid w:val="002E7ED0"/>
    <w:rsid w:val="002F0319"/>
    <w:rsid w:val="002F0601"/>
    <w:rsid w:val="002F09CD"/>
    <w:rsid w:val="002F0FBF"/>
    <w:rsid w:val="002F1274"/>
    <w:rsid w:val="002F14AC"/>
    <w:rsid w:val="002F20CE"/>
    <w:rsid w:val="002F2331"/>
    <w:rsid w:val="002F393B"/>
    <w:rsid w:val="002F411B"/>
    <w:rsid w:val="002F4407"/>
    <w:rsid w:val="002F4FFC"/>
    <w:rsid w:val="002F50E1"/>
    <w:rsid w:val="002F5962"/>
    <w:rsid w:val="002F602A"/>
    <w:rsid w:val="002F6B73"/>
    <w:rsid w:val="002F6C18"/>
    <w:rsid w:val="002F761F"/>
    <w:rsid w:val="002F76E9"/>
    <w:rsid w:val="002F7AA5"/>
    <w:rsid w:val="002F7C48"/>
    <w:rsid w:val="00300378"/>
    <w:rsid w:val="0030073E"/>
    <w:rsid w:val="00300ECA"/>
    <w:rsid w:val="00301189"/>
    <w:rsid w:val="00301E4A"/>
    <w:rsid w:val="00302313"/>
    <w:rsid w:val="003025D6"/>
    <w:rsid w:val="00302F48"/>
    <w:rsid w:val="0030616B"/>
    <w:rsid w:val="00306AAD"/>
    <w:rsid w:val="00306AB4"/>
    <w:rsid w:val="0030710C"/>
    <w:rsid w:val="0030755A"/>
    <w:rsid w:val="00307957"/>
    <w:rsid w:val="00307B18"/>
    <w:rsid w:val="00307EBE"/>
    <w:rsid w:val="00307F17"/>
    <w:rsid w:val="0031006B"/>
    <w:rsid w:val="0031059A"/>
    <w:rsid w:val="00310C08"/>
    <w:rsid w:val="00310DEB"/>
    <w:rsid w:val="00311E60"/>
    <w:rsid w:val="00312D2F"/>
    <w:rsid w:val="0031333E"/>
    <w:rsid w:val="003134E2"/>
    <w:rsid w:val="003136A6"/>
    <w:rsid w:val="003137D3"/>
    <w:rsid w:val="00313848"/>
    <w:rsid w:val="00313B49"/>
    <w:rsid w:val="00313FFC"/>
    <w:rsid w:val="00314660"/>
    <w:rsid w:val="00314827"/>
    <w:rsid w:val="00315C76"/>
    <w:rsid w:val="003168B7"/>
    <w:rsid w:val="003168B8"/>
    <w:rsid w:val="003168D0"/>
    <w:rsid w:val="00317A03"/>
    <w:rsid w:val="00317A11"/>
    <w:rsid w:val="003202BE"/>
    <w:rsid w:val="00320533"/>
    <w:rsid w:val="00320D68"/>
    <w:rsid w:val="00320F80"/>
    <w:rsid w:val="0032139A"/>
    <w:rsid w:val="003222CA"/>
    <w:rsid w:val="003222E7"/>
    <w:rsid w:val="00322D22"/>
    <w:rsid w:val="00322D64"/>
    <w:rsid w:val="003237C7"/>
    <w:rsid w:val="00323AC3"/>
    <w:rsid w:val="00323E09"/>
    <w:rsid w:val="003246A5"/>
    <w:rsid w:val="00324A83"/>
    <w:rsid w:val="00325138"/>
    <w:rsid w:val="00325363"/>
    <w:rsid w:val="00326014"/>
    <w:rsid w:val="00326803"/>
    <w:rsid w:val="0032686E"/>
    <w:rsid w:val="00326BD0"/>
    <w:rsid w:val="00326D9B"/>
    <w:rsid w:val="0032708D"/>
    <w:rsid w:val="003270DD"/>
    <w:rsid w:val="00327608"/>
    <w:rsid w:val="0033056D"/>
    <w:rsid w:val="00331279"/>
    <w:rsid w:val="00331F47"/>
    <w:rsid w:val="00332027"/>
    <w:rsid w:val="00333932"/>
    <w:rsid w:val="00334AB3"/>
    <w:rsid w:val="003353DA"/>
    <w:rsid w:val="00336770"/>
    <w:rsid w:val="00337556"/>
    <w:rsid w:val="00337810"/>
    <w:rsid w:val="003378EE"/>
    <w:rsid w:val="003379AD"/>
    <w:rsid w:val="00337C1B"/>
    <w:rsid w:val="00337DB7"/>
    <w:rsid w:val="003405BB"/>
    <w:rsid w:val="0034146F"/>
    <w:rsid w:val="0034186D"/>
    <w:rsid w:val="00341A92"/>
    <w:rsid w:val="00341B05"/>
    <w:rsid w:val="0034282E"/>
    <w:rsid w:val="00342C44"/>
    <w:rsid w:val="00342DC4"/>
    <w:rsid w:val="003433AA"/>
    <w:rsid w:val="00343432"/>
    <w:rsid w:val="00344815"/>
    <w:rsid w:val="00345011"/>
    <w:rsid w:val="00345210"/>
    <w:rsid w:val="00345EF4"/>
    <w:rsid w:val="003461E9"/>
    <w:rsid w:val="00346F2E"/>
    <w:rsid w:val="003474C1"/>
    <w:rsid w:val="003475E0"/>
    <w:rsid w:val="00350037"/>
    <w:rsid w:val="003503D3"/>
    <w:rsid w:val="003518AA"/>
    <w:rsid w:val="00352165"/>
    <w:rsid w:val="00352194"/>
    <w:rsid w:val="00352A99"/>
    <w:rsid w:val="00352C4A"/>
    <w:rsid w:val="00353182"/>
    <w:rsid w:val="00353FF3"/>
    <w:rsid w:val="00354242"/>
    <w:rsid w:val="003545FC"/>
    <w:rsid w:val="00354FD3"/>
    <w:rsid w:val="003565D9"/>
    <w:rsid w:val="0035702B"/>
    <w:rsid w:val="003576C8"/>
    <w:rsid w:val="003601BE"/>
    <w:rsid w:val="003602E1"/>
    <w:rsid w:val="00360DF5"/>
    <w:rsid w:val="00360FE7"/>
    <w:rsid w:val="00364F7C"/>
    <w:rsid w:val="003651C1"/>
    <w:rsid w:val="0036624E"/>
    <w:rsid w:val="00366617"/>
    <w:rsid w:val="00366A1D"/>
    <w:rsid w:val="00367510"/>
    <w:rsid w:val="0037026F"/>
    <w:rsid w:val="00370F7C"/>
    <w:rsid w:val="00371100"/>
    <w:rsid w:val="00371240"/>
    <w:rsid w:val="0037172F"/>
    <w:rsid w:val="00373ACF"/>
    <w:rsid w:val="00374731"/>
    <w:rsid w:val="00374845"/>
    <w:rsid w:val="003757BD"/>
    <w:rsid w:val="00376E59"/>
    <w:rsid w:val="003773AF"/>
    <w:rsid w:val="00377EC1"/>
    <w:rsid w:val="00380340"/>
    <w:rsid w:val="00380623"/>
    <w:rsid w:val="00380887"/>
    <w:rsid w:val="00381017"/>
    <w:rsid w:val="00381E44"/>
    <w:rsid w:val="00382308"/>
    <w:rsid w:val="003834C1"/>
    <w:rsid w:val="00383FDD"/>
    <w:rsid w:val="003844D5"/>
    <w:rsid w:val="0038458A"/>
    <w:rsid w:val="00384821"/>
    <w:rsid w:val="00384990"/>
    <w:rsid w:val="00384FA4"/>
    <w:rsid w:val="00385B21"/>
    <w:rsid w:val="003867ED"/>
    <w:rsid w:val="003869BE"/>
    <w:rsid w:val="0038701A"/>
    <w:rsid w:val="0038746D"/>
    <w:rsid w:val="00387ACF"/>
    <w:rsid w:val="003904EF"/>
    <w:rsid w:val="00390BAC"/>
    <w:rsid w:val="003919F9"/>
    <w:rsid w:val="00392013"/>
    <w:rsid w:val="003920CF"/>
    <w:rsid w:val="003925EC"/>
    <w:rsid w:val="00392952"/>
    <w:rsid w:val="00392E31"/>
    <w:rsid w:val="00393460"/>
    <w:rsid w:val="0039367C"/>
    <w:rsid w:val="00394A79"/>
    <w:rsid w:val="00394D4B"/>
    <w:rsid w:val="003952BD"/>
    <w:rsid w:val="0039593A"/>
    <w:rsid w:val="00395998"/>
    <w:rsid w:val="003959A1"/>
    <w:rsid w:val="00396435"/>
    <w:rsid w:val="0039675D"/>
    <w:rsid w:val="003978D2"/>
    <w:rsid w:val="003A01A0"/>
    <w:rsid w:val="003A11EA"/>
    <w:rsid w:val="003A1D1F"/>
    <w:rsid w:val="003A1FCE"/>
    <w:rsid w:val="003A2B57"/>
    <w:rsid w:val="003A323A"/>
    <w:rsid w:val="003A3917"/>
    <w:rsid w:val="003A64FB"/>
    <w:rsid w:val="003A6D2D"/>
    <w:rsid w:val="003A6FDB"/>
    <w:rsid w:val="003A7BF4"/>
    <w:rsid w:val="003B1C72"/>
    <w:rsid w:val="003B23C2"/>
    <w:rsid w:val="003B2FAE"/>
    <w:rsid w:val="003B311D"/>
    <w:rsid w:val="003B3233"/>
    <w:rsid w:val="003B3444"/>
    <w:rsid w:val="003B36F1"/>
    <w:rsid w:val="003B39F0"/>
    <w:rsid w:val="003B3CB2"/>
    <w:rsid w:val="003B4083"/>
    <w:rsid w:val="003B4522"/>
    <w:rsid w:val="003B45EC"/>
    <w:rsid w:val="003B4948"/>
    <w:rsid w:val="003B5495"/>
    <w:rsid w:val="003B5591"/>
    <w:rsid w:val="003B6342"/>
    <w:rsid w:val="003B645F"/>
    <w:rsid w:val="003B6B92"/>
    <w:rsid w:val="003B6CF2"/>
    <w:rsid w:val="003B6FF8"/>
    <w:rsid w:val="003B7FFC"/>
    <w:rsid w:val="003C0337"/>
    <w:rsid w:val="003C050C"/>
    <w:rsid w:val="003C0D2D"/>
    <w:rsid w:val="003C13A3"/>
    <w:rsid w:val="003C1AA1"/>
    <w:rsid w:val="003C202D"/>
    <w:rsid w:val="003C3549"/>
    <w:rsid w:val="003C35B8"/>
    <w:rsid w:val="003C3660"/>
    <w:rsid w:val="003C38B5"/>
    <w:rsid w:val="003C3F01"/>
    <w:rsid w:val="003C4156"/>
    <w:rsid w:val="003C4249"/>
    <w:rsid w:val="003C4E6A"/>
    <w:rsid w:val="003C5337"/>
    <w:rsid w:val="003C5630"/>
    <w:rsid w:val="003C5D99"/>
    <w:rsid w:val="003C61BE"/>
    <w:rsid w:val="003C62FE"/>
    <w:rsid w:val="003C687C"/>
    <w:rsid w:val="003C6E0C"/>
    <w:rsid w:val="003C7768"/>
    <w:rsid w:val="003C7FEC"/>
    <w:rsid w:val="003D0068"/>
    <w:rsid w:val="003D024E"/>
    <w:rsid w:val="003D040D"/>
    <w:rsid w:val="003D1087"/>
    <w:rsid w:val="003D3770"/>
    <w:rsid w:val="003D3C41"/>
    <w:rsid w:val="003D4714"/>
    <w:rsid w:val="003D70A5"/>
    <w:rsid w:val="003D70BF"/>
    <w:rsid w:val="003D7B3E"/>
    <w:rsid w:val="003D7C2F"/>
    <w:rsid w:val="003D7CF6"/>
    <w:rsid w:val="003E022C"/>
    <w:rsid w:val="003E1BC3"/>
    <w:rsid w:val="003E2F59"/>
    <w:rsid w:val="003E3BD7"/>
    <w:rsid w:val="003E3ED6"/>
    <w:rsid w:val="003E41C3"/>
    <w:rsid w:val="003E4618"/>
    <w:rsid w:val="003E48EC"/>
    <w:rsid w:val="003E5453"/>
    <w:rsid w:val="003E55B6"/>
    <w:rsid w:val="003E5AF1"/>
    <w:rsid w:val="003E5C83"/>
    <w:rsid w:val="003E6714"/>
    <w:rsid w:val="003E746B"/>
    <w:rsid w:val="003E76B2"/>
    <w:rsid w:val="003E7B0B"/>
    <w:rsid w:val="003F0789"/>
    <w:rsid w:val="003F0BE5"/>
    <w:rsid w:val="003F12CA"/>
    <w:rsid w:val="003F1312"/>
    <w:rsid w:val="003F1A46"/>
    <w:rsid w:val="003F1BF0"/>
    <w:rsid w:val="003F2043"/>
    <w:rsid w:val="003F2628"/>
    <w:rsid w:val="003F2722"/>
    <w:rsid w:val="003F2A60"/>
    <w:rsid w:val="003F2CCD"/>
    <w:rsid w:val="003F48A9"/>
    <w:rsid w:val="003F524E"/>
    <w:rsid w:val="003F5801"/>
    <w:rsid w:val="003F73ED"/>
    <w:rsid w:val="003F7436"/>
    <w:rsid w:val="003F7BD8"/>
    <w:rsid w:val="00400035"/>
    <w:rsid w:val="0040089B"/>
    <w:rsid w:val="0040171B"/>
    <w:rsid w:val="00401722"/>
    <w:rsid w:val="00401882"/>
    <w:rsid w:val="00402950"/>
    <w:rsid w:val="0040316B"/>
    <w:rsid w:val="00403B8D"/>
    <w:rsid w:val="00404BFA"/>
    <w:rsid w:val="00404C11"/>
    <w:rsid w:val="00404E99"/>
    <w:rsid w:val="00405501"/>
    <w:rsid w:val="00405CDA"/>
    <w:rsid w:val="00405EA6"/>
    <w:rsid w:val="00407474"/>
    <w:rsid w:val="004100C8"/>
    <w:rsid w:val="00410324"/>
    <w:rsid w:val="0041089F"/>
    <w:rsid w:val="00410D02"/>
    <w:rsid w:val="00410E80"/>
    <w:rsid w:val="00411AEE"/>
    <w:rsid w:val="00411DBD"/>
    <w:rsid w:val="004120D3"/>
    <w:rsid w:val="0041295C"/>
    <w:rsid w:val="00412ACE"/>
    <w:rsid w:val="00412D0D"/>
    <w:rsid w:val="00412F96"/>
    <w:rsid w:val="00414413"/>
    <w:rsid w:val="00414535"/>
    <w:rsid w:val="004145D2"/>
    <w:rsid w:val="00414676"/>
    <w:rsid w:val="004148AD"/>
    <w:rsid w:val="00414C6F"/>
    <w:rsid w:val="00415B5B"/>
    <w:rsid w:val="00415D90"/>
    <w:rsid w:val="00416F61"/>
    <w:rsid w:val="00420949"/>
    <w:rsid w:val="00420A61"/>
    <w:rsid w:val="0042114E"/>
    <w:rsid w:val="00421DE7"/>
    <w:rsid w:val="0042204B"/>
    <w:rsid w:val="00422FBC"/>
    <w:rsid w:val="00423AB4"/>
    <w:rsid w:val="00423EB9"/>
    <w:rsid w:val="00424B72"/>
    <w:rsid w:val="00424CCF"/>
    <w:rsid w:val="00425128"/>
    <w:rsid w:val="00425146"/>
    <w:rsid w:val="0042521B"/>
    <w:rsid w:val="00425F33"/>
    <w:rsid w:val="00426CB4"/>
    <w:rsid w:val="00426DB3"/>
    <w:rsid w:val="0042718E"/>
    <w:rsid w:val="004272BF"/>
    <w:rsid w:val="00430056"/>
    <w:rsid w:val="00430CEA"/>
    <w:rsid w:val="00430E2A"/>
    <w:rsid w:val="00431249"/>
    <w:rsid w:val="004317EB"/>
    <w:rsid w:val="00431B88"/>
    <w:rsid w:val="00432347"/>
    <w:rsid w:val="004327DA"/>
    <w:rsid w:val="004336AB"/>
    <w:rsid w:val="00434C19"/>
    <w:rsid w:val="00435894"/>
    <w:rsid w:val="00435F09"/>
    <w:rsid w:val="004360D6"/>
    <w:rsid w:val="00436396"/>
    <w:rsid w:val="004368E4"/>
    <w:rsid w:val="00436D18"/>
    <w:rsid w:val="00437202"/>
    <w:rsid w:val="004377AA"/>
    <w:rsid w:val="00437B9C"/>
    <w:rsid w:val="00440405"/>
    <w:rsid w:val="00440DD5"/>
    <w:rsid w:val="004425BB"/>
    <w:rsid w:val="00442C8C"/>
    <w:rsid w:val="00442E24"/>
    <w:rsid w:val="00442FDE"/>
    <w:rsid w:val="00443696"/>
    <w:rsid w:val="004439D4"/>
    <w:rsid w:val="00443A13"/>
    <w:rsid w:val="0044495D"/>
    <w:rsid w:val="004459E1"/>
    <w:rsid w:val="004474DE"/>
    <w:rsid w:val="004505A8"/>
    <w:rsid w:val="00450810"/>
    <w:rsid w:val="0045097D"/>
    <w:rsid w:val="0045149D"/>
    <w:rsid w:val="00451A4A"/>
    <w:rsid w:val="0045261C"/>
    <w:rsid w:val="0045390D"/>
    <w:rsid w:val="00453C83"/>
    <w:rsid w:val="004547ED"/>
    <w:rsid w:val="00455731"/>
    <w:rsid w:val="00455F34"/>
    <w:rsid w:val="00456DD9"/>
    <w:rsid w:val="00457519"/>
    <w:rsid w:val="0045754A"/>
    <w:rsid w:val="00457692"/>
    <w:rsid w:val="00457B0F"/>
    <w:rsid w:val="004601F3"/>
    <w:rsid w:val="00460F20"/>
    <w:rsid w:val="004612B9"/>
    <w:rsid w:val="00461496"/>
    <w:rsid w:val="00461C18"/>
    <w:rsid w:val="00461D9E"/>
    <w:rsid w:val="00461E5B"/>
    <w:rsid w:val="0046257F"/>
    <w:rsid w:val="00462AC9"/>
    <w:rsid w:val="00462C59"/>
    <w:rsid w:val="00462DD4"/>
    <w:rsid w:val="00462E18"/>
    <w:rsid w:val="00464922"/>
    <w:rsid w:val="00465A8D"/>
    <w:rsid w:val="00466353"/>
    <w:rsid w:val="00466BB3"/>
    <w:rsid w:val="00466F1E"/>
    <w:rsid w:val="00466FFD"/>
    <w:rsid w:val="00467072"/>
    <w:rsid w:val="00467DA3"/>
    <w:rsid w:val="00470737"/>
    <w:rsid w:val="0047269D"/>
    <w:rsid w:val="0047285B"/>
    <w:rsid w:val="00472A09"/>
    <w:rsid w:val="00472B3F"/>
    <w:rsid w:val="004734F2"/>
    <w:rsid w:val="00473E70"/>
    <w:rsid w:val="00474338"/>
    <w:rsid w:val="0047463A"/>
    <w:rsid w:val="00474E6D"/>
    <w:rsid w:val="00474EAD"/>
    <w:rsid w:val="004753DF"/>
    <w:rsid w:val="004765B4"/>
    <w:rsid w:val="00476BFD"/>
    <w:rsid w:val="00477144"/>
    <w:rsid w:val="00477480"/>
    <w:rsid w:val="00477B88"/>
    <w:rsid w:val="00477E14"/>
    <w:rsid w:val="00477EA1"/>
    <w:rsid w:val="00477F33"/>
    <w:rsid w:val="00480CF4"/>
    <w:rsid w:val="004819D3"/>
    <w:rsid w:val="004823B7"/>
    <w:rsid w:val="00482C78"/>
    <w:rsid w:val="00483035"/>
    <w:rsid w:val="004832D8"/>
    <w:rsid w:val="00483361"/>
    <w:rsid w:val="00483862"/>
    <w:rsid w:val="00483AB0"/>
    <w:rsid w:val="0048454D"/>
    <w:rsid w:val="00484D82"/>
    <w:rsid w:val="00485407"/>
    <w:rsid w:val="00485CC2"/>
    <w:rsid w:val="00485F73"/>
    <w:rsid w:val="00486CEE"/>
    <w:rsid w:val="00487123"/>
    <w:rsid w:val="004875F7"/>
    <w:rsid w:val="00490247"/>
    <w:rsid w:val="004902C0"/>
    <w:rsid w:val="0049051D"/>
    <w:rsid w:val="00490B94"/>
    <w:rsid w:val="0049115D"/>
    <w:rsid w:val="00491380"/>
    <w:rsid w:val="0049170B"/>
    <w:rsid w:val="0049182F"/>
    <w:rsid w:val="0049209F"/>
    <w:rsid w:val="0049213B"/>
    <w:rsid w:val="00492D05"/>
    <w:rsid w:val="0049314A"/>
    <w:rsid w:val="00493C71"/>
    <w:rsid w:val="0049459F"/>
    <w:rsid w:val="00494716"/>
    <w:rsid w:val="00495AC0"/>
    <w:rsid w:val="00495B2B"/>
    <w:rsid w:val="00496112"/>
    <w:rsid w:val="00496D75"/>
    <w:rsid w:val="00497BE2"/>
    <w:rsid w:val="004A1378"/>
    <w:rsid w:val="004A24E0"/>
    <w:rsid w:val="004A2B81"/>
    <w:rsid w:val="004A31CD"/>
    <w:rsid w:val="004A31EF"/>
    <w:rsid w:val="004A33CD"/>
    <w:rsid w:val="004A38DD"/>
    <w:rsid w:val="004A3C8B"/>
    <w:rsid w:val="004A3DC9"/>
    <w:rsid w:val="004A4FCD"/>
    <w:rsid w:val="004A5181"/>
    <w:rsid w:val="004A683B"/>
    <w:rsid w:val="004A69F6"/>
    <w:rsid w:val="004A6EE9"/>
    <w:rsid w:val="004B0B11"/>
    <w:rsid w:val="004B11C6"/>
    <w:rsid w:val="004B16B6"/>
    <w:rsid w:val="004B1950"/>
    <w:rsid w:val="004B1B8B"/>
    <w:rsid w:val="004B30CA"/>
    <w:rsid w:val="004B3B77"/>
    <w:rsid w:val="004B43AE"/>
    <w:rsid w:val="004B517B"/>
    <w:rsid w:val="004B57F1"/>
    <w:rsid w:val="004B586E"/>
    <w:rsid w:val="004B5AF1"/>
    <w:rsid w:val="004B6C12"/>
    <w:rsid w:val="004C0194"/>
    <w:rsid w:val="004C0237"/>
    <w:rsid w:val="004C0FAE"/>
    <w:rsid w:val="004C1C0D"/>
    <w:rsid w:val="004C1C7E"/>
    <w:rsid w:val="004C1D2E"/>
    <w:rsid w:val="004C27D3"/>
    <w:rsid w:val="004C2F88"/>
    <w:rsid w:val="004C30ED"/>
    <w:rsid w:val="004C3702"/>
    <w:rsid w:val="004C3E24"/>
    <w:rsid w:val="004C4B8E"/>
    <w:rsid w:val="004C545C"/>
    <w:rsid w:val="004C5A17"/>
    <w:rsid w:val="004C5C1B"/>
    <w:rsid w:val="004C5E10"/>
    <w:rsid w:val="004C5FE5"/>
    <w:rsid w:val="004C6A48"/>
    <w:rsid w:val="004C77DA"/>
    <w:rsid w:val="004C77F8"/>
    <w:rsid w:val="004C7E6F"/>
    <w:rsid w:val="004D077D"/>
    <w:rsid w:val="004D0DBA"/>
    <w:rsid w:val="004D1277"/>
    <w:rsid w:val="004D1B5D"/>
    <w:rsid w:val="004D2BAA"/>
    <w:rsid w:val="004D3BA9"/>
    <w:rsid w:val="004D3F83"/>
    <w:rsid w:val="004D4036"/>
    <w:rsid w:val="004D44DE"/>
    <w:rsid w:val="004D4D6E"/>
    <w:rsid w:val="004D5675"/>
    <w:rsid w:val="004D5B53"/>
    <w:rsid w:val="004D5CAD"/>
    <w:rsid w:val="004D7774"/>
    <w:rsid w:val="004D7E47"/>
    <w:rsid w:val="004E024D"/>
    <w:rsid w:val="004E030E"/>
    <w:rsid w:val="004E04D7"/>
    <w:rsid w:val="004E080D"/>
    <w:rsid w:val="004E081B"/>
    <w:rsid w:val="004E0CC1"/>
    <w:rsid w:val="004E13F7"/>
    <w:rsid w:val="004E2802"/>
    <w:rsid w:val="004E2E37"/>
    <w:rsid w:val="004E2F68"/>
    <w:rsid w:val="004E340F"/>
    <w:rsid w:val="004E38D3"/>
    <w:rsid w:val="004E3F6D"/>
    <w:rsid w:val="004E4623"/>
    <w:rsid w:val="004E4F41"/>
    <w:rsid w:val="004E538B"/>
    <w:rsid w:val="004E54AB"/>
    <w:rsid w:val="004E5FB7"/>
    <w:rsid w:val="004E60F0"/>
    <w:rsid w:val="004E7359"/>
    <w:rsid w:val="004E738E"/>
    <w:rsid w:val="004E770E"/>
    <w:rsid w:val="004E794F"/>
    <w:rsid w:val="004F01F1"/>
    <w:rsid w:val="004F1264"/>
    <w:rsid w:val="004F14E4"/>
    <w:rsid w:val="004F1E15"/>
    <w:rsid w:val="004F1FD7"/>
    <w:rsid w:val="004F39C3"/>
    <w:rsid w:val="004F43F6"/>
    <w:rsid w:val="004F5412"/>
    <w:rsid w:val="004F55CC"/>
    <w:rsid w:val="004F56F6"/>
    <w:rsid w:val="004F58B4"/>
    <w:rsid w:val="004F6F32"/>
    <w:rsid w:val="004F7AB0"/>
    <w:rsid w:val="00500079"/>
    <w:rsid w:val="005001DC"/>
    <w:rsid w:val="00501757"/>
    <w:rsid w:val="00501938"/>
    <w:rsid w:val="00502D34"/>
    <w:rsid w:val="0050308B"/>
    <w:rsid w:val="00503F61"/>
    <w:rsid w:val="005044DA"/>
    <w:rsid w:val="005046B3"/>
    <w:rsid w:val="005046BB"/>
    <w:rsid w:val="0050526B"/>
    <w:rsid w:val="00505394"/>
    <w:rsid w:val="005059D6"/>
    <w:rsid w:val="00505ADF"/>
    <w:rsid w:val="00506220"/>
    <w:rsid w:val="00506726"/>
    <w:rsid w:val="00506C92"/>
    <w:rsid w:val="0050711A"/>
    <w:rsid w:val="00507278"/>
    <w:rsid w:val="00510097"/>
    <w:rsid w:val="0051149F"/>
    <w:rsid w:val="005125FB"/>
    <w:rsid w:val="00512951"/>
    <w:rsid w:val="0051306E"/>
    <w:rsid w:val="005138ED"/>
    <w:rsid w:val="00513DFD"/>
    <w:rsid w:val="005147C9"/>
    <w:rsid w:val="00514847"/>
    <w:rsid w:val="00514ABD"/>
    <w:rsid w:val="00515673"/>
    <w:rsid w:val="00515694"/>
    <w:rsid w:val="00515B00"/>
    <w:rsid w:val="00515E03"/>
    <w:rsid w:val="00516ABB"/>
    <w:rsid w:val="0051761B"/>
    <w:rsid w:val="00517795"/>
    <w:rsid w:val="00517E5A"/>
    <w:rsid w:val="005205F4"/>
    <w:rsid w:val="00520F8F"/>
    <w:rsid w:val="00521B84"/>
    <w:rsid w:val="00521D99"/>
    <w:rsid w:val="00521EE7"/>
    <w:rsid w:val="005222B3"/>
    <w:rsid w:val="005223C3"/>
    <w:rsid w:val="00522AED"/>
    <w:rsid w:val="00522FA0"/>
    <w:rsid w:val="0052340C"/>
    <w:rsid w:val="00523639"/>
    <w:rsid w:val="00524B82"/>
    <w:rsid w:val="00524C44"/>
    <w:rsid w:val="0052508C"/>
    <w:rsid w:val="00525694"/>
    <w:rsid w:val="00525FBC"/>
    <w:rsid w:val="005262BD"/>
    <w:rsid w:val="00526E19"/>
    <w:rsid w:val="00527457"/>
    <w:rsid w:val="00530969"/>
    <w:rsid w:val="00530CF2"/>
    <w:rsid w:val="00531F9C"/>
    <w:rsid w:val="00531FE5"/>
    <w:rsid w:val="00532832"/>
    <w:rsid w:val="00532C9B"/>
    <w:rsid w:val="00532D3F"/>
    <w:rsid w:val="00532FA4"/>
    <w:rsid w:val="005340AD"/>
    <w:rsid w:val="005346A8"/>
    <w:rsid w:val="00534AF3"/>
    <w:rsid w:val="00535A5A"/>
    <w:rsid w:val="00535C70"/>
    <w:rsid w:val="0053636C"/>
    <w:rsid w:val="00536ED4"/>
    <w:rsid w:val="00537276"/>
    <w:rsid w:val="005402FA"/>
    <w:rsid w:val="005408A8"/>
    <w:rsid w:val="00540BFA"/>
    <w:rsid w:val="00541190"/>
    <w:rsid w:val="00541296"/>
    <w:rsid w:val="005414CC"/>
    <w:rsid w:val="00541E1A"/>
    <w:rsid w:val="00542976"/>
    <w:rsid w:val="00543766"/>
    <w:rsid w:val="00543B22"/>
    <w:rsid w:val="00543BBE"/>
    <w:rsid w:val="00543DB2"/>
    <w:rsid w:val="005444C1"/>
    <w:rsid w:val="00544599"/>
    <w:rsid w:val="0054470B"/>
    <w:rsid w:val="005448D5"/>
    <w:rsid w:val="005452CA"/>
    <w:rsid w:val="0054553A"/>
    <w:rsid w:val="00545A54"/>
    <w:rsid w:val="00545CB3"/>
    <w:rsid w:val="00546847"/>
    <w:rsid w:val="00547663"/>
    <w:rsid w:val="005479B5"/>
    <w:rsid w:val="00547E5C"/>
    <w:rsid w:val="005500AB"/>
    <w:rsid w:val="005501D7"/>
    <w:rsid w:val="00550313"/>
    <w:rsid w:val="0055054F"/>
    <w:rsid w:val="00550733"/>
    <w:rsid w:val="00550848"/>
    <w:rsid w:val="00550949"/>
    <w:rsid w:val="0055124D"/>
    <w:rsid w:val="00551497"/>
    <w:rsid w:val="00551697"/>
    <w:rsid w:val="00551842"/>
    <w:rsid w:val="00553047"/>
    <w:rsid w:val="005536F0"/>
    <w:rsid w:val="00553931"/>
    <w:rsid w:val="005539FF"/>
    <w:rsid w:val="005542D4"/>
    <w:rsid w:val="00555174"/>
    <w:rsid w:val="00555834"/>
    <w:rsid w:val="00556EFA"/>
    <w:rsid w:val="00557030"/>
    <w:rsid w:val="005574FA"/>
    <w:rsid w:val="00557981"/>
    <w:rsid w:val="00560EC6"/>
    <w:rsid w:val="00561784"/>
    <w:rsid w:val="005629E7"/>
    <w:rsid w:val="00563D93"/>
    <w:rsid w:val="00563F86"/>
    <w:rsid w:val="005641FD"/>
    <w:rsid w:val="0056490C"/>
    <w:rsid w:val="005651F1"/>
    <w:rsid w:val="00565555"/>
    <w:rsid w:val="005656FB"/>
    <w:rsid w:val="00565EDF"/>
    <w:rsid w:val="00566BEB"/>
    <w:rsid w:val="0056708C"/>
    <w:rsid w:val="00567838"/>
    <w:rsid w:val="00567BFB"/>
    <w:rsid w:val="005713EF"/>
    <w:rsid w:val="00571AFD"/>
    <w:rsid w:val="00571E86"/>
    <w:rsid w:val="00571FEF"/>
    <w:rsid w:val="00572169"/>
    <w:rsid w:val="005722B2"/>
    <w:rsid w:val="005729BD"/>
    <w:rsid w:val="00572A39"/>
    <w:rsid w:val="00572EE5"/>
    <w:rsid w:val="00573437"/>
    <w:rsid w:val="005738BB"/>
    <w:rsid w:val="00573BE3"/>
    <w:rsid w:val="005740D3"/>
    <w:rsid w:val="005746C6"/>
    <w:rsid w:val="005756D0"/>
    <w:rsid w:val="005757A0"/>
    <w:rsid w:val="0057597C"/>
    <w:rsid w:val="00575A66"/>
    <w:rsid w:val="00576622"/>
    <w:rsid w:val="00577640"/>
    <w:rsid w:val="0057784D"/>
    <w:rsid w:val="00577A71"/>
    <w:rsid w:val="00577C3D"/>
    <w:rsid w:val="00577D8F"/>
    <w:rsid w:val="00580154"/>
    <w:rsid w:val="0058049B"/>
    <w:rsid w:val="005812D9"/>
    <w:rsid w:val="005813AC"/>
    <w:rsid w:val="00582D01"/>
    <w:rsid w:val="00582D2B"/>
    <w:rsid w:val="00582DED"/>
    <w:rsid w:val="00583727"/>
    <w:rsid w:val="00583A97"/>
    <w:rsid w:val="00583C39"/>
    <w:rsid w:val="00583D07"/>
    <w:rsid w:val="005849E2"/>
    <w:rsid w:val="005853D9"/>
    <w:rsid w:val="00585BD3"/>
    <w:rsid w:val="00585E1E"/>
    <w:rsid w:val="0058698F"/>
    <w:rsid w:val="00586A90"/>
    <w:rsid w:val="00587F28"/>
    <w:rsid w:val="0059096C"/>
    <w:rsid w:val="005909CF"/>
    <w:rsid w:val="00590CCE"/>
    <w:rsid w:val="00591580"/>
    <w:rsid w:val="0059177C"/>
    <w:rsid w:val="00591A77"/>
    <w:rsid w:val="00591E24"/>
    <w:rsid w:val="00591E71"/>
    <w:rsid w:val="00592BA6"/>
    <w:rsid w:val="00592DB5"/>
    <w:rsid w:val="00593457"/>
    <w:rsid w:val="00593747"/>
    <w:rsid w:val="00593E8F"/>
    <w:rsid w:val="00594CB0"/>
    <w:rsid w:val="00595DF1"/>
    <w:rsid w:val="00595F08"/>
    <w:rsid w:val="00596625"/>
    <w:rsid w:val="00596731"/>
    <w:rsid w:val="00596B0F"/>
    <w:rsid w:val="005971E3"/>
    <w:rsid w:val="005973E6"/>
    <w:rsid w:val="00597855"/>
    <w:rsid w:val="00597936"/>
    <w:rsid w:val="005979DE"/>
    <w:rsid w:val="005A0393"/>
    <w:rsid w:val="005A0C43"/>
    <w:rsid w:val="005A0D41"/>
    <w:rsid w:val="005A2585"/>
    <w:rsid w:val="005A2A17"/>
    <w:rsid w:val="005A2BE0"/>
    <w:rsid w:val="005A2EE1"/>
    <w:rsid w:val="005A35E1"/>
    <w:rsid w:val="005A431F"/>
    <w:rsid w:val="005A4595"/>
    <w:rsid w:val="005A5425"/>
    <w:rsid w:val="005A561C"/>
    <w:rsid w:val="005A5851"/>
    <w:rsid w:val="005A6256"/>
    <w:rsid w:val="005A63B0"/>
    <w:rsid w:val="005B03C0"/>
    <w:rsid w:val="005B090D"/>
    <w:rsid w:val="005B0A04"/>
    <w:rsid w:val="005B0A13"/>
    <w:rsid w:val="005B0D1D"/>
    <w:rsid w:val="005B1273"/>
    <w:rsid w:val="005B232F"/>
    <w:rsid w:val="005B28FA"/>
    <w:rsid w:val="005B4AB5"/>
    <w:rsid w:val="005B51B1"/>
    <w:rsid w:val="005B524D"/>
    <w:rsid w:val="005B5870"/>
    <w:rsid w:val="005B65F7"/>
    <w:rsid w:val="005B6CF0"/>
    <w:rsid w:val="005B7A00"/>
    <w:rsid w:val="005C1061"/>
    <w:rsid w:val="005C1546"/>
    <w:rsid w:val="005C1C53"/>
    <w:rsid w:val="005C1E66"/>
    <w:rsid w:val="005C1FB1"/>
    <w:rsid w:val="005C2AA7"/>
    <w:rsid w:val="005C30F0"/>
    <w:rsid w:val="005C3B05"/>
    <w:rsid w:val="005C4AE9"/>
    <w:rsid w:val="005C57CE"/>
    <w:rsid w:val="005C6AC0"/>
    <w:rsid w:val="005C7F3E"/>
    <w:rsid w:val="005D001B"/>
    <w:rsid w:val="005D084E"/>
    <w:rsid w:val="005D2618"/>
    <w:rsid w:val="005D2D21"/>
    <w:rsid w:val="005D2FE1"/>
    <w:rsid w:val="005D329F"/>
    <w:rsid w:val="005D39F0"/>
    <w:rsid w:val="005D42D6"/>
    <w:rsid w:val="005D4691"/>
    <w:rsid w:val="005D62A1"/>
    <w:rsid w:val="005D67D0"/>
    <w:rsid w:val="005D7361"/>
    <w:rsid w:val="005D7F46"/>
    <w:rsid w:val="005E01F8"/>
    <w:rsid w:val="005E1360"/>
    <w:rsid w:val="005E2028"/>
    <w:rsid w:val="005E261E"/>
    <w:rsid w:val="005E2A2F"/>
    <w:rsid w:val="005E4601"/>
    <w:rsid w:val="005E4845"/>
    <w:rsid w:val="005E5245"/>
    <w:rsid w:val="005E54F0"/>
    <w:rsid w:val="005E62BF"/>
    <w:rsid w:val="005E6AB7"/>
    <w:rsid w:val="005E6BE9"/>
    <w:rsid w:val="005E7380"/>
    <w:rsid w:val="005E78A4"/>
    <w:rsid w:val="005E7BA4"/>
    <w:rsid w:val="005F21C4"/>
    <w:rsid w:val="005F25BE"/>
    <w:rsid w:val="005F3CE1"/>
    <w:rsid w:val="005F48ED"/>
    <w:rsid w:val="005F4A49"/>
    <w:rsid w:val="005F5A3A"/>
    <w:rsid w:val="005F5A79"/>
    <w:rsid w:val="005F5F2E"/>
    <w:rsid w:val="005F6157"/>
    <w:rsid w:val="005F64C8"/>
    <w:rsid w:val="005F6ACE"/>
    <w:rsid w:val="005F6B25"/>
    <w:rsid w:val="00600D48"/>
    <w:rsid w:val="00604062"/>
    <w:rsid w:val="006041E7"/>
    <w:rsid w:val="00604663"/>
    <w:rsid w:val="00604FDE"/>
    <w:rsid w:val="00605207"/>
    <w:rsid w:val="00606175"/>
    <w:rsid w:val="0060631C"/>
    <w:rsid w:val="00606E78"/>
    <w:rsid w:val="0060715D"/>
    <w:rsid w:val="006073D5"/>
    <w:rsid w:val="00607BF1"/>
    <w:rsid w:val="0061007D"/>
    <w:rsid w:val="006102C5"/>
    <w:rsid w:val="0061032C"/>
    <w:rsid w:val="00611675"/>
    <w:rsid w:val="006117AA"/>
    <w:rsid w:val="00611CFA"/>
    <w:rsid w:val="00612D46"/>
    <w:rsid w:val="00612E1D"/>
    <w:rsid w:val="006131D6"/>
    <w:rsid w:val="0061385E"/>
    <w:rsid w:val="00613B9B"/>
    <w:rsid w:val="00613F82"/>
    <w:rsid w:val="00614EA8"/>
    <w:rsid w:val="0061571F"/>
    <w:rsid w:val="0061586B"/>
    <w:rsid w:val="00616300"/>
    <w:rsid w:val="00616B08"/>
    <w:rsid w:val="00616F1B"/>
    <w:rsid w:val="006204FB"/>
    <w:rsid w:val="00621064"/>
    <w:rsid w:val="00621310"/>
    <w:rsid w:val="006218FD"/>
    <w:rsid w:val="00621A1F"/>
    <w:rsid w:val="00621EBC"/>
    <w:rsid w:val="0062251E"/>
    <w:rsid w:val="00622570"/>
    <w:rsid w:val="00623545"/>
    <w:rsid w:val="00623565"/>
    <w:rsid w:val="0062379A"/>
    <w:rsid w:val="00623A8C"/>
    <w:rsid w:val="00624404"/>
    <w:rsid w:val="006245AC"/>
    <w:rsid w:val="00624947"/>
    <w:rsid w:val="0062520E"/>
    <w:rsid w:val="0062586A"/>
    <w:rsid w:val="0062616C"/>
    <w:rsid w:val="006270C5"/>
    <w:rsid w:val="00627DBB"/>
    <w:rsid w:val="00630D14"/>
    <w:rsid w:val="00630D4D"/>
    <w:rsid w:val="00631160"/>
    <w:rsid w:val="006316E1"/>
    <w:rsid w:val="00631711"/>
    <w:rsid w:val="00631F0A"/>
    <w:rsid w:val="00632A74"/>
    <w:rsid w:val="00633309"/>
    <w:rsid w:val="006333E9"/>
    <w:rsid w:val="006336A9"/>
    <w:rsid w:val="0063392C"/>
    <w:rsid w:val="00634425"/>
    <w:rsid w:val="00634434"/>
    <w:rsid w:val="006345F7"/>
    <w:rsid w:val="0063546B"/>
    <w:rsid w:val="00635639"/>
    <w:rsid w:val="00635A67"/>
    <w:rsid w:val="00636747"/>
    <w:rsid w:val="00636D4C"/>
    <w:rsid w:val="0063762B"/>
    <w:rsid w:val="00637AB9"/>
    <w:rsid w:val="006400B0"/>
    <w:rsid w:val="00640622"/>
    <w:rsid w:val="00641BEA"/>
    <w:rsid w:val="00641E7D"/>
    <w:rsid w:val="00642037"/>
    <w:rsid w:val="00642E59"/>
    <w:rsid w:val="00643230"/>
    <w:rsid w:val="00643515"/>
    <w:rsid w:val="006435BB"/>
    <w:rsid w:val="006443FD"/>
    <w:rsid w:val="006446D8"/>
    <w:rsid w:val="00644A78"/>
    <w:rsid w:val="00644DE4"/>
    <w:rsid w:val="00645375"/>
    <w:rsid w:val="00645713"/>
    <w:rsid w:val="00645B94"/>
    <w:rsid w:val="006462DD"/>
    <w:rsid w:val="00646902"/>
    <w:rsid w:val="0064700B"/>
    <w:rsid w:val="00647BFD"/>
    <w:rsid w:val="006505CD"/>
    <w:rsid w:val="006507B3"/>
    <w:rsid w:val="006516E6"/>
    <w:rsid w:val="00651892"/>
    <w:rsid w:val="00651973"/>
    <w:rsid w:val="00651F4C"/>
    <w:rsid w:val="00652CED"/>
    <w:rsid w:val="006530C3"/>
    <w:rsid w:val="006538C9"/>
    <w:rsid w:val="00653D83"/>
    <w:rsid w:val="00653F41"/>
    <w:rsid w:val="00654020"/>
    <w:rsid w:val="0065481B"/>
    <w:rsid w:val="006549A2"/>
    <w:rsid w:val="00654ABA"/>
    <w:rsid w:val="00654D42"/>
    <w:rsid w:val="00654E8B"/>
    <w:rsid w:val="00655000"/>
    <w:rsid w:val="00655137"/>
    <w:rsid w:val="0065533A"/>
    <w:rsid w:val="006562AE"/>
    <w:rsid w:val="006570E5"/>
    <w:rsid w:val="00657677"/>
    <w:rsid w:val="006606D0"/>
    <w:rsid w:val="00661B51"/>
    <w:rsid w:val="00661CE0"/>
    <w:rsid w:val="006621E4"/>
    <w:rsid w:val="00662285"/>
    <w:rsid w:val="00662DBD"/>
    <w:rsid w:val="00662EB6"/>
    <w:rsid w:val="0066318C"/>
    <w:rsid w:val="00663810"/>
    <w:rsid w:val="0066397B"/>
    <w:rsid w:val="006639B5"/>
    <w:rsid w:val="00663AD4"/>
    <w:rsid w:val="00663D81"/>
    <w:rsid w:val="00663F29"/>
    <w:rsid w:val="00664017"/>
    <w:rsid w:val="006641AF"/>
    <w:rsid w:val="006646AB"/>
    <w:rsid w:val="0066473D"/>
    <w:rsid w:val="00664C5D"/>
    <w:rsid w:val="00665728"/>
    <w:rsid w:val="006658AF"/>
    <w:rsid w:val="00665B7E"/>
    <w:rsid w:val="00666E02"/>
    <w:rsid w:val="006679C0"/>
    <w:rsid w:val="006706C1"/>
    <w:rsid w:val="00670A35"/>
    <w:rsid w:val="00670CFB"/>
    <w:rsid w:val="006713ED"/>
    <w:rsid w:val="00671852"/>
    <w:rsid w:val="006721F1"/>
    <w:rsid w:val="00672234"/>
    <w:rsid w:val="006723FE"/>
    <w:rsid w:val="00672BEA"/>
    <w:rsid w:val="00672E35"/>
    <w:rsid w:val="00673A04"/>
    <w:rsid w:val="00673DF0"/>
    <w:rsid w:val="00673FA6"/>
    <w:rsid w:val="00674195"/>
    <w:rsid w:val="00675380"/>
    <w:rsid w:val="00675FA6"/>
    <w:rsid w:val="0067653D"/>
    <w:rsid w:val="00676631"/>
    <w:rsid w:val="006766F8"/>
    <w:rsid w:val="00677C09"/>
    <w:rsid w:val="00680579"/>
    <w:rsid w:val="006806D0"/>
    <w:rsid w:val="00680732"/>
    <w:rsid w:val="00680B5E"/>
    <w:rsid w:val="006811AE"/>
    <w:rsid w:val="00681FA1"/>
    <w:rsid w:val="00682AFE"/>
    <w:rsid w:val="00682DF1"/>
    <w:rsid w:val="00682F32"/>
    <w:rsid w:val="00683364"/>
    <w:rsid w:val="00683AF5"/>
    <w:rsid w:val="00683D10"/>
    <w:rsid w:val="00684089"/>
    <w:rsid w:val="0068693F"/>
    <w:rsid w:val="00686FE6"/>
    <w:rsid w:val="00690B3E"/>
    <w:rsid w:val="0069105C"/>
    <w:rsid w:val="006910DA"/>
    <w:rsid w:val="0069253F"/>
    <w:rsid w:val="00692EEF"/>
    <w:rsid w:val="00692EF4"/>
    <w:rsid w:val="006931E6"/>
    <w:rsid w:val="0069445D"/>
    <w:rsid w:val="00694607"/>
    <w:rsid w:val="0069506C"/>
    <w:rsid w:val="00695E4E"/>
    <w:rsid w:val="00695E61"/>
    <w:rsid w:val="00695EAC"/>
    <w:rsid w:val="00697363"/>
    <w:rsid w:val="006973E4"/>
    <w:rsid w:val="0069760B"/>
    <w:rsid w:val="00697802"/>
    <w:rsid w:val="00697DC8"/>
    <w:rsid w:val="006A16EB"/>
    <w:rsid w:val="006A1720"/>
    <w:rsid w:val="006A1745"/>
    <w:rsid w:val="006A1AE7"/>
    <w:rsid w:val="006A238C"/>
    <w:rsid w:val="006A2A73"/>
    <w:rsid w:val="006A3421"/>
    <w:rsid w:val="006A3530"/>
    <w:rsid w:val="006A375F"/>
    <w:rsid w:val="006A3D15"/>
    <w:rsid w:val="006A43DD"/>
    <w:rsid w:val="006A4655"/>
    <w:rsid w:val="006A51AF"/>
    <w:rsid w:val="006A5409"/>
    <w:rsid w:val="006A5A36"/>
    <w:rsid w:val="006A5CC9"/>
    <w:rsid w:val="006B081D"/>
    <w:rsid w:val="006B0BAF"/>
    <w:rsid w:val="006B0F68"/>
    <w:rsid w:val="006B124A"/>
    <w:rsid w:val="006B14F5"/>
    <w:rsid w:val="006B1524"/>
    <w:rsid w:val="006B1BCC"/>
    <w:rsid w:val="006B2B3C"/>
    <w:rsid w:val="006B3E17"/>
    <w:rsid w:val="006B40CD"/>
    <w:rsid w:val="006B4181"/>
    <w:rsid w:val="006B423E"/>
    <w:rsid w:val="006B427A"/>
    <w:rsid w:val="006B4735"/>
    <w:rsid w:val="006B4C88"/>
    <w:rsid w:val="006B4F1B"/>
    <w:rsid w:val="006B5560"/>
    <w:rsid w:val="006B6B94"/>
    <w:rsid w:val="006B75F9"/>
    <w:rsid w:val="006B7665"/>
    <w:rsid w:val="006C0376"/>
    <w:rsid w:val="006C03ED"/>
    <w:rsid w:val="006C10E6"/>
    <w:rsid w:val="006C166B"/>
    <w:rsid w:val="006C1D81"/>
    <w:rsid w:val="006C2087"/>
    <w:rsid w:val="006C2243"/>
    <w:rsid w:val="006C2378"/>
    <w:rsid w:val="006C247B"/>
    <w:rsid w:val="006C2597"/>
    <w:rsid w:val="006C2BEE"/>
    <w:rsid w:val="006C320A"/>
    <w:rsid w:val="006C34CF"/>
    <w:rsid w:val="006C428D"/>
    <w:rsid w:val="006C4A11"/>
    <w:rsid w:val="006C523B"/>
    <w:rsid w:val="006C5723"/>
    <w:rsid w:val="006C5C74"/>
    <w:rsid w:val="006C5DED"/>
    <w:rsid w:val="006C606E"/>
    <w:rsid w:val="006C63DE"/>
    <w:rsid w:val="006C64B1"/>
    <w:rsid w:val="006C7038"/>
    <w:rsid w:val="006C7529"/>
    <w:rsid w:val="006D099E"/>
    <w:rsid w:val="006D11A9"/>
    <w:rsid w:val="006D2034"/>
    <w:rsid w:val="006D2F24"/>
    <w:rsid w:val="006D3A2B"/>
    <w:rsid w:val="006D3E7C"/>
    <w:rsid w:val="006D41F5"/>
    <w:rsid w:val="006D46C8"/>
    <w:rsid w:val="006D4A1F"/>
    <w:rsid w:val="006D4CFC"/>
    <w:rsid w:val="006D4DA0"/>
    <w:rsid w:val="006D5005"/>
    <w:rsid w:val="006D5783"/>
    <w:rsid w:val="006D636D"/>
    <w:rsid w:val="006D63C5"/>
    <w:rsid w:val="006D66BA"/>
    <w:rsid w:val="006E025C"/>
    <w:rsid w:val="006E059E"/>
    <w:rsid w:val="006E078F"/>
    <w:rsid w:val="006E1070"/>
    <w:rsid w:val="006E10D6"/>
    <w:rsid w:val="006E2F9B"/>
    <w:rsid w:val="006E2FD1"/>
    <w:rsid w:val="006E3E1F"/>
    <w:rsid w:val="006E4BFF"/>
    <w:rsid w:val="006E52FE"/>
    <w:rsid w:val="006E5AFC"/>
    <w:rsid w:val="006E718F"/>
    <w:rsid w:val="006E73EF"/>
    <w:rsid w:val="006E743B"/>
    <w:rsid w:val="006E74D2"/>
    <w:rsid w:val="006F04E9"/>
    <w:rsid w:val="006F06FF"/>
    <w:rsid w:val="006F118D"/>
    <w:rsid w:val="006F1502"/>
    <w:rsid w:val="006F1A7F"/>
    <w:rsid w:val="006F21B2"/>
    <w:rsid w:val="006F2DB5"/>
    <w:rsid w:val="006F31F0"/>
    <w:rsid w:val="006F341F"/>
    <w:rsid w:val="006F34CB"/>
    <w:rsid w:val="006F43F5"/>
    <w:rsid w:val="006F4559"/>
    <w:rsid w:val="006F46D7"/>
    <w:rsid w:val="006F479E"/>
    <w:rsid w:val="006F4EF8"/>
    <w:rsid w:val="006F5F8D"/>
    <w:rsid w:val="006F61FA"/>
    <w:rsid w:val="006F6B65"/>
    <w:rsid w:val="006F6BEF"/>
    <w:rsid w:val="006F6E0F"/>
    <w:rsid w:val="006F74E5"/>
    <w:rsid w:val="006F7849"/>
    <w:rsid w:val="006F7A1D"/>
    <w:rsid w:val="0070048A"/>
    <w:rsid w:val="0070075E"/>
    <w:rsid w:val="00700C5B"/>
    <w:rsid w:val="0070259E"/>
    <w:rsid w:val="00702935"/>
    <w:rsid w:val="00702B78"/>
    <w:rsid w:val="0070318A"/>
    <w:rsid w:val="007033C3"/>
    <w:rsid w:val="00703D36"/>
    <w:rsid w:val="0070449C"/>
    <w:rsid w:val="00704751"/>
    <w:rsid w:val="0070499E"/>
    <w:rsid w:val="00704C10"/>
    <w:rsid w:val="00705388"/>
    <w:rsid w:val="00705866"/>
    <w:rsid w:val="0070597F"/>
    <w:rsid w:val="0070599F"/>
    <w:rsid w:val="00707254"/>
    <w:rsid w:val="007079C9"/>
    <w:rsid w:val="00710A65"/>
    <w:rsid w:val="00710E71"/>
    <w:rsid w:val="00710F85"/>
    <w:rsid w:val="00710FFC"/>
    <w:rsid w:val="0071114E"/>
    <w:rsid w:val="00712070"/>
    <w:rsid w:val="00712329"/>
    <w:rsid w:val="007129BF"/>
    <w:rsid w:val="00713A29"/>
    <w:rsid w:val="00714671"/>
    <w:rsid w:val="007146C0"/>
    <w:rsid w:val="00714D43"/>
    <w:rsid w:val="00714D4D"/>
    <w:rsid w:val="00714F63"/>
    <w:rsid w:val="00715ED9"/>
    <w:rsid w:val="00715F1F"/>
    <w:rsid w:val="0071608F"/>
    <w:rsid w:val="007164F0"/>
    <w:rsid w:val="0071655A"/>
    <w:rsid w:val="00716819"/>
    <w:rsid w:val="00716876"/>
    <w:rsid w:val="007172EA"/>
    <w:rsid w:val="0071734A"/>
    <w:rsid w:val="00717B71"/>
    <w:rsid w:val="00717F49"/>
    <w:rsid w:val="007205EC"/>
    <w:rsid w:val="00720EC4"/>
    <w:rsid w:val="00721589"/>
    <w:rsid w:val="00721935"/>
    <w:rsid w:val="007219F7"/>
    <w:rsid w:val="00721BCB"/>
    <w:rsid w:val="007222E2"/>
    <w:rsid w:val="00723444"/>
    <w:rsid w:val="00724211"/>
    <w:rsid w:val="007248CD"/>
    <w:rsid w:val="00724D75"/>
    <w:rsid w:val="0072561B"/>
    <w:rsid w:val="007266D3"/>
    <w:rsid w:val="00726A74"/>
    <w:rsid w:val="00726AEA"/>
    <w:rsid w:val="00727A12"/>
    <w:rsid w:val="00727A3A"/>
    <w:rsid w:val="00727E7A"/>
    <w:rsid w:val="0073063D"/>
    <w:rsid w:val="00731052"/>
    <w:rsid w:val="00732029"/>
    <w:rsid w:val="007327E9"/>
    <w:rsid w:val="00732CF6"/>
    <w:rsid w:val="00733249"/>
    <w:rsid w:val="007338CF"/>
    <w:rsid w:val="00733C90"/>
    <w:rsid w:val="00733EF4"/>
    <w:rsid w:val="00734C37"/>
    <w:rsid w:val="00734E44"/>
    <w:rsid w:val="007353E5"/>
    <w:rsid w:val="00735C2F"/>
    <w:rsid w:val="007361B4"/>
    <w:rsid w:val="00736326"/>
    <w:rsid w:val="00736554"/>
    <w:rsid w:val="00736818"/>
    <w:rsid w:val="00736BE7"/>
    <w:rsid w:val="007377B6"/>
    <w:rsid w:val="0073784D"/>
    <w:rsid w:val="00737C55"/>
    <w:rsid w:val="00740150"/>
    <w:rsid w:val="00740249"/>
    <w:rsid w:val="00740565"/>
    <w:rsid w:val="00740AB7"/>
    <w:rsid w:val="007416E1"/>
    <w:rsid w:val="00742AA0"/>
    <w:rsid w:val="00742ACB"/>
    <w:rsid w:val="00742D4D"/>
    <w:rsid w:val="00742FC9"/>
    <w:rsid w:val="007435CE"/>
    <w:rsid w:val="00744A3C"/>
    <w:rsid w:val="00744A9B"/>
    <w:rsid w:val="007456E5"/>
    <w:rsid w:val="007473EB"/>
    <w:rsid w:val="00747400"/>
    <w:rsid w:val="00747B3A"/>
    <w:rsid w:val="00750392"/>
    <w:rsid w:val="007519B0"/>
    <w:rsid w:val="0075230E"/>
    <w:rsid w:val="0075239E"/>
    <w:rsid w:val="00752926"/>
    <w:rsid w:val="00753236"/>
    <w:rsid w:val="007537B5"/>
    <w:rsid w:val="00753C02"/>
    <w:rsid w:val="0075500F"/>
    <w:rsid w:val="00755A56"/>
    <w:rsid w:val="00755ACB"/>
    <w:rsid w:val="00755F19"/>
    <w:rsid w:val="00756D32"/>
    <w:rsid w:val="007575DD"/>
    <w:rsid w:val="00757E3F"/>
    <w:rsid w:val="00757FBA"/>
    <w:rsid w:val="007604BB"/>
    <w:rsid w:val="00760AB4"/>
    <w:rsid w:val="00761491"/>
    <w:rsid w:val="00762328"/>
    <w:rsid w:val="0076244E"/>
    <w:rsid w:val="007626DD"/>
    <w:rsid w:val="00762D8B"/>
    <w:rsid w:val="00762E4F"/>
    <w:rsid w:val="00763053"/>
    <w:rsid w:val="00763DE4"/>
    <w:rsid w:val="00763E82"/>
    <w:rsid w:val="007642A4"/>
    <w:rsid w:val="00764890"/>
    <w:rsid w:val="00764F87"/>
    <w:rsid w:val="007650D9"/>
    <w:rsid w:val="007651D3"/>
    <w:rsid w:val="00765BF0"/>
    <w:rsid w:val="00765CE4"/>
    <w:rsid w:val="00766234"/>
    <w:rsid w:val="007663B4"/>
    <w:rsid w:val="007667CE"/>
    <w:rsid w:val="00766954"/>
    <w:rsid w:val="007672C6"/>
    <w:rsid w:val="0076784A"/>
    <w:rsid w:val="007678AF"/>
    <w:rsid w:val="00767BC3"/>
    <w:rsid w:val="0077098C"/>
    <w:rsid w:val="007714BE"/>
    <w:rsid w:val="0077215E"/>
    <w:rsid w:val="00772358"/>
    <w:rsid w:val="0077236C"/>
    <w:rsid w:val="00772909"/>
    <w:rsid w:val="00772B66"/>
    <w:rsid w:val="00772D26"/>
    <w:rsid w:val="00772D37"/>
    <w:rsid w:val="00773242"/>
    <w:rsid w:val="00773283"/>
    <w:rsid w:val="00773683"/>
    <w:rsid w:val="007737DD"/>
    <w:rsid w:val="00773C71"/>
    <w:rsid w:val="00773F3D"/>
    <w:rsid w:val="007747A0"/>
    <w:rsid w:val="00775084"/>
    <w:rsid w:val="00775122"/>
    <w:rsid w:val="0077533A"/>
    <w:rsid w:val="0077590E"/>
    <w:rsid w:val="007761D7"/>
    <w:rsid w:val="007764A0"/>
    <w:rsid w:val="007801F8"/>
    <w:rsid w:val="0078025E"/>
    <w:rsid w:val="007806FF"/>
    <w:rsid w:val="00780A83"/>
    <w:rsid w:val="00780DE7"/>
    <w:rsid w:val="00781860"/>
    <w:rsid w:val="00782864"/>
    <w:rsid w:val="0078291A"/>
    <w:rsid w:val="007843E3"/>
    <w:rsid w:val="00784D81"/>
    <w:rsid w:val="00784D9E"/>
    <w:rsid w:val="00784F13"/>
    <w:rsid w:val="00785232"/>
    <w:rsid w:val="00785C8E"/>
    <w:rsid w:val="00786240"/>
    <w:rsid w:val="00786721"/>
    <w:rsid w:val="00786850"/>
    <w:rsid w:val="00787250"/>
    <w:rsid w:val="0078784D"/>
    <w:rsid w:val="00787B11"/>
    <w:rsid w:val="00787F47"/>
    <w:rsid w:val="00792181"/>
    <w:rsid w:val="00792F51"/>
    <w:rsid w:val="00793DA8"/>
    <w:rsid w:val="00794A22"/>
    <w:rsid w:val="00794B5F"/>
    <w:rsid w:val="00794D17"/>
    <w:rsid w:val="007953FE"/>
    <w:rsid w:val="007955E9"/>
    <w:rsid w:val="00796191"/>
    <w:rsid w:val="0079660B"/>
    <w:rsid w:val="00796A3E"/>
    <w:rsid w:val="00796E96"/>
    <w:rsid w:val="0079701E"/>
    <w:rsid w:val="00797558"/>
    <w:rsid w:val="0079768F"/>
    <w:rsid w:val="00797F95"/>
    <w:rsid w:val="007A0E3F"/>
    <w:rsid w:val="007A1454"/>
    <w:rsid w:val="007A159B"/>
    <w:rsid w:val="007A1AC2"/>
    <w:rsid w:val="007A21EB"/>
    <w:rsid w:val="007A23E0"/>
    <w:rsid w:val="007A23E7"/>
    <w:rsid w:val="007A268A"/>
    <w:rsid w:val="007A2AA2"/>
    <w:rsid w:val="007A2B13"/>
    <w:rsid w:val="007A375E"/>
    <w:rsid w:val="007A37C7"/>
    <w:rsid w:val="007A3D85"/>
    <w:rsid w:val="007A3EE2"/>
    <w:rsid w:val="007A46F0"/>
    <w:rsid w:val="007A4724"/>
    <w:rsid w:val="007A498B"/>
    <w:rsid w:val="007A5151"/>
    <w:rsid w:val="007A5547"/>
    <w:rsid w:val="007A5A44"/>
    <w:rsid w:val="007A6962"/>
    <w:rsid w:val="007A6A07"/>
    <w:rsid w:val="007A6F21"/>
    <w:rsid w:val="007A75B0"/>
    <w:rsid w:val="007A7D74"/>
    <w:rsid w:val="007B0507"/>
    <w:rsid w:val="007B1A93"/>
    <w:rsid w:val="007B41D2"/>
    <w:rsid w:val="007B49C4"/>
    <w:rsid w:val="007B49D3"/>
    <w:rsid w:val="007B4D87"/>
    <w:rsid w:val="007B4EC5"/>
    <w:rsid w:val="007B652C"/>
    <w:rsid w:val="007B6A6D"/>
    <w:rsid w:val="007B702C"/>
    <w:rsid w:val="007C0794"/>
    <w:rsid w:val="007C1331"/>
    <w:rsid w:val="007C1ACC"/>
    <w:rsid w:val="007C1C30"/>
    <w:rsid w:val="007C2014"/>
    <w:rsid w:val="007C2114"/>
    <w:rsid w:val="007C2B7D"/>
    <w:rsid w:val="007C3649"/>
    <w:rsid w:val="007C36C9"/>
    <w:rsid w:val="007C385E"/>
    <w:rsid w:val="007C3DB4"/>
    <w:rsid w:val="007C3E62"/>
    <w:rsid w:val="007C4159"/>
    <w:rsid w:val="007C4863"/>
    <w:rsid w:val="007C4B71"/>
    <w:rsid w:val="007C59A2"/>
    <w:rsid w:val="007C60C5"/>
    <w:rsid w:val="007C651E"/>
    <w:rsid w:val="007C688A"/>
    <w:rsid w:val="007C6C57"/>
    <w:rsid w:val="007D0ADF"/>
    <w:rsid w:val="007D151D"/>
    <w:rsid w:val="007D18CE"/>
    <w:rsid w:val="007D259D"/>
    <w:rsid w:val="007D2A2F"/>
    <w:rsid w:val="007D3814"/>
    <w:rsid w:val="007D39C5"/>
    <w:rsid w:val="007D3BE6"/>
    <w:rsid w:val="007D3D15"/>
    <w:rsid w:val="007D4185"/>
    <w:rsid w:val="007D4EC6"/>
    <w:rsid w:val="007D55F9"/>
    <w:rsid w:val="007D5DEB"/>
    <w:rsid w:val="007D6401"/>
    <w:rsid w:val="007D6A37"/>
    <w:rsid w:val="007D6AE4"/>
    <w:rsid w:val="007D7316"/>
    <w:rsid w:val="007E01E4"/>
    <w:rsid w:val="007E08CA"/>
    <w:rsid w:val="007E0964"/>
    <w:rsid w:val="007E101B"/>
    <w:rsid w:val="007E114B"/>
    <w:rsid w:val="007E1267"/>
    <w:rsid w:val="007E14AA"/>
    <w:rsid w:val="007E1D97"/>
    <w:rsid w:val="007E21C5"/>
    <w:rsid w:val="007E2BD4"/>
    <w:rsid w:val="007E3321"/>
    <w:rsid w:val="007E3592"/>
    <w:rsid w:val="007E35F3"/>
    <w:rsid w:val="007E36C4"/>
    <w:rsid w:val="007E36FB"/>
    <w:rsid w:val="007E5385"/>
    <w:rsid w:val="007E546D"/>
    <w:rsid w:val="007E550D"/>
    <w:rsid w:val="007E6099"/>
    <w:rsid w:val="007E6529"/>
    <w:rsid w:val="007E7A12"/>
    <w:rsid w:val="007F09BD"/>
    <w:rsid w:val="007F0F06"/>
    <w:rsid w:val="007F2111"/>
    <w:rsid w:val="007F2B6A"/>
    <w:rsid w:val="007F2F5F"/>
    <w:rsid w:val="007F3852"/>
    <w:rsid w:val="007F3F51"/>
    <w:rsid w:val="007F42CC"/>
    <w:rsid w:val="007F4C54"/>
    <w:rsid w:val="007F57CC"/>
    <w:rsid w:val="007F630E"/>
    <w:rsid w:val="007F642F"/>
    <w:rsid w:val="007F6940"/>
    <w:rsid w:val="007F6C77"/>
    <w:rsid w:val="007F7107"/>
    <w:rsid w:val="00800BA2"/>
    <w:rsid w:val="00800D4C"/>
    <w:rsid w:val="00800ED7"/>
    <w:rsid w:val="00800F66"/>
    <w:rsid w:val="00801795"/>
    <w:rsid w:val="00801942"/>
    <w:rsid w:val="0080195B"/>
    <w:rsid w:val="00801A94"/>
    <w:rsid w:val="00801DAE"/>
    <w:rsid w:val="008023E4"/>
    <w:rsid w:val="00802E04"/>
    <w:rsid w:val="0080328E"/>
    <w:rsid w:val="00803C2B"/>
    <w:rsid w:val="00803D1C"/>
    <w:rsid w:val="00803FEA"/>
    <w:rsid w:val="0080406C"/>
    <w:rsid w:val="0080522E"/>
    <w:rsid w:val="0080536A"/>
    <w:rsid w:val="0080547D"/>
    <w:rsid w:val="0080585A"/>
    <w:rsid w:val="00806098"/>
    <w:rsid w:val="00806114"/>
    <w:rsid w:val="008064F1"/>
    <w:rsid w:val="00806681"/>
    <w:rsid w:val="00807036"/>
    <w:rsid w:val="008072DD"/>
    <w:rsid w:val="00807A9C"/>
    <w:rsid w:val="0081030F"/>
    <w:rsid w:val="00810351"/>
    <w:rsid w:val="00810816"/>
    <w:rsid w:val="00810A7B"/>
    <w:rsid w:val="0081101D"/>
    <w:rsid w:val="008115EA"/>
    <w:rsid w:val="00812F4A"/>
    <w:rsid w:val="0081357A"/>
    <w:rsid w:val="00813804"/>
    <w:rsid w:val="008140AD"/>
    <w:rsid w:val="00814963"/>
    <w:rsid w:val="00815B11"/>
    <w:rsid w:val="00815B85"/>
    <w:rsid w:val="00815CD5"/>
    <w:rsid w:val="008161E5"/>
    <w:rsid w:val="0081647B"/>
    <w:rsid w:val="008205BB"/>
    <w:rsid w:val="0082087D"/>
    <w:rsid w:val="00820ADC"/>
    <w:rsid w:val="00820C4C"/>
    <w:rsid w:val="00820D05"/>
    <w:rsid w:val="00820D98"/>
    <w:rsid w:val="008212BD"/>
    <w:rsid w:val="008215C2"/>
    <w:rsid w:val="008219B9"/>
    <w:rsid w:val="00821B18"/>
    <w:rsid w:val="00821BF6"/>
    <w:rsid w:val="00822240"/>
    <w:rsid w:val="00822F9E"/>
    <w:rsid w:val="008233E2"/>
    <w:rsid w:val="008244A4"/>
    <w:rsid w:val="00824D00"/>
    <w:rsid w:val="008253F1"/>
    <w:rsid w:val="00826159"/>
    <w:rsid w:val="00826731"/>
    <w:rsid w:val="00826B81"/>
    <w:rsid w:val="00827DC2"/>
    <w:rsid w:val="00831062"/>
    <w:rsid w:val="0083161F"/>
    <w:rsid w:val="008319B5"/>
    <w:rsid w:val="0083216A"/>
    <w:rsid w:val="00832894"/>
    <w:rsid w:val="00832C5F"/>
    <w:rsid w:val="008338F2"/>
    <w:rsid w:val="00833962"/>
    <w:rsid w:val="00833D95"/>
    <w:rsid w:val="00833F13"/>
    <w:rsid w:val="00835771"/>
    <w:rsid w:val="008363A4"/>
    <w:rsid w:val="00837172"/>
    <w:rsid w:val="00837692"/>
    <w:rsid w:val="00837979"/>
    <w:rsid w:val="00837E88"/>
    <w:rsid w:val="008406BB"/>
    <w:rsid w:val="00840721"/>
    <w:rsid w:val="00840934"/>
    <w:rsid w:val="00840AB9"/>
    <w:rsid w:val="008413AD"/>
    <w:rsid w:val="00841699"/>
    <w:rsid w:val="008418FA"/>
    <w:rsid w:val="00841C18"/>
    <w:rsid w:val="00841F61"/>
    <w:rsid w:val="00842669"/>
    <w:rsid w:val="00842933"/>
    <w:rsid w:val="00842F5D"/>
    <w:rsid w:val="008438FF"/>
    <w:rsid w:val="00843909"/>
    <w:rsid w:val="00843D05"/>
    <w:rsid w:val="008442A3"/>
    <w:rsid w:val="0084468E"/>
    <w:rsid w:val="00844EA7"/>
    <w:rsid w:val="008456CE"/>
    <w:rsid w:val="00846CE2"/>
    <w:rsid w:val="00850091"/>
    <w:rsid w:val="0085084C"/>
    <w:rsid w:val="00851B87"/>
    <w:rsid w:val="0085236A"/>
    <w:rsid w:val="00852714"/>
    <w:rsid w:val="008528CA"/>
    <w:rsid w:val="00852B76"/>
    <w:rsid w:val="00852DE1"/>
    <w:rsid w:val="0085347B"/>
    <w:rsid w:val="00853938"/>
    <w:rsid w:val="008541F8"/>
    <w:rsid w:val="00855306"/>
    <w:rsid w:val="00855ADD"/>
    <w:rsid w:val="00856465"/>
    <w:rsid w:val="00856655"/>
    <w:rsid w:val="00856C19"/>
    <w:rsid w:val="0085795F"/>
    <w:rsid w:val="008604E9"/>
    <w:rsid w:val="00860538"/>
    <w:rsid w:val="0086082C"/>
    <w:rsid w:val="00860C36"/>
    <w:rsid w:val="00860CD3"/>
    <w:rsid w:val="008616CB"/>
    <w:rsid w:val="008621E9"/>
    <w:rsid w:val="008626ED"/>
    <w:rsid w:val="00862EE7"/>
    <w:rsid w:val="00862F83"/>
    <w:rsid w:val="0086326A"/>
    <w:rsid w:val="008638BA"/>
    <w:rsid w:val="008639C2"/>
    <w:rsid w:val="008643DF"/>
    <w:rsid w:val="008646F6"/>
    <w:rsid w:val="00864ADC"/>
    <w:rsid w:val="00865E6E"/>
    <w:rsid w:val="00866A19"/>
    <w:rsid w:val="00866B9C"/>
    <w:rsid w:val="0086749B"/>
    <w:rsid w:val="0086792E"/>
    <w:rsid w:val="00867D45"/>
    <w:rsid w:val="008703B2"/>
    <w:rsid w:val="00871CC5"/>
    <w:rsid w:val="008722A6"/>
    <w:rsid w:val="008722B8"/>
    <w:rsid w:val="00872A40"/>
    <w:rsid w:val="008739A8"/>
    <w:rsid w:val="00873F13"/>
    <w:rsid w:val="008749C3"/>
    <w:rsid w:val="00874C39"/>
    <w:rsid w:val="00875B4A"/>
    <w:rsid w:val="00875CC4"/>
    <w:rsid w:val="00876FD4"/>
    <w:rsid w:val="00877590"/>
    <w:rsid w:val="00877DD2"/>
    <w:rsid w:val="00880153"/>
    <w:rsid w:val="00880CA1"/>
    <w:rsid w:val="00880F97"/>
    <w:rsid w:val="0088133A"/>
    <w:rsid w:val="00881540"/>
    <w:rsid w:val="008828D8"/>
    <w:rsid w:val="0088315D"/>
    <w:rsid w:val="0088519F"/>
    <w:rsid w:val="0088533E"/>
    <w:rsid w:val="00885C94"/>
    <w:rsid w:val="008869F9"/>
    <w:rsid w:val="0088719B"/>
    <w:rsid w:val="00887691"/>
    <w:rsid w:val="00887A2C"/>
    <w:rsid w:val="008921DB"/>
    <w:rsid w:val="0089285E"/>
    <w:rsid w:val="008930AE"/>
    <w:rsid w:val="00893151"/>
    <w:rsid w:val="008937C4"/>
    <w:rsid w:val="0089436C"/>
    <w:rsid w:val="00894704"/>
    <w:rsid w:val="00895801"/>
    <w:rsid w:val="008967CC"/>
    <w:rsid w:val="00896FF1"/>
    <w:rsid w:val="0089791D"/>
    <w:rsid w:val="00897BB9"/>
    <w:rsid w:val="00897D45"/>
    <w:rsid w:val="00897D95"/>
    <w:rsid w:val="008A0318"/>
    <w:rsid w:val="008A125C"/>
    <w:rsid w:val="008A1744"/>
    <w:rsid w:val="008A2833"/>
    <w:rsid w:val="008A41FB"/>
    <w:rsid w:val="008A5236"/>
    <w:rsid w:val="008A54C5"/>
    <w:rsid w:val="008A57F3"/>
    <w:rsid w:val="008A5F98"/>
    <w:rsid w:val="008A624A"/>
    <w:rsid w:val="008A67AD"/>
    <w:rsid w:val="008A67EF"/>
    <w:rsid w:val="008A70FF"/>
    <w:rsid w:val="008A7E79"/>
    <w:rsid w:val="008B0189"/>
    <w:rsid w:val="008B08A4"/>
    <w:rsid w:val="008B1269"/>
    <w:rsid w:val="008B12B8"/>
    <w:rsid w:val="008B14E0"/>
    <w:rsid w:val="008B2179"/>
    <w:rsid w:val="008B27E4"/>
    <w:rsid w:val="008B32AE"/>
    <w:rsid w:val="008B3AEC"/>
    <w:rsid w:val="008B4AE3"/>
    <w:rsid w:val="008B4AFB"/>
    <w:rsid w:val="008B5662"/>
    <w:rsid w:val="008B56BE"/>
    <w:rsid w:val="008B5C93"/>
    <w:rsid w:val="008B6359"/>
    <w:rsid w:val="008B643F"/>
    <w:rsid w:val="008B6E4E"/>
    <w:rsid w:val="008B7269"/>
    <w:rsid w:val="008B7439"/>
    <w:rsid w:val="008B7A1F"/>
    <w:rsid w:val="008B7DAB"/>
    <w:rsid w:val="008B7F89"/>
    <w:rsid w:val="008C0076"/>
    <w:rsid w:val="008C09B0"/>
    <w:rsid w:val="008C0CC5"/>
    <w:rsid w:val="008C125A"/>
    <w:rsid w:val="008C17F2"/>
    <w:rsid w:val="008C1CC8"/>
    <w:rsid w:val="008C1E82"/>
    <w:rsid w:val="008C20B8"/>
    <w:rsid w:val="008C434E"/>
    <w:rsid w:val="008C436C"/>
    <w:rsid w:val="008C58CC"/>
    <w:rsid w:val="008C602E"/>
    <w:rsid w:val="008C68CC"/>
    <w:rsid w:val="008C68E6"/>
    <w:rsid w:val="008C6E10"/>
    <w:rsid w:val="008C7575"/>
    <w:rsid w:val="008C7C93"/>
    <w:rsid w:val="008D0F9A"/>
    <w:rsid w:val="008D1445"/>
    <w:rsid w:val="008D2127"/>
    <w:rsid w:val="008D2180"/>
    <w:rsid w:val="008D365C"/>
    <w:rsid w:val="008D38F4"/>
    <w:rsid w:val="008D3BCD"/>
    <w:rsid w:val="008D3EEF"/>
    <w:rsid w:val="008D43EC"/>
    <w:rsid w:val="008D4F40"/>
    <w:rsid w:val="008D5BB9"/>
    <w:rsid w:val="008D632B"/>
    <w:rsid w:val="008D63EA"/>
    <w:rsid w:val="008D661E"/>
    <w:rsid w:val="008D7075"/>
    <w:rsid w:val="008D7622"/>
    <w:rsid w:val="008E0AB0"/>
    <w:rsid w:val="008E1068"/>
    <w:rsid w:val="008E19C2"/>
    <w:rsid w:val="008E21D5"/>
    <w:rsid w:val="008E3309"/>
    <w:rsid w:val="008E4130"/>
    <w:rsid w:val="008E43D1"/>
    <w:rsid w:val="008E5846"/>
    <w:rsid w:val="008E58F5"/>
    <w:rsid w:val="008E6015"/>
    <w:rsid w:val="008E6140"/>
    <w:rsid w:val="008E6738"/>
    <w:rsid w:val="008E6F95"/>
    <w:rsid w:val="008E73D1"/>
    <w:rsid w:val="008E7591"/>
    <w:rsid w:val="008F0463"/>
    <w:rsid w:val="008F080A"/>
    <w:rsid w:val="008F1161"/>
    <w:rsid w:val="008F1540"/>
    <w:rsid w:val="008F18A7"/>
    <w:rsid w:val="008F195C"/>
    <w:rsid w:val="008F1E9B"/>
    <w:rsid w:val="008F1FB8"/>
    <w:rsid w:val="008F233D"/>
    <w:rsid w:val="008F2702"/>
    <w:rsid w:val="008F31EB"/>
    <w:rsid w:val="008F3573"/>
    <w:rsid w:val="008F35F7"/>
    <w:rsid w:val="008F3B1C"/>
    <w:rsid w:val="008F42E3"/>
    <w:rsid w:val="008F4841"/>
    <w:rsid w:val="008F55A9"/>
    <w:rsid w:val="008F564E"/>
    <w:rsid w:val="008F607C"/>
    <w:rsid w:val="008F60B3"/>
    <w:rsid w:val="008F67D6"/>
    <w:rsid w:val="008F6EEC"/>
    <w:rsid w:val="008F73EE"/>
    <w:rsid w:val="008F7DC7"/>
    <w:rsid w:val="008F7FE1"/>
    <w:rsid w:val="009000F9"/>
    <w:rsid w:val="00900923"/>
    <w:rsid w:val="00900AD0"/>
    <w:rsid w:val="00901F36"/>
    <w:rsid w:val="00901FE8"/>
    <w:rsid w:val="009021A6"/>
    <w:rsid w:val="009030BF"/>
    <w:rsid w:val="00903B52"/>
    <w:rsid w:val="00904AF3"/>
    <w:rsid w:val="00904AFF"/>
    <w:rsid w:val="00904D61"/>
    <w:rsid w:val="00905014"/>
    <w:rsid w:val="00905C2E"/>
    <w:rsid w:val="00906938"/>
    <w:rsid w:val="0090728C"/>
    <w:rsid w:val="009073B7"/>
    <w:rsid w:val="00907902"/>
    <w:rsid w:val="00907F34"/>
    <w:rsid w:val="00907FE7"/>
    <w:rsid w:val="0091032F"/>
    <w:rsid w:val="00910CB2"/>
    <w:rsid w:val="00910CF7"/>
    <w:rsid w:val="00911325"/>
    <w:rsid w:val="00913505"/>
    <w:rsid w:val="00913ED2"/>
    <w:rsid w:val="00914368"/>
    <w:rsid w:val="0091454C"/>
    <w:rsid w:val="009146DB"/>
    <w:rsid w:val="00914F1E"/>
    <w:rsid w:val="00915780"/>
    <w:rsid w:val="00916B8F"/>
    <w:rsid w:val="009173FF"/>
    <w:rsid w:val="0091765C"/>
    <w:rsid w:val="009206F9"/>
    <w:rsid w:val="0092091F"/>
    <w:rsid w:val="00920CE2"/>
    <w:rsid w:val="00921D2F"/>
    <w:rsid w:val="00921DA5"/>
    <w:rsid w:val="00921E26"/>
    <w:rsid w:val="0092277A"/>
    <w:rsid w:val="009235EE"/>
    <w:rsid w:val="009242F0"/>
    <w:rsid w:val="00924DCF"/>
    <w:rsid w:val="009258FE"/>
    <w:rsid w:val="009266EB"/>
    <w:rsid w:val="00926B70"/>
    <w:rsid w:val="00927843"/>
    <w:rsid w:val="00930AD1"/>
    <w:rsid w:val="00931076"/>
    <w:rsid w:val="00931876"/>
    <w:rsid w:val="00931C28"/>
    <w:rsid w:val="00931C29"/>
    <w:rsid w:val="00931CA4"/>
    <w:rsid w:val="009325AB"/>
    <w:rsid w:val="00932639"/>
    <w:rsid w:val="00932D28"/>
    <w:rsid w:val="00933021"/>
    <w:rsid w:val="00933B3D"/>
    <w:rsid w:val="00933BFE"/>
    <w:rsid w:val="009345D9"/>
    <w:rsid w:val="0093466F"/>
    <w:rsid w:val="00934805"/>
    <w:rsid w:val="00934A61"/>
    <w:rsid w:val="00934B15"/>
    <w:rsid w:val="00936011"/>
    <w:rsid w:val="00936B00"/>
    <w:rsid w:val="00936BE2"/>
    <w:rsid w:val="00936FF5"/>
    <w:rsid w:val="00937479"/>
    <w:rsid w:val="009401B5"/>
    <w:rsid w:val="00940C87"/>
    <w:rsid w:val="009411C6"/>
    <w:rsid w:val="00941974"/>
    <w:rsid w:val="00941F47"/>
    <w:rsid w:val="0094227A"/>
    <w:rsid w:val="009427EF"/>
    <w:rsid w:val="009429E4"/>
    <w:rsid w:val="00942B62"/>
    <w:rsid w:val="009435F0"/>
    <w:rsid w:val="009436B9"/>
    <w:rsid w:val="00944B6A"/>
    <w:rsid w:val="00944D9D"/>
    <w:rsid w:val="009452F6"/>
    <w:rsid w:val="0094593F"/>
    <w:rsid w:val="00945BFB"/>
    <w:rsid w:val="009460B0"/>
    <w:rsid w:val="00946827"/>
    <w:rsid w:val="00946B12"/>
    <w:rsid w:val="009471D5"/>
    <w:rsid w:val="0094737B"/>
    <w:rsid w:val="0094765C"/>
    <w:rsid w:val="009501D3"/>
    <w:rsid w:val="009503D9"/>
    <w:rsid w:val="009511BE"/>
    <w:rsid w:val="009516C2"/>
    <w:rsid w:val="009517BB"/>
    <w:rsid w:val="00951EE0"/>
    <w:rsid w:val="00951F28"/>
    <w:rsid w:val="0095214D"/>
    <w:rsid w:val="00952A48"/>
    <w:rsid w:val="00952BCE"/>
    <w:rsid w:val="00953031"/>
    <w:rsid w:val="0095323B"/>
    <w:rsid w:val="009535C0"/>
    <w:rsid w:val="0095390B"/>
    <w:rsid w:val="00954836"/>
    <w:rsid w:val="00954888"/>
    <w:rsid w:val="00954F9B"/>
    <w:rsid w:val="0095532B"/>
    <w:rsid w:val="00955614"/>
    <w:rsid w:val="009558F6"/>
    <w:rsid w:val="00956216"/>
    <w:rsid w:val="00956A0C"/>
    <w:rsid w:val="00956A61"/>
    <w:rsid w:val="00956BD9"/>
    <w:rsid w:val="009579B6"/>
    <w:rsid w:val="00960B96"/>
    <w:rsid w:val="00961D09"/>
    <w:rsid w:val="0096202B"/>
    <w:rsid w:val="00962489"/>
    <w:rsid w:val="0096268C"/>
    <w:rsid w:val="00963F07"/>
    <w:rsid w:val="0096405B"/>
    <w:rsid w:val="00964080"/>
    <w:rsid w:val="0096417D"/>
    <w:rsid w:val="00965688"/>
    <w:rsid w:val="0096593E"/>
    <w:rsid w:val="009662AE"/>
    <w:rsid w:val="00966BF9"/>
    <w:rsid w:val="00966FDC"/>
    <w:rsid w:val="00967121"/>
    <w:rsid w:val="009675BD"/>
    <w:rsid w:val="00967CD3"/>
    <w:rsid w:val="00967E8D"/>
    <w:rsid w:val="0097096A"/>
    <w:rsid w:val="00970B69"/>
    <w:rsid w:val="0097114C"/>
    <w:rsid w:val="00971D05"/>
    <w:rsid w:val="0097247A"/>
    <w:rsid w:val="00972A36"/>
    <w:rsid w:val="00972DB8"/>
    <w:rsid w:val="0097314F"/>
    <w:rsid w:val="00974008"/>
    <w:rsid w:val="00975724"/>
    <w:rsid w:val="00976488"/>
    <w:rsid w:val="009772A9"/>
    <w:rsid w:val="009774B4"/>
    <w:rsid w:val="009777C1"/>
    <w:rsid w:val="00977DEC"/>
    <w:rsid w:val="0098004B"/>
    <w:rsid w:val="0098013E"/>
    <w:rsid w:val="009807F1"/>
    <w:rsid w:val="009809AB"/>
    <w:rsid w:val="00980B83"/>
    <w:rsid w:val="00980C1C"/>
    <w:rsid w:val="00980FBB"/>
    <w:rsid w:val="00981135"/>
    <w:rsid w:val="00981B0D"/>
    <w:rsid w:val="009821D7"/>
    <w:rsid w:val="009824BC"/>
    <w:rsid w:val="00982530"/>
    <w:rsid w:val="009826FD"/>
    <w:rsid w:val="00982F7D"/>
    <w:rsid w:val="009839E1"/>
    <w:rsid w:val="00984B50"/>
    <w:rsid w:val="00984F26"/>
    <w:rsid w:val="009857C6"/>
    <w:rsid w:val="00986225"/>
    <w:rsid w:val="009865AF"/>
    <w:rsid w:val="00986FA8"/>
    <w:rsid w:val="00987834"/>
    <w:rsid w:val="00987A17"/>
    <w:rsid w:val="00990C2C"/>
    <w:rsid w:val="00990D51"/>
    <w:rsid w:val="00991138"/>
    <w:rsid w:val="00991BEC"/>
    <w:rsid w:val="00992EBF"/>
    <w:rsid w:val="00992EC2"/>
    <w:rsid w:val="00992EC9"/>
    <w:rsid w:val="009930E8"/>
    <w:rsid w:val="00994588"/>
    <w:rsid w:val="00994669"/>
    <w:rsid w:val="00994D33"/>
    <w:rsid w:val="00994EE1"/>
    <w:rsid w:val="00994FA7"/>
    <w:rsid w:val="0099564D"/>
    <w:rsid w:val="00996174"/>
    <w:rsid w:val="00997CF6"/>
    <w:rsid w:val="00997E0A"/>
    <w:rsid w:val="009A00C5"/>
    <w:rsid w:val="009A02B1"/>
    <w:rsid w:val="009A05A4"/>
    <w:rsid w:val="009A06B8"/>
    <w:rsid w:val="009A1710"/>
    <w:rsid w:val="009A1CAA"/>
    <w:rsid w:val="009A1DB9"/>
    <w:rsid w:val="009A1DBD"/>
    <w:rsid w:val="009A259C"/>
    <w:rsid w:val="009A2D77"/>
    <w:rsid w:val="009A2ECF"/>
    <w:rsid w:val="009A47BE"/>
    <w:rsid w:val="009A48D4"/>
    <w:rsid w:val="009A5090"/>
    <w:rsid w:val="009A5171"/>
    <w:rsid w:val="009A53D3"/>
    <w:rsid w:val="009A5D80"/>
    <w:rsid w:val="009A61E9"/>
    <w:rsid w:val="009A6546"/>
    <w:rsid w:val="009A66A2"/>
    <w:rsid w:val="009A704B"/>
    <w:rsid w:val="009A7862"/>
    <w:rsid w:val="009A7A88"/>
    <w:rsid w:val="009B01F4"/>
    <w:rsid w:val="009B050C"/>
    <w:rsid w:val="009B18BB"/>
    <w:rsid w:val="009B2E02"/>
    <w:rsid w:val="009B3106"/>
    <w:rsid w:val="009B4124"/>
    <w:rsid w:val="009B4814"/>
    <w:rsid w:val="009B4D38"/>
    <w:rsid w:val="009B4DD5"/>
    <w:rsid w:val="009B504D"/>
    <w:rsid w:val="009B5932"/>
    <w:rsid w:val="009B5E59"/>
    <w:rsid w:val="009B5EE2"/>
    <w:rsid w:val="009B6037"/>
    <w:rsid w:val="009B6AF1"/>
    <w:rsid w:val="009B7558"/>
    <w:rsid w:val="009B78F6"/>
    <w:rsid w:val="009C061C"/>
    <w:rsid w:val="009C0667"/>
    <w:rsid w:val="009C0EB0"/>
    <w:rsid w:val="009C0F42"/>
    <w:rsid w:val="009C1635"/>
    <w:rsid w:val="009C1C50"/>
    <w:rsid w:val="009C1E90"/>
    <w:rsid w:val="009C2C6D"/>
    <w:rsid w:val="009C2CFC"/>
    <w:rsid w:val="009C2FCA"/>
    <w:rsid w:val="009C38AB"/>
    <w:rsid w:val="009C39CD"/>
    <w:rsid w:val="009C44C2"/>
    <w:rsid w:val="009C4857"/>
    <w:rsid w:val="009C49A8"/>
    <w:rsid w:val="009C4C60"/>
    <w:rsid w:val="009C5C0F"/>
    <w:rsid w:val="009C624D"/>
    <w:rsid w:val="009C6A90"/>
    <w:rsid w:val="009C6A9A"/>
    <w:rsid w:val="009C7E98"/>
    <w:rsid w:val="009D01CF"/>
    <w:rsid w:val="009D079D"/>
    <w:rsid w:val="009D0882"/>
    <w:rsid w:val="009D0EBF"/>
    <w:rsid w:val="009D0FA1"/>
    <w:rsid w:val="009D1BF2"/>
    <w:rsid w:val="009D1D61"/>
    <w:rsid w:val="009D1DA9"/>
    <w:rsid w:val="009D2DCB"/>
    <w:rsid w:val="009D31AE"/>
    <w:rsid w:val="009D359D"/>
    <w:rsid w:val="009D3837"/>
    <w:rsid w:val="009D3D0B"/>
    <w:rsid w:val="009D482E"/>
    <w:rsid w:val="009D4DFF"/>
    <w:rsid w:val="009D584B"/>
    <w:rsid w:val="009D5DB1"/>
    <w:rsid w:val="009D66A1"/>
    <w:rsid w:val="009D6B9C"/>
    <w:rsid w:val="009D71D5"/>
    <w:rsid w:val="009D74A2"/>
    <w:rsid w:val="009E1641"/>
    <w:rsid w:val="009E1782"/>
    <w:rsid w:val="009E1844"/>
    <w:rsid w:val="009E2AB1"/>
    <w:rsid w:val="009E2DC0"/>
    <w:rsid w:val="009E37D0"/>
    <w:rsid w:val="009E5EED"/>
    <w:rsid w:val="009E6786"/>
    <w:rsid w:val="009E6F54"/>
    <w:rsid w:val="009E7ED6"/>
    <w:rsid w:val="009E7FB6"/>
    <w:rsid w:val="009F011F"/>
    <w:rsid w:val="009F0D1B"/>
    <w:rsid w:val="009F28BE"/>
    <w:rsid w:val="009F3D8D"/>
    <w:rsid w:val="009F4719"/>
    <w:rsid w:val="009F5342"/>
    <w:rsid w:val="009F53DD"/>
    <w:rsid w:val="009F56BD"/>
    <w:rsid w:val="009F5BBD"/>
    <w:rsid w:val="009F5BEF"/>
    <w:rsid w:val="009F5C78"/>
    <w:rsid w:val="009F605B"/>
    <w:rsid w:val="009F696D"/>
    <w:rsid w:val="009F6BC6"/>
    <w:rsid w:val="009F6F67"/>
    <w:rsid w:val="009F74EF"/>
    <w:rsid w:val="009F79E4"/>
    <w:rsid w:val="009F7B41"/>
    <w:rsid w:val="009F7D9B"/>
    <w:rsid w:val="00A00088"/>
    <w:rsid w:val="00A0023A"/>
    <w:rsid w:val="00A0051B"/>
    <w:rsid w:val="00A01192"/>
    <w:rsid w:val="00A01589"/>
    <w:rsid w:val="00A01A44"/>
    <w:rsid w:val="00A02084"/>
    <w:rsid w:val="00A020E3"/>
    <w:rsid w:val="00A02178"/>
    <w:rsid w:val="00A02217"/>
    <w:rsid w:val="00A02256"/>
    <w:rsid w:val="00A02826"/>
    <w:rsid w:val="00A03700"/>
    <w:rsid w:val="00A04423"/>
    <w:rsid w:val="00A0465A"/>
    <w:rsid w:val="00A04F28"/>
    <w:rsid w:val="00A054E6"/>
    <w:rsid w:val="00A06869"/>
    <w:rsid w:val="00A0712F"/>
    <w:rsid w:val="00A10E45"/>
    <w:rsid w:val="00A11823"/>
    <w:rsid w:val="00A123AD"/>
    <w:rsid w:val="00A1246C"/>
    <w:rsid w:val="00A13B52"/>
    <w:rsid w:val="00A13B75"/>
    <w:rsid w:val="00A1453A"/>
    <w:rsid w:val="00A15D5A"/>
    <w:rsid w:val="00A15F7A"/>
    <w:rsid w:val="00A16E0D"/>
    <w:rsid w:val="00A17328"/>
    <w:rsid w:val="00A174BB"/>
    <w:rsid w:val="00A177B8"/>
    <w:rsid w:val="00A17A2D"/>
    <w:rsid w:val="00A213C8"/>
    <w:rsid w:val="00A21C0D"/>
    <w:rsid w:val="00A221FD"/>
    <w:rsid w:val="00A23A20"/>
    <w:rsid w:val="00A241E1"/>
    <w:rsid w:val="00A24443"/>
    <w:rsid w:val="00A25076"/>
    <w:rsid w:val="00A2574C"/>
    <w:rsid w:val="00A2609A"/>
    <w:rsid w:val="00A268B9"/>
    <w:rsid w:val="00A26A6D"/>
    <w:rsid w:val="00A2703A"/>
    <w:rsid w:val="00A27045"/>
    <w:rsid w:val="00A274E4"/>
    <w:rsid w:val="00A27918"/>
    <w:rsid w:val="00A27B0C"/>
    <w:rsid w:val="00A303CC"/>
    <w:rsid w:val="00A3317A"/>
    <w:rsid w:val="00A333B9"/>
    <w:rsid w:val="00A336CB"/>
    <w:rsid w:val="00A33A99"/>
    <w:rsid w:val="00A33DFF"/>
    <w:rsid w:val="00A34142"/>
    <w:rsid w:val="00A35115"/>
    <w:rsid w:val="00A35164"/>
    <w:rsid w:val="00A35345"/>
    <w:rsid w:val="00A35476"/>
    <w:rsid w:val="00A35EB2"/>
    <w:rsid w:val="00A36461"/>
    <w:rsid w:val="00A364F7"/>
    <w:rsid w:val="00A3663F"/>
    <w:rsid w:val="00A36773"/>
    <w:rsid w:val="00A36C42"/>
    <w:rsid w:val="00A36CC4"/>
    <w:rsid w:val="00A36D9A"/>
    <w:rsid w:val="00A36D9B"/>
    <w:rsid w:val="00A37879"/>
    <w:rsid w:val="00A3791F"/>
    <w:rsid w:val="00A40212"/>
    <w:rsid w:val="00A4022E"/>
    <w:rsid w:val="00A40E32"/>
    <w:rsid w:val="00A41C38"/>
    <w:rsid w:val="00A41EC6"/>
    <w:rsid w:val="00A42C87"/>
    <w:rsid w:val="00A4313D"/>
    <w:rsid w:val="00A431E8"/>
    <w:rsid w:val="00A43284"/>
    <w:rsid w:val="00A451DC"/>
    <w:rsid w:val="00A46023"/>
    <w:rsid w:val="00A46AA8"/>
    <w:rsid w:val="00A46B27"/>
    <w:rsid w:val="00A46CD0"/>
    <w:rsid w:val="00A46D33"/>
    <w:rsid w:val="00A475C5"/>
    <w:rsid w:val="00A478EC"/>
    <w:rsid w:val="00A47EE8"/>
    <w:rsid w:val="00A505A0"/>
    <w:rsid w:val="00A50D89"/>
    <w:rsid w:val="00A51904"/>
    <w:rsid w:val="00A51C85"/>
    <w:rsid w:val="00A51FE7"/>
    <w:rsid w:val="00A53085"/>
    <w:rsid w:val="00A53285"/>
    <w:rsid w:val="00A53743"/>
    <w:rsid w:val="00A53929"/>
    <w:rsid w:val="00A54202"/>
    <w:rsid w:val="00A54F31"/>
    <w:rsid w:val="00A5505A"/>
    <w:rsid w:val="00A554AB"/>
    <w:rsid w:val="00A55717"/>
    <w:rsid w:val="00A57062"/>
    <w:rsid w:val="00A575D1"/>
    <w:rsid w:val="00A576D7"/>
    <w:rsid w:val="00A600D6"/>
    <w:rsid w:val="00A615A4"/>
    <w:rsid w:val="00A618CC"/>
    <w:rsid w:val="00A61CBE"/>
    <w:rsid w:val="00A61E80"/>
    <w:rsid w:val="00A628C9"/>
    <w:rsid w:val="00A62B65"/>
    <w:rsid w:val="00A63F5C"/>
    <w:rsid w:val="00A64239"/>
    <w:rsid w:val="00A64613"/>
    <w:rsid w:val="00A64ADE"/>
    <w:rsid w:val="00A656F4"/>
    <w:rsid w:val="00A65FE8"/>
    <w:rsid w:val="00A663FA"/>
    <w:rsid w:val="00A66669"/>
    <w:rsid w:val="00A66B82"/>
    <w:rsid w:val="00A66F4E"/>
    <w:rsid w:val="00A66FCD"/>
    <w:rsid w:val="00A6758A"/>
    <w:rsid w:val="00A67781"/>
    <w:rsid w:val="00A701E6"/>
    <w:rsid w:val="00A719AA"/>
    <w:rsid w:val="00A71DC4"/>
    <w:rsid w:val="00A72B9A"/>
    <w:rsid w:val="00A73225"/>
    <w:rsid w:val="00A734C9"/>
    <w:rsid w:val="00A7375C"/>
    <w:rsid w:val="00A739B1"/>
    <w:rsid w:val="00A73CDA"/>
    <w:rsid w:val="00A73D90"/>
    <w:rsid w:val="00A73F8E"/>
    <w:rsid w:val="00A7460F"/>
    <w:rsid w:val="00A747ED"/>
    <w:rsid w:val="00A7493B"/>
    <w:rsid w:val="00A75046"/>
    <w:rsid w:val="00A75D3E"/>
    <w:rsid w:val="00A75D55"/>
    <w:rsid w:val="00A761F9"/>
    <w:rsid w:val="00A778B9"/>
    <w:rsid w:val="00A778D6"/>
    <w:rsid w:val="00A8167A"/>
    <w:rsid w:val="00A818EB"/>
    <w:rsid w:val="00A81FE6"/>
    <w:rsid w:val="00A82AFD"/>
    <w:rsid w:val="00A84409"/>
    <w:rsid w:val="00A84EA0"/>
    <w:rsid w:val="00A8500A"/>
    <w:rsid w:val="00A86064"/>
    <w:rsid w:val="00A86EA6"/>
    <w:rsid w:val="00A87D7C"/>
    <w:rsid w:val="00A90826"/>
    <w:rsid w:val="00A90B05"/>
    <w:rsid w:val="00A9126D"/>
    <w:rsid w:val="00A923FE"/>
    <w:rsid w:val="00A927F2"/>
    <w:rsid w:val="00A92B53"/>
    <w:rsid w:val="00A936AC"/>
    <w:rsid w:val="00A94364"/>
    <w:rsid w:val="00A945AC"/>
    <w:rsid w:val="00A948EA"/>
    <w:rsid w:val="00A94FA6"/>
    <w:rsid w:val="00A95337"/>
    <w:rsid w:val="00A95DF8"/>
    <w:rsid w:val="00A9688A"/>
    <w:rsid w:val="00A96FFF"/>
    <w:rsid w:val="00AA0435"/>
    <w:rsid w:val="00AA04DC"/>
    <w:rsid w:val="00AA0ED8"/>
    <w:rsid w:val="00AA103B"/>
    <w:rsid w:val="00AA1120"/>
    <w:rsid w:val="00AA1455"/>
    <w:rsid w:val="00AA2015"/>
    <w:rsid w:val="00AA2209"/>
    <w:rsid w:val="00AA2254"/>
    <w:rsid w:val="00AA2410"/>
    <w:rsid w:val="00AA2EA5"/>
    <w:rsid w:val="00AA313B"/>
    <w:rsid w:val="00AA33A7"/>
    <w:rsid w:val="00AA377E"/>
    <w:rsid w:val="00AA3DB8"/>
    <w:rsid w:val="00AA413B"/>
    <w:rsid w:val="00AA4945"/>
    <w:rsid w:val="00AA49A0"/>
    <w:rsid w:val="00AA4E49"/>
    <w:rsid w:val="00AA5B77"/>
    <w:rsid w:val="00AA5E11"/>
    <w:rsid w:val="00AA632F"/>
    <w:rsid w:val="00AA6710"/>
    <w:rsid w:val="00AB0681"/>
    <w:rsid w:val="00AB0F25"/>
    <w:rsid w:val="00AB0FF6"/>
    <w:rsid w:val="00AB191D"/>
    <w:rsid w:val="00AB2382"/>
    <w:rsid w:val="00AB23AA"/>
    <w:rsid w:val="00AB2D16"/>
    <w:rsid w:val="00AB36AF"/>
    <w:rsid w:val="00AB379A"/>
    <w:rsid w:val="00AB3AE4"/>
    <w:rsid w:val="00AB3C65"/>
    <w:rsid w:val="00AB48B9"/>
    <w:rsid w:val="00AB4FEA"/>
    <w:rsid w:val="00AB53A6"/>
    <w:rsid w:val="00AB545F"/>
    <w:rsid w:val="00AB581A"/>
    <w:rsid w:val="00AB6435"/>
    <w:rsid w:val="00AB6788"/>
    <w:rsid w:val="00AB6862"/>
    <w:rsid w:val="00AB7650"/>
    <w:rsid w:val="00AC07A2"/>
    <w:rsid w:val="00AC12CC"/>
    <w:rsid w:val="00AC13F6"/>
    <w:rsid w:val="00AC2A16"/>
    <w:rsid w:val="00AC2DCE"/>
    <w:rsid w:val="00AC38B2"/>
    <w:rsid w:val="00AC390E"/>
    <w:rsid w:val="00AC3A15"/>
    <w:rsid w:val="00AC3CCD"/>
    <w:rsid w:val="00AC3E15"/>
    <w:rsid w:val="00AC4AFD"/>
    <w:rsid w:val="00AC5417"/>
    <w:rsid w:val="00AC55E0"/>
    <w:rsid w:val="00AC6B72"/>
    <w:rsid w:val="00AC6DF9"/>
    <w:rsid w:val="00AC7111"/>
    <w:rsid w:val="00AC7160"/>
    <w:rsid w:val="00AC7390"/>
    <w:rsid w:val="00AD04DB"/>
    <w:rsid w:val="00AD0857"/>
    <w:rsid w:val="00AD0E82"/>
    <w:rsid w:val="00AD151B"/>
    <w:rsid w:val="00AD1B94"/>
    <w:rsid w:val="00AD1E01"/>
    <w:rsid w:val="00AD2C70"/>
    <w:rsid w:val="00AD2D8A"/>
    <w:rsid w:val="00AD351D"/>
    <w:rsid w:val="00AD3908"/>
    <w:rsid w:val="00AD3A49"/>
    <w:rsid w:val="00AD42E3"/>
    <w:rsid w:val="00AD4710"/>
    <w:rsid w:val="00AD4A41"/>
    <w:rsid w:val="00AD50FB"/>
    <w:rsid w:val="00AD5166"/>
    <w:rsid w:val="00AD520B"/>
    <w:rsid w:val="00AD5906"/>
    <w:rsid w:val="00AD6C58"/>
    <w:rsid w:val="00AD74C6"/>
    <w:rsid w:val="00AE08CE"/>
    <w:rsid w:val="00AE0902"/>
    <w:rsid w:val="00AE0A87"/>
    <w:rsid w:val="00AE0B22"/>
    <w:rsid w:val="00AE1C52"/>
    <w:rsid w:val="00AE1E40"/>
    <w:rsid w:val="00AE1EE3"/>
    <w:rsid w:val="00AE22A3"/>
    <w:rsid w:val="00AE281D"/>
    <w:rsid w:val="00AE2D0C"/>
    <w:rsid w:val="00AE3282"/>
    <w:rsid w:val="00AE32EE"/>
    <w:rsid w:val="00AE3BCC"/>
    <w:rsid w:val="00AE3DD4"/>
    <w:rsid w:val="00AE3E39"/>
    <w:rsid w:val="00AF08DE"/>
    <w:rsid w:val="00AF10F0"/>
    <w:rsid w:val="00AF248E"/>
    <w:rsid w:val="00AF25E5"/>
    <w:rsid w:val="00AF26AC"/>
    <w:rsid w:val="00AF2B09"/>
    <w:rsid w:val="00AF2DCB"/>
    <w:rsid w:val="00AF38D7"/>
    <w:rsid w:val="00AF399D"/>
    <w:rsid w:val="00AF3A88"/>
    <w:rsid w:val="00AF3C95"/>
    <w:rsid w:val="00AF3CBA"/>
    <w:rsid w:val="00AF41B0"/>
    <w:rsid w:val="00AF41D4"/>
    <w:rsid w:val="00AF470E"/>
    <w:rsid w:val="00AF4E73"/>
    <w:rsid w:val="00AF64C3"/>
    <w:rsid w:val="00AF685D"/>
    <w:rsid w:val="00AF6F95"/>
    <w:rsid w:val="00AF75B6"/>
    <w:rsid w:val="00B00CB3"/>
    <w:rsid w:val="00B01274"/>
    <w:rsid w:val="00B01B24"/>
    <w:rsid w:val="00B02627"/>
    <w:rsid w:val="00B027FE"/>
    <w:rsid w:val="00B035C1"/>
    <w:rsid w:val="00B036E2"/>
    <w:rsid w:val="00B03E67"/>
    <w:rsid w:val="00B03FDC"/>
    <w:rsid w:val="00B04208"/>
    <w:rsid w:val="00B049A1"/>
    <w:rsid w:val="00B0599D"/>
    <w:rsid w:val="00B0628C"/>
    <w:rsid w:val="00B066AD"/>
    <w:rsid w:val="00B073AC"/>
    <w:rsid w:val="00B0743E"/>
    <w:rsid w:val="00B07467"/>
    <w:rsid w:val="00B078DF"/>
    <w:rsid w:val="00B109D5"/>
    <w:rsid w:val="00B10CE4"/>
    <w:rsid w:val="00B1105C"/>
    <w:rsid w:val="00B1353C"/>
    <w:rsid w:val="00B135AE"/>
    <w:rsid w:val="00B138EB"/>
    <w:rsid w:val="00B13B6E"/>
    <w:rsid w:val="00B14132"/>
    <w:rsid w:val="00B153F6"/>
    <w:rsid w:val="00B15B99"/>
    <w:rsid w:val="00B161B1"/>
    <w:rsid w:val="00B161F4"/>
    <w:rsid w:val="00B16284"/>
    <w:rsid w:val="00B1632D"/>
    <w:rsid w:val="00B169D8"/>
    <w:rsid w:val="00B175DC"/>
    <w:rsid w:val="00B202D2"/>
    <w:rsid w:val="00B20B6A"/>
    <w:rsid w:val="00B22A12"/>
    <w:rsid w:val="00B23431"/>
    <w:rsid w:val="00B23961"/>
    <w:rsid w:val="00B245DC"/>
    <w:rsid w:val="00B2473E"/>
    <w:rsid w:val="00B25A1A"/>
    <w:rsid w:val="00B26075"/>
    <w:rsid w:val="00B26208"/>
    <w:rsid w:val="00B26551"/>
    <w:rsid w:val="00B26797"/>
    <w:rsid w:val="00B27988"/>
    <w:rsid w:val="00B27ED7"/>
    <w:rsid w:val="00B30266"/>
    <w:rsid w:val="00B3094F"/>
    <w:rsid w:val="00B30C0B"/>
    <w:rsid w:val="00B31098"/>
    <w:rsid w:val="00B315E8"/>
    <w:rsid w:val="00B3211F"/>
    <w:rsid w:val="00B322D8"/>
    <w:rsid w:val="00B32528"/>
    <w:rsid w:val="00B3252C"/>
    <w:rsid w:val="00B329C0"/>
    <w:rsid w:val="00B3312A"/>
    <w:rsid w:val="00B33435"/>
    <w:rsid w:val="00B33AAE"/>
    <w:rsid w:val="00B33FAD"/>
    <w:rsid w:val="00B348DD"/>
    <w:rsid w:val="00B3544A"/>
    <w:rsid w:val="00B354AD"/>
    <w:rsid w:val="00B35A63"/>
    <w:rsid w:val="00B36698"/>
    <w:rsid w:val="00B366A3"/>
    <w:rsid w:val="00B36AFB"/>
    <w:rsid w:val="00B37815"/>
    <w:rsid w:val="00B37BA4"/>
    <w:rsid w:val="00B40577"/>
    <w:rsid w:val="00B405B5"/>
    <w:rsid w:val="00B408E7"/>
    <w:rsid w:val="00B425C3"/>
    <w:rsid w:val="00B4277A"/>
    <w:rsid w:val="00B427FC"/>
    <w:rsid w:val="00B42CE7"/>
    <w:rsid w:val="00B4373D"/>
    <w:rsid w:val="00B440AD"/>
    <w:rsid w:val="00B440AF"/>
    <w:rsid w:val="00B440F4"/>
    <w:rsid w:val="00B45290"/>
    <w:rsid w:val="00B46227"/>
    <w:rsid w:val="00B4638B"/>
    <w:rsid w:val="00B479BB"/>
    <w:rsid w:val="00B47EBB"/>
    <w:rsid w:val="00B501B9"/>
    <w:rsid w:val="00B50DB3"/>
    <w:rsid w:val="00B50F30"/>
    <w:rsid w:val="00B5335D"/>
    <w:rsid w:val="00B5380B"/>
    <w:rsid w:val="00B53E7E"/>
    <w:rsid w:val="00B54253"/>
    <w:rsid w:val="00B5471E"/>
    <w:rsid w:val="00B54D5E"/>
    <w:rsid w:val="00B55C4C"/>
    <w:rsid w:val="00B56690"/>
    <w:rsid w:val="00B5698A"/>
    <w:rsid w:val="00B5736A"/>
    <w:rsid w:val="00B57522"/>
    <w:rsid w:val="00B57695"/>
    <w:rsid w:val="00B57799"/>
    <w:rsid w:val="00B577B2"/>
    <w:rsid w:val="00B57B6E"/>
    <w:rsid w:val="00B57BD2"/>
    <w:rsid w:val="00B60785"/>
    <w:rsid w:val="00B60FB9"/>
    <w:rsid w:val="00B61E67"/>
    <w:rsid w:val="00B61EA5"/>
    <w:rsid w:val="00B627E3"/>
    <w:rsid w:val="00B63091"/>
    <w:rsid w:val="00B6342E"/>
    <w:rsid w:val="00B63EE0"/>
    <w:rsid w:val="00B640C1"/>
    <w:rsid w:val="00B64781"/>
    <w:rsid w:val="00B649F7"/>
    <w:rsid w:val="00B64B91"/>
    <w:rsid w:val="00B64BE6"/>
    <w:rsid w:val="00B64F9F"/>
    <w:rsid w:val="00B654E8"/>
    <w:rsid w:val="00B65523"/>
    <w:rsid w:val="00B6603C"/>
    <w:rsid w:val="00B67234"/>
    <w:rsid w:val="00B67746"/>
    <w:rsid w:val="00B67F1B"/>
    <w:rsid w:val="00B70620"/>
    <w:rsid w:val="00B70E80"/>
    <w:rsid w:val="00B7113F"/>
    <w:rsid w:val="00B71B94"/>
    <w:rsid w:val="00B720C1"/>
    <w:rsid w:val="00B725CF"/>
    <w:rsid w:val="00B72F02"/>
    <w:rsid w:val="00B740C3"/>
    <w:rsid w:val="00B7680C"/>
    <w:rsid w:val="00B768B1"/>
    <w:rsid w:val="00B76FE1"/>
    <w:rsid w:val="00B7739F"/>
    <w:rsid w:val="00B77519"/>
    <w:rsid w:val="00B801AC"/>
    <w:rsid w:val="00B8083E"/>
    <w:rsid w:val="00B80FED"/>
    <w:rsid w:val="00B8117D"/>
    <w:rsid w:val="00B82216"/>
    <w:rsid w:val="00B826E8"/>
    <w:rsid w:val="00B8326A"/>
    <w:rsid w:val="00B836BB"/>
    <w:rsid w:val="00B8391F"/>
    <w:rsid w:val="00B84030"/>
    <w:rsid w:val="00B84683"/>
    <w:rsid w:val="00B84698"/>
    <w:rsid w:val="00B8472B"/>
    <w:rsid w:val="00B84D04"/>
    <w:rsid w:val="00B853FC"/>
    <w:rsid w:val="00B86425"/>
    <w:rsid w:val="00B87326"/>
    <w:rsid w:val="00B8754B"/>
    <w:rsid w:val="00B87BEB"/>
    <w:rsid w:val="00B87FBD"/>
    <w:rsid w:val="00B90827"/>
    <w:rsid w:val="00B90CD8"/>
    <w:rsid w:val="00B90CE5"/>
    <w:rsid w:val="00B90EAE"/>
    <w:rsid w:val="00B91878"/>
    <w:rsid w:val="00B91F4B"/>
    <w:rsid w:val="00B9321C"/>
    <w:rsid w:val="00B9337E"/>
    <w:rsid w:val="00B934C6"/>
    <w:rsid w:val="00B93970"/>
    <w:rsid w:val="00B93CD7"/>
    <w:rsid w:val="00B9516C"/>
    <w:rsid w:val="00B966E2"/>
    <w:rsid w:val="00B96B99"/>
    <w:rsid w:val="00B96BB9"/>
    <w:rsid w:val="00B96EE7"/>
    <w:rsid w:val="00B977B8"/>
    <w:rsid w:val="00BA040B"/>
    <w:rsid w:val="00BA0784"/>
    <w:rsid w:val="00BA0A2A"/>
    <w:rsid w:val="00BA1AD8"/>
    <w:rsid w:val="00BA2BCF"/>
    <w:rsid w:val="00BA4DD8"/>
    <w:rsid w:val="00BA5357"/>
    <w:rsid w:val="00BA5B14"/>
    <w:rsid w:val="00BA6524"/>
    <w:rsid w:val="00BA6B4F"/>
    <w:rsid w:val="00BA73B6"/>
    <w:rsid w:val="00BA77DB"/>
    <w:rsid w:val="00BA7E27"/>
    <w:rsid w:val="00BB0EAB"/>
    <w:rsid w:val="00BB0FBD"/>
    <w:rsid w:val="00BB2603"/>
    <w:rsid w:val="00BB2AFF"/>
    <w:rsid w:val="00BB308F"/>
    <w:rsid w:val="00BB3216"/>
    <w:rsid w:val="00BB3BA1"/>
    <w:rsid w:val="00BB433B"/>
    <w:rsid w:val="00BB4D8A"/>
    <w:rsid w:val="00BB4FCD"/>
    <w:rsid w:val="00BB5E1D"/>
    <w:rsid w:val="00BB5EBC"/>
    <w:rsid w:val="00BB5EFA"/>
    <w:rsid w:val="00BB617A"/>
    <w:rsid w:val="00BB61D6"/>
    <w:rsid w:val="00BB6314"/>
    <w:rsid w:val="00BB657A"/>
    <w:rsid w:val="00BB6716"/>
    <w:rsid w:val="00BB7B64"/>
    <w:rsid w:val="00BC04E9"/>
    <w:rsid w:val="00BC101A"/>
    <w:rsid w:val="00BC12E7"/>
    <w:rsid w:val="00BC1CE9"/>
    <w:rsid w:val="00BC240D"/>
    <w:rsid w:val="00BC2F97"/>
    <w:rsid w:val="00BC316C"/>
    <w:rsid w:val="00BC3FBB"/>
    <w:rsid w:val="00BC42D2"/>
    <w:rsid w:val="00BC4B2D"/>
    <w:rsid w:val="00BC5871"/>
    <w:rsid w:val="00BC5C70"/>
    <w:rsid w:val="00BC5CB9"/>
    <w:rsid w:val="00BC5D6A"/>
    <w:rsid w:val="00BC6717"/>
    <w:rsid w:val="00BC69BC"/>
    <w:rsid w:val="00BC6E89"/>
    <w:rsid w:val="00BC73E6"/>
    <w:rsid w:val="00BC7408"/>
    <w:rsid w:val="00BD044B"/>
    <w:rsid w:val="00BD0775"/>
    <w:rsid w:val="00BD0822"/>
    <w:rsid w:val="00BD13EA"/>
    <w:rsid w:val="00BD18E0"/>
    <w:rsid w:val="00BD1B4D"/>
    <w:rsid w:val="00BD30AC"/>
    <w:rsid w:val="00BD319D"/>
    <w:rsid w:val="00BD3516"/>
    <w:rsid w:val="00BD3C64"/>
    <w:rsid w:val="00BD408A"/>
    <w:rsid w:val="00BD52A0"/>
    <w:rsid w:val="00BD5817"/>
    <w:rsid w:val="00BD5FE4"/>
    <w:rsid w:val="00BD643A"/>
    <w:rsid w:val="00BD7338"/>
    <w:rsid w:val="00BD758E"/>
    <w:rsid w:val="00BE04D9"/>
    <w:rsid w:val="00BE094E"/>
    <w:rsid w:val="00BE0B6C"/>
    <w:rsid w:val="00BE1634"/>
    <w:rsid w:val="00BE17FF"/>
    <w:rsid w:val="00BE261A"/>
    <w:rsid w:val="00BE28E9"/>
    <w:rsid w:val="00BE29DF"/>
    <w:rsid w:val="00BE2F58"/>
    <w:rsid w:val="00BE3142"/>
    <w:rsid w:val="00BE3382"/>
    <w:rsid w:val="00BE37FF"/>
    <w:rsid w:val="00BE3808"/>
    <w:rsid w:val="00BE3F16"/>
    <w:rsid w:val="00BE5EEC"/>
    <w:rsid w:val="00BE61F5"/>
    <w:rsid w:val="00BE677A"/>
    <w:rsid w:val="00BE6C46"/>
    <w:rsid w:val="00BE7377"/>
    <w:rsid w:val="00BE7810"/>
    <w:rsid w:val="00BE7C81"/>
    <w:rsid w:val="00BF09BF"/>
    <w:rsid w:val="00BF23D3"/>
    <w:rsid w:val="00BF241A"/>
    <w:rsid w:val="00BF3032"/>
    <w:rsid w:val="00BF30E4"/>
    <w:rsid w:val="00BF4EC4"/>
    <w:rsid w:val="00BF54B1"/>
    <w:rsid w:val="00BF5A13"/>
    <w:rsid w:val="00BF5B32"/>
    <w:rsid w:val="00BF5D02"/>
    <w:rsid w:val="00BF5E9E"/>
    <w:rsid w:val="00BF676A"/>
    <w:rsid w:val="00BF6BFD"/>
    <w:rsid w:val="00BF6D4A"/>
    <w:rsid w:val="00BF7375"/>
    <w:rsid w:val="00BF79DE"/>
    <w:rsid w:val="00BF7EBA"/>
    <w:rsid w:val="00C00013"/>
    <w:rsid w:val="00C002E3"/>
    <w:rsid w:val="00C003AD"/>
    <w:rsid w:val="00C00BD8"/>
    <w:rsid w:val="00C00BF0"/>
    <w:rsid w:val="00C01977"/>
    <w:rsid w:val="00C01F62"/>
    <w:rsid w:val="00C02112"/>
    <w:rsid w:val="00C02FE9"/>
    <w:rsid w:val="00C038B0"/>
    <w:rsid w:val="00C0391F"/>
    <w:rsid w:val="00C03B88"/>
    <w:rsid w:val="00C04282"/>
    <w:rsid w:val="00C049CE"/>
    <w:rsid w:val="00C04CFC"/>
    <w:rsid w:val="00C04E89"/>
    <w:rsid w:val="00C0523E"/>
    <w:rsid w:val="00C057E8"/>
    <w:rsid w:val="00C05C83"/>
    <w:rsid w:val="00C062E9"/>
    <w:rsid w:val="00C06404"/>
    <w:rsid w:val="00C069AA"/>
    <w:rsid w:val="00C06F82"/>
    <w:rsid w:val="00C07256"/>
    <w:rsid w:val="00C07873"/>
    <w:rsid w:val="00C07A8D"/>
    <w:rsid w:val="00C07AE1"/>
    <w:rsid w:val="00C07B64"/>
    <w:rsid w:val="00C11240"/>
    <w:rsid w:val="00C1140E"/>
    <w:rsid w:val="00C11A2F"/>
    <w:rsid w:val="00C11FE1"/>
    <w:rsid w:val="00C12D4E"/>
    <w:rsid w:val="00C13075"/>
    <w:rsid w:val="00C131F4"/>
    <w:rsid w:val="00C13721"/>
    <w:rsid w:val="00C13CD9"/>
    <w:rsid w:val="00C14129"/>
    <w:rsid w:val="00C142BC"/>
    <w:rsid w:val="00C143E1"/>
    <w:rsid w:val="00C14952"/>
    <w:rsid w:val="00C149DC"/>
    <w:rsid w:val="00C14C5B"/>
    <w:rsid w:val="00C14FE4"/>
    <w:rsid w:val="00C15513"/>
    <w:rsid w:val="00C15D86"/>
    <w:rsid w:val="00C15E19"/>
    <w:rsid w:val="00C16932"/>
    <w:rsid w:val="00C16AA3"/>
    <w:rsid w:val="00C16AD3"/>
    <w:rsid w:val="00C174CD"/>
    <w:rsid w:val="00C1754D"/>
    <w:rsid w:val="00C1782A"/>
    <w:rsid w:val="00C17D50"/>
    <w:rsid w:val="00C17F2E"/>
    <w:rsid w:val="00C2006B"/>
    <w:rsid w:val="00C20F29"/>
    <w:rsid w:val="00C210B1"/>
    <w:rsid w:val="00C210FE"/>
    <w:rsid w:val="00C21494"/>
    <w:rsid w:val="00C21B70"/>
    <w:rsid w:val="00C21C09"/>
    <w:rsid w:val="00C21E83"/>
    <w:rsid w:val="00C2248D"/>
    <w:rsid w:val="00C22B8A"/>
    <w:rsid w:val="00C23ECE"/>
    <w:rsid w:val="00C25251"/>
    <w:rsid w:val="00C258BE"/>
    <w:rsid w:val="00C25A0E"/>
    <w:rsid w:val="00C2611F"/>
    <w:rsid w:val="00C263D1"/>
    <w:rsid w:val="00C26522"/>
    <w:rsid w:val="00C2743A"/>
    <w:rsid w:val="00C276C4"/>
    <w:rsid w:val="00C276FE"/>
    <w:rsid w:val="00C27780"/>
    <w:rsid w:val="00C27D66"/>
    <w:rsid w:val="00C30610"/>
    <w:rsid w:val="00C3066D"/>
    <w:rsid w:val="00C30D7E"/>
    <w:rsid w:val="00C3175D"/>
    <w:rsid w:val="00C31A47"/>
    <w:rsid w:val="00C32322"/>
    <w:rsid w:val="00C34279"/>
    <w:rsid w:val="00C344CB"/>
    <w:rsid w:val="00C34A51"/>
    <w:rsid w:val="00C34CF9"/>
    <w:rsid w:val="00C366A2"/>
    <w:rsid w:val="00C36839"/>
    <w:rsid w:val="00C374B3"/>
    <w:rsid w:val="00C37CAE"/>
    <w:rsid w:val="00C4106B"/>
    <w:rsid w:val="00C41779"/>
    <w:rsid w:val="00C41D1D"/>
    <w:rsid w:val="00C4204B"/>
    <w:rsid w:val="00C42DFE"/>
    <w:rsid w:val="00C4385A"/>
    <w:rsid w:val="00C43CFE"/>
    <w:rsid w:val="00C4458E"/>
    <w:rsid w:val="00C44924"/>
    <w:rsid w:val="00C44B01"/>
    <w:rsid w:val="00C45A4E"/>
    <w:rsid w:val="00C463D3"/>
    <w:rsid w:val="00C46BB9"/>
    <w:rsid w:val="00C473BE"/>
    <w:rsid w:val="00C47BAC"/>
    <w:rsid w:val="00C47E2E"/>
    <w:rsid w:val="00C50114"/>
    <w:rsid w:val="00C519A8"/>
    <w:rsid w:val="00C51B21"/>
    <w:rsid w:val="00C52416"/>
    <w:rsid w:val="00C52808"/>
    <w:rsid w:val="00C52CFA"/>
    <w:rsid w:val="00C52E43"/>
    <w:rsid w:val="00C5329E"/>
    <w:rsid w:val="00C543F4"/>
    <w:rsid w:val="00C54460"/>
    <w:rsid w:val="00C54713"/>
    <w:rsid w:val="00C552D9"/>
    <w:rsid w:val="00C55FE3"/>
    <w:rsid w:val="00C5640F"/>
    <w:rsid w:val="00C56729"/>
    <w:rsid w:val="00C56881"/>
    <w:rsid w:val="00C578E9"/>
    <w:rsid w:val="00C605FF"/>
    <w:rsid w:val="00C60C11"/>
    <w:rsid w:val="00C61389"/>
    <w:rsid w:val="00C61482"/>
    <w:rsid w:val="00C61550"/>
    <w:rsid w:val="00C6176E"/>
    <w:rsid w:val="00C617E9"/>
    <w:rsid w:val="00C62567"/>
    <w:rsid w:val="00C62626"/>
    <w:rsid w:val="00C6291C"/>
    <w:rsid w:val="00C62E54"/>
    <w:rsid w:val="00C633CB"/>
    <w:rsid w:val="00C6522A"/>
    <w:rsid w:val="00C65AA0"/>
    <w:rsid w:val="00C66463"/>
    <w:rsid w:val="00C664CD"/>
    <w:rsid w:val="00C66793"/>
    <w:rsid w:val="00C67D8B"/>
    <w:rsid w:val="00C67E20"/>
    <w:rsid w:val="00C702E2"/>
    <w:rsid w:val="00C70877"/>
    <w:rsid w:val="00C71086"/>
    <w:rsid w:val="00C717BF"/>
    <w:rsid w:val="00C72015"/>
    <w:rsid w:val="00C72301"/>
    <w:rsid w:val="00C72A85"/>
    <w:rsid w:val="00C733AA"/>
    <w:rsid w:val="00C736B7"/>
    <w:rsid w:val="00C74163"/>
    <w:rsid w:val="00C74A34"/>
    <w:rsid w:val="00C75C7D"/>
    <w:rsid w:val="00C75F19"/>
    <w:rsid w:val="00C75F9E"/>
    <w:rsid w:val="00C764EE"/>
    <w:rsid w:val="00C768D1"/>
    <w:rsid w:val="00C7697F"/>
    <w:rsid w:val="00C76E2A"/>
    <w:rsid w:val="00C77195"/>
    <w:rsid w:val="00C77568"/>
    <w:rsid w:val="00C80501"/>
    <w:rsid w:val="00C80657"/>
    <w:rsid w:val="00C80BF4"/>
    <w:rsid w:val="00C80C7A"/>
    <w:rsid w:val="00C815A6"/>
    <w:rsid w:val="00C81D4A"/>
    <w:rsid w:val="00C81E33"/>
    <w:rsid w:val="00C8242D"/>
    <w:rsid w:val="00C827DF"/>
    <w:rsid w:val="00C8329B"/>
    <w:rsid w:val="00C83A1A"/>
    <w:rsid w:val="00C83B1E"/>
    <w:rsid w:val="00C8425C"/>
    <w:rsid w:val="00C84E35"/>
    <w:rsid w:val="00C85578"/>
    <w:rsid w:val="00C85DFA"/>
    <w:rsid w:val="00C8671A"/>
    <w:rsid w:val="00C86772"/>
    <w:rsid w:val="00C86942"/>
    <w:rsid w:val="00C8699C"/>
    <w:rsid w:val="00C86E07"/>
    <w:rsid w:val="00C8762C"/>
    <w:rsid w:val="00C876AE"/>
    <w:rsid w:val="00C87FF8"/>
    <w:rsid w:val="00C905D2"/>
    <w:rsid w:val="00C90848"/>
    <w:rsid w:val="00C90B4A"/>
    <w:rsid w:val="00C9142B"/>
    <w:rsid w:val="00C918CD"/>
    <w:rsid w:val="00C919A8"/>
    <w:rsid w:val="00C91DCE"/>
    <w:rsid w:val="00C91EA0"/>
    <w:rsid w:val="00C92900"/>
    <w:rsid w:val="00C92A4D"/>
    <w:rsid w:val="00C92B33"/>
    <w:rsid w:val="00C93572"/>
    <w:rsid w:val="00C939C1"/>
    <w:rsid w:val="00C93A48"/>
    <w:rsid w:val="00C93D62"/>
    <w:rsid w:val="00C942D4"/>
    <w:rsid w:val="00C94435"/>
    <w:rsid w:val="00C947BC"/>
    <w:rsid w:val="00C94912"/>
    <w:rsid w:val="00C94F6B"/>
    <w:rsid w:val="00C95241"/>
    <w:rsid w:val="00C970C4"/>
    <w:rsid w:val="00C970DB"/>
    <w:rsid w:val="00C9737F"/>
    <w:rsid w:val="00CA00D0"/>
    <w:rsid w:val="00CA00F9"/>
    <w:rsid w:val="00CA051A"/>
    <w:rsid w:val="00CA0C22"/>
    <w:rsid w:val="00CA105C"/>
    <w:rsid w:val="00CA1CD6"/>
    <w:rsid w:val="00CA26AA"/>
    <w:rsid w:val="00CA2961"/>
    <w:rsid w:val="00CA2D22"/>
    <w:rsid w:val="00CA30A5"/>
    <w:rsid w:val="00CA34D0"/>
    <w:rsid w:val="00CA458D"/>
    <w:rsid w:val="00CA4707"/>
    <w:rsid w:val="00CA4884"/>
    <w:rsid w:val="00CA4D76"/>
    <w:rsid w:val="00CA52FC"/>
    <w:rsid w:val="00CA5853"/>
    <w:rsid w:val="00CA59CC"/>
    <w:rsid w:val="00CA5A7A"/>
    <w:rsid w:val="00CA6254"/>
    <w:rsid w:val="00CA67A0"/>
    <w:rsid w:val="00CA6F42"/>
    <w:rsid w:val="00CA7748"/>
    <w:rsid w:val="00CA7CE7"/>
    <w:rsid w:val="00CB0CA1"/>
    <w:rsid w:val="00CB18C1"/>
    <w:rsid w:val="00CB18E8"/>
    <w:rsid w:val="00CB1B9D"/>
    <w:rsid w:val="00CB1F0E"/>
    <w:rsid w:val="00CB2CF9"/>
    <w:rsid w:val="00CB334E"/>
    <w:rsid w:val="00CB4600"/>
    <w:rsid w:val="00CB4720"/>
    <w:rsid w:val="00CB50D7"/>
    <w:rsid w:val="00CB5810"/>
    <w:rsid w:val="00CB5B52"/>
    <w:rsid w:val="00CB66C3"/>
    <w:rsid w:val="00CB6906"/>
    <w:rsid w:val="00CB69A9"/>
    <w:rsid w:val="00CB6BD0"/>
    <w:rsid w:val="00CB706D"/>
    <w:rsid w:val="00CB7177"/>
    <w:rsid w:val="00CB7387"/>
    <w:rsid w:val="00CB7CED"/>
    <w:rsid w:val="00CC070F"/>
    <w:rsid w:val="00CC0A7F"/>
    <w:rsid w:val="00CC0D85"/>
    <w:rsid w:val="00CC16A1"/>
    <w:rsid w:val="00CC16C2"/>
    <w:rsid w:val="00CC1998"/>
    <w:rsid w:val="00CC22AE"/>
    <w:rsid w:val="00CC3C98"/>
    <w:rsid w:val="00CC3CC3"/>
    <w:rsid w:val="00CC3D74"/>
    <w:rsid w:val="00CC3F27"/>
    <w:rsid w:val="00CC4946"/>
    <w:rsid w:val="00CC5260"/>
    <w:rsid w:val="00CC64A1"/>
    <w:rsid w:val="00CC6A42"/>
    <w:rsid w:val="00CD0129"/>
    <w:rsid w:val="00CD03E1"/>
    <w:rsid w:val="00CD0C45"/>
    <w:rsid w:val="00CD0CF5"/>
    <w:rsid w:val="00CD12DD"/>
    <w:rsid w:val="00CD1E01"/>
    <w:rsid w:val="00CD2910"/>
    <w:rsid w:val="00CD2CCA"/>
    <w:rsid w:val="00CD34AE"/>
    <w:rsid w:val="00CD36A7"/>
    <w:rsid w:val="00CD3CA7"/>
    <w:rsid w:val="00CD3D11"/>
    <w:rsid w:val="00CD420F"/>
    <w:rsid w:val="00CD5F7B"/>
    <w:rsid w:val="00CD6558"/>
    <w:rsid w:val="00CD6A0D"/>
    <w:rsid w:val="00CD701D"/>
    <w:rsid w:val="00CD73BE"/>
    <w:rsid w:val="00CD77AB"/>
    <w:rsid w:val="00CD78EA"/>
    <w:rsid w:val="00CE0FF1"/>
    <w:rsid w:val="00CE173A"/>
    <w:rsid w:val="00CE1DC0"/>
    <w:rsid w:val="00CE206E"/>
    <w:rsid w:val="00CE20FD"/>
    <w:rsid w:val="00CE2388"/>
    <w:rsid w:val="00CE2C1D"/>
    <w:rsid w:val="00CE3D7C"/>
    <w:rsid w:val="00CE4923"/>
    <w:rsid w:val="00CE60B5"/>
    <w:rsid w:val="00CE645B"/>
    <w:rsid w:val="00CE6FAC"/>
    <w:rsid w:val="00CE7002"/>
    <w:rsid w:val="00CE7347"/>
    <w:rsid w:val="00CE7810"/>
    <w:rsid w:val="00CF0052"/>
    <w:rsid w:val="00CF08FF"/>
    <w:rsid w:val="00CF1EB7"/>
    <w:rsid w:val="00CF2611"/>
    <w:rsid w:val="00CF2A6E"/>
    <w:rsid w:val="00CF3B11"/>
    <w:rsid w:val="00CF3C4C"/>
    <w:rsid w:val="00CF41EC"/>
    <w:rsid w:val="00CF47F6"/>
    <w:rsid w:val="00CF481F"/>
    <w:rsid w:val="00CF535E"/>
    <w:rsid w:val="00CF5675"/>
    <w:rsid w:val="00CF63EA"/>
    <w:rsid w:val="00CF66AA"/>
    <w:rsid w:val="00CF6976"/>
    <w:rsid w:val="00CF76FD"/>
    <w:rsid w:val="00CF79FC"/>
    <w:rsid w:val="00CF7CED"/>
    <w:rsid w:val="00D0018F"/>
    <w:rsid w:val="00D0029D"/>
    <w:rsid w:val="00D0088F"/>
    <w:rsid w:val="00D01FED"/>
    <w:rsid w:val="00D02267"/>
    <w:rsid w:val="00D0244D"/>
    <w:rsid w:val="00D03291"/>
    <w:rsid w:val="00D0369E"/>
    <w:rsid w:val="00D04BDF"/>
    <w:rsid w:val="00D04C97"/>
    <w:rsid w:val="00D050AB"/>
    <w:rsid w:val="00D0540C"/>
    <w:rsid w:val="00D05410"/>
    <w:rsid w:val="00D07120"/>
    <w:rsid w:val="00D077FB"/>
    <w:rsid w:val="00D0796A"/>
    <w:rsid w:val="00D07CAE"/>
    <w:rsid w:val="00D10424"/>
    <w:rsid w:val="00D11125"/>
    <w:rsid w:val="00D116FD"/>
    <w:rsid w:val="00D12FE7"/>
    <w:rsid w:val="00D134D6"/>
    <w:rsid w:val="00D13997"/>
    <w:rsid w:val="00D143E7"/>
    <w:rsid w:val="00D14770"/>
    <w:rsid w:val="00D150B4"/>
    <w:rsid w:val="00D1545A"/>
    <w:rsid w:val="00D15F1A"/>
    <w:rsid w:val="00D16E8B"/>
    <w:rsid w:val="00D1705E"/>
    <w:rsid w:val="00D20758"/>
    <w:rsid w:val="00D207EB"/>
    <w:rsid w:val="00D2184D"/>
    <w:rsid w:val="00D21A76"/>
    <w:rsid w:val="00D23C72"/>
    <w:rsid w:val="00D249CB"/>
    <w:rsid w:val="00D24F98"/>
    <w:rsid w:val="00D270A4"/>
    <w:rsid w:val="00D2719E"/>
    <w:rsid w:val="00D272DE"/>
    <w:rsid w:val="00D27D65"/>
    <w:rsid w:val="00D315F0"/>
    <w:rsid w:val="00D317DC"/>
    <w:rsid w:val="00D31BA7"/>
    <w:rsid w:val="00D31FE9"/>
    <w:rsid w:val="00D320FF"/>
    <w:rsid w:val="00D32116"/>
    <w:rsid w:val="00D33008"/>
    <w:rsid w:val="00D33039"/>
    <w:rsid w:val="00D336B8"/>
    <w:rsid w:val="00D33D5B"/>
    <w:rsid w:val="00D342C0"/>
    <w:rsid w:val="00D3492C"/>
    <w:rsid w:val="00D34E1B"/>
    <w:rsid w:val="00D34F48"/>
    <w:rsid w:val="00D3504F"/>
    <w:rsid w:val="00D350C0"/>
    <w:rsid w:val="00D355EE"/>
    <w:rsid w:val="00D35704"/>
    <w:rsid w:val="00D35DE9"/>
    <w:rsid w:val="00D36002"/>
    <w:rsid w:val="00D3608F"/>
    <w:rsid w:val="00D36279"/>
    <w:rsid w:val="00D3692A"/>
    <w:rsid w:val="00D36B9C"/>
    <w:rsid w:val="00D376BA"/>
    <w:rsid w:val="00D407E9"/>
    <w:rsid w:val="00D40C5D"/>
    <w:rsid w:val="00D40CAC"/>
    <w:rsid w:val="00D41B4B"/>
    <w:rsid w:val="00D4225A"/>
    <w:rsid w:val="00D424D0"/>
    <w:rsid w:val="00D42F72"/>
    <w:rsid w:val="00D433D8"/>
    <w:rsid w:val="00D434A0"/>
    <w:rsid w:val="00D441DF"/>
    <w:rsid w:val="00D455C8"/>
    <w:rsid w:val="00D45634"/>
    <w:rsid w:val="00D45784"/>
    <w:rsid w:val="00D45C90"/>
    <w:rsid w:val="00D45E09"/>
    <w:rsid w:val="00D46113"/>
    <w:rsid w:val="00D46510"/>
    <w:rsid w:val="00D47918"/>
    <w:rsid w:val="00D50106"/>
    <w:rsid w:val="00D5050C"/>
    <w:rsid w:val="00D50821"/>
    <w:rsid w:val="00D50C97"/>
    <w:rsid w:val="00D50DB7"/>
    <w:rsid w:val="00D50FB3"/>
    <w:rsid w:val="00D5134B"/>
    <w:rsid w:val="00D51CD7"/>
    <w:rsid w:val="00D51E65"/>
    <w:rsid w:val="00D5235C"/>
    <w:rsid w:val="00D5335C"/>
    <w:rsid w:val="00D54070"/>
    <w:rsid w:val="00D548F4"/>
    <w:rsid w:val="00D54AFD"/>
    <w:rsid w:val="00D54C29"/>
    <w:rsid w:val="00D5568A"/>
    <w:rsid w:val="00D5570A"/>
    <w:rsid w:val="00D55D31"/>
    <w:rsid w:val="00D56A75"/>
    <w:rsid w:val="00D56FB4"/>
    <w:rsid w:val="00D574DE"/>
    <w:rsid w:val="00D60AE7"/>
    <w:rsid w:val="00D6142F"/>
    <w:rsid w:val="00D62807"/>
    <w:rsid w:val="00D62984"/>
    <w:rsid w:val="00D63D73"/>
    <w:rsid w:val="00D63D85"/>
    <w:rsid w:val="00D63DEC"/>
    <w:rsid w:val="00D64452"/>
    <w:rsid w:val="00D645C2"/>
    <w:rsid w:val="00D64DD6"/>
    <w:rsid w:val="00D64F25"/>
    <w:rsid w:val="00D6597C"/>
    <w:rsid w:val="00D65E23"/>
    <w:rsid w:val="00D66E1E"/>
    <w:rsid w:val="00D67199"/>
    <w:rsid w:val="00D677CF"/>
    <w:rsid w:val="00D70696"/>
    <w:rsid w:val="00D7310C"/>
    <w:rsid w:val="00D731FC"/>
    <w:rsid w:val="00D739E0"/>
    <w:rsid w:val="00D74480"/>
    <w:rsid w:val="00D74B33"/>
    <w:rsid w:val="00D74BA7"/>
    <w:rsid w:val="00D74C8E"/>
    <w:rsid w:val="00D75221"/>
    <w:rsid w:val="00D75278"/>
    <w:rsid w:val="00D75722"/>
    <w:rsid w:val="00D75A09"/>
    <w:rsid w:val="00D75BEE"/>
    <w:rsid w:val="00D76534"/>
    <w:rsid w:val="00D76563"/>
    <w:rsid w:val="00D76B9D"/>
    <w:rsid w:val="00D77243"/>
    <w:rsid w:val="00D77662"/>
    <w:rsid w:val="00D776D6"/>
    <w:rsid w:val="00D80C2B"/>
    <w:rsid w:val="00D80CF5"/>
    <w:rsid w:val="00D81319"/>
    <w:rsid w:val="00D82F7F"/>
    <w:rsid w:val="00D83B91"/>
    <w:rsid w:val="00D83CA3"/>
    <w:rsid w:val="00D840CF"/>
    <w:rsid w:val="00D8442F"/>
    <w:rsid w:val="00D847C7"/>
    <w:rsid w:val="00D84BC6"/>
    <w:rsid w:val="00D852A8"/>
    <w:rsid w:val="00D8544C"/>
    <w:rsid w:val="00D85B23"/>
    <w:rsid w:val="00D90054"/>
    <w:rsid w:val="00D90384"/>
    <w:rsid w:val="00D90BBC"/>
    <w:rsid w:val="00D915AE"/>
    <w:rsid w:val="00D91DC6"/>
    <w:rsid w:val="00D91E13"/>
    <w:rsid w:val="00D92235"/>
    <w:rsid w:val="00D92A96"/>
    <w:rsid w:val="00D92CD3"/>
    <w:rsid w:val="00D92E8C"/>
    <w:rsid w:val="00D9360D"/>
    <w:rsid w:val="00D9374F"/>
    <w:rsid w:val="00D94013"/>
    <w:rsid w:val="00D9439F"/>
    <w:rsid w:val="00D945D3"/>
    <w:rsid w:val="00D9502B"/>
    <w:rsid w:val="00D95A5F"/>
    <w:rsid w:val="00D96622"/>
    <w:rsid w:val="00D96B09"/>
    <w:rsid w:val="00D9726B"/>
    <w:rsid w:val="00D97C97"/>
    <w:rsid w:val="00DA069A"/>
    <w:rsid w:val="00DA145E"/>
    <w:rsid w:val="00DA1B0D"/>
    <w:rsid w:val="00DA1B53"/>
    <w:rsid w:val="00DA1CE8"/>
    <w:rsid w:val="00DA34CF"/>
    <w:rsid w:val="00DA3D19"/>
    <w:rsid w:val="00DA4234"/>
    <w:rsid w:val="00DA467B"/>
    <w:rsid w:val="00DA4BF4"/>
    <w:rsid w:val="00DA5BBA"/>
    <w:rsid w:val="00DA630F"/>
    <w:rsid w:val="00DA6F7C"/>
    <w:rsid w:val="00DA73EF"/>
    <w:rsid w:val="00DA77A6"/>
    <w:rsid w:val="00DB08C3"/>
    <w:rsid w:val="00DB0A51"/>
    <w:rsid w:val="00DB0CB6"/>
    <w:rsid w:val="00DB0DBE"/>
    <w:rsid w:val="00DB124F"/>
    <w:rsid w:val="00DB186E"/>
    <w:rsid w:val="00DB26D2"/>
    <w:rsid w:val="00DB30B3"/>
    <w:rsid w:val="00DB3D8E"/>
    <w:rsid w:val="00DB4610"/>
    <w:rsid w:val="00DB47E6"/>
    <w:rsid w:val="00DB4A6F"/>
    <w:rsid w:val="00DB4CD1"/>
    <w:rsid w:val="00DB4FD4"/>
    <w:rsid w:val="00DB5873"/>
    <w:rsid w:val="00DB6130"/>
    <w:rsid w:val="00DB67C9"/>
    <w:rsid w:val="00DB7624"/>
    <w:rsid w:val="00DB762D"/>
    <w:rsid w:val="00DC04DA"/>
    <w:rsid w:val="00DC0C95"/>
    <w:rsid w:val="00DC0DE4"/>
    <w:rsid w:val="00DC12A2"/>
    <w:rsid w:val="00DC1447"/>
    <w:rsid w:val="00DC21C4"/>
    <w:rsid w:val="00DC2F99"/>
    <w:rsid w:val="00DC3876"/>
    <w:rsid w:val="00DC4384"/>
    <w:rsid w:val="00DC473B"/>
    <w:rsid w:val="00DC4B10"/>
    <w:rsid w:val="00DC4F0B"/>
    <w:rsid w:val="00DC5A08"/>
    <w:rsid w:val="00DC6182"/>
    <w:rsid w:val="00DC624C"/>
    <w:rsid w:val="00DC6BDC"/>
    <w:rsid w:val="00DC7C89"/>
    <w:rsid w:val="00DC7D7B"/>
    <w:rsid w:val="00DD1871"/>
    <w:rsid w:val="00DD1B4B"/>
    <w:rsid w:val="00DD1DD3"/>
    <w:rsid w:val="00DD2344"/>
    <w:rsid w:val="00DD2F7A"/>
    <w:rsid w:val="00DD339D"/>
    <w:rsid w:val="00DD3DCA"/>
    <w:rsid w:val="00DD4108"/>
    <w:rsid w:val="00DD4836"/>
    <w:rsid w:val="00DD554A"/>
    <w:rsid w:val="00DD566B"/>
    <w:rsid w:val="00DD5C05"/>
    <w:rsid w:val="00DD6580"/>
    <w:rsid w:val="00DD6808"/>
    <w:rsid w:val="00DD753D"/>
    <w:rsid w:val="00DD783F"/>
    <w:rsid w:val="00DD7ABA"/>
    <w:rsid w:val="00DD7E63"/>
    <w:rsid w:val="00DE0913"/>
    <w:rsid w:val="00DE093A"/>
    <w:rsid w:val="00DE1699"/>
    <w:rsid w:val="00DE2AED"/>
    <w:rsid w:val="00DE3973"/>
    <w:rsid w:val="00DE40EE"/>
    <w:rsid w:val="00DE48D4"/>
    <w:rsid w:val="00DE512F"/>
    <w:rsid w:val="00DE5592"/>
    <w:rsid w:val="00DE5AAE"/>
    <w:rsid w:val="00DE61C9"/>
    <w:rsid w:val="00DE6280"/>
    <w:rsid w:val="00DE656B"/>
    <w:rsid w:val="00DE69F3"/>
    <w:rsid w:val="00DE7237"/>
    <w:rsid w:val="00DE7AFC"/>
    <w:rsid w:val="00DF0125"/>
    <w:rsid w:val="00DF0840"/>
    <w:rsid w:val="00DF0B8D"/>
    <w:rsid w:val="00DF153D"/>
    <w:rsid w:val="00DF3396"/>
    <w:rsid w:val="00DF40E3"/>
    <w:rsid w:val="00DF43D1"/>
    <w:rsid w:val="00DF48CF"/>
    <w:rsid w:val="00DF4C4E"/>
    <w:rsid w:val="00DF5745"/>
    <w:rsid w:val="00DF5815"/>
    <w:rsid w:val="00DF736F"/>
    <w:rsid w:val="00DF7C62"/>
    <w:rsid w:val="00DF7C6D"/>
    <w:rsid w:val="00E00255"/>
    <w:rsid w:val="00E00BDE"/>
    <w:rsid w:val="00E010C0"/>
    <w:rsid w:val="00E01D7F"/>
    <w:rsid w:val="00E01DD2"/>
    <w:rsid w:val="00E02275"/>
    <w:rsid w:val="00E0291B"/>
    <w:rsid w:val="00E033FD"/>
    <w:rsid w:val="00E03588"/>
    <w:rsid w:val="00E03C77"/>
    <w:rsid w:val="00E04936"/>
    <w:rsid w:val="00E05B1B"/>
    <w:rsid w:val="00E05C03"/>
    <w:rsid w:val="00E06694"/>
    <w:rsid w:val="00E0692C"/>
    <w:rsid w:val="00E079FE"/>
    <w:rsid w:val="00E10150"/>
    <w:rsid w:val="00E104F3"/>
    <w:rsid w:val="00E109F5"/>
    <w:rsid w:val="00E12258"/>
    <w:rsid w:val="00E12341"/>
    <w:rsid w:val="00E123F8"/>
    <w:rsid w:val="00E12C87"/>
    <w:rsid w:val="00E12CDA"/>
    <w:rsid w:val="00E1373B"/>
    <w:rsid w:val="00E13851"/>
    <w:rsid w:val="00E13DA9"/>
    <w:rsid w:val="00E14A9B"/>
    <w:rsid w:val="00E155ED"/>
    <w:rsid w:val="00E15CD3"/>
    <w:rsid w:val="00E161B2"/>
    <w:rsid w:val="00E1670C"/>
    <w:rsid w:val="00E171F0"/>
    <w:rsid w:val="00E17382"/>
    <w:rsid w:val="00E179F9"/>
    <w:rsid w:val="00E17B21"/>
    <w:rsid w:val="00E17C72"/>
    <w:rsid w:val="00E20465"/>
    <w:rsid w:val="00E20FB4"/>
    <w:rsid w:val="00E212CB"/>
    <w:rsid w:val="00E21FC6"/>
    <w:rsid w:val="00E233CE"/>
    <w:rsid w:val="00E239B8"/>
    <w:rsid w:val="00E23E7A"/>
    <w:rsid w:val="00E241D5"/>
    <w:rsid w:val="00E24B1E"/>
    <w:rsid w:val="00E24F37"/>
    <w:rsid w:val="00E25314"/>
    <w:rsid w:val="00E26C79"/>
    <w:rsid w:val="00E26EB8"/>
    <w:rsid w:val="00E27EC5"/>
    <w:rsid w:val="00E27F6B"/>
    <w:rsid w:val="00E314E2"/>
    <w:rsid w:val="00E32220"/>
    <w:rsid w:val="00E32841"/>
    <w:rsid w:val="00E32CB1"/>
    <w:rsid w:val="00E33BF4"/>
    <w:rsid w:val="00E33DD4"/>
    <w:rsid w:val="00E34382"/>
    <w:rsid w:val="00E34BFE"/>
    <w:rsid w:val="00E34F8A"/>
    <w:rsid w:val="00E35599"/>
    <w:rsid w:val="00E35E10"/>
    <w:rsid w:val="00E35FB9"/>
    <w:rsid w:val="00E3736E"/>
    <w:rsid w:val="00E37584"/>
    <w:rsid w:val="00E37843"/>
    <w:rsid w:val="00E40017"/>
    <w:rsid w:val="00E40461"/>
    <w:rsid w:val="00E41B83"/>
    <w:rsid w:val="00E423A5"/>
    <w:rsid w:val="00E427DE"/>
    <w:rsid w:val="00E42BC2"/>
    <w:rsid w:val="00E431A9"/>
    <w:rsid w:val="00E43706"/>
    <w:rsid w:val="00E43812"/>
    <w:rsid w:val="00E444A8"/>
    <w:rsid w:val="00E44E6B"/>
    <w:rsid w:val="00E45426"/>
    <w:rsid w:val="00E45434"/>
    <w:rsid w:val="00E45DD1"/>
    <w:rsid w:val="00E47E1E"/>
    <w:rsid w:val="00E47E55"/>
    <w:rsid w:val="00E47EB1"/>
    <w:rsid w:val="00E50530"/>
    <w:rsid w:val="00E509B4"/>
    <w:rsid w:val="00E51553"/>
    <w:rsid w:val="00E5179A"/>
    <w:rsid w:val="00E548F7"/>
    <w:rsid w:val="00E54B22"/>
    <w:rsid w:val="00E55256"/>
    <w:rsid w:val="00E552C8"/>
    <w:rsid w:val="00E55B21"/>
    <w:rsid w:val="00E55C8A"/>
    <w:rsid w:val="00E5695B"/>
    <w:rsid w:val="00E57485"/>
    <w:rsid w:val="00E60689"/>
    <w:rsid w:val="00E61072"/>
    <w:rsid w:val="00E625F5"/>
    <w:rsid w:val="00E63570"/>
    <w:rsid w:val="00E63609"/>
    <w:rsid w:val="00E63E3B"/>
    <w:rsid w:val="00E63FA5"/>
    <w:rsid w:val="00E647CB"/>
    <w:rsid w:val="00E64E1C"/>
    <w:rsid w:val="00E654EA"/>
    <w:rsid w:val="00E6553C"/>
    <w:rsid w:val="00E660E5"/>
    <w:rsid w:val="00E66561"/>
    <w:rsid w:val="00E66753"/>
    <w:rsid w:val="00E66768"/>
    <w:rsid w:val="00E669E2"/>
    <w:rsid w:val="00E66AFD"/>
    <w:rsid w:val="00E66B04"/>
    <w:rsid w:val="00E674E1"/>
    <w:rsid w:val="00E676FD"/>
    <w:rsid w:val="00E67C6D"/>
    <w:rsid w:val="00E704FD"/>
    <w:rsid w:val="00E709A2"/>
    <w:rsid w:val="00E71130"/>
    <w:rsid w:val="00E72099"/>
    <w:rsid w:val="00E72BD8"/>
    <w:rsid w:val="00E72C14"/>
    <w:rsid w:val="00E73766"/>
    <w:rsid w:val="00E738AA"/>
    <w:rsid w:val="00E73D8D"/>
    <w:rsid w:val="00E74055"/>
    <w:rsid w:val="00E74EB0"/>
    <w:rsid w:val="00E74EF0"/>
    <w:rsid w:val="00E76135"/>
    <w:rsid w:val="00E77333"/>
    <w:rsid w:val="00E77FB0"/>
    <w:rsid w:val="00E80500"/>
    <w:rsid w:val="00E80737"/>
    <w:rsid w:val="00E80C69"/>
    <w:rsid w:val="00E80D32"/>
    <w:rsid w:val="00E80D3E"/>
    <w:rsid w:val="00E81090"/>
    <w:rsid w:val="00E821F3"/>
    <w:rsid w:val="00E822BE"/>
    <w:rsid w:val="00E82986"/>
    <w:rsid w:val="00E82AA6"/>
    <w:rsid w:val="00E82F4F"/>
    <w:rsid w:val="00E834CF"/>
    <w:rsid w:val="00E8352D"/>
    <w:rsid w:val="00E83981"/>
    <w:rsid w:val="00E83A60"/>
    <w:rsid w:val="00E844A8"/>
    <w:rsid w:val="00E84C89"/>
    <w:rsid w:val="00E84E74"/>
    <w:rsid w:val="00E84F9F"/>
    <w:rsid w:val="00E8506A"/>
    <w:rsid w:val="00E854F6"/>
    <w:rsid w:val="00E864A6"/>
    <w:rsid w:val="00E864DF"/>
    <w:rsid w:val="00E8666F"/>
    <w:rsid w:val="00E86978"/>
    <w:rsid w:val="00E87771"/>
    <w:rsid w:val="00E879C5"/>
    <w:rsid w:val="00E90257"/>
    <w:rsid w:val="00E90628"/>
    <w:rsid w:val="00E91541"/>
    <w:rsid w:val="00E927EC"/>
    <w:rsid w:val="00E92C58"/>
    <w:rsid w:val="00E92CB3"/>
    <w:rsid w:val="00E92D6C"/>
    <w:rsid w:val="00E92E8A"/>
    <w:rsid w:val="00E9384C"/>
    <w:rsid w:val="00E93B6B"/>
    <w:rsid w:val="00E94547"/>
    <w:rsid w:val="00E94859"/>
    <w:rsid w:val="00E94F43"/>
    <w:rsid w:val="00E95017"/>
    <w:rsid w:val="00E95B65"/>
    <w:rsid w:val="00E95EC7"/>
    <w:rsid w:val="00E9641D"/>
    <w:rsid w:val="00E9669A"/>
    <w:rsid w:val="00E968F4"/>
    <w:rsid w:val="00E96AA4"/>
    <w:rsid w:val="00E97167"/>
    <w:rsid w:val="00E9742F"/>
    <w:rsid w:val="00E97564"/>
    <w:rsid w:val="00E977DE"/>
    <w:rsid w:val="00EA0D7A"/>
    <w:rsid w:val="00EA1336"/>
    <w:rsid w:val="00EA2030"/>
    <w:rsid w:val="00EA232F"/>
    <w:rsid w:val="00EA2B5C"/>
    <w:rsid w:val="00EA375C"/>
    <w:rsid w:val="00EA3F9C"/>
    <w:rsid w:val="00EA4D6A"/>
    <w:rsid w:val="00EA501C"/>
    <w:rsid w:val="00EA52FD"/>
    <w:rsid w:val="00EA5DDD"/>
    <w:rsid w:val="00EA5FFD"/>
    <w:rsid w:val="00EA6B17"/>
    <w:rsid w:val="00EA7A16"/>
    <w:rsid w:val="00EA7CA1"/>
    <w:rsid w:val="00EB06CA"/>
    <w:rsid w:val="00EB0F91"/>
    <w:rsid w:val="00EB126C"/>
    <w:rsid w:val="00EB1CA4"/>
    <w:rsid w:val="00EB26EF"/>
    <w:rsid w:val="00EB2A99"/>
    <w:rsid w:val="00EB2CC3"/>
    <w:rsid w:val="00EB4C52"/>
    <w:rsid w:val="00EB4ED5"/>
    <w:rsid w:val="00EB53BF"/>
    <w:rsid w:val="00EB5737"/>
    <w:rsid w:val="00EB62EE"/>
    <w:rsid w:val="00EB64BF"/>
    <w:rsid w:val="00EB6BBB"/>
    <w:rsid w:val="00EB6C27"/>
    <w:rsid w:val="00EB7A54"/>
    <w:rsid w:val="00EB7B79"/>
    <w:rsid w:val="00EC02C4"/>
    <w:rsid w:val="00EC182E"/>
    <w:rsid w:val="00EC213C"/>
    <w:rsid w:val="00EC23E2"/>
    <w:rsid w:val="00EC241F"/>
    <w:rsid w:val="00EC2844"/>
    <w:rsid w:val="00EC298B"/>
    <w:rsid w:val="00EC2B7D"/>
    <w:rsid w:val="00EC3443"/>
    <w:rsid w:val="00EC5500"/>
    <w:rsid w:val="00EC623B"/>
    <w:rsid w:val="00EC623D"/>
    <w:rsid w:val="00EC6625"/>
    <w:rsid w:val="00EC66B4"/>
    <w:rsid w:val="00EC6BF1"/>
    <w:rsid w:val="00EC6C20"/>
    <w:rsid w:val="00EC7A2A"/>
    <w:rsid w:val="00EC7B15"/>
    <w:rsid w:val="00ED06EE"/>
    <w:rsid w:val="00ED077C"/>
    <w:rsid w:val="00ED0A1A"/>
    <w:rsid w:val="00ED183B"/>
    <w:rsid w:val="00ED18F8"/>
    <w:rsid w:val="00ED1E2F"/>
    <w:rsid w:val="00ED2146"/>
    <w:rsid w:val="00ED261B"/>
    <w:rsid w:val="00ED2C65"/>
    <w:rsid w:val="00ED2E71"/>
    <w:rsid w:val="00ED3B0E"/>
    <w:rsid w:val="00ED43D2"/>
    <w:rsid w:val="00ED4BC7"/>
    <w:rsid w:val="00ED5F41"/>
    <w:rsid w:val="00ED65E5"/>
    <w:rsid w:val="00ED7396"/>
    <w:rsid w:val="00EE0177"/>
    <w:rsid w:val="00EE085A"/>
    <w:rsid w:val="00EE10F4"/>
    <w:rsid w:val="00EE147C"/>
    <w:rsid w:val="00EE1C66"/>
    <w:rsid w:val="00EE2356"/>
    <w:rsid w:val="00EE2AD0"/>
    <w:rsid w:val="00EE2CF0"/>
    <w:rsid w:val="00EE38FB"/>
    <w:rsid w:val="00EE52E3"/>
    <w:rsid w:val="00EE62CA"/>
    <w:rsid w:val="00EE6EDA"/>
    <w:rsid w:val="00EE70C3"/>
    <w:rsid w:val="00EE7612"/>
    <w:rsid w:val="00EE778E"/>
    <w:rsid w:val="00EF00DB"/>
    <w:rsid w:val="00EF028C"/>
    <w:rsid w:val="00EF0865"/>
    <w:rsid w:val="00EF102D"/>
    <w:rsid w:val="00EF12C6"/>
    <w:rsid w:val="00EF1711"/>
    <w:rsid w:val="00EF19F1"/>
    <w:rsid w:val="00EF1A38"/>
    <w:rsid w:val="00EF25A2"/>
    <w:rsid w:val="00EF26D6"/>
    <w:rsid w:val="00EF31FE"/>
    <w:rsid w:val="00EF3326"/>
    <w:rsid w:val="00EF432F"/>
    <w:rsid w:val="00EF45E8"/>
    <w:rsid w:val="00EF4B06"/>
    <w:rsid w:val="00EF6562"/>
    <w:rsid w:val="00EF6637"/>
    <w:rsid w:val="00EF6719"/>
    <w:rsid w:val="00EF6C3F"/>
    <w:rsid w:val="00EF6C6C"/>
    <w:rsid w:val="00EF7002"/>
    <w:rsid w:val="00EF70E2"/>
    <w:rsid w:val="00EF7975"/>
    <w:rsid w:val="00F003A3"/>
    <w:rsid w:val="00F00498"/>
    <w:rsid w:val="00F00B4E"/>
    <w:rsid w:val="00F0105B"/>
    <w:rsid w:val="00F03429"/>
    <w:rsid w:val="00F03D85"/>
    <w:rsid w:val="00F03D8A"/>
    <w:rsid w:val="00F0447A"/>
    <w:rsid w:val="00F04646"/>
    <w:rsid w:val="00F05035"/>
    <w:rsid w:val="00F05124"/>
    <w:rsid w:val="00F05174"/>
    <w:rsid w:val="00F05315"/>
    <w:rsid w:val="00F0553F"/>
    <w:rsid w:val="00F056FC"/>
    <w:rsid w:val="00F05CB4"/>
    <w:rsid w:val="00F0632F"/>
    <w:rsid w:val="00F069AE"/>
    <w:rsid w:val="00F07B05"/>
    <w:rsid w:val="00F10173"/>
    <w:rsid w:val="00F10476"/>
    <w:rsid w:val="00F106D4"/>
    <w:rsid w:val="00F108FB"/>
    <w:rsid w:val="00F10AEB"/>
    <w:rsid w:val="00F10C7A"/>
    <w:rsid w:val="00F11DC5"/>
    <w:rsid w:val="00F135D8"/>
    <w:rsid w:val="00F13638"/>
    <w:rsid w:val="00F13C8B"/>
    <w:rsid w:val="00F13F68"/>
    <w:rsid w:val="00F16686"/>
    <w:rsid w:val="00F16E2C"/>
    <w:rsid w:val="00F20E08"/>
    <w:rsid w:val="00F21063"/>
    <w:rsid w:val="00F21BE4"/>
    <w:rsid w:val="00F2274D"/>
    <w:rsid w:val="00F2346C"/>
    <w:rsid w:val="00F25C26"/>
    <w:rsid w:val="00F2609C"/>
    <w:rsid w:val="00F26993"/>
    <w:rsid w:val="00F3107A"/>
    <w:rsid w:val="00F31299"/>
    <w:rsid w:val="00F31725"/>
    <w:rsid w:val="00F31BD8"/>
    <w:rsid w:val="00F32908"/>
    <w:rsid w:val="00F33B52"/>
    <w:rsid w:val="00F33BCB"/>
    <w:rsid w:val="00F33EB9"/>
    <w:rsid w:val="00F3534A"/>
    <w:rsid w:val="00F3555F"/>
    <w:rsid w:val="00F35908"/>
    <w:rsid w:val="00F35BFB"/>
    <w:rsid w:val="00F35D76"/>
    <w:rsid w:val="00F363CB"/>
    <w:rsid w:val="00F36ACC"/>
    <w:rsid w:val="00F3708D"/>
    <w:rsid w:val="00F37473"/>
    <w:rsid w:val="00F37AED"/>
    <w:rsid w:val="00F40212"/>
    <w:rsid w:val="00F40D75"/>
    <w:rsid w:val="00F41032"/>
    <w:rsid w:val="00F4112F"/>
    <w:rsid w:val="00F411C3"/>
    <w:rsid w:val="00F41409"/>
    <w:rsid w:val="00F415C0"/>
    <w:rsid w:val="00F418F0"/>
    <w:rsid w:val="00F41CB9"/>
    <w:rsid w:val="00F4218F"/>
    <w:rsid w:val="00F42A86"/>
    <w:rsid w:val="00F433F9"/>
    <w:rsid w:val="00F43634"/>
    <w:rsid w:val="00F4387B"/>
    <w:rsid w:val="00F43F34"/>
    <w:rsid w:val="00F445C6"/>
    <w:rsid w:val="00F44661"/>
    <w:rsid w:val="00F4470C"/>
    <w:rsid w:val="00F45DF7"/>
    <w:rsid w:val="00F46E26"/>
    <w:rsid w:val="00F47630"/>
    <w:rsid w:val="00F47909"/>
    <w:rsid w:val="00F50127"/>
    <w:rsid w:val="00F501D3"/>
    <w:rsid w:val="00F5116C"/>
    <w:rsid w:val="00F51609"/>
    <w:rsid w:val="00F51FF8"/>
    <w:rsid w:val="00F52756"/>
    <w:rsid w:val="00F528CF"/>
    <w:rsid w:val="00F52BD8"/>
    <w:rsid w:val="00F52CB9"/>
    <w:rsid w:val="00F5300B"/>
    <w:rsid w:val="00F53621"/>
    <w:rsid w:val="00F53782"/>
    <w:rsid w:val="00F538F4"/>
    <w:rsid w:val="00F54750"/>
    <w:rsid w:val="00F55154"/>
    <w:rsid w:val="00F553A7"/>
    <w:rsid w:val="00F55C25"/>
    <w:rsid w:val="00F55FFD"/>
    <w:rsid w:val="00F569C2"/>
    <w:rsid w:val="00F56AA4"/>
    <w:rsid w:val="00F56D99"/>
    <w:rsid w:val="00F57065"/>
    <w:rsid w:val="00F574D9"/>
    <w:rsid w:val="00F57A06"/>
    <w:rsid w:val="00F57B67"/>
    <w:rsid w:val="00F57F28"/>
    <w:rsid w:val="00F622BD"/>
    <w:rsid w:val="00F624FA"/>
    <w:rsid w:val="00F62A2C"/>
    <w:rsid w:val="00F63A28"/>
    <w:rsid w:val="00F63DE4"/>
    <w:rsid w:val="00F63E4A"/>
    <w:rsid w:val="00F64623"/>
    <w:rsid w:val="00F650B2"/>
    <w:rsid w:val="00F65487"/>
    <w:rsid w:val="00F65511"/>
    <w:rsid w:val="00F657EB"/>
    <w:rsid w:val="00F66C18"/>
    <w:rsid w:val="00F66CF2"/>
    <w:rsid w:val="00F675F4"/>
    <w:rsid w:val="00F7086B"/>
    <w:rsid w:val="00F70DDB"/>
    <w:rsid w:val="00F71A2A"/>
    <w:rsid w:val="00F71A65"/>
    <w:rsid w:val="00F7200D"/>
    <w:rsid w:val="00F7272F"/>
    <w:rsid w:val="00F727B6"/>
    <w:rsid w:val="00F728FE"/>
    <w:rsid w:val="00F73320"/>
    <w:rsid w:val="00F73727"/>
    <w:rsid w:val="00F73A9E"/>
    <w:rsid w:val="00F741BB"/>
    <w:rsid w:val="00F766A7"/>
    <w:rsid w:val="00F76962"/>
    <w:rsid w:val="00F77AFE"/>
    <w:rsid w:val="00F81006"/>
    <w:rsid w:val="00F8163E"/>
    <w:rsid w:val="00F82FB7"/>
    <w:rsid w:val="00F8310F"/>
    <w:rsid w:val="00F832C2"/>
    <w:rsid w:val="00F8336D"/>
    <w:rsid w:val="00F83CF0"/>
    <w:rsid w:val="00F83FE2"/>
    <w:rsid w:val="00F84679"/>
    <w:rsid w:val="00F8490A"/>
    <w:rsid w:val="00F85325"/>
    <w:rsid w:val="00F8714A"/>
    <w:rsid w:val="00F87EF6"/>
    <w:rsid w:val="00F90412"/>
    <w:rsid w:val="00F90BCC"/>
    <w:rsid w:val="00F90C1F"/>
    <w:rsid w:val="00F90D32"/>
    <w:rsid w:val="00F90DC9"/>
    <w:rsid w:val="00F916AC"/>
    <w:rsid w:val="00F92704"/>
    <w:rsid w:val="00F929E8"/>
    <w:rsid w:val="00F92F19"/>
    <w:rsid w:val="00F9308A"/>
    <w:rsid w:val="00F941D2"/>
    <w:rsid w:val="00F95B03"/>
    <w:rsid w:val="00F960E2"/>
    <w:rsid w:val="00F96108"/>
    <w:rsid w:val="00F9646C"/>
    <w:rsid w:val="00F966A7"/>
    <w:rsid w:val="00F96932"/>
    <w:rsid w:val="00F96D6D"/>
    <w:rsid w:val="00F97B37"/>
    <w:rsid w:val="00F97BAD"/>
    <w:rsid w:val="00F97C92"/>
    <w:rsid w:val="00F97E29"/>
    <w:rsid w:val="00F97EDA"/>
    <w:rsid w:val="00FA1082"/>
    <w:rsid w:val="00FA1ED6"/>
    <w:rsid w:val="00FA2198"/>
    <w:rsid w:val="00FA274D"/>
    <w:rsid w:val="00FA310C"/>
    <w:rsid w:val="00FA574D"/>
    <w:rsid w:val="00FA5AF8"/>
    <w:rsid w:val="00FA5F22"/>
    <w:rsid w:val="00FA689E"/>
    <w:rsid w:val="00FA7244"/>
    <w:rsid w:val="00FA766E"/>
    <w:rsid w:val="00FA777E"/>
    <w:rsid w:val="00FA7C46"/>
    <w:rsid w:val="00FB0421"/>
    <w:rsid w:val="00FB0649"/>
    <w:rsid w:val="00FB09CA"/>
    <w:rsid w:val="00FB0AB7"/>
    <w:rsid w:val="00FB0DAA"/>
    <w:rsid w:val="00FB181F"/>
    <w:rsid w:val="00FB254F"/>
    <w:rsid w:val="00FB2999"/>
    <w:rsid w:val="00FB30E1"/>
    <w:rsid w:val="00FB3280"/>
    <w:rsid w:val="00FB35E5"/>
    <w:rsid w:val="00FB3B26"/>
    <w:rsid w:val="00FB4430"/>
    <w:rsid w:val="00FB4C0A"/>
    <w:rsid w:val="00FB50AC"/>
    <w:rsid w:val="00FB5103"/>
    <w:rsid w:val="00FB53ED"/>
    <w:rsid w:val="00FB5BBC"/>
    <w:rsid w:val="00FB610A"/>
    <w:rsid w:val="00FB6323"/>
    <w:rsid w:val="00FB7ACB"/>
    <w:rsid w:val="00FC0EEE"/>
    <w:rsid w:val="00FC13DB"/>
    <w:rsid w:val="00FC250F"/>
    <w:rsid w:val="00FC3002"/>
    <w:rsid w:val="00FC3A7C"/>
    <w:rsid w:val="00FC514C"/>
    <w:rsid w:val="00FC56C9"/>
    <w:rsid w:val="00FC56EB"/>
    <w:rsid w:val="00FC5E32"/>
    <w:rsid w:val="00FC6059"/>
    <w:rsid w:val="00FC772C"/>
    <w:rsid w:val="00FC77AF"/>
    <w:rsid w:val="00FC77F9"/>
    <w:rsid w:val="00FC7C29"/>
    <w:rsid w:val="00FC7E4A"/>
    <w:rsid w:val="00FD0302"/>
    <w:rsid w:val="00FD0E29"/>
    <w:rsid w:val="00FD1082"/>
    <w:rsid w:val="00FD1DD1"/>
    <w:rsid w:val="00FD22B1"/>
    <w:rsid w:val="00FD247D"/>
    <w:rsid w:val="00FD2B44"/>
    <w:rsid w:val="00FD2C06"/>
    <w:rsid w:val="00FD2FCC"/>
    <w:rsid w:val="00FD33F1"/>
    <w:rsid w:val="00FD3566"/>
    <w:rsid w:val="00FD4C6E"/>
    <w:rsid w:val="00FD582C"/>
    <w:rsid w:val="00FD5BCD"/>
    <w:rsid w:val="00FD5BEA"/>
    <w:rsid w:val="00FD5DA8"/>
    <w:rsid w:val="00FD642A"/>
    <w:rsid w:val="00FD6D7B"/>
    <w:rsid w:val="00FD74BA"/>
    <w:rsid w:val="00FD7858"/>
    <w:rsid w:val="00FD7D80"/>
    <w:rsid w:val="00FE02A5"/>
    <w:rsid w:val="00FE0625"/>
    <w:rsid w:val="00FE1100"/>
    <w:rsid w:val="00FE2818"/>
    <w:rsid w:val="00FE3C71"/>
    <w:rsid w:val="00FE3D9D"/>
    <w:rsid w:val="00FE4717"/>
    <w:rsid w:val="00FE485D"/>
    <w:rsid w:val="00FE50EF"/>
    <w:rsid w:val="00FE52FF"/>
    <w:rsid w:val="00FE5397"/>
    <w:rsid w:val="00FE54D2"/>
    <w:rsid w:val="00FE5794"/>
    <w:rsid w:val="00FE589E"/>
    <w:rsid w:val="00FE5B03"/>
    <w:rsid w:val="00FE5FF1"/>
    <w:rsid w:val="00FE62E7"/>
    <w:rsid w:val="00FE66A5"/>
    <w:rsid w:val="00FE6850"/>
    <w:rsid w:val="00FE68A2"/>
    <w:rsid w:val="00FF048E"/>
    <w:rsid w:val="00FF067C"/>
    <w:rsid w:val="00FF08E8"/>
    <w:rsid w:val="00FF0D2D"/>
    <w:rsid w:val="00FF1CAD"/>
    <w:rsid w:val="00FF2751"/>
    <w:rsid w:val="00FF2B15"/>
    <w:rsid w:val="00FF3577"/>
    <w:rsid w:val="00FF3AE4"/>
    <w:rsid w:val="00FF3CDE"/>
    <w:rsid w:val="00FF4450"/>
    <w:rsid w:val="00FF4497"/>
    <w:rsid w:val="00FF51E4"/>
    <w:rsid w:val="00FF5493"/>
    <w:rsid w:val="00FF5992"/>
    <w:rsid w:val="00FF5B18"/>
    <w:rsid w:val="00FF5DCD"/>
    <w:rsid w:val="00FF6762"/>
    <w:rsid w:val="00FF696D"/>
    <w:rsid w:val="00FF7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016EAB79"/>
  <w15:docId w15:val="{14CC79F8-0CF3-48B8-BEB3-9FA1CB1E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tabs>
        <w:tab w:val="num" w:pos="284"/>
      </w:tabs>
      <w:spacing w:before="100" w:line="260" w:lineRule="atLeast"/>
      <w:ind w:left="284" w:hanging="284"/>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qFormat/>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qFormat/>
    <w:rsid w:val="009F5BBD"/>
    <w:rPr>
      <w:i/>
    </w:rPr>
  </w:style>
  <w:style w:type="paragraph" w:customStyle="1" w:styleId="Space">
    <w:name w:val="Space"/>
    <w:basedOn w:val="Normal"/>
    <w:qFormat/>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2Char">
    <w:name w:val="Heading 2 Char"/>
    <w:basedOn w:val="DefaultParagraphFont"/>
    <w:link w:val="Heading2"/>
    <w:rsid w:val="00D96622"/>
    <w:rPr>
      <w:rFonts w:ascii="Arial" w:hAnsi="Arial"/>
      <w:b/>
      <w:sz w:val="32"/>
    </w:rPr>
  </w:style>
  <w:style w:type="character" w:styleId="Hyperlink">
    <w:name w:val="Hyperlink"/>
    <w:basedOn w:val="DefaultParagraphFont"/>
    <w:uiPriority w:val="99"/>
    <w:rsid w:val="00D96622"/>
    <w:rPr>
      <w:color w:val="000000" w:themeColor="hyperlink"/>
      <w:u w:val="single"/>
    </w:rPr>
  </w:style>
  <w:style w:type="character" w:customStyle="1" w:styleId="Heading3Char">
    <w:name w:val="Heading 3 Char"/>
    <w:basedOn w:val="DefaultParagraphFont"/>
    <w:link w:val="Heading3"/>
    <w:rsid w:val="00D96622"/>
    <w:rPr>
      <w:rFonts w:ascii="Arial" w:hAnsi="Arial"/>
      <w:b/>
      <w:sz w:val="26"/>
    </w:rPr>
  </w:style>
  <w:style w:type="paragraph" w:styleId="ListParagraph">
    <w:name w:val="List Paragraph"/>
    <w:basedOn w:val="Normal"/>
    <w:uiPriority w:val="34"/>
    <w:qFormat/>
    <w:rsid w:val="000C46A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7">
    <w:name w:val="Pa7"/>
    <w:basedOn w:val="Normal"/>
    <w:next w:val="Normal"/>
    <w:uiPriority w:val="99"/>
    <w:rsid w:val="00B2473E"/>
    <w:pPr>
      <w:autoSpaceDE w:val="0"/>
      <w:autoSpaceDN w:val="0"/>
      <w:adjustRightInd w:val="0"/>
      <w:spacing w:line="181" w:lineRule="atLeast"/>
    </w:pPr>
    <w:rPr>
      <w:rFonts w:ascii="Calibri Light" w:eastAsiaTheme="minorHAnsi" w:hAnsi="Calibri Light" w:cs="Calibri Light"/>
      <w:lang w:eastAsia="en-US"/>
    </w:rPr>
  </w:style>
  <w:style w:type="character" w:customStyle="1" w:styleId="CommentTextChar">
    <w:name w:val="Comment Text Char"/>
    <w:basedOn w:val="DefaultParagraphFont"/>
    <w:link w:val="CommentText"/>
    <w:semiHidden/>
    <w:rsid w:val="00C210B1"/>
    <w:rPr>
      <w:szCs w:val="24"/>
    </w:rPr>
  </w:style>
  <w:style w:type="paragraph" w:customStyle="1" w:styleId="BoxSpaceAboveElement">
    <w:name w:val="Box Space Above Element"/>
    <w:basedOn w:val="BoxSpaceAbove"/>
    <w:link w:val="BoxSpaceAboveElementChar"/>
    <w:qFormat/>
    <w:rsid w:val="00C210B1"/>
    <w:pPr>
      <w:spacing w:before="240"/>
    </w:pPr>
    <w:rPr>
      <w:b/>
      <w:vanish/>
      <w:color w:val="FF00FF"/>
      <w:sz w:val="14"/>
    </w:rPr>
  </w:style>
  <w:style w:type="character" w:customStyle="1" w:styleId="BoxSpaceAboveElementChar">
    <w:name w:val="Box Space Above Element Char"/>
    <w:basedOn w:val="DefaultParagraphFont"/>
    <w:link w:val="BoxSpaceAboveElement"/>
    <w:rsid w:val="00C210B1"/>
    <w:rPr>
      <w:b/>
      <w:vanish/>
      <w:color w:val="FF00FF"/>
      <w:sz w:val="14"/>
    </w:rPr>
  </w:style>
  <w:style w:type="character" w:styleId="Strong">
    <w:name w:val="Strong"/>
    <w:basedOn w:val="DefaultParagraphFont"/>
    <w:uiPriority w:val="22"/>
    <w:qFormat/>
    <w:rsid w:val="00C210B1"/>
    <w:rPr>
      <w:b/>
      <w:bCs/>
      <w:color w:val="333333"/>
    </w:rPr>
  </w:style>
  <w:style w:type="character" w:customStyle="1" w:styleId="st1">
    <w:name w:val="st1"/>
    <w:basedOn w:val="DefaultParagraphFont"/>
    <w:rsid w:val="007D3814"/>
  </w:style>
  <w:style w:type="paragraph" w:styleId="CommentSubject">
    <w:name w:val="annotation subject"/>
    <w:basedOn w:val="CommentText"/>
    <w:next w:val="CommentText"/>
    <w:link w:val="CommentSubjectChar"/>
    <w:semiHidden/>
    <w:unhideWhenUsed/>
    <w:rsid w:val="00264101"/>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264101"/>
    <w:rPr>
      <w:b/>
      <w:bCs/>
      <w:szCs w:val="24"/>
    </w:rPr>
  </w:style>
  <w:style w:type="character" w:customStyle="1" w:styleId="QuoteChar">
    <w:name w:val="Quote Char"/>
    <w:basedOn w:val="DefaultParagraphFont"/>
    <w:link w:val="Quote"/>
    <w:rsid w:val="00736818"/>
    <w:rPr>
      <w:sz w:val="22"/>
    </w:rPr>
  </w:style>
  <w:style w:type="paragraph" w:styleId="Revision">
    <w:name w:val="Revision"/>
    <w:hidden/>
    <w:uiPriority w:val="99"/>
    <w:semiHidden/>
    <w:rsid w:val="00971D05"/>
    <w:rPr>
      <w:sz w:val="24"/>
      <w:szCs w:val="24"/>
    </w:rPr>
  </w:style>
  <w:style w:type="character" w:styleId="EndnoteReference">
    <w:name w:val="endnote reference"/>
    <w:basedOn w:val="DefaultParagraphFont"/>
    <w:semiHidden/>
    <w:unhideWhenUsed/>
    <w:rsid w:val="00594CB0"/>
    <w:rPr>
      <w:vertAlign w:val="superscript"/>
    </w:rPr>
  </w:style>
  <w:style w:type="paragraph" w:styleId="NormalWeb">
    <w:name w:val="Normal (Web)"/>
    <w:basedOn w:val="Normal"/>
    <w:uiPriority w:val="99"/>
    <w:unhideWhenUsed/>
    <w:rsid w:val="007F642F"/>
    <w:pPr>
      <w:spacing w:before="100" w:beforeAutospacing="1" w:after="100" w:afterAutospacing="1"/>
    </w:pPr>
  </w:style>
  <w:style w:type="character" w:customStyle="1" w:styleId="e24kjd">
    <w:name w:val="e24kjd"/>
    <w:basedOn w:val="DefaultParagraphFont"/>
    <w:rsid w:val="0070449C"/>
  </w:style>
  <w:style w:type="paragraph" w:styleId="EndnoteText">
    <w:name w:val="endnote text"/>
    <w:basedOn w:val="Normal"/>
    <w:link w:val="EndnoteTextChar"/>
    <w:semiHidden/>
    <w:unhideWhenUsed/>
    <w:rsid w:val="00C11FE1"/>
    <w:rPr>
      <w:sz w:val="20"/>
      <w:szCs w:val="20"/>
    </w:rPr>
  </w:style>
  <w:style w:type="character" w:customStyle="1" w:styleId="EndnoteTextChar">
    <w:name w:val="Endnote Text Char"/>
    <w:basedOn w:val="DefaultParagraphFont"/>
    <w:link w:val="EndnoteText"/>
    <w:semiHidden/>
    <w:rsid w:val="00C11FE1"/>
  </w:style>
  <w:style w:type="paragraph" w:customStyle="1" w:styleId="Default">
    <w:name w:val="Default"/>
    <w:rsid w:val="008B3AEC"/>
    <w:pPr>
      <w:autoSpaceDE w:val="0"/>
      <w:autoSpaceDN w:val="0"/>
      <w:adjustRightInd w:val="0"/>
    </w:pPr>
    <w:rPr>
      <w:rFonts w:ascii="Arial" w:hAnsi="Arial" w:cs="Arial"/>
      <w:color w:val="000000"/>
      <w:sz w:val="24"/>
      <w:szCs w:val="24"/>
    </w:rPr>
  </w:style>
  <w:style w:type="paragraph" w:customStyle="1" w:styleId="Heading1NotTOC">
    <w:name w:val="Heading 1 Not TOC"/>
    <w:basedOn w:val="Heading1"/>
    <w:next w:val="BodyText"/>
    <w:rsid w:val="008B3AEC"/>
    <w:rPr>
      <w:kern w:val="28"/>
      <w:szCs w:val="26"/>
      <w:lang w:eastAsia="en-US"/>
    </w:rPr>
  </w:style>
  <w:style w:type="character" w:customStyle="1" w:styleId="Heading4Char">
    <w:name w:val="Heading 4 Char"/>
    <w:basedOn w:val="DefaultParagraphFont"/>
    <w:link w:val="Heading4"/>
    <w:rsid w:val="008B3AEC"/>
    <w:rPr>
      <w:rFonts w:ascii="Arial" w:hAnsi="Arial"/>
      <w:sz w:val="24"/>
    </w:rPr>
  </w:style>
  <w:style w:type="paragraph" w:styleId="TOCHeading">
    <w:name w:val="TOC Heading"/>
    <w:basedOn w:val="Heading1"/>
    <w:next w:val="Normal"/>
    <w:uiPriority w:val="39"/>
    <w:unhideWhenUsed/>
    <w:qFormat/>
    <w:rsid w:val="00E83981"/>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FollowedHyperlink">
    <w:name w:val="FollowedHyperlink"/>
    <w:basedOn w:val="DefaultParagraphFont"/>
    <w:semiHidden/>
    <w:unhideWhenUsed/>
    <w:rsid w:val="00337C1B"/>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18935">
      <w:bodyDiv w:val="1"/>
      <w:marLeft w:val="0"/>
      <w:marRight w:val="0"/>
      <w:marTop w:val="0"/>
      <w:marBottom w:val="0"/>
      <w:divBdr>
        <w:top w:val="none" w:sz="0" w:space="0" w:color="auto"/>
        <w:left w:val="none" w:sz="0" w:space="0" w:color="auto"/>
        <w:bottom w:val="none" w:sz="0" w:space="0" w:color="auto"/>
        <w:right w:val="none" w:sz="0" w:space="0" w:color="auto"/>
      </w:divBdr>
    </w:div>
    <w:div w:id="965813996">
      <w:bodyDiv w:val="1"/>
      <w:marLeft w:val="0"/>
      <w:marRight w:val="0"/>
      <w:marTop w:val="0"/>
      <w:marBottom w:val="0"/>
      <w:divBdr>
        <w:top w:val="none" w:sz="0" w:space="0" w:color="auto"/>
        <w:left w:val="none" w:sz="0" w:space="0" w:color="auto"/>
        <w:bottom w:val="none" w:sz="0" w:space="0" w:color="auto"/>
        <w:right w:val="none" w:sz="0" w:space="0" w:color="auto"/>
      </w:divBdr>
    </w:div>
    <w:div w:id="1509103218">
      <w:bodyDiv w:val="1"/>
      <w:marLeft w:val="0"/>
      <w:marRight w:val="0"/>
      <w:marTop w:val="0"/>
      <w:marBottom w:val="0"/>
      <w:divBdr>
        <w:top w:val="none" w:sz="0" w:space="0" w:color="auto"/>
        <w:left w:val="none" w:sz="0" w:space="0" w:color="auto"/>
        <w:bottom w:val="none" w:sz="0" w:space="0" w:color="auto"/>
        <w:right w:val="none" w:sz="0" w:space="0" w:color="auto"/>
      </w:divBdr>
    </w:div>
    <w:div w:id="1589650595">
      <w:bodyDiv w:val="1"/>
      <w:marLeft w:val="0"/>
      <w:marRight w:val="0"/>
      <w:marTop w:val="0"/>
      <w:marBottom w:val="0"/>
      <w:divBdr>
        <w:top w:val="none" w:sz="0" w:space="0" w:color="auto"/>
        <w:left w:val="none" w:sz="0" w:space="0" w:color="auto"/>
        <w:bottom w:val="none" w:sz="0" w:space="0" w:color="auto"/>
        <w:right w:val="none" w:sz="0" w:space="0" w:color="auto"/>
      </w:divBdr>
    </w:div>
    <w:div w:id="176306825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14342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tps://www.pc.gov.au/Indigenous-Evaluation" TargetMode="Externa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oter" Target="footer8.xml"/><Relationship Id="rId47"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issues-paper-template.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B7E1A60F6B6BF4CBC1CAE3B6A23B703" ma:contentTypeVersion="14" ma:contentTypeDescription="Create a new document." ma:contentTypeScope="" ma:versionID="5f699328dbb5165c586d1208838de879">
  <xsd:schema xmlns:xsd="http://www.w3.org/2001/XMLSchema" xmlns:xs="http://www.w3.org/2001/XMLSchema" xmlns:p="http://schemas.microsoft.com/office/2006/metadata/properties" xmlns:ns2="3f4bcce7-ac1a-4c9d-aa3e-7e77695652db" targetNamespace="http://schemas.microsoft.com/office/2006/metadata/properties" ma:root="true" ma:fieldsID="c3365fb083db18c57627bb9eccdf67e4" ns2:_="">
    <xsd:import namespace="3f4bcce7-ac1a-4c9d-aa3e-7e77695652db"/>
    <xsd:element name="properties">
      <xsd:complexType>
        <xsd:sequence>
          <xsd:element name="documentManagement">
            <xsd:complexType>
              <xsd:all>
                <xsd:element ref="ns2:TaxCatchAll" minOccurs="0"/>
                <xsd:element ref="ns2:TaxCatchAllLabel" minOccurs="0"/>
                <xsd:element ref="ns2:TaxKeywordTaxHTField" minOccurs="0"/>
                <xsd:element ref="ns2:p7a0baa8c88445a78b6f55906390b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p7a0baa8c88445a78b6f55906390ba17" ma:index="12"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82d2d9f7-e1b8-4ddf-a480-372f3a6cd432</TermId>
        </TermInfo>
        <TermInfo xmlns="http://schemas.microsoft.com/office/infopath/2007/PartnerControls">
          <TermName xmlns="http://schemas.microsoft.com/office/infopath/2007/PartnerControls">Indigenous</TermName>
          <TermId xmlns="http://schemas.microsoft.com/office/infopath/2007/PartnerControls">db19b6d7-4bb2-4359-b769-592061f70657</TermId>
        </TermInfo>
        <TermInfo xmlns="http://schemas.microsoft.com/office/infopath/2007/PartnerControls">
          <TermName xmlns="http://schemas.microsoft.com/office/infopath/2007/PartnerControls">Issues Paper</TermName>
          <TermId xmlns="http://schemas.microsoft.com/office/infopath/2007/PartnerControls">36385256-9409-4566-b304-2918de0a4ddd</TermId>
        </TermInfo>
      </Terms>
    </TaxKeywordTaxHTField>
    <p7a0baa8c88445a78b6f55906390ba17 xmlns="3f4bcce7-ac1a-4c9d-aa3e-7e77695652db">
      <Terms xmlns="http://schemas.microsoft.com/office/infopath/2007/PartnerControls">
        <TermInfo xmlns="http://schemas.microsoft.com/office/infopath/2007/PartnerControls">
          <TermName>Issues Papers</TermName>
          <TermId>3f58d8d8-eba3-4f69-b92f-42d45f1952c5</TermId>
        </TermInfo>
      </Terms>
    </p7a0baa8c88445a78b6f55906390ba17>
    <TaxCatchAll xmlns="3f4bcce7-ac1a-4c9d-aa3e-7e77695652db">
      <Value>249</Value>
      <Value>802</Value>
      <Value>3686</Value>
      <Value>1726</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4E99-BAFA-43B9-9F40-AF57F4AD40AF}">
  <ds:schemaRefs>
    <ds:schemaRef ds:uri="http://schemas.microsoft.com/sharepoint/v3/contenttype/forms"/>
  </ds:schemaRefs>
</ds:datastoreItem>
</file>

<file path=customXml/itemProps2.xml><?xml version="1.0" encoding="utf-8"?>
<ds:datastoreItem xmlns:ds="http://schemas.openxmlformats.org/officeDocument/2006/customXml" ds:itemID="{F9632B69-AE40-4C8A-A9D8-B31985CC19BF}">
  <ds:schemaRefs>
    <ds:schemaRef ds:uri="http://schemas.microsoft.com/office/2006/metadata/customXsn"/>
  </ds:schemaRefs>
</ds:datastoreItem>
</file>

<file path=customXml/itemProps3.xml><?xml version="1.0" encoding="utf-8"?>
<ds:datastoreItem xmlns:ds="http://schemas.openxmlformats.org/officeDocument/2006/customXml" ds:itemID="{77CCA254-2D42-41B0-8698-6908C927B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2F479-D19D-4B76-896A-56C8E5894B6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352097C1-A709-4319-8100-A3A8F6E3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7</TotalTime>
  <Pages>58</Pages>
  <Words>18806</Words>
  <Characters>115794</Characters>
  <Application>Microsoft Office Word</Application>
  <DocSecurity>0</DocSecurity>
  <Lines>964</Lines>
  <Paragraphs>268</Paragraphs>
  <ScaleCrop>false</ScaleCrop>
  <HeadingPairs>
    <vt:vector size="2" baseType="variant">
      <vt:variant>
        <vt:lpstr>Title</vt:lpstr>
      </vt:variant>
      <vt:variant>
        <vt:i4>1</vt:i4>
      </vt:variant>
    </vt:vector>
  </HeadingPairs>
  <TitlesOfParts>
    <vt:vector size="1" baseType="lpstr">
      <vt:lpstr>Indigenous Evaluation Strategy - Issues Paper</vt:lpstr>
    </vt:vector>
  </TitlesOfParts>
  <Company>Productivity Commission</Company>
  <LinksUpToDate>false</LinksUpToDate>
  <CharactersWithSpaces>134332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Evaluation Strategy - Issues Paper</dc:title>
  <dc:subject>Report</dc:subject>
  <dc:creator>Productivity Commission</dc:creator>
  <cp:keywords>Indigenous; evaluation; Issues Paper</cp:keywords>
  <dc:description/>
  <cp:lastModifiedBy>Productivity Commission</cp:lastModifiedBy>
  <cp:revision>6</cp:revision>
  <cp:lastPrinted>2019-06-25T05:49:00Z</cp:lastPrinted>
  <dcterms:created xsi:type="dcterms:W3CDTF">2019-06-25T05:43:00Z</dcterms:created>
  <dcterms:modified xsi:type="dcterms:W3CDTF">2019-06-25T05:49:00Z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0x0101001B7E1A60F6B6BF4CBC1CAE3B6A23B703</vt:lpwstr>
  </property>
  <property fmtid="{D5CDD505-2E9C-101B-9397-08002B2CF9AE}" pid="3" name="Record Tag">
    <vt:lpwstr>249;#Issues Papers|3f58d8d8-eba3-4f69-b92f-42d45f1952c5</vt:lpwstr>
  </property>
  <property fmtid="{D5CDD505-2E9C-101B-9397-08002B2CF9AE}" pid="4" name="TaxKeyword">
    <vt:lpwstr>1726;#evaluation|82d2d9f7-e1b8-4ddf-a480-372f3a6cd432;#3686;#Indigenous|db19b6d7-4bb2-4359-b769-592061f70657;#802;#Issues Paper|36385256-9409-4566-b304-2918de0a4ddd</vt:lpwstr>
  </property>
  <property fmtid="{D5CDD505-2E9C-101B-9397-08002B2CF9AE}" pid="5" name="_dlc_DocId">
    <vt:lpwstr>PCDOC-2110365889-61</vt:lpwstr>
  </property>
  <property fmtid="{D5CDD505-2E9C-101B-9397-08002B2CF9AE}" pid="6" name="_dlc_DocIdUrl">
    <vt:lpwstr>http://inet.pc.gov.au/pmo/inq/indeval/_layouts/15/DocIdRedir.aspx?ID=PCDOC-2110365889-61, PCDOC-2110365889-61</vt:lpwstr>
  </property>
  <property fmtid="{D5CDD505-2E9C-101B-9397-08002B2CF9AE}" pid="7" name="_dlc_DocIdItemGuid">
    <vt:lpwstr>737afa7f-6316-46c9-b7b5-14ff8968e042</vt:lpwstr>
  </property>
  <property fmtid="{D5CDD505-2E9C-101B-9397-08002B2CF9AE}" pid="8" name="ZOTERO_PREF_1">
    <vt:lpwstr>&lt;data data-version="3" zotero-version="5.0.54"&gt;&lt;session id="V2EXSY7B"/&gt;&lt;style id="http://www.zotero.org/styles/Productivity-Commission" hasBibliography="1" bibliographyStyleHasBeenSet="1"/&gt;&lt;prefs&gt;&lt;pref name="fieldType" value="Field"/&gt;&lt;/prefs&gt;&lt;/data&gt;</vt:lpwstr>
  </property>
</Properties>
</file>