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84D" w:rsidRDefault="00817898" w:rsidP="00817898">
      <w:pPr>
        <w:pStyle w:val="Heading2"/>
        <w:spacing w:before="360"/>
      </w:pPr>
      <w:r>
        <w:t>Indigenous Evaluation Strategy</w:t>
      </w:r>
    </w:p>
    <w:p w:rsidR="00D434A0" w:rsidRPr="00817898" w:rsidRDefault="00D434A0" w:rsidP="00817898">
      <w:pPr>
        <w:pStyle w:val="BodyText"/>
        <w:spacing w:before="120" w:line="240" w:lineRule="auto"/>
        <w:rPr>
          <w:sz w:val="22"/>
        </w:r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817898" w:rsidTr="00D87165">
        <w:trPr>
          <w:tblHeader/>
        </w:trPr>
        <w:tc>
          <w:tcPr>
            <w:tcW w:w="5000" w:type="pct"/>
            <w:tcBorders>
              <w:top w:val="single" w:sz="6" w:space="0" w:color="78A22F"/>
              <w:left w:val="nil"/>
              <w:bottom w:val="nil"/>
              <w:right w:val="nil"/>
            </w:tcBorders>
            <w:shd w:val="clear" w:color="auto" w:fill="auto"/>
          </w:tcPr>
          <w:p w:rsidR="00817898" w:rsidRPr="00784A05" w:rsidRDefault="00817898" w:rsidP="001B6867">
            <w:pPr>
              <w:pStyle w:val="TableTitle"/>
              <w:spacing w:before="100" w:after="100" w:line="260" w:lineRule="exact"/>
            </w:pPr>
            <w:r>
              <w:t>Brief Comments</w:t>
            </w:r>
          </w:p>
        </w:tc>
      </w:tr>
      <w:tr w:rsidR="00817898" w:rsidTr="00D87165">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850"/>
              <w:gridCol w:w="7655"/>
            </w:tblGrid>
            <w:tr w:rsidR="00817898" w:rsidRPr="00DA3932" w:rsidTr="00DA3932">
              <w:trPr>
                <w:trHeight w:val="25"/>
                <w:tblHeader/>
              </w:trPr>
              <w:tc>
                <w:tcPr>
                  <w:tcW w:w="500" w:type="pct"/>
                  <w:tcBorders>
                    <w:top w:val="single" w:sz="6" w:space="0" w:color="BFBFBF"/>
                  </w:tcBorders>
                  <w:shd w:val="clear" w:color="auto" w:fill="auto"/>
                  <w:tcMar>
                    <w:top w:w="28" w:type="dxa"/>
                  </w:tcMar>
                </w:tcPr>
                <w:p w:rsidR="00817898" w:rsidRPr="00DA3932" w:rsidRDefault="00817898" w:rsidP="00DA3932">
                  <w:pPr>
                    <w:pStyle w:val="TableColumnHeading"/>
                    <w:keepNext w:val="0"/>
                    <w:keepLines w:val="0"/>
                    <w:spacing w:before="0" w:after="0" w:line="240" w:lineRule="auto"/>
                    <w:jc w:val="left"/>
                    <w:rPr>
                      <w:sz w:val="4"/>
                    </w:rPr>
                  </w:pPr>
                </w:p>
              </w:tc>
              <w:tc>
                <w:tcPr>
                  <w:tcW w:w="4500" w:type="pct"/>
                  <w:tcBorders>
                    <w:top w:val="single" w:sz="6" w:space="0" w:color="BFBFBF"/>
                  </w:tcBorders>
                </w:tcPr>
                <w:p w:rsidR="00817898" w:rsidRPr="00DA3932" w:rsidRDefault="00817898" w:rsidP="00DA3932">
                  <w:pPr>
                    <w:pStyle w:val="TableColumnHeading"/>
                    <w:keepNext w:val="0"/>
                    <w:keepLines w:val="0"/>
                    <w:spacing w:before="0" w:after="0" w:line="240" w:lineRule="auto"/>
                    <w:jc w:val="left"/>
                    <w:rPr>
                      <w:sz w:val="4"/>
                    </w:rPr>
                  </w:pPr>
                </w:p>
              </w:tc>
            </w:tr>
            <w:tr w:rsidR="00817898" w:rsidTr="00DA3932">
              <w:tc>
                <w:tcPr>
                  <w:tcW w:w="500" w:type="pct"/>
                  <w:tcBorders>
                    <w:bottom w:val="single" w:sz="6" w:space="0" w:color="BFBFBF"/>
                  </w:tcBorders>
                </w:tcPr>
                <w:p w:rsidR="00817898" w:rsidRDefault="00817898" w:rsidP="00DA3932">
                  <w:pPr>
                    <w:pStyle w:val="TableUnitsRow"/>
                    <w:keepNext w:val="0"/>
                    <w:keepLines w:val="0"/>
                    <w:jc w:val="left"/>
                  </w:pPr>
                  <w:r w:rsidRPr="00817898">
                    <w:rPr>
                      <w:i/>
                    </w:rPr>
                    <w:t>1</w:t>
                  </w:r>
                </w:p>
              </w:tc>
              <w:tc>
                <w:tcPr>
                  <w:tcW w:w="4500" w:type="pct"/>
                  <w:tcBorders>
                    <w:bottom w:val="single" w:sz="6" w:space="0" w:color="BFBFBF"/>
                  </w:tcBorders>
                </w:tcPr>
                <w:p w:rsidR="00817898" w:rsidRDefault="00817898" w:rsidP="00DA3932">
                  <w:pPr>
                    <w:pStyle w:val="TableUnitsRow"/>
                    <w:keepNext w:val="0"/>
                    <w:keepLines w:val="0"/>
                    <w:jc w:val="left"/>
                  </w:pPr>
                  <w:r w:rsidRPr="00817898">
                    <w:rPr>
                      <w:i/>
                    </w:rPr>
                    <w:t>27 June 2019</w:t>
                  </w:r>
                </w:p>
                <w:p w:rsidR="00817898" w:rsidRDefault="00817898" w:rsidP="00DA3932">
                  <w:pPr>
                    <w:pStyle w:val="TableUnitsRow"/>
                    <w:keepNext w:val="0"/>
                    <w:keepLines w:val="0"/>
                    <w:spacing w:before="120" w:after="120"/>
                    <w:jc w:val="left"/>
                  </w:pPr>
                  <w:r>
                    <w:t>Aboriginal programs are too often drained by government agencies, utilising targeted funds to prop up agencies and mainstream core functions. If we are committed to progression and advancement, funds need to be protected and directed to our ABORIGINAL communities and organisations. There are far too many mainstream organisations that access our funding and claim to work with and for us, however funding accountability is almost nil for these organisations. We can't progress and demonstrate our leadership whilst ever we invest in others to assist us (we don't need more ‘mission managers’), especially when we have the capacity ourselves. Real outcomes come from the grass roots up, not from agencies that skim funding for themselves. Aboriginal people are the epitome of determination, success and survival in spite of so much. Government needs to recognise the hardship it places on us. We can’t solve real issues without consistent and adequate funding, with realistic timeframes for delivery and evaluation. Over 17 years of community work, I have seen nothing but the stripping back of vital roles, programs and supports for Aboriginal people, yet we are reported against and shamed for not reaching key targets. This is unbelievable. YOU hold the purse strings, YOU inform and influence the system and YOU need to do better for us.</w:t>
                  </w:r>
                </w:p>
                <w:p w:rsidR="00817898" w:rsidRPr="00205F48" w:rsidRDefault="00817898" w:rsidP="00DA3932">
                  <w:pPr>
                    <w:pStyle w:val="TableUnitsRow"/>
                    <w:keepNext w:val="0"/>
                    <w:keepLines w:val="0"/>
                    <w:jc w:val="left"/>
                    <w:rPr>
                      <w:b/>
                    </w:rPr>
                  </w:pPr>
                  <w:r>
                    <w:rPr>
                      <w:b/>
                    </w:rPr>
                    <w:t>Individual</w:t>
                  </w:r>
                </w:p>
              </w:tc>
            </w:tr>
            <w:tr w:rsidR="00817898" w:rsidTr="00DA3932">
              <w:tc>
                <w:tcPr>
                  <w:tcW w:w="500" w:type="pct"/>
                  <w:tcBorders>
                    <w:top w:val="single" w:sz="6" w:space="0" w:color="BFBFBF"/>
                    <w:bottom w:val="single" w:sz="6" w:space="0" w:color="BFBFBF"/>
                  </w:tcBorders>
                  <w:tcMar>
                    <w:top w:w="113" w:type="dxa"/>
                    <w:bottom w:w="57" w:type="dxa"/>
                  </w:tcMar>
                </w:tcPr>
                <w:p w:rsidR="00817898" w:rsidRPr="00817898" w:rsidRDefault="00817898" w:rsidP="00DA3932">
                  <w:pPr>
                    <w:pStyle w:val="TableUnitsRow"/>
                    <w:keepNext w:val="0"/>
                    <w:keepLines w:val="0"/>
                    <w:jc w:val="left"/>
                    <w:rPr>
                      <w:i/>
                    </w:rPr>
                  </w:pPr>
                  <w:r>
                    <w:rPr>
                      <w:i/>
                    </w:rPr>
                    <w:t>2</w:t>
                  </w:r>
                </w:p>
              </w:tc>
              <w:tc>
                <w:tcPr>
                  <w:tcW w:w="4500" w:type="pct"/>
                  <w:tcBorders>
                    <w:top w:val="single" w:sz="6" w:space="0" w:color="BFBFBF"/>
                    <w:bottom w:val="single" w:sz="6" w:space="0" w:color="BFBFBF"/>
                  </w:tcBorders>
                  <w:tcMar>
                    <w:top w:w="113" w:type="dxa"/>
                    <w:bottom w:w="57" w:type="dxa"/>
                  </w:tcMar>
                </w:tcPr>
                <w:p w:rsidR="00817898" w:rsidRDefault="00817898" w:rsidP="00DA3932">
                  <w:pPr>
                    <w:pStyle w:val="TableUnitsRow"/>
                    <w:keepNext w:val="0"/>
                    <w:keepLines w:val="0"/>
                    <w:jc w:val="left"/>
                  </w:pPr>
                  <w:r w:rsidRPr="00817898">
                    <w:rPr>
                      <w:i/>
                    </w:rPr>
                    <w:t>2</w:t>
                  </w:r>
                  <w:r>
                    <w:rPr>
                      <w:i/>
                    </w:rPr>
                    <w:t>3</w:t>
                  </w:r>
                  <w:r w:rsidRPr="00817898">
                    <w:rPr>
                      <w:i/>
                    </w:rPr>
                    <w:t xml:space="preserve"> </w:t>
                  </w:r>
                  <w:r>
                    <w:rPr>
                      <w:i/>
                    </w:rPr>
                    <w:t>August</w:t>
                  </w:r>
                  <w:r w:rsidRPr="00817898">
                    <w:rPr>
                      <w:i/>
                    </w:rPr>
                    <w:t xml:space="preserve"> 2019</w:t>
                  </w:r>
                </w:p>
                <w:p w:rsidR="00817898" w:rsidRDefault="00817898" w:rsidP="00DA3932">
                  <w:pPr>
                    <w:pStyle w:val="TableUnitsRow"/>
                    <w:keepNext w:val="0"/>
                    <w:keepLines w:val="0"/>
                    <w:spacing w:before="120" w:after="120"/>
                    <w:jc w:val="left"/>
                  </w:pPr>
                  <w:r w:rsidRPr="00817898">
                    <w:t xml:space="preserve">Beyond Blue is pleased to support the development of an Indigenous Evaluation Strategy which aligns with the principles of the United Nations Declaration on the Rights of Indigenous Peoples (2007) and the principle of self-determination. To be meaningful and effective, the introduction of an Indigenous Evaluation Strategy and subsequent evaluations should be led by and co-designed with Aboriginal and Torres Strait Islander peoples, through their leaders and relevant peak organisations. Incorporating Aboriginal and Torres Strait Islander knowledges, priorities, perspectives and voices throughout evaluation activities is essential to improving social and emotional wellbeing outcomes. </w:t>
                  </w:r>
                </w:p>
                <w:p w:rsidR="00817898" w:rsidRDefault="00817898" w:rsidP="00DA3932">
                  <w:pPr>
                    <w:pStyle w:val="TableUnitsRow"/>
                    <w:keepNext w:val="0"/>
                    <w:keepLines w:val="0"/>
                    <w:spacing w:before="120" w:after="120"/>
                    <w:jc w:val="left"/>
                  </w:pPr>
                  <w:r w:rsidRPr="00817898">
                    <w:t xml:space="preserve">Australia has some significant mental health challenges. Around 45 per cent of Australian adults experience a mental health issue during their lifetimes. However, the situation is exacerbated for Aboriginal and Torres Strait Islander peoples, who are around three times as likely to report high or very high levels of psychological distress and twice as likely to die by suicide. The social and emotional wellbeing of Aboriginal and Torres Strait Islander people has been impacted by a raft of major forces, including: the impact of colonisation and intergenerational trauma; loss of culture and identity; discrimination and racism; growing up in poverty or low socio-economic circumstances. Research by Reconciliation Australia in 2018 showed that 43 per cent of Aboriginal and Torres Strait Islander people have experienced verbal racial prejudice in the previous six months. This is why a priority for Indigenous evaluation should be a focus on the social and emotional wellbeing needs of Aboriginal and Torres Strait Islander people and the reduction of suicide rates. Improving social and emotional wellbeing is deeply connected to the social determinants of health and critical to achieving the Closing the Gap targets. Without good mental health, it is harder for children to learn, or for adults to get jobs and excel at work. People with poor mental health die significantly earlier than average; ten to 25 years earlier for people who live with severe mental health conditions. </w:t>
                  </w:r>
                </w:p>
                <w:p w:rsidR="00817898" w:rsidRDefault="00817898" w:rsidP="00DA3932">
                  <w:pPr>
                    <w:pStyle w:val="TableUnitsRow"/>
                    <w:keepNext w:val="0"/>
                    <w:keepLines w:val="0"/>
                    <w:spacing w:before="120" w:after="120"/>
                    <w:jc w:val="left"/>
                  </w:pPr>
                  <w:r w:rsidRPr="00817898">
                    <w:t xml:space="preserve">We note that long term investment is needed to deliver quality Indigenous-led or co-designed evaluations for programs and services under the National Strategic Framework for Aboriginal and Torres Strait Islander People’s Mental Health and Social and Emotional Wellbeing 2017-2023. Working in partnership with Aboriginal and Torres Strait Islander people on evaluation activities of government funded programs, both Indigenous specific and mainstream programs, will ensure current and future Australian governments can support informed solutions that work and make progress in closing the gap. </w:t>
                  </w:r>
                </w:p>
                <w:p w:rsidR="00817898" w:rsidRPr="00817898" w:rsidRDefault="00892C1C" w:rsidP="00DA3932">
                  <w:pPr>
                    <w:pStyle w:val="TableUnitsRow"/>
                    <w:keepNext w:val="0"/>
                    <w:keepLines w:val="0"/>
                    <w:jc w:val="left"/>
                    <w:rPr>
                      <w:i/>
                    </w:rPr>
                  </w:pPr>
                  <w:r>
                    <w:rPr>
                      <w:b/>
                    </w:rPr>
                    <w:t>Beyond Blue Ltd (non-profit organisation)</w:t>
                  </w:r>
                </w:p>
              </w:tc>
            </w:tr>
            <w:tr w:rsidR="00DA3932" w:rsidTr="00DA3932">
              <w:tc>
                <w:tcPr>
                  <w:tcW w:w="500" w:type="pct"/>
                  <w:tcBorders>
                    <w:top w:val="single" w:sz="6" w:space="0" w:color="BFBFBF"/>
                    <w:bottom w:val="single" w:sz="6" w:space="0" w:color="BFBFBF"/>
                  </w:tcBorders>
                  <w:tcMar>
                    <w:top w:w="57" w:type="dxa"/>
                    <w:bottom w:w="57" w:type="dxa"/>
                  </w:tcMar>
                </w:tcPr>
                <w:p w:rsidR="00DA3932" w:rsidRDefault="00DA3932" w:rsidP="00DA3932">
                  <w:pPr>
                    <w:pStyle w:val="TableUnitsRow"/>
                    <w:keepNext w:val="0"/>
                    <w:keepLines w:val="0"/>
                    <w:jc w:val="left"/>
                    <w:rPr>
                      <w:i/>
                    </w:rPr>
                  </w:pPr>
                  <w:r>
                    <w:rPr>
                      <w:i/>
                    </w:rPr>
                    <w:lastRenderedPageBreak/>
                    <w:t>3</w:t>
                  </w:r>
                </w:p>
              </w:tc>
              <w:tc>
                <w:tcPr>
                  <w:tcW w:w="4500" w:type="pct"/>
                  <w:tcBorders>
                    <w:top w:val="single" w:sz="6" w:space="0" w:color="BFBFBF"/>
                    <w:bottom w:val="single" w:sz="6" w:space="0" w:color="BFBFBF"/>
                  </w:tcBorders>
                  <w:tcMar>
                    <w:top w:w="57" w:type="dxa"/>
                    <w:bottom w:w="57" w:type="dxa"/>
                  </w:tcMar>
                </w:tcPr>
                <w:p w:rsidR="00DA3932" w:rsidRDefault="00FC4A82" w:rsidP="00DA3932">
                  <w:pPr>
                    <w:pStyle w:val="TableUnitsRow"/>
                    <w:keepNext w:val="0"/>
                    <w:keepLines w:val="0"/>
                    <w:jc w:val="left"/>
                    <w:rPr>
                      <w:i/>
                    </w:rPr>
                  </w:pPr>
                  <w:r>
                    <w:rPr>
                      <w:i/>
                    </w:rPr>
                    <w:t>26 August 2019</w:t>
                  </w:r>
                </w:p>
                <w:p w:rsidR="00DA3932" w:rsidRDefault="00E16373" w:rsidP="00E16373">
                  <w:pPr>
                    <w:pStyle w:val="TableUnitsRow"/>
                    <w:keepNext w:val="0"/>
                    <w:keepLines w:val="0"/>
                    <w:spacing w:before="120" w:after="120"/>
                    <w:jc w:val="left"/>
                  </w:pPr>
                  <w:r>
                    <w:t>I would like a culturally respectful NDIS service. There seems to be a severe lack of Cultural competency across its practices.</w:t>
                  </w:r>
                </w:p>
                <w:p w:rsidR="00DA3932" w:rsidRPr="00E16373" w:rsidRDefault="00E16373" w:rsidP="00E16373">
                  <w:pPr>
                    <w:pStyle w:val="TableUnitsRow"/>
                    <w:keepNext w:val="0"/>
                    <w:keepLines w:val="0"/>
                    <w:spacing w:before="120"/>
                    <w:jc w:val="left"/>
                  </w:pPr>
                  <w:r>
                    <w:rPr>
                      <w:b/>
                    </w:rPr>
                    <w:t>Individual</w:t>
                  </w:r>
                </w:p>
              </w:tc>
            </w:tr>
            <w:tr w:rsidR="00951BE0" w:rsidTr="00DA3932">
              <w:tc>
                <w:tcPr>
                  <w:tcW w:w="500" w:type="pct"/>
                  <w:tcBorders>
                    <w:top w:val="single" w:sz="6" w:space="0" w:color="BFBFBF"/>
                    <w:bottom w:val="single" w:sz="6" w:space="0" w:color="BFBFBF"/>
                  </w:tcBorders>
                  <w:tcMar>
                    <w:top w:w="57" w:type="dxa"/>
                    <w:bottom w:w="57" w:type="dxa"/>
                  </w:tcMar>
                </w:tcPr>
                <w:p w:rsidR="00951BE0" w:rsidRDefault="00951BE0" w:rsidP="00DA3932">
                  <w:pPr>
                    <w:pStyle w:val="TableUnitsRow"/>
                    <w:keepNext w:val="0"/>
                    <w:keepLines w:val="0"/>
                    <w:jc w:val="left"/>
                    <w:rPr>
                      <w:i/>
                    </w:rPr>
                  </w:pPr>
                  <w:r>
                    <w:rPr>
                      <w:i/>
                    </w:rPr>
                    <w:t>4</w:t>
                  </w:r>
                </w:p>
              </w:tc>
              <w:tc>
                <w:tcPr>
                  <w:tcW w:w="4500" w:type="pct"/>
                  <w:tcBorders>
                    <w:top w:val="single" w:sz="6" w:space="0" w:color="BFBFBF"/>
                    <w:bottom w:val="single" w:sz="6" w:space="0" w:color="BFBFBF"/>
                  </w:tcBorders>
                  <w:tcMar>
                    <w:top w:w="57" w:type="dxa"/>
                    <w:bottom w:w="57" w:type="dxa"/>
                  </w:tcMar>
                </w:tcPr>
                <w:p w:rsidR="00951BE0" w:rsidRDefault="00951BE0" w:rsidP="00DA3932">
                  <w:pPr>
                    <w:pStyle w:val="TableUnitsRow"/>
                    <w:keepNext w:val="0"/>
                    <w:keepLines w:val="0"/>
                    <w:jc w:val="left"/>
                    <w:rPr>
                      <w:i/>
                    </w:rPr>
                  </w:pPr>
                  <w:r>
                    <w:rPr>
                      <w:i/>
                    </w:rPr>
                    <w:t>4 June 2020</w:t>
                  </w:r>
                </w:p>
                <w:p w:rsidR="00951BE0" w:rsidRDefault="00951BE0" w:rsidP="00DA3932">
                  <w:pPr>
                    <w:pStyle w:val="TableUnitsRow"/>
                    <w:keepNext w:val="0"/>
                    <w:keepLines w:val="0"/>
                    <w:jc w:val="left"/>
                  </w:pPr>
                  <w:r>
                    <w:t xml:space="preserve">The conundrum we have evaluating our work for </w:t>
                  </w:r>
                  <w:proofErr w:type="spellStart"/>
                  <w:r>
                    <w:t>Malpa's</w:t>
                  </w:r>
                  <w:proofErr w:type="spellEnd"/>
                  <w:r>
                    <w:t xml:space="preserve"> Young Doctor projects (we have trained 2,000 children to be child doctors in communities across Australia) is how and what to measure about social impact, especially without making people feel they are being measured and judged. On top of this governments do not give any clarity about what they want measured. Further, the evidence is that evidence makes less than no difference about how government funds projects (see the work of Sara Hudson, Centre for Independent Studies which makes it clear that there is a perverse inverse relationship between what succeeds and what gets funded.</w:t>
                  </w:r>
                </w:p>
                <w:p w:rsidR="00951BE0" w:rsidRDefault="00951BE0" w:rsidP="00DA3932">
                  <w:pPr>
                    <w:pStyle w:val="TableUnitsRow"/>
                    <w:keepNext w:val="0"/>
                    <w:keepLines w:val="0"/>
                    <w:jc w:val="left"/>
                  </w:pPr>
                </w:p>
                <w:p w:rsidR="00951BE0" w:rsidRPr="00951BE0" w:rsidRDefault="00951BE0" w:rsidP="00DA3932">
                  <w:pPr>
                    <w:pStyle w:val="TableUnitsRow"/>
                    <w:keepNext w:val="0"/>
                    <w:keepLines w:val="0"/>
                    <w:jc w:val="left"/>
                    <w:rPr>
                      <w:b/>
                      <w:i/>
                    </w:rPr>
                  </w:pPr>
                  <w:r w:rsidRPr="00951BE0">
                    <w:rPr>
                      <w:b/>
                    </w:rPr>
                    <w:t xml:space="preserve">The </w:t>
                  </w:r>
                  <w:proofErr w:type="spellStart"/>
                  <w:r w:rsidRPr="00951BE0">
                    <w:rPr>
                      <w:b/>
                    </w:rPr>
                    <w:t>Malpa</w:t>
                  </w:r>
                  <w:proofErr w:type="spellEnd"/>
                  <w:r w:rsidRPr="00951BE0">
                    <w:rPr>
                      <w:b/>
                    </w:rPr>
                    <w:t xml:space="preserve"> Project</w:t>
                  </w:r>
                </w:p>
              </w:tc>
            </w:tr>
          </w:tbl>
          <w:p w:rsidR="00817898" w:rsidRDefault="00817898" w:rsidP="00DA3932">
            <w:pPr>
              <w:pStyle w:val="Box"/>
              <w:keepNext w:val="0"/>
            </w:pPr>
          </w:p>
        </w:tc>
      </w:tr>
      <w:tr w:rsidR="00817898" w:rsidTr="00D87165">
        <w:tc>
          <w:tcPr>
            <w:tcW w:w="5000" w:type="pct"/>
            <w:tcBorders>
              <w:top w:val="nil"/>
              <w:left w:val="nil"/>
              <w:bottom w:val="single" w:sz="6" w:space="0" w:color="78A22F"/>
              <w:right w:val="nil"/>
            </w:tcBorders>
            <w:shd w:val="clear" w:color="auto" w:fill="auto"/>
          </w:tcPr>
          <w:p w:rsidR="00817898" w:rsidRDefault="00817898" w:rsidP="00D87165">
            <w:pPr>
              <w:pStyle w:val="Box"/>
              <w:spacing w:before="0" w:line="120" w:lineRule="exact"/>
            </w:pPr>
          </w:p>
        </w:tc>
      </w:tr>
    </w:tbl>
    <w:p w:rsidR="001B6867" w:rsidRDefault="001B6867" w:rsidP="00A05DD5">
      <w:pPr>
        <w:pStyle w:val="BodyText"/>
        <w:spacing w:before="0" w:line="240" w:lineRule="auto"/>
        <w:rPr>
          <w:rFonts w:asciiTheme="minorHAnsi" w:hAnsiTheme="minorHAnsi" w:cstheme="minorHAnsi"/>
          <w:sz w:val="8"/>
        </w:rPr>
      </w:pPr>
      <w:bookmarkStart w:id="0" w:name="_GoBack"/>
      <w:bookmarkEnd w:id="0"/>
    </w:p>
    <w:sectPr w:rsidR="001B6867" w:rsidSect="000E55A9">
      <w:headerReference w:type="even" r:id="rId14"/>
      <w:headerReference w:type="default" r:id="rId15"/>
      <w:footerReference w:type="even" r:id="rId16"/>
      <w:footerReference w:type="default" r:id="rId17"/>
      <w:pgSz w:w="11907" w:h="16840" w:code="9"/>
      <w:pgMar w:top="1985"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857" w:rsidRDefault="00F30857">
      <w:r>
        <w:separator/>
      </w:r>
    </w:p>
  </w:endnote>
  <w:endnote w:type="continuationSeparator" w:id="0">
    <w:p w:rsidR="00F30857" w:rsidRDefault="00F3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81B6B" w:rsidTr="005F48ED">
      <w:trPr>
        <w:trHeight w:hRule="exact" w:val="567"/>
      </w:trPr>
      <w:tc>
        <w:tcPr>
          <w:tcW w:w="510" w:type="dxa"/>
        </w:tcPr>
        <w:p w:rsidR="00681B6B" w:rsidRPr="00A24443" w:rsidRDefault="00681B6B"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63603">
            <w:rPr>
              <w:rStyle w:val="PageNumber"/>
              <w:caps w:val="0"/>
              <w:noProof/>
            </w:rPr>
            <w:t>2</w:t>
          </w:r>
          <w:r w:rsidRPr="00A24443">
            <w:rPr>
              <w:rStyle w:val="PageNumber"/>
              <w:caps w:val="0"/>
            </w:rPr>
            <w:fldChar w:fldCharType="end"/>
          </w:r>
        </w:p>
      </w:tc>
      <w:tc>
        <w:tcPr>
          <w:tcW w:w="7767" w:type="dxa"/>
        </w:tcPr>
        <w:p w:rsidR="00681B6B" w:rsidRPr="0013739A" w:rsidRDefault="001B6867" w:rsidP="0013739A">
          <w:pPr>
            <w:pStyle w:val="Footer"/>
            <w:rPr>
              <w:rFonts w:cs="Arial"/>
            </w:rPr>
          </w:pPr>
          <w:bookmarkStart w:id="1" w:name="DraftReportEven"/>
          <w:bookmarkEnd w:id="1"/>
          <w:r>
            <w:rPr>
              <w:rFonts w:cs="Arial"/>
            </w:rPr>
            <w:t>INDIGENOUS EVALUATION STRATEGY</w:t>
          </w:r>
        </w:p>
      </w:tc>
      <w:tc>
        <w:tcPr>
          <w:tcW w:w="510" w:type="dxa"/>
        </w:tcPr>
        <w:p w:rsidR="00681B6B" w:rsidRDefault="00681B6B" w:rsidP="0019293B">
          <w:pPr>
            <w:pStyle w:val="Footer"/>
          </w:pPr>
        </w:p>
      </w:tc>
    </w:tr>
  </w:tbl>
  <w:p w:rsidR="00681B6B" w:rsidRDefault="00681B6B"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81B6B" w:rsidTr="005F48ED">
      <w:trPr>
        <w:trHeight w:hRule="exact" w:val="567"/>
      </w:trPr>
      <w:tc>
        <w:tcPr>
          <w:tcW w:w="510" w:type="dxa"/>
        </w:tcPr>
        <w:p w:rsidR="00681B6B" w:rsidRDefault="00681B6B">
          <w:pPr>
            <w:pStyle w:val="Footer"/>
            <w:ind w:right="360" w:firstLine="360"/>
          </w:pPr>
        </w:p>
      </w:tc>
      <w:tc>
        <w:tcPr>
          <w:tcW w:w="7767" w:type="dxa"/>
        </w:tcPr>
        <w:p w:rsidR="00681B6B" w:rsidRPr="00BA5B14" w:rsidRDefault="00B4261C" w:rsidP="001B6867">
          <w:pPr>
            <w:pStyle w:val="Footer"/>
            <w:jc w:val="right"/>
            <w:rPr>
              <w:rFonts w:cs="Arial"/>
            </w:rPr>
          </w:pPr>
          <w:r w:rsidRPr="00B4261C">
            <w:rPr>
              <w:rFonts w:cs="Arial"/>
            </w:rPr>
            <w:t>Br</w:t>
          </w:r>
          <w:r w:rsidR="00944E0B">
            <w:rPr>
              <w:rFonts w:cs="Arial"/>
            </w:rPr>
            <w:t xml:space="preserve">ief Submissions received </w:t>
          </w:r>
          <w:r w:rsidR="001B6867">
            <w:rPr>
              <w:rFonts w:cs="Arial"/>
            </w:rPr>
            <w:t>BEFORE 13/09/</w:t>
          </w:r>
          <w:r w:rsidR="00BE7B20">
            <w:rPr>
              <w:rFonts w:cs="Arial"/>
            </w:rPr>
            <w:t>/2019</w:t>
          </w:r>
        </w:p>
      </w:tc>
      <w:tc>
        <w:tcPr>
          <w:tcW w:w="510" w:type="dxa"/>
        </w:tcPr>
        <w:p w:rsidR="00681B6B" w:rsidRPr="00A24443" w:rsidRDefault="00681B6B">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63603">
            <w:rPr>
              <w:rStyle w:val="PageNumber"/>
              <w:caps w:val="0"/>
              <w:noProof/>
            </w:rPr>
            <w:t>1</w:t>
          </w:r>
          <w:r w:rsidRPr="00A24443">
            <w:rPr>
              <w:rStyle w:val="PageNumber"/>
              <w:caps w:val="0"/>
            </w:rPr>
            <w:fldChar w:fldCharType="end"/>
          </w:r>
        </w:p>
      </w:tc>
    </w:tr>
  </w:tbl>
  <w:p w:rsidR="00681B6B" w:rsidRDefault="00681B6B">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857" w:rsidRDefault="00F30857">
      <w:r>
        <w:separator/>
      </w:r>
    </w:p>
  </w:footnote>
  <w:footnote w:type="continuationSeparator" w:id="0">
    <w:p w:rsidR="00F30857" w:rsidRDefault="00F30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681B6B">
      <w:tc>
        <w:tcPr>
          <w:tcW w:w="2155" w:type="dxa"/>
          <w:tcBorders>
            <w:top w:val="single" w:sz="24" w:space="0" w:color="auto"/>
          </w:tcBorders>
        </w:tcPr>
        <w:p w:rsidR="00681B6B" w:rsidRDefault="00681B6B" w:rsidP="0019293B">
          <w:pPr>
            <w:pStyle w:val="HeaderEven"/>
          </w:pPr>
        </w:p>
      </w:tc>
      <w:tc>
        <w:tcPr>
          <w:tcW w:w="6634" w:type="dxa"/>
          <w:tcBorders>
            <w:top w:val="single" w:sz="6" w:space="0" w:color="auto"/>
          </w:tcBorders>
        </w:tcPr>
        <w:p w:rsidR="00681B6B" w:rsidRDefault="00681B6B" w:rsidP="0019293B">
          <w:pPr>
            <w:pStyle w:val="HeaderEven"/>
          </w:pPr>
        </w:p>
      </w:tc>
    </w:tr>
  </w:tbl>
  <w:p w:rsidR="00681B6B" w:rsidRDefault="00681B6B"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81B6B">
      <w:tc>
        <w:tcPr>
          <w:tcW w:w="6634" w:type="dxa"/>
          <w:tcBorders>
            <w:top w:val="single" w:sz="6" w:space="0" w:color="auto"/>
          </w:tcBorders>
        </w:tcPr>
        <w:p w:rsidR="00681B6B" w:rsidRDefault="00681B6B" w:rsidP="00E669E2">
          <w:pPr>
            <w:pStyle w:val="HeaderOdd"/>
          </w:pPr>
        </w:p>
      </w:tc>
      <w:tc>
        <w:tcPr>
          <w:tcW w:w="2155" w:type="dxa"/>
          <w:tcBorders>
            <w:top w:val="single" w:sz="24" w:space="0" w:color="auto"/>
          </w:tcBorders>
        </w:tcPr>
        <w:p w:rsidR="00681B6B" w:rsidRDefault="00681B6B" w:rsidP="00E669E2">
          <w:pPr>
            <w:pStyle w:val="HeaderOdd"/>
          </w:pPr>
        </w:p>
      </w:tc>
    </w:tr>
  </w:tbl>
  <w:p w:rsidR="00681B6B" w:rsidRDefault="00681B6B"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3DF05B0"/>
    <w:multiLevelType w:val="hybridMultilevel"/>
    <w:tmpl w:val="7E40F3CC"/>
    <w:lvl w:ilvl="0" w:tplc="6DCCCE28">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9"/>
  </w:num>
  <w:num w:numId="12">
    <w:abstractNumId w:val="10"/>
  </w:num>
  <w:num w:numId="13">
    <w:abstractNumId w:val="4"/>
  </w:num>
  <w:num w:numId="14">
    <w:abstractNumId w:val="17"/>
  </w:num>
  <w:num w:numId="15">
    <w:abstractNumId w:val="20"/>
  </w:num>
  <w:num w:numId="16">
    <w:abstractNumId w:val="13"/>
  </w:num>
  <w:num w:numId="17">
    <w:abstractNumId w:val="2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8"/>
  </w:num>
  <w:num w:numId="2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GST collection Model"/>
  </w:docVars>
  <w:rsids>
    <w:rsidRoot w:val="00002BDF"/>
    <w:rsid w:val="00002BDF"/>
    <w:rsid w:val="00010C6B"/>
    <w:rsid w:val="000227D5"/>
    <w:rsid w:val="000245AA"/>
    <w:rsid w:val="00024819"/>
    <w:rsid w:val="000302FC"/>
    <w:rsid w:val="0003187B"/>
    <w:rsid w:val="0003664B"/>
    <w:rsid w:val="0004111F"/>
    <w:rsid w:val="00055077"/>
    <w:rsid w:val="000565B3"/>
    <w:rsid w:val="00062574"/>
    <w:rsid w:val="0006661B"/>
    <w:rsid w:val="0007150B"/>
    <w:rsid w:val="000938F5"/>
    <w:rsid w:val="00095663"/>
    <w:rsid w:val="00096E55"/>
    <w:rsid w:val="0009783E"/>
    <w:rsid w:val="000A02CA"/>
    <w:rsid w:val="000A4A70"/>
    <w:rsid w:val="000B0DA5"/>
    <w:rsid w:val="000B1022"/>
    <w:rsid w:val="000B601B"/>
    <w:rsid w:val="000C207E"/>
    <w:rsid w:val="000D41E9"/>
    <w:rsid w:val="000E5458"/>
    <w:rsid w:val="000E55A9"/>
    <w:rsid w:val="000F0035"/>
    <w:rsid w:val="000F04E7"/>
    <w:rsid w:val="000F060A"/>
    <w:rsid w:val="000F0A70"/>
    <w:rsid w:val="000F420B"/>
    <w:rsid w:val="0010384B"/>
    <w:rsid w:val="00110116"/>
    <w:rsid w:val="00120072"/>
    <w:rsid w:val="00126EB8"/>
    <w:rsid w:val="001274D4"/>
    <w:rsid w:val="001363AA"/>
    <w:rsid w:val="0013739A"/>
    <w:rsid w:val="00142165"/>
    <w:rsid w:val="00154435"/>
    <w:rsid w:val="001568D1"/>
    <w:rsid w:val="00162434"/>
    <w:rsid w:val="00163AAB"/>
    <w:rsid w:val="00183E82"/>
    <w:rsid w:val="001841B4"/>
    <w:rsid w:val="001878BB"/>
    <w:rsid w:val="00191AE0"/>
    <w:rsid w:val="0019293B"/>
    <w:rsid w:val="0019426B"/>
    <w:rsid w:val="001A6A4B"/>
    <w:rsid w:val="001A7096"/>
    <w:rsid w:val="001B6867"/>
    <w:rsid w:val="001C0865"/>
    <w:rsid w:val="001C0AED"/>
    <w:rsid w:val="001C3ABA"/>
    <w:rsid w:val="001C4B40"/>
    <w:rsid w:val="001C5111"/>
    <w:rsid w:val="001E7BE8"/>
    <w:rsid w:val="001F0248"/>
    <w:rsid w:val="001F3EB3"/>
    <w:rsid w:val="001F4F86"/>
    <w:rsid w:val="00202C2C"/>
    <w:rsid w:val="00203050"/>
    <w:rsid w:val="00203067"/>
    <w:rsid w:val="0020617C"/>
    <w:rsid w:val="002135AB"/>
    <w:rsid w:val="002144BE"/>
    <w:rsid w:val="00217B4C"/>
    <w:rsid w:val="00220E37"/>
    <w:rsid w:val="0022230E"/>
    <w:rsid w:val="00242279"/>
    <w:rsid w:val="00243997"/>
    <w:rsid w:val="0024516C"/>
    <w:rsid w:val="00245C82"/>
    <w:rsid w:val="0025021C"/>
    <w:rsid w:val="00250A67"/>
    <w:rsid w:val="00251182"/>
    <w:rsid w:val="002511EE"/>
    <w:rsid w:val="00251A3B"/>
    <w:rsid w:val="00255E4E"/>
    <w:rsid w:val="00263603"/>
    <w:rsid w:val="002724BA"/>
    <w:rsid w:val="00276B6F"/>
    <w:rsid w:val="00286AF1"/>
    <w:rsid w:val="00291B40"/>
    <w:rsid w:val="002A0638"/>
    <w:rsid w:val="002A1D17"/>
    <w:rsid w:val="002B4008"/>
    <w:rsid w:val="002C439F"/>
    <w:rsid w:val="002C5F46"/>
    <w:rsid w:val="002D0C42"/>
    <w:rsid w:val="002D0E8E"/>
    <w:rsid w:val="002D1D82"/>
    <w:rsid w:val="00301189"/>
    <w:rsid w:val="00301E4A"/>
    <w:rsid w:val="00307AC0"/>
    <w:rsid w:val="003168B8"/>
    <w:rsid w:val="00322D64"/>
    <w:rsid w:val="0032367A"/>
    <w:rsid w:val="00323E09"/>
    <w:rsid w:val="00333932"/>
    <w:rsid w:val="003438ED"/>
    <w:rsid w:val="003469B1"/>
    <w:rsid w:val="003518AA"/>
    <w:rsid w:val="00352165"/>
    <w:rsid w:val="00352A2B"/>
    <w:rsid w:val="00353182"/>
    <w:rsid w:val="003565D9"/>
    <w:rsid w:val="003602E1"/>
    <w:rsid w:val="0037026F"/>
    <w:rsid w:val="00371240"/>
    <w:rsid w:val="00374731"/>
    <w:rsid w:val="00376E59"/>
    <w:rsid w:val="00377EC1"/>
    <w:rsid w:val="00380340"/>
    <w:rsid w:val="00382B70"/>
    <w:rsid w:val="00386DC4"/>
    <w:rsid w:val="0039088E"/>
    <w:rsid w:val="003919F9"/>
    <w:rsid w:val="003920CF"/>
    <w:rsid w:val="003A6436"/>
    <w:rsid w:val="003B23C2"/>
    <w:rsid w:val="003C38B5"/>
    <w:rsid w:val="003C5D99"/>
    <w:rsid w:val="003D1087"/>
    <w:rsid w:val="003D1839"/>
    <w:rsid w:val="003D7412"/>
    <w:rsid w:val="003E2667"/>
    <w:rsid w:val="003E2F59"/>
    <w:rsid w:val="003E746B"/>
    <w:rsid w:val="003F0789"/>
    <w:rsid w:val="003F3ADD"/>
    <w:rsid w:val="00401882"/>
    <w:rsid w:val="004100C8"/>
    <w:rsid w:val="00411DBD"/>
    <w:rsid w:val="00412ACE"/>
    <w:rsid w:val="004145D2"/>
    <w:rsid w:val="00415A2D"/>
    <w:rsid w:val="00426CB4"/>
    <w:rsid w:val="00431249"/>
    <w:rsid w:val="00434C19"/>
    <w:rsid w:val="004375AF"/>
    <w:rsid w:val="00440C33"/>
    <w:rsid w:val="00450810"/>
    <w:rsid w:val="00450F69"/>
    <w:rsid w:val="00462C59"/>
    <w:rsid w:val="004649D1"/>
    <w:rsid w:val="0046682A"/>
    <w:rsid w:val="00470737"/>
    <w:rsid w:val="004761D4"/>
    <w:rsid w:val="00477144"/>
    <w:rsid w:val="00480C78"/>
    <w:rsid w:val="00491380"/>
    <w:rsid w:val="0049459F"/>
    <w:rsid w:val="004965CA"/>
    <w:rsid w:val="004A38DD"/>
    <w:rsid w:val="004B1452"/>
    <w:rsid w:val="004B43AE"/>
    <w:rsid w:val="004B7EE2"/>
    <w:rsid w:val="004C30ED"/>
    <w:rsid w:val="004C5DAB"/>
    <w:rsid w:val="004D5675"/>
    <w:rsid w:val="004E3685"/>
    <w:rsid w:val="004E5F76"/>
    <w:rsid w:val="004E6181"/>
    <w:rsid w:val="004F2F5B"/>
    <w:rsid w:val="0051470B"/>
    <w:rsid w:val="00517795"/>
    <w:rsid w:val="00523639"/>
    <w:rsid w:val="00523B65"/>
    <w:rsid w:val="00531FE5"/>
    <w:rsid w:val="00535927"/>
    <w:rsid w:val="005402FA"/>
    <w:rsid w:val="00554602"/>
    <w:rsid w:val="0056080D"/>
    <w:rsid w:val="005671F2"/>
    <w:rsid w:val="005729BD"/>
    <w:rsid w:val="005758C5"/>
    <w:rsid w:val="00575CBE"/>
    <w:rsid w:val="00580154"/>
    <w:rsid w:val="00582AFB"/>
    <w:rsid w:val="00583C39"/>
    <w:rsid w:val="00586A90"/>
    <w:rsid w:val="00587F28"/>
    <w:rsid w:val="005909CF"/>
    <w:rsid w:val="00591E71"/>
    <w:rsid w:val="005939ED"/>
    <w:rsid w:val="005A0D41"/>
    <w:rsid w:val="005C066D"/>
    <w:rsid w:val="005D057F"/>
    <w:rsid w:val="005D329F"/>
    <w:rsid w:val="005D3B09"/>
    <w:rsid w:val="005E44B3"/>
    <w:rsid w:val="005F48ED"/>
    <w:rsid w:val="00604948"/>
    <w:rsid w:val="00606E78"/>
    <w:rsid w:val="00607BF1"/>
    <w:rsid w:val="006178A6"/>
    <w:rsid w:val="00630D4D"/>
    <w:rsid w:val="00632A74"/>
    <w:rsid w:val="00640681"/>
    <w:rsid w:val="00645FA3"/>
    <w:rsid w:val="00654D42"/>
    <w:rsid w:val="00666E02"/>
    <w:rsid w:val="00671FDD"/>
    <w:rsid w:val="00676441"/>
    <w:rsid w:val="0068184D"/>
    <w:rsid w:val="00681B6B"/>
    <w:rsid w:val="006A4655"/>
    <w:rsid w:val="006A77A0"/>
    <w:rsid w:val="006B2605"/>
    <w:rsid w:val="006B2B3C"/>
    <w:rsid w:val="006B648E"/>
    <w:rsid w:val="006C1D81"/>
    <w:rsid w:val="006C3C7E"/>
    <w:rsid w:val="006C7038"/>
    <w:rsid w:val="006C78DF"/>
    <w:rsid w:val="006E73EF"/>
    <w:rsid w:val="006F431A"/>
    <w:rsid w:val="007053D9"/>
    <w:rsid w:val="007079C9"/>
    <w:rsid w:val="00714D4D"/>
    <w:rsid w:val="007266D3"/>
    <w:rsid w:val="00732029"/>
    <w:rsid w:val="007604BB"/>
    <w:rsid w:val="00772909"/>
    <w:rsid w:val="00785232"/>
    <w:rsid w:val="007943CC"/>
    <w:rsid w:val="0079701E"/>
    <w:rsid w:val="007A21EB"/>
    <w:rsid w:val="007A26FC"/>
    <w:rsid w:val="007B07FE"/>
    <w:rsid w:val="007B1A93"/>
    <w:rsid w:val="007B2798"/>
    <w:rsid w:val="007C36C9"/>
    <w:rsid w:val="007D6401"/>
    <w:rsid w:val="007E01E4"/>
    <w:rsid w:val="007E6877"/>
    <w:rsid w:val="007E7A12"/>
    <w:rsid w:val="007E7FA4"/>
    <w:rsid w:val="007F4A19"/>
    <w:rsid w:val="007F7107"/>
    <w:rsid w:val="00800D4C"/>
    <w:rsid w:val="00805B14"/>
    <w:rsid w:val="0081030F"/>
    <w:rsid w:val="00812F4A"/>
    <w:rsid w:val="00817898"/>
    <w:rsid w:val="0082087D"/>
    <w:rsid w:val="0083293C"/>
    <w:rsid w:val="00835771"/>
    <w:rsid w:val="00842933"/>
    <w:rsid w:val="00845B41"/>
    <w:rsid w:val="00855074"/>
    <w:rsid w:val="0086082C"/>
    <w:rsid w:val="00864ADC"/>
    <w:rsid w:val="00880153"/>
    <w:rsid w:val="00880F97"/>
    <w:rsid w:val="0088133A"/>
    <w:rsid w:val="0089285E"/>
    <w:rsid w:val="00892C1C"/>
    <w:rsid w:val="0089436C"/>
    <w:rsid w:val="008B58BC"/>
    <w:rsid w:val="008C6685"/>
    <w:rsid w:val="008D26B8"/>
    <w:rsid w:val="008D365C"/>
    <w:rsid w:val="008D5876"/>
    <w:rsid w:val="008D7622"/>
    <w:rsid w:val="008E0CCB"/>
    <w:rsid w:val="008E1611"/>
    <w:rsid w:val="009021A6"/>
    <w:rsid w:val="009030BF"/>
    <w:rsid w:val="00903B52"/>
    <w:rsid w:val="0091032F"/>
    <w:rsid w:val="00914368"/>
    <w:rsid w:val="00931076"/>
    <w:rsid w:val="009345D9"/>
    <w:rsid w:val="00934B15"/>
    <w:rsid w:val="00940C87"/>
    <w:rsid w:val="00942B62"/>
    <w:rsid w:val="00944A68"/>
    <w:rsid w:val="00944E0B"/>
    <w:rsid w:val="00945B41"/>
    <w:rsid w:val="00951BE0"/>
    <w:rsid w:val="0095323B"/>
    <w:rsid w:val="00956A0C"/>
    <w:rsid w:val="00956BD9"/>
    <w:rsid w:val="00962489"/>
    <w:rsid w:val="00967CD3"/>
    <w:rsid w:val="00975671"/>
    <w:rsid w:val="00990C2C"/>
    <w:rsid w:val="00992585"/>
    <w:rsid w:val="0099612A"/>
    <w:rsid w:val="009A08ED"/>
    <w:rsid w:val="009A5171"/>
    <w:rsid w:val="009A54AA"/>
    <w:rsid w:val="009A71F5"/>
    <w:rsid w:val="009B6C69"/>
    <w:rsid w:val="009D197E"/>
    <w:rsid w:val="009D292F"/>
    <w:rsid w:val="009E02EF"/>
    <w:rsid w:val="009E1844"/>
    <w:rsid w:val="009E5F40"/>
    <w:rsid w:val="009E741A"/>
    <w:rsid w:val="009F0D1B"/>
    <w:rsid w:val="009F4301"/>
    <w:rsid w:val="009F5BBD"/>
    <w:rsid w:val="009F696D"/>
    <w:rsid w:val="009F6BC6"/>
    <w:rsid w:val="009F74EF"/>
    <w:rsid w:val="00A02826"/>
    <w:rsid w:val="00A05DD5"/>
    <w:rsid w:val="00A07189"/>
    <w:rsid w:val="00A100EC"/>
    <w:rsid w:val="00A15D5A"/>
    <w:rsid w:val="00A17328"/>
    <w:rsid w:val="00A209F2"/>
    <w:rsid w:val="00A23A20"/>
    <w:rsid w:val="00A24443"/>
    <w:rsid w:val="00A268B9"/>
    <w:rsid w:val="00A2703A"/>
    <w:rsid w:val="00A322FA"/>
    <w:rsid w:val="00A33DFF"/>
    <w:rsid w:val="00A35115"/>
    <w:rsid w:val="00A36D9A"/>
    <w:rsid w:val="00A43C97"/>
    <w:rsid w:val="00A451DC"/>
    <w:rsid w:val="00A554AB"/>
    <w:rsid w:val="00A55861"/>
    <w:rsid w:val="00A57062"/>
    <w:rsid w:val="00A67781"/>
    <w:rsid w:val="00A73864"/>
    <w:rsid w:val="00A761F9"/>
    <w:rsid w:val="00A81EED"/>
    <w:rsid w:val="00A8663A"/>
    <w:rsid w:val="00A9262A"/>
    <w:rsid w:val="00A92B53"/>
    <w:rsid w:val="00A94FA6"/>
    <w:rsid w:val="00A95405"/>
    <w:rsid w:val="00AA0E41"/>
    <w:rsid w:val="00AA49A0"/>
    <w:rsid w:val="00AA53B8"/>
    <w:rsid w:val="00AA6710"/>
    <w:rsid w:val="00AB0681"/>
    <w:rsid w:val="00AC3A15"/>
    <w:rsid w:val="00AD0597"/>
    <w:rsid w:val="00AD1B9B"/>
    <w:rsid w:val="00AD520B"/>
    <w:rsid w:val="00AE09CE"/>
    <w:rsid w:val="00AE3BCC"/>
    <w:rsid w:val="00AF55D7"/>
    <w:rsid w:val="00B050E6"/>
    <w:rsid w:val="00B1502A"/>
    <w:rsid w:val="00B425C3"/>
    <w:rsid w:val="00B4261C"/>
    <w:rsid w:val="00B43C53"/>
    <w:rsid w:val="00B440AD"/>
    <w:rsid w:val="00B479BB"/>
    <w:rsid w:val="00B47BE4"/>
    <w:rsid w:val="00B53560"/>
    <w:rsid w:val="00B53E7E"/>
    <w:rsid w:val="00B6342E"/>
    <w:rsid w:val="00B65105"/>
    <w:rsid w:val="00B7113F"/>
    <w:rsid w:val="00B81D17"/>
    <w:rsid w:val="00BA156C"/>
    <w:rsid w:val="00BA2BCF"/>
    <w:rsid w:val="00BA5B14"/>
    <w:rsid w:val="00BA73B6"/>
    <w:rsid w:val="00BA7E27"/>
    <w:rsid w:val="00BB1A23"/>
    <w:rsid w:val="00BB1E5D"/>
    <w:rsid w:val="00BB2603"/>
    <w:rsid w:val="00BB4FCD"/>
    <w:rsid w:val="00BB55BC"/>
    <w:rsid w:val="00BC04E9"/>
    <w:rsid w:val="00BC322A"/>
    <w:rsid w:val="00BC3708"/>
    <w:rsid w:val="00BD13EA"/>
    <w:rsid w:val="00BD7D4D"/>
    <w:rsid w:val="00BE12B4"/>
    <w:rsid w:val="00BE3808"/>
    <w:rsid w:val="00BE3FEB"/>
    <w:rsid w:val="00BE7B20"/>
    <w:rsid w:val="00BF0544"/>
    <w:rsid w:val="00BF0EAC"/>
    <w:rsid w:val="00BF2F49"/>
    <w:rsid w:val="00C03B88"/>
    <w:rsid w:val="00C04F3C"/>
    <w:rsid w:val="00C062E9"/>
    <w:rsid w:val="00C07B64"/>
    <w:rsid w:val="00C13721"/>
    <w:rsid w:val="00C14FE4"/>
    <w:rsid w:val="00C16453"/>
    <w:rsid w:val="00C3066D"/>
    <w:rsid w:val="00C47075"/>
    <w:rsid w:val="00C47191"/>
    <w:rsid w:val="00C52416"/>
    <w:rsid w:val="00C543F4"/>
    <w:rsid w:val="00C6291C"/>
    <w:rsid w:val="00C633CB"/>
    <w:rsid w:val="00C651C5"/>
    <w:rsid w:val="00C664CD"/>
    <w:rsid w:val="00C736B7"/>
    <w:rsid w:val="00C81D4A"/>
    <w:rsid w:val="00C8762C"/>
    <w:rsid w:val="00C876EF"/>
    <w:rsid w:val="00CA00F9"/>
    <w:rsid w:val="00CA2961"/>
    <w:rsid w:val="00CA3063"/>
    <w:rsid w:val="00CA6FDE"/>
    <w:rsid w:val="00CB50D7"/>
    <w:rsid w:val="00CB7177"/>
    <w:rsid w:val="00CB7CED"/>
    <w:rsid w:val="00CC070F"/>
    <w:rsid w:val="00CC1998"/>
    <w:rsid w:val="00CC4292"/>
    <w:rsid w:val="00CC4946"/>
    <w:rsid w:val="00CC49B9"/>
    <w:rsid w:val="00CC64A1"/>
    <w:rsid w:val="00CD3A62"/>
    <w:rsid w:val="00CD50F4"/>
    <w:rsid w:val="00CD5BBA"/>
    <w:rsid w:val="00CD7AF8"/>
    <w:rsid w:val="00CE4E4B"/>
    <w:rsid w:val="00CF3B11"/>
    <w:rsid w:val="00CF49B3"/>
    <w:rsid w:val="00CF4C99"/>
    <w:rsid w:val="00CF72A6"/>
    <w:rsid w:val="00CF7E83"/>
    <w:rsid w:val="00D01820"/>
    <w:rsid w:val="00D112DF"/>
    <w:rsid w:val="00D21FA1"/>
    <w:rsid w:val="00D22ED5"/>
    <w:rsid w:val="00D270A4"/>
    <w:rsid w:val="00D31FE9"/>
    <w:rsid w:val="00D34E1B"/>
    <w:rsid w:val="00D376BA"/>
    <w:rsid w:val="00D434A0"/>
    <w:rsid w:val="00D45634"/>
    <w:rsid w:val="00D55006"/>
    <w:rsid w:val="00D5568A"/>
    <w:rsid w:val="00D63D73"/>
    <w:rsid w:val="00D64452"/>
    <w:rsid w:val="00D66E1E"/>
    <w:rsid w:val="00D70696"/>
    <w:rsid w:val="00D75722"/>
    <w:rsid w:val="00D75A47"/>
    <w:rsid w:val="00D80CF5"/>
    <w:rsid w:val="00D875A6"/>
    <w:rsid w:val="00DA305E"/>
    <w:rsid w:val="00DA331B"/>
    <w:rsid w:val="00DA3932"/>
    <w:rsid w:val="00DA5BBA"/>
    <w:rsid w:val="00DA7A15"/>
    <w:rsid w:val="00DB26D2"/>
    <w:rsid w:val="00DB67C9"/>
    <w:rsid w:val="00DC0C95"/>
    <w:rsid w:val="00DC0E81"/>
    <w:rsid w:val="00DC18CD"/>
    <w:rsid w:val="00DC4F0B"/>
    <w:rsid w:val="00DD3957"/>
    <w:rsid w:val="00DD63F5"/>
    <w:rsid w:val="00DD6580"/>
    <w:rsid w:val="00DE2EDE"/>
    <w:rsid w:val="00DE410B"/>
    <w:rsid w:val="00DF5F4E"/>
    <w:rsid w:val="00E01D7F"/>
    <w:rsid w:val="00E05C03"/>
    <w:rsid w:val="00E16373"/>
    <w:rsid w:val="00E17C72"/>
    <w:rsid w:val="00E21FC6"/>
    <w:rsid w:val="00E25739"/>
    <w:rsid w:val="00E431A9"/>
    <w:rsid w:val="00E53CDA"/>
    <w:rsid w:val="00E669E2"/>
    <w:rsid w:val="00E676A8"/>
    <w:rsid w:val="00E76135"/>
    <w:rsid w:val="00E82F4F"/>
    <w:rsid w:val="00E861B5"/>
    <w:rsid w:val="00E864DF"/>
    <w:rsid w:val="00E90083"/>
    <w:rsid w:val="00E935B9"/>
    <w:rsid w:val="00E978FA"/>
    <w:rsid w:val="00EB2CC3"/>
    <w:rsid w:val="00EB48A5"/>
    <w:rsid w:val="00EC2844"/>
    <w:rsid w:val="00EC5500"/>
    <w:rsid w:val="00ED18F8"/>
    <w:rsid w:val="00ED7A12"/>
    <w:rsid w:val="00EE6EDA"/>
    <w:rsid w:val="00EE778E"/>
    <w:rsid w:val="00EF6719"/>
    <w:rsid w:val="00EF6C6C"/>
    <w:rsid w:val="00F04493"/>
    <w:rsid w:val="00F056FC"/>
    <w:rsid w:val="00F0632F"/>
    <w:rsid w:val="00F069AE"/>
    <w:rsid w:val="00F10476"/>
    <w:rsid w:val="00F12A57"/>
    <w:rsid w:val="00F135D8"/>
    <w:rsid w:val="00F14D9D"/>
    <w:rsid w:val="00F2626B"/>
    <w:rsid w:val="00F27FDA"/>
    <w:rsid w:val="00F30857"/>
    <w:rsid w:val="00F31299"/>
    <w:rsid w:val="00F3407A"/>
    <w:rsid w:val="00F3534A"/>
    <w:rsid w:val="00F35BFB"/>
    <w:rsid w:val="00F36ACC"/>
    <w:rsid w:val="00F43CD3"/>
    <w:rsid w:val="00F51609"/>
    <w:rsid w:val="00F55C25"/>
    <w:rsid w:val="00F65DAC"/>
    <w:rsid w:val="00F67201"/>
    <w:rsid w:val="00F73727"/>
    <w:rsid w:val="00F766A7"/>
    <w:rsid w:val="00F81006"/>
    <w:rsid w:val="00F84518"/>
    <w:rsid w:val="00F85325"/>
    <w:rsid w:val="00F9051C"/>
    <w:rsid w:val="00F967F9"/>
    <w:rsid w:val="00F9773E"/>
    <w:rsid w:val="00FA13F4"/>
    <w:rsid w:val="00FA21DA"/>
    <w:rsid w:val="00FA3878"/>
    <w:rsid w:val="00FB3766"/>
    <w:rsid w:val="00FB3CD7"/>
    <w:rsid w:val="00FB3DDD"/>
    <w:rsid w:val="00FB5B89"/>
    <w:rsid w:val="00FC4A82"/>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F3DC643-9517-4C1F-A02C-5FAA160F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2DF"/>
    <w:rPr>
      <w:rFonts w:eastAsiaTheme="minorHAnsi"/>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character" w:customStyle="1" w:styleId="BodyTextChar">
    <w:name w:val="Body Text Char"/>
    <w:basedOn w:val="DefaultParagraphFont"/>
    <w:link w:val="BodyText"/>
    <w:rsid w:val="00EB2CC3"/>
    <w:rPr>
      <w:sz w:val="24"/>
    </w:rPr>
  </w:style>
  <w:style w:type="paragraph" w:customStyle="1" w:styleId="Chapter">
    <w:name w:val="Chapter"/>
    <w:basedOn w:val="Heading1"/>
    <w:next w:val="BodyText"/>
    <w:semiHidden/>
    <w:rsid w:val="00A17328"/>
    <w:pPr>
      <w:ind w:left="0" w:firstLine="0"/>
      <w:outlineLvl w:val="9"/>
    </w:pPr>
  </w:style>
  <w:style w:type="character" w:customStyle="1" w:styleId="Heading5Char">
    <w:name w:val="Heading 5 Char"/>
    <w:basedOn w:val="DefaultParagraphFont"/>
    <w:link w:val="Heading5"/>
    <w:rsid w:val="00812F4A"/>
    <w:rPr>
      <w:rFonts w:ascii="Arial" w:hAnsi="Arial"/>
      <w:i/>
      <w:sz w:val="22"/>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semiHidden/>
    <w:rsid w:val="00EB2CC3"/>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eastAsia="Times New Roman"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eastAsia="Times New Roman"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rFonts w:eastAsia="Times New Roman"/>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character" w:customStyle="1" w:styleId="SubtitleChar">
    <w:name w:val="Subtitle Char"/>
    <w:basedOn w:val="DefaultParagraphFont"/>
    <w:link w:val="Subtitle"/>
    <w:rsid w:val="00301E4A"/>
    <w:rPr>
      <w:rFonts w:ascii="Arial" w:hAnsi="Arial"/>
      <w:szCs w:val="24"/>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eastAsia="Times New Roman" w:hAnsi="Arial"/>
      <w:b/>
      <w:sz w:val="26"/>
      <w:szCs w:val="26"/>
      <w:lang w:eastAsia="en-US"/>
    </w:rPr>
  </w:style>
  <w:style w:type="character" w:customStyle="1" w:styleId="TOC1Char">
    <w:name w:val="TOC 1 Char"/>
    <w:basedOn w:val="DefaultParagraphFont"/>
    <w:link w:val="TOC1"/>
    <w:rsid w:val="00F73727"/>
    <w:rPr>
      <w:rFonts w:ascii="Arial" w:hAnsi="Arial"/>
      <w:b/>
      <w:sz w:val="26"/>
      <w:szCs w:val="26"/>
      <w:lang w:eastAsia="en-US"/>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eastAsia="Times New Roman"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eastAsia="Times New Roman"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eastAsia="Times New Roman"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6682A"/>
    <w:rPr>
      <w:color w:val="78A22F" w:themeColor="hyperlink"/>
      <w:u w:val="single"/>
    </w:rPr>
  </w:style>
  <w:style w:type="paragraph" w:styleId="CommentSubject">
    <w:name w:val="annotation subject"/>
    <w:basedOn w:val="CommentText"/>
    <w:next w:val="CommentText"/>
    <w:link w:val="CommentSubjectChar"/>
    <w:rsid w:val="004375AF"/>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4375AF"/>
    <w:rPr>
      <w:szCs w:val="24"/>
    </w:rPr>
  </w:style>
  <w:style w:type="character" w:customStyle="1" w:styleId="CommentSubjectChar">
    <w:name w:val="Comment Subject Char"/>
    <w:basedOn w:val="CommentTextChar"/>
    <w:link w:val="CommentSubject"/>
    <w:rsid w:val="004375AF"/>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60003">
      <w:bodyDiv w:val="1"/>
      <w:marLeft w:val="0"/>
      <w:marRight w:val="0"/>
      <w:marTop w:val="0"/>
      <w:marBottom w:val="0"/>
      <w:divBdr>
        <w:top w:val="none" w:sz="0" w:space="0" w:color="auto"/>
        <w:left w:val="none" w:sz="0" w:space="0" w:color="auto"/>
        <w:bottom w:val="none" w:sz="0" w:space="0" w:color="auto"/>
        <w:right w:val="none" w:sz="0" w:space="0" w:color="auto"/>
      </w:divBdr>
    </w:div>
    <w:div w:id="123238668">
      <w:bodyDiv w:val="1"/>
      <w:marLeft w:val="0"/>
      <w:marRight w:val="0"/>
      <w:marTop w:val="0"/>
      <w:marBottom w:val="0"/>
      <w:divBdr>
        <w:top w:val="none" w:sz="0" w:space="0" w:color="auto"/>
        <w:left w:val="none" w:sz="0" w:space="0" w:color="auto"/>
        <w:bottom w:val="none" w:sz="0" w:space="0" w:color="auto"/>
        <w:right w:val="none" w:sz="0" w:space="0" w:color="auto"/>
      </w:divBdr>
    </w:div>
    <w:div w:id="646395575">
      <w:bodyDiv w:val="1"/>
      <w:marLeft w:val="0"/>
      <w:marRight w:val="0"/>
      <w:marTop w:val="0"/>
      <w:marBottom w:val="0"/>
      <w:divBdr>
        <w:top w:val="none" w:sz="0" w:space="0" w:color="auto"/>
        <w:left w:val="none" w:sz="0" w:space="0" w:color="auto"/>
        <w:bottom w:val="none" w:sz="0" w:space="0" w:color="auto"/>
        <w:right w:val="none" w:sz="0" w:space="0" w:color="auto"/>
      </w:divBdr>
    </w:div>
    <w:div w:id="830218891">
      <w:bodyDiv w:val="1"/>
      <w:marLeft w:val="0"/>
      <w:marRight w:val="0"/>
      <w:marTop w:val="0"/>
      <w:marBottom w:val="0"/>
      <w:divBdr>
        <w:top w:val="none" w:sz="0" w:space="0" w:color="auto"/>
        <w:left w:val="none" w:sz="0" w:space="0" w:color="auto"/>
        <w:bottom w:val="none" w:sz="0" w:space="0" w:color="auto"/>
        <w:right w:val="none" w:sz="0" w:space="0" w:color="auto"/>
      </w:divBdr>
    </w:div>
    <w:div w:id="1172642561">
      <w:bodyDiv w:val="1"/>
      <w:marLeft w:val="0"/>
      <w:marRight w:val="0"/>
      <w:marTop w:val="0"/>
      <w:marBottom w:val="0"/>
      <w:divBdr>
        <w:top w:val="none" w:sz="0" w:space="0" w:color="auto"/>
        <w:left w:val="none" w:sz="0" w:space="0" w:color="auto"/>
        <w:bottom w:val="none" w:sz="0" w:space="0" w:color="auto"/>
        <w:right w:val="none" w:sz="0" w:space="0" w:color="auto"/>
      </w:divBdr>
    </w:div>
    <w:div w:id="1675185238">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11980648">
      <w:bodyDiv w:val="1"/>
      <w:marLeft w:val="0"/>
      <w:marRight w:val="0"/>
      <w:marTop w:val="0"/>
      <w:marBottom w:val="0"/>
      <w:divBdr>
        <w:top w:val="none" w:sz="0" w:space="0" w:color="auto"/>
        <w:left w:val="none" w:sz="0" w:space="0" w:color="auto"/>
        <w:bottom w:val="none" w:sz="0" w:space="0" w:color="auto"/>
        <w:right w:val="none" w:sz="0" w:space="0" w:color="auto"/>
      </w:divBdr>
    </w:div>
    <w:div w:id="212765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5D8B35F5120D954F8F8E5325D53E4EE0280058935B5EF23CDA44AE7589E21C1C50CB" ma:contentTypeVersion="22" ma:contentTypeDescription="" ma:contentTypeScope="" ma:versionID="ab6c7afe9ad93f6875cf0bbd7907e61d">
  <xsd:schema xmlns:xsd="http://www.w3.org/2001/XMLSchema" xmlns:xs="http://www.w3.org/2001/XMLSchema" xmlns:p="http://schemas.microsoft.com/office/2006/metadata/properties" xmlns:ns1="4b1fc598-b62b-4505-bb04-d2b982c96fa2" xmlns:ns3="3f4bcce7-ac1a-4c9d-aa3e-7e77695652db" targetNamespace="http://schemas.microsoft.com/office/2006/metadata/properties" ma:root="true" ma:fieldsID="7006c2e8845cf4bbd510408649a272cd" ns1:_="" ns3:_="">
    <xsd:import namespace="4b1fc598-b62b-4505-bb04-d2b982c96fa2"/>
    <xsd:import namespace="3f4bcce7-ac1a-4c9d-aa3e-7e77695652db"/>
    <xsd:element name="properties">
      <xsd:complexType>
        <xsd:sequence>
          <xsd:element name="documentManagement">
            <xsd:complexType>
              <xsd:all>
                <xsd:element ref="ns1:Confidential" minOccurs="0"/>
                <xsd:element ref="ns1:Draft_x0020_Report" minOccurs="0"/>
                <xsd:element ref="ns1:Submission_x0020_number" minOccurs="0"/>
                <xsd:element ref="ns1:Submitter_x0020_name" minOccurs="0"/>
                <xsd:element ref="ns1:Attachment" minOccurs="0"/>
                <xsd:element ref="ns1:Attachment_x0020_number" minOccurs="0"/>
                <xsd:element ref="ns3:TaxCatchAllLabel" minOccurs="0"/>
                <xsd:element ref="ns3:TaxCatchAll" minOccurs="0"/>
                <xsd:element ref="ns3:p7a0baa8c88445a78b6f55906390ba17"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fc598-b62b-4505-bb04-d2b982c96fa2" elementFormDefault="qualified">
    <xsd:import namespace="http://schemas.microsoft.com/office/2006/documentManagement/types"/>
    <xsd:import namespace="http://schemas.microsoft.com/office/infopath/2007/PartnerControls"/>
    <xsd:element name="Confidential" ma:index="0" nillable="true" ma:displayName="Confidential" ma:default="0" ma:internalName="Confidential">
      <xsd:simpleType>
        <xsd:restriction base="dms:Boolean"/>
      </xsd:simpleType>
    </xsd:element>
    <xsd:element name="Draft_x0020_Report" ma:index="1" nillable="true" ma:displayName="Draft Report" ma:default="0" ma:internalName="Draft_x0020_Report">
      <xsd:simpleType>
        <xsd:restriction base="dms:Boolean"/>
      </xsd:simpleType>
    </xsd:element>
    <xsd:element name="Submission_x0020_number" ma:index="4" nillable="true" ma:displayName="Submission number" ma:internalName="Submission_x0020_number">
      <xsd:simpleType>
        <xsd:restriction base="dms:Number"/>
      </xsd:simpleType>
    </xsd:element>
    <xsd:element name="Submitter_x0020_name" ma:index="5" nillable="true" ma:displayName="Submission name" ma:description="The official submission name as published" ma:internalName="Submitter_x0020_name">
      <xsd:simpleType>
        <xsd:restriction base="dms:Text">
          <xsd:maxLength value="255"/>
        </xsd:restriction>
      </xsd:simpleType>
    </xsd:element>
    <xsd:element name="Attachment" ma:index="7" nillable="true" ma:displayName="Attachment" ma:default="0" ma:internalName="Attachment">
      <xsd:simpleType>
        <xsd:restriction base="dms:Boolean"/>
      </xsd:simpleType>
    </xsd:element>
    <xsd:element name="Attachment_x0020_number" ma:index="8" nillable="true" ma:displayName="Attachment number" ma:internalName="Attachmen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 ma:index="17"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8"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ttachment_x0020_number xmlns="4b1fc598-b62b-4505-bb04-d2b982c96fa2" xsi:nil="true"/>
    <Confidential xmlns="4b1fc598-b62b-4505-bb04-d2b982c96fa2">false</Confidential>
    <TaxKeywordTaxHTField xmlns="3f4bcce7-ac1a-4c9d-aa3e-7e77695652db">
      <Terms xmlns="http://schemas.microsoft.com/office/infopath/2007/PartnerControls"/>
    </TaxKeywordTaxHTField>
    <Attachment xmlns="4b1fc598-b62b-4505-bb04-d2b982c96fa2">false</Attachment>
    <Draft_x0020_Report xmlns="4b1fc598-b62b-4505-bb04-d2b982c96fa2">false</Draft_x0020_Report>
    <Submitter_x0020_name xmlns="4b1fc598-b62b-4505-bb04-d2b982c96fa2" xsi:nil="true"/>
    <Submission_x0020_number xmlns="4b1fc598-b62b-4505-bb04-d2b982c96fa2"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4629B-ABFD-4CAF-8668-72399BF31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fc598-b62b-4505-bb04-d2b982c96fa2"/>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04656-B8A6-4734-BF36-08B8CD0F2B82}">
  <ds:schemaRefs>
    <ds:schemaRef ds:uri="http://schemas.microsoft.com/office/2006/metadata/customXsn"/>
  </ds:schemaRefs>
</ds:datastoreItem>
</file>

<file path=customXml/itemProps3.xml><?xml version="1.0" encoding="utf-8"?>
<ds:datastoreItem xmlns:ds="http://schemas.openxmlformats.org/officeDocument/2006/customXml" ds:itemID="{125B2123-8619-443B-AC24-6A5D12D32683}">
  <ds:schemaRefs>
    <ds:schemaRef ds:uri="Microsoft.SharePoint.Taxonomy.ContentTypeSync"/>
  </ds:schemaRefs>
</ds:datastoreItem>
</file>

<file path=customXml/itemProps4.xml><?xml version="1.0" encoding="utf-8"?>
<ds:datastoreItem xmlns:ds="http://schemas.openxmlformats.org/officeDocument/2006/customXml" ds:itemID="{7D095F2C-E62F-4147-B816-3AAAFEEC11D2}">
  <ds:schemaRefs>
    <ds:schemaRef ds:uri="http://schemas.microsoft.com/sharepoint/v3/contenttype/forms"/>
  </ds:schemaRefs>
</ds:datastoreItem>
</file>

<file path=customXml/itemProps5.xml><?xml version="1.0" encoding="utf-8"?>
<ds:datastoreItem xmlns:ds="http://schemas.openxmlformats.org/officeDocument/2006/customXml" ds:itemID="{4711646F-F30A-450B-9042-EE3B8EC24D30}">
  <ds:schemaRef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purl.org/dc/terms/"/>
    <ds:schemaRef ds:uri="3f4bcce7-ac1a-4c9d-aa3e-7e77695652db"/>
    <ds:schemaRef ds:uri="http://schemas.openxmlformats.org/package/2006/metadata/core-properties"/>
    <ds:schemaRef ds:uri="4b1fc598-b62b-4505-bb04-d2b982c96fa2"/>
    <ds:schemaRef ds:uri="http://schemas.microsoft.com/office/2006/metadata/properties"/>
  </ds:schemaRefs>
</ds:datastoreItem>
</file>

<file path=customXml/itemProps6.xml><?xml version="1.0" encoding="utf-8"?>
<ds:datastoreItem xmlns:ds="http://schemas.openxmlformats.org/officeDocument/2006/customXml" ds:itemID="{27B37329-0250-451E-AEA1-8ACDF07FE4CF}">
  <ds:schemaRefs>
    <ds:schemaRef ds:uri="http://schemas.openxmlformats.org/officeDocument/2006/bibliography"/>
  </ds:schemaRefs>
</ds:datastoreItem>
</file>

<file path=customXml/itemProps7.xml><?xml version="1.0" encoding="utf-8"?>
<ds:datastoreItem xmlns:ds="http://schemas.openxmlformats.org/officeDocument/2006/customXml" ds:itemID="{3947262B-130B-4DA3-A8A1-B4776B39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3</TotalTime>
  <Pages>2</Pages>
  <Words>776</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9 June 2020 update - Brief comments - Indigenous Evaluation Strategy - Project</vt:lpstr>
    </vt:vector>
  </TitlesOfParts>
  <Company>Productivity Commission</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June 2020 update - Brief comments - Indigenous Evaluation Strategy - Project</dc:title>
  <dc:subject/>
  <dc:creator>Productivity Commission</dc:creator>
  <cp:keywords/>
  <dc:description>1.</dc:description>
  <cp:lastModifiedBy>Productivity Commission</cp:lastModifiedBy>
  <cp:revision>6</cp:revision>
  <cp:lastPrinted>2014-07-13T11:30:00Z</cp:lastPrinted>
  <dcterms:created xsi:type="dcterms:W3CDTF">2020-06-09T00:31:00Z</dcterms:created>
  <dcterms:modified xsi:type="dcterms:W3CDTF">2020-06-09T00:56:00Z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0x0101005D8B35F5120D954F8F8E5325D53E4EE0280058935B5EF23CDA44AE7589E21C1C50CB</vt:lpwstr>
  </property>
  <property fmtid="{D5CDD505-2E9C-101B-9397-08002B2CF9AE}" pid="3" name="TaxKeyword">
    <vt:lpwstr/>
  </property>
  <property fmtid="{D5CDD505-2E9C-101B-9397-08002B2CF9AE}" pid="4" name="Record Tag">
    <vt:lpwstr>139;#Submissions|c6e0dbf8-5444-433c-844d-d567dd519a05</vt:lpwstr>
  </property>
</Properties>
</file>