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0A1335" w:rsidP="00CD5E6B">
      <w:pPr>
        <w:pStyle w:val="BodyText"/>
        <w:rPr>
          <w:b/>
          <w:szCs w:val="26"/>
        </w:rPr>
      </w:pPr>
      <w:bookmarkStart w:id="0" w:name="_GoBack"/>
      <w:bookmarkEnd w:id="0"/>
      <w:r>
        <w:rPr>
          <w:noProof/>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9975600"/>
            <wp:effectExtent l="0" t="0" r="3175" b="6985"/>
            <wp:wrapNone/>
            <wp:docPr id="1" name="Picture 1" descr="Cover image for the Productivity Commission draft report titled 'Public Infrastrucutre'. Volume Two. Published March 2014. &#10;This is a draft report prepared for further public consultat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rastructure-vol-2-dr-cov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9975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3E7802" w:rsidRPr="00F4234E" w:rsidRDefault="003E7802" w:rsidP="00F4234E">
      <w:pPr>
        <w:pStyle w:val="BodyText"/>
      </w:pPr>
      <w:bookmarkStart w:id="1" w:name="ISSN"/>
      <w:bookmarkEnd w:id="1"/>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EF4F62" w:rsidRPr="004F6590" w:rsidRDefault="00EF4F62" w:rsidP="00EF4F62">
      <w:pPr>
        <w:pStyle w:val="BodyText"/>
        <w:spacing w:before="160" w:after="120" w:line="240" w:lineRule="auto"/>
        <w:rPr>
          <w:sz w:val="24"/>
          <w:szCs w:val="24"/>
        </w:rPr>
      </w:pPr>
      <w:bookmarkStart w:id="2" w:name="JEL"/>
      <w:bookmarkEnd w:id="2"/>
      <w:r>
        <w:rPr>
          <w:sz w:val="24"/>
          <w:szCs w:val="24"/>
        </w:rPr>
        <w:t xml:space="preserve">Productivity Commission 2014, </w:t>
      </w:r>
      <w:r>
        <w:rPr>
          <w:i/>
          <w:sz w:val="24"/>
          <w:szCs w:val="24"/>
        </w:rPr>
        <w:t>Public Infrastructure</w:t>
      </w:r>
      <w:r>
        <w:rPr>
          <w:sz w:val="24"/>
          <w:szCs w:val="24"/>
        </w:rPr>
        <w:t xml:space="preserve">, Draft </w:t>
      </w:r>
      <w:r w:rsidRPr="00626D62">
        <w:rPr>
          <w:sz w:val="24"/>
          <w:szCs w:val="24"/>
        </w:rPr>
        <w:t xml:space="preserve">Inquiry </w:t>
      </w:r>
      <w:r>
        <w:rPr>
          <w:sz w:val="24"/>
          <w:szCs w:val="24"/>
        </w:rPr>
        <w:t xml:space="preserve">Report, Canberra. </w:t>
      </w:r>
    </w:p>
    <w:p w:rsidR="003E7802" w:rsidRPr="00551FB8" w:rsidRDefault="003E7802" w:rsidP="003E7802">
      <w:pPr>
        <w:pStyle w:val="BodyText"/>
        <w:spacing w:before="160" w:after="120" w:line="240" w:lineRule="auto"/>
        <w:rPr>
          <w:sz w:val="24"/>
          <w:szCs w:val="24"/>
        </w:rPr>
      </w:pP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8F7C50">
          <w:headerReference w:type="even" r:id="rId9"/>
          <w:headerReference w:type="default" r:id="rId10"/>
          <w:headerReference w:type="first" r:id="rId11"/>
          <w:type w:val="oddPage"/>
          <w:pgSz w:w="11907" w:h="16840" w:code="9"/>
          <w:pgMar w:top="1418" w:right="1304" w:bottom="567" w:left="1814" w:header="1701" w:footer="567" w:gutter="0"/>
          <w:pgNumType w:fmt="lowerRoman" w:start="1"/>
          <w:cols w:space="720"/>
          <w:titlePg/>
        </w:sectPr>
      </w:pPr>
      <w:bookmarkStart w:id="3" w:name="cov"/>
      <w:bookmarkEnd w:id="3"/>
    </w:p>
    <w:p w:rsidR="008F2028" w:rsidRDefault="008F2028">
      <w:pPr>
        <w:pStyle w:val="Heading1"/>
      </w:pPr>
      <w:bookmarkStart w:id="4" w:name="_Toc381725741"/>
      <w:r>
        <w:lastRenderedPageBreak/>
        <w:t>Opportunity for further comment</w:t>
      </w:r>
      <w:bookmarkEnd w:id="4"/>
    </w:p>
    <w:p w:rsidR="00EF4F62" w:rsidRDefault="00EF4F62" w:rsidP="00EF4F62">
      <w:pPr>
        <w:pStyle w:val="BodyText"/>
      </w:pPr>
      <w:r>
        <w:t xml:space="preserve">You are invited to examine this draft inquiry report and comment on it by written submission to the Productivity Commission, preferably in electronic format, by Friday </w:t>
      </w:r>
      <w:r w:rsidR="00504EBD">
        <w:t>4 April</w:t>
      </w:r>
      <w:r>
        <w:t xml:space="preserve"> 2014 and/or by attending a public hearing. </w:t>
      </w:r>
    </w:p>
    <w:p w:rsidR="00EF4F62" w:rsidRDefault="00EF4F62" w:rsidP="00EF4F62">
      <w:pPr>
        <w:pStyle w:val="BodyText"/>
      </w:pPr>
      <w:r>
        <w:t xml:space="preserve">The final report will be prepared after submissions have been received and will be forwarded to the Australian Government in May 2014. </w:t>
      </w:r>
    </w:p>
    <w:p w:rsidR="00EF4F62" w:rsidRDefault="00EF4F62" w:rsidP="00EF4F62">
      <w:pPr>
        <w:pStyle w:val="BodyText"/>
      </w:pPr>
      <w:r>
        <w:t xml:space="preserve">Further information on how to provide a written submission or register your attendance at the public hearings (as a participant or an observer) is available on the inquiry website: </w:t>
      </w:r>
      <w:r w:rsidRPr="0059787E">
        <w:t>www.pc.gov.au/projects/inquiry/infrastructure</w:t>
      </w:r>
      <w:r>
        <w:t>.</w:t>
      </w:r>
    </w:p>
    <w:p w:rsidR="00EF4F62" w:rsidRPr="007151C7" w:rsidRDefault="00EF4F62" w:rsidP="00EF4F62">
      <w:pPr>
        <w:pStyle w:val="BodyText"/>
        <w:spacing w:before="560"/>
        <w:rPr>
          <w:rFonts w:ascii="Arial" w:hAnsi="Arial" w:cs="Arial"/>
          <w:b/>
        </w:rPr>
      </w:pPr>
      <w:r w:rsidRPr="00B146AA">
        <w:rPr>
          <w:rFonts w:ascii="Arial" w:hAnsi="Arial" w:cs="Arial"/>
          <w:b/>
        </w:rPr>
        <w:t>Public hearing date</w:t>
      </w:r>
      <w:r>
        <w:rPr>
          <w:rFonts w:ascii="Arial" w:hAnsi="Arial" w:cs="Arial"/>
          <w:b/>
        </w:rPr>
        <w:t>s</w:t>
      </w:r>
      <w:r w:rsidRPr="00B146AA">
        <w:rPr>
          <w:rFonts w:ascii="Arial" w:hAnsi="Arial" w:cs="Arial"/>
          <w:b/>
        </w:rPr>
        <w:t xml:space="preserve"> and venues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93"/>
        <w:gridCol w:w="3794"/>
        <w:gridCol w:w="3351"/>
      </w:tblGrid>
      <w:tr w:rsidR="00EF4F62" w:rsidTr="00D76B08">
        <w:tc>
          <w:tcPr>
            <w:tcW w:w="1593" w:type="dxa"/>
            <w:tcBorders>
              <w:bottom w:val="single" w:sz="4" w:space="0" w:color="auto"/>
            </w:tcBorders>
          </w:tcPr>
          <w:p w:rsidR="00EF4F62" w:rsidRPr="00B146AA" w:rsidRDefault="00EF4F62" w:rsidP="00D76B08">
            <w:pPr>
              <w:pStyle w:val="TableColumnHeading"/>
              <w:ind w:left="-113"/>
              <w:jc w:val="left"/>
            </w:pPr>
            <w:r w:rsidRPr="00B146AA">
              <w:t>Location</w:t>
            </w:r>
          </w:p>
        </w:tc>
        <w:tc>
          <w:tcPr>
            <w:tcW w:w="3794" w:type="dxa"/>
            <w:tcBorders>
              <w:bottom w:val="single" w:sz="4" w:space="0" w:color="auto"/>
            </w:tcBorders>
          </w:tcPr>
          <w:p w:rsidR="00EF4F62" w:rsidRPr="00B146AA" w:rsidRDefault="00EF4F62" w:rsidP="00D76B08">
            <w:pPr>
              <w:pStyle w:val="TableColumnHeading"/>
              <w:jc w:val="left"/>
            </w:pPr>
            <w:r w:rsidRPr="00B146AA">
              <w:t>Date</w:t>
            </w:r>
          </w:p>
        </w:tc>
        <w:tc>
          <w:tcPr>
            <w:tcW w:w="3351" w:type="dxa"/>
            <w:tcBorders>
              <w:bottom w:val="single" w:sz="4" w:space="0" w:color="auto"/>
            </w:tcBorders>
          </w:tcPr>
          <w:p w:rsidR="00EF4F62" w:rsidRPr="00B146AA" w:rsidRDefault="00EF4F62" w:rsidP="00D76B08">
            <w:pPr>
              <w:pStyle w:val="TableColumnHeading"/>
              <w:jc w:val="left"/>
            </w:pPr>
            <w:r w:rsidRPr="00B146AA">
              <w:t>Venue</w:t>
            </w:r>
          </w:p>
        </w:tc>
      </w:tr>
      <w:tr w:rsidR="00EF4F62" w:rsidTr="00D76B08">
        <w:tc>
          <w:tcPr>
            <w:tcW w:w="1593" w:type="dxa"/>
          </w:tcPr>
          <w:p w:rsidR="00EF4F62" w:rsidRPr="006B2EE8" w:rsidRDefault="00EF4F62" w:rsidP="00D76B08">
            <w:pPr>
              <w:pStyle w:val="TableBodyText"/>
              <w:spacing w:before="80"/>
              <w:ind w:left="-113"/>
              <w:jc w:val="left"/>
            </w:pPr>
            <w:r w:rsidRPr="006B2EE8">
              <w:t>Melbourne</w:t>
            </w:r>
          </w:p>
        </w:tc>
        <w:tc>
          <w:tcPr>
            <w:tcW w:w="3794" w:type="dxa"/>
          </w:tcPr>
          <w:p w:rsidR="00EF4F62" w:rsidRPr="006B2EE8" w:rsidRDefault="00EF4F62" w:rsidP="00D76B08">
            <w:pPr>
              <w:pStyle w:val="TableBodyText"/>
              <w:spacing w:before="80"/>
              <w:jc w:val="left"/>
            </w:pPr>
            <w:r w:rsidRPr="006B2EE8">
              <w:t>Wednesday</w:t>
            </w:r>
            <w:r w:rsidRPr="006B2EE8">
              <w:br/>
              <w:t>9 April 2014</w:t>
            </w:r>
          </w:p>
        </w:tc>
        <w:tc>
          <w:tcPr>
            <w:tcW w:w="3351" w:type="dxa"/>
          </w:tcPr>
          <w:p w:rsidR="00EF4F62" w:rsidRPr="006B2EE8" w:rsidRDefault="00EF4F62" w:rsidP="00D76B08">
            <w:pPr>
              <w:pStyle w:val="TableBodyText"/>
              <w:spacing w:before="80"/>
              <w:jc w:val="left"/>
            </w:pPr>
            <w:r w:rsidRPr="006B2EE8">
              <w:t xml:space="preserve">Productivity Commission </w:t>
            </w:r>
            <w:r w:rsidRPr="006B2EE8">
              <w:br/>
              <w:t>Rattigan Room</w:t>
            </w:r>
            <w:r w:rsidRPr="006B2EE8">
              <w:br/>
              <w:t>Level 12, 530 Collins Street</w:t>
            </w:r>
          </w:p>
        </w:tc>
      </w:tr>
      <w:tr w:rsidR="00EF4F62" w:rsidTr="00D76B08">
        <w:tc>
          <w:tcPr>
            <w:tcW w:w="1593" w:type="dxa"/>
          </w:tcPr>
          <w:p w:rsidR="00EF4F62" w:rsidRPr="006B2EE8" w:rsidRDefault="00EF4F62" w:rsidP="00D76B08">
            <w:pPr>
              <w:pStyle w:val="TableBodyText"/>
              <w:spacing w:before="40"/>
              <w:ind w:left="-113"/>
              <w:jc w:val="left"/>
            </w:pPr>
            <w:r w:rsidRPr="006B2EE8">
              <w:t>Brisbane</w:t>
            </w:r>
          </w:p>
        </w:tc>
        <w:tc>
          <w:tcPr>
            <w:tcW w:w="3794" w:type="dxa"/>
          </w:tcPr>
          <w:p w:rsidR="00EF4F62" w:rsidRPr="006B2EE8" w:rsidRDefault="00EF4F62" w:rsidP="00D76B08">
            <w:pPr>
              <w:pStyle w:val="TableBodyText"/>
              <w:spacing w:before="40"/>
              <w:jc w:val="left"/>
            </w:pPr>
            <w:r w:rsidRPr="006B2EE8">
              <w:t>Friday</w:t>
            </w:r>
            <w:r w:rsidRPr="006B2EE8">
              <w:br/>
              <w:t>11 April 2014</w:t>
            </w:r>
          </w:p>
        </w:tc>
        <w:tc>
          <w:tcPr>
            <w:tcW w:w="3351" w:type="dxa"/>
          </w:tcPr>
          <w:p w:rsidR="00EF4F62" w:rsidRPr="006B2EE8" w:rsidRDefault="00EF4F62" w:rsidP="00D76B08">
            <w:pPr>
              <w:pStyle w:val="TableBodyText"/>
              <w:spacing w:before="40"/>
              <w:jc w:val="left"/>
            </w:pPr>
            <w:proofErr w:type="spellStart"/>
            <w:r w:rsidRPr="006B2EE8">
              <w:t>Mercure</w:t>
            </w:r>
            <w:proofErr w:type="spellEnd"/>
            <w:r w:rsidRPr="006B2EE8">
              <w:t xml:space="preserve"> Hotel Brisbane</w:t>
            </w:r>
            <w:r w:rsidRPr="006B2EE8">
              <w:br/>
              <w:t>Burke Room</w:t>
            </w:r>
            <w:r w:rsidRPr="006B2EE8">
              <w:br/>
              <w:t xml:space="preserve">85-87 North Quay </w:t>
            </w:r>
          </w:p>
        </w:tc>
      </w:tr>
      <w:tr w:rsidR="00EF4F62" w:rsidTr="00D76B08">
        <w:tc>
          <w:tcPr>
            <w:tcW w:w="1593" w:type="dxa"/>
            <w:tcBorders>
              <w:bottom w:val="single" w:sz="4" w:space="0" w:color="auto"/>
            </w:tcBorders>
          </w:tcPr>
          <w:p w:rsidR="00EF4F62" w:rsidRPr="006B2EE8" w:rsidRDefault="00EF4F62" w:rsidP="00D76B08">
            <w:pPr>
              <w:pStyle w:val="TableBodyText"/>
              <w:spacing w:before="40"/>
              <w:ind w:left="-113"/>
              <w:jc w:val="left"/>
            </w:pPr>
            <w:r w:rsidRPr="006B2EE8">
              <w:t>Sydney</w:t>
            </w:r>
          </w:p>
        </w:tc>
        <w:tc>
          <w:tcPr>
            <w:tcW w:w="3794" w:type="dxa"/>
            <w:tcBorders>
              <w:bottom w:val="single" w:sz="4" w:space="0" w:color="auto"/>
            </w:tcBorders>
          </w:tcPr>
          <w:p w:rsidR="00EF4F62" w:rsidRPr="006B2EE8" w:rsidRDefault="00EF4F62" w:rsidP="00D76B08">
            <w:pPr>
              <w:pStyle w:val="TableBodyText"/>
              <w:spacing w:before="40"/>
              <w:jc w:val="left"/>
            </w:pPr>
            <w:r w:rsidRPr="006B2EE8">
              <w:t>Monday</w:t>
            </w:r>
            <w:r w:rsidRPr="006B2EE8">
              <w:br/>
              <w:t>14 April 2014</w:t>
            </w:r>
          </w:p>
        </w:tc>
        <w:tc>
          <w:tcPr>
            <w:tcW w:w="3351" w:type="dxa"/>
            <w:tcBorders>
              <w:bottom w:val="single" w:sz="4" w:space="0" w:color="auto"/>
            </w:tcBorders>
          </w:tcPr>
          <w:p w:rsidR="00EF4F62" w:rsidRPr="006B2EE8" w:rsidRDefault="00A849D0" w:rsidP="00D76B08">
            <w:pPr>
              <w:pStyle w:val="TableBodyText"/>
              <w:spacing w:before="40"/>
              <w:jc w:val="left"/>
            </w:pPr>
            <w:r>
              <w:t>The Grace Hotel</w:t>
            </w:r>
            <w:r>
              <w:br/>
            </w:r>
            <w:proofErr w:type="spellStart"/>
            <w:r>
              <w:t>Pinaroo</w:t>
            </w:r>
            <w:proofErr w:type="spellEnd"/>
            <w:r>
              <w:t xml:space="preserve"> 5 Room</w:t>
            </w:r>
            <w:r>
              <w:br/>
            </w:r>
            <w:r w:rsidR="00EF4F62" w:rsidRPr="006B2EE8">
              <w:t xml:space="preserve">77 York Street </w:t>
            </w:r>
          </w:p>
        </w:tc>
      </w:tr>
    </w:tbl>
    <w:p w:rsidR="00EF4F62" w:rsidRDefault="00EF4F62" w:rsidP="00EF4F62">
      <w:pPr>
        <w:pStyle w:val="BodyText"/>
        <w:spacing w:before="560"/>
        <w:rPr>
          <w:b/>
        </w:rPr>
      </w:pPr>
    </w:p>
    <w:p w:rsidR="00EF4F62" w:rsidRDefault="00EF4F62" w:rsidP="00EF4F62">
      <w:pPr>
        <w:pStyle w:val="BodyText"/>
        <w:spacing w:before="560"/>
        <w:rPr>
          <w:b/>
        </w:rPr>
      </w:pPr>
    </w:p>
    <w:p w:rsidR="00EF4F62" w:rsidRDefault="00EF4F62" w:rsidP="00EF4F62">
      <w:pPr>
        <w:rPr>
          <w:b/>
        </w:rPr>
      </w:pPr>
      <w:r>
        <w:rPr>
          <w:b/>
        </w:rPr>
        <w:br w:type="page"/>
      </w:r>
    </w:p>
    <w:p w:rsidR="00EF4F62" w:rsidRPr="007151C7" w:rsidRDefault="00EF4F62" w:rsidP="00EF4F62">
      <w:pPr>
        <w:pStyle w:val="BodyText"/>
        <w:spacing w:before="560"/>
        <w:rPr>
          <w:b/>
        </w:rPr>
      </w:pPr>
      <w:r w:rsidRPr="007151C7">
        <w:rPr>
          <w:b/>
        </w:rPr>
        <w:lastRenderedPageBreak/>
        <w:t>Commissioners</w:t>
      </w:r>
    </w:p>
    <w:p w:rsidR="00EF4F62" w:rsidRPr="007151C7" w:rsidRDefault="00EF4F62" w:rsidP="00EF4F62">
      <w:pPr>
        <w:pStyle w:val="BodyText"/>
      </w:pPr>
      <w:r w:rsidRPr="007151C7">
        <w:t xml:space="preserve">For the purposes of this inquiry and draft report, in accordance with section 40 of the </w:t>
      </w:r>
      <w:r w:rsidRPr="00297BB6">
        <w:rPr>
          <w:i/>
        </w:rPr>
        <w:t>Productivity Commission Act 1998</w:t>
      </w:r>
      <w:r w:rsidRPr="007151C7">
        <w:t xml:space="preserve"> the powers of the Productivity Commission have been exercised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727"/>
        <w:gridCol w:w="3119"/>
      </w:tblGrid>
      <w:tr w:rsidR="00EF4F62" w:rsidTr="00D76B08">
        <w:tc>
          <w:tcPr>
            <w:tcW w:w="5727" w:type="dxa"/>
          </w:tcPr>
          <w:p w:rsidR="00EF4F62" w:rsidRDefault="00EF4F62" w:rsidP="00D76B08">
            <w:pPr>
              <w:pStyle w:val="BodyText"/>
              <w:spacing w:before="120"/>
            </w:pPr>
            <w:r>
              <w:t>Peter Harris AO</w:t>
            </w:r>
          </w:p>
        </w:tc>
        <w:tc>
          <w:tcPr>
            <w:tcW w:w="3119" w:type="dxa"/>
          </w:tcPr>
          <w:p w:rsidR="00EF4F62" w:rsidRDefault="00EF4F62" w:rsidP="00D76B08">
            <w:pPr>
              <w:pStyle w:val="BodyText"/>
              <w:spacing w:before="120"/>
            </w:pPr>
            <w:r>
              <w:t>Presiding Commissioner</w:t>
            </w:r>
          </w:p>
        </w:tc>
      </w:tr>
      <w:tr w:rsidR="00EF4F62" w:rsidTr="00D76B08">
        <w:tc>
          <w:tcPr>
            <w:tcW w:w="5727" w:type="dxa"/>
          </w:tcPr>
          <w:p w:rsidR="00EF4F62" w:rsidRDefault="00EF4F62" w:rsidP="00D76B08">
            <w:pPr>
              <w:pStyle w:val="BodyText"/>
              <w:spacing w:before="120"/>
            </w:pPr>
            <w:r>
              <w:t xml:space="preserve">Dr Warren Mundy </w:t>
            </w:r>
          </w:p>
        </w:tc>
        <w:tc>
          <w:tcPr>
            <w:tcW w:w="3119" w:type="dxa"/>
          </w:tcPr>
          <w:p w:rsidR="00EF4F62" w:rsidRDefault="00EF4F62" w:rsidP="00D76B08">
            <w:pPr>
              <w:pStyle w:val="BodyText"/>
              <w:spacing w:before="120"/>
            </w:pPr>
            <w:r>
              <w:t>Commissioner</w:t>
            </w:r>
          </w:p>
        </w:tc>
      </w:tr>
      <w:tr w:rsidR="00EF4F62" w:rsidTr="00D76B08">
        <w:tc>
          <w:tcPr>
            <w:tcW w:w="5727" w:type="dxa"/>
          </w:tcPr>
          <w:p w:rsidR="00EF4F62" w:rsidRDefault="00EF4F62" w:rsidP="00D76B08">
            <w:pPr>
              <w:pStyle w:val="BodyText"/>
              <w:spacing w:before="120"/>
            </w:pPr>
            <w:r>
              <w:t>Paul Lindwall</w:t>
            </w:r>
          </w:p>
        </w:tc>
        <w:tc>
          <w:tcPr>
            <w:tcW w:w="3119" w:type="dxa"/>
          </w:tcPr>
          <w:p w:rsidR="00EF4F62" w:rsidRDefault="00EF4F62" w:rsidP="00D76B08">
            <w:pPr>
              <w:pStyle w:val="BodyText"/>
              <w:spacing w:before="120"/>
            </w:pPr>
            <w:r>
              <w:t>Associate Commissioner</w:t>
            </w:r>
          </w:p>
        </w:tc>
      </w:tr>
    </w:tbl>
    <w:p w:rsidR="008F2028" w:rsidRDefault="008F2028" w:rsidP="00537BB4">
      <w:pPr>
        <w:pStyle w:val="Heading1"/>
        <w:sectPr w:rsidR="008F2028" w:rsidSect="006817C9">
          <w:headerReference w:type="even" r:id="rId12"/>
          <w:headerReference w:type="default" r:id="rId13"/>
          <w:footerReference w:type="even" r:id="rId14"/>
          <w:footerReference w:type="default" r:id="rId15"/>
          <w:headerReference w:type="first" r:id="rId16"/>
          <w:type w:val="oddPage"/>
          <w:pgSz w:w="11907" w:h="16840" w:code="9"/>
          <w:pgMar w:top="1985" w:right="1304" w:bottom="1418" w:left="1814" w:header="1701" w:footer="567" w:gutter="0"/>
          <w:pgNumType w:fmt="lowerRoman" w:start="3"/>
          <w:cols w:space="720"/>
        </w:sectPr>
      </w:pPr>
    </w:p>
    <w:p w:rsidR="008F2028" w:rsidRDefault="00735FEA" w:rsidP="008206EE">
      <w:pPr>
        <w:pStyle w:val="Heading1NotTOC"/>
        <w:rPr>
          <w:noProof/>
        </w:rPr>
      </w:pPr>
      <w:bookmarkStart w:id="5" w:name="Contents"/>
      <w:bookmarkEnd w:id="5"/>
      <w:r w:rsidRPr="00B153C3">
        <w:lastRenderedPageBreak/>
        <w:t>Contents</w:t>
      </w:r>
      <w:bookmarkStart w:id="6" w:name="InsertContents"/>
      <w:bookmarkEnd w:id="6"/>
    </w:p>
    <w:p w:rsidR="000718B0" w:rsidRDefault="000718B0" w:rsidP="000718B0">
      <w:pPr>
        <w:pStyle w:val="BodyText"/>
      </w:pPr>
      <w:r>
        <w:t xml:space="preserve">The Commission’s report is in two volumes. </w:t>
      </w:r>
      <w:r>
        <w:rPr>
          <w:b/>
        </w:rPr>
        <w:t>This vo</w:t>
      </w:r>
      <w:r w:rsidR="005E7B7C">
        <w:rPr>
          <w:b/>
        </w:rPr>
        <w:t>lume 2 contains chapters 8 to 14</w:t>
      </w:r>
      <w:r>
        <w:rPr>
          <w:b/>
        </w:rPr>
        <w:t xml:space="preserve"> and appendixes A to D. </w:t>
      </w:r>
      <w:r w:rsidRPr="000718B0">
        <w:t xml:space="preserve">Volume 1 contains the Overview, draft recommendations and findings and chapters 1 to 7. </w:t>
      </w:r>
      <w:r>
        <w:t xml:space="preserve">Below is the table of contents for both volumes. </w:t>
      </w:r>
    </w:p>
    <w:p w:rsidR="007B3508" w:rsidRPr="00A633F0" w:rsidRDefault="007B3508" w:rsidP="007A0861">
      <w:pPr>
        <w:pStyle w:val="TOC1"/>
        <w:pBdr>
          <w:top w:val="single" w:sz="4" w:space="1" w:color="auto"/>
          <w:left w:val="single" w:sz="4" w:space="4" w:color="auto"/>
          <w:bottom w:val="single" w:sz="4" w:space="1" w:color="auto"/>
          <w:right w:val="single" w:sz="4" w:space="31" w:color="auto"/>
        </w:pBdr>
        <w:shd w:val="clear" w:color="auto" w:fill="000000"/>
        <w:spacing w:before="240"/>
        <w:jc w:val="center"/>
        <w:rPr>
          <w:color w:val="FFFFFF"/>
        </w:rPr>
      </w:pPr>
      <w:r>
        <w:rPr>
          <w:color w:val="FFFFFF"/>
        </w:rPr>
        <w:t>Volume 1</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xv</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33</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45</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46</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Australia’s public infrastructure and its importance</w:t>
      </w:r>
      <w:r>
        <w:rPr>
          <w:noProof/>
        </w:rPr>
        <w:tab/>
        <w:t>49</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role of government in infrastructure provision</w:t>
      </w:r>
      <w:r>
        <w:rPr>
          <w:noProof/>
        </w:rPr>
        <w:tab/>
        <w:t>53</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increasing role of the private sector</w:t>
      </w:r>
      <w:r>
        <w:rPr>
          <w:noProof/>
        </w:rPr>
        <w:tab/>
        <w:t>55</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The Commission’s approach</w:t>
      </w:r>
      <w:r>
        <w:rPr>
          <w:noProof/>
        </w:rPr>
        <w:tab/>
        <w:t>62</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Conduct of the inquiry</w:t>
      </w:r>
      <w:r>
        <w:rPr>
          <w:noProof/>
        </w:rPr>
        <w:tab/>
        <w:t>65</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1.7</w:t>
      </w:r>
      <w:r>
        <w:rPr>
          <w:rFonts w:asciiTheme="minorHAnsi" w:eastAsiaTheme="minorEastAsia" w:hAnsiTheme="minorHAnsi" w:cstheme="minorBidi"/>
          <w:noProof/>
          <w:sz w:val="22"/>
          <w:szCs w:val="22"/>
          <w:lang w:eastAsia="en-AU"/>
        </w:rPr>
        <w:tab/>
      </w:r>
      <w:r>
        <w:rPr>
          <w:noProof/>
        </w:rPr>
        <w:t>Guide to the draft report</w:t>
      </w:r>
      <w:r>
        <w:rPr>
          <w:noProof/>
        </w:rPr>
        <w:tab/>
        <w:t>66</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Efficient provision</w:t>
      </w:r>
      <w:r>
        <w:rPr>
          <w:noProof/>
        </w:rPr>
        <w:tab/>
        <w:t>69</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importance of project selection</w:t>
      </w:r>
      <w:r>
        <w:rPr>
          <w:noProof/>
        </w:rPr>
        <w:tab/>
        <w:t>70</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role of cost–benefit analysis</w:t>
      </w:r>
      <w:r>
        <w:rPr>
          <w:noProof/>
        </w:rPr>
        <w:tab/>
        <w:t>72</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Alternative institutional and governance arrangements</w:t>
      </w:r>
      <w:r>
        <w:rPr>
          <w:noProof/>
        </w:rPr>
        <w:tab/>
        <w:t>80</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Reforming institutional arrangements</w:t>
      </w:r>
      <w:r>
        <w:rPr>
          <w:noProof/>
        </w:rPr>
        <w:tab/>
        <w:t>87</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Achieving benefits from private sector involvement</w:t>
      </w:r>
      <w:r>
        <w:rPr>
          <w:noProof/>
        </w:rPr>
        <w:tab/>
        <w:t>89</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various models of public infrastructure provision</w:t>
      </w:r>
      <w:r>
        <w:rPr>
          <w:noProof/>
        </w:rPr>
        <w:tab/>
        <w:t>91</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lastRenderedPageBreak/>
        <w:t>3.2</w:t>
      </w:r>
      <w:r>
        <w:rPr>
          <w:rFonts w:asciiTheme="minorHAnsi" w:eastAsiaTheme="minorEastAsia" w:hAnsiTheme="minorHAnsi" w:cstheme="minorBidi"/>
          <w:noProof/>
          <w:sz w:val="22"/>
          <w:szCs w:val="22"/>
          <w:lang w:eastAsia="en-AU"/>
        </w:rPr>
        <w:tab/>
      </w:r>
      <w:r>
        <w:rPr>
          <w:noProof/>
        </w:rPr>
        <w:t>The potential benefits and challenges of private sector involvement in infrastructure delivery</w:t>
      </w:r>
      <w:r>
        <w:rPr>
          <w:noProof/>
        </w:rPr>
        <w:tab/>
        <w:t>93</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Selecting a delivery model</w:t>
      </w:r>
      <w:r>
        <w:rPr>
          <w:noProof/>
        </w:rPr>
        <w:tab/>
        <w:t>101</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Principles for efficient risk allocation</w:t>
      </w:r>
      <w:r>
        <w:rPr>
          <w:noProof/>
        </w:rPr>
        <w:tab/>
        <w:t>104</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Risk allocation in practice</w:t>
      </w:r>
      <w:r>
        <w:rPr>
          <w:noProof/>
        </w:rPr>
        <w:tab/>
        <w:t>113</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Assessing value for money under different delivery models</w:t>
      </w:r>
      <w:r>
        <w:rPr>
          <w:noProof/>
        </w:rPr>
        <w:tab/>
        <w:t>117</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3.7</w:t>
      </w:r>
      <w:r>
        <w:rPr>
          <w:rFonts w:asciiTheme="minorHAnsi" w:eastAsiaTheme="minorEastAsia" w:hAnsiTheme="minorHAnsi" w:cstheme="minorBidi"/>
          <w:noProof/>
          <w:sz w:val="22"/>
          <w:szCs w:val="22"/>
          <w:lang w:eastAsia="en-AU"/>
        </w:rPr>
        <w:tab/>
      </w:r>
      <w:r>
        <w:rPr>
          <w:noProof/>
        </w:rPr>
        <w:t>The importance of government institutions and governance</w:t>
      </w:r>
      <w:r>
        <w:rPr>
          <w:noProof/>
        </w:rPr>
        <w:tab/>
        <w:t>120</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Funding mechanisms</w:t>
      </w:r>
      <w:r>
        <w:rPr>
          <w:noProof/>
        </w:rPr>
        <w:tab/>
        <w:t>121</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User charges</w:t>
      </w:r>
      <w:r>
        <w:rPr>
          <w:noProof/>
        </w:rPr>
        <w:tab/>
        <w:t>122</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Value capture</w:t>
      </w:r>
      <w:r>
        <w:rPr>
          <w:noProof/>
        </w:rPr>
        <w:tab/>
        <w:t>142</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Developer contributions</w:t>
      </w:r>
      <w:r>
        <w:rPr>
          <w:noProof/>
        </w:rPr>
        <w:tab/>
        <w:t>147</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Government funding</w:t>
      </w:r>
      <w:r>
        <w:rPr>
          <w:noProof/>
        </w:rPr>
        <w:tab/>
        <w:t>150</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Raising finance</w:t>
      </w:r>
      <w:r>
        <w:rPr>
          <w:noProof/>
        </w:rPr>
        <w:tab/>
        <w:t>155</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The role of the private sector has grown</w:t>
      </w:r>
      <w:r>
        <w:rPr>
          <w:noProof/>
        </w:rPr>
        <w:tab/>
        <w:t>156</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Sources of public sector finance</w:t>
      </w:r>
      <w:r>
        <w:rPr>
          <w:noProof/>
        </w:rPr>
        <w:tab/>
        <w:t>158</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Sources of private sector finance</w:t>
      </w:r>
      <w:r>
        <w:rPr>
          <w:noProof/>
        </w:rPr>
        <w:tab/>
        <w:t>160</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Financing mechanisms</w:t>
      </w:r>
      <w:r>
        <w:rPr>
          <w:noProof/>
        </w:rPr>
        <w:tab/>
        <w:t>173</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Assessment framework</w:t>
      </w:r>
      <w:r>
        <w:rPr>
          <w:noProof/>
        </w:rPr>
        <w:tab/>
        <w:t>174</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Assessment of alternative financing mechanisms</w:t>
      </w:r>
      <w:r>
        <w:rPr>
          <w:noProof/>
        </w:rPr>
        <w:tab/>
        <w:t>184</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Improving governance and institutional arrangements</w:t>
      </w:r>
      <w:r>
        <w:rPr>
          <w:noProof/>
        </w:rPr>
        <w:tab/>
        <w:t>217</w:t>
      </w:r>
    </w:p>
    <w:p w:rsidR="007A0861" w:rsidRDefault="007A0861" w:rsidP="007A0861">
      <w:pPr>
        <w:pStyle w:val="TOC2"/>
        <w:tabs>
          <w:tab w:val="left" w:pos="1190"/>
        </w:tabs>
        <w:rPr>
          <w:noProof/>
        </w:rPr>
      </w:pPr>
      <w:r>
        <w:rPr>
          <w:noProof/>
        </w:rPr>
        <w:t>7.1</w:t>
      </w:r>
      <w:r>
        <w:rPr>
          <w:noProof/>
        </w:rPr>
        <w:tab/>
        <w:t>The case for governance and institutional reform</w:t>
      </w:r>
      <w:r>
        <w:rPr>
          <w:noProof/>
        </w:rPr>
        <w:tab/>
        <w:t>218</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Principles for good governance</w:t>
      </w:r>
      <w:r>
        <w:rPr>
          <w:noProof/>
        </w:rPr>
        <w:tab/>
        <w:t>221</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Current institutional arrangements for infrastructure provision</w:t>
      </w:r>
      <w:r>
        <w:rPr>
          <w:noProof/>
        </w:rPr>
        <w:tab/>
        <w:t>22</w:t>
      </w:r>
      <w:r w:rsidR="004A2113">
        <w:rPr>
          <w:noProof/>
        </w:rPr>
        <w:t>4</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Options for improving governance and institutional arrangements in the roads sector</w:t>
      </w:r>
      <w:r>
        <w:rPr>
          <w:noProof/>
        </w:rPr>
        <w:tab/>
        <w:t>23</w:t>
      </w:r>
      <w:r w:rsidR="004A2113">
        <w:rPr>
          <w:noProof/>
        </w:rPr>
        <w:t>5</w:t>
      </w:r>
    </w:p>
    <w:p w:rsidR="000148A2" w:rsidRDefault="000148A2" w:rsidP="000148A2">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The influence of the Australian Government</w:t>
      </w:r>
      <w:r>
        <w:rPr>
          <w:noProof/>
        </w:rPr>
        <w:tab/>
        <w:t>25</w:t>
      </w:r>
      <w:r w:rsidR="004A2113">
        <w:rPr>
          <w:noProof/>
        </w:rPr>
        <w:t>4</w:t>
      </w:r>
    </w:p>
    <w:p w:rsidR="000148A2" w:rsidRDefault="000148A2" w:rsidP="000148A2">
      <w:pPr>
        <w:pStyle w:val="TOC1"/>
        <w:rPr>
          <w:rFonts w:asciiTheme="minorHAnsi" w:eastAsiaTheme="minorEastAsia" w:hAnsiTheme="minorHAnsi" w:cstheme="minorBidi"/>
          <w:b w:val="0"/>
          <w:noProof/>
          <w:sz w:val="22"/>
          <w:szCs w:val="22"/>
          <w:lang w:eastAsia="en-AU"/>
        </w:rPr>
      </w:pPr>
      <w:r>
        <w:rPr>
          <w:noProof/>
        </w:rPr>
        <w:t>References</w:t>
      </w:r>
      <w:r>
        <w:rPr>
          <w:noProof/>
        </w:rPr>
        <w:tab/>
        <w:t>265</w:t>
      </w:r>
    </w:p>
    <w:p w:rsidR="007A0861" w:rsidRDefault="007A0861" w:rsidP="000718B0">
      <w:pPr>
        <w:pStyle w:val="BodyText"/>
      </w:pPr>
      <w:r>
        <w:br w:type="page"/>
      </w:r>
    </w:p>
    <w:p w:rsidR="000718B0" w:rsidRPr="00A633F0" w:rsidRDefault="000718B0" w:rsidP="00284BDB">
      <w:pPr>
        <w:pStyle w:val="TOC1"/>
        <w:pBdr>
          <w:top w:val="single" w:sz="4" w:space="1" w:color="auto"/>
          <w:left w:val="single" w:sz="4" w:space="1" w:color="auto"/>
          <w:bottom w:val="single" w:sz="4" w:space="1" w:color="auto"/>
          <w:right w:val="single" w:sz="4" w:space="31" w:color="auto"/>
        </w:pBdr>
        <w:shd w:val="clear" w:color="auto" w:fill="000000"/>
        <w:jc w:val="center"/>
        <w:rPr>
          <w:color w:val="FFFFFF"/>
        </w:rPr>
      </w:pPr>
      <w:r>
        <w:rPr>
          <w:color w:val="FFFFFF"/>
        </w:rPr>
        <w:lastRenderedPageBreak/>
        <w:t>Volume 2</w:t>
      </w:r>
    </w:p>
    <w:p w:rsidR="008F2028" w:rsidRDefault="008F2028">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Cost drivers, trends and benchmarks</w:t>
      </w:r>
      <w:r>
        <w:rPr>
          <w:noProof/>
        </w:rPr>
        <w:tab/>
        <w:t>277</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What has been happening to aggregate construction costs?</w:t>
      </w:r>
      <w:r>
        <w:rPr>
          <w:noProof/>
        </w:rPr>
        <w:tab/>
        <w:t>280</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Input cost drivers and trends</w:t>
      </w:r>
      <w:r>
        <w:rPr>
          <w:noProof/>
        </w:rPr>
        <w:tab/>
        <w:t>282</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Interim summing up</w:t>
      </w:r>
      <w:r>
        <w:rPr>
          <w:noProof/>
        </w:rPr>
        <w:tab/>
        <w:t>292</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Benchmarking</w:t>
      </w:r>
      <w:r>
        <w:rPr>
          <w:noProof/>
        </w:rPr>
        <w:tab/>
        <w:t>293</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International comparisons of cost</w:t>
      </w:r>
      <w:r>
        <w:rPr>
          <w:noProof/>
        </w:rPr>
        <w:tab/>
        <w:t>303</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Concluding comments</w:t>
      </w:r>
      <w:r>
        <w:rPr>
          <w:noProof/>
        </w:rPr>
        <w:tab/>
        <w:t>305</w:t>
      </w:r>
    </w:p>
    <w:p w:rsidR="008F2028" w:rsidRDefault="008F2028">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Productivity issues</w:t>
      </w:r>
      <w:r>
        <w:rPr>
          <w:noProof/>
        </w:rPr>
        <w:tab/>
        <w:t>307</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Recent Australian performance</w:t>
      </w:r>
      <w:r>
        <w:rPr>
          <w:noProof/>
        </w:rPr>
        <w:tab/>
        <w:t>308</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Main productivity challenges</w:t>
      </w:r>
      <w:r>
        <w:rPr>
          <w:noProof/>
        </w:rPr>
        <w:tab/>
        <w:t>325</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Concluding comments</w:t>
      </w:r>
      <w:r>
        <w:rPr>
          <w:noProof/>
        </w:rPr>
        <w:tab/>
        <w:t>334</w:t>
      </w:r>
    </w:p>
    <w:p w:rsidR="008F2028" w:rsidRDefault="008F2028">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Competition and the structure of the infrastructure construction market</w:t>
      </w:r>
      <w:r>
        <w:rPr>
          <w:noProof/>
        </w:rPr>
        <w:tab/>
        <w:t>335</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Concentration in the infrastructure  construction market</w:t>
      </w:r>
      <w:r>
        <w:rPr>
          <w:noProof/>
        </w:rPr>
        <w:tab/>
        <w:t>337</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Barriers to entry</w:t>
      </w:r>
      <w:r>
        <w:rPr>
          <w:noProof/>
        </w:rPr>
        <w:tab/>
        <w:t>342</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Segmentation in the infrastructure  construction market</w:t>
      </w:r>
      <w:r>
        <w:rPr>
          <w:noProof/>
        </w:rPr>
        <w:tab/>
        <w:t>346</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Countervailing power of government</w:t>
      </w:r>
      <w:r>
        <w:rPr>
          <w:noProof/>
        </w:rPr>
        <w:tab/>
        <w:t>348</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Competition issues in input markets</w:t>
      </w:r>
      <w:r>
        <w:rPr>
          <w:noProof/>
        </w:rPr>
        <w:tab/>
        <w:t>349</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Pr>
          <w:noProof/>
        </w:rPr>
        <w:t>Concluding comments</w:t>
      </w:r>
      <w:r>
        <w:rPr>
          <w:noProof/>
        </w:rPr>
        <w:tab/>
        <w:t>352</w:t>
      </w:r>
    </w:p>
    <w:p w:rsidR="008F2028" w:rsidRDefault="008F2028">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Tendering and contracting</w:t>
      </w:r>
      <w:r>
        <w:rPr>
          <w:noProof/>
        </w:rPr>
        <w:tab/>
        <w:t>355</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Tendering and contracting arrangements used for major infrastructure projects</w:t>
      </w:r>
      <w:r>
        <w:rPr>
          <w:noProof/>
        </w:rPr>
        <w:tab/>
        <w:t>356</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Are government tendering arrangements too onerous?</w:t>
      </w:r>
      <w:r>
        <w:rPr>
          <w:noProof/>
        </w:rPr>
        <w:tab/>
        <w:t>367</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Do tendering arrangements elicit least cost bids?</w:t>
      </w:r>
      <w:r>
        <w:rPr>
          <w:noProof/>
        </w:rPr>
        <w:tab/>
        <w:t>379</w:t>
      </w:r>
    </w:p>
    <w:p w:rsidR="008F2028" w:rsidRDefault="008F2028" w:rsidP="000718B0">
      <w:pPr>
        <w:pStyle w:val="TOC2"/>
        <w:tabs>
          <w:tab w:val="left" w:pos="1190"/>
        </w:tabs>
        <w:rPr>
          <w:b/>
          <w:noProof/>
        </w:rPr>
      </w:pPr>
      <w:r>
        <w:rPr>
          <w:noProof/>
        </w:rPr>
        <w:t>11.4</w:t>
      </w:r>
      <w:r>
        <w:rPr>
          <w:rFonts w:asciiTheme="minorHAnsi" w:eastAsiaTheme="minorEastAsia" w:hAnsiTheme="minorHAnsi" w:cstheme="minorBidi"/>
          <w:noProof/>
          <w:sz w:val="22"/>
          <w:szCs w:val="22"/>
          <w:lang w:eastAsia="en-AU"/>
        </w:rPr>
        <w:tab/>
      </w:r>
      <w:r>
        <w:rPr>
          <w:noProof/>
        </w:rPr>
        <w:t>Do contracts provide incentives for cost minimisation throughout the build?</w:t>
      </w:r>
      <w:r>
        <w:rPr>
          <w:noProof/>
        </w:rPr>
        <w:tab/>
        <w:t>394</w:t>
      </w:r>
    </w:p>
    <w:p w:rsidR="008F2028" w:rsidRDefault="008F2028">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Industrial relations</w:t>
      </w:r>
      <w:r>
        <w:rPr>
          <w:noProof/>
        </w:rPr>
        <w:tab/>
        <w:t>405</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What is industrial relations?</w:t>
      </w:r>
      <w:r>
        <w:rPr>
          <w:noProof/>
        </w:rPr>
        <w:tab/>
        <w:t>407</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Industrial relations in the Australian  construction sector</w:t>
      </w:r>
      <w:r>
        <w:rPr>
          <w:noProof/>
        </w:rPr>
        <w:tab/>
        <w:t>408</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lastRenderedPageBreak/>
        <w:t>12.3</w:t>
      </w:r>
      <w:r>
        <w:rPr>
          <w:rFonts w:asciiTheme="minorHAnsi" w:eastAsiaTheme="minorEastAsia" w:hAnsiTheme="minorHAnsi" w:cstheme="minorBidi"/>
          <w:noProof/>
          <w:sz w:val="22"/>
          <w:szCs w:val="22"/>
          <w:lang w:eastAsia="en-AU"/>
        </w:rPr>
        <w:tab/>
      </w:r>
      <w:r>
        <w:rPr>
          <w:noProof/>
        </w:rPr>
        <w:t>A framework for understanding the role of industrial relations in construction</w:t>
      </w:r>
      <w:r>
        <w:rPr>
          <w:noProof/>
        </w:rPr>
        <w:tab/>
        <w:t>417</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Is construction different in other ways?</w:t>
      </w:r>
      <w:r>
        <w:rPr>
          <w:noProof/>
        </w:rPr>
        <w:tab/>
        <w:t>423</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12.5</w:t>
      </w:r>
      <w:r>
        <w:rPr>
          <w:rFonts w:asciiTheme="minorHAnsi" w:eastAsiaTheme="minorEastAsia" w:hAnsiTheme="minorHAnsi" w:cstheme="minorBidi"/>
          <w:noProof/>
          <w:sz w:val="22"/>
          <w:szCs w:val="22"/>
          <w:lang w:eastAsia="en-AU"/>
        </w:rPr>
        <w:tab/>
      </w:r>
      <w:r>
        <w:rPr>
          <w:noProof/>
        </w:rPr>
        <w:t>The impacts of industrial relations  at the project level</w:t>
      </w:r>
      <w:r>
        <w:rPr>
          <w:noProof/>
        </w:rPr>
        <w:tab/>
        <w:t>429</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12.6</w:t>
      </w:r>
      <w:r>
        <w:rPr>
          <w:rFonts w:asciiTheme="minorHAnsi" w:eastAsiaTheme="minorEastAsia" w:hAnsiTheme="minorHAnsi" w:cstheme="minorBidi"/>
          <w:noProof/>
          <w:sz w:val="22"/>
          <w:szCs w:val="22"/>
          <w:lang w:eastAsia="en-AU"/>
        </w:rPr>
        <w:tab/>
      </w:r>
      <w:r>
        <w:rPr>
          <w:noProof/>
        </w:rPr>
        <w:t>The aggregate effects of the IR environment on the construction industry</w:t>
      </w:r>
      <w:r>
        <w:rPr>
          <w:noProof/>
        </w:rPr>
        <w:tab/>
        <w:t>440</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12.7</w:t>
      </w:r>
      <w:r>
        <w:rPr>
          <w:rFonts w:asciiTheme="minorHAnsi" w:eastAsiaTheme="minorEastAsia" w:hAnsiTheme="minorHAnsi" w:cstheme="minorBidi"/>
          <w:noProof/>
          <w:sz w:val="22"/>
          <w:szCs w:val="22"/>
          <w:lang w:eastAsia="en-AU"/>
        </w:rPr>
        <w:tab/>
      </w:r>
      <w:r>
        <w:rPr>
          <w:noProof/>
        </w:rPr>
        <w:t>The scope for improving the IR environment</w:t>
      </w:r>
      <w:r>
        <w:rPr>
          <w:noProof/>
        </w:rPr>
        <w:tab/>
        <w:t>457</w:t>
      </w:r>
    </w:p>
    <w:p w:rsidR="008F2028" w:rsidRDefault="008F2028">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Workforce Skills</w:t>
      </w:r>
      <w:r>
        <w:rPr>
          <w:noProof/>
        </w:rPr>
        <w:tab/>
        <w:t>461</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Evidence of civil construction skill shortages</w:t>
      </w:r>
      <w:r>
        <w:rPr>
          <w:noProof/>
        </w:rPr>
        <w:tab/>
        <w:t>462</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The impact of skill shortages on infrastructure construction costs</w:t>
      </w:r>
      <w:r>
        <w:rPr>
          <w:noProof/>
        </w:rPr>
        <w:tab/>
        <w:t>469</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The causes of recent skill shortages</w:t>
      </w:r>
      <w:r>
        <w:rPr>
          <w:noProof/>
        </w:rPr>
        <w:tab/>
        <w:t>473</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Policy options for skill shortages in infrastructure construction</w:t>
      </w:r>
      <w:r>
        <w:rPr>
          <w:noProof/>
        </w:rPr>
        <w:tab/>
        <w:t>484</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Conclusion</w:t>
      </w:r>
      <w:r>
        <w:rPr>
          <w:noProof/>
        </w:rPr>
        <w:tab/>
        <w:t>498</w:t>
      </w:r>
    </w:p>
    <w:p w:rsidR="008F2028" w:rsidRDefault="008F2028">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Social and environmental regulation</w:t>
      </w:r>
      <w:r>
        <w:rPr>
          <w:noProof/>
        </w:rPr>
        <w:tab/>
        <w:t>499</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Nature and scope of the regulation</w:t>
      </w:r>
      <w:r>
        <w:rPr>
          <w:noProof/>
        </w:rPr>
        <w:tab/>
        <w:t>501</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Participants’ concerns</w:t>
      </w:r>
      <w:r>
        <w:rPr>
          <w:noProof/>
        </w:rPr>
        <w:tab/>
        <w:t>502</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Impacts on costs</w:t>
      </w:r>
      <w:r>
        <w:rPr>
          <w:noProof/>
        </w:rPr>
        <w:tab/>
        <w:t>505</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General reform issues</w:t>
      </w:r>
      <w:r>
        <w:rPr>
          <w:noProof/>
        </w:rPr>
        <w:tab/>
        <w:t>506</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Federal safety accreditation</w:t>
      </w:r>
      <w:r>
        <w:rPr>
          <w:noProof/>
        </w:rPr>
        <w:tab/>
        <w:t>510</w:t>
      </w:r>
    </w:p>
    <w:p w:rsidR="008F2028" w:rsidRDefault="008F2028">
      <w:pPr>
        <w:pStyle w:val="TOC2"/>
        <w:tabs>
          <w:tab w:val="left" w:pos="1190"/>
        </w:tabs>
        <w:rPr>
          <w:rFonts w:asciiTheme="minorHAnsi" w:eastAsiaTheme="minorEastAsia" w:hAnsiTheme="minorHAnsi" w:cstheme="minorBidi"/>
          <w:noProof/>
          <w:sz w:val="22"/>
          <w:szCs w:val="22"/>
          <w:lang w:eastAsia="en-AU"/>
        </w:rPr>
      </w:pPr>
      <w:r>
        <w:rPr>
          <w:noProof/>
        </w:rPr>
        <w:t>14.6</w:t>
      </w:r>
      <w:r>
        <w:rPr>
          <w:rFonts w:asciiTheme="minorHAnsi" w:eastAsiaTheme="minorEastAsia" w:hAnsiTheme="minorHAnsi" w:cstheme="minorBidi"/>
          <w:noProof/>
          <w:sz w:val="22"/>
          <w:szCs w:val="22"/>
          <w:lang w:eastAsia="en-AU"/>
        </w:rPr>
        <w:tab/>
      </w:r>
      <w:r>
        <w:rPr>
          <w:noProof/>
        </w:rPr>
        <w:t>Regulation affecting quarries</w:t>
      </w:r>
      <w:r>
        <w:rPr>
          <w:noProof/>
        </w:rPr>
        <w:tab/>
        <w:t>517</w:t>
      </w:r>
    </w:p>
    <w:p w:rsidR="008F2028" w:rsidRDefault="008F2028">
      <w:pPr>
        <w:pStyle w:val="TOC1"/>
        <w:rPr>
          <w:noProof/>
        </w:rPr>
      </w:pPr>
    </w:p>
    <w:p w:rsidR="008F2028" w:rsidRDefault="008F2028">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519</w:t>
      </w:r>
    </w:p>
    <w:p w:rsidR="008F2028" w:rsidRDefault="008F2028">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Australian and international public infrastructure case studies</w:t>
      </w:r>
      <w:r>
        <w:rPr>
          <w:noProof/>
        </w:rPr>
        <w:tab/>
        <w:t>527</w:t>
      </w:r>
    </w:p>
    <w:p w:rsidR="008F2028" w:rsidRDefault="008F2028">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Building information modelling</w:t>
      </w:r>
      <w:r>
        <w:rPr>
          <w:noProof/>
        </w:rPr>
        <w:tab/>
        <w:t>557</w:t>
      </w:r>
    </w:p>
    <w:p w:rsidR="008F2028" w:rsidRDefault="008F2028">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EBAs: A small sample analysis</w:t>
      </w:r>
      <w:r>
        <w:rPr>
          <w:noProof/>
        </w:rPr>
        <w:tab/>
        <w:t>561</w:t>
      </w:r>
    </w:p>
    <w:p w:rsidR="008F2028" w:rsidRPr="00EF4F62" w:rsidRDefault="008F2028" w:rsidP="00EF4F62">
      <w:pPr>
        <w:pStyle w:val="TOC1"/>
        <w:rPr>
          <w:rStyle w:val="CommentReference"/>
          <w:rFonts w:asciiTheme="minorHAnsi" w:eastAsiaTheme="minorEastAsia" w:hAnsiTheme="minorHAnsi" w:cstheme="minorBidi"/>
          <w:noProof/>
          <w:vanish w:val="0"/>
          <w:color w:val="auto"/>
          <w:sz w:val="22"/>
          <w:szCs w:val="22"/>
          <w:lang w:eastAsia="en-AU"/>
        </w:rPr>
      </w:pPr>
      <w:r>
        <w:rPr>
          <w:noProof/>
        </w:rPr>
        <w:t>References</w:t>
      </w:r>
      <w:r>
        <w:rPr>
          <w:noProof/>
        </w:rPr>
        <w:tab/>
        <w:t>581</w:t>
      </w:r>
      <w:bookmarkStart w:id="7" w:name="Abbreviations"/>
      <w:bookmarkStart w:id="8" w:name="EndContents"/>
      <w:bookmarkStart w:id="9" w:name="RDnote"/>
      <w:bookmarkEnd w:id="7"/>
      <w:bookmarkEnd w:id="8"/>
      <w:bookmarkEnd w:id="9"/>
    </w:p>
    <w:sectPr w:rsidR="008F2028" w:rsidRPr="00EF4F62" w:rsidSect="00C55A45">
      <w:headerReference w:type="even" r:id="rId17"/>
      <w:headerReference w:type="default" r:id="rId18"/>
      <w:footerReference w:type="even" r:id="rId19"/>
      <w:footerReference w:type="default" r:id="rId20"/>
      <w:headerReference w:type="first" r:id="rId21"/>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028" w:rsidRDefault="008F2028">
      <w:r>
        <w:separator/>
      </w:r>
    </w:p>
    <w:p w:rsidR="008F2028" w:rsidRDefault="008F2028"/>
    <w:p w:rsidR="008F2028" w:rsidRDefault="008F2028"/>
  </w:endnote>
  <w:endnote w:type="continuationSeparator" w:id="0">
    <w:p w:rsidR="008F2028" w:rsidRDefault="008F2028">
      <w:r>
        <w:continuationSeparator/>
      </w:r>
    </w:p>
    <w:p w:rsidR="008F2028" w:rsidRDefault="008F2028"/>
    <w:p w:rsidR="008F2028" w:rsidRDefault="008F2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F2028">
      <w:trPr>
        <w:trHeight w:hRule="exact" w:val="740"/>
      </w:trPr>
      <w:tc>
        <w:tcPr>
          <w:tcW w:w="510" w:type="dxa"/>
          <w:tcBorders>
            <w:top w:val="single" w:sz="6" w:space="0" w:color="auto"/>
          </w:tcBorders>
        </w:tcPr>
        <w:p w:rsidR="008F2028" w:rsidRPr="008206EE" w:rsidRDefault="008F2028">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734393">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8F2028" w:rsidRPr="00603344" w:rsidRDefault="00550DD0" w:rsidP="006817C9">
          <w:pPr>
            <w:pStyle w:val="Footer"/>
          </w:pPr>
          <w:fldSimple w:instr=" STYLEREF &quot;Heading 1&quot; \* MERGEFORMAT ">
            <w:r w:rsidR="00734393" w:rsidRPr="00734393">
              <w:rPr>
                <w:bCs/>
                <w:noProof/>
                <w:lang w:val="en-US"/>
              </w:rPr>
              <w:t>Opportunity for further</w:t>
            </w:r>
            <w:r w:rsidR="00734393">
              <w:rPr>
                <w:noProof/>
              </w:rPr>
              <w:t xml:space="preserve"> comment</w:t>
            </w:r>
          </w:fldSimple>
        </w:p>
      </w:tc>
      <w:tc>
        <w:tcPr>
          <w:tcW w:w="6634" w:type="dxa"/>
        </w:tcPr>
        <w:p w:rsidR="008F2028" w:rsidRPr="00603344" w:rsidRDefault="008F2028">
          <w:pPr>
            <w:pStyle w:val="Footer"/>
            <w:rPr>
              <w:caps w:val="0"/>
            </w:rPr>
          </w:pPr>
        </w:p>
      </w:tc>
    </w:tr>
  </w:tbl>
  <w:p w:rsidR="008F2028" w:rsidRDefault="008F2028">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F2028" w:rsidTr="006817C9">
      <w:trPr>
        <w:trHeight w:hRule="exact" w:val="740"/>
      </w:trPr>
      <w:tc>
        <w:tcPr>
          <w:tcW w:w="6634" w:type="dxa"/>
        </w:tcPr>
        <w:p w:rsidR="008F2028" w:rsidRPr="00B3203C" w:rsidRDefault="008F2028">
          <w:pPr>
            <w:pStyle w:val="Footer"/>
          </w:pPr>
        </w:p>
      </w:tc>
      <w:tc>
        <w:tcPr>
          <w:tcW w:w="1644" w:type="dxa"/>
          <w:tcBorders>
            <w:top w:val="single" w:sz="6" w:space="0" w:color="auto"/>
          </w:tcBorders>
        </w:tcPr>
        <w:p w:rsidR="008F2028" w:rsidRPr="00B3203C" w:rsidRDefault="008F2028"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734393" w:rsidRPr="00734393">
            <w:rPr>
              <w:bCs/>
              <w:noProof/>
              <w:lang w:val="en-US"/>
            </w:rPr>
            <w:t>Opportunity for further</w:t>
          </w:r>
          <w:r w:rsidR="00734393">
            <w:rPr>
              <w:noProof/>
            </w:rPr>
            <w:t xml:space="preserve"> comment</w:t>
          </w:r>
          <w:r w:rsidRPr="00B3203C">
            <w:rPr>
              <w:noProof/>
            </w:rPr>
            <w:fldChar w:fldCharType="end"/>
          </w:r>
        </w:p>
      </w:tc>
      <w:tc>
        <w:tcPr>
          <w:tcW w:w="510" w:type="dxa"/>
          <w:tcBorders>
            <w:top w:val="single" w:sz="6" w:space="0" w:color="auto"/>
          </w:tcBorders>
        </w:tcPr>
        <w:p w:rsidR="008F2028" w:rsidRPr="00C55A45" w:rsidRDefault="008F2028">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734393">
            <w:rPr>
              <w:rStyle w:val="PageNumber"/>
              <w:caps w:val="0"/>
              <w:noProof/>
            </w:rPr>
            <w:t>iii</w:t>
          </w:r>
          <w:r w:rsidRPr="00C55A45">
            <w:rPr>
              <w:rStyle w:val="PageNumber"/>
              <w:caps w:val="0"/>
              <w:noProof/>
            </w:rPr>
            <w:fldChar w:fldCharType="end"/>
          </w:r>
        </w:p>
      </w:tc>
    </w:tr>
  </w:tbl>
  <w:p w:rsidR="008F2028" w:rsidRDefault="008F2028">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734393">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D37AC2" w:rsidRDefault="0059787E">
          <w:pPr>
            <w:pStyle w:val="Footer"/>
            <w:rPr>
              <w:noProof/>
            </w:rPr>
          </w:pPr>
          <w:r>
            <w:rPr>
              <w:noProof/>
            </w:rPr>
            <w:t>CONTENTS</w:t>
          </w:r>
          <w:r w:rsidR="00D37AC2">
            <w:rPr>
              <w:noProof/>
            </w:rPr>
            <w:fldChar w:fldCharType="begin"/>
          </w:r>
          <w:r w:rsidR="00D37AC2">
            <w:rPr>
              <w:noProof/>
            </w:rPr>
            <w:instrText xml:space="preserve"> STYLEREF "Heading 1" \* MERGEFORMAT </w:instrText>
          </w:r>
          <w:r w:rsidR="00D37AC2">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59787E">
          <w:pPr>
            <w:pStyle w:val="Footer"/>
            <w:rPr>
              <w:rStyle w:val="PageNumber"/>
              <w:b w:val="0"/>
            </w:rPr>
          </w:pPr>
          <w:r>
            <w:t>CONTENTS</w:t>
          </w:r>
          <w:r w:rsidR="00D74E25">
            <w:fldChar w:fldCharType="begin"/>
          </w:r>
          <w:r w:rsidR="00D74E25">
            <w:instrText xml:space="preserve"> STYLEREF "Heading 1" \* MERGEFORMAT </w:instrText>
          </w:r>
          <w:r w:rsidR="00D74E25">
            <w:rPr>
              <w:noProof/>
            </w:rPr>
            <w:fldChar w:fldCharType="end"/>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734393">
            <w:rPr>
              <w:rStyle w:val="PageNumber"/>
              <w:caps w:val="0"/>
              <w:noProof/>
            </w:rPr>
            <w:t>vii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028" w:rsidRDefault="008F2028">
      <w:r>
        <w:separator/>
      </w:r>
    </w:p>
    <w:p w:rsidR="008F2028" w:rsidRDefault="008F2028"/>
    <w:p w:rsidR="008F2028" w:rsidRDefault="008F2028"/>
  </w:footnote>
  <w:footnote w:type="continuationSeparator" w:id="0">
    <w:p w:rsidR="008F2028" w:rsidRDefault="008F2028">
      <w:r>
        <w:continuationSeparator/>
      </w:r>
    </w:p>
    <w:p w:rsidR="008F2028" w:rsidRDefault="008F2028"/>
    <w:p w:rsidR="008F2028" w:rsidRDefault="008F20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393" w:rsidRDefault="00734393">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1055" o:spid="_x0000_s26626"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393" w:rsidRDefault="0073439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1056" o:spid="_x0000_s26627"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393" w:rsidRDefault="0073439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1054" o:spid="_x0000_s26625"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8F2028">
      <w:tc>
        <w:tcPr>
          <w:tcW w:w="2155" w:type="dxa"/>
          <w:tcBorders>
            <w:top w:val="single" w:sz="24" w:space="0" w:color="auto"/>
          </w:tcBorders>
        </w:tcPr>
        <w:p w:rsidR="008F2028" w:rsidRDefault="0073439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1058" o:spid="_x0000_s26629"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8F2028" w:rsidRDefault="00734393">
          <w:pPr>
            <w:pStyle w:val="Header"/>
          </w:pPr>
          <w:r>
            <w:rPr>
              <w:color w:val="FF0000"/>
              <w:sz w:val="14"/>
              <w:szCs w:val="14"/>
            </w:rPr>
            <w:t>draft report: For final outcomes of this project refer to the inquiry report.</w:t>
          </w:r>
        </w:p>
      </w:tc>
    </w:tr>
  </w:tbl>
  <w:p w:rsidR="008F2028" w:rsidRDefault="008F2028">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F2028" w:rsidTr="006817C9">
      <w:tc>
        <w:tcPr>
          <w:tcW w:w="6634" w:type="dxa"/>
          <w:tcBorders>
            <w:top w:val="single" w:sz="6" w:space="0" w:color="auto"/>
          </w:tcBorders>
        </w:tcPr>
        <w:p w:rsidR="008F2028" w:rsidRDefault="00734393" w:rsidP="006817C9">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1059" o:spid="_x0000_s26630"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8F2028" w:rsidRDefault="008F2028" w:rsidP="006817C9">
          <w:pPr>
            <w:pStyle w:val="HeaderOdd"/>
          </w:pPr>
        </w:p>
      </w:tc>
    </w:tr>
  </w:tbl>
  <w:p w:rsidR="008F2028" w:rsidRPr="005C68FE" w:rsidRDefault="008F2028" w:rsidP="006817C9">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393" w:rsidRDefault="0073439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1057" o:spid="_x0000_s26628"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734393" w:rsidP="005C68FE">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1061" o:spid="_x0000_s26632"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D37AC2" w:rsidRDefault="00734393" w:rsidP="005C68FE">
          <w:pPr>
            <w:pStyle w:val="HeaderEven"/>
          </w:pPr>
          <w:r>
            <w:rPr>
              <w:color w:val="FF0000"/>
              <w:sz w:val="14"/>
              <w:szCs w:val="14"/>
            </w:rPr>
            <w:t>draft report: For final outcomes of this project refer to the inquiry report.</w:t>
          </w: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734393">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1062" o:spid="_x0000_s26633"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393" w:rsidRDefault="0073439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1060" o:spid="_x0000_s26631"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34"/>
    <o:shapelayout v:ext="edit">
      <o:idmap v:ext="edit" data="2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028"/>
    <w:rsid w:val="000148A2"/>
    <w:rsid w:val="00017AFC"/>
    <w:rsid w:val="00025878"/>
    <w:rsid w:val="00026B38"/>
    <w:rsid w:val="000502D3"/>
    <w:rsid w:val="000623BF"/>
    <w:rsid w:val="000718B0"/>
    <w:rsid w:val="00095EEA"/>
    <w:rsid w:val="00097C15"/>
    <w:rsid w:val="000A1335"/>
    <w:rsid w:val="000A56F7"/>
    <w:rsid w:val="000B416E"/>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84BDB"/>
    <w:rsid w:val="002923AD"/>
    <w:rsid w:val="00296592"/>
    <w:rsid w:val="002A0A4B"/>
    <w:rsid w:val="002B636E"/>
    <w:rsid w:val="002B64D6"/>
    <w:rsid w:val="002C12F5"/>
    <w:rsid w:val="002D6FCE"/>
    <w:rsid w:val="00304E46"/>
    <w:rsid w:val="003B41E0"/>
    <w:rsid w:val="003D624D"/>
    <w:rsid w:val="003E7802"/>
    <w:rsid w:val="00433C81"/>
    <w:rsid w:val="00446D6B"/>
    <w:rsid w:val="00457B3F"/>
    <w:rsid w:val="00463022"/>
    <w:rsid w:val="00481CF0"/>
    <w:rsid w:val="004A2113"/>
    <w:rsid w:val="004B492A"/>
    <w:rsid w:val="004C0B0C"/>
    <w:rsid w:val="004E52E2"/>
    <w:rsid w:val="004E6BB4"/>
    <w:rsid w:val="00504EBD"/>
    <w:rsid w:val="00515D43"/>
    <w:rsid w:val="0052544D"/>
    <w:rsid w:val="00550DD0"/>
    <w:rsid w:val="00551FB8"/>
    <w:rsid w:val="005537F6"/>
    <w:rsid w:val="00560F43"/>
    <w:rsid w:val="005654D0"/>
    <w:rsid w:val="0059787E"/>
    <w:rsid w:val="005B17AB"/>
    <w:rsid w:val="005C68FE"/>
    <w:rsid w:val="005E7B7C"/>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328D"/>
    <w:rsid w:val="00731F96"/>
    <w:rsid w:val="00734127"/>
    <w:rsid w:val="00734393"/>
    <w:rsid w:val="00735FEA"/>
    <w:rsid w:val="00743460"/>
    <w:rsid w:val="00743A27"/>
    <w:rsid w:val="00753DC6"/>
    <w:rsid w:val="0075578C"/>
    <w:rsid w:val="00766DFB"/>
    <w:rsid w:val="007734B5"/>
    <w:rsid w:val="007809B8"/>
    <w:rsid w:val="007A0861"/>
    <w:rsid w:val="007B3508"/>
    <w:rsid w:val="00806E54"/>
    <w:rsid w:val="008206EE"/>
    <w:rsid w:val="008214B1"/>
    <w:rsid w:val="00836ED7"/>
    <w:rsid w:val="008453AC"/>
    <w:rsid w:val="00860D09"/>
    <w:rsid w:val="00862044"/>
    <w:rsid w:val="008806F1"/>
    <w:rsid w:val="008C305F"/>
    <w:rsid w:val="008C3AD2"/>
    <w:rsid w:val="008C7C3D"/>
    <w:rsid w:val="008D6F66"/>
    <w:rsid w:val="008E1BEA"/>
    <w:rsid w:val="008E43D2"/>
    <w:rsid w:val="008E6A07"/>
    <w:rsid w:val="008F04C9"/>
    <w:rsid w:val="008F2028"/>
    <w:rsid w:val="008F7C50"/>
    <w:rsid w:val="008F7DB7"/>
    <w:rsid w:val="009064D3"/>
    <w:rsid w:val="00915300"/>
    <w:rsid w:val="00933B0C"/>
    <w:rsid w:val="00935676"/>
    <w:rsid w:val="0098156A"/>
    <w:rsid w:val="0098401D"/>
    <w:rsid w:val="009A789F"/>
    <w:rsid w:val="009B12EF"/>
    <w:rsid w:val="009B6185"/>
    <w:rsid w:val="009E1E78"/>
    <w:rsid w:val="00A1597D"/>
    <w:rsid w:val="00A32A97"/>
    <w:rsid w:val="00A46989"/>
    <w:rsid w:val="00A71CE9"/>
    <w:rsid w:val="00A72A19"/>
    <w:rsid w:val="00A75A30"/>
    <w:rsid w:val="00A849D0"/>
    <w:rsid w:val="00A93C82"/>
    <w:rsid w:val="00AB2A48"/>
    <w:rsid w:val="00AC3236"/>
    <w:rsid w:val="00AD4874"/>
    <w:rsid w:val="00AE1F8A"/>
    <w:rsid w:val="00B036B2"/>
    <w:rsid w:val="00B04D19"/>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4E25"/>
    <w:rsid w:val="00D772E9"/>
    <w:rsid w:val="00DA31AB"/>
    <w:rsid w:val="00DA3281"/>
    <w:rsid w:val="00DA6D3E"/>
    <w:rsid w:val="00DC02E8"/>
    <w:rsid w:val="00DC75C7"/>
    <w:rsid w:val="00DC78D3"/>
    <w:rsid w:val="00DF4592"/>
    <w:rsid w:val="00E15FDC"/>
    <w:rsid w:val="00E2651B"/>
    <w:rsid w:val="00E6632E"/>
    <w:rsid w:val="00E70477"/>
    <w:rsid w:val="00E90CF2"/>
    <w:rsid w:val="00ED0F61"/>
    <w:rsid w:val="00EE73E1"/>
    <w:rsid w:val="00EF4F62"/>
    <w:rsid w:val="00F12107"/>
    <w:rsid w:val="00F13165"/>
    <w:rsid w:val="00F4234E"/>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66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tabs>
        <w:tab w:val="clear" w:pos="680"/>
        <w:tab w:val="num" w:pos="360"/>
      </w:tabs>
      <w:spacing w:before="60" w:line="280" w:lineRule="atLeast"/>
      <w:ind w:left="0" w:firstLine="0"/>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8F2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8F2028"/>
    <w:rPr>
      <w:caps/>
      <w:spacing w:val="-4"/>
      <w:sz w:val="16"/>
      <w:lang w:eastAsia="en-US"/>
    </w:rPr>
  </w:style>
  <w:style w:type="character" w:customStyle="1" w:styleId="Heading1Char">
    <w:name w:val="Heading 1 Char"/>
    <w:basedOn w:val="DefaultParagraphFont"/>
    <w:link w:val="Heading1"/>
    <w:rsid w:val="008F2028"/>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tabs>
        <w:tab w:val="clear" w:pos="680"/>
        <w:tab w:val="num" w:pos="360"/>
      </w:tabs>
      <w:spacing w:before="60" w:line="280" w:lineRule="atLeast"/>
      <w:ind w:left="0" w:firstLine="0"/>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8F2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8F2028"/>
    <w:rPr>
      <w:caps/>
      <w:spacing w:val="-4"/>
      <w:sz w:val="16"/>
      <w:lang w:eastAsia="en-US"/>
    </w:rPr>
  </w:style>
  <w:style w:type="character" w:customStyle="1" w:styleId="Heading1Char">
    <w:name w:val="Heading 1 Char"/>
    <w:basedOn w:val="DefaultParagraphFont"/>
    <w:link w:val="Heading1"/>
    <w:rsid w:val="008F2028"/>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1131</Words>
  <Characters>6456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3</cp:revision>
  <dcterms:created xsi:type="dcterms:W3CDTF">2014-03-11T01:30:00Z</dcterms:created>
  <dcterms:modified xsi:type="dcterms:W3CDTF">2015-05-08T01:19:00Z</dcterms:modified>
</cp:coreProperties>
</file>