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336" w:rsidRPr="00BB4336" w:rsidRDefault="00BB4336" w:rsidP="00C71B50">
      <w:pPr>
        <w:spacing w:after="0"/>
        <w:rPr>
          <w:rFonts w:ascii="Arial" w:hAnsi="Arial" w:cs="Arial"/>
          <w:sz w:val="24"/>
          <w:szCs w:val="24"/>
          <w:u w:val="single"/>
        </w:rPr>
      </w:pPr>
      <w:r w:rsidRPr="00BB4336">
        <w:rPr>
          <w:rFonts w:ascii="Arial" w:hAnsi="Arial" w:cs="Arial"/>
          <w:sz w:val="24"/>
          <w:szCs w:val="24"/>
          <w:u w:val="single"/>
        </w:rPr>
        <w:t>Cover letter</w:t>
      </w:r>
    </w:p>
    <w:p w:rsidR="00BB4336" w:rsidRDefault="00BB4336" w:rsidP="00C71B50">
      <w:pPr>
        <w:spacing w:after="0"/>
        <w:rPr>
          <w:rFonts w:ascii="Arial" w:hAnsi="Arial" w:cs="Arial"/>
          <w:sz w:val="24"/>
          <w:szCs w:val="24"/>
        </w:rPr>
      </w:pPr>
    </w:p>
    <w:p w:rsidR="00617429" w:rsidRDefault="00617429" w:rsidP="00C71B50">
      <w:pPr>
        <w:spacing w:after="0"/>
        <w:rPr>
          <w:rFonts w:ascii="Arial" w:hAnsi="Arial" w:cs="Arial"/>
          <w:sz w:val="24"/>
          <w:szCs w:val="24"/>
        </w:rPr>
      </w:pPr>
      <w:r>
        <w:rPr>
          <w:rFonts w:ascii="Arial" w:hAnsi="Arial" w:cs="Arial"/>
          <w:sz w:val="24"/>
          <w:szCs w:val="24"/>
        </w:rPr>
        <w:t>The Productivity Commission</w:t>
      </w:r>
    </w:p>
    <w:p w:rsidR="00617429" w:rsidRDefault="004B0B38" w:rsidP="00C71B50">
      <w:pPr>
        <w:spacing w:after="0"/>
        <w:rPr>
          <w:rFonts w:ascii="Arial" w:hAnsi="Arial" w:cs="Arial"/>
          <w:sz w:val="24"/>
          <w:szCs w:val="24"/>
        </w:rPr>
      </w:pPr>
      <w:r>
        <w:rPr>
          <w:rFonts w:ascii="Arial" w:hAnsi="Arial" w:cs="Arial"/>
          <w:sz w:val="24"/>
          <w:szCs w:val="24"/>
        </w:rPr>
        <w:t>Inquiry into Public I</w:t>
      </w:r>
      <w:r w:rsidR="00617429">
        <w:rPr>
          <w:rFonts w:ascii="Arial" w:hAnsi="Arial" w:cs="Arial"/>
          <w:sz w:val="24"/>
          <w:szCs w:val="24"/>
        </w:rPr>
        <w:t>nfrastructure</w:t>
      </w:r>
    </w:p>
    <w:p w:rsidR="00617429" w:rsidRDefault="00617429" w:rsidP="00C71B50">
      <w:pPr>
        <w:spacing w:after="0"/>
        <w:rPr>
          <w:rFonts w:ascii="Arial" w:hAnsi="Arial" w:cs="Arial"/>
          <w:sz w:val="24"/>
          <w:szCs w:val="24"/>
        </w:rPr>
      </w:pPr>
      <w:r>
        <w:rPr>
          <w:rFonts w:ascii="Arial" w:hAnsi="Arial" w:cs="Arial"/>
          <w:sz w:val="24"/>
          <w:szCs w:val="24"/>
        </w:rPr>
        <w:t>Level 12, 530 Collins Street</w:t>
      </w:r>
      <w:bookmarkStart w:id="0" w:name="_GoBack"/>
      <w:bookmarkEnd w:id="0"/>
    </w:p>
    <w:p w:rsidR="00617429" w:rsidRDefault="00617429" w:rsidP="00C71B50">
      <w:pPr>
        <w:spacing w:after="0"/>
        <w:rPr>
          <w:rFonts w:ascii="Arial" w:hAnsi="Arial" w:cs="Arial"/>
          <w:sz w:val="24"/>
          <w:szCs w:val="24"/>
        </w:rPr>
      </w:pPr>
      <w:r>
        <w:rPr>
          <w:rFonts w:ascii="Arial" w:hAnsi="Arial" w:cs="Arial"/>
          <w:sz w:val="24"/>
          <w:szCs w:val="24"/>
        </w:rPr>
        <w:t>Melbourne VIC 3000</w:t>
      </w:r>
    </w:p>
    <w:p w:rsidR="00E66412" w:rsidRDefault="00E66412">
      <w:pPr>
        <w:rPr>
          <w:rFonts w:ascii="Arial" w:hAnsi="Arial" w:cs="Arial"/>
          <w:sz w:val="24"/>
          <w:szCs w:val="24"/>
        </w:rPr>
      </w:pPr>
    </w:p>
    <w:p w:rsidR="00E66412" w:rsidRDefault="00E66412">
      <w:pPr>
        <w:rPr>
          <w:rFonts w:ascii="Arial" w:hAnsi="Arial" w:cs="Arial"/>
          <w:sz w:val="24"/>
          <w:szCs w:val="24"/>
        </w:rPr>
      </w:pPr>
      <w:r>
        <w:rPr>
          <w:rFonts w:ascii="Arial" w:hAnsi="Arial" w:cs="Arial"/>
          <w:sz w:val="24"/>
          <w:szCs w:val="24"/>
        </w:rPr>
        <w:t>By e-mail: infrastructure@pc.gov.au</w:t>
      </w:r>
    </w:p>
    <w:p w:rsidR="00617429" w:rsidRDefault="00C71B50">
      <w:pPr>
        <w:rPr>
          <w:rFonts w:ascii="Arial" w:hAnsi="Arial" w:cs="Arial"/>
          <w:sz w:val="24"/>
          <w:szCs w:val="24"/>
        </w:rPr>
      </w:pPr>
      <w:r>
        <w:rPr>
          <w:rFonts w:ascii="Arial" w:hAnsi="Arial" w:cs="Arial"/>
          <w:sz w:val="24"/>
          <w:szCs w:val="24"/>
        </w:rPr>
        <w:t>7 January 2014</w:t>
      </w:r>
    </w:p>
    <w:p w:rsidR="00617429" w:rsidRDefault="00617429">
      <w:pPr>
        <w:rPr>
          <w:rFonts w:ascii="Arial" w:hAnsi="Arial" w:cs="Arial"/>
          <w:sz w:val="24"/>
          <w:szCs w:val="24"/>
        </w:rPr>
      </w:pPr>
      <w:r>
        <w:rPr>
          <w:rFonts w:ascii="Arial" w:hAnsi="Arial" w:cs="Arial"/>
          <w:sz w:val="24"/>
          <w:szCs w:val="24"/>
        </w:rPr>
        <w:t>Dear Sirs,</w:t>
      </w:r>
    </w:p>
    <w:p w:rsidR="00617429" w:rsidRPr="001216EE" w:rsidRDefault="00E66412">
      <w:pPr>
        <w:rPr>
          <w:rFonts w:ascii="Arial" w:hAnsi="Arial" w:cs="Arial"/>
          <w:b/>
          <w:sz w:val="24"/>
          <w:szCs w:val="24"/>
        </w:rPr>
      </w:pPr>
      <w:r w:rsidRPr="001216EE">
        <w:rPr>
          <w:rFonts w:ascii="Arial" w:hAnsi="Arial" w:cs="Arial"/>
          <w:b/>
          <w:sz w:val="24"/>
          <w:szCs w:val="24"/>
        </w:rPr>
        <w:t>INFRASTRUCTURE FINANCING: SUBMISSION ABOUT THE MISUSE OF COST-BENEFIT ANALYSIS IN DECISION MAKING</w:t>
      </w:r>
      <w:r w:rsidR="00617429" w:rsidRPr="001216EE">
        <w:rPr>
          <w:rFonts w:ascii="Arial" w:hAnsi="Arial" w:cs="Arial"/>
          <w:b/>
          <w:sz w:val="24"/>
          <w:szCs w:val="24"/>
        </w:rPr>
        <w:t xml:space="preserve"> </w:t>
      </w:r>
    </w:p>
    <w:p w:rsidR="001216EE" w:rsidRDefault="001216EE" w:rsidP="001216EE">
      <w:pPr>
        <w:pStyle w:val="ListParagraph"/>
        <w:rPr>
          <w:rFonts w:ascii="Arial" w:hAnsi="Arial" w:cs="Arial"/>
          <w:sz w:val="24"/>
          <w:szCs w:val="24"/>
        </w:rPr>
      </w:pPr>
    </w:p>
    <w:p w:rsidR="001216EE" w:rsidRDefault="001216EE" w:rsidP="00BB4336">
      <w:pPr>
        <w:pStyle w:val="ListParagraph"/>
        <w:ind w:left="0" w:firstLine="720"/>
        <w:rPr>
          <w:rFonts w:ascii="Arial" w:hAnsi="Arial" w:cs="Arial"/>
          <w:sz w:val="24"/>
          <w:szCs w:val="24"/>
        </w:rPr>
      </w:pPr>
      <w:r>
        <w:rPr>
          <w:rFonts w:ascii="Arial" w:hAnsi="Arial" w:cs="Arial"/>
          <w:sz w:val="24"/>
          <w:szCs w:val="24"/>
        </w:rPr>
        <w:t xml:space="preserve">This submission is about the misuse of cost-benefit analysis to justify a rail project in the Sydney region.The project is the expansion of the </w:t>
      </w:r>
      <w:r w:rsidR="00FE06C1">
        <w:rPr>
          <w:rFonts w:ascii="Arial" w:hAnsi="Arial" w:cs="Arial"/>
          <w:sz w:val="24"/>
          <w:szCs w:val="24"/>
        </w:rPr>
        <w:t>N</w:t>
      </w:r>
      <w:r>
        <w:rPr>
          <w:rFonts w:ascii="Arial" w:hAnsi="Arial" w:cs="Arial"/>
          <w:sz w:val="24"/>
          <w:szCs w:val="24"/>
        </w:rPr>
        <w:t xml:space="preserve">orthern </w:t>
      </w:r>
      <w:r w:rsidR="00FE06C1">
        <w:rPr>
          <w:rFonts w:ascii="Arial" w:hAnsi="Arial" w:cs="Arial"/>
          <w:sz w:val="24"/>
          <w:szCs w:val="24"/>
        </w:rPr>
        <w:t xml:space="preserve">Sydney Freight Corridor (NSFC) </w:t>
      </w:r>
      <w:r>
        <w:rPr>
          <w:rFonts w:ascii="Arial" w:hAnsi="Arial" w:cs="Arial"/>
          <w:sz w:val="24"/>
          <w:szCs w:val="24"/>
        </w:rPr>
        <w:t>between No</w:t>
      </w:r>
      <w:r w:rsidR="00FE06C1">
        <w:rPr>
          <w:rFonts w:ascii="Arial" w:hAnsi="Arial" w:cs="Arial"/>
          <w:sz w:val="24"/>
          <w:szCs w:val="24"/>
        </w:rPr>
        <w:t xml:space="preserve">rth Stratfield  and Broadmeadow by insertion of 14.6 km of additional track into the corridor which is </w:t>
      </w:r>
      <w:r w:rsidR="00E06290">
        <w:rPr>
          <w:rFonts w:ascii="Arial" w:hAnsi="Arial" w:cs="Arial"/>
          <w:sz w:val="24"/>
          <w:szCs w:val="24"/>
        </w:rPr>
        <w:t>151.94 km in length.</w:t>
      </w:r>
      <w:r>
        <w:rPr>
          <w:rFonts w:ascii="Arial" w:hAnsi="Arial" w:cs="Arial"/>
          <w:sz w:val="24"/>
          <w:szCs w:val="24"/>
        </w:rPr>
        <w:t xml:space="preserve"> The cost benefit analysis </w:t>
      </w:r>
      <w:r w:rsidR="00317542">
        <w:rPr>
          <w:rFonts w:ascii="Arial" w:hAnsi="Arial" w:cs="Arial"/>
          <w:sz w:val="24"/>
          <w:szCs w:val="24"/>
        </w:rPr>
        <w:t xml:space="preserve">(CBA) </w:t>
      </w:r>
      <w:r w:rsidR="00FE06C1">
        <w:rPr>
          <w:rFonts w:ascii="Arial" w:hAnsi="Arial" w:cs="Arial"/>
          <w:sz w:val="24"/>
          <w:szCs w:val="24"/>
        </w:rPr>
        <w:t xml:space="preserve">or business case </w:t>
      </w:r>
      <w:r>
        <w:rPr>
          <w:rFonts w:ascii="Arial" w:hAnsi="Arial" w:cs="Arial"/>
          <w:sz w:val="24"/>
          <w:szCs w:val="24"/>
        </w:rPr>
        <w:t>was carried out by Deloitte on behalf of Transport for NSW. It attempts to show that the rail expansion will lower the cost of freight haulage compared to transporting the same amount of freight by road.</w:t>
      </w:r>
    </w:p>
    <w:p w:rsidR="00BB4336" w:rsidRDefault="00BB4336" w:rsidP="00BB4336">
      <w:pPr>
        <w:pStyle w:val="ListParagraph"/>
        <w:ind w:left="0" w:firstLine="720"/>
        <w:rPr>
          <w:rFonts w:ascii="Arial" w:hAnsi="Arial" w:cs="Arial"/>
          <w:sz w:val="24"/>
          <w:szCs w:val="24"/>
        </w:rPr>
      </w:pPr>
    </w:p>
    <w:p w:rsidR="001216EE" w:rsidRDefault="00BB4336" w:rsidP="00BB4336">
      <w:pPr>
        <w:pStyle w:val="ListParagraph"/>
        <w:ind w:left="0" w:firstLine="720"/>
        <w:rPr>
          <w:rFonts w:ascii="Arial" w:hAnsi="Arial" w:cs="Arial"/>
          <w:sz w:val="24"/>
          <w:szCs w:val="24"/>
        </w:rPr>
      </w:pPr>
      <w:r>
        <w:rPr>
          <w:rFonts w:ascii="Arial" w:hAnsi="Arial" w:cs="Arial"/>
          <w:sz w:val="24"/>
          <w:szCs w:val="24"/>
        </w:rPr>
        <w:t xml:space="preserve">The attached </w:t>
      </w:r>
      <w:r w:rsidR="00317542">
        <w:rPr>
          <w:rFonts w:ascii="Arial" w:hAnsi="Arial" w:cs="Arial"/>
          <w:sz w:val="24"/>
          <w:szCs w:val="24"/>
        </w:rPr>
        <w:t>audit of the Deloitte analysis</w:t>
      </w:r>
      <w:r w:rsidR="00FE06C1">
        <w:rPr>
          <w:rFonts w:ascii="Arial" w:hAnsi="Arial" w:cs="Arial"/>
          <w:sz w:val="24"/>
          <w:szCs w:val="24"/>
        </w:rPr>
        <w:t xml:space="preserve"> which is the substance of this submission, </w:t>
      </w:r>
      <w:r w:rsidR="00317542">
        <w:rPr>
          <w:rFonts w:ascii="Arial" w:hAnsi="Arial" w:cs="Arial"/>
          <w:sz w:val="24"/>
          <w:szCs w:val="24"/>
        </w:rPr>
        <w:t xml:space="preserve">shows that this finding </w:t>
      </w:r>
      <w:r w:rsidR="00FE06C1">
        <w:rPr>
          <w:rFonts w:ascii="Arial" w:hAnsi="Arial" w:cs="Arial"/>
          <w:sz w:val="24"/>
          <w:szCs w:val="24"/>
        </w:rPr>
        <w:t xml:space="preserve">of lower costs </w:t>
      </w:r>
      <w:r w:rsidR="00317542">
        <w:rPr>
          <w:rFonts w:ascii="Arial" w:hAnsi="Arial" w:cs="Arial"/>
          <w:sz w:val="24"/>
          <w:szCs w:val="24"/>
        </w:rPr>
        <w:t xml:space="preserve">is fallacious </w:t>
      </w:r>
      <w:r>
        <w:rPr>
          <w:rFonts w:ascii="Arial" w:hAnsi="Arial" w:cs="Arial"/>
          <w:sz w:val="24"/>
          <w:szCs w:val="24"/>
        </w:rPr>
        <w:t xml:space="preserve">in that there are no cost savings resulting from the </w:t>
      </w:r>
      <w:r w:rsidR="00B97030">
        <w:rPr>
          <w:rFonts w:ascii="Arial" w:hAnsi="Arial" w:cs="Arial"/>
          <w:sz w:val="24"/>
          <w:szCs w:val="24"/>
        </w:rPr>
        <w:t xml:space="preserve">expanded </w:t>
      </w:r>
      <w:r>
        <w:rPr>
          <w:rFonts w:ascii="Arial" w:hAnsi="Arial" w:cs="Arial"/>
          <w:sz w:val="24"/>
          <w:szCs w:val="24"/>
        </w:rPr>
        <w:t>use of rail instead of road</w:t>
      </w:r>
      <w:r w:rsidR="002C5596">
        <w:rPr>
          <w:rFonts w:ascii="Arial" w:hAnsi="Arial" w:cs="Arial"/>
          <w:sz w:val="24"/>
          <w:szCs w:val="24"/>
        </w:rPr>
        <w:t>. The</w:t>
      </w:r>
      <w:r>
        <w:rPr>
          <w:rFonts w:ascii="Arial" w:hAnsi="Arial" w:cs="Arial"/>
          <w:sz w:val="24"/>
          <w:szCs w:val="24"/>
        </w:rPr>
        <w:t xml:space="preserve"> </w:t>
      </w:r>
      <w:r w:rsidR="00317542">
        <w:rPr>
          <w:rFonts w:ascii="Arial" w:hAnsi="Arial" w:cs="Arial"/>
          <w:sz w:val="24"/>
          <w:szCs w:val="24"/>
        </w:rPr>
        <w:t>submission gives detailed reasons for this conclusion.</w:t>
      </w:r>
    </w:p>
    <w:p w:rsidR="00BB4336" w:rsidRDefault="00BB4336" w:rsidP="00BB4336">
      <w:pPr>
        <w:pStyle w:val="ListParagraph"/>
        <w:ind w:left="0" w:firstLine="720"/>
        <w:rPr>
          <w:rFonts w:ascii="Arial" w:hAnsi="Arial" w:cs="Arial"/>
          <w:sz w:val="24"/>
          <w:szCs w:val="24"/>
        </w:rPr>
      </w:pPr>
    </w:p>
    <w:p w:rsidR="00317542" w:rsidRDefault="00317542" w:rsidP="00BB4336">
      <w:pPr>
        <w:pStyle w:val="ListParagraph"/>
        <w:ind w:left="0" w:firstLine="720"/>
        <w:rPr>
          <w:rFonts w:ascii="Arial" w:hAnsi="Arial" w:cs="Arial"/>
          <w:sz w:val="24"/>
          <w:szCs w:val="24"/>
        </w:rPr>
      </w:pPr>
      <w:r>
        <w:rPr>
          <w:rFonts w:ascii="Arial" w:hAnsi="Arial" w:cs="Arial"/>
          <w:sz w:val="24"/>
          <w:szCs w:val="24"/>
        </w:rPr>
        <w:t xml:space="preserve">The false justification of this project by the misuse of CBA means that capital amounts </w:t>
      </w:r>
      <w:r w:rsidR="00FE06C1">
        <w:rPr>
          <w:rFonts w:ascii="Arial" w:hAnsi="Arial" w:cs="Arial"/>
          <w:sz w:val="24"/>
          <w:szCs w:val="24"/>
        </w:rPr>
        <w:t xml:space="preserve">of </w:t>
      </w:r>
      <w:r>
        <w:rPr>
          <w:rFonts w:ascii="Arial" w:hAnsi="Arial" w:cs="Arial"/>
          <w:sz w:val="24"/>
          <w:szCs w:val="24"/>
        </w:rPr>
        <w:t xml:space="preserve">between $700m and $1100m have been misallocated.This misallocation can undermine productivity </w:t>
      </w:r>
      <w:r w:rsidR="00BB4336">
        <w:rPr>
          <w:rFonts w:ascii="Arial" w:hAnsi="Arial" w:cs="Arial"/>
          <w:sz w:val="24"/>
          <w:szCs w:val="24"/>
        </w:rPr>
        <w:t xml:space="preserve">of freight haulage </w:t>
      </w:r>
      <w:r>
        <w:rPr>
          <w:rFonts w:ascii="Arial" w:hAnsi="Arial" w:cs="Arial"/>
          <w:sz w:val="24"/>
          <w:szCs w:val="24"/>
        </w:rPr>
        <w:t xml:space="preserve">and competition in the freight transport industry and </w:t>
      </w:r>
      <w:r w:rsidR="002C5596">
        <w:rPr>
          <w:rFonts w:ascii="Arial" w:hAnsi="Arial" w:cs="Arial"/>
          <w:sz w:val="24"/>
          <w:szCs w:val="24"/>
        </w:rPr>
        <w:t xml:space="preserve">also </w:t>
      </w:r>
      <w:r>
        <w:rPr>
          <w:rFonts w:ascii="Arial" w:hAnsi="Arial" w:cs="Arial"/>
          <w:sz w:val="24"/>
          <w:szCs w:val="24"/>
        </w:rPr>
        <w:t>undermine public (taxpayer) a</w:t>
      </w:r>
      <w:r w:rsidR="00BB4336">
        <w:rPr>
          <w:rFonts w:ascii="Arial" w:hAnsi="Arial" w:cs="Arial"/>
          <w:sz w:val="24"/>
          <w:szCs w:val="24"/>
        </w:rPr>
        <w:t>nd private(investor) confidence.</w:t>
      </w:r>
    </w:p>
    <w:p w:rsidR="00123610" w:rsidRPr="00123610" w:rsidRDefault="00123610" w:rsidP="00BB4336">
      <w:pPr>
        <w:pStyle w:val="ListParagraph"/>
        <w:ind w:left="0" w:firstLine="720"/>
        <w:rPr>
          <w:rFonts w:ascii="Arial" w:hAnsi="Arial" w:cs="Arial"/>
          <w:sz w:val="24"/>
          <w:szCs w:val="24"/>
        </w:rPr>
      </w:pPr>
    </w:p>
    <w:p w:rsidR="00C71B50" w:rsidRDefault="00C71B50">
      <w:pPr>
        <w:rPr>
          <w:rFonts w:ascii="Arial" w:hAnsi="Arial" w:cs="Arial"/>
          <w:sz w:val="24"/>
          <w:szCs w:val="24"/>
        </w:rPr>
      </w:pPr>
      <w:r>
        <w:rPr>
          <w:rFonts w:ascii="Arial" w:hAnsi="Arial" w:cs="Arial"/>
          <w:sz w:val="24"/>
          <w:szCs w:val="24"/>
        </w:rPr>
        <w:t>Yours faithfully</w:t>
      </w:r>
    </w:p>
    <w:p w:rsidR="00C71B50" w:rsidRDefault="00C71B50" w:rsidP="003219C0">
      <w:pPr>
        <w:spacing w:after="0"/>
        <w:rPr>
          <w:rFonts w:ascii="Arial" w:hAnsi="Arial" w:cs="Arial"/>
          <w:sz w:val="24"/>
          <w:szCs w:val="24"/>
        </w:rPr>
      </w:pPr>
      <w:r>
        <w:rPr>
          <w:rFonts w:ascii="Arial" w:hAnsi="Arial" w:cs="Arial"/>
          <w:sz w:val="24"/>
          <w:szCs w:val="24"/>
        </w:rPr>
        <w:t>Dr John L</w:t>
      </w:r>
      <w:r w:rsidR="00C37165">
        <w:rPr>
          <w:rFonts w:ascii="Arial" w:hAnsi="Arial" w:cs="Arial"/>
          <w:sz w:val="24"/>
          <w:szCs w:val="24"/>
        </w:rPr>
        <w:t>.</w:t>
      </w:r>
      <w:r>
        <w:rPr>
          <w:rFonts w:ascii="Arial" w:hAnsi="Arial" w:cs="Arial"/>
          <w:sz w:val="24"/>
          <w:szCs w:val="24"/>
        </w:rPr>
        <w:t xml:space="preserve"> Goldberg</w:t>
      </w:r>
    </w:p>
    <w:p w:rsidR="00C71B50" w:rsidRDefault="00C71B50" w:rsidP="003219C0">
      <w:pPr>
        <w:spacing w:after="0"/>
        <w:rPr>
          <w:rFonts w:ascii="Arial" w:hAnsi="Arial" w:cs="Arial"/>
          <w:sz w:val="24"/>
          <w:szCs w:val="24"/>
        </w:rPr>
      </w:pPr>
      <w:r>
        <w:rPr>
          <w:rFonts w:ascii="Arial" w:hAnsi="Arial" w:cs="Arial"/>
          <w:sz w:val="24"/>
          <w:szCs w:val="24"/>
        </w:rPr>
        <w:t>Former Honorary Associate</w:t>
      </w:r>
    </w:p>
    <w:p w:rsidR="007E759D" w:rsidRDefault="007E759D">
      <w:pPr>
        <w:rPr>
          <w:rFonts w:ascii="Arial" w:hAnsi="Arial" w:cs="Arial"/>
          <w:sz w:val="24"/>
          <w:szCs w:val="24"/>
        </w:rPr>
      </w:pPr>
      <w:r>
        <w:rPr>
          <w:rFonts w:ascii="Arial" w:hAnsi="Arial" w:cs="Arial"/>
          <w:sz w:val="24"/>
          <w:szCs w:val="24"/>
        </w:rPr>
        <w:br w:type="page"/>
      </w:r>
    </w:p>
    <w:p w:rsidR="007E759D" w:rsidRDefault="007E759D" w:rsidP="007E759D">
      <w:pPr>
        <w:jc w:val="center"/>
        <w:rPr>
          <w:rFonts w:ascii="Arial" w:hAnsi="Arial" w:cs="Arial"/>
          <w:sz w:val="32"/>
          <w:szCs w:val="32"/>
          <w:u w:val="single"/>
        </w:rPr>
      </w:pPr>
      <w:r>
        <w:rPr>
          <w:rFonts w:ascii="Arial" w:hAnsi="Arial" w:cs="Arial"/>
          <w:sz w:val="32"/>
          <w:szCs w:val="32"/>
          <w:u w:val="single"/>
        </w:rPr>
        <w:lastRenderedPageBreak/>
        <w:t>Inquiry into Public Infrastructure</w:t>
      </w:r>
    </w:p>
    <w:p w:rsidR="007E759D" w:rsidRPr="001B57E6" w:rsidRDefault="007E759D" w:rsidP="007E759D">
      <w:pPr>
        <w:jc w:val="center"/>
        <w:rPr>
          <w:rFonts w:ascii="Arial" w:hAnsi="Arial" w:cs="Arial"/>
          <w:sz w:val="32"/>
          <w:szCs w:val="32"/>
          <w:u w:val="single"/>
        </w:rPr>
      </w:pPr>
      <w:r w:rsidRPr="001B57E6">
        <w:rPr>
          <w:rFonts w:ascii="Arial" w:hAnsi="Arial" w:cs="Arial"/>
          <w:sz w:val="32"/>
          <w:szCs w:val="32"/>
          <w:u w:val="single"/>
        </w:rPr>
        <w:t xml:space="preserve">Submission to </w:t>
      </w:r>
      <w:r>
        <w:rPr>
          <w:rFonts w:ascii="Arial" w:hAnsi="Arial" w:cs="Arial"/>
          <w:sz w:val="32"/>
          <w:szCs w:val="32"/>
          <w:u w:val="single"/>
        </w:rPr>
        <w:t>the Productivity Commission</w:t>
      </w:r>
    </w:p>
    <w:p w:rsidR="007E759D" w:rsidRDefault="007E759D" w:rsidP="007E759D">
      <w:pPr>
        <w:jc w:val="center"/>
        <w:rPr>
          <w:rFonts w:ascii="Arial" w:hAnsi="Arial" w:cs="Arial"/>
          <w:sz w:val="28"/>
          <w:szCs w:val="28"/>
        </w:rPr>
      </w:pPr>
    </w:p>
    <w:p w:rsidR="007E759D" w:rsidRDefault="007E759D" w:rsidP="007E759D">
      <w:pPr>
        <w:jc w:val="center"/>
        <w:rPr>
          <w:rFonts w:ascii="Arial" w:hAnsi="Arial" w:cs="Arial"/>
          <w:sz w:val="40"/>
          <w:szCs w:val="40"/>
        </w:rPr>
      </w:pPr>
    </w:p>
    <w:p w:rsidR="007E759D" w:rsidRDefault="007E759D" w:rsidP="007E759D">
      <w:pPr>
        <w:jc w:val="center"/>
        <w:rPr>
          <w:rFonts w:ascii="Arial" w:hAnsi="Arial" w:cs="Arial"/>
          <w:sz w:val="40"/>
          <w:szCs w:val="40"/>
        </w:rPr>
      </w:pPr>
    </w:p>
    <w:p w:rsidR="007E759D" w:rsidRDefault="007E759D" w:rsidP="007E759D">
      <w:pPr>
        <w:jc w:val="center"/>
        <w:rPr>
          <w:rFonts w:ascii="Arial" w:hAnsi="Arial" w:cs="Arial"/>
          <w:sz w:val="40"/>
          <w:szCs w:val="40"/>
        </w:rPr>
      </w:pPr>
    </w:p>
    <w:p w:rsidR="007E759D" w:rsidRDefault="007E759D" w:rsidP="007E759D">
      <w:pPr>
        <w:jc w:val="center"/>
        <w:rPr>
          <w:rFonts w:ascii="Arial" w:hAnsi="Arial" w:cs="Arial"/>
          <w:sz w:val="28"/>
          <w:szCs w:val="28"/>
        </w:rPr>
      </w:pPr>
      <w:r w:rsidRPr="001B57E6">
        <w:rPr>
          <w:rFonts w:ascii="Arial" w:hAnsi="Arial" w:cs="Arial"/>
          <w:sz w:val="40"/>
          <w:szCs w:val="40"/>
        </w:rPr>
        <w:t>An audit of the cost-benefit analysis for the Northern Sydney Freight Corridor Program prepared by Deloitte on behalf of Transport for NSW (2011</w:t>
      </w:r>
      <w:r>
        <w:rPr>
          <w:rFonts w:ascii="Arial" w:hAnsi="Arial" w:cs="Arial"/>
          <w:sz w:val="28"/>
          <w:szCs w:val="28"/>
        </w:rPr>
        <w:t>).</w:t>
      </w:r>
    </w:p>
    <w:p w:rsidR="007E759D" w:rsidRDefault="007E759D" w:rsidP="007E759D">
      <w:pPr>
        <w:jc w:val="center"/>
        <w:rPr>
          <w:rFonts w:ascii="Arial" w:hAnsi="Arial" w:cs="Arial"/>
          <w:sz w:val="28"/>
          <w:szCs w:val="28"/>
        </w:rPr>
      </w:pPr>
    </w:p>
    <w:p w:rsidR="007E759D" w:rsidRDefault="007E759D" w:rsidP="007E759D">
      <w:pPr>
        <w:jc w:val="center"/>
        <w:rPr>
          <w:rFonts w:ascii="Arial" w:hAnsi="Arial" w:cs="Arial"/>
          <w:sz w:val="28"/>
          <w:szCs w:val="28"/>
        </w:rPr>
      </w:pPr>
    </w:p>
    <w:p w:rsidR="007E759D" w:rsidRDefault="007E759D" w:rsidP="007E759D">
      <w:pPr>
        <w:jc w:val="center"/>
        <w:rPr>
          <w:rFonts w:ascii="Arial" w:hAnsi="Arial" w:cs="Arial"/>
          <w:sz w:val="28"/>
          <w:szCs w:val="28"/>
        </w:rPr>
      </w:pPr>
    </w:p>
    <w:p w:rsidR="007E759D" w:rsidRDefault="007E759D" w:rsidP="007E759D">
      <w:pPr>
        <w:jc w:val="center"/>
        <w:rPr>
          <w:rFonts w:ascii="Arial" w:hAnsi="Arial" w:cs="Arial"/>
          <w:sz w:val="28"/>
          <w:szCs w:val="28"/>
        </w:rPr>
      </w:pPr>
    </w:p>
    <w:p w:rsidR="007E759D" w:rsidRPr="001B57E6" w:rsidRDefault="007E759D" w:rsidP="007E759D">
      <w:pPr>
        <w:spacing w:after="120" w:line="240" w:lineRule="auto"/>
        <w:jc w:val="center"/>
        <w:rPr>
          <w:rFonts w:ascii="Arial" w:hAnsi="Arial" w:cs="Arial"/>
          <w:sz w:val="32"/>
          <w:szCs w:val="32"/>
        </w:rPr>
      </w:pPr>
      <w:r w:rsidRPr="001B57E6">
        <w:rPr>
          <w:rFonts w:ascii="Arial" w:hAnsi="Arial" w:cs="Arial"/>
          <w:sz w:val="32"/>
          <w:szCs w:val="32"/>
        </w:rPr>
        <w:t>John L. Goldberg</w:t>
      </w:r>
    </w:p>
    <w:p w:rsidR="007E759D" w:rsidRPr="001B57E6" w:rsidRDefault="007E759D" w:rsidP="007E759D">
      <w:pPr>
        <w:spacing w:after="120" w:line="240" w:lineRule="auto"/>
        <w:jc w:val="center"/>
        <w:rPr>
          <w:rFonts w:ascii="Arial" w:hAnsi="Arial" w:cs="Arial"/>
          <w:sz w:val="32"/>
          <w:szCs w:val="32"/>
        </w:rPr>
      </w:pPr>
      <w:r w:rsidRPr="001B57E6">
        <w:rPr>
          <w:rFonts w:ascii="Arial" w:hAnsi="Arial" w:cs="Arial"/>
          <w:sz w:val="32"/>
          <w:szCs w:val="32"/>
        </w:rPr>
        <w:t>Former Honorary Associate</w:t>
      </w:r>
    </w:p>
    <w:p w:rsidR="007E759D" w:rsidRPr="001B57E6" w:rsidRDefault="007E759D" w:rsidP="007E759D">
      <w:pPr>
        <w:spacing w:after="120" w:line="240" w:lineRule="auto"/>
        <w:jc w:val="center"/>
        <w:rPr>
          <w:rFonts w:ascii="Arial" w:hAnsi="Arial" w:cs="Arial"/>
          <w:sz w:val="32"/>
          <w:szCs w:val="32"/>
        </w:rPr>
      </w:pPr>
      <w:r w:rsidRPr="001B57E6">
        <w:rPr>
          <w:rFonts w:ascii="Arial" w:hAnsi="Arial" w:cs="Arial"/>
          <w:sz w:val="32"/>
          <w:szCs w:val="32"/>
        </w:rPr>
        <w:t>The University of Sydney</w:t>
      </w:r>
    </w:p>
    <w:p w:rsidR="007E759D" w:rsidRDefault="007E759D" w:rsidP="007E759D">
      <w:pPr>
        <w:jc w:val="center"/>
        <w:rPr>
          <w:rFonts w:ascii="Arial" w:hAnsi="Arial" w:cs="Arial"/>
          <w:sz w:val="28"/>
          <w:szCs w:val="28"/>
        </w:rPr>
      </w:pPr>
    </w:p>
    <w:p w:rsidR="007E759D" w:rsidRDefault="007E759D" w:rsidP="007E759D">
      <w:pPr>
        <w:jc w:val="center"/>
        <w:rPr>
          <w:rFonts w:ascii="Arial" w:hAnsi="Arial" w:cs="Arial"/>
          <w:sz w:val="28"/>
          <w:szCs w:val="28"/>
        </w:rPr>
      </w:pPr>
    </w:p>
    <w:p w:rsidR="007E759D" w:rsidRDefault="007E759D" w:rsidP="007E759D">
      <w:pPr>
        <w:jc w:val="center"/>
        <w:rPr>
          <w:rFonts w:ascii="Arial" w:hAnsi="Arial" w:cs="Arial"/>
          <w:sz w:val="28"/>
          <w:szCs w:val="28"/>
        </w:rPr>
      </w:pPr>
      <w:r>
        <w:rPr>
          <w:rFonts w:ascii="Arial" w:hAnsi="Arial" w:cs="Arial"/>
          <w:sz w:val="28"/>
          <w:szCs w:val="28"/>
        </w:rPr>
        <w:t>10 January 2014</w:t>
      </w:r>
    </w:p>
    <w:p w:rsidR="007E759D" w:rsidRDefault="007E759D" w:rsidP="007E759D">
      <w:pPr>
        <w:jc w:val="center"/>
        <w:rPr>
          <w:rFonts w:ascii="Arial" w:hAnsi="Arial" w:cs="Arial"/>
          <w:sz w:val="28"/>
          <w:szCs w:val="28"/>
        </w:rPr>
      </w:pPr>
    </w:p>
    <w:p w:rsidR="007E759D" w:rsidRPr="003F1B68" w:rsidRDefault="007E759D" w:rsidP="007E759D">
      <w:pPr>
        <w:jc w:val="center"/>
        <w:rPr>
          <w:rFonts w:ascii="Arial" w:hAnsi="Arial" w:cs="Arial"/>
          <w:sz w:val="28"/>
          <w:szCs w:val="28"/>
        </w:rPr>
      </w:pPr>
      <w:r w:rsidRPr="003F1B68">
        <w:rPr>
          <w:rFonts w:ascii="Arial" w:hAnsi="Arial" w:cs="Arial"/>
          <w:sz w:val="28"/>
          <w:szCs w:val="28"/>
        </w:rPr>
        <w:t xml:space="preserve">An audit of the Deloitte </w:t>
      </w:r>
      <w:r>
        <w:rPr>
          <w:rFonts w:ascii="Arial" w:hAnsi="Arial" w:cs="Arial"/>
          <w:sz w:val="28"/>
          <w:szCs w:val="28"/>
        </w:rPr>
        <w:t xml:space="preserve">cost benefit analysis </w:t>
      </w:r>
      <w:r w:rsidRPr="003F1B68">
        <w:rPr>
          <w:rFonts w:ascii="Arial" w:hAnsi="Arial" w:cs="Arial"/>
          <w:sz w:val="28"/>
          <w:szCs w:val="28"/>
        </w:rPr>
        <w:t xml:space="preserve">for the </w:t>
      </w:r>
      <w:r>
        <w:rPr>
          <w:rFonts w:ascii="Arial" w:hAnsi="Arial" w:cs="Arial"/>
          <w:sz w:val="28"/>
          <w:szCs w:val="28"/>
        </w:rPr>
        <w:t xml:space="preserve">Northern Sydney Freight Corridor </w:t>
      </w:r>
    </w:p>
    <w:p w:rsidR="007E759D" w:rsidRPr="003F1B68" w:rsidRDefault="007E759D" w:rsidP="007E759D">
      <w:pPr>
        <w:spacing w:after="0"/>
        <w:jc w:val="center"/>
        <w:rPr>
          <w:rFonts w:ascii="Arial" w:hAnsi="Arial" w:cs="Arial"/>
          <w:sz w:val="24"/>
          <w:szCs w:val="24"/>
        </w:rPr>
      </w:pPr>
      <w:r w:rsidRPr="003F1B68">
        <w:rPr>
          <w:rFonts w:ascii="Arial" w:hAnsi="Arial" w:cs="Arial"/>
          <w:sz w:val="24"/>
          <w:szCs w:val="24"/>
        </w:rPr>
        <w:t>John L Goldberg</w:t>
      </w:r>
    </w:p>
    <w:p w:rsidR="007E759D" w:rsidRPr="003F1B68" w:rsidRDefault="007E759D" w:rsidP="007E759D">
      <w:pPr>
        <w:spacing w:after="0"/>
        <w:jc w:val="center"/>
        <w:rPr>
          <w:rFonts w:ascii="Arial" w:hAnsi="Arial" w:cs="Arial"/>
          <w:sz w:val="24"/>
          <w:szCs w:val="24"/>
        </w:rPr>
      </w:pPr>
      <w:r w:rsidRPr="003F1B68">
        <w:rPr>
          <w:rFonts w:ascii="Arial" w:hAnsi="Arial" w:cs="Arial"/>
          <w:sz w:val="24"/>
          <w:szCs w:val="24"/>
        </w:rPr>
        <w:t>Former Honorary Associate</w:t>
      </w:r>
    </w:p>
    <w:p w:rsidR="007E759D" w:rsidRPr="00291156" w:rsidRDefault="007E759D" w:rsidP="007E759D">
      <w:pPr>
        <w:spacing w:after="0"/>
        <w:jc w:val="center"/>
        <w:rPr>
          <w:rFonts w:ascii="Arial" w:hAnsi="Arial" w:cs="Arial"/>
        </w:rPr>
      </w:pPr>
      <w:r w:rsidRPr="003F1B68">
        <w:rPr>
          <w:rFonts w:ascii="Arial" w:hAnsi="Arial" w:cs="Arial"/>
          <w:sz w:val="24"/>
          <w:szCs w:val="24"/>
        </w:rPr>
        <w:lastRenderedPageBreak/>
        <w:t>The University of Sydney</w:t>
      </w:r>
    </w:p>
    <w:p w:rsidR="007E759D" w:rsidRPr="00291156" w:rsidRDefault="007E759D" w:rsidP="007E759D">
      <w:pPr>
        <w:rPr>
          <w:rFonts w:ascii="Arial" w:hAnsi="Arial" w:cs="Arial"/>
        </w:rPr>
      </w:pPr>
    </w:p>
    <w:p w:rsidR="007E759D" w:rsidRPr="00291156" w:rsidRDefault="007E759D" w:rsidP="007E759D">
      <w:pPr>
        <w:jc w:val="center"/>
        <w:rPr>
          <w:rFonts w:ascii="Arial" w:hAnsi="Arial" w:cs="Arial"/>
          <w:sz w:val="28"/>
          <w:szCs w:val="28"/>
        </w:rPr>
      </w:pPr>
      <w:r>
        <w:rPr>
          <w:rFonts w:ascii="Arial" w:hAnsi="Arial" w:cs="Arial"/>
          <w:sz w:val="28"/>
          <w:szCs w:val="28"/>
        </w:rPr>
        <w:t>Summary of findings</w:t>
      </w:r>
    </w:p>
    <w:p w:rsidR="007E759D" w:rsidRDefault="007E759D" w:rsidP="007E759D">
      <w:pPr>
        <w:ind w:firstLine="720"/>
        <w:rPr>
          <w:rFonts w:ascii="Arial" w:hAnsi="Arial" w:cs="Arial"/>
          <w:sz w:val="24"/>
          <w:szCs w:val="24"/>
        </w:rPr>
      </w:pPr>
      <w:r w:rsidRPr="006C7CB0">
        <w:rPr>
          <w:rFonts w:ascii="Arial" w:hAnsi="Arial" w:cs="Arial"/>
          <w:sz w:val="24"/>
          <w:szCs w:val="24"/>
        </w:rPr>
        <w:t xml:space="preserve">A business case for </w:t>
      </w:r>
      <w:r>
        <w:rPr>
          <w:rFonts w:ascii="Arial" w:hAnsi="Arial" w:cs="Arial"/>
          <w:sz w:val="24"/>
          <w:szCs w:val="24"/>
        </w:rPr>
        <w:t xml:space="preserve">upgrading </w:t>
      </w:r>
      <w:r w:rsidRPr="006C7CB0">
        <w:rPr>
          <w:rFonts w:ascii="Arial" w:hAnsi="Arial" w:cs="Arial"/>
          <w:sz w:val="24"/>
          <w:szCs w:val="24"/>
        </w:rPr>
        <w:t xml:space="preserve">the Northern Sydney Freight </w:t>
      </w:r>
      <w:r>
        <w:rPr>
          <w:rFonts w:ascii="Arial" w:hAnsi="Arial" w:cs="Arial"/>
          <w:sz w:val="24"/>
          <w:szCs w:val="24"/>
        </w:rPr>
        <w:t xml:space="preserve">Corridor </w:t>
      </w:r>
      <w:r w:rsidRPr="006C7CB0">
        <w:rPr>
          <w:rFonts w:ascii="Arial" w:hAnsi="Arial" w:cs="Arial"/>
          <w:sz w:val="24"/>
          <w:szCs w:val="24"/>
        </w:rPr>
        <w:t>Program (NS</w:t>
      </w:r>
      <w:r>
        <w:rPr>
          <w:rFonts w:ascii="Arial" w:hAnsi="Arial" w:cs="Arial"/>
          <w:sz w:val="24"/>
          <w:szCs w:val="24"/>
        </w:rPr>
        <w:t>FC</w:t>
      </w:r>
      <w:r w:rsidRPr="006C7CB0">
        <w:rPr>
          <w:rFonts w:ascii="Arial" w:hAnsi="Arial" w:cs="Arial"/>
          <w:sz w:val="24"/>
          <w:szCs w:val="24"/>
        </w:rPr>
        <w:t xml:space="preserve">P) was commissioned by Transport for NSW in 2011 and carried out by </w:t>
      </w:r>
      <w:r>
        <w:rPr>
          <w:rFonts w:ascii="Arial" w:hAnsi="Arial" w:cs="Arial"/>
          <w:sz w:val="24"/>
          <w:szCs w:val="24"/>
        </w:rPr>
        <w:t xml:space="preserve">the </w:t>
      </w:r>
      <w:r w:rsidRPr="006C7CB0">
        <w:rPr>
          <w:rFonts w:ascii="Arial" w:hAnsi="Arial" w:cs="Arial"/>
          <w:sz w:val="24"/>
          <w:szCs w:val="24"/>
        </w:rPr>
        <w:t>accounting firm Deloitte</w:t>
      </w:r>
      <w:r>
        <w:rPr>
          <w:rFonts w:ascii="Arial" w:hAnsi="Arial" w:cs="Arial"/>
          <w:sz w:val="24"/>
          <w:szCs w:val="24"/>
        </w:rPr>
        <w:t xml:space="preserve">.The upgrade involves four components, namely the North Strathfield bypass, the </w:t>
      </w:r>
      <w:r w:rsidRPr="006C7CB0">
        <w:rPr>
          <w:rFonts w:ascii="Arial" w:hAnsi="Arial" w:cs="Arial"/>
          <w:sz w:val="24"/>
          <w:szCs w:val="24"/>
        </w:rPr>
        <w:t>Epping to Thornleigh Third Track (ETTT)</w:t>
      </w:r>
      <w:r>
        <w:rPr>
          <w:rFonts w:ascii="Arial" w:hAnsi="Arial" w:cs="Arial"/>
          <w:sz w:val="24"/>
          <w:szCs w:val="24"/>
        </w:rPr>
        <w:t>, the Hexham and Gosford passing Loops</w:t>
      </w:r>
      <w:r w:rsidRPr="006C7CB0">
        <w:rPr>
          <w:rFonts w:ascii="Arial" w:hAnsi="Arial" w:cs="Arial"/>
          <w:sz w:val="24"/>
          <w:szCs w:val="24"/>
        </w:rPr>
        <w:t xml:space="preserve"> </w:t>
      </w:r>
    </w:p>
    <w:p w:rsidR="007E759D" w:rsidRDefault="007E759D" w:rsidP="007E759D">
      <w:pPr>
        <w:ind w:firstLine="720"/>
        <w:rPr>
          <w:rFonts w:ascii="Arial" w:hAnsi="Arial" w:cs="Arial"/>
          <w:sz w:val="24"/>
          <w:szCs w:val="24"/>
        </w:rPr>
      </w:pPr>
      <w:r w:rsidRPr="006C7CB0">
        <w:rPr>
          <w:rFonts w:ascii="Arial" w:hAnsi="Arial" w:cs="Arial"/>
          <w:sz w:val="24"/>
          <w:szCs w:val="24"/>
        </w:rPr>
        <w:t xml:space="preserve">The </w:t>
      </w:r>
      <w:r>
        <w:rPr>
          <w:rFonts w:ascii="Arial" w:hAnsi="Arial" w:cs="Arial"/>
          <w:sz w:val="24"/>
          <w:szCs w:val="24"/>
        </w:rPr>
        <w:t xml:space="preserve">Deloitte </w:t>
      </w:r>
      <w:r w:rsidRPr="006C7CB0">
        <w:rPr>
          <w:rFonts w:ascii="Arial" w:hAnsi="Arial" w:cs="Arial"/>
          <w:sz w:val="24"/>
          <w:szCs w:val="24"/>
        </w:rPr>
        <w:t>findings indicated that the project was economic</w:t>
      </w:r>
      <w:r>
        <w:rPr>
          <w:rFonts w:ascii="Arial" w:hAnsi="Arial" w:cs="Arial"/>
          <w:sz w:val="24"/>
          <w:szCs w:val="24"/>
        </w:rPr>
        <w:t xml:space="preserve">ally viable as the benefits exceeded </w:t>
      </w:r>
      <w:r w:rsidRPr="006C7CB0">
        <w:rPr>
          <w:rFonts w:ascii="Arial" w:hAnsi="Arial" w:cs="Arial"/>
          <w:sz w:val="24"/>
          <w:szCs w:val="24"/>
        </w:rPr>
        <w:t xml:space="preserve">the costs by a factor of </w:t>
      </w:r>
      <w:r>
        <w:rPr>
          <w:rFonts w:ascii="Arial" w:hAnsi="Arial" w:cs="Arial"/>
          <w:sz w:val="24"/>
          <w:szCs w:val="24"/>
        </w:rPr>
        <w:t xml:space="preserve">about three. But previous research by the author (Goldberg, 2010) into the economic effect of marginally increasing the capacity of a transport system does not support such a large increase in benefit to cost ratio (BCR). For example, this research has shown that widening a road from four to six lanes increases the capacity by 50% yet the benefit to cost ratio of the upgrade was only 0.27. </w:t>
      </w:r>
    </w:p>
    <w:p w:rsidR="007E759D" w:rsidRDefault="007E759D" w:rsidP="007E759D">
      <w:pPr>
        <w:ind w:firstLine="720"/>
        <w:rPr>
          <w:rFonts w:ascii="Arial" w:hAnsi="Arial" w:cs="Arial"/>
          <w:sz w:val="24"/>
          <w:szCs w:val="24"/>
        </w:rPr>
      </w:pPr>
      <w:r>
        <w:rPr>
          <w:rFonts w:ascii="Arial" w:hAnsi="Arial" w:cs="Arial"/>
          <w:sz w:val="24"/>
          <w:szCs w:val="24"/>
        </w:rPr>
        <w:t>With the four component upgrade of the rail corridor between North Strathfield and Broadmeadow the capacity increase is only 9.6%. Moreover, Australian Infrastructure Statistics (2012) for NSW shows that road freight demand is nearly seven times greater than that of rail freight and its rate of increase is nearly double that of rail. This evidence has led the author to examine in detail the claims made in the Deloitte document.</w:t>
      </w:r>
    </w:p>
    <w:p w:rsidR="007E759D" w:rsidRDefault="007E759D" w:rsidP="007E759D">
      <w:pPr>
        <w:ind w:firstLine="720"/>
        <w:rPr>
          <w:rFonts w:ascii="Arial" w:hAnsi="Arial" w:cs="Arial"/>
          <w:sz w:val="24"/>
          <w:szCs w:val="24"/>
        </w:rPr>
      </w:pPr>
      <w:r>
        <w:rPr>
          <w:rFonts w:ascii="Arial" w:hAnsi="Arial" w:cs="Arial"/>
          <w:sz w:val="24"/>
          <w:szCs w:val="24"/>
        </w:rPr>
        <w:t>The benefits of the proposal are defined by Deloitte as the difference in costs obtained by moving freight by rail compared with moving the same amount of freight by road, but this audit shows that the benefits were not calculated by this method. Instead Deloitte used only the costs of moving freight by the upgraded rail system and wrongly defined these costs as benefits. This approach had the effect of making the benefits significantly larger and this provided an economic justification for the project.</w:t>
      </w:r>
    </w:p>
    <w:p w:rsidR="007E759D" w:rsidRPr="006C7CB0" w:rsidRDefault="007E759D" w:rsidP="007E759D">
      <w:pPr>
        <w:ind w:firstLine="720"/>
        <w:rPr>
          <w:rFonts w:ascii="Arial" w:hAnsi="Arial" w:cs="Arial"/>
          <w:sz w:val="24"/>
          <w:szCs w:val="24"/>
        </w:rPr>
      </w:pPr>
      <w:r>
        <w:rPr>
          <w:rFonts w:ascii="Arial" w:hAnsi="Arial" w:cs="Arial"/>
          <w:sz w:val="24"/>
          <w:szCs w:val="24"/>
        </w:rPr>
        <w:t xml:space="preserve">Consistent with this approach, capital costs involved in the construction have also been redefined as additional benefits and added to the total benefits already wrongly obtained. The entire capital cost of the project which, according to official NSW government sources is $1.1 billion, was claimed by Deloitte to be only $755 million, This cost reduction also contributed to a higher BCR. </w:t>
      </w:r>
    </w:p>
    <w:p w:rsidR="007E759D" w:rsidRDefault="007E759D" w:rsidP="007E759D">
      <w:pPr>
        <w:ind w:firstLine="720"/>
        <w:rPr>
          <w:rFonts w:ascii="Arial" w:hAnsi="Arial" w:cs="Arial"/>
          <w:sz w:val="24"/>
          <w:szCs w:val="24"/>
        </w:rPr>
      </w:pPr>
      <w:r>
        <w:rPr>
          <w:rFonts w:ascii="Arial" w:hAnsi="Arial" w:cs="Arial"/>
          <w:sz w:val="24"/>
          <w:szCs w:val="24"/>
        </w:rPr>
        <w:t xml:space="preserve">On taking account of all the above factors the real BCR was calculated by the author to be only 0.63 </w:t>
      </w:r>
      <w:r w:rsidRPr="006C7CB0">
        <w:rPr>
          <w:rFonts w:ascii="Arial" w:hAnsi="Arial" w:cs="Arial"/>
          <w:sz w:val="24"/>
          <w:szCs w:val="24"/>
        </w:rPr>
        <w:t>over a 30 year pe</w:t>
      </w:r>
      <w:r>
        <w:rPr>
          <w:rFonts w:ascii="Arial" w:hAnsi="Arial" w:cs="Arial"/>
          <w:sz w:val="24"/>
          <w:szCs w:val="24"/>
        </w:rPr>
        <w:t xml:space="preserve">riod at a discount rate of 7%pa compared to the Deloitte claim of 2.75. or greater. </w:t>
      </w:r>
      <w:r w:rsidRPr="006C7CB0">
        <w:rPr>
          <w:rFonts w:ascii="Arial" w:hAnsi="Arial" w:cs="Arial"/>
          <w:sz w:val="24"/>
          <w:szCs w:val="24"/>
        </w:rPr>
        <w:t xml:space="preserve">The real benefits are thus less than the costs leading to </w:t>
      </w:r>
      <w:r>
        <w:rPr>
          <w:rFonts w:ascii="Arial" w:hAnsi="Arial" w:cs="Arial"/>
          <w:sz w:val="24"/>
          <w:szCs w:val="24"/>
        </w:rPr>
        <w:t xml:space="preserve">a compelling reason for not funding </w:t>
      </w:r>
      <w:r w:rsidRPr="006C7CB0">
        <w:rPr>
          <w:rFonts w:ascii="Arial" w:hAnsi="Arial" w:cs="Arial"/>
          <w:sz w:val="24"/>
          <w:szCs w:val="24"/>
        </w:rPr>
        <w:t>the project</w:t>
      </w:r>
      <w:r>
        <w:rPr>
          <w:rFonts w:ascii="Arial" w:hAnsi="Arial" w:cs="Arial"/>
          <w:sz w:val="24"/>
          <w:szCs w:val="24"/>
        </w:rPr>
        <w:t>. To fund such a project would involve a serious misallocation of capital.</w:t>
      </w:r>
    </w:p>
    <w:p w:rsidR="007E759D" w:rsidRDefault="007E759D" w:rsidP="007E759D">
      <w:pPr>
        <w:ind w:firstLine="720"/>
        <w:rPr>
          <w:rFonts w:ascii="Arial" w:hAnsi="Arial" w:cs="Arial"/>
          <w:sz w:val="24"/>
          <w:szCs w:val="24"/>
        </w:rPr>
      </w:pPr>
      <w:r>
        <w:rPr>
          <w:rFonts w:ascii="Arial" w:hAnsi="Arial" w:cs="Arial"/>
          <w:sz w:val="24"/>
          <w:szCs w:val="24"/>
        </w:rPr>
        <w:lastRenderedPageBreak/>
        <w:t>This audit shows how a business case can be developed to support an uneconomic infrastructure project.</w:t>
      </w: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r>
        <w:rPr>
          <w:rFonts w:ascii="Arial" w:hAnsi="Arial" w:cs="Arial"/>
          <w:sz w:val="24"/>
          <w:szCs w:val="24"/>
        </w:rPr>
        <w:t>10 January 2014</w:t>
      </w: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cs="Arial"/>
          <w:b/>
          <w:sz w:val="24"/>
          <w:szCs w:val="24"/>
        </w:rPr>
      </w:pPr>
    </w:p>
    <w:p w:rsidR="007E759D" w:rsidRPr="00B17CD1" w:rsidRDefault="007E759D" w:rsidP="007E759D">
      <w:pPr>
        <w:jc w:val="center"/>
        <w:rPr>
          <w:rFonts w:ascii="Arial" w:hAnsi="Arial" w:cs="Arial"/>
          <w:b/>
          <w:sz w:val="28"/>
          <w:szCs w:val="28"/>
          <w:u w:val="single"/>
        </w:rPr>
      </w:pPr>
      <w:r w:rsidRPr="00B17CD1">
        <w:rPr>
          <w:rFonts w:ascii="Arial" w:hAnsi="Arial" w:cs="Arial"/>
          <w:b/>
          <w:sz w:val="28"/>
          <w:szCs w:val="28"/>
          <w:u w:val="single"/>
        </w:rPr>
        <w:t>Contents</w:t>
      </w:r>
    </w:p>
    <w:p w:rsidR="007E759D" w:rsidRPr="00627F46" w:rsidRDefault="007E759D" w:rsidP="007E759D">
      <w:pPr>
        <w:pStyle w:val="ListParagraph"/>
        <w:numPr>
          <w:ilvl w:val="0"/>
          <w:numId w:val="5"/>
        </w:numPr>
        <w:rPr>
          <w:rFonts w:cs="Arial"/>
          <w:sz w:val="28"/>
          <w:szCs w:val="28"/>
        </w:rPr>
      </w:pPr>
      <w:r w:rsidRPr="00627F46">
        <w:rPr>
          <w:rFonts w:cs="Arial"/>
          <w:sz w:val="28"/>
          <w:szCs w:val="28"/>
        </w:rPr>
        <w:t>Introduction</w:t>
      </w:r>
    </w:p>
    <w:p w:rsidR="007E759D" w:rsidRPr="00627F46" w:rsidRDefault="007E759D" w:rsidP="007E759D">
      <w:pPr>
        <w:pStyle w:val="ListParagraph"/>
        <w:rPr>
          <w:rFonts w:cs="Arial"/>
          <w:sz w:val="28"/>
          <w:szCs w:val="28"/>
        </w:rPr>
      </w:pPr>
    </w:p>
    <w:p w:rsidR="007E759D" w:rsidRPr="00627F46" w:rsidRDefault="007E759D" w:rsidP="007E759D">
      <w:pPr>
        <w:pStyle w:val="ListParagraph"/>
        <w:numPr>
          <w:ilvl w:val="0"/>
          <w:numId w:val="5"/>
        </w:numPr>
        <w:rPr>
          <w:rFonts w:cs="Arial"/>
          <w:sz w:val="28"/>
          <w:szCs w:val="28"/>
        </w:rPr>
      </w:pPr>
      <w:r w:rsidRPr="00627F46">
        <w:rPr>
          <w:rFonts w:cs="Arial"/>
          <w:sz w:val="28"/>
          <w:szCs w:val="28"/>
        </w:rPr>
        <w:t>The Deloitte analysis</w:t>
      </w:r>
      <w:r>
        <w:rPr>
          <w:rFonts w:cs="Arial"/>
          <w:sz w:val="28"/>
          <w:szCs w:val="28"/>
        </w:rPr>
        <w:t>:</w:t>
      </w:r>
      <w:r w:rsidRPr="00627F46">
        <w:rPr>
          <w:rFonts w:cs="Arial"/>
          <w:sz w:val="28"/>
          <w:szCs w:val="28"/>
        </w:rPr>
        <w:t xml:space="preserve"> general </w:t>
      </w:r>
      <w:r>
        <w:rPr>
          <w:rFonts w:cs="Arial"/>
          <w:sz w:val="28"/>
          <w:szCs w:val="28"/>
        </w:rPr>
        <w:t>remarks.</w:t>
      </w:r>
    </w:p>
    <w:p w:rsidR="007E759D" w:rsidRPr="00627F46" w:rsidRDefault="007E759D" w:rsidP="007E759D">
      <w:pPr>
        <w:pStyle w:val="ListParagraph"/>
        <w:rPr>
          <w:rFonts w:cs="Arial"/>
          <w:sz w:val="28"/>
          <w:szCs w:val="28"/>
        </w:rPr>
      </w:pPr>
    </w:p>
    <w:p w:rsidR="007E759D" w:rsidRDefault="007E759D" w:rsidP="007E759D">
      <w:pPr>
        <w:pStyle w:val="ListParagraph"/>
        <w:numPr>
          <w:ilvl w:val="0"/>
          <w:numId w:val="5"/>
        </w:numPr>
        <w:rPr>
          <w:rFonts w:cs="Arial"/>
          <w:sz w:val="28"/>
          <w:szCs w:val="28"/>
        </w:rPr>
      </w:pPr>
      <w:r w:rsidRPr="00627F46">
        <w:rPr>
          <w:rFonts w:cs="Arial"/>
          <w:sz w:val="28"/>
          <w:szCs w:val="28"/>
        </w:rPr>
        <w:t xml:space="preserve"> The relative magnitudes of the freight task as carried by road and rail due to the transfer of freight to rail.</w:t>
      </w:r>
    </w:p>
    <w:p w:rsidR="007E759D" w:rsidRPr="00DC3559" w:rsidRDefault="007E759D" w:rsidP="007E759D">
      <w:pPr>
        <w:pStyle w:val="ListParagraph"/>
        <w:rPr>
          <w:rFonts w:cs="Arial"/>
          <w:sz w:val="28"/>
          <w:szCs w:val="28"/>
        </w:rPr>
      </w:pPr>
    </w:p>
    <w:p w:rsidR="007E759D" w:rsidRPr="00627F46" w:rsidRDefault="007E759D" w:rsidP="007E759D">
      <w:pPr>
        <w:pStyle w:val="ListParagraph"/>
        <w:rPr>
          <w:rFonts w:cs="Arial"/>
          <w:sz w:val="28"/>
          <w:szCs w:val="28"/>
        </w:rPr>
      </w:pPr>
      <w:r>
        <w:rPr>
          <w:rFonts w:cs="Arial"/>
          <w:sz w:val="28"/>
          <w:szCs w:val="28"/>
        </w:rPr>
        <w:t>3.1 Is there a case for transferring freight carried by heavy road vehicles to rail on the upgraded rail system?</w:t>
      </w:r>
      <w:r w:rsidRPr="00627F46">
        <w:rPr>
          <w:rFonts w:cs="Arial"/>
          <w:sz w:val="28"/>
          <w:szCs w:val="28"/>
        </w:rPr>
        <w:t xml:space="preserve"> </w:t>
      </w:r>
    </w:p>
    <w:p w:rsidR="007E759D" w:rsidRPr="00627F46" w:rsidRDefault="007E759D" w:rsidP="007E759D">
      <w:pPr>
        <w:pStyle w:val="ListParagraph"/>
        <w:rPr>
          <w:rFonts w:cs="Arial"/>
          <w:sz w:val="28"/>
          <w:szCs w:val="28"/>
        </w:rPr>
      </w:pPr>
    </w:p>
    <w:p w:rsidR="007E759D" w:rsidRPr="00DC3559" w:rsidRDefault="007E759D" w:rsidP="007E759D">
      <w:pPr>
        <w:pStyle w:val="ListParagraph"/>
        <w:numPr>
          <w:ilvl w:val="0"/>
          <w:numId w:val="5"/>
        </w:numPr>
        <w:rPr>
          <w:rFonts w:cs="Arial"/>
          <w:sz w:val="28"/>
          <w:szCs w:val="28"/>
        </w:rPr>
      </w:pPr>
      <w:r w:rsidRPr="00DC3559">
        <w:rPr>
          <w:rFonts w:cs="Arial"/>
          <w:sz w:val="28"/>
          <w:szCs w:val="28"/>
        </w:rPr>
        <w:t>Detailed numerical examination of the Deloitte business case.</w:t>
      </w:r>
    </w:p>
    <w:p w:rsidR="007E759D" w:rsidRPr="00627F46" w:rsidRDefault="007E759D" w:rsidP="007E759D">
      <w:pPr>
        <w:pStyle w:val="ListParagraph"/>
        <w:ind w:left="1125"/>
        <w:rPr>
          <w:rFonts w:cs="Arial"/>
          <w:sz w:val="28"/>
          <w:szCs w:val="28"/>
        </w:rPr>
      </w:pPr>
    </w:p>
    <w:p w:rsidR="007E759D" w:rsidRPr="00627F46" w:rsidRDefault="007E759D" w:rsidP="007E759D">
      <w:pPr>
        <w:pStyle w:val="ListParagraph"/>
        <w:numPr>
          <w:ilvl w:val="1"/>
          <w:numId w:val="5"/>
        </w:numPr>
        <w:rPr>
          <w:rFonts w:cs="Arial"/>
          <w:sz w:val="28"/>
          <w:szCs w:val="28"/>
        </w:rPr>
      </w:pPr>
      <w:r w:rsidRPr="00627F46">
        <w:rPr>
          <w:rFonts w:cs="Arial"/>
          <w:sz w:val="28"/>
          <w:szCs w:val="28"/>
        </w:rPr>
        <w:t xml:space="preserve"> Steps in the computation</w:t>
      </w:r>
      <w:r>
        <w:rPr>
          <w:rFonts w:cs="Arial"/>
          <w:sz w:val="28"/>
          <w:szCs w:val="28"/>
        </w:rPr>
        <w:t>.</w:t>
      </w:r>
    </w:p>
    <w:p w:rsidR="007E759D" w:rsidRPr="00627F46" w:rsidRDefault="007E759D" w:rsidP="007E759D">
      <w:pPr>
        <w:pStyle w:val="ListParagraph"/>
        <w:ind w:left="1125"/>
        <w:rPr>
          <w:rFonts w:cs="Arial"/>
          <w:sz w:val="28"/>
          <w:szCs w:val="28"/>
        </w:rPr>
      </w:pPr>
    </w:p>
    <w:p w:rsidR="007E759D" w:rsidRDefault="007E759D" w:rsidP="007E759D">
      <w:pPr>
        <w:pStyle w:val="ListParagraph"/>
        <w:numPr>
          <w:ilvl w:val="0"/>
          <w:numId w:val="5"/>
        </w:numPr>
        <w:rPr>
          <w:rFonts w:cs="Arial"/>
          <w:sz w:val="28"/>
          <w:szCs w:val="28"/>
        </w:rPr>
      </w:pPr>
      <w:r>
        <w:rPr>
          <w:rFonts w:cs="Arial"/>
          <w:sz w:val="28"/>
          <w:szCs w:val="28"/>
        </w:rPr>
        <w:t>Summary of benefit to cost ratios</w:t>
      </w:r>
    </w:p>
    <w:p w:rsidR="007E759D" w:rsidRDefault="007E759D" w:rsidP="007E759D">
      <w:pPr>
        <w:pStyle w:val="ListParagraph"/>
        <w:rPr>
          <w:rFonts w:cs="Arial"/>
          <w:sz w:val="28"/>
          <w:szCs w:val="28"/>
        </w:rPr>
      </w:pPr>
    </w:p>
    <w:p w:rsidR="007E759D" w:rsidRPr="00627F46" w:rsidRDefault="007E759D" w:rsidP="007E759D">
      <w:pPr>
        <w:pStyle w:val="ListParagraph"/>
        <w:numPr>
          <w:ilvl w:val="0"/>
          <w:numId w:val="5"/>
        </w:numPr>
        <w:rPr>
          <w:rFonts w:cs="Arial"/>
          <w:sz w:val="28"/>
          <w:szCs w:val="28"/>
        </w:rPr>
      </w:pPr>
      <w:r w:rsidRPr="00627F46">
        <w:rPr>
          <w:rFonts w:cs="Arial"/>
          <w:sz w:val="28"/>
          <w:szCs w:val="28"/>
        </w:rPr>
        <w:t>Concluding remarks</w:t>
      </w:r>
    </w:p>
    <w:p w:rsidR="007E759D" w:rsidRPr="00B17CD1" w:rsidRDefault="007E759D" w:rsidP="007E759D">
      <w:pPr>
        <w:rPr>
          <w:rFonts w:cs="Arial"/>
          <w:b/>
          <w:sz w:val="28"/>
          <w:szCs w:val="28"/>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Default="007E759D" w:rsidP="007E759D">
      <w:pPr>
        <w:rPr>
          <w:rFonts w:ascii="Arial" w:hAnsi="Arial" w:cs="Arial"/>
          <w:sz w:val="24"/>
          <w:szCs w:val="24"/>
        </w:rPr>
      </w:pPr>
    </w:p>
    <w:p w:rsidR="007E759D" w:rsidRPr="00A351FC" w:rsidRDefault="007E759D" w:rsidP="007E759D">
      <w:pPr>
        <w:pStyle w:val="ListParagraph"/>
        <w:numPr>
          <w:ilvl w:val="0"/>
          <w:numId w:val="2"/>
        </w:numPr>
        <w:rPr>
          <w:b/>
        </w:rPr>
      </w:pPr>
      <w:r w:rsidRPr="00DC3559">
        <w:rPr>
          <w:b/>
        </w:rPr>
        <w:t>Introduction</w:t>
      </w:r>
    </w:p>
    <w:p w:rsidR="007E759D" w:rsidRDefault="007E759D" w:rsidP="007E759D">
      <w:pPr>
        <w:ind w:left="426" w:firstLine="294"/>
        <w:rPr>
          <w:rFonts w:ascii="Arial" w:hAnsi="Arial" w:cs="Arial"/>
          <w:sz w:val="24"/>
          <w:szCs w:val="24"/>
        </w:rPr>
      </w:pPr>
      <w:r w:rsidRPr="00A351FC">
        <w:rPr>
          <w:rFonts w:ascii="Arial" w:hAnsi="Arial" w:cs="Arial"/>
          <w:sz w:val="24"/>
          <w:szCs w:val="24"/>
        </w:rPr>
        <w:t xml:space="preserve">This submission examines the cost benefit analysis (CBA) of the </w:t>
      </w:r>
      <w:r>
        <w:rPr>
          <w:rFonts w:ascii="Arial" w:hAnsi="Arial" w:cs="Arial"/>
          <w:sz w:val="24"/>
          <w:szCs w:val="24"/>
        </w:rPr>
        <w:t xml:space="preserve">Northern Sydney Freight Corridor expansion </w:t>
      </w:r>
      <w:r w:rsidRPr="00A351FC">
        <w:rPr>
          <w:rFonts w:ascii="Arial" w:hAnsi="Arial" w:cs="Arial"/>
          <w:sz w:val="24"/>
          <w:szCs w:val="24"/>
        </w:rPr>
        <w:t xml:space="preserve">carried out by Deloitte for Transport for NSW and </w:t>
      </w:r>
      <w:r>
        <w:rPr>
          <w:rFonts w:ascii="Arial" w:hAnsi="Arial" w:cs="Arial"/>
          <w:sz w:val="24"/>
          <w:szCs w:val="24"/>
        </w:rPr>
        <w:t xml:space="preserve">evaluates </w:t>
      </w:r>
      <w:r w:rsidRPr="00A351FC">
        <w:rPr>
          <w:rFonts w:ascii="Arial" w:hAnsi="Arial" w:cs="Arial"/>
          <w:sz w:val="24"/>
          <w:szCs w:val="24"/>
        </w:rPr>
        <w:t xml:space="preserve">its integrity. The author’s experience of CBA </w:t>
      </w:r>
      <w:r>
        <w:rPr>
          <w:rFonts w:ascii="Arial" w:hAnsi="Arial" w:cs="Arial"/>
          <w:sz w:val="24"/>
          <w:szCs w:val="24"/>
        </w:rPr>
        <w:t>for t</w:t>
      </w:r>
      <w:r w:rsidRPr="00A351FC">
        <w:rPr>
          <w:rFonts w:ascii="Arial" w:hAnsi="Arial" w:cs="Arial"/>
          <w:sz w:val="24"/>
          <w:szCs w:val="24"/>
        </w:rPr>
        <w:t>ransport systems suggests that relatively small changes in system capacity cannot give rise to disp</w:t>
      </w:r>
      <w:r>
        <w:rPr>
          <w:rFonts w:ascii="Arial" w:hAnsi="Arial" w:cs="Arial"/>
          <w:sz w:val="24"/>
          <w:szCs w:val="24"/>
        </w:rPr>
        <w:t>r</w:t>
      </w:r>
      <w:r w:rsidRPr="00A351FC">
        <w:rPr>
          <w:rFonts w:ascii="Arial" w:hAnsi="Arial" w:cs="Arial"/>
          <w:sz w:val="24"/>
          <w:szCs w:val="24"/>
        </w:rPr>
        <w:t>o</w:t>
      </w:r>
      <w:r>
        <w:rPr>
          <w:rFonts w:ascii="Arial" w:hAnsi="Arial" w:cs="Arial"/>
          <w:sz w:val="24"/>
          <w:szCs w:val="24"/>
        </w:rPr>
        <w:t>port</w:t>
      </w:r>
      <w:r w:rsidRPr="00A351FC">
        <w:rPr>
          <w:rFonts w:ascii="Arial" w:hAnsi="Arial" w:cs="Arial"/>
          <w:sz w:val="24"/>
          <w:szCs w:val="24"/>
        </w:rPr>
        <w:t>ionate</w:t>
      </w:r>
      <w:r>
        <w:rPr>
          <w:rFonts w:ascii="Arial" w:hAnsi="Arial" w:cs="Arial"/>
          <w:sz w:val="24"/>
          <w:szCs w:val="24"/>
        </w:rPr>
        <w:t>ly large</w:t>
      </w:r>
      <w:r w:rsidRPr="00A351FC">
        <w:rPr>
          <w:rFonts w:ascii="Arial" w:hAnsi="Arial" w:cs="Arial"/>
          <w:sz w:val="24"/>
          <w:szCs w:val="24"/>
        </w:rPr>
        <w:t xml:space="preserve"> increases in benefits. In the case of the </w:t>
      </w:r>
      <w:r>
        <w:rPr>
          <w:rFonts w:ascii="Arial" w:hAnsi="Arial" w:cs="Arial"/>
          <w:sz w:val="24"/>
          <w:szCs w:val="24"/>
        </w:rPr>
        <w:t xml:space="preserve">four component expansion of the corridor </w:t>
      </w:r>
      <w:r w:rsidRPr="00A351FC">
        <w:rPr>
          <w:rFonts w:ascii="Arial" w:hAnsi="Arial" w:cs="Arial"/>
          <w:sz w:val="24"/>
          <w:szCs w:val="24"/>
        </w:rPr>
        <w:t xml:space="preserve">a very high benefit-to-cost (BCR) ratio </w:t>
      </w:r>
      <w:r>
        <w:rPr>
          <w:rFonts w:ascii="Arial" w:hAnsi="Arial" w:cs="Arial"/>
          <w:sz w:val="24"/>
          <w:szCs w:val="24"/>
        </w:rPr>
        <w:t xml:space="preserve">of between 2 and 3 </w:t>
      </w:r>
      <w:r w:rsidRPr="00A351FC">
        <w:rPr>
          <w:rFonts w:ascii="Arial" w:hAnsi="Arial" w:cs="Arial"/>
          <w:sz w:val="24"/>
          <w:szCs w:val="24"/>
        </w:rPr>
        <w:t xml:space="preserve"> is claimed, but there is shown to be a number of serious anomalies </w:t>
      </w:r>
      <w:r>
        <w:rPr>
          <w:rFonts w:ascii="Arial" w:hAnsi="Arial" w:cs="Arial"/>
          <w:sz w:val="24"/>
          <w:szCs w:val="24"/>
        </w:rPr>
        <w:t xml:space="preserve">in the Deloitte analysis </w:t>
      </w:r>
      <w:r w:rsidRPr="00A351FC">
        <w:rPr>
          <w:rFonts w:ascii="Arial" w:hAnsi="Arial" w:cs="Arial"/>
          <w:sz w:val="24"/>
          <w:szCs w:val="24"/>
        </w:rPr>
        <w:t xml:space="preserve">which </w:t>
      </w:r>
      <w:r>
        <w:rPr>
          <w:rFonts w:ascii="Arial" w:hAnsi="Arial" w:cs="Arial"/>
          <w:sz w:val="24"/>
          <w:szCs w:val="24"/>
        </w:rPr>
        <w:t xml:space="preserve">have had the effect of inflating the benefits and the </w:t>
      </w:r>
      <w:r>
        <w:rPr>
          <w:rFonts w:ascii="Arial" w:hAnsi="Arial" w:cs="Arial"/>
          <w:sz w:val="24"/>
          <w:szCs w:val="24"/>
        </w:rPr>
        <w:lastRenderedPageBreak/>
        <w:t xml:space="preserve">benefit to cost ratio. The Deloitte analysis has been accepted for funding of this demonstrably  uneconomic project. </w:t>
      </w:r>
    </w:p>
    <w:p w:rsidR="007E759D" w:rsidRPr="00A351FC" w:rsidRDefault="007E759D" w:rsidP="007E759D">
      <w:pPr>
        <w:ind w:left="426"/>
        <w:rPr>
          <w:rFonts w:ascii="Arial" w:hAnsi="Arial" w:cs="Arial"/>
          <w:b/>
        </w:rPr>
      </w:pPr>
      <w:r w:rsidRPr="00A351FC">
        <w:rPr>
          <w:rFonts w:ascii="Arial" w:hAnsi="Arial" w:cs="Arial"/>
          <w:b/>
        </w:rPr>
        <w:t>2. The Deloitte analysis</w:t>
      </w:r>
      <w:r>
        <w:rPr>
          <w:rFonts w:ascii="Arial" w:hAnsi="Arial" w:cs="Arial"/>
          <w:b/>
        </w:rPr>
        <w:t>: general remarks</w:t>
      </w:r>
    </w:p>
    <w:p w:rsidR="007E759D" w:rsidRPr="000E2C61" w:rsidRDefault="007E759D" w:rsidP="007E759D">
      <w:pPr>
        <w:pStyle w:val="ListParagraph"/>
        <w:ind w:left="426" w:firstLine="294"/>
        <w:rPr>
          <w:sz w:val="24"/>
          <w:szCs w:val="24"/>
        </w:rPr>
      </w:pPr>
      <w:r w:rsidRPr="000E2C61">
        <w:rPr>
          <w:sz w:val="24"/>
          <w:szCs w:val="24"/>
        </w:rPr>
        <w:t>The Deloitte analysis is a 60 page document plus appendices</w:t>
      </w:r>
      <w:r>
        <w:rPr>
          <w:sz w:val="24"/>
          <w:szCs w:val="24"/>
        </w:rPr>
        <w:t xml:space="preserve"> which was made available to the author by </w:t>
      </w:r>
      <w:r w:rsidRPr="000E2C61">
        <w:rPr>
          <w:sz w:val="24"/>
          <w:szCs w:val="24"/>
        </w:rPr>
        <w:t xml:space="preserve">Infrastructure Australia </w:t>
      </w:r>
      <w:r>
        <w:rPr>
          <w:sz w:val="24"/>
          <w:szCs w:val="24"/>
        </w:rPr>
        <w:t xml:space="preserve">under the Freedom of Information Act, 1982. </w:t>
      </w:r>
      <w:r w:rsidRPr="000E2C61">
        <w:rPr>
          <w:sz w:val="24"/>
          <w:szCs w:val="24"/>
        </w:rPr>
        <w:t xml:space="preserve">The </w:t>
      </w:r>
      <w:r>
        <w:rPr>
          <w:sz w:val="24"/>
          <w:szCs w:val="24"/>
        </w:rPr>
        <w:t xml:space="preserve">Deloitte </w:t>
      </w:r>
      <w:r w:rsidRPr="000E2C61">
        <w:rPr>
          <w:sz w:val="24"/>
          <w:szCs w:val="24"/>
        </w:rPr>
        <w:t>document reveals a</w:t>
      </w:r>
      <w:r>
        <w:rPr>
          <w:sz w:val="24"/>
          <w:szCs w:val="24"/>
        </w:rPr>
        <w:t xml:space="preserve">n undiscounted </w:t>
      </w:r>
      <w:r w:rsidRPr="000E2C61">
        <w:rPr>
          <w:sz w:val="24"/>
          <w:szCs w:val="24"/>
        </w:rPr>
        <w:t xml:space="preserve">capital cost </w:t>
      </w:r>
      <w:r>
        <w:rPr>
          <w:sz w:val="24"/>
          <w:szCs w:val="24"/>
        </w:rPr>
        <w:t xml:space="preserve">with an upper limit </w:t>
      </w:r>
      <w:r w:rsidRPr="000E2C61">
        <w:rPr>
          <w:sz w:val="24"/>
          <w:szCs w:val="24"/>
        </w:rPr>
        <w:t xml:space="preserve">of $755m which is assumed to include the </w:t>
      </w:r>
      <w:r>
        <w:rPr>
          <w:sz w:val="24"/>
          <w:szCs w:val="24"/>
        </w:rPr>
        <w:t xml:space="preserve">underpass, the </w:t>
      </w:r>
      <w:r w:rsidRPr="000E2C61">
        <w:rPr>
          <w:sz w:val="24"/>
          <w:szCs w:val="24"/>
        </w:rPr>
        <w:t>Third Track</w:t>
      </w:r>
      <w:r>
        <w:rPr>
          <w:sz w:val="24"/>
          <w:szCs w:val="24"/>
        </w:rPr>
        <w:t xml:space="preserve"> and </w:t>
      </w:r>
      <w:r w:rsidRPr="000E2C61">
        <w:rPr>
          <w:sz w:val="24"/>
          <w:szCs w:val="24"/>
        </w:rPr>
        <w:t xml:space="preserve">two passing loops as described in Table 1 below. .But this cost </w:t>
      </w:r>
      <w:r>
        <w:rPr>
          <w:sz w:val="24"/>
          <w:szCs w:val="24"/>
        </w:rPr>
        <w:t xml:space="preserve">is substantially less than the amount of $1.1 billion </w:t>
      </w:r>
      <w:r w:rsidRPr="000E2C61">
        <w:rPr>
          <w:sz w:val="24"/>
          <w:szCs w:val="24"/>
        </w:rPr>
        <w:t xml:space="preserve">that </w:t>
      </w:r>
      <w:r>
        <w:rPr>
          <w:sz w:val="24"/>
          <w:szCs w:val="24"/>
        </w:rPr>
        <w:t xml:space="preserve">was </w:t>
      </w:r>
      <w:r w:rsidRPr="000E2C61">
        <w:rPr>
          <w:sz w:val="24"/>
          <w:szCs w:val="24"/>
        </w:rPr>
        <w:t xml:space="preserve">given to an industry briefing on 24 January 2012.The official cost summary is given in Table 1 below together with the added rail capacity </w:t>
      </w:r>
      <w:r>
        <w:rPr>
          <w:sz w:val="24"/>
          <w:szCs w:val="24"/>
        </w:rPr>
        <w:t xml:space="preserve">obtained </w:t>
      </w:r>
      <w:r w:rsidRPr="000E2C61">
        <w:rPr>
          <w:sz w:val="24"/>
          <w:szCs w:val="24"/>
        </w:rPr>
        <w:t>from the four components.</w:t>
      </w:r>
    </w:p>
    <w:p w:rsidR="007E759D" w:rsidRPr="000E2C61" w:rsidRDefault="007E759D" w:rsidP="007E759D">
      <w:pPr>
        <w:pStyle w:val="ListParagraph"/>
        <w:rPr>
          <w:sz w:val="24"/>
          <w:szCs w:val="24"/>
        </w:rPr>
      </w:pPr>
    </w:p>
    <w:p w:rsidR="007E759D" w:rsidRDefault="007E759D" w:rsidP="007E759D">
      <w:pPr>
        <w:pStyle w:val="ListParagraph"/>
        <w:jc w:val="center"/>
        <w:rPr>
          <w:b/>
          <w:u w:val="single"/>
        </w:rPr>
      </w:pPr>
      <w:r w:rsidRPr="00A351FC">
        <w:rPr>
          <w:b/>
          <w:u w:val="single"/>
        </w:rPr>
        <w:t>Table 1.</w:t>
      </w:r>
    </w:p>
    <w:p w:rsidR="007E759D" w:rsidRPr="00A351FC" w:rsidRDefault="007E759D" w:rsidP="007E759D">
      <w:pPr>
        <w:pStyle w:val="ListParagraph"/>
        <w:rPr>
          <w:b/>
          <w:u w:val="single"/>
        </w:rPr>
      </w:pPr>
    </w:p>
    <w:p w:rsidR="007E759D" w:rsidRDefault="007E759D" w:rsidP="007E759D">
      <w:pPr>
        <w:pStyle w:val="ListParagraph"/>
        <w:jc w:val="center"/>
      </w:pPr>
      <w:r>
        <w:t>Estimated costs and increase in rail capacity</w:t>
      </w:r>
    </w:p>
    <w:tbl>
      <w:tblPr>
        <w:tblStyle w:val="TableGrid"/>
        <w:tblW w:w="0" w:type="auto"/>
        <w:tblInd w:w="720" w:type="dxa"/>
        <w:tblLook w:val="04A0" w:firstRow="1" w:lastRow="0" w:firstColumn="1" w:lastColumn="0" w:noHBand="0" w:noVBand="1"/>
      </w:tblPr>
      <w:tblGrid>
        <w:gridCol w:w="3357"/>
        <w:gridCol w:w="1985"/>
        <w:gridCol w:w="2835"/>
      </w:tblGrid>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Item</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Cost $ million</w:t>
            </w: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Dimension (km)</w:t>
            </w: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North Strathfield Rail Underpass</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435</w:t>
            </w: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2.4</w:t>
            </w: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Epping to Thornleigh Third Track</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520</w:t>
            </w: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6.1</w:t>
            </w: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Gosford Passing Loop</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120</w:t>
            </w: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4.6</w:t>
            </w: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Hexham  Passing Loop</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25</w:t>
            </w: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1.5</w:t>
            </w: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 xml:space="preserve">Total </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1100</w:t>
            </w: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14.6</w:t>
            </w: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Deloitte claim</w:t>
            </w:r>
          </w:p>
        </w:tc>
        <w:tc>
          <w:tcPr>
            <w:tcW w:w="198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755</w:t>
            </w:r>
          </w:p>
        </w:tc>
        <w:tc>
          <w:tcPr>
            <w:tcW w:w="2835" w:type="dxa"/>
            <w:tcBorders>
              <w:top w:val="single" w:sz="4" w:space="0" w:color="auto"/>
              <w:left w:val="single" w:sz="4" w:space="0" w:color="auto"/>
              <w:bottom w:val="single" w:sz="4" w:space="0" w:color="auto"/>
              <w:right w:val="single" w:sz="4" w:space="0" w:color="auto"/>
            </w:tcBorders>
          </w:tcPr>
          <w:p w:rsidR="007E759D" w:rsidRDefault="007E759D" w:rsidP="00217D92">
            <w:pPr>
              <w:pStyle w:val="ListParagraph"/>
              <w:ind w:left="0"/>
              <w:jc w:val="center"/>
            </w:pPr>
          </w:p>
        </w:tc>
      </w:tr>
      <w:tr w:rsidR="007E759D" w:rsidTr="00217D92">
        <w:tc>
          <w:tcPr>
            <w:tcW w:w="3357"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pPr>
            <w:r>
              <w:t>N. Strathfield to Broadmeadow</w:t>
            </w:r>
          </w:p>
        </w:tc>
        <w:tc>
          <w:tcPr>
            <w:tcW w:w="1985" w:type="dxa"/>
            <w:tcBorders>
              <w:top w:val="single" w:sz="4" w:space="0" w:color="auto"/>
              <w:left w:val="single" w:sz="4" w:space="0" w:color="auto"/>
              <w:bottom w:val="single" w:sz="4" w:space="0" w:color="auto"/>
              <w:right w:val="single" w:sz="4" w:space="0" w:color="auto"/>
            </w:tcBorders>
          </w:tcPr>
          <w:p w:rsidR="007E759D" w:rsidRDefault="007E759D" w:rsidP="00217D92">
            <w:pPr>
              <w:pStyle w:val="ListParagraph"/>
              <w:ind w:left="0"/>
              <w:jc w:val="center"/>
            </w:pPr>
          </w:p>
        </w:tc>
        <w:tc>
          <w:tcPr>
            <w:tcW w:w="2835" w:type="dxa"/>
            <w:tcBorders>
              <w:top w:val="single" w:sz="4" w:space="0" w:color="auto"/>
              <w:left w:val="single" w:sz="4" w:space="0" w:color="auto"/>
              <w:bottom w:val="single" w:sz="4" w:space="0" w:color="auto"/>
              <w:right w:val="single" w:sz="4" w:space="0" w:color="auto"/>
            </w:tcBorders>
            <w:hideMark/>
          </w:tcPr>
          <w:p w:rsidR="007E759D" w:rsidRDefault="007E759D" w:rsidP="00217D92">
            <w:pPr>
              <w:pStyle w:val="ListParagraph"/>
              <w:ind w:left="0"/>
              <w:jc w:val="center"/>
            </w:pPr>
            <w:r>
              <w:t>151.94</w:t>
            </w:r>
          </w:p>
        </w:tc>
      </w:tr>
    </w:tbl>
    <w:p w:rsidR="007E759D" w:rsidRDefault="007E759D" w:rsidP="007E759D">
      <w:pPr>
        <w:pStyle w:val="ListParagraph"/>
      </w:pPr>
    </w:p>
    <w:p w:rsidR="007E759D" w:rsidRDefault="007E759D" w:rsidP="007E759D">
      <w:pPr>
        <w:pStyle w:val="ListParagraph"/>
        <w:ind w:left="0" w:firstLine="720"/>
      </w:pPr>
      <w:r>
        <w:t>The increase in rail capacity is only 9.6%. Yet the Deloitte document claims a benefit to cost ratio of about 3.0 (actually 2.75 according to the spread sheet in Appendix C-Economic Evaluation Results, 30 year period. Only part of the explanation for the very high BCR lies in the understated capital cost, which was further reduced by discounting.</w:t>
      </w:r>
    </w:p>
    <w:p w:rsidR="007E759D" w:rsidRDefault="007E759D" w:rsidP="007E759D">
      <w:pPr>
        <w:pStyle w:val="ListParagraph"/>
        <w:ind w:left="0" w:firstLine="720"/>
      </w:pPr>
    </w:p>
    <w:p w:rsidR="007E759D" w:rsidRDefault="007E759D" w:rsidP="007E759D">
      <w:pPr>
        <w:pStyle w:val="ListParagraph"/>
        <w:ind w:left="0" w:firstLine="720"/>
      </w:pPr>
    </w:p>
    <w:p w:rsidR="007E759D" w:rsidRDefault="007E759D" w:rsidP="007E759D">
      <w:pPr>
        <w:pStyle w:val="ListParagraph"/>
        <w:ind w:left="0" w:firstLine="720"/>
      </w:pPr>
    </w:p>
    <w:p w:rsidR="007E759D" w:rsidRDefault="007E759D" w:rsidP="007E759D">
      <w:pPr>
        <w:ind w:left="709"/>
        <w:rPr>
          <w:rFonts w:ascii="Arial" w:hAnsi="Arial" w:cs="Arial"/>
        </w:rPr>
      </w:pPr>
    </w:p>
    <w:p w:rsidR="007E759D" w:rsidRDefault="007E759D" w:rsidP="007E759D">
      <w:pPr>
        <w:ind w:left="709"/>
        <w:rPr>
          <w:rFonts w:ascii="Arial" w:hAnsi="Arial" w:cs="Arial"/>
        </w:rPr>
      </w:pPr>
      <w:r>
        <w:rPr>
          <w:rFonts w:ascii="Arial" w:hAnsi="Arial" w:cs="Arial"/>
        </w:rPr>
        <w:t>There are two significant statements in the Deloitte document. The first one is</w:t>
      </w:r>
    </w:p>
    <w:p w:rsidR="007E759D" w:rsidRPr="00143B0F" w:rsidRDefault="007E759D" w:rsidP="007E759D">
      <w:pPr>
        <w:ind w:left="709" w:right="855"/>
        <w:rPr>
          <w:rFonts w:ascii="Arial" w:hAnsi="Arial" w:cs="Arial"/>
          <w:i/>
        </w:rPr>
      </w:pPr>
      <w:r w:rsidRPr="00143B0F">
        <w:rPr>
          <w:rFonts w:ascii="Arial" w:hAnsi="Arial" w:cs="Arial"/>
          <w:i/>
        </w:rPr>
        <w:t>“the additional capacity allows additional freight traffic to be transported by rail compared to the base case and this difference in rail freight demand forms the basis of the benefit estimation described below” (page 36).</w:t>
      </w:r>
    </w:p>
    <w:p w:rsidR="007E759D" w:rsidRDefault="007E759D" w:rsidP="007E759D">
      <w:pPr>
        <w:ind w:left="709"/>
        <w:rPr>
          <w:rFonts w:ascii="Arial" w:hAnsi="Arial" w:cs="Arial"/>
        </w:rPr>
      </w:pPr>
      <w:r>
        <w:rPr>
          <w:rFonts w:ascii="Arial" w:hAnsi="Arial" w:cs="Arial"/>
        </w:rPr>
        <w:t>The second statement is:</w:t>
      </w:r>
    </w:p>
    <w:p w:rsidR="007E759D" w:rsidRPr="00143B0F" w:rsidRDefault="007E759D" w:rsidP="007E759D">
      <w:pPr>
        <w:ind w:left="709" w:right="996"/>
        <w:rPr>
          <w:rFonts w:ascii="Arial" w:hAnsi="Arial" w:cs="Arial"/>
          <w:i/>
        </w:rPr>
      </w:pPr>
      <w:r w:rsidRPr="00143B0F">
        <w:rPr>
          <w:rFonts w:ascii="Arial" w:hAnsi="Arial" w:cs="Arial"/>
          <w:i/>
        </w:rPr>
        <w:t xml:space="preserve">“Within the benefit components, the largest contributor to the benefit stream is the reduction in freight transport operating costs resulting from a </w:t>
      </w:r>
      <w:r w:rsidRPr="00143B0F">
        <w:rPr>
          <w:rFonts w:ascii="Arial" w:hAnsi="Arial" w:cs="Arial"/>
          <w:i/>
        </w:rPr>
        <w:lastRenderedPageBreak/>
        <w:t>switch from road to rail being passed on by freight operators thro</w:t>
      </w:r>
      <w:r>
        <w:rPr>
          <w:rFonts w:ascii="Arial" w:hAnsi="Arial" w:cs="Arial"/>
          <w:i/>
        </w:rPr>
        <w:t>u</w:t>
      </w:r>
      <w:r w:rsidRPr="00143B0F">
        <w:rPr>
          <w:rFonts w:ascii="Arial" w:hAnsi="Arial" w:cs="Arial"/>
          <w:i/>
        </w:rPr>
        <w:t>gh lower prices”.(page 57).</w:t>
      </w:r>
    </w:p>
    <w:p w:rsidR="007E759D" w:rsidRDefault="007E759D" w:rsidP="007E759D">
      <w:pPr>
        <w:ind w:firstLine="709"/>
        <w:rPr>
          <w:rFonts w:ascii="Arial" w:hAnsi="Arial" w:cs="Arial"/>
        </w:rPr>
      </w:pPr>
      <w:r>
        <w:rPr>
          <w:rFonts w:ascii="Arial" w:hAnsi="Arial" w:cs="Arial"/>
        </w:rPr>
        <w:t>Although both these statements define the expected method of determining benefits, the actual method used by Deloitte is shown to be quite different.</w:t>
      </w:r>
    </w:p>
    <w:p w:rsidR="007E759D" w:rsidRPr="002E00D7" w:rsidRDefault="007E759D" w:rsidP="007E759D">
      <w:pPr>
        <w:ind w:firstLine="709"/>
        <w:rPr>
          <w:rFonts w:ascii="Arial" w:hAnsi="Arial" w:cs="Arial"/>
          <w:sz w:val="24"/>
          <w:szCs w:val="24"/>
        </w:rPr>
      </w:pPr>
      <w:r>
        <w:rPr>
          <w:rFonts w:ascii="Arial" w:hAnsi="Arial" w:cs="Arial"/>
          <w:sz w:val="24"/>
          <w:szCs w:val="24"/>
        </w:rPr>
        <w:t xml:space="preserve">It will be shown </w:t>
      </w:r>
      <w:r w:rsidRPr="002E00D7">
        <w:rPr>
          <w:rFonts w:ascii="Arial" w:hAnsi="Arial" w:cs="Arial"/>
          <w:sz w:val="24"/>
          <w:szCs w:val="24"/>
        </w:rPr>
        <w:t xml:space="preserve">that Deloitte has calculated the costs of moving freight by the </w:t>
      </w:r>
      <w:r>
        <w:rPr>
          <w:rFonts w:ascii="Arial" w:hAnsi="Arial" w:cs="Arial"/>
          <w:sz w:val="24"/>
          <w:szCs w:val="24"/>
        </w:rPr>
        <w:t xml:space="preserve">total </w:t>
      </w:r>
      <w:r w:rsidRPr="002E00D7">
        <w:rPr>
          <w:rFonts w:ascii="Arial" w:hAnsi="Arial" w:cs="Arial"/>
          <w:sz w:val="24"/>
          <w:szCs w:val="24"/>
        </w:rPr>
        <w:t>upgraded rail system</w:t>
      </w:r>
      <w:r>
        <w:rPr>
          <w:rFonts w:ascii="Arial" w:hAnsi="Arial" w:cs="Arial"/>
          <w:sz w:val="24"/>
          <w:szCs w:val="24"/>
        </w:rPr>
        <w:t>, not the costs attributable to the increased capacity of the system alone and has then wrongly defined these costs as benefits.</w:t>
      </w:r>
      <w:r w:rsidRPr="002E00D7">
        <w:rPr>
          <w:rFonts w:ascii="Arial" w:hAnsi="Arial" w:cs="Arial"/>
          <w:sz w:val="24"/>
          <w:szCs w:val="24"/>
        </w:rPr>
        <w:t xml:space="preserve"> There was no </w:t>
      </w:r>
      <w:r>
        <w:rPr>
          <w:rFonts w:ascii="Arial" w:hAnsi="Arial" w:cs="Arial"/>
          <w:sz w:val="24"/>
          <w:szCs w:val="24"/>
        </w:rPr>
        <w:t xml:space="preserve">evaluation </w:t>
      </w:r>
      <w:r w:rsidRPr="002E00D7">
        <w:rPr>
          <w:rFonts w:ascii="Arial" w:hAnsi="Arial" w:cs="Arial"/>
          <w:sz w:val="24"/>
          <w:szCs w:val="24"/>
        </w:rPr>
        <w:t xml:space="preserve">of the cost savings that would have been obtained by comparison with road usage. </w:t>
      </w:r>
      <w:r>
        <w:rPr>
          <w:rFonts w:ascii="Arial" w:hAnsi="Arial" w:cs="Arial"/>
          <w:sz w:val="24"/>
          <w:szCs w:val="24"/>
        </w:rPr>
        <w:t xml:space="preserve">This approach is shown to have had the effect of </w:t>
      </w:r>
      <w:r w:rsidRPr="002E00D7">
        <w:rPr>
          <w:rFonts w:ascii="Arial" w:hAnsi="Arial" w:cs="Arial"/>
          <w:sz w:val="24"/>
          <w:szCs w:val="24"/>
        </w:rPr>
        <w:t>generat</w:t>
      </w:r>
      <w:r>
        <w:rPr>
          <w:rFonts w:ascii="Arial" w:hAnsi="Arial" w:cs="Arial"/>
          <w:sz w:val="24"/>
          <w:szCs w:val="24"/>
        </w:rPr>
        <w:t xml:space="preserve">ing </w:t>
      </w:r>
      <w:r w:rsidRPr="002E00D7">
        <w:rPr>
          <w:rFonts w:ascii="Arial" w:hAnsi="Arial" w:cs="Arial"/>
          <w:sz w:val="24"/>
          <w:szCs w:val="24"/>
        </w:rPr>
        <w:t xml:space="preserve">benefits </w:t>
      </w:r>
      <w:r>
        <w:rPr>
          <w:rFonts w:ascii="Arial" w:hAnsi="Arial" w:cs="Arial"/>
          <w:sz w:val="24"/>
          <w:szCs w:val="24"/>
        </w:rPr>
        <w:t xml:space="preserve">that would adequately justify the project on economic grounds. </w:t>
      </w:r>
    </w:p>
    <w:p w:rsidR="007E759D" w:rsidRPr="006C7CB0" w:rsidRDefault="007E759D" w:rsidP="007E759D">
      <w:pPr>
        <w:ind w:firstLine="720"/>
        <w:rPr>
          <w:rFonts w:ascii="Arial" w:hAnsi="Arial" w:cs="Arial"/>
          <w:sz w:val="24"/>
          <w:szCs w:val="24"/>
        </w:rPr>
      </w:pPr>
      <w:r>
        <w:rPr>
          <w:rFonts w:ascii="Arial" w:hAnsi="Arial" w:cs="Arial"/>
          <w:sz w:val="24"/>
          <w:szCs w:val="24"/>
        </w:rPr>
        <w:t xml:space="preserve">Consistent with this requirement to justify the project, capital costs involved in the construction have also been wrongly redefined as benefits and added to the original series of benefits already obtained. The entire cost of the project which according to official NSW government sources is $1.1 billion as described in Table 1 was reduced by Deloitte to $755 million. To reduce the capital cost still further, part of the amount of $755 was discounted. These cost reductions contributed significantly to the high BCR. </w:t>
      </w:r>
    </w:p>
    <w:p w:rsidR="007E759D" w:rsidRDefault="007E759D" w:rsidP="007E759D">
      <w:pPr>
        <w:ind w:firstLine="720"/>
        <w:rPr>
          <w:rFonts w:ascii="Arial" w:hAnsi="Arial" w:cs="Arial"/>
          <w:sz w:val="24"/>
          <w:szCs w:val="24"/>
        </w:rPr>
      </w:pPr>
      <w:r w:rsidRPr="002E00D7">
        <w:rPr>
          <w:rFonts w:ascii="Arial" w:hAnsi="Arial" w:cs="Arial"/>
          <w:sz w:val="24"/>
          <w:szCs w:val="24"/>
        </w:rPr>
        <w:t xml:space="preserve">Table 8.1 (page 56) shows that the claimed benefits </w:t>
      </w:r>
      <w:r>
        <w:rPr>
          <w:rFonts w:ascii="Arial" w:hAnsi="Arial" w:cs="Arial"/>
          <w:sz w:val="24"/>
          <w:szCs w:val="24"/>
        </w:rPr>
        <w:t xml:space="preserve">of the project </w:t>
      </w:r>
      <w:r w:rsidRPr="002E00D7">
        <w:rPr>
          <w:rFonts w:ascii="Arial" w:hAnsi="Arial" w:cs="Arial"/>
          <w:sz w:val="24"/>
          <w:szCs w:val="24"/>
        </w:rPr>
        <w:t>are very large</w:t>
      </w:r>
      <w:r>
        <w:rPr>
          <w:rFonts w:ascii="Arial" w:hAnsi="Arial" w:cs="Arial"/>
          <w:sz w:val="24"/>
          <w:szCs w:val="24"/>
        </w:rPr>
        <w:t>,</w:t>
      </w:r>
      <w:r w:rsidRPr="002E00D7">
        <w:rPr>
          <w:rFonts w:ascii="Arial" w:hAnsi="Arial" w:cs="Arial"/>
          <w:sz w:val="24"/>
          <w:szCs w:val="24"/>
        </w:rPr>
        <w:t xml:space="preserve"> almost double the project cost. The basis of the Deloitte findings is therefore </w:t>
      </w:r>
      <w:r>
        <w:rPr>
          <w:rFonts w:ascii="Arial" w:hAnsi="Arial" w:cs="Arial"/>
          <w:sz w:val="24"/>
          <w:szCs w:val="24"/>
        </w:rPr>
        <w:t xml:space="preserve">questionable. Such doubts are emphasised </w:t>
      </w:r>
      <w:r w:rsidRPr="002E00D7">
        <w:rPr>
          <w:rFonts w:ascii="Arial" w:hAnsi="Arial" w:cs="Arial"/>
          <w:sz w:val="24"/>
          <w:szCs w:val="24"/>
        </w:rPr>
        <w:t>when one examines the freight demand to be accommodated by the increase in capacity.</w:t>
      </w:r>
    </w:p>
    <w:p w:rsidR="007E759D" w:rsidRDefault="007E759D" w:rsidP="007E759D">
      <w:pPr>
        <w:ind w:firstLine="720"/>
        <w:rPr>
          <w:rFonts w:ascii="Arial" w:hAnsi="Arial" w:cs="Arial"/>
          <w:sz w:val="24"/>
          <w:szCs w:val="24"/>
        </w:rPr>
      </w:pPr>
    </w:p>
    <w:p w:rsidR="007E759D" w:rsidRDefault="007E759D" w:rsidP="007E759D">
      <w:pPr>
        <w:ind w:firstLine="720"/>
        <w:rPr>
          <w:rFonts w:ascii="Arial" w:hAnsi="Arial" w:cs="Arial"/>
          <w:sz w:val="24"/>
          <w:szCs w:val="24"/>
        </w:rPr>
      </w:pPr>
    </w:p>
    <w:p w:rsidR="007E759D" w:rsidRDefault="007E759D" w:rsidP="007E759D">
      <w:pPr>
        <w:ind w:firstLine="720"/>
        <w:rPr>
          <w:rFonts w:ascii="Arial" w:hAnsi="Arial" w:cs="Arial"/>
          <w:sz w:val="24"/>
          <w:szCs w:val="24"/>
        </w:rPr>
      </w:pPr>
    </w:p>
    <w:p w:rsidR="007E759D" w:rsidRDefault="007E759D" w:rsidP="007E759D">
      <w:pPr>
        <w:ind w:firstLine="720"/>
        <w:rPr>
          <w:rFonts w:ascii="Arial" w:hAnsi="Arial" w:cs="Arial"/>
          <w:sz w:val="24"/>
          <w:szCs w:val="24"/>
        </w:rPr>
      </w:pPr>
    </w:p>
    <w:p w:rsidR="007E759D" w:rsidRPr="00150BAA" w:rsidRDefault="007E759D" w:rsidP="007E759D">
      <w:pPr>
        <w:rPr>
          <w:rFonts w:ascii="Arial" w:hAnsi="Arial" w:cs="Arial"/>
          <w:sz w:val="24"/>
          <w:szCs w:val="24"/>
        </w:rPr>
      </w:pPr>
      <w:r w:rsidRPr="00150BAA">
        <w:rPr>
          <w:rFonts w:ascii="Arial" w:hAnsi="Arial" w:cs="Arial"/>
          <w:b/>
          <w:sz w:val="24"/>
          <w:szCs w:val="24"/>
          <w:u w:val="single"/>
        </w:rPr>
        <w:t>Table 2</w:t>
      </w:r>
      <w:r w:rsidRPr="00150BAA">
        <w:rPr>
          <w:rFonts w:ascii="Arial" w:hAnsi="Arial" w:cs="Arial"/>
          <w:sz w:val="24"/>
          <w:szCs w:val="24"/>
        </w:rPr>
        <w:t xml:space="preserve"> below is reproduced from Table 5.13 “Road and rail freight task (net tonne-km million)</w:t>
      </w:r>
      <w:r>
        <w:rPr>
          <w:rFonts w:ascii="Arial" w:hAnsi="Arial" w:cs="Arial"/>
          <w:sz w:val="24"/>
          <w:szCs w:val="24"/>
        </w:rPr>
        <w:t>”</w:t>
      </w:r>
      <w:r w:rsidRPr="00150BAA">
        <w:rPr>
          <w:rFonts w:ascii="Arial" w:hAnsi="Arial" w:cs="Arial"/>
          <w:sz w:val="24"/>
          <w:szCs w:val="24"/>
        </w:rPr>
        <w:t xml:space="preserve"> in the Deloitte document.</w:t>
      </w:r>
    </w:p>
    <w:tbl>
      <w:tblPr>
        <w:tblStyle w:val="TableGrid"/>
        <w:tblW w:w="0" w:type="auto"/>
        <w:tblLook w:val="04A0" w:firstRow="1" w:lastRow="0" w:firstColumn="1" w:lastColumn="0" w:noHBand="0" w:noVBand="1"/>
      </w:tblPr>
      <w:tblGrid>
        <w:gridCol w:w="2306"/>
        <w:gridCol w:w="2313"/>
        <w:gridCol w:w="2426"/>
        <w:gridCol w:w="2197"/>
      </w:tblGrid>
      <w:tr w:rsidR="007E759D" w:rsidTr="00217D92">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Year</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Rail base case</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Rail upgrade</w:t>
            </w:r>
          </w:p>
        </w:tc>
        <w:tc>
          <w:tcPr>
            <w:tcW w:w="2258"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Task increment</w:t>
            </w:r>
          </w:p>
        </w:tc>
      </w:tr>
      <w:tr w:rsidR="007E759D" w:rsidTr="00217D92">
        <w:trPr>
          <w:trHeight w:hRule="exact" w:val="284"/>
        </w:trPr>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2010</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4,372</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4,372</w:t>
            </w:r>
          </w:p>
        </w:tc>
        <w:tc>
          <w:tcPr>
            <w:tcW w:w="2258" w:type="dxa"/>
            <w:tcBorders>
              <w:top w:val="single" w:sz="4" w:space="0" w:color="auto"/>
              <w:left w:val="single" w:sz="4" w:space="0" w:color="auto"/>
              <w:bottom w:val="single" w:sz="4" w:space="0" w:color="auto"/>
              <w:right w:val="single" w:sz="4" w:space="0" w:color="auto"/>
            </w:tcBorders>
          </w:tcPr>
          <w:p w:rsidR="007E759D" w:rsidRDefault="007E759D" w:rsidP="00217D92">
            <w:pPr>
              <w:jc w:val="center"/>
            </w:pPr>
            <w:r>
              <w:t>0</w:t>
            </w:r>
          </w:p>
          <w:p w:rsidR="007E759D" w:rsidRDefault="007E759D" w:rsidP="00217D92">
            <w:pPr>
              <w:jc w:val="center"/>
            </w:pPr>
          </w:p>
        </w:tc>
      </w:tr>
      <w:tr w:rsidR="007E759D" w:rsidTr="00217D92">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2015</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6,482</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6,842</w:t>
            </w:r>
          </w:p>
        </w:tc>
        <w:tc>
          <w:tcPr>
            <w:tcW w:w="2258"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0</w:t>
            </w:r>
          </w:p>
        </w:tc>
      </w:tr>
      <w:tr w:rsidR="007E759D" w:rsidTr="00217D92">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2020</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8,054</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10,439</w:t>
            </w:r>
          </w:p>
        </w:tc>
        <w:tc>
          <w:tcPr>
            <w:tcW w:w="2258"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2,385</w:t>
            </w:r>
          </w:p>
        </w:tc>
      </w:tr>
      <w:tr w:rsidR="007E759D" w:rsidTr="00217D92">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2025</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8,133</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14,574</w:t>
            </w:r>
          </w:p>
        </w:tc>
        <w:tc>
          <w:tcPr>
            <w:tcW w:w="2258"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6,441</w:t>
            </w:r>
          </w:p>
        </w:tc>
      </w:tr>
      <w:tr w:rsidR="007E759D" w:rsidTr="00217D92">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2030</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8,152</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16,457</w:t>
            </w:r>
          </w:p>
        </w:tc>
        <w:tc>
          <w:tcPr>
            <w:tcW w:w="2258"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8,395</w:t>
            </w:r>
          </w:p>
        </w:tc>
      </w:tr>
      <w:tr w:rsidR="007E759D" w:rsidTr="00217D92">
        <w:tc>
          <w:tcPr>
            <w:tcW w:w="2402"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2040</w:t>
            </w:r>
          </w:p>
        </w:tc>
        <w:tc>
          <w:tcPr>
            <w:tcW w:w="2406"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8,131</w:t>
            </w:r>
          </w:p>
        </w:tc>
        <w:tc>
          <w:tcPr>
            <w:tcW w:w="25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16,435</w:t>
            </w:r>
          </w:p>
        </w:tc>
        <w:tc>
          <w:tcPr>
            <w:tcW w:w="2258"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8,304</w:t>
            </w:r>
          </w:p>
        </w:tc>
      </w:tr>
    </w:tbl>
    <w:p w:rsidR="007E759D" w:rsidRDefault="007E759D" w:rsidP="007E759D">
      <w:pPr>
        <w:rPr>
          <w:rFonts w:ascii="Arial" w:hAnsi="Arial"/>
        </w:rPr>
      </w:pPr>
    </w:p>
    <w:p w:rsidR="007E759D" w:rsidRDefault="007E759D" w:rsidP="007E759D">
      <w:pPr>
        <w:ind w:firstLine="720"/>
        <w:rPr>
          <w:rFonts w:ascii="Arial" w:hAnsi="Arial" w:cs="Arial"/>
        </w:rPr>
      </w:pPr>
      <w:r>
        <w:rPr>
          <w:rFonts w:ascii="Arial" w:hAnsi="Arial" w:cs="Arial"/>
          <w:sz w:val="24"/>
          <w:szCs w:val="24"/>
        </w:rPr>
        <w:t>It should be noted t</w:t>
      </w:r>
      <w:r w:rsidRPr="002E00D7">
        <w:rPr>
          <w:rFonts w:ascii="Arial" w:hAnsi="Arial" w:cs="Arial"/>
          <w:sz w:val="24"/>
          <w:szCs w:val="24"/>
        </w:rPr>
        <w:t xml:space="preserve">hat between 2020 and 2040 the freight task increases whereas the relatively small increase in capacity of the corridor remains the same. Obviously this would mean an increase in the number of freight trains per day which </w:t>
      </w:r>
      <w:r w:rsidRPr="002E00D7">
        <w:rPr>
          <w:rFonts w:ascii="Arial" w:hAnsi="Arial" w:cs="Arial"/>
          <w:sz w:val="24"/>
          <w:szCs w:val="24"/>
        </w:rPr>
        <w:lastRenderedPageBreak/>
        <w:t>may not meet operational requirements of the entire Northern rail system</w:t>
      </w:r>
      <w:r>
        <w:rPr>
          <w:rFonts w:ascii="Arial" w:hAnsi="Arial" w:cs="Arial"/>
          <w:sz w:val="24"/>
          <w:szCs w:val="24"/>
        </w:rPr>
        <w:t xml:space="preserve"> including passenger and freight movements</w:t>
      </w:r>
      <w:r w:rsidRPr="002E00D7">
        <w:rPr>
          <w:rFonts w:ascii="Arial" w:hAnsi="Arial" w:cs="Arial"/>
          <w:sz w:val="24"/>
          <w:szCs w:val="24"/>
        </w:rPr>
        <w:t>. Nowhere in the Deloitte document is this limiting factor addressed.</w:t>
      </w:r>
      <w:r>
        <w:rPr>
          <w:rFonts w:ascii="Arial" w:hAnsi="Arial" w:cs="Arial"/>
          <w:sz w:val="24"/>
          <w:szCs w:val="24"/>
        </w:rPr>
        <w:t xml:space="preserve"> </w:t>
      </w:r>
      <w:r w:rsidRPr="002E00D7">
        <w:rPr>
          <w:rFonts w:ascii="Arial" w:hAnsi="Arial" w:cs="Arial"/>
          <w:sz w:val="24"/>
          <w:szCs w:val="24"/>
        </w:rPr>
        <w:t>These very large increases in demand fo</w:t>
      </w:r>
      <w:r>
        <w:rPr>
          <w:rFonts w:ascii="Arial" w:hAnsi="Arial" w:cs="Arial"/>
          <w:sz w:val="24"/>
          <w:szCs w:val="24"/>
        </w:rPr>
        <w:t>r both the Rail base case and U</w:t>
      </w:r>
      <w:r w:rsidRPr="002E00D7">
        <w:rPr>
          <w:rFonts w:ascii="Arial" w:hAnsi="Arial" w:cs="Arial"/>
          <w:sz w:val="24"/>
          <w:szCs w:val="24"/>
        </w:rPr>
        <w:t>pgrade case shown in Table 2 have very great uncertainties in tonnage as shown by Deloitte in Table 3.2 which is</w:t>
      </w:r>
      <w:r>
        <w:rPr>
          <w:rFonts w:ascii="Arial" w:hAnsi="Arial" w:cs="Arial"/>
        </w:rPr>
        <w:t xml:space="preserve"> reproduced below. These uncertainties are not reflected in the final Deloitte result for the benefit to cost ratio.</w:t>
      </w:r>
    </w:p>
    <w:p w:rsidR="007E759D" w:rsidRDefault="007E759D" w:rsidP="007E759D">
      <w:pPr>
        <w:rPr>
          <w:rFonts w:ascii="Arial" w:hAnsi="Arial" w:cs="Arial"/>
        </w:rPr>
      </w:pPr>
      <w:r>
        <w:rPr>
          <w:rFonts w:ascii="Arial" w:hAnsi="Arial" w:cs="Arial"/>
          <w:noProof/>
          <w:lang w:eastAsia="en-AU"/>
        </w:rPr>
        <w:drawing>
          <wp:inline distT="0" distB="0" distL="0" distR="0" wp14:anchorId="373BECF5" wp14:editId="10FE5371">
            <wp:extent cx="5157216" cy="378561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7216" cy="3785616"/>
                    </a:xfrm>
                    <a:prstGeom prst="rect">
                      <a:avLst/>
                    </a:prstGeom>
                  </pic:spPr>
                </pic:pic>
              </a:graphicData>
            </a:graphic>
          </wp:inline>
        </w:drawing>
      </w:r>
    </w:p>
    <w:p w:rsidR="007E759D" w:rsidRDefault="007E759D" w:rsidP="007E759D">
      <w:pPr>
        <w:spacing w:line="240" w:lineRule="auto"/>
        <w:ind w:firstLine="720"/>
        <w:rPr>
          <w:rFonts w:ascii="Arial" w:hAnsi="Arial" w:cs="Arial"/>
        </w:rPr>
      </w:pPr>
      <w:r w:rsidRPr="0077327C">
        <w:rPr>
          <w:rFonts w:ascii="Arial" w:hAnsi="Arial" w:cs="Arial"/>
          <w:sz w:val="24"/>
          <w:szCs w:val="24"/>
        </w:rPr>
        <w:t>For example, in the year 2038, the annual rail tonnage is forecast to vary from a low value of</w:t>
      </w:r>
      <w:r>
        <w:rPr>
          <w:rFonts w:ascii="Arial" w:hAnsi="Arial" w:cs="Arial"/>
          <w:sz w:val="24"/>
          <w:szCs w:val="24"/>
        </w:rPr>
        <w:t xml:space="preserve"> 15,299 thousand tonnes to a high value of 40,041</w:t>
      </w:r>
      <w:r w:rsidRPr="0077327C">
        <w:rPr>
          <w:rFonts w:ascii="Arial" w:hAnsi="Arial" w:cs="Arial"/>
          <w:sz w:val="24"/>
          <w:szCs w:val="24"/>
        </w:rPr>
        <w:t xml:space="preserve"> thousand tonnes</w:t>
      </w:r>
      <w:r>
        <w:rPr>
          <w:rFonts w:ascii="Arial" w:hAnsi="Arial" w:cs="Arial"/>
          <w:sz w:val="24"/>
          <w:szCs w:val="24"/>
        </w:rPr>
        <w:t xml:space="preserve">, a very large </w:t>
      </w:r>
      <w:r w:rsidRPr="0077327C">
        <w:rPr>
          <w:rFonts w:ascii="Arial" w:hAnsi="Arial" w:cs="Arial"/>
          <w:sz w:val="24"/>
          <w:szCs w:val="24"/>
        </w:rPr>
        <w:t>variation in excess demand</w:t>
      </w:r>
      <w:r>
        <w:rPr>
          <w:rFonts w:ascii="Arial" w:hAnsi="Arial" w:cs="Arial"/>
        </w:rPr>
        <w:t>.</w:t>
      </w:r>
    </w:p>
    <w:p w:rsidR="007E759D" w:rsidRPr="00752658" w:rsidRDefault="007E759D" w:rsidP="007E759D">
      <w:pPr>
        <w:pStyle w:val="ListParagraph"/>
        <w:rPr>
          <w:b/>
          <w:sz w:val="24"/>
          <w:szCs w:val="24"/>
        </w:rPr>
      </w:pPr>
    </w:p>
    <w:p w:rsidR="007E759D" w:rsidRPr="00752658" w:rsidRDefault="007E759D" w:rsidP="007E759D">
      <w:pPr>
        <w:rPr>
          <w:rFonts w:ascii="Arial" w:hAnsi="Arial" w:cs="Arial"/>
          <w:b/>
          <w:sz w:val="24"/>
          <w:szCs w:val="24"/>
        </w:rPr>
      </w:pPr>
      <w:r>
        <w:rPr>
          <w:rFonts w:ascii="Arial" w:hAnsi="Arial" w:cs="Arial"/>
          <w:b/>
          <w:sz w:val="24"/>
          <w:szCs w:val="24"/>
        </w:rPr>
        <w:t>3</w:t>
      </w:r>
      <w:r w:rsidRPr="00752658">
        <w:rPr>
          <w:rFonts w:ascii="Arial" w:hAnsi="Arial" w:cs="Arial"/>
          <w:b/>
          <w:sz w:val="24"/>
          <w:szCs w:val="24"/>
        </w:rPr>
        <w:t>. The relative magnitudes of the freight task as carried by road and rail</w:t>
      </w:r>
      <w:r>
        <w:rPr>
          <w:rFonts w:ascii="Arial" w:hAnsi="Arial" w:cs="Arial"/>
          <w:b/>
          <w:sz w:val="24"/>
          <w:szCs w:val="24"/>
        </w:rPr>
        <w:t xml:space="preserve"> in NSW</w:t>
      </w:r>
      <w:r w:rsidRPr="00752658">
        <w:rPr>
          <w:rFonts w:ascii="Arial" w:hAnsi="Arial" w:cs="Arial"/>
          <w:b/>
          <w:sz w:val="24"/>
          <w:szCs w:val="24"/>
        </w:rPr>
        <w:t>.</w:t>
      </w:r>
    </w:p>
    <w:p w:rsidR="007E759D" w:rsidRPr="000E3AA5" w:rsidRDefault="007E759D" w:rsidP="007E759D">
      <w:pPr>
        <w:pStyle w:val="ListParagraph"/>
        <w:spacing w:line="240" w:lineRule="auto"/>
        <w:ind w:left="142" w:firstLine="578"/>
        <w:rPr>
          <w:sz w:val="24"/>
          <w:szCs w:val="24"/>
        </w:rPr>
      </w:pPr>
      <w:r w:rsidRPr="000E3AA5">
        <w:rPr>
          <w:sz w:val="24"/>
          <w:szCs w:val="24"/>
        </w:rPr>
        <w:t>The Australian Bureau of Transport Statistics (BTE</w:t>
      </w:r>
      <w:r>
        <w:rPr>
          <w:sz w:val="24"/>
          <w:szCs w:val="24"/>
        </w:rPr>
        <w:t>, 2012</w:t>
      </w:r>
      <w:r w:rsidRPr="000E3AA5">
        <w:rPr>
          <w:sz w:val="24"/>
          <w:szCs w:val="24"/>
        </w:rPr>
        <w:t xml:space="preserve">) maintains a complete and comprehensive data base which enables a state by state comparison of rail and road </w:t>
      </w:r>
      <w:r>
        <w:rPr>
          <w:sz w:val="24"/>
          <w:szCs w:val="24"/>
        </w:rPr>
        <w:t>freight tasks.</w:t>
      </w:r>
    </w:p>
    <w:p w:rsidR="007E759D" w:rsidRPr="000E3AA5" w:rsidRDefault="007E759D" w:rsidP="007E759D">
      <w:pPr>
        <w:pStyle w:val="ListParagraph"/>
        <w:spacing w:line="240" w:lineRule="auto"/>
        <w:ind w:left="142" w:firstLine="578"/>
        <w:rPr>
          <w:sz w:val="24"/>
          <w:szCs w:val="24"/>
        </w:rPr>
      </w:pPr>
    </w:p>
    <w:p w:rsidR="007E759D" w:rsidRPr="000E3AA5" w:rsidRDefault="007E759D" w:rsidP="007E759D">
      <w:pPr>
        <w:pStyle w:val="ListParagraph"/>
        <w:spacing w:line="240" w:lineRule="auto"/>
        <w:ind w:left="142" w:firstLine="578"/>
        <w:rPr>
          <w:sz w:val="24"/>
          <w:szCs w:val="24"/>
        </w:rPr>
      </w:pPr>
      <w:r w:rsidRPr="000E3AA5">
        <w:rPr>
          <w:sz w:val="24"/>
          <w:szCs w:val="24"/>
        </w:rPr>
        <w:t xml:space="preserve">Between 1999 and 2008, the rail </w:t>
      </w:r>
      <w:r>
        <w:rPr>
          <w:sz w:val="24"/>
          <w:szCs w:val="24"/>
        </w:rPr>
        <w:t xml:space="preserve">task </w:t>
      </w:r>
      <w:r w:rsidRPr="000E3AA5">
        <w:rPr>
          <w:sz w:val="24"/>
          <w:szCs w:val="24"/>
        </w:rPr>
        <w:t>in NSW was 3 billion tonne-kilometres, whereas th</w:t>
      </w:r>
      <w:r>
        <w:rPr>
          <w:sz w:val="24"/>
          <w:szCs w:val="24"/>
        </w:rPr>
        <w:t xml:space="preserve">at </w:t>
      </w:r>
      <w:r w:rsidRPr="000E3AA5">
        <w:rPr>
          <w:sz w:val="24"/>
          <w:szCs w:val="24"/>
        </w:rPr>
        <w:t>of road freight was 20 billion tonne-kilometres, a factor of nearly seven times greater. The discrepancy is so large as to raise doubts as to the economic relevance of transferring freight from road to rail.</w:t>
      </w:r>
    </w:p>
    <w:p w:rsidR="007E759D" w:rsidRPr="000E3AA5" w:rsidRDefault="007E759D" w:rsidP="007E759D">
      <w:pPr>
        <w:pStyle w:val="ListParagraph"/>
        <w:spacing w:line="240" w:lineRule="auto"/>
        <w:ind w:left="142" w:firstLine="578"/>
        <w:rPr>
          <w:sz w:val="24"/>
          <w:szCs w:val="24"/>
        </w:rPr>
      </w:pPr>
    </w:p>
    <w:p w:rsidR="007E759D" w:rsidRDefault="007E759D" w:rsidP="007E759D">
      <w:pPr>
        <w:pStyle w:val="ListParagraph"/>
        <w:spacing w:line="240" w:lineRule="auto"/>
        <w:ind w:left="142" w:firstLine="578"/>
      </w:pPr>
      <w:r w:rsidRPr="000E3AA5">
        <w:rPr>
          <w:sz w:val="24"/>
          <w:szCs w:val="24"/>
        </w:rPr>
        <w:t xml:space="preserve">The graph </w:t>
      </w:r>
      <w:r>
        <w:rPr>
          <w:sz w:val="24"/>
          <w:szCs w:val="24"/>
        </w:rPr>
        <w:t xml:space="preserve">below </w:t>
      </w:r>
      <w:r w:rsidRPr="000E3AA5">
        <w:rPr>
          <w:sz w:val="24"/>
          <w:szCs w:val="24"/>
        </w:rPr>
        <w:t xml:space="preserve">derived from BTE data shows that the rate of increase of road freight productivity is about twice that of rail. Even if this rate of increase were not </w:t>
      </w:r>
      <w:r w:rsidRPr="000E3AA5">
        <w:rPr>
          <w:sz w:val="24"/>
          <w:szCs w:val="24"/>
        </w:rPr>
        <w:lastRenderedPageBreak/>
        <w:t>maintained it would be unlikely to reinforce the case for transferring freight from road to r</w:t>
      </w:r>
      <w:r>
        <w:t>ail.</w:t>
      </w:r>
    </w:p>
    <w:p w:rsidR="007E759D" w:rsidRDefault="007E759D" w:rsidP="007E759D">
      <w:r>
        <w:rPr>
          <w:noProof/>
          <w:lang w:eastAsia="en-AU"/>
        </w:rPr>
        <w:drawing>
          <wp:inline distT="0" distB="0" distL="0" distR="0" wp14:anchorId="022EB2F5" wp14:editId="54940A83">
            <wp:extent cx="5943600" cy="417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75760"/>
                    </a:xfrm>
                    <a:prstGeom prst="rect">
                      <a:avLst/>
                    </a:prstGeom>
                  </pic:spPr>
                </pic:pic>
              </a:graphicData>
            </a:graphic>
          </wp:inline>
        </w:drawing>
      </w:r>
    </w:p>
    <w:p w:rsidR="007E759D" w:rsidRDefault="007E759D" w:rsidP="007E759D">
      <w:pPr>
        <w:jc w:val="center"/>
        <w:rPr>
          <w:rFonts w:ascii="Arial" w:hAnsi="Arial" w:cs="Arial"/>
          <w:sz w:val="24"/>
          <w:szCs w:val="24"/>
        </w:rPr>
      </w:pPr>
      <w:r w:rsidRPr="007B500B">
        <w:rPr>
          <w:rFonts w:ascii="Arial" w:hAnsi="Arial" w:cs="Arial"/>
          <w:b/>
          <w:sz w:val="24"/>
          <w:szCs w:val="24"/>
          <w:u w:val="single"/>
        </w:rPr>
        <w:t>Figure 1</w:t>
      </w:r>
      <w:r w:rsidRPr="007B500B">
        <w:rPr>
          <w:rFonts w:ascii="Arial" w:hAnsi="Arial" w:cs="Arial"/>
          <w:sz w:val="24"/>
          <w:szCs w:val="24"/>
        </w:rPr>
        <w:t>.Comparison of freight demand by road and rail in NSW.</w:t>
      </w:r>
    </w:p>
    <w:p w:rsidR="007E759D" w:rsidRPr="007B500B" w:rsidRDefault="007E759D" w:rsidP="007E759D">
      <w:pPr>
        <w:jc w:val="center"/>
        <w:rPr>
          <w:rFonts w:ascii="Arial" w:hAnsi="Arial" w:cs="Arial"/>
          <w:sz w:val="24"/>
          <w:szCs w:val="24"/>
        </w:rPr>
      </w:pPr>
    </w:p>
    <w:p w:rsidR="007E759D" w:rsidRDefault="007E759D" w:rsidP="007E759D">
      <w:pPr>
        <w:pStyle w:val="ListParagraph"/>
        <w:numPr>
          <w:ilvl w:val="1"/>
          <w:numId w:val="6"/>
        </w:numPr>
        <w:rPr>
          <w:b/>
        </w:rPr>
      </w:pPr>
      <w:r w:rsidRPr="00627F46">
        <w:rPr>
          <w:b/>
        </w:rPr>
        <w:t xml:space="preserve"> </w:t>
      </w:r>
      <w:r>
        <w:rPr>
          <w:b/>
        </w:rPr>
        <w:t>Is there a case for transferring freight carried by heavy vehicles to rail on the upgraded rail system?</w:t>
      </w:r>
    </w:p>
    <w:p w:rsidR="007E759D" w:rsidRPr="00174565" w:rsidRDefault="007E759D" w:rsidP="007E759D">
      <w:pPr>
        <w:pStyle w:val="ListParagraph"/>
        <w:rPr>
          <w:b/>
        </w:rPr>
      </w:pPr>
      <w:r w:rsidRPr="00174565">
        <w:rPr>
          <w:b/>
        </w:rPr>
        <w:t xml:space="preserve"> </w:t>
      </w:r>
    </w:p>
    <w:p w:rsidR="007E759D" w:rsidRPr="000E3AA5" w:rsidRDefault="007E759D" w:rsidP="007E759D">
      <w:pPr>
        <w:pStyle w:val="ListParagraph"/>
        <w:ind w:firstLine="567"/>
        <w:rPr>
          <w:sz w:val="24"/>
          <w:szCs w:val="24"/>
        </w:rPr>
      </w:pPr>
      <w:r w:rsidRPr="000E3AA5">
        <w:rPr>
          <w:sz w:val="24"/>
          <w:szCs w:val="24"/>
        </w:rPr>
        <w:t>Th</w:t>
      </w:r>
      <w:r>
        <w:rPr>
          <w:sz w:val="24"/>
          <w:szCs w:val="24"/>
        </w:rPr>
        <w:t xml:space="preserve">e possibility of transfer and its implications </w:t>
      </w:r>
      <w:r w:rsidRPr="000E3AA5">
        <w:rPr>
          <w:sz w:val="24"/>
          <w:szCs w:val="24"/>
        </w:rPr>
        <w:t xml:space="preserve">has been examined in </w:t>
      </w:r>
      <w:r>
        <w:rPr>
          <w:sz w:val="24"/>
          <w:szCs w:val="24"/>
        </w:rPr>
        <w:t xml:space="preserve">more </w:t>
      </w:r>
      <w:r w:rsidRPr="000E3AA5">
        <w:rPr>
          <w:sz w:val="24"/>
          <w:szCs w:val="24"/>
        </w:rPr>
        <w:t xml:space="preserve">detail using actual freight data obtained from Rail Corp </w:t>
      </w:r>
      <w:r>
        <w:rPr>
          <w:sz w:val="24"/>
          <w:szCs w:val="24"/>
        </w:rPr>
        <w:t xml:space="preserve">(2012) </w:t>
      </w:r>
      <w:r w:rsidRPr="000E3AA5">
        <w:rPr>
          <w:sz w:val="24"/>
          <w:szCs w:val="24"/>
        </w:rPr>
        <w:t>for two months in March 2012 and in August 2012</w:t>
      </w:r>
      <w:r>
        <w:rPr>
          <w:sz w:val="24"/>
          <w:szCs w:val="24"/>
        </w:rPr>
        <w:t>, which enabled</w:t>
      </w:r>
      <w:r w:rsidRPr="000E3AA5">
        <w:rPr>
          <w:sz w:val="24"/>
          <w:szCs w:val="24"/>
        </w:rPr>
        <w:t xml:space="preserve"> reasonably accurate an</w:t>
      </w:r>
      <w:r>
        <w:rPr>
          <w:sz w:val="24"/>
          <w:szCs w:val="24"/>
        </w:rPr>
        <w:t xml:space="preserve">nual estimate </w:t>
      </w:r>
      <w:r w:rsidRPr="000E3AA5">
        <w:rPr>
          <w:sz w:val="24"/>
          <w:szCs w:val="24"/>
        </w:rPr>
        <w:t>of the freight tonnage carried on the Northern line.</w:t>
      </w:r>
      <w:r>
        <w:rPr>
          <w:sz w:val="24"/>
          <w:szCs w:val="24"/>
        </w:rPr>
        <w:t xml:space="preserve"> This annual estimate is 6.7 million gross tonnes equivalent to 3.7 million net tonnes (using the conversion factor of 1/1.8).</w:t>
      </w:r>
    </w:p>
    <w:p w:rsidR="007E759D" w:rsidRDefault="007E759D" w:rsidP="007E759D">
      <w:pPr>
        <w:ind w:left="720" w:firstLine="567"/>
        <w:rPr>
          <w:rFonts w:ascii="Arial" w:hAnsi="Arial" w:cs="Arial"/>
          <w:sz w:val="24"/>
          <w:szCs w:val="24"/>
        </w:rPr>
      </w:pPr>
      <w:r>
        <w:rPr>
          <w:rFonts w:ascii="Arial" w:hAnsi="Arial" w:cs="Arial"/>
          <w:sz w:val="24"/>
          <w:szCs w:val="24"/>
        </w:rPr>
        <w:t>I</w:t>
      </w:r>
      <w:r w:rsidRPr="00260867">
        <w:rPr>
          <w:rFonts w:ascii="Arial" w:hAnsi="Arial" w:cs="Arial"/>
          <w:sz w:val="24"/>
          <w:szCs w:val="24"/>
        </w:rPr>
        <w:t xml:space="preserve">f </w:t>
      </w:r>
      <w:r>
        <w:rPr>
          <w:rFonts w:ascii="Arial" w:hAnsi="Arial" w:cs="Arial"/>
          <w:sz w:val="24"/>
          <w:szCs w:val="24"/>
        </w:rPr>
        <w:t xml:space="preserve">as claimed by Transport for NSW (2012) </w:t>
      </w:r>
      <w:r w:rsidRPr="00260867">
        <w:rPr>
          <w:rFonts w:ascii="Arial" w:hAnsi="Arial" w:cs="Arial"/>
          <w:sz w:val="24"/>
          <w:szCs w:val="24"/>
        </w:rPr>
        <w:t>200 000 heavy vehicle</w:t>
      </w:r>
      <w:r>
        <w:rPr>
          <w:rFonts w:ascii="Arial" w:hAnsi="Arial" w:cs="Arial"/>
          <w:sz w:val="24"/>
          <w:szCs w:val="24"/>
        </w:rPr>
        <w:t xml:space="preserve"> movements by road were to be eliminated over a 15 year period as a result of the utilisation of the upgraded </w:t>
      </w:r>
      <w:r w:rsidRPr="00260867">
        <w:rPr>
          <w:rFonts w:ascii="Arial" w:hAnsi="Arial" w:cs="Arial"/>
          <w:sz w:val="24"/>
          <w:szCs w:val="24"/>
        </w:rPr>
        <w:t>rail track</w:t>
      </w:r>
      <w:r>
        <w:rPr>
          <w:rFonts w:ascii="Arial" w:hAnsi="Arial" w:cs="Arial"/>
          <w:sz w:val="24"/>
          <w:szCs w:val="24"/>
        </w:rPr>
        <w:t xml:space="preserve">, </w:t>
      </w:r>
      <w:r w:rsidRPr="00260867">
        <w:rPr>
          <w:rFonts w:ascii="Arial" w:hAnsi="Arial" w:cs="Arial"/>
          <w:sz w:val="24"/>
          <w:szCs w:val="24"/>
        </w:rPr>
        <w:t xml:space="preserve">then the </w:t>
      </w:r>
      <w:r>
        <w:rPr>
          <w:rFonts w:ascii="Arial" w:hAnsi="Arial" w:cs="Arial"/>
          <w:sz w:val="24"/>
          <w:szCs w:val="24"/>
        </w:rPr>
        <w:t>freight exchange can be calculated as follows.</w:t>
      </w:r>
      <w:r w:rsidRPr="00260867">
        <w:rPr>
          <w:rFonts w:ascii="Arial" w:hAnsi="Arial" w:cs="Arial"/>
          <w:sz w:val="24"/>
          <w:szCs w:val="24"/>
        </w:rPr>
        <w:t xml:space="preserve"> The heaviest </w:t>
      </w:r>
      <w:r>
        <w:rPr>
          <w:rFonts w:ascii="Arial" w:hAnsi="Arial" w:cs="Arial"/>
          <w:sz w:val="24"/>
          <w:szCs w:val="24"/>
        </w:rPr>
        <w:t xml:space="preserve">road </w:t>
      </w:r>
      <w:r w:rsidRPr="00260867">
        <w:rPr>
          <w:rFonts w:ascii="Arial" w:hAnsi="Arial" w:cs="Arial"/>
          <w:sz w:val="24"/>
          <w:szCs w:val="24"/>
        </w:rPr>
        <w:t xml:space="preserve">vehicles in common use are nine-axle B-doubles that can carry a maximum freight load of 68 tonnes each. The corresponding total load transferred to rail would be 13.6 million </w:t>
      </w:r>
      <w:r>
        <w:rPr>
          <w:rFonts w:ascii="Arial" w:hAnsi="Arial" w:cs="Arial"/>
          <w:sz w:val="24"/>
          <w:szCs w:val="24"/>
        </w:rPr>
        <w:t xml:space="preserve">net </w:t>
      </w:r>
      <w:r w:rsidRPr="00260867">
        <w:rPr>
          <w:rFonts w:ascii="Arial" w:hAnsi="Arial" w:cs="Arial"/>
          <w:sz w:val="24"/>
          <w:szCs w:val="24"/>
        </w:rPr>
        <w:t xml:space="preserve">tonnes. </w:t>
      </w:r>
      <w:r w:rsidRPr="00260867">
        <w:rPr>
          <w:rFonts w:ascii="Arial" w:hAnsi="Arial" w:cs="Arial"/>
          <w:sz w:val="24"/>
          <w:szCs w:val="24"/>
        </w:rPr>
        <w:lastRenderedPageBreak/>
        <w:t xml:space="preserve">The claimed </w:t>
      </w:r>
      <w:r>
        <w:rPr>
          <w:rFonts w:ascii="Arial" w:hAnsi="Arial" w:cs="Arial"/>
          <w:sz w:val="24"/>
          <w:szCs w:val="24"/>
        </w:rPr>
        <w:t xml:space="preserve">annual </w:t>
      </w:r>
      <w:r w:rsidRPr="00260867">
        <w:rPr>
          <w:rFonts w:ascii="Arial" w:hAnsi="Arial" w:cs="Arial"/>
          <w:sz w:val="24"/>
          <w:szCs w:val="24"/>
        </w:rPr>
        <w:t xml:space="preserve">removal </w:t>
      </w:r>
      <w:r>
        <w:rPr>
          <w:rFonts w:ascii="Arial" w:hAnsi="Arial" w:cs="Arial"/>
          <w:sz w:val="24"/>
          <w:szCs w:val="24"/>
        </w:rPr>
        <w:t xml:space="preserve">of freight from the roads </w:t>
      </w:r>
      <w:r w:rsidRPr="00260867">
        <w:rPr>
          <w:rFonts w:ascii="Arial" w:hAnsi="Arial" w:cs="Arial"/>
          <w:sz w:val="24"/>
          <w:szCs w:val="24"/>
        </w:rPr>
        <w:t xml:space="preserve">is </w:t>
      </w:r>
      <w:r>
        <w:rPr>
          <w:rFonts w:ascii="Arial" w:hAnsi="Arial" w:cs="Arial"/>
          <w:sz w:val="24"/>
          <w:szCs w:val="24"/>
        </w:rPr>
        <w:t xml:space="preserve">therefore between three to four times the net tonnes carried by rail at present. This result raises serious questions about the availability of sufficient rail capacity. </w:t>
      </w:r>
    </w:p>
    <w:p w:rsidR="007E759D" w:rsidRDefault="007E759D" w:rsidP="007E759D">
      <w:pPr>
        <w:ind w:left="720" w:firstLine="720"/>
        <w:rPr>
          <w:rFonts w:ascii="Arial" w:hAnsi="Arial" w:cs="Arial"/>
          <w:sz w:val="24"/>
          <w:szCs w:val="24"/>
        </w:rPr>
      </w:pPr>
      <w:r>
        <w:rPr>
          <w:rFonts w:ascii="Arial" w:hAnsi="Arial" w:cs="Arial"/>
          <w:sz w:val="24"/>
          <w:szCs w:val="24"/>
        </w:rPr>
        <w:t>But it has already been established that r</w:t>
      </w:r>
      <w:r w:rsidRPr="00260867">
        <w:rPr>
          <w:rFonts w:ascii="Arial" w:hAnsi="Arial" w:cs="Arial"/>
          <w:sz w:val="24"/>
          <w:szCs w:val="24"/>
        </w:rPr>
        <w:t xml:space="preserve">oad freight demand is seven times greater than that of rail and the rate of increase is twice as great. </w:t>
      </w:r>
      <w:r>
        <w:rPr>
          <w:rFonts w:ascii="Arial" w:hAnsi="Arial" w:cs="Arial"/>
          <w:sz w:val="24"/>
          <w:szCs w:val="24"/>
        </w:rPr>
        <w:t>These results suggest that the claimed reduction of heavy vehicle movements is unrealistic and cannot be used to support a case for transfer of road freight to rail.</w:t>
      </w:r>
    </w:p>
    <w:p w:rsidR="007E759D" w:rsidRDefault="007E759D" w:rsidP="007E759D">
      <w:pPr>
        <w:ind w:left="720" w:firstLine="720"/>
        <w:rPr>
          <w:rFonts w:ascii="Arial" w:hAnsi="Arial" w:cs="Arial"/>
          <w:sz w:val="24"/>
          <w:szCs w:val="24"/>
        </w:rPr>
      </w:pPr>
      <w:r>
        <w:rPr>
          <w:rFonts w:ascii="Arial" w:hAnsi="Arial" w:cs="Arial"/>
          <w:sz w:val="24"/>
          <w:szCs w:val="24"/>
        </w:rPr>
        <w:t>Nevertheless, Deloitte has attempted to use the argument of reduced road crash cost savings (page 48) to justify rail as against road freight. But apart from quoting a crash cost of $0.40 per net tonne kilometre no other result is given which emphasises the difficulty in properly quantifying the real economic gain from such a proposal.</w:t>
      </w:r>
      <w:r w:rsidRPr="00260867">
        <w:rPr>
          <w:rFonts w:ascii="Arial" w:hAnsi="Arial" w:cs="Arial"/>
          <w:sz w:val="24"/>
          <w:szCs w:val="24"/>
        </w:rPr>
        <w:t xml:space="preserve"> </w:t>
      </w:r>
    </w:p>
    <w:p w:rsidR="007E759D" w:rsidRDefault="007E759D" w:rsidP="007E759D">
      <w:pPr>
        <w:ind w:left="720" w:firstLine="720"/>
        <w:rPr>
          <w:rFonts w:ascii="Arial" w:hAnsi="Arial" w:cs="Arial"/>
          <w:sz w:val="24"/>
          <w:szCs w:val="24"/>
        </w:rPr>
      </w:pPr>
      <w:r>
        <w:rPr>
          <w:rFonts w:ascii="Arial" w:hAnsi="Arial" w:cs="Arial"/>
          <w:sz w:val="24"/>
          <w:szCs w:val="24"/>
        </w:rPr>
        <w:t>In relation to heavy vehicle involvement in fatal accidents, two findings have been mentioned (BTRE, 2006). Across the entire road network, the fatal accident rate is higher for heavy vehicles, but on intercapital corridors the fatal accident rate is well below that of all other vehicles.</w:t>
      </w:r>
    </w:p>
    <w:p w:rsidR="007E759D" w:rsidRDefault="007E759D" w:rsidP="007E759D">
      <w:pPr>
        <w:ind w:left="720" w:firstLine="720"/>
        <w:rPr>
          <w:rFonts w:ascii="Arial" w:hAnsi="Arial" w:cs="Arial"/>
          <w:sz w:val="24"/>
          <w:szCs w:val="24"/>
        </w:rPr>
      </w:pPr>
    </w:p>
    <w:p w:rsidR="007E759D" w:rsidRPr="00260867" w:rsidRDefault="007E759D" w:rsidP="007E759D">
      <w:pPr>
        <w:ind w:left="720" w:firstLine="720"/>
        <w:rPr>
          <w:rFonts w:ascii="Arial" w:hAnsi="Arial" w:cs="Arial"/>
          <w:sz w:val="24"/>
          <w:szCs w:val="24"/>
        </w:rPr>
      </w:pPr>
    </w:p>
    <w:p w:rsidR="007E759D" w:rsidRPr="00011E60" w:rsidRDefault="007E759D" w:rsidP="007E759D">
      <w:pPr>
        <w:pStyle w:val="ListParagraph"/>
        <w:rPr>
          <w:b/>
        </w:rPr>
      </w:pPr>
    </w:p>
    <w:p w:rsidR="007E759D" w:rsidRDefault="007E759D" w:rsidP="007E759D">
      <w:pPr>
        <w:pStyle w:val="ListParagraph"/>
        <w:numPr>
          <w:ilvl w:val="0"/>
          <w:numId w:val="7"/>
        </w:numPr>
        <w:rPr>
          <w:rFonts w:cs="Arial"/>
          <w:b/>
          <w:sz w:val="24"/>
          <w:szCs w:val="24"/>
        </w:rPr>
      </w:pPr>
      <w:r w:rsidRPr="00011E60">
        <w:rPr>
          <w:rFonts w:cs="Arial"/>
          <w:b/>
          <w:sz w:val="24"/>
          <w:szCs w:val="24"/>
        </w:rPr>
        <w:t xml:space="preserve">Detailed </w:t>
      </w:r>
      <w:r>
        <w:rPr>
          <w:rFonts w:cs="Arial"/>
          <w:b/>
          <w:sz w:val="24"/>
          <w:szCs w:val="24"/>
        </w:rPr>
        <w:t xml:space="preserve">numerical </w:t>
      </w:r>
      <w:r w:rsidRPr="00011E60">
        <w:rPr>
          <w:rFonts w:cs="Arial"/>
          <w:b/>
          <w:sz w:val="24"/>
          <w:szCs w:val="24"/>
        </w:rPr>
        <w:t>examination of the Deloitte business case</w:t>
      </w:r>
    </w:p>
    <w:p w:rsidR="007E759D" w:rsidRDefault="007E759D" w:rsidP="007E759D">
      <w:pPr>
        <w:pStyle w:val="ListParagraph"/>
        <w:rPr>
          <w:rFonts w:cs="Arial"/>
          <w:b/>
          <w:sz w:val="24"/>
          <w:szCs w:val="24"/>
        </w:rPr>
      </w:pPr>
    </w:p>
    <w:p w:rsidR="007E759D" w:rsidRPr="00260867" w:rsidRDefault="007E759D" w:rsidP="007E759D">
      <w:pPr>
        <w:pStyle w:val="ListParagraph"/>
        <w:ind w:firstLine="720"/>
        <w:rPr>
          <w:rFonts w:cs="Arial"/>
          <w:sz w:val="24"/>
          <w:szCs w:val="24"/>
        </w:rPr>
      </w:pPr>
      <w:r w:rsidRPr="00260867">
        <w:rPr>
          <w:rFonts w:cs="Arial"/>
          <w:sz w:val="24"/>
          <w:szCs w:val="24"/>
        </w:rPr>
        <w:t xml:space="preserve">As previously noted Deloitte has calculated the costs of moving freight only by the upgraded rail system. There was no comparison of the cost savings that would have been obtained by comparison with road usage. Deloitte simply redefined as benefits the costs incurred from using rail only. This redefinition </w:t>
      </w:r>
      <w:r>
        <w:rPr>
          <w:rFonts w:cs="Arial"/>
          <w:sz w:val="24"/>
          <w:szCs w:val="24"/>
        </w:rPr>
        <w:t xml:space="preserve">is meaningless </w:t>
      </w:r>
      <w:r w:rsidRPr="00260867">
        <w:rPr>
          <w:rFonts w:cs="Arial"/>
          <w:sz w:val="24"/>
          <w:szCs w:val="24"/>
        </w:rPr>
        <w:t>but it would have the effect of generating benefits so that the project could be justified.</w:t>
      </w:r>
    </w:p>
    <w:p w:rsidR="007E759D" w:rsidRDefault="007E759D" w:rsidP="007E759D">
      <w:pPr>
        <w:pStyle w:val="ListParagraph"/>
        <w:rPr>
          <w:rFonts w:cs="Arial"/>
          <w:b/>
          <w:sz w:val="24"/>
          <w:szCs w:val="24"/>
        </w:rPr>
      </w:pPr>
    </w:p>
    <w:p w:rsidR="007E759D" w:rsidRDefault="007E759D" w:rsidP="007E759D">
      <w:pPr>
        <w:pStyle w:val="ListParagraph"/>
        <w:ind w:firstLine="720"/>
        <w:rPr>
          <w:rFonts w:cs="Arial"/>
          <w:sz w:val="24"/>
          <w:szCs w:val="24"/>
        </w:rPr>
      </w:pPr>
      <w:r w:rsidRPr="00260867">
        <w:rPr>
          <w:rFonts w:cs="Arial"/>
          <w:sz w:val="24"/>
          <w:szCs w:val="24"/>
        </w:rPr>
        <w:t xml:space="preserve">In economic </w:t>
      </w:r>
      <w:r>
        <w:rPr>
          <w:rFonts w:cs="Arial"/>
          <w:sz w:val="24"/>
          <w:szCs w:val="24"/>
        </w:rPr>
        <w:t xml:space="preserve">terminology </w:t>
      </w:r>
      <w:r w:rsidRPr="00260867">
        <w:rPr>
          <w:rFonts w:cs="Arial"/>
          <w:sz w:val="24"/>
          <w:szCs w:val="24"/>
        </w:rPr>
        <w:t xml:space="preserve">these </w:t>
      </w:r>
      <w:r>
        <w:rPr>
          <w:rFonts w:cs="Arial"/>
          <w:sz w:val="24"/>
          <w:szCs w:val="24"/>
        </w:rPr>
        <w:t>“</w:t>
      </w:r>
      <w:r w:rsidRPr="00260867">
        <w:rPr>
          <w:rFonts w:cs="Arial"/>
          <w:sz w:val="24"/>
          <w:szCs w:val="24"/>
        </w:rPr>
        <w:t>benefit</w:t>
      </w:r>
      <w:r>
        <w:rPr>
          <w:rFonts w:cs="Arial"/>
          <w:sz w:val="24"/>
          <w:szCs w:val="24"/>
        </w:rPr>
        <w:t>s”</w:t>
      </w:r>
      <w:r w:rsidRPr="00260867">
        <w:rPr>
          <w:rFonts w:cs="Arial"/>
          <w:sz w:val="24"/>
          <w:szCs w:val="24"/>
        </w:rPr>
        <w:t xml:space="preserve"> are defined as “consumer surplus”</w:t>
      </w:r>
      <w:r>
        <w:rPr>
          <w:rFonts w:cs="Arial"/>
          <w:sz w:val="24"/>
          <w:szCs w:val="24"/>
        </w:rPr>
        <w:t xml:space="preserve">. Deloitte claims to have followed ARTC modelling of the Melbourne-Brisbane inland Rail Alignment Study (2010) in deriving usage costs, but similar data is also available from CRA Pacific National for the more appropriate coastal route Sydney to Brisbane. </w:t>
      </w:r>
    </w:p>
    <w:p w:rsidR="007E759D" w:rsidRDefault="007E759D" w:rsidP="007E759D">
      <w:pPr>
        <w:pStyle w:val="ListParagraph"/>
        <w:rPr>
          <w:rFonts w:cs="Arial"/>
          <w:sz w:val="24"/>
          <w:szCs w:val="24"/>
        </w:rPr>
      </w:pPr>
    </w:p>
    <w:p w:rsidR="007E759D" w:rsidRDefault="007E759D" w:rsidP="007E759D">
      <w:pPr>
        <w:pStyle w:val="ListParagraph"/>
        <w:ind w:firstLine="720"/>
        <w:rPr>
          <w:rFonts w:cs="Arial"/>
          <w:sz w:val="24"/>
          <w:szCs w:val="24"/>
        </w:rPr>
      </w:pPr>
      <w:r>
        <w:rPr>
          <w:rFonts w:cs="Arial"/>
          <w:sz w:val="24"/>
          <w:szCs w:val="24"/>
        </w:rPr>
        <w:t>The Deloitte usage costs are as follows:</w:t>
      </w:r>
    </w:p>
    <w:p w:rsidR="007E759D" w:rsidRDefault="007E759D" w:rsidP="007E759D">
      <w:pPr>
        <w:pStyle w:val="ListParagraph"/>
        <w:rPr>
          <w:rFonts w:cs="Arial"/>
          <w:sz w:val="24"/>
          <w:szCs w:val="24"/>
        </w:rPr>
      </w:pPr>
    </w:p>
    <w:p w:rsidR="007E759D" w:rsidRDefault="007E759D" w:rsidP="007E759D">
      <w:pPr>
        <w:pStyle w:val="ListParagraph"/>
        <w:rPr>
          <w:rFonts w:cs="Arial"/>
          <w:sz w:val="24"/>
          <w:szCs w:val="24"/>
        </w:rPr>
      </w:pPr>
      <w:r>
        <w:rPr>
          <w:rFonts w:cs="Arial"/>
          <w:sz w:val="24"/>
          <w:szCs w:val="24"/>
        </w:rPr>
        <w:t>3.4 cents per net tonne-kilometre (2011) for rail and 6.2 cents per net tonne-kilometre (2011) for road.</w:t>
      </w:r>
    </w:p>
    <w:p w:rsidR="007E759D" w:rsidRDefault="007E759D" w:rsidP="007E759D">
      <w:pPr>
        <w:pStyle w:val="ListParagraph"/>
        <w:rPr>
          <w:rFonts w:cs="Arial"/>
          <w:sz w:val="24"/>
          <w:szCs w:val="24"/>
        </w:rPr>
      </w:pPr>
    </w:p>
    <w:p w:rsidR="007E759D" w:rsidRDefault="007E759D" w:rsidP="007E759D">
      <w:pPr>
        <w:pStyle w:val="ListParagraph"/>
        <w:ind w:firstLine="720"/>
        <w:rPr>
          <w:rFonts w:cs="Arial"/>
          <w:sz w:val="24"/>
          <w:szCs w:val="24"/>
        </w:rPr>
      </w:pPr>
      <w:r>
        <w:rPr>
          <w:rFonts w:cs="Arial"/>
          <w:sz w:val="24"/>
          <w:szCs w:val="24"/>
        </w:rPr>
        <w:t>The Pacific National usage costs are:</w:t>
      </w:r>
    </w:p>
    <w:p w:rsidR="007E759D" w:rsidRDefault="007E759D" w:rsidP="007E759D">
      <w:pPr>
        <w:pStyle w:val="ListParagraph"/>
        <w:rPr>
          <w:rFonts w:cs="Arial"/>
          <w:sz w:val="24"/>
          <w:szCs w:val="24"/>
        </w:rPr>
      </w:pPr>
    </w:p>
    <w:p w:rsidR="007E759D" w:rsidRDefault="007E759D" w:rsidP="007E759D">
      <w:pPr>
        <w:pStyle w:val="ListParagraph"/>
        <w:ind w:firstLine="720"/>
        <w:rPr>
          <w:rFonts w:cs="Arial"/>
          <w:sz w:val="24"/>
          <w:szCs w:val="24"/>
        </w:rPr>
      </w:pPr>
      <w:r>
        <w:rPr>
          <w:rFonts w:cs="Arial"/>
          <w:sz w:val="24"/>
          <w:szCs w:val="24"/>
        </w:rPr>
        <w:t>$ 32.04 per 1000 net tonne-kilometres (2006) in 2011 dollars, $37.02. for rail and $47.82 per 1000 net tonne kilometres (2006), in 2011 dollars, $55.25 for road.</w:t>
      </w:r>
    </w:p>
    <w:p w:rsidR="007E759D" w:rsidRDefault="007E759D" w:rsidP="007E759D">
      <w:pPr>
        <w:pStyle w:val="ListParagraph"/>
        <w:spacing w:after="0" w:line="240" w:lineRule="auto"/>
        <w:rPr>
          <w:rFonts w:cs="Arial"/>
          <w:sz w:val="24"/>
          <w:szCs w:val="24"/>
        </w:rPr>
      </w:pPr>
    </w:p>
    <w:p w:rsidR="007E759D" w:rsidRDefault="007E759D" w:rsidP="007E759D">
      <w:pPr>
        <w:pStyle w:val="ListParagraph"/>
        <w:ind w:firstLine="720"/>
        <w:rPr>
          <w:rFonts w:cs="Arial"/>
          <w:sz w:val="24"/>
          <w:szCs w:val="24"/>
        </w:rPr>
      </w:pPr>
      <w:r>
        <w:rPr>
          <w:rFonts w:cs="Arial"/>
          <w:sz w:val="24"/>
          <w:szCs w:val="24"/>
        </w:rPr>
        <w:t xml:space="preserve">The agreement between these two independent sources is reasonably satisfactory but the Pacific National (CRA) figures for usage costs are derived from actual operations on the Sydney to Brisbane costal route. </w:t>
      </w:r>
    </w:p>
    <w:p w:rsidR="007E759D" w:rsidRDefault="007E759D" w:rsidP="007E759D">
      <w:pPr>
        <w:spacing w:after="0" w:line="240" w:lineRule="auto"/>
        <w:rPr>
          <w:rFonts w:ascii="Arial" w:hAnsi="Arial" w:cs="Arial"/>
          <w:sz w:val="24"/>
          <w:szCs w:val="24"/>
        </w:rPr>
      </w:pPr>
      <w:r w:rsidRPr="0077327C">
        <w:rPr>
          <w:rFonts w:ascii="Arial" w:hAnsi="Arial" w:cs="Arial"/>
          <w:b/>
          <w:sz w:val="24"/>
          <w:szCs w:val="24"/>
          <w:u w:val="single"/>
        </w:rPr>
        <w:t>Table 2</w:t>
      </w:r>
      <w:r w:rsidRPr="0077327C">
        <w:rPr>
          <w:rFonts w:ascii="Arial" w:hAnsi="Arial" w:cs="Arial"/>
          <w:sz w:val="24"/>
          <w:szCs w:val="24"/>
        </w:rPr>
        <w:t xml:space="preserve"> below is reproduced from Table 5.13 “Road and rail freight task </w:t>
      </w:r>
    </w:p>
    <w:p w:rsidR="007E759D" w:rsidRPr="0077327C" w:rsidRDefault="007E759D" w:rsidP="007E759D">
      <w:pPr>
        <w:spacing w:after="0" w:line="240" w:lineRule="auto"/>
        <w:rPr>
          <w:rFonts w:ascii="Arial" w:hAnsi="Arial" w:cs="Arial"/>
          <w:sz w:val="24"/>
          <w:szCs w:val="24"/>
        </w:rPr>
      </w:pPr>
      <w:r w:rsidRPr="0077327C">
        <w:rPr>
          <w:rFonts w:ascii="Arial" w:hAnsi="Arial" w:cs="Arial"/>
          <w:sz w:val="24"/>
          <w:szCs w:val="24"/>
        </w:rPr>
        <w:t>(net tonne-km million) of the Deloitte document and for convenience is repeated here.</w:t>
      </w:r>
    </w:p>
    <w:p w:rsidR="007E759D" w:rsidRPr="00357C27" w:rsidRDefault="007E759D" w:rsidP="007E759D">
      <w:pPr>
        <w:rPr>
          <w:rFonts w:ascii="Arial" w:hAnsi="Arial" w:cs="Arial"/>
        </w:rPr>
      </w:pPr>
    </w:p>
    <w:tbl>
      <w:tblPr>
        <w:tblStyle w:val="TableGrid"/>
        <w:tblW w:w="0" w:type="auto"/>
        <w:tblLook w:val="04A0" w:firstRow="1" w:lastRow="0" w:firstColumn="1" w:lastColumn="0" w:noHBand="0" w:noVBand="1"/>
      </w:tblPr>
      <w:tblGrid>
        <w:gridCol w:w="1745"/>
        <w:gridCol w:w="2320"/>
        <w:gridCol w:w="2331"/>
        <w:gridCol w:w="2846"/>
      </w:tblGrid>
      <w:tr w:rsidR="007E759D" w:rsidTr="00217D92">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Year</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Rail base case (ntkm)</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Rail upgrade (ntkm)</w:t>
            </w:r>
          </w:p>
        </w:tc>
        <w:tc>
          <w:tcPr>
            <w:tcW w:w="2947"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Task increment (ntkm)</w:t>
            </w:r>
          </w:p>
        </w:tc>
      </w:tr>
      <w:tr w:rsidR="007E759D" w:rsidTr="00217D92">
        <w:trPr>
          <w:trHeight w:hRule="exact" w:val="284"/>
        </w:trPr>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2010</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4,372</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4,372</w:t>
            </w:r>
          </w:p>
        </w:tc>
        <w:tc>
          <w:tcPr>
            <w:tcW w:w="2947" w:type="dxa"/>
            <w:tcBorders>
              <w:top w:val="single" w:sz="4" w:space="0" w:color="auto"/>
              <w:left w:val="single" w:sz="4" w:space="0" w:color="auto"/>
              <w:bottom w:val="single" w:sz="4" w:space="0" w:color="auto"/>
              <w:right w:val="single" w:sz="4" w:space="0" w:color="auto"/>
            </w:tcBorders>
          </w:tcPr>
          <w:p w:rsidR="007E759D" w:rsidRDefault="007E759D" w:rsidP="00217D92">
            <w:pPr>
              <w:jc w:val="center"/>
            </w:pPr>
            <w:r>
              <w:t>0</w:t>
            </w:r>
          </w:p>
          <w:p w:rsidR="007E759D" w:rsidRDefault="007E759D" w:rsidP="00217D92">
            <w:pPr>
              <w:jc w:val="center"/>
            </w:pPr>
          </w:p>
        </w:tc>
      </w:tr>
      <w:tr w:rsidR="007E759D" w:rsidTr="00217D92">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2015</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6,482</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6,842</w:t>
            </w:r>
          </w:p>
        </w:tc>
        <w:tc>
          <w:tcPr>
            <w:tcW w:w="2947"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0</w:t>
            </w:r>
          </w:p>
        </w:tc>
      </w:tr>
      <w:tr w:rsidR="007E759D" w:rsidTr="00217D92">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2020</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8,054</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10,439</w:t>
            </w:r>
          </w:p>
        </w:tc>
        <w:tc>
          <w:tcPr>
            <w:tcW w:w="2947"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2,385</w:t>
            </w:r>
          </w:p>
        </w:tc>
      </w:tr>
      <w:tr w:rsidR="007E759D" w:rsidTr="00217D92">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2025</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8,133</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14,574</w:t>
            </w:r>
          </w:p>
        </w:tc>
        <w:tc>
          <w:tcPr>
            <w:tcW w:w="2947"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6,441</w:t>
            </w:r>
          </w:p>
        </w:tc>
      </w:tr>
      <w:tr w:rsidR="007E759D" w:rsidTr="00217D92">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2030</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8,152</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16,457</w:t>
            </w:r>
          </w:p>
        </w:tc>
        <w:tc>
          <w:tcPr>
            <w:tcW w:w="2947"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8,395</w:t>
            </w:r>
          </w:p>
        </w:tc>
      </w:tr>
      <w:tr w:rsidR="007E759D" w:rsidTr="00217D92">
        <w:tc>
          <w:tcPr>
            <w:tcW w:w="1809"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2040</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8,131</w:t>
            </w:r>
          </w:p>
        </w:tc>
        <w:tc>
          <w:tcPr>
            <w:tcW w:w="2410"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16,435</w:t>
            </w:r>
          </w:p>
        </w:tc>
        <w:tc>
          <w:tcPr>
            <w:tcW w:w="2947" w:type="dxa"/>
            <w:tcBorders>
              <w:top w:val="single" w:sz="4" w:space="0" w:color="auto"/>
              <w:left w:val="single" w:sz="4" w:space="0" w:color="auto"/>
              <w:bottom w:val="single" w:sz="4" w:space="0" w:color="auto"/>
              <w:right w:val="single" w:sz="4" w:space="0" w:color="auto"/>
            </w:tcBorders>
            <w:hideMark/>
          </w:tcPr>
          <w:p w:rsidR="007E759D" w:rsidRDefault="007E759D" w:rsidP="00217D92">
            <w:pPr>
              <w:jc w:val="center"/>
            </w:pPr>
            <w:r>
              <w:t>8,304</w:t>
            </w:r>
          </w:p>
        </w:tc>
      </w:tr>
    </w:tbl>
    <w:p w:rsidR="007E759D" w:rsidRDefault="007E759D" w:rsidP="007E759D">
      <w:pPr>
        <w:pStyle w:val="ListParagraph"/>
        <w:rPr>
          <w:rFonts w:cs="Arial"/>
          <w:sz w:val="24"/>
          <w:szCs w:val="24"/>
        </w:rPr>
      </w:pPr>
    </w:p>
    <w:p w:rsidR="007E759D" w:rsidRDefault="007E759D" w:rsidP="007E759D">
      <w:pPr>
        <w:pStyle w:val="ListParagraph"/>
        <w:rPr>
          <w:rFonts w:cs="Arial"/>
          <w:sz w:val="24"/>
          <w:szCs w:val="24"/>
        </w:rPr>
      </w:pPr>
    </w:p>
    <w:p w:rsidR="007E759D" w:rsidRDefault="007E759D" w:rsidP="007E759D">
      <w:pPr>
        <w:pStyle w:val="ListParagraph"/>
        <w:ind w:left="0"/>
        <w:rPr>
          <w:rFonts w:cs="Arial"/>
          <w:sz w:val="24"/>
          <w:szCs w:val="24"/>
        </w:rPr>
      </w:pPr>
      <w:r>
        <w:rPr>
          <w:rFonts w:cs="Arial"/>
          <w:b/>
          <w:sz w:val="24"/>
          <w:szCs w:val="24"/>
        </w:rPr>
        <w:t>4</w:t>
      </w:r>
      <w:r w:rsidRPr="008D0177">
        <w:rPr>
          <w:rFonts w:cs="Arial"/>
          <w:b/>
          <w:sz w:val="24"/>
          <w:szCs w:val="24"/>
        </w:rPr>
        <w:t>.1</w:t>
      </w:r>
      <w:r>
        <w:rPr>
          <w:rFonts w:cs="Arial"/>
          <w:sz w:val="24"/>
          <w:szCs w:val="24"/>
        </w:rPr>
        <w:t xml:space="preserve"> </w:t>
      </w:r>
      <w:r w:rsidRPr="00DC7769">
        <w:rPr>
          <w:rFonts w:cs="Arial"/>
          <w:b/>
          <w:sz w:val="24"/>
          <w:szCs w:val="24"/>
        </w:rPr>
        <w:t>Steps in the computation.</w:t>
      </w:r>
    </w:p>
    <w:p w:rsidR="007E759D" w:rsidRDefault="007E759D" w:rsidP="007E759D">
      <w:pPr>
        <w:pStyle w:val="ListParagraph"/>
        <w:ind w:left="0"/>
        <w:rPr>
          <w:rFonts w:cs="Arial"/>
          <w:sz w:val="24"/>
          <w:szCs w:val="24"/>
        </w:rPr>
      </w:pPr>
    </w:p>
    <w:p w:rsidR="007E759D" w:rsidRDefault="007E759D" w:rsidP="007E759D">
      <w:pPr>
        <w:pStyle w:val="ListParagraph"/>
        <w:ind w:left="0" w:firstLine="720"/>
        <w:rPr>
          <w:rFonts w:cs="Arial"/>
          <w:sz w:val="24"/>
          <w:szCs w:val="24"/>
        </w:rPr>
      </w:pPr>
      <w:r>
        <w:rPr>
          <w:rFonts w:cs="Arial"/>
          <w:sz w:val="24"/>
          <w:szCs w:val="24"/>
        </w:rPr>
        <w:t>The freight task increment is the increase in freight demand that is accommodated by the increase in rail capacity. This increment is supposed to result in the “benefits” claimed by Deloitte for the rail upgrade. The cost savings obtained by transporting the increase in freight by rail rather than by road are calculated as follows. The steps in the calculation are explained as follows.</w:t>
      </w: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r>
        <w:rPr>
          <w:rFonts w:cs="Arial"/>
          <w:noProof/>
          <w:sz w:val="24"/>
          <w:szCs w:val="24"/>
          <w:lang w:eastAsia="en-AU"/>
        </w:rPr>
        <w:lastRenderedPageBreak/>
        <w:drawing>
          <wp:inline distT="0" distB="0" distL="0" distR="0" wp14:anchorId="09A77852" wp14:editId="78BFAAD7">
            <wp:extent cx="5734282" cy="3636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282" cy="3636000"/>
                    </a:xfrm>
                    <a:prstGeom prst="rect">
                      <a:avLst/>
                    </a:prstGeom>
                  </pic:spPr>
                </pic:pic>
              </a:graphicData>
            </a:graphic>
          </wp:inline>
        </w:drawing>
      </w:r>
    </w:p>
    <w:p w:rsidR="007E759D" w:rsidRPr="00AE2AAB" w:rsidRDefault="007E759D" w:rsidP="007E759D">
      <w:pPr>
        <w:pStyle w:val="ListParagraph"/>
        <w:ind w:left="0"/>
        <w:jc w:val="center"/>
        <w:rPr>
          <w:rFonts w:cs="Arial"/>
          <w:sz w:val="24"/>
          <w:szCs w:val="24"/>
        </w:rPr>
      </w:pPr>
    </w:p>
    <w:p w:rsidR="007E759D" w:rsidRDefault="007E759D" w:rsidP="007E759D">
      <w:pPr>
        <w:pStyle w:val="ListParagraph"/>
        <w:ind w:left="1134" w:hanging="1134"/>
        <w:rPr>
          <w:rFonts w:cs="Arial"/>
          <w:sz w:val="24"/>
          <w:szCs w:val="24"/>
        </w:rPr>
      </w:pPr>
      <w:r w:rsidRPr="00AE2AAB">
        <w:rPr>
          <w:rFonts w:cs="Arial"/>
          <w:b/>
          <w:sz w:val="24"/>
          <w:szCs w:val="24"/>
          <w:u w:val="single"/>
        </w:rPr>
        <w:t>Figure 2.</w:t>
      </w:r>
      <w:r>
        <w:rPr>
          <w:rFonts w:cs="Arial"/>
          <w:sz w:val="24"/>
          <w:szCs w:val="24"/>
        </w:rPr>
        <w:t xml:space="preserve"> T</w:t>
      </w:r>
      <w:r w:rsidRPr="00AE2AAB">
        <w:rPr>
          <w:rFonts w:cs="Arial"/>
          <w:sz w:val="24"/>
          <w:szCs w:val="24"/>
        </w:rPr>
        <w:t>he Base</w:t>
      </w:r>
      <w:r>
        <w:rPr>
          <w:rFonts w:cs="Arial"/>
          <w:sz w:val="24"/>
          <w:szCs w:val="24"/>
        </w:rPr>
        <w:t xml:space="preserve"> </w:t>
      </w:r>
      <w:r w:rsidRPr="00AE2AAB">
        <w:rPr>
          <w:rFonts w:cs="Arial"/>
          <w:sz w:val="24"/>
          <w:szCs w:val="24"/>
        </w:rPr>
        <w:t>Case</w:t>
      </w:r>
      <w:r>
        <w:rPr>
          <w:rFonts w:cs="Arial"/>
          <w:sz w:val="24"/>
          <w:szCs w:val="24"/>
        </w:rPr>
        <w:t xml:space="preserve"> freight demand function derived from curve fitting by least squares to the discrete data values given in Deloitte Table 5.13 and reproduced in Table 2 above. The cubic function allows interpolation to obtain values of base case demand each year over a 30 year period. </w:t>
      </w: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jc w:val="center"/>
        <w:rPr>
          <w:rFonts w:cs="Arial"/>
          <w:sz w:val="24"/>
          <w:szCs w:val="24"/>
        </w:rPr>
      </w:pPr>
      <w:r>
        <w:rPr>
          <w:rFonts w:cs="Arial"/>
          <w:noProof/>
          <w:sz w:val="24"/>
          <w:szCs w:val="24"/>
          <w:lang w:eastAsia="en-AU"/>
        </w:rPr>
        <w:lastRenderedPageBreak/>
        <w:drawing>
          <wp:inline distT="0" distB="0" distL="0" distR="0" wp14:anchorId="72108A1B" wp14:editId="7F8F1C40">
            <wp:extent cx="5212674" cy="3636000"/>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674" cy="3636000"/>
                    </a:xfrm>
                    <a:prstGeom prst="rect">
                      <a:avLst/>
                    </a:prstGeom>
                  </pic:spPr>
                </pic:pic>
              </a:graphicData>
            </a:graphic>
          </wp:inline>
        </w:drawing>
      </w: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sz w:val="24"/>
          <w:szCs w:val="24"/>
        </w:rPr>
      </w:pPr>
    </w:p>
    <w:p w:rsidR="007E759D" w:rsidRDefault="007E759D" w:rsidP="007E759D">
      <w:pPr>
        <w:pStyle w:val="ListParagraph"/>
        <w:ind w:left="1134" w:hanging="1134"/>
        <w:rPr>
          <w:rFonts w:cs="Arial"/>
          <w:noProof/>
          <w:sz w:val="24"/>
          <w:szCs w:val="24"/>
          <w:lang w:eastAsia="en-AU"/>
        </w:rPr>
      </w:pPr>
    </w:p>
    <w:p w:rsidR="007E759D" w:rsidRDefault="007E759D" w:rsidP="007E759D">
      <w:pPr>
        <w:pStyle w:val="ListParagraph"/>
        <w:ind w:left="1134" w:hanging="1134"/>
        <w:rPr>
          <w:rFonts w:cs="Arial"/>
          <w:noProof/>
          <w:sz w:val="24"/>
          <w:szCs w:val="24"/>
          <w:lang w:eastAsia="en-AU"/>
        </w:rPr>
      </w:pPr>
      <w:r w:rsidRPr="00AE2AAB">
        <w:rPr>
          <w:rFonts w:cs="Arial"/>
          <w:b/>
          <w:noProof/>
          <w:sz w:val="24"/>
          <w:szCs w:val="24"/>
          <w:u w:val="single"/>
          <w:lang w:eastAsia="en-AU"/>
        </w:rPr>
        <w:t>Figure 3</w:t>
      </w:r>
      <w:r>
        <w:rPr>
          <w:rFonts w:cs="Arial"/>
          <w:noProof/>
          <w:sz w:val="24"/>
          <w:szCs w:val="24"/>
          <w:lang w:eastAsia="en-AU"/>
        </w:rPr>
        <w:t>. The Upgrade Case freight demand function derived from Deloitte Table 5.13. In this case a quartic function has been fitted to the Deloitte data by the method of least squares and is used for interpolation..</w:t>
      </w:r>
    </w:p>
    <w:p w:rsidR="007E759D" w:rsidRDefault="007E759D" w:rsidP="007E759D">
      <w:pPr>
        <w:pStyle w:val="ListParagraph"/>
        <w:ind w:left="0"/>
        <w:jc w:val="center"/>
        <w:rPr>
          <w:rFonts w:cs="Arial"/>
          <w:noProof/>
          <w:sz w:val="24"/>
          <w:szCs w:val="24"/>
          <w:lang w:eastAsia="en-AU"/>
        </w:rPr>
      </w:pPr>
    </w:p>
    <w:p w:rsidR="007E759D" w:rsidRDefault="007E759D" w:rsidP="007E759D">
      <w:pPr>
        <w:pStyle w:val="ListParagraph"/>
        <w:ind w:left="0"/>
        <w:rPr>
          <w:rFonts w:cs="Arial"/>
          <w:sz w:val="24"/>
          <w:szCs w:val="24"/>
        </w:rPr>
      </w:pPr>
    </w:p>
    <w:p w:rsidR="007E759D" w:rsidRDefault="007E759D" w:rsidP="007E759D">
      <w:pPr>
        <w:pStyle w:val="ListParagraph"/>
        <w:ind w:left="0"/>
        <w:rPr>
          <w:rFonts w:cs="Arial"/>
          <w:sz w:val="24"/>
          <w:szCs w:val="24"/>
        </w:rPr>
      </w:pPr>
    </w:p>
    <w:p w:rsidR="007E759D" w:rsidRDefault="007E759D" w:rsidP="007E759D">
      <w:pPr>
        <w:jc w:val="center"/>
        <w:rPr>
          <w:rFonts w:cs="Arial"/>
          <w:noProof/>
          <w:sz w:val="24"/>
          <w:szCs w:val="24"/>
          <w:lang w:eastAsia="en-AU"/>
        </w:rPr>
      </w:pPr>
    </w:p>
    <w:p w:rsidR="007E759D" w:rsidRDefault="007E759D" w:rsidP="007E759D">
      <w:pPr>
        <w:jc w:val="center"/>
        <w:rPr>
          <w:rFonts w:cs="Arial"/>
          <w:noProof/>
          <w:sz w:val="24"/>
          <w:szCs w:val="24"/>
          <w:lang w:eastAsia="en-AU"/>
        </w:rPr>
      </w:pPr>
    </w:p>
    <w:p w:rsidR="007E759D" w:rsidRDefault="007E759D" w:rsidP="007E759D">
      <w:pPr>
        <w:jc w:val="center"/>
        <w:rPr>
          <w:rFonts w:cs="Arial"/>
          <w:noProof/>
          <w:sz w:val="24"/>
          <w:szCs w:val="24"/>
          <w:lang w:eastAsia="en-AU"/>
        </w:rPr>
      </w:pPr>
    </w:p>
    <w:p w:rsidR="007E759D" w:rsidRDefault="007E759D" w:rsidP="007E759D">
      <w:pPr>
        <w:jc w:val="center"/>
        <w:rPr>
          <w:rFonts w:cs="Arial"/>
          <w:noProof/>
          <w:sz w:val="24"/>
          <w:szCs w:val="24"/>
          <w:lang w:eastAsia="en-AU"/>
        </w:rPr>
      </w:pPr>
    </w:p>
    <w:p w:rsidR="007E759D" w:rsidRDefault="007E759D" w:rsidP="007E759D">
      <w:pPr>
        <w:jc w:val="center"/>
        <w:rPr>
          <w:rFonts w:cs="Arial"/>
          <w:noProof/>
          <w:sz w:val="24"/>
          <w:szCs w:val="24"/>
          <w:lang w:eastAsia="en-AU"/>
        </w:rPr>
      </w:pPr>
    </w:p>
    <w:p w:rsidR="007E759D" w:rsidRDefault="007E759D" w:rsidP="007E759D">
      <w:pPr>
        <w:rPr>
          <w:rFonts w:ascii="Arial" w:hAnsi="Arial" w:cs="Arial"/>
          <w:noProof/>
          <w:sz w:val="24"/>
          <w:szCs w:val="24"/>
          <w:lang w:eastAsia="en-AU"/>
        </w:rPr>
      </w:pPr>
    </w:p>
    <w:p w:rsidR="007E759D" w:rsidRDefault="007E759D" w:rsidP="007E759D">
      <w:pPr>
        <w:rPr>
          <w:rFonts w:cs="Arial"/>
          <w:noProof/>
          <w:sz w:val="24"/>
          <w:szCs w:val="24"/>
          <w:lang w:eastAsia="en-AU"/>
        </w:rPr>
      </w:pPr>
      <w:r w:rsidRPr="00260867">
        <w:rPr>
          <w:rFonts w:ascii="Arial" w:hAnsi="Arial" w:cs="Arial"/>
          <w:noProof/>
          <w:sz w:val="24"/>
          <w:szCs w:val="24"/>
          <w:lang w:eastAsia="en-AU"/>
        </w:rPr>
        <w:t xml:space="preserve">The difference between these two functions </w:t>
      </w:r>
      <w:r>
        <w:rPr>
          <w:rFonts w:ascii="Arial" w:hAnsi="Arial" w:cs="Arial"/>
          <w:noProof/>
          <w:sz w:val="24"/>
          <w:szCs w:val="24"/>
          <w:lang w:eastAsia="en-AU"/>
        </w:rPr>
        <w:t xml:space="preserve">shown in </w:t>
      </w:r>
      <w:r w:rsidRPr="0077327C">
        <w:rPr>
          <w:rFonts w:ascii="Arial" w:hAnsi="Arial" w:cs="Arial"/>
          <w:b/>
          <w:noProof/>
          <w:sz w:val="24"/>
          <w:szCs w:val="24"/>
          <w:u w:val="single"/>
          <w:lang w:eastAsia="en-AU"/>
        </w:rPr>
        <w:t>Figures 2 and 3</w:t>
      </w:r>
      <w:r>
        <w:rPr>
          <w:rFonts w:ascii="Arial" w:hAnsi="Arial" w:cs="Arial"/>
          <w:noProof/>
          <w:sz w:val="24"/>
          <w:szCs w:val="24"/>
          <w:lang w:eastAsia="en-AU"/>
        </w:rPr>
        <w:t xml:space="preserve"> </w:t>
      </w:r>
      <w:r w:rsidRPr="00260867">
        <w:rPr>
          <w:rFonts w:ascii="Arial" w:hAnsi="Arial" w:cs="Arial"/>
          <w:noProof/>
          <w:sz w:val="24"/>
          <w:szCs w:val="24"/>
          <w:lang w:eastAsia="en-AU"/>
        </w:rPr>
        <w:t xml:space="preserve">is the excess capacity which is generated as a </w:t>
      </w:r>
      <w:r>
        <w:rPr>
          <w:rFonts w:ascii="Arial" w:hAnsi="Arial" w:cs="Arial"/>
          <w:noProof/>
          <w:sz w:val="24"/>
          <w:szCs w:val="24"/>
          <w:lang w:eastAsia="en-AU"/>
        </w:rPr>
        <w:t xml:space="preserve">result of the upgrade.  </w:t>
      </w:r>
      <w:r w:rsidRPr="00273036">
        <w:rPr>
          <w:rFonts w:ascii="Arial" w:hAnsi="Arial" w:cs="Arial"/>
          <w:b/>
          <w:noProof/>
          <w:sz w:val="24"/>
          <w:szCs w:val="24"/>
          <w:u w:val="single"/>
          <w:lang w:eastAsia="en-AU"/>
        </w:rPr>
        <w:t>Figure 4</w:t>
      </w:r>
      <w:r w:rsidRPr="00260867">
        <w:rPr>
          <w:rFonts w:ascii="Arial" w:hAnsi="Arial" w:cs="Arial"/>
          <w:noProof/>
          <w:sz w:val="24"/>
          <w:szCs w:val="24"/>
          <w:lang w:eastAsia="en-AU"/>
        </w:rPr>
        <w:t xml:space="preserve"> below is the result of differencing the two </w:t>
      </w:r>
      <w:r>
        <w:rPr>
          <w:rFonts w:ascii="Arial" w:hAnsi="Arial" w:cs="Arial"/>
          <w:noProof/>
          <w:sz w:val="24"/>
          <w:szCs w:val="24"/>
          <w:lang w:eastAsia="en-AU"/>
        </w:rPr>
        <w:t>functions</w:t>
      </w:r>
      <w:r>
        <w:rPr>
          <w:rFonts w:cs="Arial"/>
          <w:noProof/>
          <w:sz w:val="24"/>
          <w:szCs w:val="24"/>
          <w:lang w:eastAsia="en-AU"/>
        </w:rPr>
        <w:t>.</w:t>
      </w:r>
    </w:p>
    <w:p w:rsidR="007E759D" w:rsidRDefault="007E759D" w:rsidP="007E759D">
      <w:pPr>
        <w:jc w:val="center"/>
        <w:rPr>
          <w:rFonts w:cs="Arial"/>
          <w:noProof/>
          <w:sz w:val="24"/>
          <w:szCs w:val="24"/>
          <w:lang w:eastAsia="en-AU"/>
        </w:rPr>
      </w:pPr>
      <w:r>
        <w:rPr>
          <w:rFonts w:cs="Arial"/>
          <w:noProof/>
          <w:sz w:val="24"/>
          <w:szCs w:val="24"/>
          <w:lang w:eastAsia="en-AU"/>
        </w:rPr>
        <w:lastRenderedPageBreak/>
        <w:drawing>
          <wp:inline distT="0" distB="0" distL="0" distR="0" wp14:anchorId="65616DF3" wp14:editId="65C3F0BF">
            <wp:extent cx="4596131" cy="30960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6131" cy="3096000"/>
                    </a:xfrm>
                    <a:prstGeom prst="rect">
                      <a:avLst/>
                    </a:prstGeom>
                  </pic:spPr>
                </pic:pic>
              </a:graphicData>
            </a:graphic>
          </wp:inline>
        </w:drawing>
      </w:r>
    </w:p>
    <w:p w:rsidR="007E759D" w:rsidRDefault="007E759D" w:rsidP="007E759D">
      <w:pPr>
        <w:rPr>
          <w:rFonts w:ascii="Arial" w:hAnsi="Arial" w:cs="Arial"/>
          <w:noProof/>
          <w:sz w:val="24"/>
          <w:szCs w:val="24"/>
          <w:lang w:eastAsia="en-AU"/>
        </w:rPr>
      </w:pPr>
      <w:r w:rsidRPr="00015931">
        <w:rPr>
          <w:rFonts w:ascii="Arial" w:hAnsi="Arial" w:cs="Arial"/>
          <w:b/>
          <w:noProof/>
          <w:sz w:val="24"/>
          <w:szCs w:val="24"/>
          <w:u w:val="single"/>
          <w:lang w:eastAsia="en-AU"/>
        </w:rPr>
        <w:t>Figure 4</w:t>
      </w:r>
      <w:r>
        <w:rPr>
          <w:rFonts w:ascii="Arial" w:hAnsi="Arial" w:cs="Arial"/>
          <w:b/>
          <w:noProof/>
          <w:sz w:val="24"/>
          <w:szCs w:val="24"/>
          <w:u w:val="single"/>
          <w:lang w:eastAsia="en-AU"/>
        </w:rPr>
        <w:t xml:space="preserve">. </w:t>
      </w:r>
      <w:r>
        <w:rPr>
          <w:rFonts w:ascii="Arial" w:hAnsi="Arial" w:cs="Arial"/>
          <w:noProof/>
          <w:sz w:val="24"/>
          <w:szCs w:val="24"/>
          <w:lang w:eastAsia="en-AU"/>
        </w:rPr>
        <w:t>T</w:t>
      </w:r>
      <w:r w:rsidRPr="00D06740">
        <w:rPr>
          <w:rFonts w:ascii="Arial" w:hAnsi="Arial" w:cs="Arial"/>
          <w:noProof/>
          <w:sz w:val="24"/>
          <w:szCs w:val="24"/>
          <w:lang w:eastAsia="en-AU"/>
        </w:rPr>
        <w:t>his excess capacity is the variable that must be used in the calculation of benefits. The additional step in the calculation which is needed to evaluate benefits is the difference in u</w:t>
      </w:r>
      <w:r>
        <w:rPr>
          <w:rFonts w:ascii="Arial" w:hAnsi="Arial" w:cs="Arial"/>
          <w:noProof/>
          <w:sz w:val="24"/>
          <w:szCs w:val="24"/>
          <w:lang w:eastAsia="en-AU"/>
        </w:rPr>
        <w:t>sa</w:t>
      </w:r>
      <w:r w:rsidRPr="00D06740">
        <w:rPr>
          <w:rFonts w:ascii="Arial" w:hAnsi="Arial" w:cs="Arial"/>
          <w:noProof/>
          <w:sz w:val="24"/>
          <w:szCs w:val="24"/>
          <w:lang w:eastAsia="en-AU"/>
        </w:rPr>
        <w:t>ge costs between rail and road applied to the excess capacity.</w:t>
      </w:r>
    </w:p>
    <w:p w:rsidR="007E759D" w:rsidRDefault="007E759D" w:rsidP="007E759D">
      <w:pPr>
        <w:rPr>
          <w:rFonts w:ascii="Arial" w:hAnsi="Arial" w:cs="Arial"/>
          <w:noProof/>
          <w:sz w:val="24"/>
          <w:szCs w:val="24"/>
          <w:lang w:eastAsia="en-AU"/>
        </w:rPr>
      </w:pPr>
      <w:r w:rsidRPr="00D06740">
        <w:rPr>
          <w:rFonts w:ascii="Arial" w:hAnsi="Arial" w:cs="Arial"/>
          <w:noProof/>
          <w:sz w:val="24"/>
          <w:szCs w:val="24"/>
          <w:lang w:eastAsia="en-AU"/>
        </w:rPr>
        <w:t xml:space="preserve">Deloitte has not used this </w:t>
      </w:r>
      <w:r>
        <w:rPr>
          <w:rFonts w:ascii="Arial" w:hAnsi="Arial" w:cs="Arial"/>
          <w:noProof/>
          <w:sz w:val="24"/>
          <w:szCs w:val="24"/>
          <w:lang w:eastAsia="en-AU"/>
        </w:rPr>
        <w:t>freight demand difference or excess capacity in calculating costs as it has claimed to have done.</w:t>
      </w:r>
    </w:p>
    <w:p w:rsidR="007E759D" w:rsidRDefault="007E759D" w:rsidP="007E759D">
      <w:pPr>
        <w:rPr>
          <w:rFonts w:cs="Arial"/>
          <w:b/>
          <w:noProof/>
          <w:sz w:val="24"/>
          <w:szCs w:val="24"/>
          <w:u w:val="single"/>
          <w:lang w:eastAsia="en-AU"/>
        </w:rPr>
      </w:pPr>
      <w:r>
        <w:rPr>
          <w:rFonts w:ascii="Arial" w:hAnsi="Arial" w:cs="Arial"/>
          <w:noProof/>
          <w:sz w:val="24"/>
          <w:szCs w:val="24"/>
          <w:lang w:eastAsia="en-AU"/>
        </w:rPr>
        <w:t xml:space="preserve">Instead, it has calculated the costs on the assumption that these were derived solely from the use of the </w:t>
      </w:r>
      <w:r w:rsidRPr="00C44A8D">
        <w:rPr>
          <w:rFonts w:ascii="Arial" w:hAnsi="Arial" w:cs="Arial"/>
          <w:b/>
          <w:noProof/>
          <w:sz w:val="24"/>
          <w:szCs w:val="24"/>
          <w:lang w:eastAsia="en-AU"/>
        </w:rPr>
        <w:t>whole</w:t>
      </w:r>
      <w:r>
        <w:rPr>
          <w:rFonts w:ascii="Arial" w:hAnsi="Arial" w:cs="Arial"/>
          <w:noProof/>
          <w:sz w:val="24"/>
          <w:szCs w:val="24"/>
          <w:lang w:eastAsia="en-AU"/>
        </w:rPr>
        <w:t xml:space="preserve"> upgraded rail system. These costs were then wrongly relabelled as benefits. This wrong approach has the effect of inflating the benefits from the project This inflation effect is clearly shown graphically in </w:t>
      </w:r>
      <w:r w:rsidRPr="0077327C">
        <w:rPr>
          <w:rFonts w:ascii="Arial" w:hAnsi="Arial" w:cs="Arial"/>
          <w:b/>
          <w:noProof/>
          <w:sz w:val="24"/>
          <w:szCs w:val="24"/>
          <w:u w:val="single"/>
          <w:lang w:eastAsia="en-AU"/>
        </w:rPr>
        <w:t>Figure 5</w:t>
      </w:r>
      <w:r>
        <w:rPr>
          <w:rFonts w:ascii="Arial" w:hAnsi="Arial" w:cs="Arial"/>
          <w:noProof/>
          <w:sz w:val="24"/>
          <w:szCs w:val="24"/>
          <w:lang w:eastAsia="en-AU"/>
        </w:rPr>
        <w:t xml:space="preserve"> below.</w:t>
      </w:r>
    </w:p>
    <w:p w:rsidR="007E759D" w:rsidRDefault="007E759D" w:rsidP="007E759D">
      <w:pPr>
        <w:rPr>
          <w:rFonts w:cs="Arial"/>
          <w:b/>
          <w:noProof/>
          <w:sz w:val="24"/>
          <w:szCs w:val="24"/>
          <w:u w:val="single"/>
          <w:lang w:eastAsia="en-AU"/>
        </w:rPr>
      </w:pPr>
    </w:p>
    <w:p w:rsidR="007E759D" w:rsidRDefault="007E759D" w:rsidP="007E759D">
      <w:pPr>
        <w:rPr>
          <w:rFonts w:cs="Arial"/>
          <w:b/>
          <w:noProof/>
          <w:sz w:val="24"/>
          <w:szCs w:val="24"/>
          <w:lang w:eastAsia="en-AU"/>
        </w:rPr>
      </w:pPr>
    </w:p>
    <w:p w:rsidR="007E759D" w:rsidRDefault="007E759D" w:rsidP="007E759D">
      <w:pPr>
        <w:rPr>
          <w:rFonts w:cs="Arial"/>
          <w:b/>
          <w:noProof/>
          <w:sz w:val="24"/>
          <w:szCs w:val="24"/>
          <w:lang w:eastAsia="en-AU"/>
        </w:rPr>
      </w:pPr>
    </w:p>
    <w:p w:rsidR="007E759D" w:rsidRDefault="007E759D" w:rsidP="007E759D">
      <w:pPr>
        <w:rPr>
          <w:rFonts w:cs="Arial"/>
          <w:b/>
          <w:noProof/>
          <w:sz w:val="24"/>
          <w:szCs w:val="24"/>
          <w:lang w:eastAsia="en-AU"/>
        </w:rPr>
      </w:pPr>
    </w:p>
    <w:p w:rsidR="007E759D" w:rsidRDefault="007E759D" w:rsidP="007E759D">
      <w:pPr>
        <w:rPr>
          <w:rFonts w:ascii="Arial" w:hAnsi="Arial" w:cs="Arial"/>
          <w:noProof/>
          <w:sz w:val="24"/>
          <w:szCs w:val="24"/>
          <w:lang w:eastAsia="en-AU"/>
        </w:rPr>
      </w:pPr>
      <w:r>
        <w:rPr>
          <w:rFonts w:ascii="Arial" w:hAnsi="Arial" w:cs="Arial"/>
          <w:noProof/>
          <w:sz w:val="24"/>
          <w:szCs w:val="24"/>
          <w:lang w:eastAsia="en-AU"/>
        </w:rPr>
        <w:lastRenderedPageBreak/>
        <w:drawing>
          <wp:inline distT="0" distB="0" distL="0" distR="0" wp14:anchorId="5011AAA4" wp14:editId="50CC47D8">
            <wp:extent cx="5943600" cy="39211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21125"/>
                    </a:xfrm>
                    <a:prstGeom prst="rect">
                      <a:avLst/>
                    </a:prstGeom>
                  </pic:spPr>
                </pic:pic>
              </a:graphicData>
            </a:graphic>
          </wp:inline>
        </w:drawing>
      </w:r>
    </w:p>
    <w:p w:rsidR="007E759D" w:rsidRDefault="007E759D" w:rsidP="007E759D">
      <w:pPr>
        <w:jc w:val="center"/>
        <w:rPr>
          <w:rFonts w:ascii="Arial" w:hAnsi="Arial" w:cs="Arial"/>
          <w:noProof/>
          <w:sz w:val="24"/>
          <w:szCs w:val="24"/>
          <w:lang w:eastAsia="en-AU"/>
        </w:rPr>
      </w:pPr>
      <w:r w:rsidRPr="00465716">
        <w:rPr>
          <w:rFonts w:ascii="Arial" w:hAnsi="Arial" w:cs="Arial"/>
          <w:b/>
          <w:noProof/>
          <w:sz w:val="24"/>
          <w:szCs w:val="24"/>
          <w:u w:val="single"/>
          <w:lang w:eastAsia="en-AU"/>
        </w:rPr>
        <w:t>Figure 5</w:t>
      </w:r>
      <w:r>
        <w:rPr>
          <w:rFonts w:ascii="Arial" w:hAnsi="Arial" w:cs="Arial"/>
          <w:noProof/>
          <w:sz w:val="24"/>
          <w:szCs w:val="24"/>
          <w:lang w:eastAsia="en-AU"/>
        </w:rPr>
        <w:t xml:space="preserve"> . This graph shows the following three variables</w:t>
      </w:r>
    </w:p>
    <w:p w:rsidR="007E759D" w:rsidRDefault="007E759D" w:rsidP="007E759D">
      <w:pPr>
        <w:pStyle w:val="ListParagraph"/>
        <w:numPr>
          <w:ilvl w:val="0"/>
          <w:numId w:val="3"/>
        </w:numPr>
        <w:rPr>
          <w:rFonts w:cs="Arial"/>
          <w:noProof/>
          <w:sz w:val="24"/>
          <w:szCs w:val="24"/>
          <w:lang w:eastAsia="en-AU"/>
        </w:rPr>
      </w:pPr>
      <w:r>
        <w:rPr>
          <w:rFonts w:cs="Arial"/>
          <w:noProof/>
          <w:sz w:val="24"/>
          <w:szCs w:val="24"/>
          <w:lang w:eastAsia="en-AU"/>
        </w:rPr>
        <w:t>the rail costs.</w:t>
      </w:r>
    </w:p>
    <w:p w:rsidR="007E759D" w:rsidRDefault="007E759D" w:rsidP="007E759D">
      <w:pPr>
        <w:pStyle w:val="ListParagraph"/>
        <w:rPr>
          <w:rFonts w:cs="Arial"/>
          <w:noProof/>
          <w:sz w:val="24"/>
          <w:szCs w:val="24"/>
          <w:lang w:eastAsia="en-AU"/>
        </w:rPr>
      </w:pPr>
    </w:p>
    <w:p w:rsidR="007E759D" w:rsidRDefault="007E759D" w:rsidP="007E759D">
      <w:pPr>
        <w:pStyle w:val="ListParagraph"/>
        <w:numPr>
          <w:ilvl w:val="0"/>
          <w:numId w:val="3"/>
        </w:numPr>
        <w:rPr>
          <w:rFonts w:cs="Arial"/>
          <w:noProof/>
          <w:sz w:val="24"/>
          <w:szCs w:val="24"/>
          <w:lang w:eastAsia="en-AU"/>
        </w:rPr>
      </w:pPr>
      <w:r w:rsidRPr="009B6768">
        <w:rPr>
          <w:rFonts w:cs="Arial"/>
          <w:noProof/>
          <w:sz w:val="24"/>
          <w:szCs w:val="24"/>
          <w:lang w:eastAsia="en-AU"/>
        </w:rPr>
        <w:t xml:space="preserve">the real benefits correctly obtained as the cost differences between </w:t>
      </w:r>
      <w:r>
        <w:rPr>
          <w:rFonts w:cs="Arial"/>
          <w:noProof/>
          <w:sz w:val="24"/>
          <w:szCs w:val="24"/>
          <w:lang w:eastAsia="en-AU"/>
        </w:rPr>
        <w:t>road and rail transport.</w:t>
      </w:r>
    </w:p>
    <w:p w:rsidR="007E759D" w:rsidRPr="00A41548" w:rsidRDefault="007E759D" w:rsidP="007E759D">
      <w:pPr>
        <w:pStyle w:val="ListParagraph"/>
        <w:rPr>
          <w:rFonts w:cs="Arial"/>
          <w:noProof/>
          <w:sz w:val="24"/>
          <w:szCs w:val="24"/>
          <w:lang w:eastAsia="en-AU"/>
        </w:rPr>
      </w:pPr>
    </w:p>
    <w:p w:rsidR="007E759D" w:rsidRDefault="007E759D" w:rsidP="007E759D">
      <w:pPr>
        <w:pStyle w:val="ListParagraph"/>
        <w:numPr>
          <w:ilvl w:val="0"/>
          <w:numId w:val="3"/>
        </w:numPr>
        <w:ind w:left="709" w:hanging="425"/>
        <w:rPr>
          <w:rFonts w:cs="Arial"/>
          <w:noProof/>
          <w:sz w:val="24"/>
          <w:szCs w:val="24"/>
          <w:lang w:eastAsia="en-AU"/>
        </w:rPr>
      </w:pPr>
      <w:r w:rsidRPr="003631AE">
        <w:rPr>
          <w:rFonts w:cs="Arial"/>
          <w:noProof/>
          <w:sz w:val="24"/>
          <w:szCs w:val="24"/>
          <w:lang w:eastAsia="en-AU"/>
        </w:rPr>
        <w:t>the benefits wrongly obtained by Deloitte by using rail costs as a substitute</w:t>
      </w:r>
      <w:r>
        <w:rPr>
          <w:rFonts w:cs="Arial"/>
          <w:noProof/>
          <w:sz w:val="24"/>
          <w:szCs w:val="24"/>
          <w:lang w:eastAsia="en-AU"/>
        </w:rPr>
        <w:t xml:space="preserve"> for real benefits</w:t>
      </w:r>
      <w:r w:rsidRPr="003631AE">
        <w:rPr>
          <w:rFonts w:cs="Arial"/>
          <w:noProof/>
          <w:sz w:val="24"/>
          <w:szCs w:val="24"/>
          <w:lang w:eastAsia="en-AU"/>
        </w:rPr>
        <w:t xml:space="preserve"> and the addition of capital costs to these benefits. </w:t>
      </w:r>
    </w:p>
    <w:p w:rsidR="007E759D" w:rsidRPr="00292EDE" w:rsidRDefault="007E759D" w:rsidP="007E759D">
      <w:pPr>
        <w:pStyle w:val="ListParagraph"/>
        <w:rPr>
          <w:rFonts w:cs="Arial"/>
          <w:noProof/>
          <w:sz w:val="24"/>
          <w:szCs w:val="24"/>
          <w:lang w:eastAsia="en-AU"/>
        </w:rPr>
      </w:pPr>
    </w:p>
    <w:p w:rsidR="007E759D" w:rsidRDefault="007E759D" w:rsidP="007E759D">
      <w:pPr>
        <w:pStyle w:val="ListParagraph"/>
        <w:ind w:left="360" w:firstLine="349"/>
        <w:rPr>
          <w:rFonts w:cs="Arial"/>
          <w:noProof/>
          <w:sz w:val="24"/>
          <w:szCs w:val="24"/>
          <w:lang w:eastAsia="en-AU"/>
        </w:rPr>
      </w:pPr>
      <w:r>
        <w:rPr>
          <w:rFonts w:cs="Arial"/>
          <w:noProof/>
          <w:sz w:val="24"/>
          <w:szCs w:val="24"/>
          <w:lang w:eastAsia="en-AU"/>
        </w:rPr>
        <w:t xml:space="preserve">More specifically, </w:t>
      </w:r>
      <w:r w:rsidRPr="003631AE">
        <w:rPr>
          <w:rFonts w:cs="Arial"/>
          <w:noProof/>
          <w:sz w:val="24"/>
          <w:szCs w:val="24"/>
          <w:lang w:eastAsia="en-AU"/>
        </w:rPr>
        <w:t xml:space="preserve">it will be observed that over a  major part of a  30 year period the undiscounted rail costs and the benefits claimed by Deloitte are in satisfactory agreement except for the two anomalies namely the addition to the Deloitte benefits of </w:t>
      </w:r>
      <w:r>
        <w:rPr>
          <w:rFonts w:cs="Arial"/>
          <w:noProof/>
          <w:sz w:val="24"/>
          <w:szCs w:val="24"/>
          <w:lang w:eastAsia="en-AU"/>
        </w:rPr>
        <w:t>the capital costs during years 2 to 7</w:t>
      </w:r>
      <w:r w:rsidRPr="003631AE">
        <w:rPr>
          <w:rFonts w:cs="Arial"/>
          <w:noProof/>
          <w:sz w:val="24"/>
          <w:szCs w:val="24"/>
          <w:lang w:eastAsia="en-AU"/>
        </w:rPr>
        <w:t xml:space="preserve"> and a very large  unexplained amount at year 36.</w:t>
      </w:r>
    </w:p>
    <w:p w:rsidR="007E759D" w:rsidRDefault="007E759D" w:rsidP="007E759D">
      <w:pPr>
        <w:pStyle w:val="ListParagraph"/>
        <w:ind w:left="360" w:firstLine="349"/>
        <w:rPr>
          <w:rFonts w:cs="Arial"/>
          <w:noProof/>
          <w:sz w:val="24"/>
          <w:szCs w:val="24"/>
          <w:lang w:eastAsia="en-AU"/>
        </w:rPr>
      </w:pPr>
    </w:p>
    <w:p w:rsidR="007E759D" w:rsidRDefault="007E759D" w:rsidP="007E759D">
      <w:pPr>
        <w:pStyle w:val="ListParagraph"/>
        <w:ind w:left="360" w:firstLine="349"/>
        <w:rPr>
          <w:rFonts w:cs="Arial"/>
          <w:noProof/>
          <w:sz w:val="24"/>
          <w:szCs w:val="24"/>
          <w:lang w:eastAsia="en-AU"/>
        </w:rPr>
      </w:pPr>
    </w:p>
    <w:p w:rsidR="007E759D" w:rsidRPr="003631AE" w:rsidRDefault="007E759D" w:rsidP="007E759D">
      <w:pPr>
        <w:pStyle w:val="ListParagraph"/>
        <w:ind w:left="360" w:firstLine="349"/>
        <w:rPr>
          <w:rFonts w:cs="Arial"/>
          <w:noProof/>
          <w:sz w:val="24"/>
          <w:szCs w:val="24"/>
          <w:lang w:eastAsia="en-AU"/>
        </w:rPr>
      </w:pPr>
    </w:p>
    <w:p w:rsidR="007E759D" w:rsidRPr="00A25C08" w:rsidRDefault="007E759D" w:rsidP="007E759D">
      <w:pPr>
        <w:pBdr>
          <w:top w:val="single" w:sz="18" w:space="1" w:color="auto"/>
          <w:left w:val="single" w:sz="18" w:space="4" w:color="auto"/>
          <w:bottom w:val="single" w:sz="18" w:space="1" w:color="auto"/>
          <w:right w:val="single" w:sz="18" w:space="4" w:color="auto"/>
        </w:pBdr>
        <w:jc w:val="center"/>
        <w:rPr>
          <w:rFonts w:ascii="Arial" w:hAnsi="Arial" w:cs="Arial"/>
          <w:noProof/>
          <w:sz w:val="24"/>
          <w:szCs w:val="24"/>
          <w:u w:val="single"/>
          <w:lang w:eastAsia="en-AU"/>
        </w:rPr>
      </w:pPr>
      <w:r w:rsidRPr="00A25C08">
        <w:rPr>
          <w:rFonts w:ascii="Arial" w:hAnsi="Arial" w:cs="Arial"/>
          <w:noProof/>
          <w:sz w:val="24"/>
          <w:szCs w:val="24"/>
          <w:u w:val="single"/>
          <w:lang w:eastAsia="en-AU"/>
        </w:rPr>
        <w:t>Summary</w:t>
      </w:r>
    </w:p>
    <w:p w:rsidR="007E759D" w:rsidRPr="00A774DD" w:rsidRDefault="007E759D" w:rsidP="007E759D">
      <w:pPr>
        <w:pBdr>
          <w:top w:val="single" w:sz="18" w:space="1" w:color="auto"/>
          <w:left w:val="single" w:sz="18" w:space="4" w:color="auto"/>
          <w:bottom w:val="single" w:sz="18" w:space="1" w:color="auto"/>
          <w:right w:val="single" w:sz="18" w:space="4" w:color="auto"/>
        </w:pBdr>
        <w:rPr>
          <w:rFonts w:ascii="Arial" w:hAnsi="Arial" w:cs="Arial"/>
          <w:noProof/>
          <w:sz w:val="24"/>
          <w:szCs w:val="24"/>
          <w:lang w:eastAsia="en-AU"/>
        </w:rPr>
      </w:pPr>
      <w:r w:rsidRPr="00A774DD">
        <w:rPr>
          <w:rFonts w:ascii="Arial" w:hAnsi="Arial" w:cs="Arial"/>
          <w:noProof/>
          <w:sz w:val="24"/>
          <w:szCs w:val="24"/>
          <w:lang w:eastAsia="en-AU"/>
        </w:rPr>
        <w:t xml:space="preserve">(1) The Deloitte benefits are not benefits as such but </w:t>
      </w:r>
      <w:r>
        <w:rPr>
          <w:rFonts w:ascii="Arial" w:hAnsi="Arial" w:cs="Arial"/>
          <w:noProof/>
          <w:sz w:val="24"/>
          <w:szCs w:val="24"/>
          <w:lang w:eastAsia="en-AU"/>
        </w:rPr>
        <w:t xml:space="preserve">are actually </w:t>
      </w:r>
      <w:r w:rsidRPr="00A774DD">
        <w:rPr>
          <w:rFonts w:ascii="Arial" w:hAnsi="Arial" w:cs="Arial"/>
          <w:noProof/>
          <w:sz w:val="24"/>
          <w:szCs w:val="24"/>
          <w:lang w:eastAsia="en-AU"/>
        </w:rPr>
        <w:t xml:space="preserve">costs obtained by multiplying the </w:t>
      </w:r>
      <w:r w:rsidRPr="00D06773">
        <w:rPr>
          <w:rFonts w:ascii="Arial" w:hAnsi="Arial" w:cs="Arial"/>
          <w:noProof/>
          <w:sz w:val="24"/>
          <w:szCs w:val="24"/>
          <w:u w:val="single"/>
          <w:lang w:eastAsia="en-AU"/>
        </w:rPr>
        <w:t>actual demand</w:t>
      </w:r>
      <w:r w:rsidRPr="00A774DD">
        <w:rPr>
          <w:rFonts w:ascii="Arial" w:hAnsi="Arial" w:cs="Arial"/>
          <w:noProof/>
          <w:sz w:val="24"/>
          <w:szCs w:val="24"/>
          <w:lang w:eastAsia="en-AU"/>
        </w:rPr>
        <w:t xml:space="preserve"> for the </w:t>
      </w:r>
      <w:r>
        <w:rPr>
          <w:rFonts w:ascii="Arial" w:hAnsi="Arial" w:cs="Arial"/>
          <w:noProof/>
          <w:sz w:val="24"/>
          <w:szCs w:val="24"/>
          <w:lang w:eastAsia="en-AU"/>
        </w:rPr>
        <w:t xml:space="preserve">use of the </w:t>
      </w:r>
      <w:r w:rsidRPr="00A774DD">
        <w:rPr>
          <w:rFonts w:ascii="Arial" w:hAnsi="Arial" w:cs="Arial"/>
          <w:noProof/>
          <w:sz w:val="24"/>
          <w:szCs w:val="24"/>
          <w:lang w:eastAsia="en-AU"/>
        </w:rPr>
        <w:t xml:space="preserve">upgrade by the rail usage costs. No </w:t>
      </w:r>
      <w:r w:rsidRPr="00D06773">
        <w:rPr>
          <w:rFonts w:ascii="Arial" w:hAnsi="Arial" w:cs="Arial"/>
          <w:noProof/>
          <w:sz w:val="24"/>
          <w:szCs w:val="24"/>
          <w:u w:val="single"/>
          <w:lang w:eastAsia="en-AU"/>
        </w:rPr>
        <w:lastRenderedPageBreak/>
        <w:t>excess demand</w:t>
      </w:r>
      <w:r w:rsidRPr="00A774DD">
        <w:rPr>
          <w:rFonts w:ascii="Arial" w:hAnsi="Arial" w:cs="Arial"/>
          <w:noProof/>
          <w:sz w:val="24"/>
          <w:szCs w:val="24"/>
          <w:lang w:eastAsia="en-AU"/>
        </w:rPr>
        <w:t xml:space="preserve"> figure</w:t>
      </w:r>
      <w:r>
        <w:rPr>
          <w:rFonts w:ascii="Arial" w:hAnsi="Arial" w:cs="Arial"/>
          <w:noProof/>
          <w:sz w:val="24"/>
          <w:szCs w:val="24"/>
          <w:lang w:eastAsia="en-AU"/>
        </w:rPr>
        <w:t xml:space="preserve">s were </w:t>
      </w:r>
      <w:r w:rsidRPr="00A774DD">
        <w:rPr>
          <w:rFonts w:ascii="Arial" w:hAnsi="Arial" w:cs="Arial"/>
          <w:noProof/>
          <w:sz w:val="24"/>
          <w:szCs w:val="24"/>
          <w:lang w:eastAsia="en-AU"/>
        </w:rPr>
        <w:t>used by Deloitte in its calculations</w:t>
      </w:r>
      <w:r>
        <w:rPr>
          <w:rFonts w:ascii="Arial" w:hAnsi="Arial" w:cs="Arial"/>
          <w:noProof/>
          <w:sz w:val="24"/>
          <w:szCs w:val="24"/>
          <w:lang w:eastAsia="en-AU"/>
        </w:rPr>
        <w:t xml:space="preserve"> as it cliamed to have done.</w:t>
      </w:r>
    </w:p>
    <w:p w:rsidR="007E759D" w:rsidRDefault="007E759D" w:rsidP="007E759D">
      <w:pPr>
        <w:pBdr>
          <w:top w:val="single" w:sz="18" w:space="1" w:color="auto"/>
          <w:left w:val="single" w:sz="18" w:space="4" w:color="auto"/>
          <w:bottom w:val="single" w:sz="18" w:space="1" w:color="auto"/>
          <w:right w:val="single" w:sz="18" w:space="4" w:color="auto"/>
        </w:pBdr>
        <w:rPr>
          <w:rFonts w:ascii="Arial" w:hAnsi="Arial" w:cs="Arial"/>
          <w:noProof/>
          <w:sz w:val="24"/>
          <w:szCs w:val="24"/>
          <w:lang w:eastAsia="en-AU"/>
        </w:rPr>
      </w:pPr>
      <w:r w:rsidRPr="00A774DD">
        <w:rPr>
          <w:rFonts w:ascii="Arial" w:hAnsi="Arial" w:cs="Arial"/>
          <w:noProof/>
          <w:sz w:val="24"/>
          <w:szCs w:val="24"/>
          <w:lang w:eastAsia="en-AU"/>
        </w:rPr>
        <w:t xml:space="preserve">(2) The </w:t>
      </w:r>
      <w:r>
        <w:rPr>
          <w:rFonts w:ascii="Arial" w:hAnsi="Arial" w:cs="Arial"/>
          <w:noProof/>
          <w:sz w:val="24"/>
          <w:szCs w:val="24"/>
          <w:lang w:eastAsia="en-AU"/>
        </w:rPr>
        <w:t xml:space="preserve">real </w:t>
      </w:r>
      <w:r w:rsidRPr="00A774DD">
        <w:rPr>
          <w:rFonts w:ascii="Arial" w:hAnsi="Arial" w:cs="Arial"/>
          <w:noProof/>
          <w:sz w:val="24"/>
          <w:szCs w:val="24"/>
          <w:lang w:eastAsia="en-AU"/>
        </w:rPr>
        <w:t>benefits are the result of multiplying the excess demand by the difference between road usage costs and rail usage costs.</w:t>
      </w:r>
      <w:r>
        <w:rPr>
          <w:rFonts w:ascii="Arial" w:hAnsi="Arial" w:cs="Arial"/>
          <w:noProof/>
          <w:sz w:val="24"/>
          <w:szCs w:val="24"/>
          <w:lang w:eastAsia="en-AU"/>
        </w:rPr>
        <w:t xml:space="preserve"> This was not done by Deloitte although it claimed that this was the method it used.</w:t>
      </w:r>
      <w:r w:rsidRPr="00A774DD">
        <w:rPr>
          <w:rFonts w:ascii="Arial" w:hAnsi="Arial" w:cs="Arial"/>
          <w:noProof/>
          <w:sz w:val="24"/>
          <w:szCs w:val="24"/>
          <w:lang w:eastAsia="en-AU"/>
        </w:rPr>
        <w:t xml:space="preserve"> </w:t>
      </w:r>
    </w:p>
    <w:p w:rsidR="007E759D" w:rsidRPr="00273036" w:rsidRDefault="007E759D" w:rsidP="007E759D">
      <w:pPr>
        <w:pStyle w:val="ListParagraph"/>
        <w:rPr>
          <w:rFonts w:cs="Arial"/>
          <w:noProof/>
          <w:sz w:val="24"/>
          <w:szCs w:val="24"/>
          <w:lang w:eastAsia="en-AU"/>
        </w:rPr>
      </w:pPr>
      <w:r>
        <w:rPr>
          <w:rFonts w:cs="Arial"/>
          <w:noProof/>
          <w:sz w:val="24"/>
          <w:szCs w:val="24"/>
          <w:lang w:eastAsia="en-AU"/>
        </w:rPr>
        <w:t>.</w:t>
      </w:r>
    </w:p>
    <w:p w:rsidR="007E759D" w:rsidRDefault="007E759D" w:rsidP="007E759D">
      <w:pPr>
        <w:rPr>
          <w:rFonts w:ascii="Arial" w:hAnsi="Arial" w:cs="Arial"/>
          <w:noProof/>
          <w:sz w:val="24"/>
          <w:szCs w:val="24"/>
          <w:lang w:eastAsia="en-AU"/>
        </w:rPr>
      </w:pPr>
      <w:r>
        <w:rPr>
          <w:rFonts w:ascii="Arial" w:hAnsi="Arial" w:cs="Arial"/>
          <w:noProof/>
          <w:sz w:val="24"/>
          <w:szCs w:val="24"/>
          <w:lang w:eastAsia="en-AU"/>
        </w:rPr>
        <w:drawing>
          <wp:inline distT="0" distB="0" distL="0" distR="0" wp14:anchorId="03476D4F" wp14:editId="6639336F">
            <wp:extent cx="5760720" cy="4096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96512"/>
                    </a:xfrm>
                    <a:prstGeom prst="rect">
                      <a:avLst/>
                    </a:prstGeom>
                  </pic:spPr>
                </pic:pic>
              </a:graphicData>
            </a:graphic>
          </wp:inline>
        </w:drawing>
      </w:r>
    </w:p>
    <w:p w:rsidR="007E759D" w:rsidRDefault="007E759D" w:rsidP="007E759D">
      <w:pPr>
        <w:rPr>
          <w:rFonts w:ascii="Arial" w:hAnsi="Arial" w:cs="Arial"/>
          <w:noProof/>
          <w:sz w:val="24"/>
          <w:szCs w:val="24"/>
          <w:lang w:eastAsia="en-AU"/>
        </w:rPr>
      </w:pPr>
      <w:r w:rsidRPr="00046A48">
        <w:rPr>
          <w:rFonts w:ascii="Arial" w:hAnsi="Arial" w:cs="Arial"/>
          <w:b/>
          <w:noProof/>
          <w:sz w:val="24"/>
          <w:szCs w:val="24"/>
          <w:u w:val="single"/>
          <w:lang w:eastAsia="en-AU"/>
        </w:rPr>
        <w:t>Figure 6</w:t>
      </w:r>
      <w:r>
        <w:rPr>
          <w:rFonts w:ascii="Arial" w:hAnsi="Arial" w:cs="Arial"/>
          <w:noProof/>
          <w:sz w:val="24"/>
          <w:szCs w:val="24"/>
          <w:lang w:eastAsia="en-AU"/>
        </w:rPr>
        <w:t xml:space="preserve"> T</w:t>
      </w:r>
      <w:r w:rsidRPr="000A0228">
        <w:rPr>
          <w:rFonts w:ascii="Arial" w:hAnsi="Arial" w:cs="Arial"/>
          <w:noProof/>
          <w:sz w:val="24"/>
          <w:szCs w:val="24"/>
          <w:lang w:eastAsia="en-AU"/>
        </w:rPr>
        <w:t>h</w:t>
      </w:r>
      <w:r>
        <w:rPr>
          <w:rFonts w:ascii="Arial" w:hAnsi="Arial" w:cs="Arial"/>
          <w:noProof/>
          <w:sz w:val="24"/>
          <w:szCs w:val="24"/>
          <w:lang w:eastAsia="en-AU"/>
        </w:rPr>
        <w:t xml:space="preserve">e discounted values of the real benefits which are derived from the difference in rail and road costs, together with the discounted costs of rail usage. wrongly defined by Deloitte as benefits. </w:t>
      </w:r>
      <w:r w:rsidRPr="000A0228">
        <w:rPr>
          <w:rFonts w:ascii="Arial" w:hAnsi="Arial" w:cs="Arial"/>
          <w:noProof/>
          <w:sz w:val="24"/>
          <w:szCs w:val="24"/>
          <w:lang w:eastAsia="en-AU"/>
        </w:rPr>
        <w:t>One can observe the very significant effect o</w:t>
      </w:r>
      <w:r>
        <w:rPr>
          <w:rFonts w:ascii="Arial" w:hAnsi="Arial" w:cs="Arial"/>
          <w:noProof/>
          <w:sz w:val="24"/>
          <w:szCs w:val="24"/>
          <w:lang w:eastAsia="en-AU"/>
        </w:rPr>
        <w:t>f adding capital costs in the early years 2 to 7</w:t>
      </w:r>
      <w:r w:rsidRPr="000A0228">
        <w:rPr>
          <w:rFonts w:ascii="Arial" w:hAnsi="Arial" w:cs="Arial"/>
          <w:noProof/>
          <w:sz w:val="24"/>
          <w:szCs w:val="24"/>
          <w:lang w:eastAsia="en-AU"/>
        </w:rPr>
        <w:t xml:space="preserve"> </w:t>
      </w:r>
      <w:r>
        <w:rPr>
          <w:rFonts w:ascii="Arial" w:hAnsi="Arial" w:cs="Arial"/>
          <w:noProof/>
          <w:sz w:val="24"/>
          <w:szCs w:val="24"/>
          <w:lang w:eastAsia="en-AU"/>
        </w:rPr>
        <w:t>to the benefits.</w:t>
      </w:r>
    </w:p>
    <w:p w:rsidR="007E759D" w:rsidRDefault="007E759D" w:rsidP="007E759D">
      <w:pPr>
        <w:rPr>
          <w:rFonts w:ascii="Arial" w:hAnsi="Arial" w:cs="Arial"/>
          <w:noProof/>
          <w:sz w:val="24"/>
          <w:szCs w:val="24"/>
          <w:lang w:eastAsia="en-AU"/>
        </w:rPr>
      </w:pPr>
    </w:p>
    <w:p w:rsidR="007E759D" w:rsidRDefault="007E759D" w:rsidP="007E759D">
      <w:pPr>
        <w:rPr>
          <w:rFonts w:ascii="Arial" w:hAnsi="Arial" w:cs="Arial"/>
          <w:noProof/>
          <w:sz w:val="24"/>
          <w:szCs w:val="24"/>
          <w:lang w:eastAsia="en-AU"/>
        </w:rPr>
      </w:pPr>
    </w:p>
    <w:p w:rsidR="007E759D" w:rsidRPr="000F23EC" w:rsidRDefault="007E759D" w:rsidP="007E759D">
      <w:pPr>
        <w:pStyle w:val="ListParagraph"/>
        <w:numPr>
          <w:ilvl w:val="0"/>
          <w:numId w:val="7"/>
        </w:numPr>
        <w:rPr>
          <w:rFonts w:cs="Arial"/>
          <w:b/>
          <w:noProof/>
          <w:sz w:val="24"/>
          <w:szCs w:val="24"/>
          <w:lang w:eastAsia="en-AU"/>
        </w:rPr>
      </w:pPr>
      <w:r w:rsidRPr="000F23EC">
        <w:rPr>
          <w:rFonts w:cs="Arial"/>
          <w:b/>
          <w:noProof/>
          <w:sz w:val="24"/>
          <w:szCs w:val="24"/>
          <w:lang w:eastAsia="en-AU"/>
        </w:rPr>
        <w:t>Summary of benefit to cost ratios</w:t>
      </w:r>
    </w:p>
    <w:tbl>
      <w:tblPr>
        <w:tblStyle w:val="TableGrid"/>
        <w:tblW w:w="0" w:type="auto"/>
        <w:tblLook w:val="04A0" w:firstRow="1" w:lastRow="0" w:firstColumn="1" w:lastColumn="0" w:noHBand="0" w:noVBand="1"/>
      </w:tblPr>
      <w:tblGrid>
        <w:gridCol w:w="2306"/>
        <w:gridCol w:w="2312"/>
        <w:gridCol w:w="2312"/>
        <w:gridCol w:w="2312"/>
      </w:tblGrid>
      <w:tr w:rsidR="007E759D" w:rsidTr="00217D92">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Source</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Discount rate 4%pa</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Discount rate 7%pa</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Discount rate 10%pa</w:t>
            </w:r>
          </w:p>
        </w:tc>
      </w:tr>
      <w:tr w:rsidR="007E759D" w:rsidTr="00217D92">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Deloitte (page 58)</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4.0 (4.4)</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2.7</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1.9</w:t>
            </w:r>
          </w:p>
        </w:tc>
      </w:tr>
      <w:tr w:rsidR="007E759D" w:rsidTr="00217D92">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The author (JLG)</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1.12</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0.63</w:t>
            </w:r>
          </w:p>
        </w:tc>
        <w:tc>
          <w:tcPr>
            <w:tcW w:w="2394" w:type="dxa"/>
          </w:tcPr>
          <w:p w:rsidR="007E759D" w:rsidRDefault="007E759D" w:rsidP="00217D92">
            <w:pPr>
              <w:jc w:val="center"/>
              <w:rPr>
                <w:rFonts w:cs="Arial"/>
                <w:noProof/>
                <w:sz w:val="24"/>
                <w:szCs w:val="24"/>
                <w:lang w:eastAsia="en-AU"/>
              </w:rPr>
            </w:pPr>
            <w:r>
              <w:rPr>
                <w:rFonts w:cs="Arial"/>
                <w:noProof/>
                <w:sz w:val="24"/>
                <w:szCs w:val="24"/>
                <w:lang w:eastAsia="en-AU"/>
              </w:rPr>
              <w:t>0.37</w:t>
            </w:r>
          </w:p>
        </w:tc>
      </w:tr>
    </w:tbl>
    <w:p w:rsidR="007E759D" w:rsidRDefault="007E759D" w:rsidP="007E759D">
      <w:pPr>
        <w:rPr>
          <w:rFonts w:ascii="Arial" w:hAnsi="Arial" w:cs="Arial"/>
          <w:noProof/>
          <w:sz w:val="24"/>
          <w:szCs w:val="24"/>
          <w:lang w:eastAsia="en-AU"/>
        </w:rPr>
      </w:pPr>
    </w:p>
    <w:p w:rsidR="007E759D" w:rsidRDefault="007E759D" w:rsidP="007E759D">
      <w:pPr>
        <w:rPr>
          <w:rFonts w:ascii="Arial" w:hAnsi="Arial" w:cs="Arial"/>
          <w:noProof/>
          <w:sz w:val="24"/>
          <w:szCs w:val="24"/>
          <w:lang w:eastAsia="en-AU"/>
        </w:rPr>
      </w:pPr>
      <w:r>
        <w:rPr>
          <w:rFonts w:ascii="Arial" w:hAnsi="Arial" w:cs="Arial"/>
          <w:noProof/>
          <w:sz w:val="24"/>
          <w:szCs w:val="24"/>
          <w:lang w:eastAsia="en-AU"/>
        </w:rPr>
        <w:lastRenderedPageBreak/>
        <w:t>It will be noted that the ranges of the BCR from both sources do not overlap.</w:t>
      </w:r>
    </w:p>
    <w:p w:rsidR="007E759D" w:rsidRPr="00835610" w:rsidRDefault="007E759D" w:rsidP="007E759D">
      <w:pPr>
        <w:pStyle w:val="ListParagraph"/>
        <w:numPr>
          <w:ilvl w:val="0"/>
          <w:numId w:val="7"/>
        </w:numPr>
        <w:rPr>
          <w:rFonts w:cs="Arial"/>
          <w:b/>
          <w:noProof/>
          <w:sz w:val="24"/>
          <w:szCs w:val="24"/>
          <w:lang w:eastAsia="en-AU"/>
        </w:rPr>
      </w:pPr>
      <w:r w:rsidRPr="00835610">
        <w:rPr>
          <w:rFonts w:cs="Arial"/>
          <w:b/>
          <w:noProof/>
          <w:sz w:val="24"/>
          <w:szCs w:val="24"/>
          <w:lang w:eastAsia="en-AU"/>
        </w:rPr>
        <w:t>Concluding remarks</w:t>
      </w:r>
    </w:p>
    <w:p w:rsidR="007E759D" w:rsidRDefault="007E759D" w:rsidP="007E759D">
      <w:pPr>
        <w:ind w:firstLine="360"/>
        <w:rPr>
          <w:rFonts w:ascii="Arial" w:hAnsi="Arial" w:cs="Arial"/>
          <w:noProof/>
          <w:sz w:val="24"/>
          <w:szCs w:val="24"/>
          <w:lang w:eastAsia="en-AU"/>
        </w:rPr>
      </w:pPr>
      <w:r>
        <w:rPr>
          <w:rFonts w:ascii="Arial" w:hAnsi="Arial" w:cs="Arial"/>
          <w:noProof/>
          <w:sz w:val="24"/>
          <w:szCs w:val="24"/>
          <w:lang w:eastAsia="en-AU"/>
        </w:rPr>
        <w:t xml:space="preserve"> The cost benefit analysis developed by Deloitte for the four element rail upgrade on the Northern  Sydney Freight Corridor has been audited and has been found to be misleading. The fatal flaw in the Deloitte derivation is the use of rail cost data as a substitute for the real benefits which should be the savings obtained as the difference between transport by road and transport by rail. This difference was acknowledged by Deloitte as the source of the benefits but it was not used by it in their derivation.</w:t>
      </w:r>
    </w:p>
    <w:p w:rsidR="007E759D" w:rsidRDefault="007E759D" w:rsidP="007E759D">
      <w:pPr>
        <w:rPr>
          <w:rFonts w:ascii="Arial" w:hAnsi="Arial" w:cs="Arial"/>
          <w:noProof/>
          <w:sz w:val="24"/>
          <w:szCs w:val="24"/>
          <w:lang w:eastAsia="en-AU"/>
        </w:rPr>
      </w:pPr>
      <w:r>
        <w:rPr>
          <w:rFonts w:ascii="Arial" w:hAnsi="Arial" w:cs="Arial"/>
          <w:noProof/>
          <w:sz w:val="24"/>
          <w:szCs w:val="24"/>
          <w:lang w:eastAsia="en-AU"/>
        </w:rPr>
        <w:t>The real value BCR = 0.63, disqualifies this project from being considered economic or worthy of funding.</w:t>
      </w:r>
    </w:p>
    <w:p w:rsidR="007E759D" w:rsidRDefault="007E759D" w:rsidP="007E759D">
      <w:pPr>
        <w:rPr>
          <w:rFonts w:ascii="Arial" w:hAnsi="Arial" w:cs="Arial"/>
          <w:noProof/>
          <w:sz w:val="24"/>
          <w:szCs w:val="24"/>
          <w:lang w:eastAsia="en-AU"/>
        </w:rPr>
      </w:pPr>
      <w:r>
        <w:rPr>
          <w:rFonts w:ascii="Arial" w:hAnsi="Arial" w:cs="Arial"/>
          <w:noProof/>
          <w:sz w:val="24"/>
          <w:szCs w:val="24"/>
          <w:lang w:eastAsia="en-AU"/>
        </w:rPr>
        <w:t>This investigation was carried out in the public interest and is submitted herewith to the Infrastructure Inquiry sponsored by the Productivity Commission</w:t>
      </w:r>
    </w:p>
    <w:p w:rsidR="007E759D" w:rsidRPr="004430DF" w:rsidRDefault="007E759D" w:rsidP="007E759D">
      <w:pPr>
        <w:rPr>
          <w:rFonts w:ascii="Arial" w:hAnsi="Arial" w:cs="Arial"/>
          <w:b/>
          <w:noProof/>
          <w:sz w:val="24"/>
          <w:szCs w:val="24"/>
          <w:lang w:eastAsia="en-AU"/>
        </w:rPr>
      </w:pPr>
      <w:r w:rsidRPr="000A0228">
        <w:rPr>
          <w:rFonts w:ascii="Arial" w:hAnsi="Arial" w:cs="Arial"/>
          <w:noProof/>
          <w:sz w:val="24"/>
          <w:szCs w:val="24"/>
          <w:lang w:eastAsia="en-AU"/>
        </w:rPr>
        <w:t>.</w:t>
      </w:r>
      <w:r w:rsidRPr="004430DF">
        <w:rPr>
          <w:rFonts w:ascii="Arial" w:hAnsi="Arial" w:cs="Arial"/>
          <w:b/>
          <w:noProof/>
          <w:sz w:val="24"/>
          <w:szCs w:val="24"/>
          <w:lang w:eastAsia="en-AU"/>
        </w:rPr>
        <w:t>References</w:t>
      </w:r>
    </w:p>
    <w:p w:rsidR="007E759D" w:rsidRPr="00432DA0" w:rsidRDefault="007E759D" w:rsidP="007E759D">
      <w:pPr>
        <w:rPr>
          <w:rFonts w:ascii="Arial" w:hAnsi="Arial" w:cs="Arial"/>
          <w:noProof/>
          <w:lang w:eastAsia="en-AU"/>
        </w:rPr>
      </w:pPr>
      <w:r w:rsidRPr="00432DA0">
        <w:rPr>
          <w:rFonts w:ascii="Arial" w:hAnsi="Arial" w:cs="Arial"/>
          <w:noProof/>
          <w:lang w:eastAsia="en-AU"/>
        </w:rPr>
        <w:t>ARTC (2010) The Melbourne-Brisbane Inland Rail Alignment Study.</w:t>
      </w:r>
    </w:p>
    <w:p w:rsidR="007E759D" w:rsidRPr="00432DA0" w:rsidRDefault="007E759D" w:rsidP="007E759D">
      <w:pPr>
        <w:rPr>
          <w:rFonts w:ascii="Arial" w:hAnsi="Arial" w:cs="Arial"/>
          <w:noProof/>
          <w:lang w:eastAsia="en-AU"/>
        </w:rPr>
      </w:pPr>
      <w:r w:rsidRPr="00432DA0">
        <w:rPr>
          <w:rFonts w:ascii="Arial" w:hAnsi="Arial" w:cs="Arial"/>
          <w:noProof/>
          <w:lang w:eastAsia="en-AU"/>
        </w:rPr>
        <w:t>Australian Infrastructure Statistics (2012) ( ISBN 978-1-921769-83-2)</w:t>
      </w:r>
      <w:r>
        <w:rPr>
          <w:rFonts w:ascii="Arial" w:hAnsi="Arial" w:cs="Arial"/>
          <w:noProof/>
          <w:lang w:eastAsia="en-AU"/>
        </w:rPr>
        <w:t>.</w:t>
      </w:r>
    </w:p>
    <w:p w:rsidR="007E759D" w:rsidRPr="00432DA0" w:rsidRDefault="007E759D" w:rsidP="007E759D">
      <w:pPr>
        <w:rPr>
          <w:rFonts w:ascii="Arial" w:hAnsi="Arial" w:cs="Arial"/>
          <w:noProof/>
          <w:lang w:eastAsia="en-AU"/>
        </w:rPr>
      </w:pPr>
      <w:r w:rsidRPr="00432DA0">
        <w:rPr>
          <w:rFonts w:ascii="Arial" w:hAnsi="Arial" w:cs="Arial"/>
          <w:noProof/>
          <w:lang w:eastAsia="en-AU"/>
        </w:rPr>
        <w:t>BTRE(2006) Submission to the Productivity Commmission. Road and rail freight infrastructure pricing inquiry (August).</w:t>
      </w:r>
    </w:p>
    <w:p w:rsidR="007E759D" w:rsidRPr="00432DA0" w:rsidRDefault="007E759D" w:rsidP="007E759D">
      <w:pPr>
        <w:rPr>
          <w:rFonts w:ascii="Arial" w:hAnsi="Arial" w:cs="Arial"/>
          <w:noProof/>
          <w:lang w:eastAsia="en-AU"/>
        </w:rPr>
      </w:pPr>
      <w:r w:rsidRPr="00432DA0">
        <w:rPr>
          <w:rFonts w:ascii="Arial" w:hAnsi="Arial" w:cs="Arial"/>
          <w:noProof/>
          <w:lang w:eastAsia="en-AU"/>
        </w:rPr>
        <w:t>CRA International (2006) Two case studies on road versus rail freight costs (CRA Project No: D09396-00. 25 May.</w:t>
      </w:r>
    </w:p>
    <w:p w:rsidR="007E759D" w:rsidRPr="00432DA0" w:rsidRDefault="007E759D" w:rsidP="007E759D">
      <w:pPr>
        <w:rPr>
          <w:rFonts w:ascii="Arial" w:hAnsi="Arial" w:cs="Arial"/>
          <w:noProof/>
          <w:lang w:eastAsia="en-AU"/>
        </w:rPr>
      </w:pPr>
      <w:r w:rsidRPr="00432DA0">
        <w:rPr>
          <w:rFonts w:ascii="Arial" w:hAnsi="Arial" w:cs="Arial"/>
          <w:noProof/>
          <w:lang w:eastAsia="en-AU"/>
        </w:rPr>
        <w:t>Deloitte (2011) Northern Sydney Freight Corridor Program- Updated Stage 1 Business Case.(commissioned by Transport for NSW)</w:t>
      </w:r>
      <w:r>
        <w:rPr>
          <w:rFonts w:ascii="Arial" w:hAnsi="Arial" w:cs="Arial"/>
          <w:noProof/>
          <w:lang w:eastAsia="en-AU"/>
        </w:rPr>
        <w:t>.</w:t>
      </w:r>
    </w:p>
    <w:p w:rsidR="007E759D" w:rsidRPr="00432DA0" w:rsidRDefault="007E759D" w:rsidP="007E759D">
      <w:pPr>
        <w:rPr>
          <w:rFonts w:ascii="Arial" w:hAnsi="Arial" w:cs="Arial"/>
          <w:noProof/>
          <w:lang w:eastAsia="en-AU"/>
        </w:rPr>
      </w:pPr>
      <w:r w:rsidRPr="00432DA0">
        <w:rPr>
          <w:rFonts w:ascii="Arial" w:hAnsi="Arial" w:cs="Arial"/>
          <w:noProof/>
          <w:lang w:eastAsia="en-AU"/>
        </w:rPr>
        <w:t>Goldberg, J.L. (2010) Cost-benefit analysis of road widening proposals with special reference to the M2 Motorway in the Sydney Region. A statistical evaluation. Proceedings of the Australasian Transport Research Forum 2010.</w:t>
      </w:r>
    </w:p>
    <w:p w:rsidR="007E759D" w:rsidRPr="00432DA0" w:rsidRDefault="007E759D" w:rsidP="007E759D">
      <w:pPr>
        <w:rPr>
          <w:rFonts w:ascii="Arial" w:hAnsi="Arial" w:cs="Arial"/>
          <w:noProof/>
          <w:lang w:eastAsia="en-AU"/>
        </w:rPr>
      </w:pPr>
      <w:r w:rsidRPr="00432DA0">
        <w:rPr>
          <w:rFonts w:ascii="Arial" w:hAnsi="Arial" w:cs="Arial"/>
          <w:noProof/>
          <w:lang w:eastAsia="en-AU"/>
        </w:rPr>
        <w:t>Rail Corp (2012) Letter to the author 14 December 2012. Access application F-2012-370</w:t>
      </w:r>
      <w:r>
        <w:rPr>
          <w:rFonts w:ascii="Arial" w:hAnsi="Arial" w:cs="Arial"/>
          <w:noProof/>
          <w:lang w:eastAsia="en-AU"/>
        </w:rPr>
        <w:t>.</w:t>
      </w:r>
      <w:r w:rsidRPr="00432DA0">
        <w:rPr>
          <w:rFonts w:ascii="Arial" w:hAnsi="Arial" w:cs="Arial"/>
          <w:noProof/>
          <w:lang w:eastAsia="en-AU"/>
        </w:rPr>
        <w:t xml:space="preserve"> </w:t>
      </w:r>
    </w:p>
    <w:p w:rsidR="007E759D" w:rsidRDefault="007E759D" w:rsidP="007E759D">
      <w:pPr>
        <w:rPr>
          <w:rFonts w:ascii="Arial" w:hAnsi="Arial" w:cs="Arial"/>
          <w:noProof/>
          <w:lang w:val="fr-FR" w:eastAsia="en-AU"/>
        </w:rPr>
      </w:pPr>
      <w:r w:rsidRPr="00432DA0">
        <w:rPr>
          <w:rFonts w:ascii="Arial" w:hAnsi="Arial" w:cs="Arial"/>
          <w:noProof/>
          <w:lang w:eastAsia="en-AU"/>
        </w:rPr>
        <w:t xml:space="preserve">Transport for NSW (2012) Epping to Thornleigh Third Track . </w:t>
      </w:r>
      <w:r w:rsidRPr="00432DA0">
        <w:rPr>
          <w:rFonts w:ascii="Arial" w:hAnsi="Arial" w:cs="Arial"/>
          <w:noProof/>
          <w:lang w:val="fr-FR" w:eastAsia="en-AU"/>
        </w:rPr>
        <w:t>Environmental Impact Statement. page xv.</w:t>
      </w:r>
    </w:p>
    <w:p w:rsidR="007E759D" w:rsidRPr="00432DA0" w:rsidRDefault="007E759D" w:rsidP="007E759D">
      <w:pPr>
        <w:rPr>
          <w:rFonts w:ascii="Arial" w:hAnsi="Arial" w:cs="Arial"/>
          <w:noProof/>
          <w:lang w:val="fr-FR" w:eastAsia="en-AU"/>
        </w:rPr>
      </w:pPr>
    </w:p>
    <w:p w:rsidR="007E759D" w:rsidRPr="008326CB" w:rsidRDefault="007E759D" w:rsidP="007E759D">
      <w:pPr>
        <w:rPr>
          <w:rFonts w:ascii="Arial" w:hAnsi="Arial" w:cs="Arial"/>
          <w:b/>
          <w:sz w:val="24"/>
          <w:szCs w:val="24"/>
          <w:u w:val="single"/>
        </w:rPr>
      </w:pPr>
      <w:r w:rsidRPr="008326CB">
        <w:rPr>
          <w:rFonts w:ascii="Arial" w:hAnsi="Arial" w:cs="Arial"/>
          <w:b/>
          <w:sz w:val="24"/>
          <w:szCs w:val="24"/>
          <w:u w:val="single"/>
        </w:rPr>
        <w:t>Appendices</w:t>
      </w:r>
    </w:p>
    <w:p w:rsidR="007E759D" w:rsidRPr="008326CB" w:rsidRDefault="007E759D" w:rsidP="007E759D">
      <w:pPr>
        <w:pStyle w:val="ListParagraph"/>
        <w:rPr>
          <w:rFonts w:cs="Arial"/>
          <w:sz w:val="24"/>
          <w:szCs w:val="24"/>
          <w:u w:val="single"/>
        </w:rPr>
      </w:pPr>
      <w:r>
        <w:rPr>
          <w:rFonts w:cs="Arial"/>
          <w:sz w:val="24"/>
          <w:szCs w:val="24"/>
          <w:u w:val="single"/>
        </w:rPr>
        <w:t xml:space="preserve">Algorithms </w:t>
      </w:r>
      <w:r w:rsidRPr="008326CB">
        <w:rPr>
          <w:rFonts w:cs="Arial"/>
          <w:sz w:val="24"/>
          <w:szCs w:val="24"/>
          <w:u w:val="single"/>
        </w:rPr>
        <w:t>and spread sheets</w:t>
      </w:r>
    </w:p>
    <w:p w:rsidR="007E759D" w:rsidRPr="008326CB" w:rsidRDefault="007E759D" w:rsidP="007E759D">
      <w:pPr>
        <w:pStyle w:val="ListParagraph"/>
        <w:rPr>
          <w:rFonts w:cs="Arial"/>
          <w:sz w:val="24"/>
          <w:szCs w:val="24"/>
        </w:rPr>
      </w:pPr>
    </w:p>
    <w:p w:rsidR="007E759D" w:rsidRPr="008326CB" w:rsidRDefault="007E759D" w:rsidP="007E759D">
      <w:pPr>
        <w:pStyle w:val="ListParagraph"/>
        <w:numPr>
          <w:ilvl w:val="0"/>
          <w:numId w:val="4"/>
        </w:numPr>
        <w:rPr>
          <w:rFonts w:cs="Arial"/>
          <w:sz w:val="24"/>
          <w:szCs w:val="24"/>
        </w:rPr>
      </w:pPr>
      <w:r w:rsidRPr="008326CB">
        <w:rPr>
          <w:rFonts w:cs="Arial"/>
          <w:sz w:val="24"/>
          <w:szCs w:val="24"/>
        </w:rPr>
        <w:t xml:space="preserve">Appendix A sets out the 15 variables used in the computations and the mathematical relationship of these variables to each other. Except for </w:t>
      </w:r>
      <w:r>
        <w:rPr>
          <w:rFonts w:cs="Arial"/>
          <w:sz w:val="24"/>
          <w:szCs w:val="24"/>
        </w:rPr>
        <w:t xml:space="preserve">updating </w:t>
      </w:r>
      <w:r w:rsidRPr="008326CB">
        <w:rPr>
          <w:rFonts w:cs="Arial"/>
          <w:sz w:val="24"/>
          <w:szCs w:val="24"/>
        </w:rPr>
        <w:t xml:space="preserve">the costs </w:t>
      </w:r>
      <w:r>
        <w:rPr>
          <w:rFonts w:cs="Arial"/>
          <w:sz w:val="24"/>
          <w:szCs w:val="24"/>
        </w:rPr>
        <w:t xml:space="preserve">from </w:t>
      </w:r>
      <w:r>
        <w:rPr>
          <w:rFonts w:cs="Arial"/>
          <w:sz w:val="24"/>
          <w:szCs w:val="24"/>
        </w:rPr>
        <w:lastRenderedPageBreak/>
        <w:t xml:space="preserve">2006 to </w:t>
      </w:r>
      <w:r w:rsidRPr="008326CB">
        <w:rPr>
          <w:rFonts w:cs="Arial"/>
          <w:sz w:val="24"/>
          <w:szCs w:val="24"/>
        </w:rPr>
        <w:t>2011 dollars, no CPI adjustments were used by Deloitte or the author</w:t>
      </w:r>
      <w:r>
        <w:rPr>
          <w:rFonts w:cs="Arial"/>
          <w:sz w:val="24"/>
          <w:szCs w:val="24"/>
        </w:rPr>
        <w:t xml:space="preserve">. </w:t>
      </w:r>
      <w:r w:rsidRPr="008326CB">
        <w:rPr>
          <w:rFonts w:cs="Arial"/>
          <w:sz w:val="24"/>
          <w:szCs w:val="24"/>
        </w:rPr>
        <w:t xml:space="preserve">Forecasting CPI movements over a 30 year period, </w:t>
      </w:r>
      <w:r>
        <w:rPr>
          <w:rFonts w:cs="Arial"/>
          <w:sz w:val="24"/>
          <w:szCs w:val="24"/>
        </w:rPr>
        <w:t xml:space="preserve">is </w:t>
      </w:r>
      <w:r w:rsidRPr="008326CB">
        <w:rPr>
          <w:rFonts w:cs="Arial"/>
          <w:sz w:val="24"/>
          <w:szCs w:val="24"/>
        </w:rPr>
        <w:t>likely to be uncertain and in any case would not change the substance of the a</w:t>
      </w:r>
      <w:r>
        <w:rPr>
          <w:rFonts w:cs="Arial"/>
          <w:sz w:val="24"/>
          <w:szCs w:val="24"/>
        </w:rPr>
        <w:t>r</w:t>
      </w:r>
      <w:r w:rsidRPr="008326CB">
        <w:rPr>
          <w:rFonts w:cs="Arial"/>
          <w:sz w:val="24"/>
          <w:szCs w:val="24"/>
        </w:rPr>
        <w:t>guments used in this audit.</w:t>
      </w:r>
    </w:p>
    <w:p w:rsidR="007E759D" w:rsidRPr="008326CB" w:rsidRDefault="007E759D" w:rsidP="007E759D">
      <w:pPr>
        <w:pStyle w:val="ListParagraph"/>
        <w:rPr>
          <w:rFonts w:cs="Arial"/>
          <w:sz w:val="24"/>
          <w:szCs w:val="24"/>
        </w:rPr>
      </w:pPr>
    </w:p>
    <w:p w:rsidR="007E759D" w:rsidRPr="003F082B" w:rsidRDefault="007E759D" w:rsidP="007E759D">
      <w:pPr>
        <w:pStyle w:val="ListParagraph"/>
        <w:numPr>
          <w:ilvl w:val="0"/>
          <w:numId w:val="4"/>
        </w:numPr>
        <w:rPr>
          <w:rFonts w:cs="Arial"/>
          <w:b/>
          <w:sz w:val="24"/>
          <w:szCs w:val="24"/>
        </w:rPr>
      </w:pPr>
      <w:r w:rsidRPr="008326CB">
        <w:rPr>
          <w:rFonts w:cs="Arial"/>
          <w:sz w:val="24"/>
          <w:szCs w:val="24"/>
        </w:rPr>
        <w:t>Appendix B shows the results of the calculations on a year by year basis. These calculations are graphically displayed throughout this audit</w:t>
      </w:r>
      <w:r>
        <w:rPr>
          <w:rFonts w:cs="Arial"/>
          <w:b/>
          <w:sz w:val="24"/>
          <w:szCs w:val="24"/>
        </w:rPr>
        <w:t xml:space="preserve"> </w:t>
      </w:r>
      <w:r w:rsidRPr="008326CB">
        <w:rPr>
          <w:rFonts w:cs="Arial"/>
          <w:sz w:val="24"/>
          <w:szCs w:val="24"/>
        </w:rPr>
        <w:t>document.</w:t>
      </w:r>
    </w:p>
    <w:p w:rsidR="007E759D" w:rsidRPr="003F082B" w:rsidRDefault="007E759D" w:rsidP="007E759D">
      <w:pPr>
        <w:pStyle w:val="ListParagraph"/>
        <w:rPr>
          <w:rFonts w:cs="Arial"/>
          <w:b/>
          <w:sz w:val="24"/>
          <w:szCs w:val="24"/>
        </w:rPr>
      </w:pPr>
    </w:p>
    <w:p w:rsidR="007E759D" w:rsidRDefault="007E759D" w:rsidP="007E759D">
      <w:pPr>
        <w:rPr>
          <w:rFonts w:cs="Arial"/>
          <w:b/>
          <w:sz w:val="24"/>
          <w:szCs w:val="24"/>
        </w:rPr>
      </w:pPr>
    </w:p>
    <w:p w:rsidR="007E759D" w:rsidRDefault="007E759D" w:rsidP="007E759D">
      <w:pPr>
        <w:rPr>
          <w:rFonts w:cs="Arial"/>
          <w:b/>
          <w:sz w:val="24"/>
          <w:szCs w:val="24"/>
        </w:rPr>
      </w:pPr>
    </w:p>
    <w:p w:rsidR="007E759D" w:rsidRDefault="007E759D" w:rsidP="007E759D">
      <w:pPr>
        <w:rPr>
          <w:rFonts w:cs="Arial"/>
          <w:b/>
          <w:sz w:val="24"/>
          <w:szCs w:val="24"/>
        </w:rPr>
      </w:pPr>
    </w:p>
    <w:p w:rsidR="007E759D" w:rsidRDefault="007E759D" w:rsidP="007E759D">
      <w:pPr>
        <w:rPr>
          <w:rFonts w:cs="Arial"/>
          <w:b/>
          <w:sz w:val="24"/>
          <w:szCs w:val="24"/>
        </w:rPr>
      </w:pPr>
    </w:p>
    <w:p w:rsidR="007E759D" w:rsidRDefault="007E759D" w:rsidP="007E759D">
      <w:pPr>
        <w:rPr>
          <w:rFonts w:cs="Arial"/>
          <w:b/>
          <w:sz w:val="24"/>
          <w:szCs w:val="24"/>
        </w:rPr>
      </w:pPr>
    </w:p>
    <w:p w:rsidR="007E759D" w:rsidRPr="003B3E36" w:rsidRDefault="007E759D" w:rsidP="007E759D">
      <w:pPr>
        <w:jc w:val="center"/>
        <w:rPr>
          <w:rFonts w:ascii="Arial" w:hAnsi="Arial" w:cs="Arial"/>
          <w:b/>
          <w:sz w:val="28"/>
          <w:szCs w:val="28"/>
          <w:u w:val="single"/>
        </w:rPr>
      </w:pPr>
      <w:r>
        <w:rPr>
          <w:rFonts w:cs="Arial"/>
          <w:b/>
          <w:noProof/>
          <w:sz w:val="24"/>
          <w:szCs w:val="24"/>
          <w:lang w:eastAsia="en-AU"/>
        </w:rPr>
        <w:lastRenderedPageBreak/>
        <w:drawing>
          <wp:inline distT="0" distB="0" distL="0" distR="0" wp14:anchorId="6E2125B9" wp14:editId="08B10FD0">
            <wp:extent cx="3787315" cy="792000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7315" cy="7920000"/>
                    </a:xfrm>
                    <a:prstGeom prst="rect">
                      <a:avLst/>
                    </a:prstGeom>
                  </pic:spPr>
                </pic:pic>
              </a:graphicData>
            </a:graphic>
          </wp:inline>
        </w:drawing>
      </w:r>
      <w:r w:rsidRPr="003B3E36">
        <w:rPr>
          <w:rFonts w:ascii="Arial" w:hAnsi="Arial" w:cs="Arial"/>
          <w:b/>
          <w:sz w:val="28"/>
          <w:szCs w:val="28"/>
          <w:u w:val="single"/>
        </w:rPr>
        <w:t>Appendix A</w:t>
      </w:r>
    </w:p>
    <w:p w:rsidR="007E759D" w:rsidRDefault="007E759D" w:rsidP="007E759D">
      <w:pPr>
        <w:jc w:val="center"/>
        <w:rPr>
          <w:rFonts w:cs="Arial"/>
          <w:b/>
          <w:sz w:val="24"/>
          <w:szCs w:val="24"/>
        </w:rPr>
      </w:pPr>
    </w:p>
    <w:p w:rsidR="007E759D" w:rsidRDefault="007E759D" w:rsidP="007E759D">
      <w:pPr>
        <w:jc w:val="center"/>
        <w:rPr>
          <w:rFonts w:ascii="Arial" w:hAnsi="Arial" w:cs="Arial"/>
          <w:b/>
          <w:sz w:val="28"/>
          <w:szCs w:val="28"/>
          <w:u w:val="single"/>
        </w:rPr>
      </w:pPr>
      <w:r>
        <w:rPr>
          <w:rFonts w:cs="Arial"/>
          <w:b/>
          <w:noProof/>
          <w:sz w:val="24"/>
          <w:szCs w:val="24"/>
          <w:lang w:eastAsia="en-AU"/>
        </w:rPr>
        <w:lastRenderedPageBreak/>
        <w:drawing>
          <wp:inline distT="0" distB="0" distL="0" distR="0" wp14:anchorId="387CDFAB" wp14:editId="299D856E">
            <wp:extent cx="5431790" cy="745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4750" cy="7461504"/>
                    </a:xfrm>
                    <a:prstGeom prst="rect">
                      <a:avLst/>
                    </a:prstGeom>
                  </pic:spPr>
                </pic:pic>
              </a:graphicData>
            </a:graphic>
          </wp:inline>
        </w:drawing>
      </w:r>
      <w:r w:rsidRPr="00D02430">
        <w:rPr>
          <w:rFonts w:ascii="Arial" w:hAnsi="Arial" w:cs="Arial"/>
          <w:b/>
          <w:sz w:val="28"/>
          <w:szCs w:val="28"/>
          <w:u w:val="single"/>
        </w:rPr>
        <w:t>Appendix B1</w:t>
      </w: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sz w:val="28"/>
          <w:szCs w:val="28"/>
          <w:u w:val="single"/>
        </w:rPr>
      </w:pPr>
      <w:r>
        <w:rPr>
          <w:rFonts w:cs="Arial"/>
          <w:b/>
          <w:noProof/>
          <w:sz w:val="24"/>
          <w:szCs w:val="24"/>
          <w:lang w:eastAsia="en-AU"/>
        </w:rPr>
        <w:lastRenderedPageBreak/>
        <w:drawing>
          <wp:inline distT="0" distB="0" distL="0" distR="0" wp14:anchorId="2B524352" wp14:editId="0DED5E4F">
            <wp:extent cx="5485977" cy="61569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3261" cy="6153912"/>
                    </a:xfrm>
                    <a:prstGeom prst="rect">
                      <a:avLst/>
                    </a:prstGeom>
                  </pic:spPr>
                </pic:pic>
              </a:graphicData>
            </a:graphic>
          </wp:inline>
        </w:drawing>
      </w:r>
      <w:r w:rsidRPr="00D02430">
        <w:rPr>
          <w:rFonts w:ascii="Arial" w:hAnsi="Arial" w:cs="Arial"/>
          <w:b/>
          <w:sz w:val="28"/>
          <w:szCs w:val="28"/>
          <w:u w:val="single"/>
        </w:rPr>
        <w:t>Appendix B2</w:t>
      </w: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noProof/>
          <w:sz w:val="28"/>
          <w:szCs w:val="28"/>
          <w:u w:val="single"/>
          <w:lang w:eastAsia="en-AU"/>
        </w:rPr>
      </w:pPr>
    </w:p>
    <w:p w:rsidR="007E759D" w:rsidRDefault="007E759D" w:rsidP="007E759D">
      <w:pPr>
        <w:jc w:val="center"/>
        <w:rPr>
          <w:rFonts w:ascii="Arial" w:hAnsi="Arial" w:cs="Arial"/>
          <w:b/>
          <w:sz w:val="28"/>
          <w:szCs w:val="28"/>
          <w:u w:val="single"/>
        </w:rPr>
      </w:pPr>
      <w:r>
        <w:rPr>
          <w:rFonts w:ascii="Arial" w:hAnsi="Arial" w:cs="Arial"/>
          <w:b/>
          <w:noProof/>
          <w:sz w:val="28"/>
          <w:szCs w:val="28"/>
          <w:u w:val="single"/>
          <w:lang w:eastAsia="en-AU"/>
        </w:rPr>
        <w:lastRenderedPageBreak/>
        <w:drawing>
          <wp:inline distT="0" distB="0" distL="0" distR="0" wp14:anchorId="37AD4BF8" wp14:editId="0E484B7A">
            <wp:extent cx="2692400" cy="740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8336" cy="7395460"/>
                    </a:xfrm>
                    <a:prstGeom prst="rect">
                      <a:avLst/>
                    </a:prstGeom>
                  </pic:spPr>
                </pic:pic>
              </a:graphicData>
            </a:graphic>
          </wp:inline>
        </w:drawing>
      </w:r>
      <w:r>
        <w:rPr>
          <w:rFonts w:ascii="Arial" w:hAnsi="Arial" w:cs="Arial"/>
          <w:b/>
          <w:sz w:val="28"/>
          <w:szCs w:val="28"/>
          <w:u w:val="single"/>
        </w:rPr>
        <w:t>Appendix B3</w:t>
      </w:r>
    </w:p>
    <w:p w:rsidR="007E759D" w:rsidRDefault="007E759D" w:rsidP="007E759D">
      <w:pPr>
        <w:jc w:val="center"/>
        <w:rPr>
          <w:rFonts w:ascii="Arial" w:hAnsi="Arial" w:cs="Arial"/>
          <w:b/>
          <w:sz w:val="28"/>
          <w:szCs w:val="28"/>
          <w:u w:val="single"/>
        </w:rPr>
      </w:pPr>
    </w:p>
    <w:p w:rsidR="007E759D" w:rsidRDefault="007E759D" w:rsidP="007E759D">
      <w:pPr>
        <w:jc w:val="center"/>
        <w:rPr>
          <w:rFonts w:ascii="Arial" w:hAnsi="Arial" w:cs="Arial"/>
          <w:b/>
          <w:sz w:val="28"/>
          <w:szCs w:val="28"/>
          <w:u w:val="single"/>
        </w:rPr>
      </w:pPr>
      <w:r>
        <w:rPr>
          <w:rFonts w:ascii="Arial" w:hAnsi="Arial" w:cs="Arial"/>
          <w:b/>
          <w:noProof/>
          <w:sz w:val="28"/>
          <w:szCs w:val="28"/>
          <w:u w:val="single"/>
          <w:lang w:eastAsia="en-AU"/>
        </w:rPr>
        <w:lastRenderedPageBreak/>
        <w:drawing>
          <wp:inline distT="0" distB="0" distL="0" distR="0" wp14:anchorId="68D9F962" wp14:editId="0D4104E3">
            <wp:extent cx="2581656" cy="5971032"/>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oitte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1656" cy="5971032"/>
                    </a:xfrm>
                    <a:prstGeom prst="rect">
                      <a:avLst/>
                    </a:prstGeom>
                  </pic:spPr>
                </pic:pic>
              </a:graphicData>
            </a:graphic>
          </wp:inline>
        </w:drawing>
      </w:r>
    </w:p>
    <w:p w:rsidR="007E759D" w:rsidRDefault="007E759D" w:rsidP="007E759D">
      <w:pPr>
        <w:jc w:val="center"/>
        <w:rPr>
          <w:rFonts w:ascii="Arial" w:hAnsi="Arial" w:cs="Arial"/>
          <w:b/>
          <w:sz w:val="28"/>
          <w:szCs w:val="28"/>
          <w:u w:val="single"/>
        </w:rPr>
      </w:pPr>
    </w:p>
    <w:p w:rsidR="007E759D" w:rsidRPr="00D02430" w:rsidRDefault="007E759D" w:rsidP="007E759D">
      <w:pPr>
        <w:jc w:val="center"/>
        <w:rPr>
          <w:rFonts w:ascii="Arial" w:hAnsi="Arial" w:cs="Arial"/>
          <w:b/>
          <w:sz w:val="28"/>
          <w:szCs w:val="28"/>
          <w:u w:val="single"/>
        </w:rPr>
      </w:pPr>
      <w:r>
        <w:rPr>
          <w:rFonts w:ascii="Arial" w:hAnsi="Arial" w:cs="Arial"/>
          <w:b/>
          <w:sz w:val="28"/>
          <w:szCs w:val="28"/>
          <w:u w:val="single"/>
        </w:rPr>
        <w:t>Appendix B4</w:t>
      </w:r>
    </w:p>
    <w:p w:rsidR="007E759D" w:rsidRDefault="007E759D" w:rsidP="003219C0">
      <w:pPr>
        <w:spacing w:after="0"/>
        <w:rPr>
          <w:rFonts w:ascii="Arial" w:hAnsi="Arial" w:cs="Arial"/>
          <w:sz w:val="24"/>
          <w:szCs w:val="24"/>
        </w:rPr>
      </w:pPr>
    </w:p>
    <w:sectPr w:rsidR="007E759D">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B6A" w:rsidRDefault="001A6B6A" w:rsidP="001A6B6A">
      <w:pPr>
        <w:spacing w:after="0" w:line="240" w:lineRule="auto"/>
      </w:pPr>
      <w:r>
        <w:separator/>
      </w:r>
    </w:p>
  </w:endnote>
  <w:endnote w:type="continuationSeparator" w:id="0">
    <w:p w:rsidR="001A6B6A" w:rsidRDefault="001A6B6A" w:rsidP="001A6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B6A" w:rsidRDefault="001A6B6A" w:rsidP="001A6B6A">
      <w:pPr>
        <w:spacing w:after="0" w:line="240" w:lineRule="auto"/>
      </w:pPr>
      <w:r>
        <w:separator/>
      </w:r>
    </w:p>
  </w:footnote>
  <w:footnote w:type="continuationSeparator" w:id="0">
    <w:p w:rsidR="001A6B6A" w:rsidRDefault="001A6B6A" w:rsidP="001A6B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2683"/>
      <w:docPartObj>
        <w:docPartGallery w:val="Page Numbers (Top of Page)"/>
        <w:docPartUnique/>
      </w:docPartObj>
    </w:sdtPr>
    <w:sdtEndPr>
      <w:rPr>
        <w:noProof/>
      </w:rPr>
    </w:sdtEndPr>
    <w:sdtContent>
      <w:p w:rsidR="001A6B6A" w:rsidRDefault="001A6B6A">
        <w:pPr>
          <w:pStyle w:val="Header"/>
          <w:jc w:val="right"/>
        </w:pPr>
        <w:r>
          <w:fldChar w:fldCharType="begin"/>
        </w:r>
        <w:r>
          <w:instrText xml:space="preserve"> PAGE   \* MERGEFORMAT </w:instrText>
        </w:r>
        <w:r>
          <w:fldChar w:fldCharType="separate"/>
        </w:r>
        <w:r w:rsidR="00281C4F">
          <w:rPr>
            <w:noProof/>
          </w:rPr>
          <w:t>1</w:t>
        </w:r>
        <w:r>
          <w:rPr>
            <w:noProof/>
          </w:rPr>
          <w:fldChar w:fldCharType="end"/>
        </w:r>
      </w:p>
    </w:sdtContent>
  </w:sdt>
  <w:p w:rsidR="001A6B6A" w:rsidRDefault="001A6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5EA8"/>
    <w:multiLevelType w:val="hybridMultilevel"/>
    <w:tmpl w:val="AA040EBC"/>
    <w:lvl w:ilvl="0" w:tplc="A6EACC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A41F7B"/>
    <w:multiLevelType w:val="multilevel"/>
    <w:tmpl w:val="D4BA9B16"/>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2">
    <w:nsid w:val="18664547"/>
    <w:multiLevelType w:val="hybridMultilevel"/>
    <w:tmpl w:val="EFCCEC9A"/>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A8F2455"/>
    <w:multiLevelType w:val="hybridMultilevel"/>
    <w:tmpl w:val="E8940398"/>
    <w:lvl w:ilvl="0" w:tplc="C99024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17B2ECB"/>
    <w:multiLevelType w:val="multilevel"/>
    <w:tmpl w:val="B2D8A46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5BFE6244"/>
    <w:multiLevelType w:val="multilevel"/>
    <w:tmpl w:val="98FEF1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7B3F0494"/>
    <w:multiLevelType w:val="hybridMultilevel"/>
    <w:tmpl w:val="9A6E10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429"/>
    <w:rsid w:val="00055AD6"/>
    <w:rsid w:val="000715A3"/>
    <w:rsid w:val="00094BDA"/>
    <w:rsid w:val="001216EE"/>
    <w:rsid w:val="00123610"/>
    <w:rsid w:val="00167DE1"/>
    <w:rsid w:val="001A2E5A"/>
    <w:rsid w:val="001A2F2C"/>
    <w:rsid w:val="001A6B6A"/>
    <w:rsid w:val="002153AF"/>
    <w:rsid w:val="002722C4"/>
    <w:rsid w:val="00281C4F"/>
    <w:rsid w:val="002C5596"/>
    <w:rsid w:val="002D40F1"/>
    <w:rsid w:val="002F7FA3"/>
    <w:rsid w:val="00317542"/>
    <w:rsid w:val="003219C0"/>
    <w:rsid w:val="00357587"/>
    <w:rsid w:val="00360CA5"/>
    <w:rsid w:val="003676D6"/>
    <w:rsid w:val="00372B70"/>
    <w:rsid w:val="003A0C8F"/>
    <w:rsid w:val="003B6589"/>
    <w:rsid w:val="003C10A9"/>
    <w:rsid w:val="004B0B38"/>
    <w:rsid w:val="00576C88"/>
    <w:rsid w:val="005850DA"/>
    <w:rsid w:val="005A0739"/>
    <w:rsid w:val="005C7F68"/>
    <w:rsid w:val="005D7FEA"/>
    <w:rsid w:val="00617429"/>
    <w:rsid w:val="00640B9E"/>
    <w:rsid w:val="0065319F"/>
    <w:rsid w:val="00706D55"/>
    <w:rsid w:val="00772A55"/>
    <w:rsid w:val="007E759D"/>
    <w:rsid w:val="007E7726"/>
    <w:rsid w:val="008277FC"/>
    <w:rsid w:val="00851EA7"/>
    <w:rsid w:val="008778F2"/>
    <w:rsid w:val="008F7B96"/>
    <w:rsid w:val="00A27EBB"/>
    <w:rsid w:val="00A87DAA"/>
    <w:rsid w:val="00AF0C8C"/>
    <w:rsid w:val="00B160B0"/>
    <w:rsid w:val="00B2067C"/>
    <w:rsid w:val="00B2246C"/>
    <w:rsid w:val="00B23627"/>
    <w:rsid w:val="00B86E41"/>
    <w:rsid w:val="00B97030"/>
    <w:rsid w:val="00BB4336"/>
    <w:rsid w:val="00BB52B9"/>
    <w:rsid w:val="00C363B2"/>
    <w:rsid w:val="00C37165"/>
    <w:rsid w:val="00C37C1C"/>
    <w:rsid w:val="00C43AEF"/>
    <w:rsid w:val="00C71B50"/>
    <w:rsid w:val="00C8249B"/>
    <w:rsid w:val="00D22B34"/>
    <w:rsid w:val="00D967F6"/>
    <w:rsid w:val="00DF3871"/>
    <w:rsid w:val="00E06290"/>
    <w:rsid w:val="00E10556"/>
    <w:rsid w:val="00E572B4"/>
    <w:rsid w:val="00E66412"/>
    <w:rsid w:val="00E82F83"/>
    <w:rsid w:val="00EC204E"/>
    <w:rsid w:val="00F658D6"/>
    <w:rsid w:val="00FE0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B6A"/>
  </w:style>
  <w:style w:type="paragraph" w:styleId="Footer">
    <w:name w:val="footer"/>
    <w:basedOn w:val="Normal"/>
    <w:link w:val="FooterChar"/>
    <w:uiPriority w:val="99"/>
    <w:unhideWhenUsed/>
    <w:rsid w:val="001A6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B6A"/>
  </w:style>
  <w:style w:type="paragraph" w:styleId="FootnoteText">
    <w:name w:val="footnote text"/>
    <w:basedOn w:val="Normal"/>
    <w:link w:val="FootnoteTextChar"/>
    <w:uiPriority w:val="99"/>
    <w:semiHidden/>
    <w:unhideWhenUsed/>
    <w:rsid w:val="00055A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AD6"/>
    <w:rPr>
      <w:sz w:val="20"/>
      <w:szCs w:val="20"/>
    </w:rPr>
  </w:style>
  <w:style w:type="character" w:styleId="FootnoteReference">
    <w:name w:val="footnote reference"/>
    <w:basedOn w:val="DefaultParagraphFont"/>
    <w:uiPriority w:val="99"/>
    <w:semiHidden/>
    <w:unhideWhenUsed/>
    <w:rsid w:val="00055AD6"/>
    <w:rPr>
      <w:vertAlign w:val="superscript"/>
    </w:rPr>
  </w:style>
  <w:style w:type="paragraph" w:styleId="ListParagraph">
    <w:name w:val="List Paragraph"/>
    <w:basedOn w:val="Normal"/>
    <w:uiPriority w:val="34"/>
    <w:qFormat/>
    <w:rsid w:val="002722C4"/>
    <w:pPr>
      <w:ind w:left="720"/>
      <w:contextualSpacing/>
    </w:pPr>
  </w:style>
  <w:style w:type="character" w:styleId="Hyperlink">
    <w:name w:val="Hyperlink"/>
    <w:basedOn w:val="DefaultParagraphFont"/>
    <w:uiPriority w:val="99"/>
    <w:semiHidden/>
    <w:unhideWhenUsed/>
    <w:rsid w:val="00772A55"/>
    <w:rPr>
      <w:color w:val="0000FF"/>
      <w:u w:val="single"/>
    </w:rPr>
  </w:style>
  <w:style w:type="table" w:styleId="TableGrid">
    <w:name w:val="Table Grid"/>
    <w:basedOn w:val="TableNormal"/>
    <w:uiPriority w:val="59"/>
    <w:rsid w:val="007E759D"/>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7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5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B6A"/>
  </w:style>
  <w:style w:type="paragraph" w:styleId="Footer">
    <w:name w:val="footer"/>
    <w:basedOn w:val="Normal"/>
    <w:link w:val="FooterChar"/>
    <w:uiPriority w:val="99"/>
    <w:unhideWhenUsed/>
    <w:rsid w:val="001A6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B6A"/>
  </w:style>
  <w:style w:type="paragraph" w:styleId="FootnoteText">
    <w:name w:val="footnote text"/>
    <w:basedOn w:val="Normal"/>
    <w:link w:val="FootnoteTextChar"/>
    <w:uiPriority w:val="99"/>
    <w:semiHidden/>
    <w:unhideWhenUsed/>
    <w:rsid w:val="00055A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AD6"/>
    <w:rPr>
      <w:sz w:val="20"/>
      <w:szCs w:val="20"/>
    </w:rPr>
  </w:style>
  <w:style w:type="character" w:styleId="FootnoteReference">
    <w:name w:val="footnote reference"/>
    <w:basedOn w:val="DefaultParagraphFont"/>
    <w:uiPriority w:val="99"/>
    <w:semiHidden/>
    <w:unhideWhenUsed/>
    <w:rsid w:val="00055AD6"/>
    <w:rPr>
      <w:vertAlign w:val="superscript"/>
    </w:rPr>
  </w:style>
  <w:style w:type="paragraph" w:styleId="ListParagraph">
    <w:name w:val="List Paragraph"/>
    <w:basedOn w:val="Normal"/>
    <w:uiPriority w:val="34"/>
    <w:qFormat/>
    <w:rsid w:val="002722C4"/>
    <w:pPr>
      <w:ind w:left="720"/>
      <w:contextualSpacing/>
    </w:pPr>
  </w:style>
  <w:style w:type="character" w:styleId="Hyperlink">
    <w:name w:val="Hyperlink"/>
    <w:basedOn w:val="DefaultParagraphFont"/>
    <w:uiPriority w:val="99"/>
    <w:semiHidden/>
    <w:unhideWhenUsed/>
    <w:rsid w:val="00772A55"/>
    <w:rPr>
      <w:color w:val="0000FF"/>
      <w:u w:val="single"/>
    </w:rPr>
  </w:style>
  <w:style w:type="table" w:styleId="TableGrid">
    <w:name w:val="Table Grid"/>
    <w:basedOn w:val="TableNormal"/>
    <w:uiPriority w:val="59"/>
    <w:rsid w:val="007E759D"/>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7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9CC7E-5195-4F29-8089-0B8034E1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3184</Words>
  <Characters>18150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Productivity Commission</Company>
  <LinksUpToDate>false</LinksUpToDate>
  <CharactersWithSpaces>21292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84 - Dr John Goldberg - Public Infrastructure - Public inquiry</dc:title>
  <dc:creator>Dr John Goldberg</dc:creator>
  <cp:lastModifiedBy>Productivity Commission</cp:lastModifiedBy>
  <cp:revision>2</cp:revision>
  <cp:lastPrinted>2014-01-09T23:05:00Z</cp:lastPrinted>
  <dcterms:created xsi:type="dcterms:W3CDTF">2014-01-14T04:44:00Z</dcterms:created>
  <dcterms:modified xsi:type="dcterms:W3CDTF">2014-01-14T04:44:00Z</dcterms:modified>
</cp:coreProperties>
</file>