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1EF" w:rsidRPr="00282950" w:rsidRDefault="00BE4140" w:rsidP="0058704B">
      <w:pPr>
        <w:pStyle w:val="Date"/>
        <w:spacing w:before="240" w:after="240"/>
        <w:rPr>
          <w:color w:val="auto"/>
        </w:rPr>
      </w:pPr>
      <w:bookmarkStart w:id="0" w:name="_GoBack"/>
      <w:bookmarkEnd w:id="0"/>
      <w:r w:rsidRPr="00282950">
        <w:rPr>
          <w:noProof/>
          <w:color w:val="auto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71D9C384" wp14:editId="4A2E9617">
                <wp:simplePos x="0" y="0"/>
                <wp:positionH relativeFrom="margin">
                  <wp:align>right</wp:align>
                </wp:positionH>
                <mc:AlternateContent>
                  <mc:Choice Requires="wp14">
                    <wp:positionV relativeFrom="page">
                      <wp14:pctPosVOffset>5000</wp14:pctPosVOffset>
                    </wp:positionV>
                  </mc:Choice>
                  <mc:Fallback>
                    <wp:positionV relativeFrom="page">
                      <wp:posOffset>502920</wp:posOffset>
                    </wp:positionV>
                  </mc:Fallback>
                </mc:AlternateContent>
                <wp:extent cx="6305550" cy="1127760"/>
                <wp:effectExtent l="0" t="0" r="0" b="1524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1127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5000" w:type="pct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995"/>
                              <w:gridCol w:w="3090"/>
                            </w:tblGrid>
                            <w:tr w:rsidR="006E71EF">
                              <w:tc>
                                <w:tcPr>
                                  <w:tcW w:w="3750" w:type="pct"/>
                                </w:tcPr>
                                <w:p w:rsidR="006E71EF" w:rsidRDefault="00443725">
                                  <w:pPr>
                                    <w:pStyle w:val="Header"/>
                                  </w:pPr>
                                  <w:r>
                                    <w:t>IMGillard</w:t>
                                  </w:r>
                                </w:p>
                                <w:p w:rsidR="006E71EF" w:rsidRDefault="00443725">
                                  <w:pPr>
                                    <w:pStyle w:val="Header"/>
                                  </w:pPr>
                                  <w:r>
                                    <w:t>GPO Box 1810, Hobart, TAS. 7001</w:t>
                                  </w:r>
                                </w:p>
                                <w:p w:rsidR="00F9156B" w:rsidRDefault="00F9156B">
                                  <w:pPr>
                                    <w:pStyle w:val="Header"/>
                                  </w:pPr>
                                </w:p>
                                <w:p w:rsidR="00F9156B" w:rsidRDefault="00F9156B">
                                  <w:pPr>
                                    <w:pStyle w:val="Header"/>
                                  </w:pPr>
                                </w:p>
                                <w:p w:rsidR="004F4539" w:rsidRDefault="004F4539">
                                  <w:pPr>
                                    <w:pStyle w:val="Header"/>
                                  </w:pPr>
                                  <w:r>
                                    <w:t>17</w:t>
                                  </w:r>
                                  <w:r w:rsidRPr="004F4539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February 2014</w:t>
                                  </w:r>
                                </w:p>
                                <w:p w:rsidR="006E71EF" w:rsidRDefault="006E71EF" w:rsidP="00443725">
                                  <w:pPr>
                                    <w:pStyle w:val="Header"/>
                                  </w:pPr>
                                </w:p>
                              </w:tc>
                              <w:tc>
                                <w:tcPr>
                                  <w:tcW w:w="1250" w:type="pct"/>
                                </w:tcPr>
                                <w:p w:rsidR="006E71EF" w:rsidRDefault="00BE4140">
                                  <w:pPr>
                                    <w:pStyle w:val="Header"/>
                                    <w:jc w:val="right"/>
                                  </w:pPr>
                                  <w:r>
                                    <w:rPr>
                                      <w:noProof/>
                                      <w:lang w:val="en-AU" w:eastAsia="en-AU"/>
                                    </w:rPr>
                                    <w:drawing>
                                      <wp:inline distT="0" distB="0" distL="0" distR="0" wp14:anchorId="2D365E70" wp14:editId="19D1B9B2">
                                        <wp:extent cx="1957396" cy="1074420"/>
                                        <wp:effectExtent l="0" t="0" r="508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 preferRelativeResize="0"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73033" cy="10830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6E71EF" w:rsidRDefault="006E71EF" w:rsidP="004F4539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5.3pt;margin-top:0;width:496.5pt;height:88.8pt;z-index:251659264;visibility:visible;mso-wrap-style:square;mso-width-percent:1000;mso-height-percent:0;mso-top-percent:50;mso-wrap-distance-left:9pt;mso-wrap-distance-top:0;mso-wrap-distance-right:9pt;mso-wrap-distance-bottom:0;mso-position-horizontal:right;mso-position-horizontal-relative:margin;mso-position-vertical-relative:page;mso-width-percent:1000;mso-height-percent:0;mso-top-percent: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cTcgIAAFMFAAAOAAAAZHJzL2Uyb0RvYy54bWysVMFu2zAMvQ/YPwi6r04ytB2COkXWosOA&#10;oi2aDj0rstQYk0VNUmJnX78n2U67bpcOu8g0+UiRj6TOzrvGsJ3yoSZb8unRhDNlJVW1fSr5t4er&#10;D584C1HYShiyquR7Ffj54v27s9bN1Yw2ZCrlGYLYMG9dyTcxunlRBLlRjQhH5JSFUZNvRMSvfyoq&#10;L1pEb0wxm0xOipZ85TxJFQK0l72RL3J8rZWMt1oHFZkpOXKL+fT5XKezWJyJ+ZMXblPLIQ3xD1k0&#10;ora49BDqUkTBtr7+I1RTS0+BdDyS1BSkdS1VrgHVTCevqllthFO5FpAT3IGm8P/CypvdnWd1VfIZ&#10;Z1Y0aNGD6iL7TB2bJXZaF+YArRxgsYMaXR71AcpUdKd9k74oh8EOnvcHblMwCeXJx8nx8TFMErbp&#10;dHZ6epLZL57dnQ/xi6KGJaHkHs3LnIrddYhIBdARkm6zdFUbkxtoLGvTFYj/mwUexiaNyqMwhEkl&#10;9alnKe6NShhj75UGFbmCpMhDqC6MZzuB8RFSKhtz8Tku0AmlkcRbHAf8c1Zvce7rGG8mGw/OTW3J&#10;5+pfpV19H1PWPR5Evqg7ibFbd0Or11Tt0WlP/aYEJ69qdONahHgnPFYDHcS6x1sc2hBYp0HibEP+&#10;59/0CY+JhZWzFqtW8vBjK7zizHy1mOW0l6PgR2E9CnbbXBDon+IhcTKLcPDRjKL21DziFVimW2AS&#10;VuKuksdRvIj9wuMVkWq5zCBsnxPx2q6cTKFTN9JsPXSPwrthACNm94bGJRTzV3PYY5OnpeU2kq7z&#10;kCZCexYHorG5eXaHVyY9DS//M+r5LVz8AgAA//8DAFBLAwQUAAYACAAAACEAc6aC2NoAAAAFAQAA&#10;DwAAAGRycy9kb3ducmV2LnhtbEyPwU7DMBBE70j9B2uRekHUaRFNG+JUCIQQNyj07trbJKq9jmI3&#10;DXw9Cxe4rDSa0eybcjN6JwbsYxtIwXyWgUAywbZUK/h4f7pegYhJk9UuECr4xAibanJR6sKGM73h&#10;sE214BKKhVbQpNQVUkbToNdxFjok9g6h9zqx7Gtpe33mcu/kIsuW0uuW+EOjO3xo0By3J6/gdecy&#10;9/WY3149myEn8+L8kXZKTS/H+zsQCcf0F4YffEaHipn24UQ2CqeAh6Tfy956fcNyz6E8X4KsSvmf&#10;vvoGAAD//wMAUEsBAi0AFAAGAAgAAAAhALaDOJL+AAAA4QEAABMAAAAAAAAAAAAAAAAAAAAAAFtD&#10;b250ZW50X1R5cGVzXS54bWxQSwECLQAUAAYACAAAACEAOP0h/9YAAACUAQAACwAAAAAAAAAAAAAA&#10;AAAvAQAAX3JlbHMvLnJlbHNQSwECLQAUAAYACAAAACEAg7C3E3ICAABTBQAADgAAAAAAAAAAAAAA&#10;AAAuAgAAZHJzL2Uyb0RvYy54bWxQSwECLQAUAAYACAAAACEAc6aC2NoAAAAFAQAADwAAAAAAAAAA&#10;AAAAAADMBAAAZHJzL2Rvd25yZXYueG1sUEsFBgAAAAAEAAQA8wAAANMFAAAAAA==&#10;" o:allowoverlap="f" filled="f" stroked="f" strokeweight=".5pt">
                <v:textbox inset="0,0,0,0">
                  <w:txbxContent>
                    <w:tbl>
                      <w:tblPr>
                        <w:tblW w:w="5000" w:type="pct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995"/>
                        <w:gridCol w:w="3090"/>
                      </w:tblGrid>
                      <w:tr w:rsidR="006E71EF">
                        <w:tc>
                          <w:tcPr>
                            <w:tcW w:w="3750" w:type="pct"/>
                          </w:tcPr>
                          <w:p w:rsidR="006E71EF" w:rsidRDefault="00443725">
                            <w:pPr>
                              <w:pStyle w:val="Header"/>
                            </w:pPr>
                            <w:r>
                              <w:t>IMGillard</w:t>
                            </w:r>
                          </w:p>
                          <w:p w:rsidR="006E71EF" w:rsidRDefault="00443725">
                            <w:pPr>
                              <w:pStyle w:val="Header"/>
                            </w:pPr>
                            <w:r>
                              <w:t>GPO Box 1810, Hobart, TAS. 7001</w:t>
                            </w:r>
                          </w:p>
                          <w:p w:rsidR="00F9156B" w:rsidRDefault="00F9156B">
                            <w:pPr>
                              <w:pStyle w:val="Header"/>
                            </w:pPr>
                          </w:p>
                          <w:p w:rsidR="00F9156B" w:rsidRDefault="00F9156B">
                            <w:pPr>
                              <w:pStyle w:val="Header"/>
                            </w:pPr>
                          </w:p>
                          <w:p w:rsidR="004F4539" w:rsidRDefault="004F4539">
                            <w:pPr>
                              <w:pStyle w:val="Header"/>
                            </w:pPr>
                            <w:r>
                              <w:t>17</w:t>
                            </w:r>
                            <w:r w:rsidRPr="004F4539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February 2014</w:t>
                            </w:r>
                          </w:p>
                          <w:p w:rsidR="006E71EF" w:rsidRDefault="006E71EF" w:rsidP="00443725">
                            <w:pPr>
                              <w:pStyle w:val="Header"/>
                            </w:pPr>
                          </w:p>
                        </w:tc>
                        <w:tc>
                          <w:tcPr>
                            <w:tcW w:w="1250" w:type="pct"/>
                          </w:tcPr>
                          <w:p w:rsidR="006E71EF" w:rsidRDefault="00BE4140">
                            <w:pPr>
                              <w:pStyle w:val="Header"/>
                              <w:jc w:val="right"/>
                            </w:pPr>
                            <w:r>
                              <w:rPr>
                                <w:noProof/>
                                <w:lang w:val="en-AU" w:eastAsia="en-AU"/>
                              </w:rPr>
                              <w:drawing>
                                <wp:inline distT="0" distB="0" distL="0" distR="0" wp14:anchorId="2D365E70" wp14:editId="19D1B9B2">
                                  <wp:extent cx="1957396" cy="1074420"/>
                                  <wp:effectExtent l="0" t="0" r="508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 preferRelativeResize="0"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3033" cy="10830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6E71EF" w:rsidRDefault="006E71EF" w:rsidP="004F4539"/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Pr="00282950">
        <w:rPr>
          <w:color w:val="auto"/>
        </w:rPr>
        <w:t xml:space="preserve">Dear </w:t>
      </w:r>
      <w:r w:rsidR="0058704B" w:rsidRPr="00282950">
        <w:rPr>
          <w:color w:val="auto"/>
        </w:rPr>
        <w:t>Commissioner</w:t>
      </w:r>
      <w:r w:rsidRPr="00282950">
        <w:rPr>
          <w:color w:val="auto"/>
        </w:rPr>
        <w:t>,</w:t>
      </w:r>
    </w:p>
    <w:p w:rsidR="006E71EF" w:rsidRDefault="00443725" w:rsidP="00443725">
      <w:r>
        <w:t>M</w:t>
      </w:r>
      <w:r w:rsidRPr="00443725">
        <w:t xml:space="preserve">any investors adopt a core-satellite approach to their investments. This involves holding the bulk of their </w:t>
      </w:r>
      <w:r w:rsidR="004F4539">
        <w:t xml:space="preserve">savings </w:t>
      </w:r>
      <w:r w:rsidRPr="00443725">
        <w:t xml:space="preserve">portfolios in </w:t>
      </w:r>
      <w:r>
        <w:t>the</w:t>
      </w:r>
      <w:r w:rsidR="004F4539">
        <w:t>ir</w:t>
      </w:r>
      <w:r>
        <w:t xml:space="preserve"> family home and superannuation,</w:t>
      </w:r>
      <w:r w:rsidRPr="00443725">
        <w:t xml:space="preserve"> with "satellite" </w:t>
      </w:r>
      <w:r w:rsidR="00795FF1">
        <w:t>investments in</w:t>
      </w:r>
      <w:r w:rsidRPr="00443725">
        <w:t xml:space="preserve"> managed funds</w:t>
      </w:r>
      <w:r w:rsidR="003F0261">
        <w:t>,</w:t>
      </w:r>
      <w:r w:rsidR="00282950">
        <w:t xml:space="preserve"> rental property,</w:t>
      </w:r>
      <w:r w:rsidRPr="00443725">
        <w:t xml:space="preserve"> </w:t>
      </w:r>
      <w:r w:rsidR="004F4539">
        <w:t>or</w:t>
      </w:r>
      <w:r w:rsidRPr="00443725">
        <w:t xml:space="preserve"> direct shares.</w:t>
      </w:r>
      <w:r w:rsidR="00795FF1">
        <w:t xml:space="preserve"> My proposal is that the Federal Government issues infrastructure bonds with tax advantaged income streams in retirement</w:t>
      </w:r>
      <w:r w:rsidR="004F4539">
        <w:t xml:space="preserve"> to finance </w:t>
      </w:r>
      <w:r w:rsidR="003F0261">
        <w:t xml:space="preserve">new </w:t>
      </w:r>
      <w:r w:rsidR="004F4539">
        <w:t>infrastructure</w:t>
      </w:r>
      <w:r w:rsidR="00795FF1">
        <w:t>.</w:t>
      </w:r>
      <w:r w:rsidR="00282950">
        <w:t xml:space="preserve"> The effect will be a more efficient allocation </w:t>
      </w:r>
      <w:r w:rsidR="003F0261">
        <w:t>in the</w:t>
      </w:r>
      <w:r w:rsidR="00282950">
        <w:t xml:space="preserve"> private savings market.</w:t>
      </w:r>
    </w:p>
    <w:p w:rsidR="008740E7" w:rsidRDefault="00282950" w:rsidP="00F37939">
      <w:r>
        <w:t xml:space="preserve">Retirees can contribute to the economy with their capital rather than labour. I do not want to a burden on the young people of this nation when I get old. The </w:t>
      </w:r>
      <w:r w:rsidR="00296E90">
        <w:t>poor</w:t>
      </w:r>
      <w:r>
        <w:t xml:space="preserve"> opportunit</w:t>
      </w:r>
      <w:r w:rsidR="00296E90">
        <w:t>ies</w:t>
      </w:r>
      <w:r>
        <w:t xml:space="preserve"> to invest </w:t>
      </w:r>
      <w:r w:rsidR="00296E90">
        <w:t>for</w:t>
      </w:r>
      <w:r w:rsidR="003F0261">
        <w:t xml:space="preserve"> </w:t>
      </w:r>
      <w:r>
        <w:t xml:space="preserve">retirement </w:t>
      </w:r>
      <w:r w:rsidR="00296E90">
        <w:t>income streams</w:t>
      </w:r>
      <w:r w:rsidR="003F0261">
        <w:t>, and poorly competing retirement saving market,</w:t>
      </w:r>
      <w:r>
        <w:t xml:space="preserve"> is the problem I want addressed. </w:t>
      </w:r>
      <w:r w:rsidR="00795FF1">
        <w:t xml:space="preserve">It is apparent from </w:t>
      </w:r>
      <w:r w:rsidR="008740E7">
        <w:t xml:space="preserve">high take up rates of SMSF </w:t>
      </w:r>
      <w:r w:rsidR="004F4539">
        <w:t>membership</w:t>
      </w:r>
      <w:r w:rsidR="003F0261">
        <w:t>, and the GFC,</w:t>
      </w:r>
      <w:r w:rsidR="004F4539">
        <w:t xml:space="preserve"> that</w:t>
      </w:r>
      <w:r w:rsidR="008740E7">
        <w:t xml:space="preserve"> the retirement saving industry needs increased market efficiency and </w:t>
      </w:r>
      <w:r w:rsidR="003F0261">
        <w:t>better</w:t>
      </w:r>
      <w:r w:rsidR="004F4539">
        <w:t xml:space="preserve"> long-term predictability</w:t>
      </w:r>
      <w:r w:rsidR="008740E7">
        <w:t xml:space="preserve"> or </w:t>
      </w:r>
      <w:r w:rsidR="004F4539">
        <w:t>an</w:t>
      </w:r>
      <w:r w:rsidR="008740E7">
        <w:t xml:space="preserve"> </w:t>
      </w:r>
      <w:r w:rsidR="003F0261">
        <w:t>older</w:t>
      </w:r>
      <w:r w:rsidR="008740E7">
        <w:t xml:space="preserve"> population will make the national economy less competitive.  </w:t>
      </w:r>
    </w:p>
    <w:p w:rsidR="00F37939" w:rsidRDefault="004B1A9B" w:rsidP="00F37939">
      <w:r>
        <w:t>Most</w:t>
      </w:r>
      <w:r w:rsidR="00F37939">
        <w:t xml:space="preserve"> other OECD countries</w:t>
      </w:r>
      <w:r>
        <w:t>,</w:t>
      </w:r>
      <w:r w:rsidR="00F37939">
        <w:t xml:space="preserve"> on average</w:t>
      </w:r>
      <w:r>
        <w:t>,</w:t>
      </w:r>
      <w:r w:rsidR="00F37939">
        <w:t xml:space="preserve"> collect tax at a higher rate than Australia. </w:t>
      </w:r>
      <w:r w:rsidR="00CA3E66">
        <w:t xml:space="preserve">Because of this, </w:t>
      </w:r>
      <w:r w:rsidR="00F37939">
        <w:t>I fear that Australia’s infrastructure</w:t>
      </w:r>
      <w:r w:rsidR="00CA3E66">
        <w:t>,</w:t>
      </w:r>
      <w:r w:rsidR="00F37939">
        <w:t xml:space="preserve"> like the</w:t>
      </w:r>
      <w:r w:rsidR="00CA3E66">
        <w:t xml:space="preserve"> degraded, and aging,</w:t>
      </w:r>
      <w:r w:rsidR="00F37939">
        <w:t xml:space="preserve"> American (US) infrastructure</w:t>
      </w:r>
      <w:r w:rsidR="00CA3E66">
        <w:t>, will fall behind other OECD countries</w:t>
      </w:r>
      <w:r>
        <w:t>.</w:t>
      </w:r>
      <w:r w:rsidR="00CA3E66">
        <w:t xml:space="preserve"> Nevertheless, creating an</w:t>
      </w:r>
      <w:r w:rsidR="00F37939">
        <w:t xml:space="preserve"> innovative </w:t>
      </w:r>
      <w:r w:rsidR="00CA3E66">
        <w:t xml:space="preserve">and robust infrastructure </w:t>
      </w:r>
      <w:r w:rsidR="00F37939">
        <w:t xml:space="preserve">funding models </w:t>
      </w:r>
      <w:r w:rsidR="00CA3E66">
        <w:t>is a theoretical alternative.</w:t>
      </w:r>
      <w:r w:rsidR="00F37939">
        <w:t xml:space="preserve"> </w:t>
      </w:r>
      <w:r w:rsidR="00CA3E66">
        <w:t>Incentives may be used to redirect money streams voluntarily rather than compulsory.</w:t>
      </w:r>
      <w:r w:rsidR="00F37939">
        <w:t xml:space="preserve">  </w:t>
      </w:r>
      <w:r w:rsidR="008740E7">
        <w:t xml:space="preserve">As </w:t>
      </w:r>
      <w:r w:rsidR="00947D96">
        <w:t>such,</w:t>
      </w:r>
      <w:r w:rsidR="008740E7">
        <w:t xml:space="preserve"> </w:t>
      </w:r>
      <w:r w:rsidR="00947D96">
        <w:t>bond issues rather than taxation can fund the financing of infrastructure and other public goods</w:t>
      </w:r>
      <w:r w:rsidR="008740E7">
        <w:t>.</w:t>
      </w:r>
      <w:r w:rsidR="00F37939">
        <w:t xml:space="preserve">   </w:t>
      </w:r>
    </w:p>
    <w:p w:rsidR="00921845" w:rsidRDefault="00F37939" w:rsidP="00921845">
      <w:r>
        <w:t xml:space="preserve">Asset sell offs, like Telstra, QANTAS, and Commonwealth Bank have deprived the Federal Government of income streams that could have been used to fund new infrastructure. </w:t>
      </w:r>
      <w:r w:rsidR="003827A1">
        <w:t xml:space="preserve">In addition, </w:t>
      </w:r>
      <w:r w:rsidR="00921845">
        <w:t xml:space="preserve">toll way contracts </w:t>
      </w:r>
      <w:r w:rsidR="003827A1">
        <w:t xml:space="preserve">seemed to </w:t>
      </w:r>
      <w:r w:rsidR="00921845">
        <w:t>have passed income taxation deductions benefits to corporations</w:t>
      </w:r>
      <w:r w:rsidR="003827A1">
        <w:t>, and reduced the state cost</w:t>
      </w:r>
      <w:r w:rsidR="00921845">
        <w:t xml:space="preserve">. </w:t>
      </w:r>
      <w:r w:rsidR="003827A1">
        <w:t>Hidden State to Federal b</w:t>
      </w:r>
      <w:r w:rsidR="00921845">
        <w:t>urden shifting seems to be a</w:t>
      </w:r>
      <w:r w:rsidR="003827A1">
        <w:t>n everyday</w:t>
      </w:r>
      <w:r w:rsidR="00921845">
        <w:t xml:space="preserve"> character of th</w:t>
      </w:r>
      <w:r w:rsidR="003827A1">
        <w:t>e current policy for infrastructure financing</w:t>
      </w:r>
      <w:r w:rsidR="00921845">
        <w:t xml:space="preserve">. </w:t>
      </w:r>
      <w:r w:rsidR="003827A1">
        <w:t xml:space="preserve">Ultimately, citizens pay and they do not know how much it has cost. </w:t>
      </w:r>
      <w:r w:rsidR="00921845">
        <w:t xml:space="preserve">       </w:t>
      </w:r>
    </w:p>
    <w:p w:rsidR="00F37939" w:rsidRDefault="00F37939" w:rsidP="00F37939">
      <w:r>
        <w:t>The principle task to supply infrastructure, like roads, rails, ports, hospitals, schools, and aged care, is correctly the duty of our State and Federal Government</w:t>
      </w:r>
      <w:r w:rsidR="003827A1">
        <w:t>s</w:t>
      </w:r>
      <w:r>
        <w:t xml:space="preserve">. </w:t>
      </w:r>
      <w:r w:rsidR="003827A1">
        <w:t>Successive governments</w:t>
      </w:r>
      <w:r>
        <w:t xml:space="preserve"> have chosen to collect insufficient tax to </w:t>
      </w:r>
      <w:r w:rsidR="00D007B4">
        <w:t>finance</w:t>
      </w:r>
      <w:r>
        <w:t xml:space="preserve"> this task</w:t>
      </w:r>
      <w:r w:rsidR="00D007B4">
        <w:t>. This</w:t>
      </w:r>
      <w:r>
        <w:t xml:space="preserve"> is a political </w:t>
      </w:r>
      <w:r w:rsidR="00947D96">
        <w:t>reality. A low taxing government is popular because of the electors’ focus on short-term gain, and that the power shift</w:t>
      </w:r>
      <w:r w:rsidR="003827A1">
        <w:t xml:space="preserve"> and cost</w:t>
      </w:r>
      <w:r w:rsidR="00947D96">
        <w:t xml:space="preserve"> is not transparent.</w:t>
      </w:r>
      <w:r>
        <w:t xml:space="preserve">  </w:t>
      </w:r>
    </w:p>
    <w:p w:rsidR="00F37939" w:rsidRDefault="00D007B4" w:rsidP="00F37939">
      <w:r>
        <w:t>It is clear that i</w:t>
      </w:r>
      <w:r w:rsidR="00CA3E66">
        <w:t xml:space="preserve">ncome streams from </w:t>
      </w:r>
      <w:r w:rsidR="00F37939">
        <w:t xml:space="preserve">taxation is not </w:t>
      </w:r>
      <w:r w:rsidR="00CA3E66">
        <w:t xml:space="preserve">suitable </w:t>
      </w:r>
      <w:r w:rsidR="00F37939">
        <w:t xml:space="preserve">to </w:t>
      </w:r>
      <w:r>
        <w:t xml:space="preserve">fully </w:t>
      </w:r>
      <w:r w:rsidR="00F37939">
        <w:t>fund all public infrastructure</w:t>
      </w:r>
      <w:r w:rsidR="00795FF1">
        <w:t xml:space="preserve"> is a political reality</w:t>
      </w:r>
      <w:r w:rsidR="00CA3E66">
        <w:t>.</w:t>
      </w:r>
      <w:r w:rsidR="00795FF1">
        <w:t xml:space="preserve"> Because of this,</w:t>
      </w:r>
      <w:r w:rsidR="00F37939">
        <w:t xml:space="preserve"> the government need</w:t>
      </w:r>
      <w:r w:rsidR="00795FF1">
        <w:t>s</w:t>
      </w:r>
      <w:r w:rsidR="00F37939">
        <w:t xml:space="preserve"> to develop alternative fair and equitable money streams to provide for the peoples’ needs. </w:t>
      </w:r>
      <w:r w:rsidR="00795FF1">
        <w:t>My proposed infrastructure bonds fill this need.</w:t>
      </w:r>
    </w:p>
    <w:p w:rsidR="00F37939" w:rsidRDefault="00921845" w:rsidP="00F37939">
      <w:r>
        <w:t xml:space="preserve">I hope that your final report will </w:t>
      </w:r>
      <w:r w:rsidR="00F37939">
        <w:t>treat</w:t>
      </w:r>
      <w:r>
        <w:t xml:space="preserve"> infrastructure </w:t>
      </w:r>
      <w:r w:rsidR="00F37939">
        <w:t>user as significant and interested parties in the commissioning of public infrastructure</w:t>
      </w:r>
      <w:r w:rsidR="00D007B4">
        <w:t>.</w:t>
      </w:r>
      <w:r w:rsidR="00F37939">
        <w:t xml:space="preserve"> </w:t>
      </w:r>
      <w:r w:rsidR="00795FF1">
        <w:t>Users pay</w:t>
      </w:r>
      <w:r w:rsidR="00F37939">
        <w:t xml:space="preserve"> for this infrastructure</w:t>
      </w:r>
      <w:r w:rsidR="00795FF1">
        <w:t xml:space="preserve">. </w:t>
      </w:r>
      <w:r w:rsidR="004B1A9B">
        <w:t>Currently t</w:t>
      </w:r>
      <w:r w:rsidR="00795FF1">
        <w:t>he benefit</w:t>
      </w:r>
      <w:r w:rsidR="00D007B4">
        <w:t xml:space="preserve"> goes to</w:t>
      </w:r>
      <w:r w:rsidR="00795FF1">
        <w:t xml:space="preserve"> the government</w:t>
      </w:r>
      <w:r w:rsidR="00D007B4">
        <w:t>,</w:t>
      </w:r>
      <w:r w:rsidR="00795FF1">
        <w:t xml:space="preserve"> </w:t>
      </w:r>
      <w:r w:rsidR="00D007B4">
        <w:t>because taxation is unpopular</w:t>
      </w:r>
      <w:r w:rsidR="004B1A9B">
        <w:t xml:space="preserve">. They have been using the </w:t>
      </w:r>
      <w:r w:rsidR="00795FF1">
        <w:t>private sector as an agent of government</w:t>
      </w:r>
      <w:r w:rsidR="004B1A9B">
        <w:t xml:space="preserve"> to hide tax</w:t>
      </w:r>
      <w:r w:rsidR="00D007B4">
        <w:t xml:space="preserve">. </w:t>
      </w:r>
      <w:r w:rsidR="004B1A9B">
        <w:t>I</w:t>
      </w:r>
      <w:r w:rsidR="00D007B4">
        <w:t xml:space="preserve">f </w:t>
      </w:r>
      <w:r>
        <w:t xml:space="preserve">government does not tax, but grants tolls and other guaranteed levy to corporations, </w:t>
      </w:r>
      <w:r w:rsidR="00D007B4">
        <w:t xml:space="preserve">there is less taxation, but </w:t>
      </w:r>
      <w:r>
        <w:t>shift</w:t>
      </w:r>
      <w:r w:rsidR="00D007B4">
        <w:t>ing</w:t>
      </w:r>
      <w:r>
        <w:t xml:space="preserve"> </w:t>
      </w:r>
      <w:r w:rsidR="00D007B4">
        <w:t>revenue</w:t>
      </w:r>
      <w:r>
        <w:t xml:space="preserve"> rights to the private sector</w:t>
      </w:r>
      <w:r w:rsidR="00D007B4">
        <w:t xml:space="preserve"> is i</w:t>
      </w:r>
      <w:r w:rsidR="00F37939">
        <w:t xml:space="preserve">n </w:t>
      </w:r>
      <w:r w:rsidR="00795FF1">
        <w:t>reality</w:t>
      </w:r>
      <w:r w:rsidR="00947D96">
        <w:t xml:space="preserve"> </w:t>
      </w:r>
      <w:r>
        <w:t xml:space="preserve">just </w:t>
      </w:r>
      <w:r w:rsidR="00F37939">
        <w:t xml:space="preserve">a </w:t>
      </w:r>
      <w:r w:rsidR="00D007B4">
        <w:t xml:space="preserve">way to </w:t>
      </w:r>
      <w:r w:rsidR="00F37939">
        <w:t>disguise tax.</w:t>
      </w:r>
      <w:r w:rsidR="00D007B4">
        <w:t xml:space="preserve"> </w:t>
      </w:r>
    </w:p>
    <w:p w:rsidR="00F37939" w:rsidRDefault="00921845" w:rsidP="00F37939">
      <w:r>
        <w:t xml:space="preserve">Can you detail in the final report </w:t>
      </w:r>
      <w:r w:rsidR="00F37939">
        <w:t xml:space="preserve">how much ‘hidden tax’ are state and federal government </w:t>
      </w:r>
      <w:r>
        <w:t>taking</w:t>
      </w:r>
      <w:r w:rsidR="00F37939">
        <w:t xml:space="preserve"> off the balance </w:t>
      </w:r>
      <w:r>
        <w:t xml:space="preserve">sheet through the granting of </w:t>
      </w:r>
      <w:r w:rsidR="004B1A9B">
        <w:t xml:space="preserve">these </w:t>
      </w:r>
      <w:r>
        <w:t>monopoly rights?</w:t>
      </w:r>
    </w:p>
    <w:p w:rsidR="00F37939" w:rsidRDefault="00296E90" w:rsidP="00F37939">
      <w:r>
        <w:lastRenderedPageBreak/>
        <w:t>L</w:t>
      </w:r>
      <w:r w:rsidR="00F37939">
        <w:t xml:space="preserve">ike </w:t>
      </w:r>
      <w:r w:rsidR="00921845">
        <w:t xml:space="preserve">many other </w:t>
      </w:r>
      <w:r w:rsidR="00F37939">
        <w:t xml:space="preserve">of the 12 million Australian workforce, </w:t>
      </w:r>
      <w:r>
        <w:t xml:space="preserve">people aged 45-60 </w:t>
      </w:r>
      <w:r w:rsidR="00F37939">
        <w:t xml:space="preserve">have been </w:t>
      </w:r>
      <w:r w:rsidR="00E83A70">
        <w:t xml:space="preserve">more </w:t>
      </w:r>
      <w:r w:rsidR="00F37939">
        <w:t xml:space="preserve">actively engaged in retirement saving. </w:t>
      </w:r>
      <w:r w:rsidR="004B1A9B">
        <w:t xml:space="preserve">Those </w:t>
      </w:r>
      <w:r w:rsidR="00F37939">
        <w:t>fortunate to have the economic capacity to save over the compulsory super guarantee level</w:t>
      </w:r>
      <w:r w:rsidR="004B1A9B">
        <w:t xml:space="preserve"> look for l</w:t>
      </w:r>
      <w:r w:rsidR="00F37939">
        <w:t>ow risk and tax effective options.</w:t>
      </w:r>
      <w:r>
        <w:t xml:space="preserve"> The approaching age of retirement, means people 45-60 want better opportunities than are now available.</w:t>
      </w:r>
      <w:r w:rsidR="00F37939">
        <w:t xml:space="preserve"> I believe the </w:t>
      </w:r>
      <w:r>
        <w:t xml:space="preserve">current </w:t>
      </w:r>
      <w:r w:rsidR="00F37939">
        <w:t xml:space="preserve">market </w:t>
      </w:r>
      <w:r>
        <w:t>has a too large macroeconomic cost</w:t>
      </w:r>
      <w:r w:rsidR="00F37939">
        <w:t xml:space="preserve">. </w:t>
      </w:r>
      <w:r>
        <w:t xml:space="preserve">People </w:t>
      </w:r>
      <w:r w:rsidR="00F37939">
        <w:t xml:space="preserve">can </w:t>
      </w:r>
      <w:r>
        <w:t xml:space="preserve">increase </w:t>
      </w:r>
      <w:r w:rsidR="00F37939">
        <w:t>negatively gear</w:t>
      </w:r>
      <w:r w:rsidR="00E83A70">
        <w:t>ed</w:t>
      </w:r>
      <w:r w:rsidR="00F37939">
        <w:t xml:space="preserve"> re</w:t>
      </w:r>
      <w:r>
        <w:t>ntal</w:t>
      </w:r>
      <w:r w:rsidR="00F37939">
        <w:t xml:space="preserve"> property investments, </w:t>
      </w:r>
      <w:r w:rsidR="00947D96">
        <w:t>(</w:t>
      </w:r>
      <w:r w:rsidR="00F37939">
        <w:t xml:space="preserve">and inflate </w:t>
      </w:r>
      <w:r w:rsidR="00947D96">
        <w:t>home</w:t>
      </w:r>
      <w:r w:rsidR="00F37939">
        <w:t xml:space="preserve"> prices</w:t>
      </w:r>
      <w:r w:rsidR="00947D96">
        <w:t>)</w:t>
      </w:r>
      <w:r w:rsidR="00F37939">
        <w:t xml:space="preserve">, or make </w:t>
      </w:r>
      <w:r>
        <w:t xml:space="preserve">deductible personal </w:t>
      </w:r>
      <w:r w:rsidR="00F37939">
        <w:t xml:space="preserve">contributions or salary sacrifice </w:t>
      </w:r>
      <w:r>
        <w:t xml:space="preserve">to </w:t>
      </w:r>
      <w:r w:rsidR="00F37939">
        <w:t xml:space="preserve">super, </w:t>
      </w:r>
      <w:r w:rsidR="00947D96">
        <w:t>(</w:t>
      </w:r>
      <w:r w:rsidR="00F37939">
        <w:t xml:space="preserve">and </w:t>
      </w:r>
      <w:r w:rsidR="004B1A9B">
        <w:t xml:space="preserve">have super funds </w:t>
      </w:r>
      <w:r w:rsidR="00F37939">
        <w:t>inflate share prices of blue ribbons corporations</w:t>
      </w:r>
      <w:r w:rsidR="00947D96">
        <w:t>)</w:t>
      </w:r>
      <w:r w:rsidR="00F37939">
        <w:t>.</w:t>
      </w:r>
    </w:p>
    <w:p w:rsidR="00F37939" w:rsidRDefault="00F37939" w:rsidP="00F37939">
      <w:r>
        <w:t xml:space="preserve">I am concerned that the superannuation market lacks competition and is inefficient because of the uncertainty of individual </w:t>
      </w:r>
      <w:r w:rsidR="00795FF1">
        <w:t>long-term</w:t>
      </w:r>
      <w:r>
        <w:t xml:space="preserve"> investment and variability risk for </w:t>
      </w:r>
      <w:r w:rsidR="00F67B48">
        <w:t xml:space="preserve">future </w:t>
      </w:r>
      <w:r>
        <w:t>income stream</w:t>
      </w:r>
      <w:r w:rsidR="00F67B48">
        <w:t>s</w:t>
      </w:r>
      <w:r>
        <w:t xml:space="preserve">. </w:t>
      </w:r>
      <w:r w:rsidR="00947D96">
        <w:t xml:space="preserve">Having shifted the </w:t>
      </w:r>
      <w:r w:rsidR="00296E90">
        <w:t xml:space="preserve">retirement </w:t>
      </w:r>
      <w:r w:rsidR="00947D96">
        <w:t xml:space="preserve">risk to retirees </w:t>
      </w:r>
      <w:r w:rsidR="00296E90">
        <w:t xml:space="preserve">by the </w:t>
      </w:r>
      <w:r w:rsidR="00947D96">
        <w:t xml:space="preserve">change from defined benefit to </w:t>
      </w:r>
      <w:r w:rsidR="00296E90">
        <w:t xml:space="preserve">accumulation </w:t>
      </w:r>
      <w:r w:rsidR="00947D96">
        <w:t>account based super</w:t>
      </w:r>
      <w:r w:rsidR="00296E90">
        <w:t>,</w:t>
      </w:r>
      <w:r w:rsidR="00947D96">
        <w:t xml:space="preserve"> government policy </w:t>
      </w:r>
      <w:r w:rsidR="00296E90">
        <w:t xml:space="preserve">now </w:t>
      </w:r>
      <w:r w:rsidR="00947D96">
        <w:t xml:space="preserve">needs to provide greater certainty about the </w:t>
      </w:r>
      <w:r w:rsidR="00296E90">
        <w:t>long-term</w:t>
      </w:r>
      <w:r w:rsidR="00947D96">
        <w:t xml:space="preserve"> returns for retirement income streams. </w:t>
      </w:r>
      <w:r w:rsidR="00921845">
        <w:t>An</w:t>
      </w:r>
      <w:r w:rsidR="00947D96">
        <w:t xml:space="preserve"> infrastructure bond issue gives this certainty</w:t>
      </w:r>
      <w:r w:rsidR="00921845">
        <w:t xml:space="preserve"> to retirees</w:t>
      </w:r>
      <w:r w:rsidR="00947D96">
        <w:t xml:space="preserve">. </w:t>
      </w:r>
    </w:p>
    <w:p w:rsidR="00F37939" w:rsidRDefault="00F37939" w:rsidP="00F37939">
      <w:r>
        <w:t>Because retirement presents the potential of a period of diminished capacity, I fear exploitation in old age.  I can share the risk with my spouse, but actuaries tell me that the larger the risk sharing the greater the certainty and lower the individual risk.</w:t>
      </w:r>
    </w:p>
    <w:p w:rsidR="00F37939" w:rsidRDefault="00F37939" w:rsidP="00F37939">
      <w:r>
        <w:t xml:space="preserve">Because of franking credits, discounted capital gains, or concessional taxation of super, most retirement saving choices pass a taxation burden to fellow citizens. </w:t>
      </w:r>
      <w:r w:rsidR="00921845">
        <w:t xml:space="preserve">Citizens are entitled to a fair return for these tax concessions. </w:t>
      </w:r>
      <w:r w:rsidR="003827A1">
        <w:t>New i</w:t>
      </w:r>
      <w:r w:rsidR="00921845">
        <w:t>nfrastructure financing</w:t>
      </w:r>
      <w:r w:rsidR="003827A1">
        <w:t xml:space="preserve"> would be one such return from infrastructure bonds.</w:t>
      </w:r>
      <w:r w:rsidR="00921845">
        <w:t xml:space="preserve"> </w:t>
      </w:r>
      <w:r w:rsidR="004B1A9B">
        <w:t>This in addition to a more efficient retirement saving market would</w:t>
      </w:r>
      <w:r w:rsidR="00791DA7">
        <w:t xml:space="preserve"> completely </w:t>
      </w:r>
      <w:r w:rsidR="004B1A9B">
        <w:t>justify government intervention</w:t>
      </w:r>
      <w:r w:rsidR="00791DA7">
        <w:t xml:space="preserve"> in this market</w:t>
      </w:r>
      <w:r w:rsidR="004B1A9B">
        <w:t>.</w:t>
      </w:r>
    </w:p>
    <w:p w:rsidR="00B5112C" w:rsidRDefault="00F37939" w:rsidP="00F37939">
      <w:r>
        <w:t>I would like to have the capacity to purchase infrastructure government bonds with inflation protect</w:t>
      </w:r>
      <w:r w:rsidR="004B1A9B">
        <w:t>ion</w:t>
      </w:r>
      <w:r>
        <w:t>, lifetime</w:t>
      </w:r>
      <w:r w:rsidR="00B5112C">
        <w:t xml:space="preserve"> </w:t>
      </w:r>
      <w:r w:rsidR="004B1A9B">
        <w:t>cover</w:t>
      </w:r>
      <w:r>
        <w:t>, capital protect</w:t>
      </w:r>
      <w:r w:rsidR="00B5112C">
        <w:t>ion</w:t>
      </w:r>
      <w:r>
        <w:t xml:space="preserve">, </w:t>
      </w:r>
      <w:r w:rsidR="00B5112C">
        <w:t xml:space="preserve">and an </w:t>
      </w:r>
      <w:r>
        <w:t xml:space="preserve">income stream that commence when </w:t>
      </w:r>
      <w:r w:rsidR="00E06739">
        <w:t>the owner</w:t>
      </w:r>
      <w:r>
        <w:t xml:space="preserve"> turn 60.  Such a product would require the capacity to deliver </w:t>
      </w:r>
      <w:r w:rsidR="00E06739">
        <w:t xml:space="preserve">lifetime </w:t>
      </w:r>
      <w:r>
        <w:t xml:space="preserve">non-assessable non-exempt income when </w:t>
      </w:r>
      <w:r w:rsidR="00E06739">
        <w:t>the purchaser</w:t>
      </w:r>
      <w:r>
        <w:t xml:space="preserve"> turn</w:t>
      </w:r>
      <w:r w:rsidR="00E06739">
        <w:t>s</w:t>
      </w:r>
      <w:r>
        <w:t xml:space="preserve"> 60 to be a substitute</w:t>
      </w:r>
      <w:r w:rsidR="00E06739">
        <w:t xml:space="preserve"> for current super products</w:t>
      </w:r>
      <w:r w:rsidR="00B5112C">
        <w:t xml:space="preserve">. Government underwriting and law changes are required for such a long-term product. </w:t>
      </w:r>
    </w:p>
    <w:p w:rsidR="00F37939" w:rsidRDefault="00B5112C" w:rsidP="00F37939">
      <w:r>
        <w:t>I think that bonds should target workers aged 45 to 60. They should have a maximum lifetime contribution cap to</w:t>
      </w:r>
      <w:r w:rsidR="00E83A70">
        <w:t xml:space="preserve"> limit </w:t>
      </w:r>
      <w:r>
        <w:t>government</w:t>
      </w:r>
      <w:r w:rsidR="00E83A70">
        <w:t>’</w:t>
      </w:r>
      <w:r>
        <w:t>s</w:t>
      </w:r>
      <w:r w:rsidR="00E83A70">
        <w:t xml:space="preserve"> potential future risk</w:t>
      </w:r>
      <w:r>
        <w:t xml:space="preserve">. They should reduce aged pension payments, but not all retiree entitlements. </w:t>
      </w:r>
    </w:p>
    <w:p w:rsidR="00F37939" w:rsidRDefault="00F37939" w:rsidP="00F37939">
      <w:r>
        <w:t xml:space="preserve">I believe that potentially $14 billion is available for tax effective government infrastructure bonds each year. </w:t>
      </w:r>
      <w:r w:rsidR="00B5112C">
        <w:br/>
      </w:r>
      <w:r w:rsidRPr="00F37939">
        <w:rPr>
          <w:lang w:val="en-AU"/>
        </w:rPr>
        <w:t xml:space="preserve">- About 1/4 million people would invest $25,000 and </w:t>
      </w:r>
      <w:r w:rsidR="00B5112C">
        <w:rPr>
          <w:lang w:val="en-AU"/>
        </w:rPr>
        <w:br/>
      </w:r>
      <w:r w:rsidR="00B5112C">
        <w:t>- About</w:t>
      </w:r>
      <w:r>
        <w:t xml:space="preserve"> 3/4 million people would invest on average $10,000, each year, </w:t>
      </w:r>
      <w:r w:rsidR="00B5112C">
        <w:br/>
        <w:t xml:space="preserve">- </w:t>
      </w:r>
      <w:r>
        <w:t xml:space="preserve">Workers in the age range of 45-60 would have a competitive investment option to superannuation. </w:t>
      </w:r>
      <w:r w:rsidR="00B5112C">
        <w:br/>
      </w:r>
      <w:r>
        <w:t>(</w:t>
      </w:r>
      <w:r w:rsidR="00B5112C">
        <w:t xml:space="preserve">Estimated from </w:t>
      </w:r>
      <w:r>
        <w:t xml:space="preserve">published </w:t>
      </w:r>
      <w:r w:rsidR="00B5112C">
        <w:t xml:space="preserve">population and </w:t>
      </w:r>
      <w:r>
        <w:t>super saving information.)</w:t>
      </w:r>
    </w:p>
    <w:p w:rsidR="00F37939" w:rsidRPr="00F37939" w:rsidRDefault="0058704B" w:rsidP="00F37939">
      <w:pPr>
        <w:rPr>
          <w:lang w:val="en-AU"/>
        </w:rPr>
      </w:pPr>
      <w:r>
        <w:t>Can your final report answer if</w:t>
      </w:r>
      <w:r w:rsidR="00F37939">
        <w:t xml:space="preserve"> </w:t>
      </w:r>
      <w:r w:rsidR="004F4539">
        <w:t xml:space="preserve">is </w:t>
      </w:r>
      <w:r>
        <w:t xml:space="preserve">it in the public interest for </w:t>
      </w:r>
      <w:r w:rsidR="00F37939">
        <w:t xml:space="preserve">the government to underwrite </w:t>
      </w:r>
      <w:r>
        <w:t xml:space="preserve">or issue </w:t>
      </w:r>
      <w:r w:rsidR="00F37939">
        <w:t>infrastructure bonds to mature workers</w:t>
      </w:r>
      <w:r>
        <w:t>,</w:t>
      </w:r>
      <w:r w:rsidR="00F37939">
        <w:t xml:space="preserve"> t</w:t>
      </w:r>
      <w:r>
        <w:t>o</w:t>
      </w:r>
      <w:r w:rsidR="00F37939">
        <w:t xml:space="preserve"> improve market competition for retirement income </w:t>
      </w:r>
      <w:r>
        <w:t>streams?</w:t>
      </w:r>
    </w:p>
    <w:p w:rsidR="006E71EF" w:rsidRDefault="00A01B57" w:rsidP="0058704B">
      <w:pPr>
        <w:pStyle w:val="Closing"/>
        <w:spacing w:before="240" w:after="240"/>
      </w:pPr>
      <w:r>
        <w:t>R</w:t>
      </w:r>
      <w:r w:rsidR="00BE4140">
        <w:t>egards,</w:t>
      </w:r>
    </w:p>
    <w:sdt>
      <w:sdtPr>
        <w:alias w:val="Your Name"/>
        <w:tag w:val=""/>
        <w:id w:val="1197042864"/>
        <w:placeholder>
          <w:docPart w:val="13A798A7AA054B26BAE48EC6A2A14AE6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6E71EF" w:rsidRDefault="00810BE5" w:rsidP="0058704B">
          <w:pPr>
            <w:pStyle w:val="Signature"/>
            <w:spacing w:after="0"/>
          </w:pPr>
          <w:r>
            <w:rPr>
              <w:lang w:val="en-AU"/>
            </w:rPr>
            <w:t>I M Gillard</w:t>
          </w:r>
        </w:p>
      </w:sdtContent>
    </w:sdt>
    <w:sectPr w:rsidR="006E71EF">
      <w:footerReference w:type="default" r:id="rId10"/>
      <w:pgSz w:w="12240" w:h="15840" w:code="1"/>
      <w:pgMar w:top="2736" w:right="1080" w:bottom="1080" w:left="108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132" w:rsidRDefault="00FF5132">
      <w:pPr>
        <w:spacing w:before="0" w:after="0" w:line="240" w:lineRule="auto"/>
      </w:pPr>
      <w:r>
        <w:separator/>
      </w:r>
    </w:p>
  </w:endnote>
  <w:endnote w:type="continuationSeparator" w:id="0">
    <w:p w:rsidR="00FF5132" w:rsidRDefault="00FF513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1EF" w:rsidRDefault="00BE4140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86378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132" w:rsidRDefault="00FF5132">
      <w:pPr>
        <w:spacing w:before="0" w:after="0" w:line="240" w:lineRule="auto"/>
      </w:pPr>
      <w:r>
        <w:separator/>
      </w:r>
    </w:p>
  </w:footnote>
  <w:footnote w:type="continuationSeparator" w:id="0">
    <w:p w:rsidR="00FF5132" w:rsidRDefault="00FF5132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1F"/>
    <w:rsid w:val="0016003F"/>
    <w:rsid w:val="001F3D1F"/>
    <w:rsid w:val="002409EE"/>
    <w:rsid w:val="00282950"/>
    <w:rsid w:val="00296E90"/>
    <w:rsid w:val="003827A1"/>
    <w:rsid w:val="003F0261"/>
    <w:rsid w:val="00443725"/>
    <w:rsid w:val="004B1A9B"/>
    <w:rsid w:val="004F4539"/>
    <w:rsid w:val="0058704B"/>
    <w:rsid w:val="006E71EF"/>
    <w:rsid w:val="00791DA7"/>
    <w:rsid w:val="00795FF1"/>
    <w:rsid w:val="00810BE5"/>
    <w:rsid w:val="0086378D"/>
    <w:rsid w:val="008740E7"/>
    <w:rsid w:val="008B4DED"/>
    <w:rsid w:val="00921845"/>
    <w:rsid w:val="00947D96"/>
    <w:rsid w:val="00A01B57"/>
    <w:rsid w:val="00A47A23"/>
    <w:rsid w:val="00B5112C"/>
    <w:rsid w:val="00BC0CD4"/>
    <w:rsid w:val="00BE4140"/>
    <w:rsid w:val="00CA3E66"/>
    <w:rsid w:val="00D007B4"/>
    <w:rsid w:val="00E06739"/>
    <w:rsid w:val="00E83A70"/>
    <w:rsid w:val="00EC157A"/>
    <w:rsid w:val="00F37939"/>
    <w:rsid w:val="00F67B48"/>
    <w:rsid w:val="00F9156B"/>
    <w:rsid w:val="00FF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 w:qFormat="1"/>
    <w:lsdException w:name="footer" w:qFormat="1"/>
    <w:lsdException w:name="caption" w:uiPriority="35" w:qFormat="1"/>
    <w:lsdException w:name="Title" w:semiHidden="0" w:uiPriority="10" w:unhideWhenUsed="0" w:qFormat="1"/>
    <w:lsdException w:name="Closing" w:uiPriority="0" w:qFormat="1"/>
    <w:lsdException w:name="Signature" w:qFormat="1"/>
    <w:lsdException w:name="Default Paragraph Font" w:uiPriority="1"/>
    <w:lsdException w:name="Body Text" w:uiPriority="1" w:qFormat="1"/>
    <w:lsdException w:name="Subtitle" w:uiPriority="11" w:qFormat="1"/>
    <w:lsdException w:name="Salutation" w:qFormat="1"/>
    <w:lsdException w:name="Date" w:qFormat="1"/>
    <w:lsdException w:name="Strong" w:uiPriority="1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pageBreakBefore/>
      <w:spacing w:before="0"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LetterheadTable">
    <w:name w:val="Letterhead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FinancialTable">
    <w:name w:val="Financial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1"/>
    <w:qFormat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DateChar">
    <w:name w:val="Date Char"/>
    <w:basedOn w:val="DefaultParagraphFont"/>
    <w:link w:val="Date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Recipient">
    <w:name w:val="Recipient"/>
    <w:basedOn w:val="Normal"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1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1"/>
    <w:rPr>
      <w:kern w:val="20"/>
    </w:rPr>
  </w:style>
  <w:style w:type="paragraph" w:styleId="Closing">
    <w:name w:val="Closing"/>
    <w:basedOn w:val="Normal"/>
    <w:link w:val="ClosingChar"/>
    <w:uiPriority w:val="1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1"/>
    <w:rPr>
      <w:kern w:val="20"/>
    </w:rPr>
  </w:style>
  <w:style w:type="paragraph" w:styleId="Signature">
    <w:name w:val="Signature"/>
    <w:basedOn w:val="Normal"/>
    <w:link w:val="SignatureChar"/>
    <w:uiPriority w:val="1"/>
    <w:unhideWhenUsed/>
    <w:qFormat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1"/>
    <w:rPr>
      <w:b/>
      <w:bCs/>
      <w:kern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character" w:styleId="Hyperlink">
    <w:name w:val="Hyperlink"/>
    <w:basedOn w:val="DefaultParagraphFont"/>
    <w:uiPriority w:val="99"/>
    <w:unhideWhenUsed/>
    <w:rsid w:val="004F4539"/>
    <w:rPr>
      <w:color w:val="646464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95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950"/>
    <w:rPr>
      <w:rFonts w:ascii="Segoe UI" w:hAnsi="Segoe UI" w:cs="Segoe UI"/>
      <w:kern w:val="2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 w:qFormat="1"/>
    <w:lsdException w:name="footer" w:qFormat="1"/>
    <w:lsdException w:name="caption" w:uiPriority="35" w:qFormat="1"/>
    <w:lsdException w:name="Title" w:semiHidden="0" w:uiPriority="10" w:unhideWhenUsed="0" w:qFormat="1"/>
    <w:lsdException w:name="Closing" w:uiPriority="0" w:qFormat="1"/>
    <w:lsdException w:name="Signature" w:qFormat="1"/>
    <w:lsdException w:name="Default Paragraph Font" w:uiPriority="1"/>
    <w:lsdException w:name="Body Text" w:uiPriority="1" w:qFormat="1"/>
    <w:lsdException w:name="Subtitle" w:uiPriority="11" w:qFormat="1"/>
    <w:lsdException w:name="Salutation" w:qFormat="1"/>
    <w:lsdException w:name="Date" w:qFormat="1"/>
    <w:lsdException w:name="Strong" w:uiPriority="1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pageBreakBefore/>
      <w:spacing w:before="0"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LetterheadTable">
    <w:name w:val="Letterhead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FinancialTable">
    <w:name w:val="Financial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1"/>
    <w:qFormat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DateChar">
    <w:name w:val="Date Char"/>
    <w:basedOn w:val="DefaultParagraphFont"/>
    <w:link w:val="Date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Recipient">
    <w:name w:val="Recipient"/>
    <w:basedOn w:val="Normal"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1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1"/>
    <w:rPr>
      <w:kern w:val="20"/>
    </w:rPr>
  </w:style>
  <w:style w:type="paragraph" w:styleId="Closing">
    <w:name w:val="Closing"/>
    <w:basedOn w:val="Normal"/>
    <w:link w:val="ClosingChar"/>
    <w:uiPriority w:val="1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1"/>
    <w:rPr>
      <w:kern w:val="20"/>
    </w:rPr>
  </w:style>
  <w:style w:type="paragraph" w:styleId="Signature">
    <w:name w:val="Signature"/>
    <w:basedOn w:val="Normal"/>
    <w:link w:val="SignatureChar"/>
    <w:uiPriority w:val="1"/>
    <w:unhideWhenUsed/>
    <w:qFormat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1"/>
    <w:rPr>
      <w:b/>
      <w:bCs/>
      <w:kern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character" w:styleId="Hyperlink">
    <w:name w:val="Hyperlink"/>
    <w:basedOn w:val="DefaultParagraphFont"/>
    <w:uiPriority w:val="99"/>
    <w:unhideWhenUsed/>
    <w:rsid w:val="004F4539"/>
    <w:rPr>
      <w:color w:val="646464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95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950"/>
    <w:rPr>
      <w:rFonts w:ascii="Segoe UI" w:hAnsi="Segoe UI" w:cs="Segoe UI"/>
      <w:kern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3A798A7AA054B26BAE48EC6A2A14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B553F-FA9D-4224-B102-CCDB34C43CDB}"/>
      </w:docPartPr>
      <w:docPartBody>
        <w:p w:rsidR="00635C62" w:rsidRDefault="00915911">
          <w:pPr>
            <w:pStyle w:val="13A798A7AA054B26BAE48EC6A2A14AE6"/>
          </w:pPr>
          <w:r>
            <w:rPr>
              <w:b/>
              <w:bCs/>
            </w:rP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911"/>
    <w:rsid w:val="00140996"/>
    <w:rsid w:val="00635C62"/>
    <w:rsid w:val="008771E7"/>
    <w:rsid w:val="0091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E8D3E0AFDDF43309CEA2E06607C286D">
    <w:name w:val="7E8D3E0AFDDF43309CEA2E06607C286D"/>
  </w:style>
  <w:style w:type="paragraph" w:customStyle="1" w:styleId="787CE5E43B024A54BA9BF1D4FCE974C3">
    <w:name w:val="787CE5E43B024A54BA9BF1D4FCE974C3"/>
  </w:style>
  <w:style w:type="paragraph" w:customStyle="1" w:styleId="32164A06D4F546ACA944411D22987ED8">
    <w:name w:val="32164A06D4F546ACA944411D22987ED8"/>
  </w:style>
  <w:style w:type="paragraph" w:customStyle="1" w:styleId="BE5A9CD16CA44D1195A1D1FE5B9CDEA4">
    <w:name w:val="BE5A9CD16CA44D1195A1D1FE5B9CDEA4"/>
  </w:style>
  <w:style w:type="paragraph" w:customStyle="1" w:styleId="3103143E1D1F49B88CDABE682C835CB2">
    <w:name w:val="3103143E1D1F49B88CDABE682C835CB2"/>
  </w:style>
  <w:style w:type="paragraph" w:customStyle="1" w:styleId="13A798A7AA054B26BAE48EC6A2A14AE6">
    <w:name w:val="13A798A7AA054B26BAE48EC6A2A14AE6"/>
  </w:style>
  <w:style w:type="paragraph" w:customStyle="1" w:styleId="713EFB112E154DCEB46211E7E1B55BB9">
    <w:name w:val="713EFB112E154DCEB46211E7E1B55BB9"/>
  </w:style>
  <w:style w:type="paragraph" w:customStyle="1" w:styleId="19E8FE4672A846B6AAEE6617E14F307C">
    <w:name w:val="19E8FE4672A846B6AAEE6617E14F307C"/>
  </w:style>
  <w:style w:type="paragraph" w:customStyle="1" w:styleId="12E5314A4A4E4FCF93144E8F64A9552B">
    <w:name w:val="12E5314A4A4E4FCF93144E8F64A9552B"/>
  </w:style>
  <w:style w:type="paragraph" w:customStyle="1" w:styleId="1184E68D5BF042ADAC4ED738CB2532FA">
    <w:name w:val="1184E68D5BF042ADAC4ED738CB2532FA"/>
  </w:style>
  <w:style w:type="paragraph" w:customStyle="1" w:styleId="6AF3FC19D48448D48D362FFE5BEBDFFC">
    <w:name w:val="6AF3FC19D48448D48D362FFE5BEBDFFC"/>
  </w:style>
  <w:style w:type="paragraph" w:customStyle="1" w:styleId="E0FC05668EE74C84A1BD459D4B1E74F9">
    <w:name w:val="E0FC05668EE74C84A1BD459D4B1E74F9"/>
  </w:style>
  <w:style w:type="paragraph" w:customStyle="1" w:styleId="20C21FD2EB4B474B8893A39EDE398DEB">
    <w:name w:val="20C21FD2EB4B474B8893A39EDE398DE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E8D3E0AFDDF43309CEA2E06607C286D">
    <w:name w:val="7E8D3E0AFDDF43309CEA2E06607C286D"/>
  </w:style>
  <w:style w:type="paragraph" w:customStyle="1" w:styleId="787CE5E43B024A54BA9BF1D4FCE974C3">
    <w:name w:val="787CE5E43B024A54BA9BF1D4FCE974C3"/>
  </w:style>
  <w:style w:type="paragraph" w:customStyle="1" w:styleId="32164A06D4F546ACA944411D22987ED8">
    <w:name w:val="32164A06D4F546ACA944411D22987ED8"/>
  </w:style>
  <w:style w:type="paragraph" w:customStyle="1" w:styleId="BE5A9CD16CA44D1195A1D1FE5B9CDEA4">
    <w:name w:val="BE5A9CD16CA44D1195A1D1FE5B9CDEA4"/>
  </w:style>
  <w:style w:type="paragraph" w:customStyle="1" w:styleId="3103143E1D1F49B88CDABE682C835CB2">
    <w:name w:val="3103143E1D1F49B88CDABE682C835CB2"/>
  </w:style>
  <w:style w:type="paragraph" w:customStyle="1" w:styleId="13A798A7AA054B26BAE48EC6A2A14AE6">
    <w:name w:val="13A798A7AA054B26BAE48EC6A2A14AE6"/>
  </w:style>
  <w:style w:type="paragraph" w:customStyle="1" w:styleId="713EFB112E154DCEB46211E7E1B55BB9">
    <w:name w:val="713EFB112E154DCEB46211E7E1B55BB9"/>
  </w:style>
  <w:style w:type="paragraph" w:customStyle="1" w:styleId="19E8FE4672A846B6AAEE6617E14F307C">
    <w:name w:val="19E8FE4672A846B6AAEE6617E14F307C"/>
  </w:style>
  <w:style w:type="paragraph" w:customStyle="1" w:styleId="12E5314A4A4E4FCF93144E8F64A9552B">
    <w:name w:val="12E5314A4A4E4FCF93144E8F64A9552B"/>
  </w:style>
  <w:style w:type="paragraph" w:customStyle="1" w:styleId="1184E68D5BF042ADAC4ED738CB2532FA">
    <w:name w:val="1184E68D5BF042ADAC4ED738CB2532FA"/>
  </w:style>
  <w:style w:type="paragraph" w:customStyle="1" w:styleId="6AF3FC19D48448D48D362FFE5BEBDFFC">
    <w:name w:val="6AF3FC19D48448D48D362FFE5BEBDFFC"/>
  </w:style>
  <w:style w:type="paragraph" w:customStyle="1" w:styleId="E0FC05668EE74C84A1BD459D4B1E74F9">
    <w:name w:val="E0FC05668EE74C84A1BD459D4B1E74F9"/>
  </w:style>
  <w:style w:type="paragraph" w:customStyle="1" w:styleId="20C21FD2EB4B474B8893A39EDE398DEB">
    <w:name w:val="20C21FD2EB4B474B8893A39EDE398D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E1BC2AC5-D34F-4736-8C3D-EAEC9ABE5C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1029</Words>
  <Characters>5694</Characters>
  <Application>Microsoft Office Word</Application>
  <DocSecurity>0</DocSecurity>
  <Lines>68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106 - I M Gillard - Public Infrastructure - Public inquiry</vt:lpstr>
    </vt:vector>
  </TitlesOfParts>
  <Company>I M Gillard</Company>
  <LinksUpToDate>false</LinksUpToDate>
  <CharactersWithSpaces>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106 - I M Gillard - Public Infrastructure - Public inquiry</dc:title>
  <dc:creator>I M Gillard</dc:creator>
  <cp:lastModifiedBy>Productivity Commission</cp:lastModifiedBy>
  <cp:revision>3</cp:revision>
  <cp:lastPrinted>2014-02-16T23:39:00Z</cp:lastPrinted>
  <dcterms:created xsi:type="dcterms:W3CDTF">2014-02-19T23:26:00Z</dcterms:created>
  <dcterms:modified xsi:type="dcterms:W3CDTF">2014-02-19T23:28:00Z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</Properties>
</file>