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4F07" w:rsidRPr="00914F07" w:rsidRDefault="007966EE" w:rsidP="007966EE">
      <w:pPr>
        <w:spacing w:before="0" w:after="120"/>
      </w:pPr>
      <w:r>
        <w:br w:type="page"/>
      </w:r>
      <w:r w:rsidR="00196E1F">
        <w:rPr>
          <w:noProof/>
          <w:lang w:eastAsia="en-AU"/>
        </w:rPr>
        <w:drawing>
          <wp:anchor distT="0" distB="0" distL="114300" distR="114300" simplePos="0" relativeHeight="251660288" behindDoc="0" locked="0" layoutInCell="1" allowOverlap="1" wp14:anchorId="5D5A3E3A" wp14:editId="6A121B2C">
            <wp:simplePos x="0" y="0"/>
            <wp:positionH relativeFrom="column">
              <wp:posOffset>2571692</wp:posOffset>
            </wp:positionH>
            <wp:positionV relativeFrom="paragraph">
              <wp:posOffset>7619572</wp:posOffset>
            </wp:positionV>
            <wp:extent cx="2036618" cy="632888"/>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mp;P Logo (Whit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43311" cy="634968"/>
                    </a:xfrm>
                    <a:prstGeom prst="rect">
                      <a:avLst/>
                    </a:prstGeom>
                  </pic:spPr>
                </pic:pic>
              </a:graphicData>
            </a:graphic>
            <wp14:sizeRelH relativeFrom="page">
              <wp14:pctWidth>0</wp14:pctWidth>
            </wp14:sizeRelH>
            <wp14:sizeRelV relativeFrom="page">
              <wp14:pctHeight>0</wp14:pctHeight>
            </wp14:sizeRelV>
          </wp:anchor>
        </w:drawing>
      </w:r>
      <w:r w:rsidR="00196E1F">
        <w:rPr>
          <w:noProof/>
          <w:lang w:eastAsia="en-AU"/>
        </w:rPr>
        <mc:AlternateContent>
          <mc:Choice Requires="wps">
            <w:drawing>
              <wp:anchor distT="0" distB="0" distL="114300" distR="114300" simplePos="0" relativeHeight="251659264" behindDoc="0" locked="0" layoutInCell="1" allowOverlap="1" wp14:anchorId="53A95A99" wp14:editId="230583D7">
                <wp:simplePos x="0" y="0"/>
                <wp:positionH relativeFrom="column">
                  <wp:posOffset>2435225</wp:posOffset>
                </wp:positionH>
                <wp:positionV relativeFrom="paragraph">
                  <wp:posOffset>5439987</wp:posOffset>
                </wp:positionV>
                <wp:extent cx="3815542" cy="2003078"/>
                <wp:effectExtent l="0" t="0" r="0" b="0"/>
                <wp:wrapNone/>
                <wp:docPr id="3" name="Text Box 3"/>
                <wp:cNvGraphicFramePr/>
                <a:graphic xmlns:a="http://schemas.openxmlformats.org/drawingml/2006/main">
                  <a:graphicData uri="http://schemas.microsoft.com/office/word/2010/wordprocessingShape">
                    <wps:wsp>
                      <wps:cNvSpPr txBox="1"/>
                      <wps:spPr>
                        <a:xfrm>
                          <a:off x="0" y="0"/>
                          <a:ext cx="3815542" cy="20030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A0F24" w:rsidRPr="007E25F5" w:rsidRDefault="005A0F24" w:rsidP="007E25F5">
                            <w:pPr>
                              <w:spacing w:before="0" w:after="0"/>
                              <w:rPr>
                                <w:rFonts w:asciiTheme="majorHAnsi" w:hAnsiTheme="majorHAnsi" w:cstheme="majorHAnsi"/>
                                <w:b/>
                                <w:color w:val="F2F2F2" w:themeColor="background1" w:themeShade="F2"/>
                                <w:sz w:val="36"/>
                                <w:szCs w:val="36"/>
                              </w:rPr>
                            </w:pPr>
                            <w:r w:rsidRPr="007E25F5">
                              <w:rPr>
                                <w:rFonts w:asciiTheme="majorHAnsi" w:hAnsiTheme="majorHAnsi" w:cstheme="majorHAnsi"/>
                                <w:b/>
                                <w:color w:val="F2F2F2" w:themeColor="background1" w:themeShade="F2"/>
                                <w:sz w:val="36"/>
                                <w:szCs w:val="36"/>
                              </w:rPr>
                              <w:t xml:space="preserve">Evans &amp; Peck Submission </w:t>
                            </w:r>
                          </w:p>
                          <w:p w:rsidR="005A0F24" w:rsidRPr="007E25F5" w:rsidRDefault="005A0F24" w:rsidP="007E25F5">
                            <w:pPr>
                              <w:spacing w:before="0" w:after="0"/>
                              <w:rPr>
                                <w:rFonts w:asciiTheme="majorHAnsi" w:hAnsiTheme="majorHAnsi" w:cstheme="majorHAnsi"/>
                                <w:b/>
                                <w:color w:val="F2F2F2" w:themeColor="background1" w:themeShade="F2"/>
                                <w:sz w:val="36"/>
                                <w:szCs w:val="36"/>
                              </w:rPr>
                            </w:pPr>
                            <w:r>
                              <w:rPr>
                                <w:rFonts w:asciiTheme="majorHAnsi" w:hAnsiTheme="majorHAnsi" w:cstheme="majorHAnsi"/>
                                <w:b/>
                                <w:color w:val="F2F2F2" w:themeColor="background1" w:themeShade="F2"/>
                                <w:sz w:val="36"/>
                                <w:szCs w:val="36"/>
                              </w:rPr>
                              <w:t>o</w:t>
                            </w:r>
                            <w:r w:rsidRPr="007E25F5">
                              <w:rPr>
                                <w:rFonts w:asciiTheme="majorHAnsi" w:hAnsiTheme="majorHAnsi" w:cstheme="majorHAnsi"/>
                                <w:b/>
                                <w:color w:val="F2F2F2" w:themeColor="background1" w:themeShade="F2"/>
                                <w:sz w:val="36"/>
                                <w:szCs w:val="36"/>
                              </w:rPr>
                              <w:t xml:space="preserve">n </w:t>
                            </w:r>
                            <w:r>
                              <w:rPr>
                                <w:rFonts w:asciiTheme="majorHAnsi" w:hAnsiTheme="majorHAnsi" w:cstheme="majorHAnsi"/>
                                <w:b/>
                                <w:color w:val="F2F2F2" w:themeColor="background1" w:themeShade="F2"/>
                                <w:sz w:val="36"/>
                                <w:szCs w:val="36"/>
                              </w:rPr>
                              <w:t>Productivity C</w:t>
                            </w:r>
                            <w:r w:rsidRPr="007E25F5">
                              <w:rPr>
                                <w:rFonts w:asciiTheme="majorHAnsi" w:hAnsiTheme="majorHAnsi" w:cstheme="majorHAnsi"/>
                                <w:b/>
                                <w:color w:val="F2F2F2" w:themeColor="background1" w:themeShade="F2"/>
                                <w:sz w:val="36"/>
                                <w:szCs w:val="36"/>
                              </w:rPr>
                              <w:t xml:space="preserve">ommission </w:t>
                            </w:r>
                          </w:p>
                          <w:p w:rsidR="005A0F24" w:rsidRDefault="005A0F24" w:rsidP="007E25F5">
                            <w:pPr>
                              <w:spacing w:before="0" w:after="0"/>
                              <w:rPr>
                                <w:rFonts w:asciiTheme="majorHAnsi" w:hAnsiTheme="majorHAnsi" w:cstheme="majorHAnsi"/>
                                <w:b/>
                                <w:color w:val="F2F2F2" w:themeColor="background1" w:themeShade="F2"/>
                                <w:sz w:val="36"/>
                                <w:szCs w:val="36"/>
                              </w:rPr>
                            </w:pPr>
                            <w:r w:rsidRPr="007E25F5">
                              <w:rPr>
                                <w:rFonts w:asciiTheme="majorHAnsi" w:hAnsiTheme="majorHAnsi" w:cstheme="majorHAnsi"/>
                                <w:b/>
                                <w:color w:val="F2F2F2" w:themeColor="background1" w:themeShade="F2"/>
                                <w:sz w:val="36"/>
                                <w:szCs w:val="36"/>
                              </w:rPr>
                              <w:t>Draft on Public Infrastructure</w:t>
                            </w:r>
                          </w:p>
                          <w:p w:rsidR="00CF3818" w:rsidRDefault="00CF3818" w:rsidP="007E25F5">
                            <w:pPr>
                              <w:spacing w:before="0" w:after="0"/>
                              <w:rPr>
                                <w:rFonts w:asciiTheme="majorHAnsi" w:hAnsiTheme="majorHAnsi" w:cstheme="majorHAnsi"/>
                                <w:b/>
                                <w:color w:val="F2F2F2" w:themeColor="background1" w:themeShade="F2"/>
                                <w:sz w:val="36"/>
                                <w:szCs w:val="36"/>
                              </w:rPr>
                            </w:pPr>
                          </w:p>
                          <w:p w:rsidR="00CF3818" w:rsidRPr="007E25F5" w:rsidRDefault="00CF3818" w:rsidP="007E25F5">
                            <w:pPr>
                              <w:spacing w:before="0" w:after="0"/>
                              <w:rPr>
                                <w:rFonts w:asciiTheme="majorHAnsi" w:hAnsiTheme="majorHAnsi" w:cstheme="majorHAnsi"/>
                                <w:b/>
                                <w:color w:val="F2F2F2" w:themeColor="background1" w:themeShade="F2"/>
                                <w:sz w:val="36"/>
                                <w:szCs w:val="36"/>
                              </w:rPr>
                            </w:pPr>
                            <w:r>
                              <w:rPr>
                                <w:rFonts w:asciiTheme="majorHAnsi" w:hAnsiTheme="majorHAnsi" w:cstheme="majorHAnsi"/>
                                <w:b/>
                                <w:color w:val="F2F2F2" w:themeColor="background1" w:themeShade="F2"/>
                                <w:sz w:val="36"/>
                                <w:szCs w:val="36"/>
                              </w:rPr>
                              <w:t>4 April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91.75pt;margin-top:428.35pt;width:300.45pt;height:15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" filled="f" stroked="f" strokeweight=".5pt">
                <v:textbox>
                  <w:txbxContent>
                    <w:p w:rsidR="005A0F24" w:rsidRPr="007E25F5" w:rsidRDefault="005A0F24" w:rsidP="007E25F5">
                      <w:pPr>
                        <w:spacing w:before="0" w:after="0"/>
                        <w:rPr>
                          <w:rFonts w:asciiTheme="majorHAnsi" w:hAnsiTheme="majorHAnsi" w:cstheme="majorHAnsi"/>
                          <w:b/>
                          <w:color w:val="F2F2F2" w:themeColor="background1" w:themeShade="F2"/>
                          <w:sz w:val="36"/>
                          <w:szCs w:val="36"/>
                        </w:rPr>
                      </w:pPr>
                      <w:r w:rsidRPr="007E25F5">
                        <w:rPr>
                          <w:rFonts w:asciiTheme="majorHAnsi" w:hAnsiTheme="majorHAnsi" w:cstheme="majorHAnsi"/>
                          <w:b/>
                          <w:color w:val="F2F2F2" w:themeColor="background1" w:themeShade="F2"/>
                          <w:sz w:val="36"/>
                          <w:szCs w:val="36"/>
                        </w:rPr>
                        <w:t xml:space="preserve">Evans &amp; Peck Submission </w:t>
                      </w:r>
                    </w:p>
                    <w:p w:rsidR="005A0F24" w:rsidRPr="007E25F5" w:rsidRDefault="005A0F24" w:rsidP="007E25F5">
                      <w:pPr>
                        <w:spacing w:before="0" w:after="0"/>
                        <w:rPr>
                          <w:rFonts w:asciiTheme="majorHAnsi" w:hAnsiTheme="majorHAnsi" w:cstheme="majorHAnsi"/>
                          <w:b/>
                          <w:color w:val="F2F2F2" w:themeColor="background1" w:themeShade="F2"/>
                          <w:sz w:val="36"/>
                          <w:szCs w:val="36"/>
                        </w:rPr>
                      </w:pPr>
                      <w:proofErr w:type="gramStart"/>
                      <w:r>
                        <w:rPr>
                          <w:rFonts w:asciiTheme="majorHAnsi" w:hAnsiTheme="majorHAnsi" w:cstheme="majorHAnsi"/>
                          <w:b/>
                          <w:color w:val="F2F2F2" w:themeColor="background1" w:themeShade="F2"/>
                          <w:sz w:val="36"/>
                          <w:szCs w:val="36"/>
                        </w:rPr>
                        <w:t>o</w:t>
                      </w:r>
                      <w:r w:rsidRPr="007E25F5">
                        <w:rPr>
                          <w:rFonts w:asciiTheme="majorHAnsi" w:hAnsiTheme="majorHAnsi" w:cstheme="majorHAnsi"/>
                          <w:b/>
                          <w:color w:val="F2F2F2" w:themeColor="background1" w:themeShade="F2"/>
                          <w:sz w:val="36"/>
                          <w:szCs w:val="36"/>
                        </w:rPr>
                        <w:t>n</w:t>
                      </w:r>
                      <w:proofErr w:type="gramEnd"/>
                      <w:r w:rsidRPr="007E25F5">
                        <w:rPr>
                          <w:rFonts w:asciiTheme="majorHAnsi" w:hAnsiTheme="majorHAnsi" w:cstheme="majorHAnsi"/>
                          <w:b/>
                          <w:color w:val="F2F2F2" w:themeColor="background1" w:themeShade="F2"/>
                          <w:sz w:val="36"/>
                          <w:szCs w:val="36"/>
                        </w:rPr>
                        <w:t xml:space="preserve"> </w:t>
                      </w:r>
                      <w:r>
                        <w:rPr>
                          <w:rFonts w:asciiTheme="majorHAnsi" w:hAnsiTheme="majorHAnsi" w:cstheme="majorHAnsi"/>
                          <w:b/>
                          <w:color w:val="F2F2F2" w:themeColor="background1" w:themeShade="F2"/>
                          <w:sz w:val="36"/>
                          <w:szCs w:val="36"/>
                        </w:rPr>
                        <w:t>Productivity C</w:t>
                      </w:r>
                      <w:r w:rsidRPr="007E25F5">
                        <w:rPr>
                          <w:rFonts w:asciiTheme="majorHAnsi" w:hAnsiTheme="majorHAnsi" w:cstheme="majorHAnsi"/>
                          <w:b/>
                          <w:color w:val="F2F2F2" w:themeColor="background1" w:themeShade="F2"/>
                          <w:sz w:val="36"/>
                          <w:szCs w:val="36"/>
                        </w:rPr>
                        <w:t xml:space="preserve">ommission </w:t>
                      </w:r>
                    </w:p>
                    <w:p w:rsidR="005A0F24" w:rsidRDefault="005A0F24" w:rsidP="007E25F5">
                      <w:pPr>
                        <w:spacing w:before="0" w:after="0"/>
                        <w:rPr>
                          <w:rFonts w:asciiTheme="majorHAnsi" w:hAnsiTheme="majorHAnsi" w:cstheme="majorHAnsi"/>
                          <w:b/>
                          <w:color w:val="F2F2F2" w:themeColor="background1" w:themeShade="F2"/>
                          <w:sz w:val="36"/>
                          <w:szCs w:val="36"/>
                        </w:rPr>
                      </w:pPr>
                      <w:r w:rsidRPr="007E25F5">
                        <w:rPr>
                          <w:rFonts w:asciiTheme="majorHAnsi" w:hAnsiTheme="majorHAnsi" w:cstheme="majorHAnsi"/>
                          <w:b/>
                          <w:color w:val="F2F2F2" w:themeColor="background1" w:themeShade="F2"/>
                          <w:sz w:val="36"/>
                          <w:szCs w:val="36"/>
                        </w:rPr>
                        <w:t>Draft on Public Infrastructure</w:t>
                      </w:r>
                    </w:p>
                    <w:p w:rsidR="00CF3818" w:rsidRDefault="00CF3818" w:rsidP="007E25F5">
                      <w:pPr>
                        <w:spacing w:before="0" w:after="0"/>
                        <w:rPr>
                          <w:rFonts w:asciiTheme="majorHAnsi" w:hAnsiTheme="majorHAnsi" w:cstheme="majorHAnsi"/>
                          <w:b/>
                          <w:color w:val="F2F2F2" w:themeColor="background1" w:themeShade="F2"/>
                          <w:sz w:val="36"/>
                          <w:szCs w:val="36"/>
                        </w:rPr>
                      </w:pPr>
                    </w:p>
                    <w:p w:rsidR="00CF3818" w:rsidRPr="007E25F5" w:rsidRDefault="00CF3818" w:rsidP="007E25F5">
                      <w:pPr>
                        <w:spacing w:before="0" w:after="0"/>
                        <w:rPr>
                          <w:rFonts w:asciiTheme="majorHAnsi" w:hAnsiTheme="majorHAnsi" w:cstheme="majorHAnsi"/>
                          <w:b/>
                          <w:color w:val="F2F2F2" w:themeColor="background1" w:themeShade="F2"/>
                          <w:sz w:val="36"/>
                          <w:szCs w:val="36"/>
                        </w:rPr>
                      </w:pPr>
                      <w:r>
                        <w:rPr>
                          <w:rFonts w:asciiTheme="majorHAnsi" w:hAnsiTheme="majorHAnsi" w:cstheme="majorHAnsi"/>
                          <w:b/>
                          <w:color w:val="F2F2F2" w:themeColor="background1" w:themeShade="F2"/>
                          <w:sz w:val="36"/>
                          <w:szCs w:val="36"/>
                        </w:rPr>
                        <w:t>4 April 2014</w:t>
                      </w:r>
                    </w:p>
                  </w:txbxContent>
                </v:textbox>
              </v:shape>
            </w:pict>
          </mc:Fallback>
        </mc:AlternateContent>
      </w:r>
      <w:bookmarkStart w:id="0" w:name="_GoBack"/>
      <w:r w:rsidR="00196E1F" w:rsidRPr="007E25F5">
        <w:rPr>
          <w:b/>
          <w:noProof/>
          <w:lang w:eastAsia="en-AU"/>
        </w:rPr>
        <w:drawing>
          <wp:anchor distT="0" distB="0" distL="114300" distR="114300" simplePos="0" relativeHeight="251658240" behindDoc="1" locked="0" layoutInCell="1" allowOverlap="1" wp14:anchorId="259F83EF" wp14:editId="73951D78">
            <wp:simplePos x="0" y="0"/>
            <wp:positionH relativeFrom="column">
              <wp:posOffset>-1260475</wp:posOffset>
            </wp:positionH>
            <wp:positionV relativeFrom="paragraph">
              <wp:posOffset>-1440181</wp:posOffset>
            </wp:positionV>
            <wp:extent cx="7557688" cy="10690167"/>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317 Response to PC Public Infrastructure cove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61172" cy="10695096"/>
                    </a:xfrm>
                    <a:prstGeom prst="rect">
                      <a:avLst/>
                    </a:prstGeom>
                  </pic:spPr>
                </pic:pic>
              </a:graphicData>
            </a:graphic>
            <wp14:sizeRelH relativeFrom="page">
              <wp14:pctWidth>0</wp14:pctWidth>
            </wp14:sizeRelH>
            <wp14:sizeRelV relativeFrom="page">
              <wp14:pctHeight>0</wp14:pctHeight>
            </wp14:sizeRelV>
          </wp:anchor>
        </w:drawing>
      </w:r>
      <w:bookmarkEnd w:id="0"/>
    </w:p>
    <w:sdt>
      <w:sdtPr>
        <w:rPr>
          <w:rFonts w:ascii="Georgia" w:eastAsiaTheme="minorEastAsia" w:hAnsi="Georgia" w:cstheme="minorBidi"/>
          <w:b w:val="0"/>
          <w:noProof/>
          <w:color w:val="auto"/>
          <w:sz w:val="24"/>
        </w:rPr>
        <w:id w:val="-1995327661"/>
        <w:docPartObj>
          <w:docPartGallery w:val="Table of Contents"/>
          <w:docPartUnique/>
        </w:docPartObj>
      </w:sdtPr>
      <w:sdtEndPr>
        <w:rPr>
          <w:sz w:val="19"/>
        </w:rPr>
      </w:sdtEndPr>
      <w:sdtContent>
        <w:p w:rsidR="007966EE" w:rsidRDefault="007966EE" w:rsidP="0052557F">
          <w:pPr>
            <w:pStyle w:val="HeadingNoTOC"/>
          </w:pPr>
          <w:r>
            <w:t xml:space="preserve">Table of Contents </w:t>
          </w:r>
        </w:p>
        <w:p w:rsidR="006C6266" w:rsidRDefault="007966EE">
          <w:pPr>
            <w:pStyle w:val="TOC1"/>
            <w:rPr>
              <w:rFonts w:asciiTheme="minorHAnsi" w:eastAsiaTheme="minorEastAsia" w:hAnsiTheme="minorHAnsi" w:cstheme="minorBidi"/>
              <w:b w:val="0"/>
              <w:sz w:val="22"/>
              <w:szCs w:val="22"/>
              <w:lang w:val="en-US"/>
            </w:rPr>
          </w:pPr>
          <w:r>
            <w:rPr>
              <w:rFonts w:ascii="Georgia" w:hAnsi="Georgia"/>
              <w:sz w:val="19"/>
            </w:rPr>
            <w:fldChar w:fldCharType="begin"/>
          </w:r>
          <w:r>
            <w:rPr>
              <w:rFonts w:ascii="Georgia" w:hAnsi="Georgia"/>
              <w:sz w:val="19"/>
            </w:rPr>
            <w:instrText xml:space="preserve"> TOC \o "2-3" \h \z \t "Heading 1,1" </w:instrText>
          </w:r>
          <w:r>
            <w:rPr>
              <w:rFonts w:ascii="Georgia" w:hAnsi="Georgia"/>
              <w:sz w:val="19"/>
            </w:rPr>
            <w:fldChar w:fldCharType="separate"/>
          </w:r>
          <w:hyperlink w:anchor="_Toc384210468" w:history="1">
            <w:r w:rsidR="006C6266" w:rsidRPr="0075246D">
              <w:rPr>
                <w:rStyle w:val="Hyperlink"/>
              </w:rPr>
              <w:t>1</w:t>
            </w:r>
            <w:r w:rsidR="006C6266">
              <w:rPr>
                <w:rFonts w:asciiTheme="minorHAnsi" w:eastAsiaTheme="minorEastAsia" w:hAnsiTheme="minorHAnsi" w:cstheme="minorBidi"/>
                <w:b w:val="0"/>
                <w:sz w:val="22"/>
                <w:szCs w:val="22"/>
                <w:lang w:val="en-US"/>
              </w:rPr>
              <w:tab/>
            </w:r>
            <w:r w:rsidR="006C6266" w:rsidRPr="0075246D">
              <w:rPr>
                <w:rStyle w:val="Hyperlink"/>
              </w:rPr>
              <w:t>Introduction &amp; Recommendations</w:t>
            </w:r>
            <w:r w:rsidR="006C6266">
              <w:rPr>
                <w:webHidden/>
              </w:rPr>
              <w:tab/>
            </w:r>
            <w:r w:rsidR="006C6266">
              <w:rPr>
                <w:webHidden/>
              </w:rPr>
              <w:fldChar w:fldCharType="begin"/>
            </w:r>
            <w:r w:rsidR="006C6266">
              <w:rPr>
                <w:webHidden/>
              </w:rPr>
              <w:instrText xml:space="preserve"> PAGEREF _Toc384210468 \h </w:instrText>
            </w:r>
            <w:r w:rsidR="006C6266">
              <w:rPr>
                <w:webHidden/>
              </w:rPr>
            </w:r>
            <w:r w:rsidR="006C6266">
              <w:rPr>
                <w:webHidden/>
              </w:rPr>
              <w:fldChar w:fldCharType="separate"/>
            </w:r>
            <w:r w:rsidR="006C6266">
              <w:rPr>
                <w:webHidden/>
              </w:rPr>
              <w:t>2</w:t>
            </w:r>
            <w:r w:rsidR="006C6266">
              <w:rPr>
                <w:webHidden/>
              </w:rPr>
              <w:fldChar w:fldCharType="end"/>
            </w:r>
          </w:hyperlink>
        </w:p>
        <w:p w:rsidR="006C6266" w:rsidRDefault="003C6AF7">
          <w:pPr>
            <w:pStyle w:val="TOC1"/>
            <w:rPr>
              <w:rFonts w:asciiTheme="minorHAnsi" w:eastAsiaTheme="minorEastAsia" w:hAnsiTheme="minorHAnsi" w:cstheme="minorBidi"/>
              <w:b w:val="0"/>
              <w:sz w:val="22"/>
              <w:szCs w:val="22"/>
              <w:lang w:val="en-US"/>
            </w:rPr>
          </w:pPr>
          <w:hyperlink w:anchor="_Toc384210469" w:history="1">
            <w:r w:rsidR="006C6266" w:rsidRPr="0075246D">
              <w:rPr>
                <w:rStyle w:val="Hyperlink"/>
              </w:rPr>
              <w:t>2</w:t>
            </w:r>
            <w:r w:rsidR="006C6266">
              <w:rPr>
                <w:rFonts w:asciiTheme="minorHAnsi" w:eastAsiaTheme="minorEastAsia" w:hAnsiTheme="minorHAnsi" w:cstheme="minorBidi"/>
                <w:b w:val="0"/>
                <w:sz w:val="22"/>
                <w:szCs w:val="22"/>
                <w:lang w:val="en-US"/>
              </w:rPr>
              <w:tab/>
            </w:r>
            <w:r w:rsidR="006C6266" w:rsidRPr="0075246D">
              <w:rPr>
                <w:rStyle w:val="Hyperlink"/>
              </w:rPr>
              <w:t>Governance and Institutional Arrangements – General Government Sector</w:t>
            </w:r>
            <w:r w:rsidR="006C6266">
              <w:rPr>
                <w:webHidden/>
              </w:rPr>
              <w:tab/>
            </w:r>
            <w:r w:rsidR="006C6266">
              <w:rPr>
                <w:webHidden/>
              </w:rPr>
              <w:fldChar w:fldCharType="begin"/>
            </w:r>
            <w:r w:rsidR="006C6266">
              <w:rPr>
                <w:webHidden/>
              </w:rPr>
              <w:instrText xml:space="preserve"> PAGEREF _Toc384210469 \h </w:instrText>
            </w:r>
            <w:r w:rsidR="006C6266">
              <w:rPr>
                <w:webHidden/>
              </w:rPr>
            </w:r>
            <w:r w:rsidR="006C6266">
              <w:rPr>
                <w:webHidden/>
              </w:rPr>
              <w:fldChar w:fldCharType="separate"/>
            </w:r>
            <w:r w:rsidR="006C6266">
              <w:rPr>
                <w:webHidden/>
              </w:rPr>
              <w:t>4</w:t>
            </w:r>
            <w:r w:rsidR="006C6266">
              <w:rPr>
                <w:webHidden/>
              </w:rPr>
              <w:fldChar w:fldCharType="end"/>
            </w:r>
          </w:hyperlink>
        </w:p>
        <w:p w:rsidR="006C6266" w:rsidRDefault="003C6AF7">
          <w:pPr>
            <w:pStyle w:val="TOC2"/>
            <w:rPr>
              <w:rFonts w:asciiTheme="minorHAnsi" w:hAnsiTheme="minorHAnsi"/>
              <w:sz w:val="22"/>
              <w:szCs w:val="22"/>
              <w:lang w:val="en-US" w:eastAsia="en-US"/>
            </w:rPr>
          </w:pPr>
          <w:hyperlink w:anchor="_Toc384210470" w:history="1">
            <w:r w:rsidR="006C6266" w:rsidRPr="0075246D">
              <w:rPr>
                <w:rStyle w:val="Hyperlink"/>
              </w:rPr>
              <w:t>2.1</w:t>
            </w:r>
            <w:r w:rsidR="006C6266">
              <w:rPr>
                <w:rFonts w:asciiTheme="minorHAnsi" w:hAnsiTheme="minorHAnsi"/>
                <w:sz w:val="22"/>
                <w:szCs w:val="22"/>
                <w:lang w:val="en-US" w:eastAsia="en-US"/>
              </w:rPr>
              <w:tab/>
            </w:r>
            <w:r w:rsidR="006C6266" w:rsidRPr="0075246D">
              <w:rPr>
                <w:rStyle w:val="Hyperlink"/>
              </w:rPr>
              <w:t>Categorisation by commerciality of decision-making</w:t>
            </w:r>
            <w:r w:rsidR="006C6266">
              <w:rPr>
                <w:webHidden/>
              </w:rPr>
              <w:tab/>
            </w:r>
            <w:r w:rsidR="006C6266">
              <w:rPr>
                <w:webHidden/>
              </w:rPr>
              <w:fldChar w:fldCharType="begin"/>
            </w:r>
            <w:r w:rsidR="006C6266">
              <w:rPr>
                <w:webHidden/>
              </w:rPr>
              <w:instrText xml:space="preserve"> PAGEREF _Toc384210470 \h </w:instrText>
            </w:r>
            <w:r w:rsidR="006C6266">
              <w:rPr>
                <w:webHidden/>
              </w:rPr>
            </w:r>
            <w:r w:rsidR="006C6266">
              <w:rPr>
                <w:webHidden/>
              </w:rPr>
              <w:fldChar w:fldCharType="separate"/>
            </w:r>
            <w:r w:rsidR="006C6266">
              <w:rPr>
                <w:webHidden/>
              </w:rPr>
              <w:t>4</w:t>
            </w:r>
            <w:r w:rsidR="006C6266">
              <w:rPr>
                <w:webHidden/>
              </w:rPr>
              <w:fldChar w:fldCharType="end"/>
            </w:r>
          </w:hyperlink>
        </w:p>
        <w:p w:rsidR="006C6266" w:rsidRDefault="003C6AF7">
          <w:pPr>
            <w:pStyle w:val="TOC2"/>
            <w:rPr>
              <w:rFonts w:asciiTheme="minorHAnsi" w:hAnsiTheme="minorHAnsi"/>
              <w:sz w:val="22"/>
              <w:szCs w:val="22"/>
              <w:lang w:val="en-US" w:eastAsia="en-US"/>
            </w:rPr>
          </w:pPr>
          <w:hyperlink w:anchor="_Toc384210471" w:history="1">
            <w:r w:rsidR="006C6266" w:rsidRPr="0075246D">
              <w:rPr>
                <w:rStyle w:val="Hyperlink"/>
              </w:rPr>
              <w:t>2.2</w:t>
            </w:r>
            <w:r w:rsidR="006C6266">
              <w:rPr>
                <w:rFonts w:asciiTheme="minorHAnsi" w:hAnsiTheme="minorHAnsi"/>
                <w:sz w:val="22"/>
                <w:szCs w:val="22"/>
                <w:lang w:val="en-US" w:eastAsia="en-US"/>
              </w:rPr>
              <w:tab/>
            </w:r>
            <w:r w:rsidR="006C6266" w:rsidRPr="0075246D">
              <w:rPr>
                <w:rStyle w:val="Hyperlink"/>
              </w:rPr>
              <w:t>Current framework for social infrastructure</w:t>
            </w:r>
            <w:r w:rsidR="006C6266">
              <w:rPr>
                <w:webHidden/>
              </w:rPr>
              <w:tab/>
            </w:r>
            <w:r w:rsidR="006C6266">
              <w:rPr>
                <w:webHidden/>
              </w:rPr>
              <w:fldChar w:fldCharType="begin"/>
            </w:r>
            <w:r w:rsidR="006C6266">
              <w:rPr>
                <w:webHidden/>
              </w:rPr>
              <w:instrText xml:space="preserve"> PAGEREF _Toc384210471 \h </w:instrText>
            </w:r>
            <w:r w:rsidR="006C6266">
              <w:rPr>
                <w:webHidden/>
              </w:rPr>
            </w:r>
            <w:r w:rsidR="006C6266">
              <w:rPr>
                <w:webHidden/>
              </w:rPr>
              <w:fldChar w:fldCharType="separate"/>
            </w:r>
            <w:r w:rsidR="006C6266">
              <w:rPr>
                <w:webHidden/>
              </w:rPr>
              <w:t>6</w:t>
            </w:r>
            <w:r w:rsidR="006C6266">
              <w:rPr>
                <w:webHidden/>
              </w:rPr>
              <w:fldChar w:fldCharType="end"/>
            </w:r>
          </w:hyperlink>
        </w:p>
        <w:p w:rsidR="006C6266" w:rsidRDefault="003C6AF7">
          <w:pPr>
            <w:pStyle w:val="TOC2"/>
            <w:rPr>
              <w:rFonts w:asciiTheme="minorHAnsi" w:hAnsiTheme="minorHAnsi"/>
              <w:sz w:val="22"/>
              <w:szCs w:val="22"/>
              <w:lang w:val="en-US" w:eastAsia="en-US"/>
            </w:rPr>
          </w:pPr>
          <w:hyperlink w:anchor="_Toc384210472" w:history="1">
            <w:r w:rsidR="006C6266" w:rsidRPr="0075246D">
              <w:rPr>
                <w:rStyle w:val="Hyperlink"/>
              </w:rPr>
              <w:t>2.3</w:t>
            </w:r>
            <w:r w:rsidR="006C6266">
              <w:rPr>
                <w:rFonts w:asciiTheme="minorHAnsi" w:hAnsiTheme="minorHAnsi"/>
                <w:sz w:val="22"/>
                <w:szCs w:val="22"/>
                <w:lang w:val="en-US" w:eastAsia="en-US"/>
              </w:rPr>
              <w:tab/>
            </w:r>
            <w:r w:rsidR="006C6266" w:rsidRPr="0075246D">
              <w:rPr>
                <w:rStyle w:val="Hyperlink"/>
              </w:rPr>
              <w:t>A reform framework for social infrastructure</w:t>
            </w:r>
            <w:r w:rsidR="006C6266">
              <w:rPr>
                <w:webHidden/>
              </w:rPr>
              <w:tab/>
            </w:r>
            <w:r w:rsidR="006C6266">
              <w:rPr>
                <w:webHidden/>
              </w:rPr>
              <w:fldChar w:fldCharType="begin"/>
            </w:r>
            <w:r w:rsidR="006C6266">
              <w:rPr>
                <w:webHidden/>
              </w:rPr>
              <w:instrText xml:space="preserve"> PAGEREF _Toc384210472 \h </w:instrText>
            </w:r>
            <w:r w:rsidR="006C6266">
              <w:rPr>
                <w:webHidden/>
              </w:rPr>
            </w:r>
            <w:r w:rsidR="006C6266">
              <w:rPr>
                <w:webHidden/>
              </w:rPr>
              <w:fldChar w:fldCharType="separate"/>
            </w:r>
            <w:r w:rsidR="006C6266">
              <w:rPr>
                <w:webHidden/>
              </w:rPr>
              <w:t>7</w:t>
            </w:r>
            <w:r w:rsidR="006C6266">
              <w:rPr>
                <w:webHidden/>
              </w:rPr>
              <w:fldChar w:fldCharType="end"/>
            </w:r>
          </w:hyperlink>
        </w:p>
        <w:p w:rsidR="006C6266" w:rsidRDefault="003C6AF7">
          <w:pPr>
            <w:pStyle w:val="TOC2"/>
            <w:rPr>
              <w:rFonts w:asciiTheme="minorHAnsi" w:hAnsiTheme="minorHAnsi"/>
              <w:sz w:val="22"/>
              <w:szCs w:val="22"/>
              <w:lang w:val="en-US" w:eastAsia="en-US"/>
            </w:rPr>
          </w:pPr>
          <w:hyperlink w:anchor="_Toc384210473" w:history="1">
            <w:r w:rsidR="006C6266" w:rsidRPr="0075246D">
              <w:rPr>
                <w:rStyle w:val="Hyperlink"/>
              </w:rPr>
              <w:t>2.4</w:t>
            </w:r>
            <w:r w:rsidR="006C6266">
              <w:rPr>
                <w:rFonts w:asciiTheme="minorHAnsi" w:hAnsiTheme="minorHAnsi"/>
                <w:sz w:val="22"/>
                <w:szCs w:val="22"/>
                <w:lang w:val="en-US" w:eastAsia="en-US"/>
              </w:rPr>
              <w:tab/>
            </w:r>
            <w:r w:rsidR="006C6266" w:rsidRPr="0075246D">
              <w:rPr>
                <w:rStyle w:val="Hyperlink"/>
              </w:rPr>
              <w:t>Conclusion</w:t>
            </w:r>
            <w:r w:rsidR="006C6266">
              <w:rPr>
                <w:webHidden/>
              </w:rPr>
              <w:tab/>
            </w:r>
            <w:r w:rsidR="006C6266">
              <w:rPr>
                <w:webHidden/>
              </w:rPr>
              <w:fldChar w:fldCharType="begin"/>
            </w:r>
            <w:r w:rsidR="006C6266">
              <w:rPr>
                <w:webHidden/>
              </w:rPr>
              <w:instrText xml:space="preserve"> PAGEREF _Toc384210473 \h </w:instrText>
            </w:r>
            <w:r w:rsidR="006C6266">
              <w:rPr>
                <w:webHidden/>
              </w:rPr>
            </w:r>
            <w:r w:rsidR="006C6266">
              <w:rPr>
                <w:webHidden/>
              </w:rPr>
              <w:fldChar w:fldCharType="separate"/>
            </w:r>
            <w:r w:rsidR="006C6266">
              <w:rPr>
                <w:webHidden/>
              </w:rPr>
              <w:t>9</w:t>
            </w:r>
            <w:r w:rsidR="006C6266">
              <w:rPr>
                <w:webHidden/>
              </w:rPr>
              <w:fldChar w:fldCharType="end"/>
            </w:r>
          </w:hyperlink>
        </w:p>
        <w:p w:rsidR="006C6266" w:rsidRDefault="003C6AF7">
          <w:pPr>
            <w:pStyle w:val="TOC2"/>
            <w:rPr>
              <w:rFonts w:asciiTheme="minorHAnsi" w:hAnsiTheme="minorHAnsi"/>
              <w:sz w:val="22"/>
              <w:szCs w:val="22"/>
              <w:lang w:val="en-US" w:eastAsia="en-US"/>
            </w:rPr>
          </w:pPr>
          <w:hyperlink w:anchor="_Toc384210474" w:history="1">
            <w:r w:rsidR="006C6266" w:rsidRPr="0075246D">
              <w:rPr>
                <w:rStyle w:val="Hyperlink"/>
              </w:rPr>
              <w:t>2.5</w:t>
            </w:r>
            <w:r w:rsidR="006C6266">
              <w:rPr>
                <w:rFonts w:asciiTheme="minorHAnsi" w:hAnsiTheme="minorHAnsi"/>
                <w:sz w:val="22"/>
                <w:szCs w:val="22"/>
                <w:lang w:val="en-US" w:eastAsia="en-US"/>
              </w:rPr>
              <w:tab/>
            </w:r>
            <w:r w:rsidR="006C6266" w:rsidRPr="0075246D">
              <w:rPr>
                <w:rStyle w:val="Hyperlink"/>
              </w:rPr>
              <w:t>Recommendation</w:t>
            </w:r>
            <w:r w:rsidR="006C6266">
              <w:rPr>
                <w:webHidden/>
              </w:rPr>
              <w:tab/>
            </w:r>
            <w:r w:rsidR="006C6266">
              <w:rPr>
                <w:webHidden/>
              </w:rPr>
              <w:fldChar w:fldCharType="begin"/>
            </w:r>
            <w:r w:rsidR="006C6266">
              <w:rPr>
                <w:webHidden/>
              </w:rPr>
              <w:instrText xml:space="preserve"> PAGEREF _Toc384210474 \h </w:instrText>
            </w:r>
            <w:r w:rsidR="006C6266">
              <w:rPr>
                <w:webHidden/>
              </w:rPr>
            </w:r>
            <w:r w:rsidR="006C6266">
              <w:rPr>
                <w:webHidden/>
              </w:rPr>
              <w:fldChar w:fldCharType="separate"/>
            </w:r>
            <w:r w:rsidR="006C6266">
              <w:rPr>
                <w:webHidden/>
              </w:rPr>
              <w:t>9</w:t>
            </w:r>
            <w:r w:rsidR="006C6266">
              <w:rPr>
                <w:webHidden/>
              </w:rPr>
              <w:fldChar w:fldCharType="end"/>
            </w:r>
          </w:hyperlink>
        </w:p>
        <w:p w:rsidR="006C6266" w:rsidRDefault="003C6AF7">
          <w:pPr>
            <w:pStyle w:val="TOC1"/>
            <w:rPr>
              <w:rFonts w:asciiTheme="minorHAnsi" w:eastAsiaTheme="minorEastAsia" w:hAnsiTheme="minorHAnsi" w:cstheme="minorBidi"/>
              <w:b w:val="0"/>
              <w:sz w:val="22"/>
              <w:szCs w:val="22"/>
              <w:lang w:val="en-US"/>
            </w:rPr>
          </w:pPr>
          <w:hyperlink w:anchor="_Toc384210475" w:history="1">
            <w:r w:rsidR="006C6266" w:rsidRPr="0075246D">
              <w:rPr>
                <w:rStyle w:val="Hyperlink"/>
              </w:rPr>
              <w:t>3</w:t>
            </w:r>
            <w:r w:rsidR="006C6266">
              <w:rPr>
                <w:rFonts w:asciiTheme="minorHAnsi" w:eastAsiaTheme="minorEastAsia" w:hAnsiTheme="minorHAnsi" w:cstheme="minorBidi"/>
                <w:b w:val="0"/>
                <w:sz w:val="22"/>
                <w:szCs w:val="22"/>
                <w:lang w:val="en-US"/>
              </w:rPr>
              <w:tab/>
            </w:r>
            <w:r w:rsidR="006C6266" w:rsidRPr="0075246D">
              <w:rPr>
                <w:rStyle w:val="Hyperlink"/>
              </w:rPr>
              <w:t>Corridor Protection</w:t>
            </w:r>
            <w:r w:rsidR="006C6266">
              <w:rPr>
                <w:webHidden/>
              </w:rPr>
              <w:tab/>
            </w:r>
            <w:r w:rsidR="006C6266">
              <w:rPr>
                <w:webHidden/>
              </w:rPr>
              <w:fldChar w:fldCharType="begin"/>
            </w:r>
            <w:r w:rsidR="006C6266">
              <w:rPr>
                <w:webHidden/>
              </w:rPr>
              <w:instrText xml:space="preserve"> PAGEREF _Toc384210475 \h </w:instrText>
            </w:r>
            <w:r w:rsidR="006C6266">
              <w:rPr>
                <w:webHidden/>
              </w:rPr>
            </w:r>
            <w:r w:rsidR="006C6266">
              <w:rPr>
                <w:webHidden/>
              </w:rPr>
              <w:fldChar w:fldCharType="separate"/>
            </w:r>
            <w:r w:rsidR="006C6266">
              <w:rPr>
                <w:webHidden/>
              </w:rPr>
              <w:t>10</w:t>
            </w:r>
            <w:r w:rsidR="006C6266">
              <w:rPr>
                <w:webHidden/>
              </w:rPr>
              <w:fldChar w:fldCharType="end"/>
            </w:r>
          </w:hyperlink>
        </w:p>
        <w:p w:rsidR="006C6266" w:rsidRDefault="003C6AF7">
          <w:pPr>
            <w:pStyle w:val="TOC2"/>
            <w:rPr>
              <w:rFonts w:asciiTheme="minorHAnsi" w:hAnsiTheme="minorHAnsi"/>
              <w:sz w:val="22"/>
              <w:szCs w:val="22"/>
              <w:lang w:val="en-US" w:eastAsia="en-US"/>
            </w:rPr>
          </w:pPr>
          <w:hyperlink w:anchor="_Toc384210476" w:history="1">
            <w:r w:rsidR="006C6266" w:rsidRPr="0075246D">
              <w:rPr>
                <w:rStyle w:val="Hyperlink"/>
              </w:rPr>
              <w:t>3.1</w:t>
            </w:r>
            <w:r w:rsidR="006C6266">
              <w:rPr>
                <w:rFonts w:asciiTheme="minorHAnsi" w:hAnsiTheme="minorHAnsi"/>
                <w:sz w:val="22"/>
                <w:szCs w:val="22"/>
                <w:lang w:val="en-US" w:eastAsia="en-US"/>
              </w:rPr>
              <w:tab/>
            </w:r>
            <w:r w:rsidR="006C6266" w:rsidRPr="0075246D">
              <w:rPr>
                <w:rStyle w:val="Hyperlink"/>
              </w:rPr>
              <w:t>Long-term strategic planning</w:t>
            </w:r>
            <w:r w:rsidR="006C6266">
              <w:rPr>
                <w:webHidden/>
              </w:rPr>
              <w:tab/>
            </w:r>
            <w:r w:rsidR="006C6266">
              <w:rPr>
                <w:webHidden/>
              </w:rPr>
              <w:fldChar w:fldCharType="begin"/>
            </w:r>
            <w:r w:rsidR="006C6266">
              <w:rPr>
                <w:webHidden/>
              </w:rPr>
              <w:instrText xml:space="preserve"> PAGEREF _Toc384210476 \h </w:instrText>
            </w:r>
            <w:r w:rsidR="006C6266">
              <w:rPr>
                <w:webHidden/>
              </w:rPr>
            </w:r>
            <w:r w:rsidR="006C6266">
              <w:rPr>
                <w:webHidden/>
              </w:rPr>
              <w:fldChar w:fldCharType="separate"/>
            </w:r>
            <w:r w:rsidR="006C6266">
              <w:rPr>
                <w:webHidden/>
              </w:rPr>
              <w:t>10</w:t>
            </w:r>
            <w:r w:rsidR="006C6266">
              <w:rPr>
                <w:webHidden/>
              </w:rPr>
              <w:fldChar w:fldCharType="end"/>
            </w:r>
          </w:hyperlink>
        </w:p>
        <w:p w:rsidR="006C6266" w:rsidRDefault="003C6AF7">
          <w:pPr>
            <w:pStyle w:val="TOC2"/>
            <w:rPr>
              <w:rFonts w:asciiTheme="minorHAnsi" w:hAnsiTheme="minorHAnsi"/>
              <w:sz w:val="22"/>
              <w:szCs w:val="22"/>
              <w:lang w:val="en-US" w:eastAsia="en-US"/>
            </w:rPr>
          </w:pPr>
          <w:hyperlink w:anchor="_Toc384210477" w:history="1">
            <w:r w:rsidR="006C6266" w:rsidRPr="0075246D">
              <w:rPr>
                <w:rStyle w:val="Hyperlink"/>
              </w:rPr>
              <w:t>3.2</w:t>
            </w:r>
            <w:r w:rsidR="006C6266">
              <w:rPr>
                <w:rFonts w:asciiTheme="minorHAnsi" w:hAnsiTheme="minorHAnsi"/>
                <w:sz w:val="22"/>
                <w:szCs w:val="22"/>
                <w:lang w:val="en-US" w:eastAsia="en-US"/>
              </w:rPr>
              <w:tab/>
            </w:r>
            <w:r w:rsidR="006C6266" w:rsidRPr="0075246D">
              <w:rPr>
                <w:rStyle w:val="Hyperlink"/>
              </w:rPr>
              <w:t>When to provide protection</w:t>
            </w:r>
            <w:r w:rsidR="006C6266">
              <w:rPr>
                <w:webHidden/>
              </w:rPr>
              <w:tab/>
            </w:r>
            <w:r w:rsidR="006C6266">
              <w:rPr>
                <w:webHidden/>
              </w:rPr>
              <w:fldChar w:fldCharType="begin"/>
            </w:r>
            <w:r w:rsidR="006C6266">
              <w:rPr>
                <w:webHidden/>
              </w:rPr>
              <w:instrText xml:space="preserve"> PAGEREF _Toc384210477 \h </w:instrText>
            </w:r>
            <w:r w:rsidR="006C6266">
              <w:rPr>
                <w:webHidden/>
              </w:rPr>
            </w:r>
            <w:r w:rsidR="006C6266">
              <w:rPr>
                <w:webHidden/>
              </w:rPr>
              <w:fldChar w:fldCharType="separate"/>
            </w:r>
            <w:r w:rsidR="006C6266">
              <w:rPr>
                <w:webHidden/>
              </w:rPr>
              <w:t>10</w:t>
            </w:r>
            <w:r w:rsidR="006C6266">
              <w:rPr>
                <w:webHidden/>
              </w:rPr>
              <w:fldChar w:fldCharType="end"/>
            </w:r>
          </w:hyperlink>
        </w:p>
        <w:p w:rsidR="006C6266" w:rsidRDefault="003C6AF7">
          <w:pPr>
            <w:pStyle w:val="TOC2"/>
            <w:rPr>
              <w:rFonts w:asciiTheme="minorHAnsi" w:hAnsiTheme="minorHAnsi"/>
              <w:sz w:val="22"/>
              <w:szCs w:val="22"/>
              <w:lang w:val="en-US" w:eastAsia="en-US"/>
            </w:rPr>
          </w:pPr>
          <w:hyperlink w:anchor="_Toc384210478" w:history="1">
            <w:r w:rsidR="006C6266" w:rsidRPr="0075246D">
              <w:rPr>
                <w:rStyle w:val="Hyperlink"/>
              </w:rPr>
              <w:t>3.3</w:t>
            </w:r>
            <w:r w:rsidR="006C6266">
              <w:rPr>
                <w:rFonts w:asciiTheme="minorHAnsi" w:hAnsiTheme="minorHAnsi"/>
                <w:sz w:val="22"/>
                <w:szCs w:val="22"/>
                <w:lang w:val="en-US" w:eastAsia="en-US"/>
              </w:rPr>
              <w:tab/>
            </w:r>
            <w:r w:rsidR="006C6266" w:rsidRPr="0075246D">
              <w:rPr>
                <w:rStyle w:val="Hyperlink"/>
              </w:rPr>
              <w:t>National approach for interstate corridors</w:t>
            </w:r>
            <w:r w:rsidR="006C6266">
              <w:rPr>
                <w:webHidden/>
              </w:rPr>
              <w:tab/>
            </w:r>
            <w:r w:rsidR="006C6266">
              <w:rPr>
                <w:webHidden/>
              </w:rPr>
              <w:fldChar w:fldCharType="begin"/>
            </w:r>
            <w:r w:rsidR="006C6266">
              <w:rPr>
                <w:webHidden/>
              </w:rPr>
              <w:instrText xml:space="preserve"> PAGEREF _Toc384210478 \h </w:instrText>
            </w:r>
            <w:r w:rsidR="006C6266">
              <w:rPr>
                <w:webHidden/>
              </w:rPr>
            </w:r>
            <w:r w:rsidR="006C6266">
              <w:rPr>
                <w:webHidden/>
              </w:rPr>
              <w:fldChar w:fldCharType="separate"/>
            </w:r>
            <w:r w:rsidR="006C6266">
              <w:rPr>
                <w:webHidden/>
              </w:rPr>
              <w:t>11</w:t>
            </w:r>
            <w:r w:rsidR="006C6266">
              <w:rPr>
                <w:webHidden/>
              </w:rPr>
              <w:fldChar w:fldCharType="end"/>
            </w:r>
          </w:hyperlink>
        </w:p>
        <w:p w:rsidR="006C6266" w:rsidRDefault="003C6AF7">
          <w:pPr>
            <w:pStyle w:val="TOC2"/>
            <w:rPr>
              <w:rFonts w:asciiTheme="minorHAnsi" w:hAnsiTheme="minorHAnsi"/>
              <w:sz w:val="22"/>
              <w:szCs w:val="22"/>
              <w:lang w:val="en-US" w:eastAsia="en-US"/>
            </w:rPr>
          </w:pPr>
          <w:hyperlink w:anchor="_Toc384210479" w:history="1">
            <w:r w:rsidR="006C6266" w:rsidRPr="0075246D">
              <w:rPr>
                <w:rStyle w:val="Hyperlink"/>
              </w:rPr>
              <w:t>3.4</w:t>
            </w:r>
            <w:r w:rsidR="006C6266">
              <w:rPr>
                <w:rFonts w:asciiTheme="minorHAnsi" w:hAnsiTheme="minorHAnsi"/>
                <w:sz w:val="22"/>
                <w:szCs w:val="22"/>
                <w:lang w:val="en-US" w:eastAsia="en-US"/>
              </w:rPr>
              <w:tab/>
            </w:r>
            <w:r w:rsidR="006C6266" w:rsidRPr="0075246D">
              <w:rPr>
                <w:rStyle w:val="Hyperlink"/>
              </w:rPr>
              <w:t>Recommendations</w:t>
            </w:r>
            <w:r w:rsidR="006C6266">
              <w:rPr>
                <w:webHidden/>
              </w:rPr>
              <w:tab/>
            </w:r>
            <w:r w:rsidR="006C6266">
              <w:rPr>
                <w:webHidden/>
              </w:rPr>
              <w:fldChar w:fldCharType="begin"/>
            </w:r>
            <w:r w:rsidR="006C6266">
              <w:rPr>
                <w:webHidden/>
              </w:rPr>
              <w:instrText xml:space="preserve"> PAGEREF _Toc384210479 \h </w:instrText>
            </w:r>
            <w:r w:rsidR="006C6266">
              <w:rPr>
                <w:webHidden/>
              </w:rPr>
            </w:r>
            <w:r w:rsidR="006C6266">
              <w:rPr>
                <w:webHidden/>
              </w:rPr>
              <w:fldChar w:fldCharType="separate"/>
            </w:r>
            <w:r w:rsidR="006C6266">
              <w:rPr>
                <w:webHidden/>
              </w:rPr>
              <w:t>11</w:t>
            </w:r>
            <w:r w:rsidR="006C6266">
              <w:rPr>
                <w:webHidden/>
              </w:rPr>
              <w:fldChar w:fldCharType="end"/>
            </w:r>
          </w:hyperlink>
        </w:p>
        <w:p w:rsidR="006C6266" w:rsidRDefault="003C6AF7">
          <w:pPr>
            <w:pStyle w:val="TOC1"/>
            <w:rPr>
              <w:rFonts w:asciiTheme="minorHAnsi" w:eastAsiaTheme="minorEastAsia" w:hAnsiTheme="minorHAnsi" w:cstheme="minorBidi"/>
              <w:b w:val="0"/>
              <w:sz w:val="22"/>
              <w:szCs w:val="22"/>
              <w:lang w:val="en-US"/>
            </w:rPr>
          </w:pPr>
          <w:hyperlink w:anchor="_Toc384210480" w:history="1">
            <w:r w:rsidR="006C6266" w:rsidRPr="0075246D">
              <w:rPr>
                <w:rStyle w:val="Hyperlink"/>
              </w:rPr>
              <w:t>4</w:t>
            </w:r>
            <w:r w:rsidR="006C6266">
              <w:rPr>
                <w:rFonts w:asciiTheme="minorHAnsi" w:eastAsiaTheme="minorEastAsia" w:hAnsiTheme="minorHAnsi" w:cstheme="minorBidi"/>
                <w:b w:val="0"/>
                <w:sz w:val="22"/>
                <w:szCs w:val="22"/>
                <w:lang w:val="en-US"/>
              </w:rPr>
              <w:tab/>
            </w:r>
            <w:r w:rsidR="006C6266" w:rsidRPr="0075246D">
              <w:rPr>
                <w:rStyle w:val="Hyperlink"/>
              </w:rPr>
              <w:t>Data Collection and Benchmarking</w:t>
            </w:r>
            <w:r w:rsidR="006C6266">
              <w:rPr>
                <w:webHidden/>
              </w:rPr>
              <w:tab/>
            </w:r>
            <w:r w:rsidR="006C6266">
              <w:rPr>
                <w:webHidden/>
              </w:rPr>
              <w:fldChar w:fldCharType="begin"/>
            </w:r>
            <w:r w:rsidR="006C6266">
              <w:rPr>
                <w:webHidden/>
              </w:rPr>
              <w:instrText xml:space="preserve"> PAGEREF _Toc384210480 \h </w:instrText>
            </w:r>
            <w:r w:rsidR="006C6266">
              <w:rPr>
                <w:webHidden/>
              </w:rPr>
            </w:r>
            <w:r w:rsidR="006C6266">
              <w:rPr>
                <w:webHidden/>
              </w:rPr>
              <w:fldChar w:fldCharType="separate"/>
            </w:r>
            <w:r w:rsidR="006C6266">
              <w:rPr>
                <w:webHidden/>
              </w:rPr>
              <w:t>12</w:t>
            </w:r>
            <w:r w:rsidR="006C6266">
              <w:rPr>
                <w:webHidden/>
              </w:rPr>
              <w:fldChar w:fldCharType="end"/>
            </w:r>
          </w:hyperlink>
        </w:p>
        <w:p w:rsidR="006C6266" w:rsidRDefault="003C6AF7">
          <w:pPr>
            <w:pStyle w:val="TOC2"/>
            <w:rPr>
              <w:rFonts w:asciiTheme="minorHAnsi" w:hAnsiTheme="minorHAnsi"/>
              <w:sz w:val="22"/>
              <w:szCs w:val="22"/>
              <w:lang w:val="en-US" w:eastAsia="en-US"/>
            </w:rPr>
          </w:pPr>
          <w:hyperlink w:anchor="_Toc384210481" w:history="1">
            <w:r w:rsidR="006C6266" w:rsidRPr="0075246D">
              <w:rPr>
                <w:rStyle w:val="Hyperlink"/>
              </w:rPr>
              <w:t>4.1</w:t>
            </w:r>
            <w:r w:rsidR="006C6266">
              <w:rPr>
                <w:rFonts w:asciiTheme="minorHAnsi" w:hAnsiTheme="minorHAnsi"/>
                <w:sz w:val="22"/>
                <w:szCs w:val="22"/>
                <w:lang w:val="en-US" w:eastAsia="en-US"/>
              </w:rPr>
              <w:tab/>
            </w:r>
            <w:r w:rsidR="006C6266" w:rsidRPr="0075246D">
              <w:rPr>
                <w:rStyle w:val="Hyperlink"/>
              </w:rPr>
              <w:t>Current status</w:t>
            </w:r>
            <w:r w:rsidR="006C6266">
              <w:rPr>
                <w:webHidden/>
              </w:rPr>
              <w:tab/>
            </w:r>
            <w:r w:rsidR="006C6266">
              <w:rPr>
                <w:webHidden/>
              </w:rPr>
              <w:fldChar w:fldCharType="begin"/>
            </w:r>
            <w:r w:rsidR="006C6266">
              <w:rPr>
                <w:webHidden/>
              </w:rPr>
              <w:instrText xml:space="preserve"> PAGEREF _Toc384210481 \h </w:instrText>
            </w:r>
            <w:r w:rsidR="006C6266">
              <w:rPr>
                <w:webHidden/>
              </w:rPr>
            </w:r>
            <w:r w:rsidR="006C6266">
              <w:rPr>
                <w:webHidden/>
              </w:rPr>
              <w:fldChar w:fldCharType="separate"/>
            </w:r>
            <w:r w:rsidR="006C6266">
              <w:rPr>
                <w:webHidden/>
              </w:rPr>
              <w:t>13</w:t>
            </w:r>
            <w:r w:rsidR="006C6266">
              <w:rPr>
                <w:webHidden/>
              </w:rPr>
              <w:fldChar w:fldCharType="end"/>
            </w:r>
          </w:hyperlink>
        </w:p>
        <w:p w:rsidR="006C6266" w:rsidRDefault="003C6AF7">
          <w:pPr>
            <w:pStyle w:val="TOC2"/>
            <w:rPr>
              <w:rFonts w:asciiTheme="minorHAnsi" w:hAnsiTheme="minorHAnsi"/>
              <w:sz w:val="22"/>
              <w:szCs w:val="22"/>
              <w:lang w:val="en-US" w:eastAsia="en-US"/>
            </w:rPr>
          </w:pPr>
          <w:hyperlink w:anchor="_Toc384210482" w:history="1">
            <w:r w:rsidR="006C6266" w:rsidRPr="0075246D">
              <w:rPr>
                <w:rStyle w:val="Hyperlink"/>
              </w:rPr>
              <w:t>4.2</w:t>
            </w:r>
            <w:r w:rsidR="006C6266">
              <w:rPr>
                <w:rFonts w:asciiTheme="minorHAnsi" w:hAnsiTheme="minorHAnsi"/>
                <w:sz w:val="22"/>
                <w:szCs w:val="22"/>
                <w:lang w:val="en-US" w:eastAsia="en-US"/>
              </w:rPr>
              <w:tab/>
            </w:r>
            <w:r w:rsidR="006C6266" w:rsidRPr="0075246D">
              <w:rPr>
                <w:rStyle w:val="Hyperlink"/>
              </w:rPr>
              <w:t>Objectives of a benchmarking process</w:t>
            </w:r>
            <w:r w:rsidR="006C6266">
              <w:rPr>
                <w:webHidden/>
              </w:rPr>
              <w:tab/>
            </w:r>
            <w:r w:rsidR="006C6266">
              <w:rPr>
                <w:webHidden/>
              </w:rPr>
              <w:fldChar w:fldCharType="begin"/>
            </w:r>
            <w:r w:rsidR="006C6266">
              <w:rPr>
                <w:webHidden/>
              </w:rPr>
              <w:instrText xml:space="preserve"> PAGEREF _Toc384210482 \h </w:instrText>
            </w:r>
            <w:r w:rsidR="006C6266">
              <w:rPr>
                <w:webHidden/>
              </w:rPr>
            </w:r>
            <w:r w:rsidR="006C6266">
              <w:rPr>
                <w:webHidden/>
              </w:rPr>
              <w:fldChar w:fldCharType="separate"/>
            </w:r>
            <w:r w:rsidR="006C6266">
              <w:rPr>
                <w:webHidden/>
              </w:rPr>
              <w:t>13</w:t>
            </w:r>
            <w:r w:rsidR="006C6266">
              <w:rPr>
                <w:webHidden/>
              </w:rPr>
              <w:fldChar w:fldCharType="end"/>
            </w:r>
          </w:hyperlink>
        </w:p>
        <w:p w:rsidR="006C6266" w:rsidRDefault="003C6AF7">
          <w:pPr>
            <w:pStyle w:val="TOC2"/>
            <w:rPr>
              <w:rFonts w:asciiTheme="minorHAnsi" w:hAnsiTheme="minorHAnsi"/>
              <w:sz w:val="22"/>
              <w:szCs w:val="22"/>
              <w:lang w:val="en-US" w:eastAsia="en-US"/>
            </w:rPr>
          </w:pPr>
          <w:hyperlink w:anchor="_Toc384210483" w:history="1">
            <w:r w:rsidR="006C6266" w:rsidRPr="0075246D">
              <w:rPr>
                <w:rStyle w:val="Hyperlink"/>
              </w:rPr>
              <w:t>4.3</w:t>
            </w:r>
            <w:r w:rsidR="006C6266">
              <w:rPr>
                <w:rFonts w:asciiTheme="minorHAnsi" w:hAnsiTheme="minorHAnsi"/>
                <w:sz w:val="22"/>
                <w:szCs w:val="22"/>
                <w:lang w:val="en-US" w:eastAsia="en-US"/>
              </w:rPr>
              <w:tab/>
            </w:r>
            <w:r w:rsidR="006C6266" w:rsidRPr="0075246D">
              <w:rPr>
                <w:rStyle w:val="Hyperlink"/>
              </w:rPr>
              <w:t>Scope of benchmarking</w:t>
            </w:r>
            <w:r w:rsidR="006C6266">
              <w:rPr>
                <w:webHidden/>
              </w:rPr>
              <w:tab/>
            </w:r>
            <w:r w:rsidR="006C6266">
              <w:rPr>
                <w:webHidden/>
              </w:rPr>
              <w:fldChar w:fldCharType="begin"/>
            </w:r>
            <w:r w:rsidR="006C6266">
              <w:rPr>
                <w:webHidden/>
              </w:rPr>
              <w:instrText xml:space="preserve"> PAGEREF _Toc384210483 \h </w:instrText>
            </w:r>
            <w:r w:rsidR="006C6266">
              <w:rPr>
                <w:webHidden/>
              </w:rPr>
            </w:r>
            <w:r w:rsidR="006C6266">
              <w:rPr>
                <w:webHidden/>
              </w:rPr>
              <w:fldChar w:fldCharType="separate"/>
            </w:r>
            <w:r w:rsidR="006C6266">
              <w:rPr>
                <w:webHidden/>
              </w:rPr>
              <w:t>14</w:t>
            </w:r>
            <w:r w:rsidR="006C6266">
              <w:rPr>
                <w:webHidden/>
              </w:rPr>
              <w:fldChar w:fldCharType="end"/>
            </w:r>
          </w:hyperlink>
        </w:p>
        <w:p w:rsidR="006C6266" w:rsidRDefault="003C6AF7">
          <w:pPr>
            <w:pStyle w:val="TOC2"/>
            <w:rPr>
              <w:rFonts w:asciiTheme="minorHAnsi" w:hAnsiTheme="minorHAnsi"/>
              <w:sz w:val="22"/>
              <w:szCs w:val="22"/>
              <w:lang w:val="en-US" w:eastAsia="en-US"/>
            </w:rPr>
          </w:pPr>
          <w:hyperlink w:anchor="_Toc384210484" w:history="1">
            <w:r w:rsidR="006C6266" w:rsidRPr="0075246D">
              <w:rPr>
                <w:rStyle w:val="Hyperlink"/>
              </w:rPr>
              <w:t>4.4</w:t>
            </w:r>
            <w:r w:rsidR="006C6266">
              <w:rPr>
                <w:rFonts w:asciiTheme="minorHAnsi" w:hAnsiTheme="minorHAnsi"/>
                <w:sz w:val="22"/>
                <w:szCs w:val="22"/>
                <w:lang w:val="en-US" w:eastAsia="en-US"/>
              </w:rPr>
              <w:tab/>
            </w:r>
            <w:r w:rsidR="006C6266" w:rsidRPr="0075246D">
              <w:rPr>
                <w:rStyle w:val="Hyperlink"/>
              </w:rPr>
              <w:t>Critical success factors</w:t>
            </w:r>
            <w:r w:rsidR="006C6266">
              <w:rPr>
                <w:webHidden/>
              </w:rPr>
              <w:tab/>
            </w:r>
            <w:r w:rsidR="006C6266">
              <w:rPr>
                <w:webHidden/>
              </w:rPr>
              <w:fldChar w:fldCharType="begin"/>
            </w:r>
            <w:r w:rsidR="006C6266">
              <w:rPr>
                <w:webHidden/>
              </w:rPr>
              <w:instrText xml:space="preserve"> PAGEREF _Toc384210484 \h </w:instrText>
            </w:r>
            <w:r w:rsidR="006C6266">
              <w:rPr>
                <w:webHidden/>
              </w:rPr>
            </w:r>
            <w:r w:rsidR="006C6266">
              <w:rPr>
                <w:webHidden/>
              </w:rPr>
              <w:fldChar w:fldCharType="separate"/>
            </w:r>
            <w:r w:rsidR="006C6266">
              <w:rPr>
                <w:webHidden/>
              </w:rPr>
              <w:t>15</w:t>
            </w:r>
            <w:r w:rsidR="006C6266">
              <w:rPr>
                <w:webHidden/>
              </w:rPr>
              <w:fldChar w:fldCharType="end"/>
            </w:r>
          </w:hyperlink>
        </w:p>
        <w:p w:rsidR="006C6266" w:rsidRDefault="003C6AF7">
          <w:pPr>
            <w:pStyle w:val="TOC2"/>
            <w:rPr>
              <w:rFonts w:asciiTheme="minorHAnsi" w:hAnsiTheme="minorHAnsi"/>
              <w:sz w:val="22"/>
              <w:szCs w:val="22"/>
              <w:lang w:val="en-US" w:eastAsia="en-US"/>
            </w:rPr>
          </w:pPr>
          <w:hyperlink w:anchor="_Toc384210485" w:history="1">
            <w:r w:rsidR="006C6266" w:rsidRPr="0075246D">
              <w:rPr>
                <w:rStyle w:val="Hyperlink"/>
              </w:rPr>
              <w:t>4.5</w:t>
            </w:r>
            <w:r w:rsidR="006C6266">
              <w:rPr>
                <w:rFonts w:asciiTheme="minorHAnsi" w:hAnsiTheme="minorHAnsi"/>
                <w:sz w:val="22"/>
                <w:szCs w:val="22"/>
                <w:lang w:val="en-US" w:eastAsia="en-US"/>
              </w:rPr>
              <w:tab/>
            </w:r>
            <w:r w:rsidR="006C6266" w:rsidRPr="0075246D">
              <w:rPr>
                <w:rStyle w:val="Hyperlink"/>
              </w:rPr>
              <w:t>Recommendations</w:t>
            </w:r>
            <w:r w:rsidR="006C6266">
              <w:rPr>
                <w:webHidden/>
              </w:rPr>
              <w:tab/>
            </w:r>
            <w:r w:rsidR="006C6266">
              <w:rPr>
                <w:webHidden/>
              </w:rPr>
              <w:fldChar w:fldCharType="begin"/>
            </w:r>
            <w:r w:rsidR="006C6266">
              <w:rPr>
                <w:webHidden/>
              </w:rPr>
              <w:instrText xml:space="preserve"> PAGEREF _Toc384210485 \h </w:instrText>
            </w:r>
            <w:r w:rsidR="006C6266">
              <w:rPr>
                <w:webHidden/>
              </w:rPr>
            </w:r>
            <w:r w:rsidR="006C6266">
              <w:rPr>
                <w:webHidden/>
              </w:rPr>
              <w:fldChar w:fldCharType="separate"/>
            </w:r>
            <w:r w:rsidR="006C6266">
              <w:rPr>
                <w:webHidden/>
              </w:rPr>
              <w:t>16</w:t>
            </w:r>
            <w:r w:rsidR="006C6266">
              <w:rPr>
                <w:webHidden/>
              </w:rPr>
              <w:fldChar w:fldCharType="end"/>
            </w:r>
          </w:hyperlink>
        </w:p>
        <w:p w:rsidR="007966EE" w:rsidRPr="00914F07" w:rsidRDefault="007966EE" w:rsidP="007966EE">
          <w:pPr>
            <w:pStyle w:val="TOC2"/>
          </w:pPr>
          <w:r>
            <w:rPr>
              <w:b/>
              <w:sz w:val="19"/>
            </w:rPr>
            <w:fldChar w:fldCharType="end"/>
          </w:r>
        </w:p>
      </w:sdtContent>
    </w:sdt>
    <w:p w:rsidR="00914F07" w:rsidRPr="00914F07" w:rsidRDefault="00914F07" w:rsidP="00914F07">
      <w:pPr>
        <w:pStyle w:val="Heading1"/>
      </w:pPr>
      <w:bookmarkStart w:id="1" w:name="_Toc384210468"/>
      <w:r w:rsidRPr="00914F07">
        <w:lastRenderedPageBreak/>
        <w:t>Introduction</w:t>
      </w:r>
      <w:r w:rsidR="00B02384">
        <w:t xml:space="preserve"> &amp; Recommendations</w:t>
      </w:r>
      <w:bookmarkEnd w:id="1"/>
    </w:p>
    <w:p w:rsidR="006C6266" w:rsidRDefault="00B801AC" w:rsidP="007E25F5">
      <w:r>
        <w:t>Evans &amp; Peck is a major Australian-based advisory firm that focuses on the infrastructure and resources sectors.  We provide advisory services across the infrastructure lifecycle from upfront policy and strategy considerations</w:t>
      </w:r>
      <w:r w:rsidR="0027729C">
        <w:t>,</w:t>
      </w:r>
      <w:r>
        <w:t xml:space="preserve"> to </w:t>
      </w:r>
      <w:r w:rsidR="0027729C">
        <w:t xml:space="preserve">preparation of business cases and their inputs, to </w:t>
      </w:r>
      <w:r>
        <w:t>delivery and contract services.  Our scope of advisory services encompass commercial, financial and technical.  The extent and breadth of our work has furnished us with deep understanding and insights into the infrastructure sector</w:t>
      </w:r>
      <w:r w:rsidR="004A43D5">
        <w:t xml:space="preserve"> in Australia and internationally</w:t>
      </w:r>
      <w:r>
        <w:t>.</w:t>
      </w:r>
      <w:r w:rsidR="007966EE">
        <w:t xml:space="preserve"> </w:t>
      </w:r>
    </w:p>
    <w:p w:rsidR="00B801AC" w:rsidRDefault="007966EE" w:rsidP="007E25F5">
      <w:r w:rsidRPr="007966EE">
        <w:t xml:space="preserve">In 2014, Evans &amp; Peck was awarded the Infrastructure Partnerships Australia </w:t>
      </w:r>
      <w:r w:rsidRPr="007966EE">
        <w:rPr>
          <w:b/>
          <w:bCs/>
        </w:rPr>
        <w:t xml:space="preserve">Advisory Excellence Award </w:t>
      </w:r>
      <w:r w:rsidRPr="007966EE">
        <w:t>for the transaction management services and advice we provided to the State on th</w:t>
      </w:r>
      <w:r>
        <w:t>e $2.5 billion Sydney International Convention, Exhibition &amp; Entertainment Precinct</w:t>
      </w:r>
      <w:r w:rsidRPr="007966EE">
        <w:t>.</w:t>
      </w:r>
    </w:p>
    <w:p w:rsidR="004A43D5" w:rsidRDefault="00B801AC" w:rsidP="007E25F5">
      <w:r>
        <w:t xml:space="preserve">Evans &amp; Peck welcomes the Commission’s Draft Report.  It makes a substantial and timely contribution to the public debate on how we can best address the infrastructure issues facing this country.  </w:t>
      </w:r>
    </w:p>
    <w:p w:rsidR="00B801AC" w:rsidRDefault="00B801AC" w:rsidP="007E25F5">
      <w:r>
        <w:t>Importantly, the report distinguishes between funding and financing and re-enforces that funding shortfalls provide a much greater constraint than the operation of financi</w:t>
      </w:r>
      <w:r w:rsidR="0027729C">
        <w:t>al</w:t>
      </w:r>
      <w:r>
        <w:t xml:space="preserve"> markets.  Important also is the stark reminder that funding for infrastructure can come only from three sources</w:t>
      </w:r>
    </w:p>
    <w:p w:rsidR="00B801AC" w:rsidRDefault="00B801AC" w:rsidP="007E25F5">
      <w:pPr>
        <w:pStyle w:val="ListBullet"/>
      </w:pPr>
      <w:r w:rsidRPr="007F454A">
        <w:t>Government – using current surpluses and borrowings</w:t>
      </w:r>
      <w:r w:rsidR="0027729C">
        <w:t>, or revenue from asset sales</w:t>
      </w:r>
      <w:r w:rsidRPr="007F454A">
        <w:t xml:space="preserve"> </w:t>
      </w:r>
    </w:p>
    <w:p w:rsidR="00B801AC" w:rsidRDefault="00B801AC" w:rsidP="007E25F5">
      <w:pPr>
        <w:pStyle w:val="ListBullet"/>
      </w:pPr>
      <w:r>
        <w:t>Users – through direct payment for use of the infrastructure and related services</w:t>
      </w:r>
      <w:r w:rsidRPr="007F454A">
        <w:t xml:space="preserve"> </w:t>
      </w:r>
    </w:p>
    <w:p w:rsidR="00B801AC" w:rsidRDefault="00B801AC" w:rsidP="007E25F5">
      <w:pPr>
        <w:pStyle w:val="ListBullet"/>
      </w:pPr>
      <w:r>
        <w:t xml:space="preserve">Third party beneficiaries – through their </w:t>
      </w:r>
      <w:r w:rsidR="007E25F5">
        <w:t>identification</w:t>
      </w:r>
      <w:r>
        <w:t xml:space="preserve"> and contribution.</w:t>
      </w:r>
    </w:p>
    <w:p w:rsidR="002C2A12" w:rsidRDefault="0027729C" w:rsidP="002C2A12">
      <w:r>
        <w:t xml:space="preserve">Our submission </w:t>
      </w:r>
      <w:r w:rsidR="002C2A12">
        <w:t xml:space="preserve">addresses </w:t>
      </w:r>
      <w:r>
        <w:t>the first of these</w:t>
      </w:r>
      <w:r w:rsidR="002C2A12">
        <w:t xml:space="preserve"> -</w:t>
      </w:r>
      <w:r w:rsidR="00936C10">
        <w:t xml:space="preserve"> </w:t>
      </w:r>
      <w:r w:rsidR="002C2A12">
        <w:t>government as a source of funding – and focuses on three initiatives outlined in the Commission’s Draft Report for getting better value from existing government infrastructure funding levels:</w:t>
      </w:r>
    </w:p>
    <w:p w:rsidR="00913CA2" w:rsidRDefault="002C2A12" w:rsidP="000B0A37">
      <w:pPr>
        <w:pStyle w:val="ListNumber"/>
      </w:pPr>
      <w:r>
        <w:t>Governance and Institutional Arrangements</w:t>
      </w:r>
      <w:r w:rsidR="00961792">
        <w:t xml:space="preserve"> </w:t>
      </w:r>
    </w:p>
    <w:p w:rsidR="002C2A12" w:rsidRDefault="002C2A12" w:rsidP="000B0A37">
      <w:pPr>
        <w:pStyle w:val="ListNumber"/>
      </w:pPr>
      <w:r>
        <w:t>Corridor Protection</w:t>
      </w:r>
    </w:p>
    <w:p w:rsidR="002C2A12" w:rsidRDefault="002C2A12" w:rsidP="000B0A37">
      <w:pPr>
        <w:pStyle w:val="ListNumber"/>
      </w:pPr>
      <w:r>
        <w:t xml:space="preserve">Project Benchmarking.  </w:t>
      </w:r>
    </w:p>
    <w:p w:rsidR="00B801AC" w:rsidRDefault="00961792" w:rsidP="00B801AC">
      <w:pPr>
        <w:rPr>
          <w:color w:val="000000" w:themeColor="text1"/>
        </w:rPr>
      </w:pPr>
      <w:r>
        <w:t xml:space="preserve">In our submission, we have attempted to provide contributions </w:t>
      </w:r>
      <w:r w:rsidR="00B801AC" w:rsidRPr="007E25F5">
        <w:t>which we believe could add to the Commission’s practical understanding and/or provide additional relevant material for it to consider</w:t>
      </w:r>
      <w:r w:rsidR="00B801AC">
        <w:rPr>
          <w:color w:val="000000" w:themeColor="text1"/>
        </w:rPr>
        <w:t xml:space="preserve">. </w:t>
      </w:r>
    </w:p>
    <w:p w:rsidR="00E31519" w:rsidRDefault="00E31519">
      <w:pPr>
        <w:spacing w:before="0" w:after="120"/>
        <w:rPr>
          <w:lang w:eastAsia="en-AU"/>
        </w:rPr>
      </w:pPr>
      <w:r>
        <w:rPr>
          <w:lang w:eastAsia="en-AU"/>
        </w:rPr>
        <w:br w:type="page"/>
      </w:r>
    </w:p>
    <w:p w:rsidR="00913CA2" w:rsidRDefault="00913CA2" w:rsidP="00913CA2">
      <w:pPr>
        <w:rPr>
          <w:lang w:eastAsia="en-AU"/>
        </w:rPr>
      </w:pPr>
      <w:r>
        <w:rPr>
          <w:lang w:eastAsia="en-AU"/>
        </w:rPr>
        <w:lastRenderedPageBreak/>
        <w:t>Our recommendations are:</w:t>
      </w:r>
    </w:p>
    <w:p w:rsidR="00E31519" w:rsidRDefault="00E31519" w:rsidP="00913CA2">
      <w:pPr>
        <w:rPr>
          <w:lang w:eastAsia="en-AU"/>
        </w:rPr>
      </w:pPr>
      <w:r>
        <w:rPr>
          <w:noProof/>
          <w:lang w:eastAsia="en-AU"/>
        </w:rPr>
        <mc:AlternateContent>
          <mc:Choice Requires="wps">
            <w:drawing>
              <wp:anchor distT="0" distB="0" distL="114300" distR="114300" simplePos="0" relativeHeight="251657215" behindDoc="1" locked="0" layoutInCell="1" allowOverlap="1" wp14:anchorId="56F56806" wp14:editId="1FA481E1">
                <wp:simplePos x="0" y="0"/>
                <wp:positionH relativeFrom="column">
                  <wp:posOffset>7711</wp:posOffset>
                </wp:positionH>
                <wp:positionV relativeFrom="paragraph">
                  <wp:posOffset>207191</wp:posOffset>
                </wp:positionV>
                <wp:extent cx="5511165" cy="1562100"/>
                <wp:effectExtent l="0" t="0" r="0" b="0"/>
                <wp:wrapNone/>
                <wp:docPr id="2" name="Rectangle 2"/>
                <wp:cNvGraphicFramePr/>
                <a:graphic xmlns:a="http://schemas.openxmlformats.org/drawingml/2006/main">
                  <a:graphicData uri="http://schemas.microsoft.com/office/word/2010/wordprocessingShape">
                    <wps:wsp>
                      <wps:cNvSpPr/>
                      <wps:spPr>
                        <a:xfrm>
                          <a:off x="0" y="0"/>
                          <a:ext cx="5511165" cy="1562100"/>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 o:spid="_x0000_s1026" style="position:absolute;margin-left:.6pt;margin-top:16.3pt;width:433.95pt;height:123pt;z-index:-251659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" fillcolor="#d4e2eb [662]" stroked="f" strokeweight="2pt"/>
            </w:pict>
          </mc:Fallback>
        </mc:AlternateContent>
      </w:r>
    </w:p>
    <w:p w:rsidR="00913CA2" w:rsidRPr="00913CA2" w:rsidRDefault="00913CA2" w:rsidP="00E31519">
      <w:pPr>
        <w:pStyle w:val="newlistbold"/>
        <w:tabs>
          <w:tab w:val="clear" w:pos="567"/>
          <w:tab w:val="left" w:pos="851"/>
        </w:tabs>
        <w:ind w:left="851"/>
      </w:pPr>
      <w:r w:rsidRPr="00913CA2">
        <w:t xml:space="preserve">Governance and Institutional Arrangements – General Government Sector </w:t>
      </w:r>
    </w:p>
    <w:p w:rsidR="00913CA2" w:rsidRDefault="00913CA2" w:rsidP="00E31519">
      <w:pPr>
        <w:pStyle w:val="ListBullet"/>
        <w:tabs>
          <w:tab w:val="left" w:pos="1134"/>
        </w:tabs>
        <w:ind w:left="1134" w:hanging="283"/>
      </w:pPr>
      <w:r>
        <w:t>Governments consider  the introduction of an infrastructure decision-making framework in the general government sector that devolves greater incentive and responsibility to the agencies that use those assets to provide services</w:t>
      </w:r>
    </w:p>
    <w:p w:rsidR="00913CA2" w:rsidRDefault="00913CA2" w:rsidP="000B51A3">
      <w:pPr>
        <w:pStyle w:val="ListBullet"/>
        <w:tabs>
          <w:tab w:val="left" w:pos="1134"/>
        </w:tabs>
        <w:ind w:left="1134" w:hanging="283"/>
      </w:pPr>
      <w:r>
        <w:t>Introduction of such a framework be considered initially through pilot schemes, to enable a focus on addressing ‘teething’ issues and an assessment of the merits and timing of its wider adoption.</w:t>
      </w:r>
    </w:p>
    <w:p w:rsidR="00E31519" w:rsidRPr="009E6D58" w:rsidRDefault="00E31519" w:rsidP="00E31519">
      <w:pPr>
        <w:pStyle w:val="ListBullet"/>
        <w:numPr>
          <w:ilvl w:val="0"/>
          <w:numId w:val="0"/>
        </w:numPr>
        <w:tabs>
          <w:tab w:val="left" w:pos="1134"/>
        </w:tabs>
        <w:ind w:left="1134" w:hanging="283"/>
      </w:pPr>
      <w:r>
        <w:rPr>
          <w:noProof/>
        </w:rPr>
        <mc:AlternateContent>
          <mc:Choice Requires="wps">
            <w:drawing>
              <wp:anchor distT="0" distB="0" distL="114300" distR="114300" simplePos="0" relativeHeight="251662336" behindDoc="1" locked="0" layoutInCell="1" allowOverlap="1" wp14:anchorId="5DED4E74" wp14:editId="73E78F81">
                <wp:simplePos x="0" y="0"/>
                <wp:positionH relativeFrom="column">
                  <wp:posOffset>2268</wp:posOffset>
                </wp:positionH>
                <wp:positionV relativeFrom="paragraph">
                  <wp:posOffset>181610</wp:posOffset>
                </wp:positionV>
                <wp:extent cx="5511165" cy="1502229"/>
                <wp:effectExtent l="0" t="0" r="0" b="3175"/>
                <wp:wrapNone/>
                <wp:docPr id="8" name="Rectangle 8"/>
                <wp:cNvGraphicFramePr/>
                <a:graphic xmlns:a="http://schemas.openxmlformats.org/drawingml/2006/main">
                  <a:graphicData uri="http://schemas.microsoft.com/office/word/2010/wordprocessingShape">
                    <wps:wsp>
                      <wps:cNvSpPr/>
                      <wps:spPr>
                        <a:xfrm>
                          <a:off x="0" y="0"/>
                          <a:ext cx="5511165" cy="1502229"/>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 o:spid="_x0000_s1026" style="position:absolute;margin-left:.2pt;margin-top:14.3pt;width:433.95pt;height:118.3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" fillcolor="#d4e2eb [662]" stroked="f" strokeweight="2pt"/>
            </w:pict>
          </mc:Fallback>
        </mc:AlternateContent>
      </w:r>
    </w:p>
    <w:p w:rsidR="00913CA2" w:rsidRPr="00913CA2" w:rsidRDefault="00913CA2" w:rsidP="00E31519">
      <w:pPr>
        <w:pStyle w:val="newlistbold"/>
        <w:tabs>
          <w:tab w:val="clear" w:pos="567"/>
          <w:tab w:val="left" w:pos="851"/>
        </w:tabs>
        <w:ind w:left="851"/>
      </w:pPr>
      <w:r w:rsidRPr="00913CA2">
        <w:t>Corridor Protection</w:t>
      </w:r>
    </w:p>
    <w:p w:rsidR="001317DB" w:rsidRDefault="001317DB" w:rsidP="00E31519">
      <w:pPr>
        <w:pStyle w:val="ListBullet"/>
        <w:tabs>
          <w:tab w:val="left" w:pos="1134"/>
        </w:tabs>
        <w:ind w:left="1134" w:hanging="283"/>
      </w:pPr>
      <w:r>
        <w:t xml:space="preserve">Greater emphasis is given by governments </w:t>
      </w:r>
      <w:r w:rsidR="000B51A3">
        <w:t>to</w:t>
      </w:r>
      <w:r>
        <w:t xml:space="preserve"> long-term strategic planning of service needs and resulting proposed infrastructure responses</w:t>
      </w:r>
    </w:p>
    <w:p w:rsidR="001317DB" w:rsidRDefault="001317DB" w:rsidP="00E31519">
      <w:pPr>
        <w:pStyle w:val="ListBullet"/>
        <w:tabs>
          <w:tab w:val="left" w:pos="1134"/>
        </w:tabs>
        <w:ind w:left="1134" w:hanging="283"/>
      </w:pPr>
      <w:r>
        <w:t>As soon as corridors are identified through such processes, they should be protected</w:t>
      </w:r>
    </w:p>
    <w:p w:rsidR="001317DB" w:rsidRDefault="001317DB" w:rsidP="00E31519">
      <w:pPr>
        <w:pStyle w:val="ListBullet"/>
        <w:tabs>
          <w:tab w:val="left" w:pos="1134"/>
        </w:tabs>
        <w:ind w:left="1134" w:hanging="283"/>
      </w:pPr>
      <w:r>
        <w:t>A national approach be established to facilitate protection for corridors that cross jurisdictional boundaries.</w:t>
      </w:r>
    </w:p>
    <w:p w:rsidR="007D4B65" w:rsidRDefault="00E31519" w:rsidP="00E31519">
      <w:pPr>
        <w:tabs>
          <w:tab w:val="left" w:pos="851"/>
        </w:tabs>
        <w:ind w:left="851" w:hanging="567"/>
      </w:pPr>
      <w:r>
        <w:rPr>
          <w:noProof/>
          <w:lang w:eastAsia="en-AU"/>
        </w:rPr>
        <mc:AlternateContent>
          <mc:Choice Requires="wps">
            <w:drawing>
              <wp:anchor distT="0" distB="0" distL="114300" distR="114300" simplePos="0" relativeHeight="251664384" behindDoc="1" locked="0" layoutInCell="1" allowOverlap="1" wp14:anchorId="5279D0C9" wp14:editId="264B7DD9">
                <wp:simplePos x="0" y="0"/>
                <wp:positionH relativeFrom="column">
                  <wp:posOffset>-3175</wp:posOffset>
                </wp:positionH>
                <wp:positionV relativeFrom="paragraph">
                  <wp:posOffset>190863</wp:posOffset>
                </wp:positionV>
                <wp:extent cx="5511165" cy="2503714"/>
                <wp:effectExtent l="0" t="0" r="0" b="0"/>
                <wp:wrapNone/>
                <wp:docPr id="10" name="Rectangle 10"/>
                <wp:cNvGraphicFramePr/>
                <a:graphic xmlns:a="http://schemas.openxmlformats.org/drawingml/2006/main">
                  <a:graphicData uri="http://schemas.microsoft.com/office/word/2010/wordprocessingShape">
                    <wps:wsp>
                      <wps:cNvSpPr/>
                      <wps:spPr>
                        <a:xfrm>
                          <a:off x="0" y="0"/>
                          <a:ext cx="5511165" cy="250371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0" o:spid="_x0000_s1026" style="position:absolute;margin-left:-.25pt;margin-top:15.05pt;width:433.95pt;height:197.1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" fillcolor="#d4e2eb [662]" stroked="f" strokeweight="2pt"/>
            </w:pict>
          </mc:Fallback>
        </mc:AlternateContent>
      </w:r>
    </w:p>
    <w:p w:rsidR="00913CA2" w:rsidRPr="00913CA2" w:rsidRDefault="00913CA2" w:rsidP="00E31519">
      <w:pPr>
        <w:pStyle w:val="newlistbold"/>
        <w:tabs>
          <w:tab w:val="clear" w:pos="567"/>
          <w:tab w:val="left" w:pos="851"/>
        </w:tabs>
        <w:ind w:left="851"/>
      </w:pPr>
      <w:r w:rsidRPr="00913CA2">
        <w:t xml:space="preserve">Project Benchmarking  </w:t>
      </w:r>
    </w:p>
    <w:p w:rsidR="00E03C57" w:rsidRDefault="00E03C57" w:rsidP="00E31519">
      <w:pPr>
        <w:pStyle w:val="ListBullet"/>
        <w:tabs>
          <w:tab w:val="left" w:pos="1134"/>
        </w:tabs>
        <w:ind w:left="1134" w:hanging="283"/>
      </w:pPr>
      <w:r>
        <w:t>When establishing benchmarking frameworks, regard be given to the Key Principles identified in s4.4</w:t>
      </w:r>
    </w:p>
    <w:p w:rsidR="00B02384" w:rsidRDefault="00913CA2" w:rsidP="00E31519">
      <w:pPr>
        <w:pStyle w:val="ListBullet"/>
        <w:tabs>
          <w:tab w:val="left" w:pos="1134"/>
        </w:tabs>
        <w:ind w:left="1134" w:hanging="283"/>
      </w:pPr>
      <w:r w:rsidRPr="007E25F5">
        <w:t xml:space="preserve">Expand the </w:t>
      </w:r>
      <w:r w:rsidR="00B02384">
        <w:t>Australian</w:t>
      </w:r>
      <w:r w:rsidRPr="007E25F5">
        <w:t xml:space="preserve"> </w:t>
      </w:r>
      <w:r w:rsidR="00B02384">
        <w:t>G</w:t>
      </w:r>
      <w:r w:rsidRPr="007E25F5">
        <w:t xml:space="preserve">overnment’s </w:t>
      </w:r>
      <w:r w:rsidR="00B02384">
        <w:t>Project Cost Breakdown (</w:t>
      </w:r>
      <w:r w:rsidRPr="007E25F5">
        <w:t>PCB</w:t>
      </w:r>
      <w:r w:rsidR="00B02384">
        <w:t>)</w:t>
      </w:r>
      <w:r w:rsidRPr="007E25F5">
        <w:t xml:space="preserve"> principles </w:t>
      </w:r>
      <w:r w:rsidR="00E31519">
        <w:br/>
      </w:r>
      <w:r w:rsidR="00B02384">
        <w:t xml:space="preserve">beyond road and rail transport </w:t>
      </w:r>
      <w:r w:rsidRPr="007E25F5">
        <w:t>to other sectors wh</w:t>
      </w:r>
      <w:r w:rsidR="00B02384">
        <w:t xml:space="preserve">ich it </w:t>
      </w:r>
      <w:r w:rsidRPr="007E25F5">
        <w:t xml:space="preserve">either funds or makes a </w:t>
      </w:r>
      <w:r w:rsidR="00B02384">
        <w:t xml:space="preserve">financial </w:t>
      </w:r>
      <w:r w:rsidRPr="007E25F5">
        <w:t xml:space="preserve">contribution </w:t>
      </w:r>
      <w:r w:rsidR="004A43D5">
        <w:t>toward</w:t>
      </w:r>
    </w:p>
    <w:p w:rsidR="00913CA2" w:rsidRPr="007E25F5" w:rsidRDefault="00913CA2" w:rsidP="00E31519">
      <w:pPr>
        <w:pStyle w:val="ListBullet"/>
        <w:tabs>
          <w:tab w:val="left" w:pos="1134"/>
        </w:tabs>
        <w:ind w:left="1134" w:hanging="283"/>
      </w:pPr>
      <w:r w:rsidRPr="007E25F5">
        <w:t>Investigate ways of capturing data from privately funded developments</w:t>
      </w:r>
    </w:p>
    <w:p w:rsidR="00913CA2" w:rsidRPr="007E25F5" w:rsidRDefault="00913CA2" w:rsidP="00E31519">
      <w:pPr>
        <w:pStyle w:val="ListBullet"/>
        <w:tabs>
          <w:tab w:val="left" w:pos="1134"/>
        </w:tabs>
        <w:ind w:left="1134" w:hanging="283"/>
      </w:pPr>
      <w:r w:rsidRPr="007E25F5">
        <w:t xml:space="preserve">Investigate ways of collaboration with like institutions internationally to share high level data to improve the validity of benchmarking internationally </w:t>
      </w:r>
    </w:p>
    <w:p w:rsidR="00913CA2" w:rsidRPr="007E25F5" w:rsidRDefault="00913CA2" w:rsidP="00E31519">
      <w:pPr>
        <w:pStyle w:val="ListBullet"/>
        <w:tabs>
          <w:tab w:val="left" w:pos="1134"/>
        </w:tabs>
        <w:ind w:left="1134" w:hanging="283"/>
      </w:pPr>
      <w:r w:rsidRPr="007E25F5">
        <w:t xml:space="preserve">Provide independent oversight of the initiative, reporting to an appropriate body </w:t>
      </w:r>
      <w:r w:rsidR="00E31519">
        <w:br/>
      </w:r>
      <w:r w:rsidRPr="007E25F5">
        <w:t>(</w:t>
      </w:r>
      <w:proofErr w:type="spellStart"/>
      <w:r w:rsidR="00B02384">
        <w:t>eg</w:t>
      </w:r>
      <w:proofErr w:type="spellEnd"/>
      <w:r w:rsidR="00B02384">
        <w:t xml:space="preserve"> </w:t>
      </w:r>
      <w:r w:rsidR="007E3DA1">
        <w:t xml:space="preserve">Infrastructure Australia, </w:t>
      </w:r>
      <w:r w:rsidRPr="007E25F5">
        <w:t>Productivity Commission) on a periodical basis.</w:t>
      </w:r>
    </w:p>
    <w:p w:rsidR="007D4B65" w:rsidRPr="00914F07" w:rsidRDefault="007D4B65" w:rsidP="00914F07"/>
    <w:p w:rsidR="00961792" w:rsidRDefault="00961792" w:rsidP="00961792">
      <w:pPr>
        <w:pStyle w:val="Heading1"/>
      </w:pPr>
      <w:bookmarkStart w:id="2" w:name="_Toc384210469"/>
      <w:r w:rsidRPr="007E25F5">
        <w:lastRenderedPageBreak/>
        <w:t>Governance and Institutional Arrangements – General Government Sector</w:t>
      </w:r>
      <w:bookmarkEnd w:id="2"/>
    </w:p>
    <w:p w:rsidR="00B801AC" w:rsidRDefault="00B801AC">
      <w:pPr>
        <w:rPr>
          <w:lang w:eastAsia="en-AU"/>
        </w:rPr>
      </w:pPr>
      <w:r w:rsidRPr="004967C6">
        <w:rPr>
          <w:lang w:eastAsia="en-AU"/>
        </w:rPr>
        <w:t>In its Draft Report, the Productivity Commission rightly places importance on getting the</w:t>
      </w:r>
      <w:r w:rsidRPr="004967C6">
        <w:t xml:space="preserve"> </w:t>
      </w:r>
      <w:r w:rsidRPr="004967C6">
        <w:rPr>
          <w:lang w:eastAsia="en-AU"/>
        </w:rPr>
        <w:t xml:space="preserve">governance and institutional arrangements for public infrastructure right; </w:t>
      </w:r>
      <w:r>
        <w:rPr>
          <w:lang w:eastAsia="en-AU"/>
        </w:rPr>
        <w:t>“</w:t>
      </w:r>
      <w:r w:rsidRPr="004967C6">
        <w:rPr>
          <w:lang w:eastAsia="en-AU"/>
        </w:rPr>
        <w:t>to promote better decision making in project selection, funding, financing and the delivery of infrastructure services</w:t>
      </w:r>
      <w:r>
        <w:rPr>
          <w:lang w:eastAsia="en-AU"/>
        </w:rPr>
        <w:t>”</w:t>
      </w:r>
      <w:r w:rsidRPr="004967C6">
        <w:rPr>
          <w:lang w:eastAsia="en-AU"/>
        </w:rPr>
        <w:t xml:space="preserve">. </w:t>
      </w:r>
    </w:p>
    <w:p w:rsidR="00B801AC" w:rsidRDefault="00B801AC">
      <w:pPr>
        <w:rPr>
          <w:lang w:eastAsia="en-AU"/>
        </w:rPr>
      </w:pPr>
      <w:r>
        <w:rPr>
          <w:lang w:eastAsia="en-AU"/>
        </w:rPr>
        <w:t>Draft Recommendation 7.1 proposes institutional and governance arrangements that should be followed by governments in the provision and delivery of public infrastructure, including:</w:t>
      </w:r>
    </w:p>
    <w:p w:rsidR="000B0A37" w:rsidRDefault="000B0A37">
      <w:pPr>
        <w:rPr>
          <w:lang w:eastAsia="en-AU"/>
        </w:rPr>
      </w:pPr>
    </w:p>
    <w:p w:rsidR="00B801AC" w:rsidRDefault="00B801AC" w:rsidP="007E25F5">
      <w:pPr>
        <w:pStyle w:val="Quote"/>
      </w:pPr>
      <w:r>
        <w:t>“effective processes, procedures and policy guidelines for planning and selecting public infrastructure projects, including rigorous use of cost-benefit analysis  and transparency in cost-benefit assessments, public consultation, and public reporting of the decision (including a transparent review of the decision by an independent body, for example, an auditor-general or Infrastructure Australia”.</w:t>
      </w:r>
    </w:p>
    <w:p w:rsidR="000B0A37" w:rsidRDefault="000B0A37" w:rsidP="007E25F5">
      <w:pPr>
        <w:pStyle w:val="Quote"/>
      </w:pPr>
    </w:p>
    <w:p w:rsidR="00B801AC" w:rsidRDefault="00B801AC">
      <w:pPr>
        <w:rPr>
          <w:lang w:eastAsia="en-AU"/>
        </w:rPr>
      </w:pPr>
      <w:r>
        <w:rPr>
          <w:lang w:eastAsia="en-AU"/>
        </w:rPr>
        <w:t>The emphasis in this recommendation on the use of transparency, public reporting and third party review results from a concern by the Commission that decision-makers face deficient incentives at present to make the best decisions in the public interest in the selection of public infrastructure projects.  The major deficiencies are listed on pages 81 and 82 of the Commission’s Draft Report.</w:t>
      </w:r>
      <w:r w:rsidR="008F678A">
        <w:rPr>
          <w:lang w:eastAsia="en-AU"/>
        </w:rPr>
        <w:t xml:space="preserve"> There is also the issue of whether decision-makers face the appropriate incentives to make the best value-for-money decisions during the lifecycle of infrastructure assets.</w:t>
      </w:r>
    </w:p>
    <w:p w:rsidR="008724F8" w:rsidRPr="007E25F5" w:rsidRDefault="008724F8" w:rsidP="00961792">
      <w:pPr>
        <w:pStyle w:val="Heading2"/>
      </w:pPr>
      <w:bookmarkStart w:id="3" w:name="_Toc384210470"/>
      <w:r w:rsidRPr="007E25F5">
        <w:t>C</w:t>
      </w:r>
      <w:r w:rsidR="006B4BC7">
        <w:t>ategorisation by commerciality of decision-making</w:t>
      </w:r>
      <w:bookmarkEnd w:id="3"/>
    </w:p>
    <w:p w:rsidR="00B801AC" w:rsidRPr="004967C6" w:rsidRDefault="00B801AC">
      <w:r>
        <w:rPr>
          <w:lang w:eastAsia="en-AU"/>
        </w:rPr>
        <w:t>This submission proposes a framework to improve these incentives, not only in the initial investment decision but throughout the life of the infrastructure.  This framework could be used in conjunction with the Commission’s proposed focus on transparency, reporting and review.  The</w:t>
      </w:r>
      <w:r w:rsidRPr="004967C6">
        <w:rPr>
          <w:lang w:eastAsia="en-AU"/>
        </w:rPr>
        <w:t xml:space="preserve"> discussion </w:t>
      </w:r>
      <w:r>
        <w:rPr>
          <w:lang w:eastAsia="en-AU"/>
        </w:rPr>
        <w:t xml:space="preserve">of this matter may benefit from a categorisation of </w:t>
      </w:r>
      <w:r w:rsidR="004A43D5">
        <w:rPr>
          <w:lang w:eastAsia="en-AU"/>
        </w:rPr>
        <w:t xml:space="preserve">public </w:t>
      </w:r>
      <w:r>
        <w:rPr>
          <w:lang w:eastAsia="en-AU"/>
        </w:rPr>
        <w:t>infrastructure according to the level of commerciality in decision-making in its current provision by government:</w:t>
      </w:r>
    </w:p>
    <w:p w:rsidR="00B801AC" w:rsidRPr="004967C6" w:rsidRDefault="00B801AC" w:rsidP="000B0A37">
      <w:pPr>
        <w:pStyle w:val="ListNumber"/>
        <w:numPr>
          <w:ilvl w:val="0"/>
          <w:numId w:val="24"/>
        </w:numPr>
        <w:ind w:left="567" w:hanging="567"/>
      </w:pPr>
      <w:r>
        <w:t xml:space="preserve">Purely </w:t>
      </w:r>
      <w:r w:rsidR="008F678A">
        <w:t>‘</w:t>
      </w:r>
      <w:r>
        <w:t>economic infrastructure</w:t>
      </w:r>
      <w:r w:rsidR="008F678A">
        <w:t>’</w:t>
      </w:r>
      <w:r>
        <w:t xml:space="preserve"> provided by Government Trading Enterprises (GTEs) and/or private companies  funded primarily by users (</w:t>
      </w:r>
      <w:proofErr w:type="spellStart"/>
      <w:r>
        <w:t>eg</w:t>
      </w:r>
      <w:proofErr w:type="spellEnd"/>
      <w:r>
        <w:t xml:space="preserve"> urban water, electricity)</w:t>
      </w:r>
    </w:p>
    <w:p w:rsidR="00B801AC" w:rsidRPr="004967C6" w:rsidRDefault="008F678A" w:rsidP="000B0A37">
      <w:pPr>
        <w:pStyle w:val="ListNumber"/>
      </w:pPr>
      <w:r>
        <w:t xml:space="preserve">Other </w:t>
      </w:r>
      <w:r w:rsidR="00B801AC">
        <w:t>‘</w:t>
      </w:r>
      <w:r>
        <w:t>e</w:t>
      </w:r>
      <w:r w:rsidR="00B801AC">
        <w:t>conomic infrastructure’ provided by government entities and funded primarily by government (</w:t>
      </w:r>
      <w:proofErr w:type="spellStart"/>
      <w:r w:rsidR="00B801AC">
        <w:t>eg</w:t>
      </w:r>
      <w:proofErr w:type="spellEnd"/>
      <w:r w:rsidR="00B801AC">
        <w:t xml:space="preserve"> road, passenger rail)</w:t>
      </w:r>
    </w:p>
    <w:p w:rsidR="00B801AC" w:rsidRPr="005C2B85" w:rsidRDefault="00B801AC" w:rsidP="000B0A37">
      <w:pPr>
        <w:pStyle w:val="ListNumber"/>
      </w:pPr>
      <w:r>
        <w:t>‘Social infrastructure’ provided by government entities and funded by government (</w:t>
      </w:r>
      <w:proofErr w:type="spellStart"/>
      <w:r>
        <w:t>eg</w:t>
      </w:r>
      <w:proofErr w:type="spellEnd"/>
      <w:r>
        <w:t xml:space="preserve"> public hospitals, public schools).</w:t>
      </w:r>
    </w:p>
    <w:p w:rsidR="00B801AC" w:rsidRDefault="00B801AC">
      <w:r>
        <w:t>This categorisation can be important because of the differing incentives facing the infrastructure owners and the differing scope for, and nature of, reforms applicable:</w:t>
      </w:r>
    </w:p>
    <w:p w:rsidR="00B801AC" w:rsidRDefault="00B801AC" w:rsidP="000B0A37">
      <w:pPr>
        <w:pStyle w:val="ListNumber"/>
        <w:numPr>
          <w:ilvl w:val="0"/>
          <w:numId w:val="20"/>
        </w:numPr>
        <w:ind w:left="567" w:hanging="567"/>
      </w:pPr>
      <w:r>
        <w:t>E</w:t>
      </w:r>
      <w:r w:rsidRPr="005C2B85">
        <w:t xml:space="preserve">ntities </w:t>
      </w:r>
      <w:r>
        <w:t>(GTE</w:t>
      </w:r>
      <w:r w:rsidRPr="005C2B85">
        <w:t>s/private companies</w:t>
      </w:r>
      <w:r>
        <w:t>)</w:t>
      </w:r>
      <w:r w:rsidRPr="005C2B85">
        <w:t xml:space="preserve"> </w:t>
      </w:r>
      <w:r>
        <w:t>that provide services to customers using ‘e</w:t>
      </w:r>
      <w:r w:rsidRPr="005C2B85">
        <w:t>conomic infrastructure</w:t>
      </w:r>
      <w:r>
        <w:t>’ primarily on  a user pays basis</w:t>
      </w:r>
      <w:r w:rsidRPr="005C2B85">
        <w:t xml:space="preserve"> </w:t>
      </w:r>
      <w:r>
        <w:t>(</w:t>
      </w:r>
      <w:proofErr w:type="spellStart"/>
      <w:r>
        <w:t>eg</w:t>
      </w:r>
      <w:proofErr w:type="spellEnd"/>
      <w:r>
        <w:t xml:space="preserve"> urban water, power, airports, ports, freight rail, </w:t>
      </w:r>
      <w:r w:rsidR="007E25F5">
        <w:t>telecommunications</w:t>
      </w:r>
      <w:r>
        <w:t>) make their infrastructure decisions in a commercial environment, with prices charged tempered by market forces and/or economic regulatory regimes</w:t>
      </w:r>
    </w:p>
    <w:p w:rsidR="00B801AC" w:rsidRDefault="008F678A" w:rsidP="007E25F5">
      <w:pPr>
        <w:pStyle w:val="ListBullet"/>
        <w:numPr>
          <w:ilvl w:val="1"/>
          <w:numId w:val="7"/>
        </w:numPr>
      </w:pPr>
      <w:r>
        <w:t>For such infrastructure,</w:t>
      </w:r>
      <w:r w:rsidR="00B801AC">
        <w:t xml:space="preserve"> a role for government </w:t>
      </w:r>
      <w:r>
        <w:t xml:space="preserve">may remain </w:t>
      </w:r>
      <w:r w:rsidR="00B801AC">
        <w:t>with respect to longer-term planning, investment approval (as GTE shareholders) and economic regulation</w:t>
      </w:r>
    </w:p>
    <w:p w:rsidR="00B801AC" w:rsidRDefault="00B801AC" w:rsidP="000B0A37">
      <w:pPr>
        <w:pStyle w:val="ListNumber"/>
      </w:pPr>
      <w:r>
        <w:lastRenderedPageBreak/>
        <w:t>Entities (primarily government agencies) that provide services to customers using ‘economic infrastructure’ but with user charges providing a relatively small recovery of full costs (</w:t>
      </w:r>
      <w:proofErr w:type="spellStart"/>
      <w:r>
        <w:t>eg</w:t>
      </w:r>
      <w:proofErr w:type="spellEnd"/>
      <w:r>
        <w:t xml:space="preserve"> roads, passenger rail, irrigation, cultural) will require their infrastructure investment proposals to be approved and funded (at least in part) by government </w:t>
      </w:r>
    </w:p>
    <w:p w:rsidR="008F678A" w:rsidRDefault="007966EE" w:rsidP="007E25F5">
      <w:pPr>
        <w:pStyle w:val="ListBullet"/>
        <w:numPr>
          <w:ilvl w:val="1"/>
          <w:numId w:val="7"/>
        </w:numPr>
      </w:pPr>
      <w:r>
        <w:t>For such infrastructure:</w:t>
      </w:r>
      <w:r w:rsidR="008F678A">
        <w:t xml:space="preserve"> </w:t>
      </w:r>
    </w:p>
    <w:p w:rsidR="00B801AC" w:rsidRDefault="00B801AC" w:rsidP="008F678A">
      <w:pPr>
        <w:pStyle w:val="ListBullet"/>
        <w:numPr>
          <w:ilvl w:val="2"/>
          <w:numId w:val="7"/>
        </w:numPr>
      </w:pPr>
      <w:r>
        <w:t>Government controls pricing, and therefore impacts the level of cost recovery</w:t>
      </w:r>
    </w:p>
    <w:p w:rsidR="00B801AC" w:rsidRDefault="00B801AC" w:rsidP="008F678A">
      <w:pPr>
        <w:pStyle w:val="ListBullet"/>
        <w:numPr>
          <w:ilvl w:val="2"/>
          <w:numId w:val="7"/>
        </w:numPr>
      </w:pPr>
      <w:r>
        <w:t>Monetised cost benefit analysis is an important element of the current decision-making framework</w:t>
      </w:r>
    </w:p>
    <w:p w:rsidR="00B801AC" w:rsidRDefault="00B801AC" w:rsidP="008F678A">
      <w:pPr>
        <w:pStyle w:val="ListBullet"/>
        <w:numPr>
          <w:ilvl w:val="2"/>
          <w:numId w:val="7"/>
        </w:numPr>
      </w:pPr>
      <w:r>
        <w:t xml:space="preserve">There is potential for provision of services </w:t>
      </w:r>
      <w:r w:rsidR="008F678A">
        <w:t xml:space="preserve">arising </w:t>
      </w:r>
      <w:r>
        <w:t>to be made on a more commercial basis</w:t>
      </w:r>
      <w:r w:rsidR="008F678A">
        <w:t>;</w:t>
      </w:r>
      <w:r>
        <w:t xml:space="preserve"> this is a key finding with respect to roads in the Commission’s Draft Report</w:t>
      </w:r>
    </w:p>
    <w:p w:rsidR="00B801AC" w:rsidRPr="003E7788" w:rsidRDefault="00B801AC" w:rsidP="008F678A">
      <w:pPr>
        <w:pStyle w:val="ListBullet"/>
        <w:numPr>
          <w:ilvl w:val="2"/>
          <w:numId w:val="7"/>
        </w:numPr>
      </w:pPr>
      <w:r w:rsidRPr="003E7788">
        <w:t>There is also potential for decisions with respect to infrastructure provi</w:t>
      </w:r>
      <w:r w:rsidR="008F678A">
        <w:t>sion and its ongoing management</w:t>
      </w:r>
      <w:r w:rsidRPr="003E7788">
        <w:t xml:space="preserve"> to be made on a more commercial basis</w:t>
      </w:r>
      <w:r>
        <w:t>.</w:t>
      </w:r>
      <w:r w:rsidRPr="003E7788">
        <w:t xml:space="preserve"> Under the departmental </w:t>
      </w:r>
      <w:r>
        <w:t xml:space="preserve">funding </w:t>
      </w:r>
      <w:r w:rsidRPr="003E7788">
        <w:t xml:space="preserve">model discussed </w:t>
      </w:r>
      <w:r>
        <w:t xml:space="preserve">below </w:t>
      </w:r>
      <w:r w:rsidRPr="003E7788">
        <w:t>(where funding decision</w:t>
      </w:r>
      <w:r>
        <w:t>s</w:t>
      </w:r>
      <w:r w:rsidRPr="003E7788">
        <w:t xml:space="preserve"> continue to be managed through government road agencies</w:t>
      </w:r>
      <w:r>
        <w:t>)</w:t>
      </w:r>
      <w:r w:rsidRPr="003E7788">
        <w:t>, the issue of hypothecation of revenue being clearly linked to expenditure would improve the transparency of investment decisions on assets such as roads.</w:t>
      </w:r>
    </w:p>
    <w:p w:rsidR="00B801AC" w:rsidRDefault="00B801AC" w:rsidP="000B0A37">
      <w:pPr>
        <w:pStyle w:val="ListNumber"/>
      </w:pPr>
      <w:r>
        <w:t xml:space="preserve">Entities (primarily government agencies) that provide </w:t>
      </w:r>
      <w:r w:rsidR="004A43D5">
        <w:t>– directly or through 3</w:t>
      </w:r>
      <w:r w:rsidR="004A43D5" w:rsidRPr="004A43D5">
        <w:rPr>
          <w:vertAlign w:val="superscript"/>
        </w:rPr>
        <w:t>rd</w:t>
      </w:r>
      <w:r w:rsidR="004A43D5">
        <w:t xml:space="preserve"> parties - </w:t>
      </w:r>
      <w:r>
        <w:t>services to customers using ‘social infrastructure’</w:t>
      </w:r>
      <w:r w:rsidR="004A43D5">
        <w:t>,</w:t>
      </w:r>
      <w:r>
        <w:t xml:space="preserve"> where user charges provide a minimal contribution to recovery of full costs</w:t>
      </w:r>
      <w:r w:rsidR="004A43D5">
        <w:t>,</w:t>
      </w:r>
      <w:r>
        <w:t xml:space="preserve"> will require their infrastructure investment proposals to be approved and funded by government</w:t>
      </w:r>
    </w:p>
    <w:p w:rsidR="00097222" w:rsidRDefault="007966EE" w:rsidP="007E25F5">
      <w:pPr>
        <w:pStyle w:val="ListBullet"/>
        <w:numPr>
          <w:ilvl w:val="1"/>
          <w:numId w:val="7"/>
        </w:numPr>
      </w:pPr>
      <w:r>
        <w:t>For such infrastructure:</w:t>
      </w:r>
    </w:p>
    <w:p w:rsidR="00B801AC" w:rsidRDefault="00B801AC" w:rsidP="00097222">
      <w:pPr>
        <w:pStyle w:val="ListBullet"/>
        <w:numPr>
          <w:ilvl w:val="2"/>
          <w:numId w:val="7"/>
        </w:numPr>
      </w:pPr>
      <w:r>
        <w:t>The business cases to Cabinet supporting investment proposals include a comparison of primarily qualitative (non-financial) benefits and financial costs of investment and operation – using a multi-criteria analysis framework</w:t>
      </w:r>
      <w:r w:rsidR="00097222">
        <w:t xml:space="preserve"> – rather than a focus on BCR ratios</w:t>
      </w:r>
      <w:r>
        <w:t xml:space="preserve">.  The quantification of benefits can be difficult to estimate and/or isolate, limiting the usefulness of a monetised cost-benefit approach. </w:t>
      </w:r>
    </w:p>
    <w:p w:rsidR="00B801AC" w:rsidRDefault="00B801AC" w:rsidP="00097222">
      <w:pPr>
        <w:pStyle w:val="ListBullet"/>
        <w:numPr>
          <w:ilvl w:val="2"/>
          <w:numId w:val="7"/>
        </w:numPr>
      </w:pPr>
      <w:r>
        <w:t>Whilst there may be limited scope to increase the commercial nature of these service</w:t>
      </w:r>
      <w:r w:rsidR="00097222">
        <w:t xml:space="preserve"> market</w:t>
      </w:r>
      <w:r>
        <w:t xml:space="preserve">s, there may be significant scope to improve the investment decision-making incentives faced by these entities.  </w:t>
      </w:r>
    </w:p>
    <w:p w:rsidR="00B801AC" w:rsidRDefault="00B801AC">
      <w:r w:rsidRPr="007E43B0">
        <w:t>The Commission’s discuss</w:t>
      </w:r>
      <w:r>
        <w:t>ion is heavily focused on the first of these categories, and also the second category with respect to roads,</w:t>
      </w:r>
      <w:r w:rsidRPr="007E43B0">
        <w:t xml:space="preserve"> </w:t>
      </w:r>
      <w:r w:rsidR="00097222">
        <w:t>with relatively less attention on</w:t>
      </w:r>
      <w:r>
        <w:t xml:space="preserve"> the third category.  This may be explained by the focus on economic infrastructure</w:t>
      </w:r>
      <w:r w:rsidRPr="00973CFF">
        <w:t xml:space="preserve"> </w:t>
      </w:r>
      <w:r>
        <w:t>in its terms of reference.  However, the Draft Report does makes numerous references to social infrastructure and, to the extent that the final report will do so as well, t</w:t>
      </w:r>
      <w:r w:rsidRPr="003E7788">
        <w:t>here is scope for the final report to address the issue of incentives with respect to the provision of social infrastructure</w:t>
      </w:r>
      <w:r w:rsidR="00097222">
        <w:t>.</w:t>
      </w:r>
      <w:r>
        <w:t xml:space="preserve"> </w:t>
      </w:r>
    </w:p>
    <w:p w:rsidR="006B4BC7" w:rsidRDefault="006B4BC7" w:rsidP="00796777"/>
    <w:p w:rsidR="000B0A37" w:rsidRDefault="000B0A37">
      <w:pPr>
        <w:spacing w:before="0" w:after="120"/>
        <w:rPr>
          <w:rFonts w:ascii="Arial" w:eastAsia="Times New Roman" w:hAnsi="Arial" w:cs="Arial"/>
          <w:b/>
          <w:bCs/>
          <w:iCs/>
          <w:color w:val="406B87" w:themeColor="accent3"/>
          <w:sz w:val="28"/>
          <w:szCs w:val="28"/>
          <w:lang w:eastAsia="en-AU"/>
        </w:rPr>
      </w:pPr>
      <w:r>
        <w:br w:type="page"/>
      </w:r>
    </w:p>
    <w:p w:rsidR="006B4BC7" w:rsidRDefault="006B4BC7" w:rsidP="00961792">
      <w:pPr>
        <w:pStyle w:val="Heading2"/>
      </w:pPr>
      <w:bookmarkStart w:id="4" w:name="_Toc384210471"/>
      <w:r>
        <w:lastRenderedPageBreak/>
        <w:t>Current framework for social infrastructure</w:t>
      </w:r>
      <w:bookmarkEnd w:id="4"/>
    </w:p>
    <w:p w:rsidR="003916B8" w:rsidRDefault="00B801AC" w:rsidP="00796777">
      <w:r>
        <w:t>The discussion below focuses on the potential to significantly improve the incentives facing those ‘owners’ of social infrastructure assets within government with respect to infrastructure decisions</w:t>
      </w:r>
      <w:r w:rsidR="00097222">
        <w:t>, both at the outset and during the life of the infrastructure assets</w:t>
      </w:r>
      <w:r>
        <w:t>.</w:t>
      </w:r>
    </w:p>
    <w:p w:rsidR="00B801AC" w:rsidRDefault="00B801AC">
      <w:r>
        <w:t>The key parameters within which these social infrastructure entities currently operate include:</w:t>
      </w:r>
    </w:p>
    <w:p w:rsidR="00B801AC" w:rsidRDefault="00B801AC" w:rsidP="007E25F5">
      <w:pPr>
        <w:pStyle w:val="ListBullet"/>
      </w:pPr>
      <w:r>
        <w:t xml:space="preserve">Most capital must be bid for as part of annual </w:t>
      </w:r>
      <w:r w:rsidR="00097222">
        <w:t xml:space="preserve">(or </w:t>
      </w:r>
      <w:r w:rsidR="009F1259">
        <w:t>sometimes ‘</w:t>
      </w:r>
      <w:r w:rsidR="00097222">
        <w:t>out-of-cycle</w:t>
      </w:r>
      <w:r w:rsidR="009F1259">
        <w:t>’</w:t>
      </w:r>
      <w:r w:rsidR="00097222">
        <w:t xml:space="preserve">) </w:t>
      </w:r>
      <w:r>
        <w:t>Government Budget processes; social infrastructure entities may have some ongoing base funding for capital expenditure but this is often relatively small</w:t>
      </w:r>
    </w:p>
    <w:p w:rsidR="00B801AC" w:rsidRDefault="00B801AC" w:rsidP="007E25F5">
      <w:pPr>
        <w:pStyle w:val="ListBullet"/>
      </w:pPr>
      <w:r>
        <w:t>Capital is treated as ‘free’ by these entities;  that is, if they are lucky enough to receive a capital appropriation, there is no ongoing capital charge (apart perhaps from a ‘round robin’ arrangement)</w:t>
      </w:r>
    </w:p>
    <w:p w:rsidR="00B801AC" w:rsidRDefault="00B801AC" w:rsidP="007E25F5">
      <w:pPr>
        <w:pStyle w:val="ListBullet"/>
      </w:pPr>
      <w:r>
        <w:t>Any additional operational costs (</w:t>
      </w:r>
      <w:proofErr w:type="spellStart"/>
      <w:r>
        <w:t>eg</w:t>
      </w:r>
      <w:proofErr w:type="spellEnd"/>
      <w:r>
        <w:t xml:space="preserve"> salaries, maintenance) with respect to the infrastructure (</w:t>
      </w:r>
      <w:proofErr w:type="spellStart"/>
      <w:r>
        <w:t>eg</w:t>
      </w:r>
      <w:proofErr w:type="spellEnd"/>
      <w:r>
        <w:t xml:space="preserve"> if the investment represents an addition to that entity’s total capital stock) are funded separately through an increase in the entity’s/department’s ongoing operational Budget appropriation</w:t>
      </w:r>
    </w:p>
    <w:p w:rsidR="00B801AC" w:rsidRPr="000D6FF3" w:rsidRDefault="00B801AC" w:rsidP="007E25F5">
      <w:pPr>
        <w:pStyle w:val="ListBullet"/>
      </w:pPr>
      <w:r>
        <w:t>Under the</w:t>
      </w:r>
      <w:r w:rsidRPr="00973CFF">
        <w:t xml:space="preserve"> </w:t>
      </w:r>
      <w:r>
        <w:t xml:space="preserve">output based funding model used by many Australian jurisdictions, the entity is funded to produce services and is paid according to their production. </w:t>
      </w:r>
    </w:p>
    <w:p w:rsidR="00B801AC" w:rsidRDefault="00B801AC" w:rsidP="00B801AC">
      <w:r w:rsidRPr="00B801AC">
        <w:t>The weaknesses of this current framework from a commercial decision-making perspective, with</w:t>
      </w:r>
      <w:r>
        <w:t xml:space="preserve"> respect to infrastructure investment and ongoing management, </w:t>
      </w:r>
      <w:r w:rsidR="00097222">
        <w:t>include</w:t>
      </w:r>
      <w:r>
        <w:t>:</w:t>
      </w:r>
    </w:p>
    <w:p w:rsidR="00B801AC" w:rsidRDefault="00B801AC" w:rsidP="007E25F5">
      <w:pPr>
        <w:pStyle w:val="ListBullet"/>
      </w:pPr>
      <w:r>
        <w:t>The separate consideration, and appropriation, of capital and operational funding and expenditures limits incentives to optimise consideration of whole-of-life costs in upfront investment decisions</w:t>
      </w:r>
    </w:p>
    <w:p w:rsidR="00B801AC" w:rsidRDefault="00B801AC" w:rsidP="007E25F5">
      <w:pPr>
        <w:pStyle w:val="ListBullet"/>
      </w:pPr>
      <w:r>
        <w:t xml:space="preserve">The difficulty for entities </w:t>
      </w:r>
      <w:r w:rsidR="00097222">
        <w:t>to</w:t>
      </w:r>
      <w:r>
        <w:t xml:space="preserve"> </w:t>
      </w:r>
      <w:r w:rsidR="00097222">
        <w:t>make</w:t>
      </w:r>
      <w:r>
        <w:t xml:space="preserve"> optimal whole-of-life decisions during the life of their infrastructure given their lack of control over when the funding for infrastructure replacement – or expansion – may be provided</w:t>
      </w:r>
    </w:p>
    <w:p w:rsidR="00B801AC" w:rsidRDefault="00B801AC" w:rsidP="007E25F5">
      <w:pPr>
        <w:pStyle w:val="ListBullet"/>
      </w:pPr>
      <w:r w:rsidRPr="0039025D">
        <w:t xml:space="preserve">There are limited incentives to adequately maintain infrastructure; if infrastructure ages prematurely, the relative priority (across government) for the funding of its replacement increases.  Entities </w:t>
      </w:r>
      <w:r>
        <w:t xml:space="preserve">are </w:t>
      </w:r>
      <w:r w:rsidR="00097222">
        <w:t xml:space="preserve">largely </w:t>
      </w:r>
      <w:r>
        <w:t>free to</w:t>
      </w:r>
      <w:r w:rsidRPr="0039025D">
        <w:t xml:space="preserve"> re-allocate maintenance expenditure</w:t>
      </w:r>
      <w:r>
        <w:t xml:space="preserve"> funds</w:t>
      </w:r>
      <w:r w:rsidRPr="0039025D">
        <w:t xml:space="preserve"> to address ‘more urgent’ needs </w:t>
      </w:r>
    </w:p>
    <w:p w:rsidR="00B801AC" w:rsidRDefault="00B801AC" w:rsidP="007E25F5">
      <w:pPr>
        <w:pStyle w:val="ListBullet"/>
      </w:pPr>
      <w:r>
        <w:t>No ongoing provision for asset replacement – depreciation provisions are generally made and retained centrally</w:t>
      </w:r>
    </w:p>
    <w:p w:rsidR="00B801AC" w:rsidRDefault="00B801AC" w:rsidP="007E25F5">
      <w:pPr>
        <w:pStyle w:val="ListBullet"/>
      </w:pPr>
      <w:r>
        <w:t>A preference by Ministers for new capital solutions, as these provide major announcement and ribbon-cutting opportunities</w:t>
      </w:r>
    </w:p>
    <w:p w:rsidR="00B801AC" w:rsidRDefault="00B801AC" w:rsidP="007E25F5">
      <w:pPr>
        <w:pStyle w:val="ListBullet"/>
      </w:pPr>
      <w:r>
        <w:t xml:space="preserve">Limited scrutiny by Cabinet of the infrastructure and its performance beyond </w:t>
      </w:r>
      <w:r w:rsidR="00097222">
        <w:t>the construction</w:t>
      </w:r>
      <w:r>
        <w:t xml:space="preserve"> </w:t>
      </w:r>
      <w:r w:rsidR="00097222">
        <w:t xml:space="preserve">period </w:t>
      </w:r>
      <w:r>
        <w:t>of the infrastructure.</w:t>
      </w:r>
    </w:p>
    <w:p w:rsidR="000B0A37" w:rsidRDefault="000B0A37">
      <w:pPr>
        <w:spacing w:before="0" w:after="120"/>
        <w:rPr>
          <w:rFonts w:ascii="Arial" w:eastAsia="Times New Roman" w:hAnsi="Arial" w:cs="Arial"/>
          <w:b/>
          <w:bCs/>
          <w:iCs/>
          <w:color w:val="406B87" w:themeColor="accent3"/>
          <w:sz w:val="28"/>
          <w:szCs w:val="28"/>
          <w:lang w:eastAsia="en-AU"/>
        </w:rPr>
      </w:pPr>
      <w:r>
        <w:br w:type="page"/>
      </w:r>
    </w:p>
    <w:p w:rsidR="006B4BC7" w:rsidRDefault="006B4BC7" w:rsidP="00961792">
      <w:pPr>
        <w:pStyle w:val="Heading2"/>
      </w:pPr>
      <w:bookmarkStart w:id="5" w:name="_Toc384210472"/>
      <w:r>
        <w:lastRenderedPageBreak/>
        <w:t>A reform framework for social infrastructure</w:t>
      </w:r>
      <w:bookmarkEnd w:id="5"/>
    </w:p>
    <w:p w:rsidR="006B4BC7" w:rsidRDefault="006B4BC7" w:rsidP="006B4BC7">
      <w:r>
        <w:t xml:space="preserve">There are two pillars to the proposed framework for improved incentives.  </w:t>
      </w:r>
    </w:p>
    <w:p w:rsidR="00B801AC" w:rsidRDefault="00B801AC">
      <w:r>
        <w:t>The two pillars are designed to more closely mirror the incentives faced by owners/managers of commercial assets:</w:t>
      </w:r>
    </w:p>
    <w:p w:rsidR="00B801AC" w:rsidRDefault="00B801AC" w:rsidP="007E25F5">
      <w:pPr>
        <w:pStyle w:val="ListBullet"/>
      </w:pPr>
      <w:r>
        <w:t>A distinction between ‘Sustain’ and ‘Growth’ assets</w:t>
      </w:r>
    </w:p>
    <w:p w:rsidR="00B801AC" w:rsidRDefault="00B801AC" w:rsidP="007E25F5">
      <w:pPr>
        <w:pStyle w:val="ListBullet"/>
        <w:numPr>
          <w:ilvl w:val="1"/>
          <w:numId w:val="7"/>
        </w:numPr>
      </w:pPr>
      <w:r>
        <w:t>‘Sustain’ assets are those use</w:t>
      </w:r>
      <w:r w:rsidR="00286DA9">
        <w:t>d</w:t>
      </w:r>
      <w:r>
        <w:t xml:space="preserve"> to provide the current level of services – quality </w:t>
      </w:r>
      <w:r w:rsidR="00286DA9">
        <w:t>and</w:t>
      </w:r>
      <w:r>
        <w:t xml:space="preserve"> quantity – purchased by government under the output funding model</w:t>
      </w:r>
    </w:p>
    <w:p w:rsidR="00B801AC" w:rsidRPr="00C5088A" w:rsidRDefault="00B801AC" w:rsidP="007E25F5">
      <w:pPr>
        <w:pStyle w:val="ListBullet"/>
        <w:numPr>
          <w:ilvl w:val="1"/>
          <w:numId w:val="7"/>
        </w:numPr>
      </w:pPr>
      <w:r>
        <w:t>‘Growth’ assets are those used to provide an increase in service provision  - quality, quantity or both; and</w:t>
      </w:r>
      <w:r w:rsidRPr="00C5088A">
        <w:t xml:space="preserve"> </w:t>
      </w:r>
    </w:p>
    <w:p w:rsidR="003916B8" w:rsidRDefault="00B801AC" w:rsidP="006B4BC7">
      <w:pPr>
        <w:pStyle w:val="ListBullet"/>
        <w:spacing w:before="0" w:after="120"/>
      </w:pPr>
      <w:r>
        <w:t>Infrastructure entities are given life-cycle responsibility for acquiring, holding, maintaining and disposing of assets – and for the funding of ‘Sustain’ assets.</w:t>
      </w:r>
    </w:p>
    <w:p w:rsidR="00B801AC" w:rsidRDefault="00B801AC">
      <w:r>
        <w:t>The key elements of this ‘reform’ framework are:</w:t>
      </w:r>
    </w:p>
    <w:p w:rsidR="00B801AC" w:rsidRDefault="00B801AC" w:rsidP="007E25F5">
      <w:pPr>
        <w:pStyle w:val="ListBullet"/>
      </w:pPr>
      <w:r>
        <w:t>Social infrastructure entities receive full funding (</w:t>
      </w:r>
      <w:proofErr w:type="spellStart"/>
      <w:r>
        <w:t>ie</w:t>
      </w:r>
      <w:proofErr w:type="spellEnd"/>
      <w:r>
        <w:t xml:space="preserve"> not just ‘operational’) annually for provision of services that the Government has previously agreed to buy – ‘sustain’ funding under the output funding model.  This gives greater certainty to these entities with respect to planning</w:t>
      </w:r>
    </w:p>
    <w:p w:rsidR="00B801AC" w:rsidRDefault="00B801AC" w:rsidP="007E25F5">
      <w:pPr>
        <w:pStyle w:val="ListBullet"/>
      </w:pPr>
      <w:r w:rsidRPr="00085807">
        <w:t>This funding inc</w:t>
      </w:r>
      <w:r>
        <w:t>ludes depreciation allowances for its ‘sustain’ asset base, which the entity can ‘save’ toward the cost of replacement of assets</w:t>
      </w:r>
    </w:p>
    <w:p w:rsidR="00B801AC" w:rsidRDefault="00B801AC" w:rsidP="007E25F5">
      <w:pPr>
        <w:pStyle w:val="ListBullet"/>
      </w:pPr>
      <w:r>
        <w:t xml:space="preserve">Entities receive proceeds of asset disposals </w:t>
      </w:r>
      <w:proofErr w:type="spellStart"/>
      <w:r>
        <w:t>ie</w:t>
      </w:r>
      <w:proofErr w:type="spellEnd"/>
      <w:r>
        <w:t xml:space="preserve"> these are not returned to the Consolidated Fund as generally happens now</w:t>
      </w:r>
    </w:p>
    <w:p w:rsidR="00B801AC" w:rsidRDefault="00B801AC" w:rsidP="007E25F5">
      <w:pPr>
        <w:pStyle w:val="ListBullet"/>
      </w:pPr>
      <w:r>
        <w:t xml:space="preserve">Monitoring by central agencies to ensure that portfolios are being run well and remain on a </w:t>
      </w:r>
      <w:r w:rsidR="00416AA0">
        <w:t xml:space="preserve">financially </w:t>
      </w:r>
      <w:r>
        <w:t xml:space="preserve">sustainable path; annual reporting to Cabinet and more detailed rolling reviews of services purchased </w:t>
      </w:r>
    </w:p>
    <w:p w:rsidR="00B801AC" w:rsidRDefault="00B801AC" w:rsidP="007E25F5">
      <w:pPr>
        <w:pStyle w:val="ListBullet"/>
      </w:pPr>
      <w:r>
        <w:t xml:space="preserve">Cabinet considers ‘growth’ funding bids </w:t>
      </w:r>
      <w:r w:rsidR="00416AA0">
        <w:t xml:space="preserve">from entities </w:t>
      </w:r>
      <w:proofErr w:type="spellStart"/>
      <w:r>
        <w:t>ie</w:t>
      </w:r>
      <w:proofErr w:type="spellEnd"/>
      <w:r>
        <w:t xml:space="preserve"> to enable an addition to the current level of services</w:t>
      </w:r>
    </w:p>
    <w:p w:rsidR="00B801AC" w:rsidRDefault="00B801AC" w:rsidP="007E25F5">
      <w:pPr>
        <w:pStyle w:val="ListBullet"/>
      </w:pPr>
      <w:r>
        <w:t>The entity is p</w:t>
      </w:r>
      <w:r w:rsidRPr="00A60B51">
        <w:t>rovide</w:t>
      </w:r>
      <w:r>
        <w:t>d with</w:t>
      </w:r>
      <w:r w:rsidRPr="00A60B51">
        <w:t xml:space="preserve"> capital ‘growth’ funding if the purchase of additional ‘growth’ services is approved</w:t>
      </w:r>
      <w:r>
        <w:t xml:space="preserve">.  The entity also receives an ongoing increase to its funding for operational and maintenance expenditures, and access to depreciation allowances for the new asset. </w:t>
      </w:r>
      <w:r w:rsidRPr="00A60B51">
        <w:t xml:space="preserve">  </w:t>
      </w:r>
    </w:p>
    <w:p w:rsidR="00B801AC" w:rsidRPr="00E9739B" w:rsidRDefault="00B801AC">
      <w:r w:rsidRPr="00A60B51">
        <w:t xml:space="preserve"> </w:t>
      </w:r>
      <w:r>
        <w:t>The benefits that could accrue from a more commercial framework include:</w:t>
      </w:r>
      <w:r w:rsidRPr="000C50F8">
        <w:t xml:space="preserve"> </w:t>
      </w:r>
    </w:p>
    <w:p w:rsidR="00B801AC" w:rsidRPr="00FE78CF" w:rsidRDefault="00B801AC" w:rsidP="007E25F5">
      <w:pPr>
        <w:pStyle w:val="ListBullet"/>
      </w:pPr>
      <w:r w:rsidRPr="00FE78CF">
        <w:t xml:space="preserve">Potential </w:t>
      </w:r>
      <w:r w:rsidR="005A0F24">
        <w:t>for</w:t>
      </w:r>
      <w:r w:rsidRPr="00FE78CF">
        <w:t xml:space="preserve"> significant </w:t>
      </w:r>
      <w:r w:rsidR="005A0F24">
        <w:t>cost savings</w:t>
      </w:r>
      <w:r w:rsidRPr="00FE78CF">
        <w:t xml:space="preserve"> in </w:t>
      </w:r>
      <w:r>
        <w:t xml:space="preserve">the </w:t>
      </w:r>
      <w:r w:rsidRPr="00FE78CF">
        <w:t xml:space="preserve">medium to longer-term through </w:t>
      </w:r>
    </w:p>
    <w:p w:rsidR="00B801AC" w:rsidRPr="00FE78CF" w:rsidRDefault="00B801AC" w:rsidP="007E25F5">
      <w:pPr>
        <w:pStyle w:val="ListBullet"/>
        <w:numPr>
          <w:ilvl w:val="1"/>
          <w:numId w:val="7"/>
        </w:numPr>
      </w:pPr>
      <w:r w:rsidRPr="00FE78CF">
        <w:t xml:space="preserve">More efficient use of capital stock; better lifecycle </w:t>
      </w:r>
      <w:r w:rsidR="007E25F5">
        <w:t>decisions</w:t>
      </w:r>
      <w:r>
        <w:t xml:space="preserve">, including </w:t>
      </w:r>
      <w:r w:rsidRPr="00FE78CF">
        <w:t>maintenance and refurbishment and exten</w:t>
      </w:r>
      <w:r>
        <w:t>sion of</w:t>
      </w:r>
      <w:r w:rsidRPr="00FE78CF">
        <w:t xml:space="preserve"> facility life; and </w:t>
      </w:r>
      <w:r>
        <w:t xml:space="preserve">greater scrutiny of </w:t>
      </w:r>
      <w:r w:rsidRPr="00FE78CF">
        <w:t>increases to the capital stock</w:t>
      </w:r>
    </w:p>
    <w:p w:rsidR="00B801AC" w:rsidRDefault="00B801AC" w:rsidP="007E25F5">
      <w:pPr>
        <w:pStyle w:val="ListBullet"/>
      </w:pPr>
      <w:r>
        <w:t>Entities can plan with greater long-term certainty</w:t>
      </w:r>
    </w:p>
    <w:p w:rsidR="00B801AC" w:rsidRDefault="00B801AC" w:rsidP="007E25F5">
      <w:pPr>
        <w:pStyle w:val="ListBullet"/>
      </w:pPr>
      <w:r w:rsidRPr="00FE78CF">
        <w:t>Entities are incentivised to focus on whole-of-life considerations</w:t>
      </w:r>
    </w:p>
    <w:p w:rsidR="00B801AC" w:rsidRPr="00FE78CF" w:rsidRDefault="00B801AC" w:rsidP="007E25F5">
      <w:pPr>
        <w:pStyle w:val="ListBullet"/>
      </w:pPr>
      <w:r>
        <w:t>A higher likelihood that f</w:t>
      </w:r>
      <w:r w:rsidRPr="00FE78CF">
        <w:t>acilities would remain fit-for-purpose and enable maintenance of service levels</w:t>
      </w:r>
    </w:p>
    <w:p w:rsidR="00B801AC" w:rsidRDefault="00B801AC" w:rsidP="007E25F5">
      <w:pPr>
        <w:pStyle w:val="ListBullet"/>
      </w:pPr>
      <w:r>
        <w:t xml:space="preserve">Stronger incentive for consideration of non-asset or asset-sweating solutions, compared with asset replacement, if that provides the best value for money outcome – taking into account a full consideration of risks of  </w:t>
      </w:r>
      <w:r w:rsidR="00416AA0">
        <w:t xml:space="preserve">the </w:t>
      </w:r>
      <w:r>
        <w:t>continued use of aged assets</w:t>
      </w:r>
    </w:p>
    <w:p w:rsidR="00B801AC" w:rsidRDefault="00B801AC" w:rsidP="007E25F5">
      <w:pPr>
        <w:pStyle w:val="ListBullet"/>
      </w:pPr>
      <w:r>
        <w:lastRenderedPageBreak/>
        <w:t xml:space="preserve">Putting under the spotlight upfront, a consideration of the full consequences of external boosts in funding.  For instance, a Commonwealth stimulus package will create a need for the asset owning entity to have increased operational funding and access to depreciation allowances to meet a large future increase in sustain capital expenditure at a future point in time </w:t>
      </w:r>
    </w:p>
    <w:p w:rsidR="00B801AC" w:rsidRDefault="00B801AC" w:rsidP="007E25F5">
      <w:pPr>
        <w:pStyle w:val="ListBullet"/>
      </w:pPr>
      <w:r>
        <w:t>More accurate costing of provision of government services – allows better scrutiny by government of services it is ‘buying’, including as to whether it wishes to continue ‘buying’ that level and type of service.</w:t>
      </w:r>
    </w:p>
    <w:p w:rsidR="00B801AC" w:rsidRDefault="00416AA0" w:rsidP="006567B7">
      <w:pPr>
        <w:spacing w:before="0" w:after="120"/>
      </w:pPr>
      <w:r>
        <w:t>W</w:t>
      </w:r>
      <w:r w:rsidR="00B801AC">
        <w:t xml:space="preserve">hilst there </w:t>
      </w:r>
      <w:r w:rsidR="00A17606">
        <w:t>appear to be</w:t>
      </w:r>
      <w:r w:rsidR="00B801AC">
        <w:t xml:space="preserve"> significant potential benefits from </w:t>
      </w:r>
      <w:r w:rsidR="00286DA9">
        <w:t xml:space="preserve">adopting </w:t>
      </w:r>
      <w:r w:rsidR="00B801AC">
        <w:t>such a framework, there are no known living examples internationally</w:t>
      </w:r>
      <w:r w:rsidR="00A17606">
        <w:t>.  This</w:t>
      </w:r>
      <w:r w:rsidR="00B801AC">
        <w:t xml:space="preserve"> indicates that its introduction faces substantial impediments.  These include: </w:t>
      </w:r>
    </w:p>
    <w:p w:rsidR="00B801AC" w:rsidRDefault="00B801AC" w:rsidP="007E25F5">
      <w:pPr>
        <w:pStyle w:val="ListBullet"/>
      </w:pPr>
      <w:r w:rsidRPr="004E483A">
        <w:t xml:space="preserve">A </w:t>
      </w:r>
      <w:r w:rsidR="002A5197">
        <w:t xml:space="preserve">perceived </w:t>
      </w:r>
      <w:r w:rsidRPr="004E483A">
        <w:t xml:space="preserve">“loss of control by Cabinet” over these </w:t>
      </w:r>
      <w:r>
        <w:t xml:space="preserve">capital expenditure </w:t>
      </w:r>
      <w:r w:rsidRPr="004E483A">
        <w:t>decisions and their timing</w:t>
      </w:r>
      <w:r>
        <w:t xml:space="preserve">, </w:t>
      </w:r>
      <w:r w:rsidRPr="004E483A">
        <w:t xml:space="preserve">arising from a </w:t>
      </w:r>
      <w:r>
        <w:t>d</w:t>
      </w:r>
      <w:r w:rsidRPr="004E483A">
        <w:t>evolution of responsibility for ‘sustain’ capital decisions from Cabinet to portfolio Ministers and their department leads</w:t>
      </w:r>
    </w:p>
    <w:p w:rsidR="00B06A41" w:rsidRDefault="002A5197" w:rsidP="007E25F5">
      <w:pPr>
        <w:pStyle w:val="ListBullet"/>
        <w:numPr>
          <w:ilvl w:val="1"/>
          <w:numId w:val="7"/>
        </w:numPr>
      </w:pPr>
      <w:r>
        <w:t xml:space="preserve">However, </w:t>
      </w:r>
      <w:r w:rsidR="00B801AC">
        <w:t xml:space="preserve">Cabinet </w:t>
      </w:r>
      <w:r w:rsidR="00B06A41">
        <w:t xml:space="preserve">should continue </w:t>
      </w:r>
      <w:r w:rsidR="00B801AC">
        <w:t xml:space="preserve">to approve each ‘sustain’ investment proposal (at least </w:t>
      </w:r>
      <w:r w:rsidR="00B06A41">
        <w:t xml:space="preserve">those </w:t>
      </w:r>
      <w:r w:rsidR="00B801AC">
        <w:t xml:space="preserve">above an individual or annual total threshold) </w:t>
      </w:r>
      <w:r w:rsidR="00B06A41">
        <w:t xml:space="preserve">to (1) confirm that it wishes to continue to purchase those services which the asset produces and (2) satisfy itself that good practice processes have been used in preparation of the business case and that proposed delivery arrangements are robust </w:t>
      </w:r>
    </w:p>
    <w:p w:rsidR="007966EE" w:rsidRDefault="00B801AC" w:rsidP="007E25F5">
      <w:pPr>
        <w:pStyle w:val="ListBullet"/>
      </w:pPr>
      <w:r>
        <w:t xml:space="preserve">The current allocation of funding to departments for </w:t>
      </w:r>
      <w:r w:rsidR="00286DA9">
        <w:t>providing</w:t>
      </w:r>
      <w:r>
        <w:t xml:space="preserve"> individual services, under the department funding model, may be far from accurate.  It is generally based on historical allocations existing prior to the introduction of output funding.  The determination of accurate </w:t>
      </w:r>
      <w:r w:rsidRPr="004E483A">
        <w:t xml:space="preserve">pricing </w:t>
      </w:r>
      <w:r>
        <w:t xml:space="preserve">- </w:t>
      </w:r>
      <w:r w:rsidRPr="004E483A">
        <w:t xml:space="preserve">and </w:t>
      </w:r>
      <w:r>
        <w:t xml:space="preserve">related </w:t>
      </w:r>
      <w:r w:rsidRPr="004E483A">
        <w:t xml:space="preserve">funding </w:t>
      </w:r>
      <w:r>
        <w:t xml:space="preserve">provision - </w:t>
      </w:r>
      <w:r w:rsidRPr="004E483A">
        <w:t xml:space="preserve">of services </w:t>
      </w:r>
      <w:r>
        <w:t>would be  a very large ‘ground-up’ exercise and could only be undertaken over a period of years and would be very resource-intensive</w:t>
      </w:r>
    </w:p>
    <w:p w:rsidR="00B801AC" w:rsidRPr="004E483A" w:rsidRDefault="00B801AC" w:rsidP="00B06A41">
      <w:pPr>
        <w:pStyle w:val="ListBullet"/>
      </w:pPr>
      <w:r w:rsidRPr="004E483A">
        <w:t>The res</w:t>
      </w:r>
      <w:r>
        <w:t>ult</w:t>
      </w:r>
      <w:r w:rsidRPr="004E483A">
        <w:t xml:space="preserve"> of this ground-up funding review is likely to involve funding shifts between </w:t>
      </w:r>
      <w:r>
        <w:t>s</w:t>
      </w:r>
      <w:r w:rsidRPr="004E483A">
        <w:t>ervice units within a portfolio</w:t>
      </w:r>
      <w:r>
        <w:t>, and between portfolios</w:t>
      </w:r>
      <w:r w:rsidR="00B06A41">
        <w:t xml:space="preserve"> – ‘</w:t>
      </w:r>
      <w:r>
        <w:t xml:space="preserve"> </w:t>
      </w:r>
      <w:r w:rsidR="00B06A41">
        <w:t>l</w:t>
      </w:r>
      <w:r>
        <w:t>osers’ may protest vigorously</w:t>
      </w:r>
    </w:p>
    <w:p w:rsidR="00B801AC" w:rsidRDefault="00B06A41" w:rsidP="00B06A41">
      <w:pPr>
        <w:pStyle w:val="ListBullet"/>
      </w:pPr>
      <w:r>
        <w:t xml:space="preserve">It </w:t>
      </w:r>
      <w:r w:rsidR="00B801AC">
        <w:t xml:space="preserve">may require a significant increase in total </w:t>
      </w:r>
      <w:r w:rsidR="00A17606">
        <w:t xml:space="preserve">upfront </w:t>
      </w:r>
      <w:r w:rsidR="00B801AC">
        <w:t>appropriations to departments, which may be unaffordable in the short-to-medium term</w:t>
      </w:r>
      <w:r>
        <w:t>. A</w:t>
      </w:r>
      <w:r w:rsidR="00A17606">
        <w:t>lthough total appropriations over time for infrastructure to provide a given level of services should fall</w:t>
      </w:r>
    </w:p>
    <w:p w:rsidR="00A17606" w:rsidRDefault="00A17606" w:rsidP="007E25F5">
      <w:pPr>
        <w:pStyle w:val="ListBullet"/>
      </w:pPr>
      <w:r>
        <w:t>T</w:t>
      </w:r>
      <w:r w:rsidR="00B801AC">
        <w:t xml:space="preserve">here is not always a clear distinction between </w:t>
      </w:r>
      <w:r>
        <w:t>‘s</w:t>
      </w:r>
      <w:r w:rsidR="00B801AC">
        <w:t>ustain</w:t>
      </w:r>
      <w:r>
        <w:t>’</w:t>
      </w:r>
      <w:r w:rsidR="00B801AC">
        <w:t xml:space="preserve"> &amp; </w:t>
      </w:r>
      <w:r>
        <w:t>‘g</w:t>
      </w:r>
      <w:r w:rsidR="00B801AC">
        <w:t>rowth</w:t>
      </w:r>
      <w:r>
        <w:t>’</w:t>
      </w:r>
      <w:r w:rsidR="00B801AC">
        <w:t xml:space="preserve">; </w:t>
      </w:r>
      <w:r>
        <w:t>many investment proposals will contain a combination of both elements</w:t>
      </w:r>
    </w:p>
    <w:p w:rsidR="00B801AC" w:rsidRDefault="00A17606" w:rsidP="007E25F5">
      <w:pPr>
        <w:pStyle w:val="ListBullet"/>
      </w:pPr>
      <w:r>
        <w:t>Scope for gaming; s</w:t>
      </w:r>
      <w:r w:rsidR="00B801AC">
        <w:t>ome entities may take an unduly short-term focus, consistent with the likely tenure of their management</w:t>
      </w:r>
      <w:r w:rsidR="009F1259">
        <w:t xml:space="preserve"> (greater ‘Board’ scrutiny would be required by Cabinet)</w:t>
      </w:r>
    </w:p>
    <w:p w:rsidR="002A5197" w:rsidRDefault="00B801AC" w:rsidP="007E25F5">
      <w:pPr>
        <w:pStyle w:val="ListBullet"/>
      </w:pPr>
      <w:r>
        <w:t>A need for a significant shift in the way that Cabinet (</w:t>
      </w:r>
      <w:r w:rsidR="00B06A41">
        <w:t>including</w:t>
      </w:r>
      <w:r>
        <w:t xml:space="preserve"> its Budget Committee) operates, towards being a more informed buyer of the services it purchases and wishes to purchase and having a lesser focus on the allocation of capital funding.</w:t>
      </w:r>
      <w:r w:rsidR="002A5197">
        <w:t xml:space="preserve">   </w:t>
      </w:r>
    </w:p>
    <w:p w:rsidR="00B801AC" w:rsidRDefault="002A5197" w:rsidP="002A5197">
      <w:pPr>
        <w:pStyle w:val="ListBullet"/>
        <w:numPr>
          <w:ilvl w:val="1"/>
          <w:numId w:val="7"/>
        </w:numPr>
      </w:pPr>
      <w:r>
        <w:t>Ideally, this shift in the role of Cabinet would be part of a more fundamental change that would see it playing a more strategic role generally than now and where medium to long-term strategic planning would receive greater attention (</w:t>
      </w:r>
      <w:r w:rsidR="00B06A41">
        <w:t>T</w:t>
      </w:r>
      <w:r>
        <w:t xml:space="preserve">his is </w:t>
      </w:r>
      <w:r w:rsidR="00B06A41">
        <w:t>related to, but beyond the scope of this submission).</w:t>
      </w:r>
    </w:p>
    <w:p w:rsidR="000B0A37" w:rsidRDefault="000B0A37">
      <w:pPr>
        <w:spacing w:before="0" w:after="120"/>
        <w:rPr>
          <w:rFonts w:ascii="Arial" w:eastAsia="Times New Roman" w:hAnsi="Arial" w:cs="Arial"/>
          <w:b/>
          <w:bCs/>
          <w:iCs/>
          <w:color w:val="406B87" w:themeColor="accent3"/>
          <w:sz w:val="28"/>
          <w:szCs w:val="28"/>
          <w:lang w:eastAsia="en-AU"/>
        </w:rPr>
      </w:pPr>
      <w:r>
        <w:br w:type="page"/>
      </w:r>
    </w:p>
    <w:p w:rsidR="006B4BC7" w:rsidRDefault="006B4BC7" w:rsidP="00961792">
      <w:pPr>
        <w:pStyle w:val="Heading2"/>
      </w:pPr>
      <w:bookmarkStart w:id="6" w:name="_Toc384210473"/>
      <w:r>
        <w:lastRenderedPageBreak/>
        <w:t>Conclusion</w:t>
      </w:r>
      <w:bookmarkEnd w:id="6"/>
      <w:r>
        <w:t xml:space="preserve"> </w:t>
      </w:r>
    </w:p>
    <w:p w:rsidR="001F58FD" w:rsidRPr="006567B7" w:rsidRDefault="001F58FD" w:rsidP="006567B7">
      <w:r w:rsidRPr="006567B7">
        <w:t>G</w:t>
      </w:r>
      <w:r w:rsidR="006B4BC7" w:rsidRPr="006567B7">
        <w:t xml:space="preserve">overnments are likely to continue to face even greater fiscal stringencies in </w:t>
      </w:r>
      <w:r w:rsidR="00B801AC" w:rsidRPr="006567B7">
        <w:t>future years</w:t>
      </w:r>
      <w:r w:rsidRPr="006567B7">
        <w:t xml:space="preserve"> with population aging leading to increased demand for health and other services traditionally provided by government at little or no direct cost to users, and with a smaller portion of the population in the workforce and providing the taxation to fund these services.</w:t>
      </w:r>
    </w:p>
    <w:p w:rsidR="001F58FD" w:rsidRPr="006567B7" w:rsidRDefault="001F58FD" w:rsidP="006567B7">
      <w:r w:rsidRPr="006567B7">
        <w:t xml:space="preserve">There will be a growing imperative for government to get greater mileage out its taxation revenues. </w:t>
      </w:r>
    </w:p>
    <w:p w:rsidR="005A0F24" w:rsidRPr="006567B7" w:rsidRDefault="001F58FD" w:rsidP="006567B7">
      <w:r w:rsidRPr="006567B7">
        <w:t>T</w:t>
      </w:r>
      <w:r w:rsidR="00B801AC" w:rsidRPr="006567B7">
        <w:t xml:space="preserve">he size of the potential budgetary savings over the medium-to-longer term </w:t>
      </w:r>
      <w:r w:rsidR="005A0F24" w:rsidRPr="006567B7">
        <w:t>makes</w:t>
      </w:r>
      <w:r w:rsidR="00B801AC" w:rsidRPr="006567B7">
        <w:t xml:space="preserve"> major reform to the current budget-sector </w:t>
      </w:r>
      <w:r w:rsidR="005A0F24" w:rsidRPr="006567B7">
        <w:t xml:space="preserve">infrastructure </w:t>
      </w:r>
      <w:r w:rsidR="00B801AC" w:rsidRPr="006567B7">
        <w:t xml:space="preserve">investment </w:t>
      </w:r>
      <w:r w:rsidR="005A0F24" w:rsidRPr="006567B7">
        <w:t xml:space="preserve">and management </w:t>
      </w:r>
      <w:r w:rsidR="00B801AC" w:rsidRPr="006567B7">
        <w:t xml:space="preserve">framework increasingly </w:t>
      </w:r>
      <w:r w:rsidR="005A0F24" w:rsidRPr="006567B7">
        <w:t>inevitable</w:t>
      </w:r>
      <w:r w:rsidR="00B801AC" w:rsidRPr="006567B7">
        <w:t xml:space="preserve">.  </w:t>
      </w:r>
    </w:p>
    <w:p w:rsidR="009F1259" w:rsidRPr="006567B7" w:rsidRDefault="009F1259" w:rsidP="006567B7">
      <w:r w:rsidRPr="006567B7">
        <w:t>The initial increases in total appropriations to government entities should be recouped many-fold over time.</w:t>
      </w:r>
    </w:p>
    <w:p w:rsidR="000B0A37" w:rsidRPr="006567B7" w:rsidRDefault="009F1259" w:rsidP="006567B7">
      <w:r w:rsidRPr="006567B7">
        <w:t>However, g</w:t>
      </w:r>
      <w:r w:rsidR="00B801AC" w:rsidRPr="006567B7">
        <w:t xml:space="preserve">iven the </w:t>
      </w:r>
      <w:r w:rsidR="001F58FD" w:rsidRPr="006567B7">
        <w:t xml:space="preserve">potentially </w:t>
      </w:r>
      <w:r w:rsidR="00B801AC" w:rsidRPr="006567B7">
        <w:t xml:space="preserve">seismic change in government budgetary arrangements associated with the adoption of this framework, </w:t>
      </w:r>
      <w:r w:rsidRPr="006567B7">
        <w:t xml:space="preserve">and the significant implementation effort and change in practices, </w:t>
      </w:r>
      <w:r w:rsidR="00B801AC" w:rsidRPr="006567B7">
        <w:t xml:space="preserve">a practical approach may be to pilot it in a small number of entities initially. </w:t>
      </w:r>
    </w:p>
    <w:p w:rsidR="009E6D58" w:rsidRDefault="009E6D58" w:rsidP="00961792">
      <w:pPr>
        <w:pStyle w:val="Heading2"/>
      </w:pPr>
      <w:bookmarkStart w:id="7" w:name="_Toc384210474"/>
      <w:r>
        <w:t>Recommendation</w:t>
      </w:r>
      <w:bookmarkEnd w:id="7"/>
    </w:p>
    <w:p w:rsidR="009E6D58" w:rsidRDefault="009E6D58" w:rsidP="009E6D58">
      <w:pPr>
        <w:rPr>
          <w:lang w:eastAsia="en-AU"/>
        </w:rPr>
      </w:pPr>
      <w:r>
        <w:rPr>
          <w:lang w:eastAsia="en-AU"/>
        </w:rPr>
        <w:t>It is recommended that:</w:t>
      </w:r>
    </w:p>
    <w:p w:rsidR="009E6D58" w:rsidRDefault="009E6D58" w:rsidP="009E6D58">
      <w:pPr>
        <w:pStyle w:val="ListBullet"/>
      </w:pPr>
      <w:r>
        <w:t xml:space="preserve">Governments consider  the introduction of </w:t>
      </w:r>
      <w:r w:rsidR="005A0F24">
        <w:t xml:space="preserve">a </w:t>
      </w:r>
      <w:r>
        <w:t>framework in the general government sector that devolve</w:t>
      </w:r>
      <w:r w:rsidR="005A0F24">
        <w:t>s</w:t>
      </w:r>
      <w:r>
        <w:t xml:space="preserve"> greater incentive and </w:t>
      </w:r>
      <w:r w:rsidR="005A0F24">
        <w:t xml:space="preserve">financial </w:t>
      </w:r>
      <w:r>
        <w:t xml:space="preserve">responsibility </w:t>
      </w:r>
      <w:r w:rsidR="005A0F24">
        <w:t xml:space="preserve">for infrastructure provision and ongoing management </w:t>
      </w:r>
      <w:r>
        <w:t>to the agencies that use those assets to provide services</w:t>
      </w:r>
    </w:p>
    <w:p w:rsidR="009E6D58" w:rsidRPr="009E6D58" w:rsidRDefault="005A0F24" w:rsidP="009E6D58">
      <w:pPr>
        <w:pStyle w:val="ListBullet"/>
      </w:pPr>
      <w:r>
        <w:t>Introduction of s</w:t>
      </w:r>
      <w:r w:rsidR="009E6D58">
        <w:t xml:space="preserve">uch </w:t>
      </w:r>
      <w:r>
        <w:t xml:space="preserve">a </w:t>
      </w:r>
      <w:r w:rsidR="009E6D58">
        <w:t xml:space="preserve">framework be </w:t>
      </w:r>
      <w:r w:rsidR="0004377B">
        <w:t>considered</w:t>
      </w:r>
      <w:r w:rsidR="009E6D58">
        <w:t xml:space="preserve"> initially through pilot schemes, to enable a</w:t>
      </w:r>
      <w:r w:rsidR="0004377B">
        <w:t xml:space="preserve"> focus on a</w:t>
      </w:r>
      <w:r w:rsidR="009E6D58">
        <w:t>ddress</w:t>
      </w:r>
      <w:r w:rsidR="0004377B">
        <w:t>ing ‘teething’ issues and assess</w:t>
      </w:r>
      <w:r>
        <w:t>ing</w:t>
      </w:r>
      <w:r w:rsidR="0004377B">
        <w:t xml:space="preserve"> the merits and timing of its wider introduction.</w:t>
      </w:r>
    </w:p>
    <w:p w:rsidR="003916B8" w:rsidRDefault="003916B8">
      <w:pPr>
        <w:spacing w:before="0" w:after="120"/>
        <w:rPr>
          <w:rFonts w:ascii="Arial" w:eastAsiaTheme="majorEastAsia" w:hAnsi="Arial" w:cs="Arial"/>
          <w:b/>
          <w:color w:val="406B87" w:themeColor="accent3"/>
          <w:sz w:val="22"/>
        </w:rPr>
      </w:pPr>
      <w:r>
        <w:br w:type="page"/>
      </w:r>
    </w:p>
    <w:p w:rsidR="00B801AC" w:rsidRPr="00857FE2" w:rsidRDefault="00B801AC" w:rsidP="00961792">
      <w:pPr>
        <w:pStyle w:val="Heading1"/>
      </w:pPr>
      <w:bookmarkStart w:id="8" w:name="_Toc384210475"/>
      <w:r w:rsidRPr="00857FE2">
        <w:lastRenderedPageBreak/>
        <w:t>Corridor Pr</w:t>
      </w:r>
      <w:r w:rsidR="00796777">
        <w:t>otection</w:t>
      </w:r>
      <w:bookmarkEnd w:id="8"/>
    </w:p>
    <w:p w:rsidR="001E727C" w:rsidRDefault="001E727C" w:rsidP="001E727C">
      <w:r>
        <w:t>Corridor protection is particularly important in the transport sector but can also be important in other infrastructure sectors.</w:t>
      </w:r>
      <w:r w:rsidRPr="001E727C">
        <w:t xml:space="preserve"> </w:t>
      </w:r>
      <w:r w:rsidR="002E2FD4">
        <w:t>Ideally</w:t>
      </w:r>
      <w:r>
        <w:t xml:space="preserve">, corridors </w:t>
      </w:r>
      <w:r w:rsidR="002E2FD4">
        <w:t>are</w:t>
      </w:r>
      <w:r>
        <w:t xml:space="preserve"> set aside many years in advance of their development.</w:t>
      </w:r>
    </w:p>
    <w:p w:rsidR="00DA193F" w:rsidRDefault="00B801AC" w:rsidP="00DA193F">
      <w:r w:rsidRPr="00857FE2">
        <w:t xml:space="preserve">As set out in the </w:t>
      </w:r>
      <w:r>
        <w:t>Draft R</w:t>
      </w:r>
      <w:r w:rsidRPr="00857FE2">
        <w:t xml:space="preserve">eport, </w:t>
      </w:r>
      <w:r w:rsidR="001E727C">
        <w:t xml:space="preserve">and </w:t>
      </w:r>
      <w:r w:rsidRPr="00857FE2">
        <w:t xml:space="preserve">in particular the comments from the Office of the Infrastructure Coordinator, </w:t>
      </w:r>
      <w:r w:rsidR="00DA193F" w:rsidRPr="00857FE2">
        <w:t xml:space="preserve">governments are </w:t>
      </w:r>
      <w:r w:rsidR="00DA193F">
        <w:t>best</w:t>
      </w:r>
      <w:r w:rsidR="00DA193F" w:rsidRPr="00857FE2">
        <w:t xml:space="preserve"> placed to protect corridors </w:t>
      </w:r>
      <w:r w:rsidR="00DA193F">
        <w:t xml:space="preserve">and delays in doing this can substantially increase the cost of future projects and impact the ability to respond to infrastructure demand.  </w:t>
      </w:r>
    </w:p>
    <w:p w:rsidR="00AB7E8A" w:rsidRDefault="00AB7E8A" w:rsidP="00961792">
      <w:pPr>
        <w:pStyle w:val="Heading2"/>
      </w:pPr>
      <w:bookmarkStart w:id="9" w:name="_Toc384210476"/>
      <w:r>
        <w:t>Long-term strategic planning</w:t>
      </w:r>
      <w:bookmarkEnd w:id="9"/>
    </w:p>
    <w:p w:rsidR="00AB7E8A" w:rsidRDefault="00AB7E8A" w:rsidP="00286DA9">
      <w:r>
        <w:t>The most critical aspect for protecting a future transport network is de</w:t>
      </w:r>
      <w:r w:rsidR="00DA193F">
        <w:t xml:space="preserve">termination of </w:t>
      </w:r>
      <w:r>
        <w:t xml:space="preserve">the </w:t>
      </w:r>
      <w:r w:rsidR="0027729C">
        <w:t xml:space="preserve">configuration of the </w:t>
      </w:r>
      <w:r>
        <w:t>future transport network</w:t>
      </w:r>
      <w:r w:rsidR="005A0F24">
        <w:t>.</w:t>
      </w:r>
      <w:r w:rsidR="00DA193F">
        <w:t xml:space="preserve"> T</w:t>
      </w:r>
      <w:r>
        <w:t>his is generally a responsibility of government(s) and is best undertaken through a long-term and transparent strategic planning process.</w:t>
      </w:r>
    </w:p>
    <w:p w:rsidR="001E727C" w:rsidRDefault="001E727C" w:rsidP="00286DA9">
      <w:r>
        <w:t xml:space="preserve">There is </w:t>
      </w:r>
      <w:r w:rsidR="002E2FD4">
        <w:t>much</w:t>
      </w:r>
      <w:r>
        <w:t xml:space="preserve"> international evidence to suggest that the most cost-effective and efficient way to undertake strategic transport network planning is to have a centrali</w:t>
      </w:r>
      <w:r w:rsidR="00DA193F">
        <w:t>s</w:t>
      </w:r>
      <w:r>
        <w:t>ed</w:t>
      </w:r>
      <w:r w:rsidR="00DA193F">
        <w:t>, integrated, objective</w:t>
      </w:r>
      <w:r>
        <w:t xml:space="preserve"> </w:t>
      </w:r>
      <w:r w:rsidR="00DA193F">
        <w:t xml:space="preserve">and transparent </w:t>
      </w:r>
      <w:r>
        <w:t xml:space="preserve">process.  Like all planning, </w:t>
      </w:r>
      <w:r w:rsidR="0073159A">
        <w:t xml:space="preserve">it is </w:t>
      </w:r>
      <w:r>
        <w:t xml:space="preserve">most efficient if </w:t>
      </w:r>
      <w:r w:rsidR="0073159A">
        <w:t xml:space="preserve">it </w:t>
      </w:r>
      <w:r w:rsidR="00DA193F">
        <w:t>occurs</w:t>
      </w:r>
      <w:r w:rsidR="0073159A">
        <w:t xml:space="preserve"> </w:t>
      </w:r>
      <w:r>
        <w:t>in advance</w:t>
      </w:r>
      <w:r w:rsidR="00010E21">
        <w:t>.  L</w:t>
      </w:r>
      <w:r>
        <w:t>ast minute</w:t>
      </w:r>
      <w:r w:rsidR="00010E21">
        <w:t xml:space="preserve"> planning can result in costly property acquisition, high impacts, higher cost infrastructure projects and/or sub-optimal network design</w:t>
      </w:r>
      <w:r>
        <w:t>.</w:t>
      </w:r>
      <w:r w:rsidR="00010E21">
        <w:t xml:space="preserve">  </w:t>
      </w:r>
    </w:p>
    <w:p w:rsidR="009D627C" w:rsidRDefault="009D627C" w:rsidP="009D627C">
      <w:r>
        <w:t xml:space="preserve">Given that the costs of corridor protection (and the additional construction costs of a failure to protect corridors) are borne by government, improvements in the long-term strategic planning process can produce sizeable financial savings to governments.  </w:t>
      </w:r>
    </w:p>
    <w:p w:rsidR="009D627C" w:rsidRDefault="009D627C" w:rsidP="009D627C">
      <w:r>
        <w:t>Failure to undertake rigorous long-term strategic planning and/or to gain wider public support can also lead to transport agencies seeking to protect overly large or an excess number of corridor tracts to preserve options.</w:t>
      </w:r>
    </w:p>
    <w:p w:rsidR="00961792" w:rsidRDefault="009D627C" w:rsidP="00961792">
      <w:pPr>
        <w:pStyle w:val="Heading2"/>
      </w:pPr>
      <w:bookmarkStart w:id="10" w:name="_Toc384210477"/>
      <w:r>
        <w:t>When to provide protection</w:t>
      </w:r>
      <w:bookmarkEnd w:id="10"/>
      <w:r>
        <w:t xml:space="preserve"> </w:t>
      </w:r>
    </w:p>
    <w:p w:rsidR="009D627C" w:rsidRDefault="009D627C" w:rsidP="009D627C">
      <w:r>
        <w:t xml:space="preserve">If long-term planning is undertaken effectively and required corridors identified, the next step is determination of the most appropriate means of protecting the corridor for each project.  Once a project is committed – regardless of how far in the future – the most cost-effective method is to protect the land immediately. </w:t>
      </w:r>
    </w:p>
    <w:p w:rsidR="009D627C" w:rsidRDefault="002E2FD4" w:rsidP="00286DA9">
      <w:r>
        <w:t>Total land acquisition costs (including land acquisition, compensation, legal and other costs) generally are cheaper over the long-term (</w:t>
      </w:r>
      <w:proofErr w:type="spellStart"/>
      <w:r>
        <w:t>ie</w:t>
      </w:r>
      <w:proofErr w:type="spellEnd"/>
      <w:r>
        <w:t xml:space="preserve"> better </w:t>
      </w:r>
      <w:proofErr w:type="spellStart"/>
      <w:r>
        <w:t>NPV</w:t>
      </w:r>
      <w:proofErr w:type="spellEnd"/>
      <w:r>
        <w:t xml:space="preserve"> if the land is acquired upfront, rather than deferred.  </w:t>
      </w:r>
      <w:r w:rsidR="0027729C">
        <w:t xml:space="preserve">If the government knows it will need to spend the money to buy land at some stage, generally there’s also a better BCR if it’s done up front. </w:t>
      </w:r>
      <w:r w:rsidR="0027729C" w:rsidRPr="00AB7E8A">
        <w:t xml:space="preserve"> </w:t>
      </w:r>
      <w:r>
        <w:t xml:space="preserve">Depending on location of land, in most cases, the </w:t>
      </w:r>
      <w:r w:rsidR="0027729C">
        <w:t>g</w:t>
      </w:r>
      <w:r>
        <w:t xml:space="preserve">overnment can receive rent from existing landholders for continued use of land until the project build is imminent.  </w:t>
      </w:r>
    </w:p>
    <w:p w:rsidR="00AB7E8A" w:rsidRDefault="00AB7E8A" w:rsidP="00286DA9">
      <w:r>
        <w:t>The vast majority of the overall acquisition cost is made up of compensation to landholders for future use.  Compensation is triggered as soon as planning protection is applied, but acquisition can occur at any stage.  This means that even protecting the land in Planning Schemes requires funding allocation for potential (and likely) compensation claims.</w:t>
      </w:r>
    </w:p>
    <w:p w:rsidR="000B0A37" w:rsidRDefault="000B0A37">
      <w:pPr>
        <w:spacing w:before="0" w:after="120"/>
        <w:rPr>
          <w:rFonts w:ascii="Arial" w:eastAsia="Times New Roman" w:hAnsi="Arial" w:cs="Arial"/>
          <w:b/>
          <w:bCs/>
          <w:iCs/>
          <w:color w:val="406B87" w:themeColor="accent3"/>
          <w:sz w:val="28"/>
          <w:szCs w:val="28"/>
          <w:lang w:eastAsia="en-AU"/>
        </w:rPr>
      </w:pPr>
      <w:r>
        <w:br w:type="page"/>
      </w:r>
    </w:p>
    <w:p w:rsidR="009D627C" w:rsidRDefault="009D627C" w:rsidP="009D627C">
      <w:pPr>
        <w:pStyle w:val="Heading2"/>
      </w:pPr>
      <w:bookmarkStart w:id="11" w:name="_Toc384210478"/>
      <w:r>
        <w:lastRenderedPageBreak/>
        <w:t>National approach for interstate corridors</w:t>
      </w:r>
      <w:bookmarkEnd w:id="11"/>
    </w:p>
    <w:p w:rsidR="0004377B" w:rsidRDefault="0004377B" w:rsidP="00286DA9">
      <w:r w:rsidRPr="00857FE2">
        <w:t xml:space="preserve">Evans &amp; Peck would </w:t>
      </w:r>
      <w:r w:rsidR="00AB7E8A">
        <w:t xml:space="preserve">also </w:t>
      </w:r>
      <w:r w:rsidRPr="00857FE2">
        <w:t>support further assessment of the benefits that may arise from development of nationally consistent processes and guidelines for the identification and pr</w:t>
      </w:r>
      <w:r>
        <w:t xml:space="preserve">otection </w:t>
      </w:r>
      <w:r w:rsidRPr="00857FE2">
        <w:t xml:space="preserve">of </w:t>
      </w:r>
      <w:r w:rsidR="00AB7E8A">
        <w:t xml:space="preserve">interstate </w:t>
      </w:r>
      <w:r w:rsidRPr="00857FE2">
        <w:t>infrastructure corridors.  The assessment of cross jurisdictional projects such as Melbourne to Brisbane inland rail would provide a basis for testing whether nationally consistent processes and guidelines would improve the efficiency and cost of land corridor and site pr</w:t>
      </w:r>
      <w:r>
        <w:t>otection</w:t>
      </w:r>
      <w:r w:rsidRPr="00857FE2">
        <w:t xml:space="preserve"> strategies at the individual jurisdictional level.</w:t>
      </w:r>
    </w:p>
    <w:p w:rsidR="00AB7E8A" w:rsidRDefault="00AB7E8A" w:rsidP="00961792">
      <w:pPr>
        <w:pStyle w:val="Heading2"/>
      </w:pPr>
      <w:bookmarkStart w:id="12" w:name="_Toc384210479"/>
      <w:r>
        <w:t>Recommendations</w:t>
      </w:r>
      <w:bookmarkEnd w:id="12"/>
    </w:p>
    <w:p w:rsidR="0017130D" w:rsidRDefault="005A0F24" w:rsidP="0017130D">
      <w:r>
        <w:t>It is recommended that:</w:t>
      </w:r>
    </w:p>
    <w:p w:rsidR="005A0F24" w:rsidRDefault="005A0F24" w:rsidP="006567B7">
      <w:pPr>
        <w:pStyle w:val="ListBullet"/>
      </w:pPr>
      <w:r>
        <w:t xml:space="preserve">Greater emphasis is given by governments </w:t>
      </w:r>
      <w:r w:rsidR="001B5663">
        <w:t>to</w:t>
      </w:r>
      <w:r>
        <w:t xml:space="preserve"> long-term strategic planning </w:t>
      </w:r>
      <w:r w:rsidR="001317DB">
        <w:t>of service needs and resulting proposed infrastructure responses</w:t>
      </w:r>
    </w:p>
    <w:p w:rsidR="001317DB" w:rsidRDefault="001317DB" w:rsidP="006567B7">
      <w:pPr>
        <w:pStyle w:val="ListBullet"/>
      </w:pPr>
      <w:r>
        <w:t>As soon as corridors are identified through such processes, they should be protected</w:t>
      </w:r>
    </w:p>
    <w:p w:rsidR="001317DB" w:rsidRDefault="001317DB" w:rsidP="006567B7">
      <w:pPr>
        <w:pStyle w:val="ListBullet"/>
      </w:pPr>
      <w:r>
        <w:t>A national approach be established to facilitate protection for corridors that cross jurisdictional boundaries.</w:t>
      </w:r>
    </w:p>
    <w:p w:rsidR="003916B8" w:rsidRDefault="003916B8">
      <w:pPr>
        <w:spacing w:before="0" w:after="120"/>
        <w:rPr>
          <w:rFonts w:ascii="Arial" w:eastAsiaTheme="majorEastAsia" w:hAnsi="Arial" w:cs="Arial"/>
          <w:b/>
          <w:color w:val="406B87" w:themeColor="accent3"/>
          <w:sz w:val="22"/>
        </w:rPr>
      </w:pPr>
    </w:p>
    <w:p w:rsidR="00B801AC" w:rsidRDefault="00B801AC" w:rsidP="00961792">
      <w:pPr>
        <w:pStyle w:val="Heading1"/>
      </w:pPr>
      <w:bookmarkStart w:id="13" w:name="_Toc384210480"/>
      <w:r w:rsidRPr="00763FC5">
        <w:lastRenderedPageBreak/>
        <w:t>Data Collection and Benchmarking</w:t>
      </w:r>
      <w:bookmarkEnd w:id="13"/>
    </w:p>
    <w:p w:rsidR="007E25F5" w:rsidRDefault="007E25F5" w:rsidP="007E25F5">
      <w:r w:rsidRPr="007E25F5">
        <w:t xml:space="preserve">This </w:t>
      </w:r>
      <w:r w:rsidR="0017130D">
        <w:t xml:space="preserve">section of the </w:t>
      </w:r>
      <w:r w:rsidRPr="007E25F5">
        <w:t>submission responds to the following references in the Draft Report:</w:t>
      </w:r>
    </w:p>
    <w:p w:rsidR="000B0A37" w:rsidRPr="007E25F5" w:rsidRDefault="000B0A37" w:rsidP="007E25F5"/>
    <w:p w:rsidR="007E25F5" w:rsidRPr="007E25F5" w:rsidRDefault="007E25F5" w:rsidP="000B0A37">
      <w:pPr>
        <w:ind w:left="567"/>
        <w:rPr>
          <w:i/>
        </w:rPr>
      </w:pPr>
      <w:r w:rsidRPr="007E25F5">
        <w:rPr>
          <w:i/>
        </w:rPr>
        <w:t xml:space="preserve">DRAFT RECOMMENDATION 8.2 </w:t>
      </w:r>
    </w:p>
    <w:p w:rsidR="007E25F5" w:rsidRPr="007E25F5" w:rsidRDefault="007E25F5" w:rsidP="000B0A37">
      <w:pPr>
        <w:ind w:left="567"/>
        <w:rPr>
          <w:i/>
        </w:rPr>
      </w:pPr>
      <w:r w:rsidRPr="007E25F5">
        <w:rPr>
          <w:i/>
        </w:rPr>
        <w:t xml:space="preserve">The Australian Government should fund the development and ongoing implementation of a detailed benchmarking framework for major infrastructure projects in Australia. This would substantially assist in the future planning and evaluation of projects, and is an essential factor in the much-cited pipeline of projects. </w:t>
      </w:r>
    </w:p>
    <w:p w:rsidR="007E25F5" w:rsidRPr="007E25F5" w:rsidRDefault="007E25F5" w:rsidP="000B0A37">
      <w:pPr>
        <w:ind w:left="567"/>
        <w:rPr>
          <w:i/>
        </w:rPr>
      </w:pPr>
      <w:r w:rsidRPr="007E25F5">
        <w:rPr>
          <w:i/>
        </w:rPr>
        <w:t xml:space="preserve">The benchmarking should, at a minimum, include information on tender costs and other procurement outcomes, completion times and final out-turn costs and levels of remuneration and industrial disputation. </w:t>
      </w:r>
    </w:p>
    <w:p w:rsidR="007E25F5" w:rsidRPr="007E25F5" w:rsidRDefault="007E25F5" w:rsidP="000B0A37">
      <w:pPr>
        <w:ind w:left="567"/>
        <w:rPr>
          <w:i/>
        </w:rPr>
      </w:pPr>
      <w:r w:rsidRPr="007E25F5">
        <w:rPr>
          <w:i/>
        </w:rPr>
        <w:t xml:space="preserve">The provision of data to support the benchmarking framework should be a requirement attaching to all Australian Government funding for major infrastructure projects. Mechanisms should also be developed to capture similar data from projects funded by other levels of government and consideration should be given to what information might be gathered from the private sector to enhance the quality of information provided by the benchmarking. </w:t>
      </w:r>
    </w:p>
    <w:p w:rsidR="007E25F5" w:rsidRPr="007E25F5" w:rsidRDefault="007E25F5" w:rsidP="000B0A37">
      <w:pPr>
        <w:ind w:left="567"/>
        <w:rPr>
          <w:b/>
          <w:bCs/>
          <w:i/>
          <w:iCs/>
        </w:rPr>
      </w:pPr>
      <w:r w:rsidRPr="007E25F5">
        <w:rPr>
          <w:i/>
        </w:rPr>
        <w:t>This ongoing benchmarking must be seen to be independent of both government and industry influence and also be seen as technically robust and credible</w:t>
      </w:r>
      <w:r w:rsidRPr="007E25F5">
        <w:rPr>
          <w:b/>
          <w:bCs/>
          <w:i/>
          <w:iCs/>
        </w:rPr>
        <w:t xml:space="preserve">. </w:t>
      </w:r>
    </w:p>
    <w:p w:rsidR="007E25F5" w:rsidRPr="007E25F5" w:rsidRDefault="007E25F5" w:rsidP="000B0A37">
      <w:pPr>
        <w:ind w:left="567"/>
        <w:rPr>
          <w:i/>
        </w:rPr>
      </w:pPr>
      <w:r w:rsidRPr="007E25F5">
        <w:rPr>
          <w:i/>
        </w:rPr>
        <w:t xml:space="preserve">DRAFT FINDING 8.2 </w:t>
      </w:r>
    </w:p>
    <w:p w:rsidR="007E25F5" w:rsidRPr="007E25F5" w:rsidRDefault="007E25F5" w:rsidP="000B0A37">
      <w:pPr>
        <w:ind w:left="567"/>
        <w:rPr>
          <w:i/>
        </w:rPr>
      </w:pPr>
      <w:r w:rsidRPr="007E25F5">
        <w:rPr>
          <w:i/>
        </w:rPr>
        <w:t>Comparisons of major project construction costs between Australia and other countries suffer from a range of methodological and data problems that limit their use. Recommended improvements in data availability, together with further development of reference frameworks, should assist greatly in reducing such limitations.</w:t>
      </w:r>
    </w:p>
    <w:p w:rsidR="007E25F5" w:rsidRPr="007E25F5" w:rsidRDefault="007E25F5" w:rsidP="000B0A37">
      <w:pPr>
        <w:ind w:left="567"/>
        <w:rPr>
          <w:i/>
        </w:rPr>
      </w:pPr>
      <w:r w:rsidRPr="007E25F5">
        <w:rPr>
          <w:i/>
        </w:rPr>
        <w:t xml:space="preserve">INFORMATION REQUEST 8.3 </w:t>
      </w:r>
    </w:p>
    <w:p w:rsidR="007E25F5" w:rsidRPr="007E25F5" w:rsidRDefault="007E25F5" w:rsidP="000B0A37">
      <w:pPr>
        <w:ind w:left="567"/>
        <w:rPr>
          <w:i/>
        </w:rPr>
      </w:pPr>
      <w:r w:rsidRPr="007E25F5">
        <w:rPr>
          <w:i/>
        </w:rPr>
        <w:t>The Commission seeks further and better evidence on construction cost differentials for major infrastructure projects, both within Australia and between Australia and comparable countries.</w:t>
      </w:r>
    </w:p>
    <w:p w:rsidR="000B0A37" w:rsidRDefault="000B0A37" w:rsidP="007E25F5"/>
    <w:p w:rsidR="007E25F5" w:rsidRPr="007E25F5" w:rsidRDefault="007E25F5" w:rsidP="007E25F5">
      <w:r w:rsidRPr="007E25F5">
        <w:t>The Draft Report identifie</w:t>
      </w:r>
      <w:r w:rsidR="008724F8">
        <w:t>s</w:t>
      </w:r>
      <w:r w:rsidRPr="007E25F5">
        <w:t xml:space="preserve"> that lack of data, </w:t>
      </w:r>
      <w:r w:rsidR="007D4B65">
        <w:t>and/</w:t>
      </w:r>
      <w:r w:rsidRPr="007E25F5">
        <w:t xml:space="preserve">or poor quality of data, beset the ability to use historical data to improve decision-making.  This finding relates to historical data within a jurisdiction as well as </w:t>
      </w:r>
      <w:r w:rsidR="007D4B65">
        <w:t xml:space="preserve">to </w:t>
      </w:r>
      <w:r w:rsidRPr="007E25F5">
        <w:t>publically available data from infrastructure u</w:t>
      </w:r>
      <w:r w:rsidR="008724F8">
        <w:t>ndertaken by other governments.</w:t>
      </w:r>
      <w:r w:rsidRPr="007E25F5">
        <w:t xml:space="preserve"> The Draft Report recognises the importance of the application of reliable data to support public infrastructure investment decisions, particularly from a national perspective.</w:t>
      </w:r>
    </w:p>
    <w:p w:rsidR="007E25F5" w:rsidRPr="007E25F5" w:rsidRDefault="007E25F5" w:rsidP="007E25F5">
      <w:r w:rsidRPr="007E25F5">
        <w:t xml:space="preserve">While the Draft Report captures most of the key issues around the value of data capture and benchmarking, this submission endeavours to reinforce the need for the implementation of this fundamental tool </w:t>
      </w:r>
      <w:r w:rsidR="007D4B65">
        <w:t>[</w:t>
      </w:r>
      <w:proofErr w:type="spellStart"/>
      <w:r w:rsidR="007D4B65">
        <w:t>ie</w:t>
      </w:r>
      <w:proofErr w:type="spellEnd"/>
      <w:r w:rsidR="007D4B65">
        <w:t xml:space="preserve"> a robust historical data set] </w:t>
      </w:r>
      <w:r w:rsidRPr="007E25F5">
        <w:t>to support improved decision-making with respect to project</w:t>
      </w:r>
      <w:r w:rsidR="0073159A">
        <w:t xml:space="preserve"> planning</w:t>
      </w:r>
      <w:r w:rsidRPr="007E25F5">
        <w:t xml:space="preserve"> and</w:t>
      </w:r>
      <w:r w:rsidR="0073159A">
        <w:t xml:space="preserve"> improving project productivity during delivery</w:t>
      </w:r>
      <w:r w:rsidRPr="007E25F5">
        <w:t xml:space="preserve">. </w:t>
      </w:r>
    </w:p>
    <w:p w:rsidR="007E25F5" w:rsidRPr="007E25F5" w:rsidRDefault="007E25F5" w:rsidP="007E25F5">
      <w:r w:rsidRPr="007E25F5">
        <w:t xml:space="preserve">In doing so, </w:t>
      </w:r>
      <w:r w:rsidR="008724F8">
        <w:t>we</w:t>
      </w:r>
      <w:r w:rsidRPr="007E25F5">
        <w:t xml:space="preserve"> identif</w:t>
      </w:r>
      <w:r w:rsidR="008724F8">
        <w:t>y</w:t>
      </w:r>
      <w:r w:rsidRPr="007E25F5">
        <w:t xml:space="preserve"> </w:t>
      </w:r>
      <w:r w:rsidR="0073159A">
        <w:t xml:space="preserve">project </w:t>
      </w:r>
      <w:r w:rsidRPr="007E25F5">
        <w:t xml:space="preserve">scope and </w:t>
      </w:r>
      <w:r w:rsidR="0073159A">
        <w:t xml:space="preserve">other </w:t>
      </w:r>
      <w:r w:rsidRPr="007E25F5">
        <w:t>critical success factors that need to be acknowledged and</w:t>
      </w:r>
      <w:r w:rsidR="0073159A">
        <w:t>,</w:t>
      </w:r>
      <w:r w:rsidRPr="007E25F5">
        <w:t xml:space="preserve"> in many cases, formalised </w:t>
      </w:r>
      <w:r w:rsidR="0073159A">
        <w:t xml:space="preserve">benchmarking </w:t>
      </w:r>
      <w:r w:rsidRPr="007E25F5">
        <w:t xml:space="preserve">processes </w:t>
      </w:r>
      <w:r w:rsidR="001B5663">
        <w:t xml:space="preserve">to be </w:t>
      </w:r>
      <w:r w:rsidRPr="007E25F5">
        <w:t xml:space="preserve">implemented. </w:t>
      </w:r>
    </w:p>
    <w:p w:rsidR="007E25F5" w:rsidRPr="007E25F5" w:rsidRDefault="007E25F5" w:rsidP="007E25F5">
      <w:r w:rsidRPr="007E25F5">
        <w:t xml:space="preserve">While this submission will tend to highlight road and rail infrastructure project benchmarking, the principles and issues apply to other sectors. This submission also describes the issue in the Australian context, </w:t>
      </w:r>
      <w:proofErr w:type="spellStart"/>
      <w:r w:rsidRPr="007E25F5">
        <w:t>ie</w:t>
      </w:r>
      <w:proofErr w:type="spellEnd"/>
      <w:r w:rsidRPr="007E25F5">
        <w:t xml:space="preserve"> referring to the federal, state and in some cases local government framework. </w:t>
      </w:r>
    </w:p>
    <w:p w:rsidR="007E25F5" w:rsidRPr="007E25F5" w:rsidRDefault="007E25F5" w:rsidP="00961792">
      <w:pPr>
        <w:pStyle w:val="Heading2"/>
      </w:pPr>
      <w:bookmarkStart w:id="14" w:name="_Toc384210481"/>
      <w:r w:rsidRPr="007E25F5">
        <w:lastRenderedPageBreak/>
        <w:t xml:space="preserve">Current </w:t>
      </w:r>
      <w:r w:rsidR="006C6266">
        <w:t>s</w:t>
      </w:r>
      <w:r w:rsidRPr="007E25F5">
        <w:t>tatus</w:t>
      </w:r>
      <w:bookmarkEnd w:id="14"/>
    </w:p>
    <w:p w:rsidR="007E25F5" w:rsidRPr="007E25F5" w:rsidRDefault="007E25F5" w:rsidP="007E25F5">
      <w:r w:rsidRPr="007E25F5">
        <w:t xml:space="preserve">The Draft Report acknowledges the preliminary work undertaken by the </w:t>
      </w:r>
      <w:r w:rsidR="000A1736">
        <w:t xml:space="preserve">Australian Government </w:t>
      </w:r>
      <w:r w:rsidRPr="007E25F5">
        <w:t xml:space="preserve">Department of Infrastructure and Regional Development (DIRD) to establish a Project Cost Breakdown (PCB). This approach stems from the Best Practice Cost Estimation Standard for Publicly Funded Road and Rail Construction- May 2011 (Draft Version for Jurisdictional Training).  Evans &amp; Peck provided significant assistance to DIRD in the formulation of this document and the subsequent </w:t>
      </w:r>
      <w:r w:rsidR="00D94088">
        <w:t xml:space="preserve">training within </w:t>
      </w:r>
      <w:r w:rsidR="00A67492">
        <w:t>jurisdiction</w:t>
      </w:r>
      <w:r w:rsidR="00D94088">
        <w:t>s</w:t>
      </w:r>
      <w:r w:rsidRPr="007E25F5">
        <w:t xml:space="preserve">. </w:t>
      </w:r>
    </w:p>
    <w:p w:rsidR="007E25F5" w:rsidRPr="007E25F5" w:rsidRDefault="007E25F5" w:rsidP="007E25F5">
      <w:r w:rsidRPr="007E25F5">
        <w:t xml:space="preserve">The PCB has been implemented across all road and rail agencies seeking </w:t>
      </w:r>
      <w:r w:rsidR="001B5663">
        <w:t xml:space="preserve">Australian Government </w:t>
      </w:r>
      <w:r w:rsidRPr="007E25F5">
        <w:t xml:space="preserve">project funding. </w:t>
      </w:r>
    </w:p>
    <w:p w:rsidR="007E25F5" w:rsidRPr="007E25F5" w:rsidRDefault="007E25F5" w:rsidP="007E25F5">
      <w:r w:rsidRPr="007E25F5">
        <w:t xml:space="preserve">The key success factor has been that the PCB is a DIRD requirement that agencies are obliged to comply with as a prerequisite for funding. The limitations remain that non-federally funded </w:t>
      </w:r>
      <w:r w:rsidR="00D94088">
        <w:t xml:space="preserve">road and rail </w:t>
      </w:r>
      <w:r w:rsidRPr="007E25F5">
        <w:t xml:space="preserve">projects are not captured in this approach.   </w:t>
      </w:r>
    </w:p>
    <w:p w:rsidR="007E25F5" w:rsidRPr="007E25F5" w:rsidRDefault="007E25F5" w:rsidP="007E25F5">
      <w:r w:rsidRPr="007E25F5">
        <w:t xml:space="preserve">Unlike the building industry where quite good construction cost data is available, </w:t>
      </w:r>
      <w:r w:rsidR="003A58C9">
        <w:t xml:space="preserve">or </w:t>
      </w:r>
      <w:r w:rsidRPr="007E25F5">
        <w:t xml:space="preserve">at least held by state agencies and service providers, the road and rail sectors face a more complex task in “normalising” project cost data that can be weighed against economic </w:t>
      </w:r>
      <w:r w:rsidR="001B5663">
        <w:t xml:space="preserve">benefit </w:t>
      </w:r>
      <w:r w:rsidRPr="007E25F5">
        <w:t>analysis to inform good decision making.</w:t>
      </w:r>
    </w:p>
    <w:p w:rsidR="007E25F5" w:rsidRPr="007E25F5" w:rsidRDefault="007E25F5" w:rsidP="007E25F5">
      <w:r w:rsidRPr="007E25F5">
        <w:t xml:space="preserve">For example, the Benefit Cost Ratio (BCR) for a commercial office building is underpinned by a confident understanding of market rental rates and a construction cost estimate that in many cases is accurate within </w:t>
      </w:r>
      <w:r w:rsidR="000A1736">
        <w:t>a relatively narrow</w:t>
      </w:r>
      <w:r w:rsidRPr="007E25F5">
        <w:t xml:space="preserve"> range. Road and rail infrastructure is more complex to estimate within this accuracy range and the benefits also are often not able to be accurately costed. Hence any supporting data from recent similar road and rail projects can, as a minimum, </w:t>
      </w:r>
      <w:r w:rsidR="00D94088">
        <w:t xml:space="preserve">provide relevant comparisons to </w:t>
      </w:r>
      <w:r w:rsidRPr="007E25F5">
        <w:t xml:space="preserve">inform decision makers of the variability risk in the pricing presented. </w:t>
      </w:r>
    </w:p>
    <w:p w:rsidR="007E25F5" w:rsidRPr="007E25F5" w:rsidRDefault="007E25F5" w:rsidP="00961792">
      <w:pPr>
        <w:pStyle w:val="Heading2"/>
      </w:pPr>
      <w:bookmarkStart w:id="15" w:name="_Toc384210482"/>
      <w:r w:rsidRPr="007E25F5">
        <w:t xml:space="preserve">Objectives of a </w:t>
      </w:r>
      <w:r w:rsidR="006C6266">
        <w:t>b</w:t>
      </w:r>
      <w:r w:rsidRPr="007E25F5">
        <w:t>enchmarking process</w:t>
      </w:r>
      <w:bookmarkEnd w:id="15"/>
    </w:p>
    <w:p w:rsidR="007E25F5" w:rsidRPr="007E25F5" w:rsidRDefault="007E25F5" w:rsidP="007E25F5">
      <w:r w:rsidRPr="007E25F5">
        <w:t xml:space="preserve">The key objectives of a benchmarking process </w:t>
      </w:r>
      <w:r w:rsidR="001B5663">
        <w:t>are for its use to</w:t>
      </w:r>
      <w:r w:rsidRPr="007E25F5">
        <w:t>:</w:t>
      </w:r>
    </w:p>
    <w:p w:rsidR="007E25F5" w:rsidRPr="007E25F5" w:rsidRDefault="007E25F5" w:rsidP="007E25F5">
      <w:pPr>
        <w:pStyle w:val="ListBullet"/>
      </w:pPr>
      <w:r w:rsidRPr="007E25F5">
        <w:t xml:space="preserve">Support better decision making through validation of the subject project costs (and time) through comparison with </w:t>
      </w:r>
      <w:r w:rsidR="00D94088">
        <w:t xml:space="preserve">costs of </w:t>
      </w:r>
      <w:r w:rsidR="000A1736">
        <w:t>similar projects</w:t>
      </w:r>
    </w:p>
    <w:p w:rsidR="007E25F5" w:rsidRPr="007E25F5" w:rsidRDefault="007E25F5" w:rsidP="007E25F5">
      <w:pPr>
        <w:pStyle w:val="ListBullet"/>
      </w:pPr>
      <w:r w:rsidRPr="007E25F5">
        <w:t>Assist in identifying value for money investments, or conversely</w:t>
      </w:r>
      <w:r w:rsidR="000A1736">
        <w:t>, poor value for money outcomes</w:t>
      </w:r>
    </w:p>
    <w:p w:rsidR="007E25F5" w:rsidRPr="007E25F5" w:rsidRDefault="007E25F5" w:rsidP="007E25F5">
      <w:pPr>
        <w:pStyle w:val="ListBullet"/>
      </w:pPr>
      <w:r w:rsidRPr="007E25F5">
        <w:t>Monitor project cost trends over time at a strategic level, within jurisdictions and nationally on a state by state basis for similar infrastructure</w:t>
      </w:r>
      <w:r w:rsidR="00D94088">
        <w:t xml:space="preserve"> classes</w:t>
      </w:r>
    </w:p>
    <w:p w:rsidR="007E25F5" w:rsidRPr="007E25F5" w:rsidRDefault="007E25F5" w:rsidP="007E25F5">
      <w:pPr>
        <w:pStyle w:val="ListBullet"/>
      </w:pPr>
      <w:r w:rsidRPr="007E25F5">
        <w:t>Be better informed to measure productivity changes in the de</w:t>
      </w:r>
      <w:r w:rsidR="000A1736">
        <w:t>livery of public infrastructure</w:t>
      </w:r>
    </w:p>
    <w:p w:rsidR="007E25F5" w:rsidRPr="007E25F5" w:rsidRDefault="003A58C9" w:rsidP="007E25F5">
      <w:pPr>
        <w:pStyle w:val="ListBullet"/>
      </w:pPr>
      <w:r>
        <w:t>Undertake p</w:t>
      </w:r>
      <w:r w:rsidR="007E25F5" w:rsidRPr="007E25F5">
        <w:t xml:space="preserve">erformance </w:t>
      </w:r>
      <w:r>
        <w:t>m</w:t>
      </w:r>
      <w:r w:rsidR="007E25F5" w:rsidRPr="007E25F5">
        <w:t xml:space="preserve">onitoring of project development, by dissection of costs and ratios within any given investment </w:t>
      </w:r>
      <w:r w:rsidR="000A1736">
        <w:t>(</w:t>
      </w:r>
      <w:proofErr w:type="spellStart"/>
      <w:r w:rsidR="007E25F5" w:rsidRPr="007E25F5">
        <w:t>eg</w:t>
      </w:r>
      <w:proofErr w:type="spellEnd"/>
      <w:r w:rsidR="007E25F5" w:rsidRPr="007E25F5">
        <w:t xml:space="preserve"> </w:t>
      </w:r>
      <w:r w:rsidR="000A1736">
        <w:t>c</w:t>
      </w:r>
      <w:r w:rsidR="007E25F5" w:rsidRPr="007E25F5">
        <w:t>onstruction costs</w:t>
      </w:r>
      <w:r w:rsidR="000A1736">
        <w:t>;</w:t>
      </w:r>
      <w:r w:rsidR="007E25F5" w:rsidRPr="007E25F5">
        <w:t xml:space="preserve"> </w:t>
      </w:r>
      <w:r w:rsidR="000A1736">
        <w:t>c</w:t>
      </w:r>
      <w:r w:rsidR="007E25F5" w:rsidRPr="007E25F5">
        <w:t>lients’ cost</w:t>
      </w:r>
      <w:r w:rsidR="000A1736">
        <w:t>; p</w:t>
      </w:r>
      <w:r w:rsidR="007E25F5" w:rsidRPr="007E25F5">
        <w:t>roperty and contingencies</w:t>
      </w:r>
      <w:r w:rsidR="000A1736">
        <w:t>) to better understand the shift</w:t>
      </w:r>
    </w:p>
    <w:p w:rsidR="007E25F5" w:rsidRPr="007E25F5" w:rsidRDefault="001B5663" w:rsidP="007E25F5">
      <w:pPr>
        <w:pStyle w:val="ListBullet"/>
      </w:pPr>
      <w:r>
        <w:t>E</w:t>
      </w:r>
      <w:r w:rsidR="00D94088">
        <w:t>nable our road and rail sectors to k</w:t>
      </w:r>
      <w:r w:rsidR="007E25F5" w:rsidRPr="007E25F5">
        <w:t xml:space="preserve">eep abreast of international </w:t>
      </w:r>
      <w:r w:rsidR="00D94088">
        <w:t xml:space="preserve">data and </w:t>
      </w:r>
      <w:r w:rsidR="007E25F5" w:rsidRPr="007E25F5">
        <w:t>experience</w:t>
      </w:r>
      <w:r w:rsidR="00D94088">
        <w:t>.</w:t>
      </w:r>
    </w:p>
    <w:p w:rsidR="000B0A37" w:rsidRDefault="000B0A37">
      <w:pPr>
        <w:spacing w:before="0" w:after="120"/>
        <w:rPr>
          <w:rFonts w:ascii="Arial" w:eastAsia="Times New Roman" w:hAnsi="Arial" w:cs="Arial"/>
          <w:b/>
          <w:bCs/>
          <w:iCs/>
          <w:color w:val="406B87" w:themeColor="accent3"/>
          <w:sz w:val="28"/>
          <w:szCs w:val="28"/>
          <w:lang w:eastAsia="en-AU"/>
        </w:rPr>
      </w:pPr>
      <w:r>
        <w:br w:type="page"/>
      </w:r>
    </w:p>
    <w:p w:rsidR="007E25F5" w:rsidRPr="007E25F5" w:rsidRDefault="007E25F5" w:rsidP="00961792">
      <w:pPr>
        <w:pStyle w:val="Heading2"/>
      </w:pPr>
      <w:bookmarkStart w:id="16" w:name="_Toc384210483"/>
      <w:r w:rsidRPr="007E25F5">
        <w:lastRenderedPageBreak/>
        <w:t xml:space="preserve">Scope of </w:t>
      </w:r>
      <w:r w:rsidR="006C6266">
        <w:t>b</w:t>
      </w:r>
      <w:r w:rsidRPr="007E25F5">
        <w:t>enchmarking</w:t>
      </w:r>
      <w:bookmarkEnd w:id="16"/>
    </w:p>
    <w:p w:rsidR="007E25F5" w:rsidRPr="007E25F5" w:rsidRDefault="007E25F5" w:rsidP="007E25F5">
      <w:r w:rsidRPr="007E25F5">
        <w:t xml:space="preserve">While the Draft Report identifies the value that benchmarking brings to organisations who actively seek productivity improvement and value for money, there is a tendency to set excessively high expectations which in reality cannot be delivered through the data. To assist in clarifying reasonable expectations for the purpose of improving productivity, this submission differentiates </w:t>
      </w:r>
      <w:r w:rsidR="001B5663">
        <w:t xml:space="preserve">between </w:t>
      </w:r>
      <w:r w:rsidRPr="007E25F5">
        <w:t>the strategic and tactical levels encountered in undertaking benchmarking.</w:t>
      </w:r>
    </w:p>
    <w:p w:rsidR="007E25F5" w:rsidRPr="007E25F5" w:rsidRDefault="007E25F5" w:rsidP="001B5663">
      <w:r w:rsidRPr="007E25F5">
        <w:t xml:space="preserve">The </w:t>
      </w:r>
      <w:r w:rsidRPr="001B5663">
        <w:rPr>
          <w:b/>
        </w:rPr>
        <w:t xml:space="preserve">strategic </w:t>
      </w:r>
      <w:r w:rsidRPr="007E25F5">
        <w:t>level covers</w:t>
      </w:r>
      <w:r w:rsidR="00D94088">
        <w:t xml:space="preserve"> a range of high level outputs</w:t>
      </w:r>
      <w:r w:rsidR="001B5663">
        <w:t xml:space="preserve"> </w:t>
      </w:r>
      <w:r w:rsidRPr="007E25F5">
        <w:t>that provide key project metrics at a reference class basis, for example</w:t>
      </w:r>
    </w:p>
    <w:p w:rsidR="007E25F5" w:rsidRPr="000B0A37" w:rsidRDefault="007E25F5" w:rsidP="000B0A37">
      <w:pPr>
        <w:pStyle w:val="ListBullet"/>
      </w:pPr>
      <w:r w:rsidRPr="0073159A">
        <w:t>Total costs pe</w:t>
      </w:r>
      <w:r w:rsidRPr="000B0A37">
        <w:t xml:space="preserve">r lane kilometre </w:t>
      </w:r>
    </w:p>
    <w:p w:rsidR="007E25F5" w:rsidRPr="000B0A37" w:rsidRDefault="007E25F5" w:rsidP="000B0A37">
      <w:pPr>
        <w:pStyle w:val="ListBullet"/>
      </w:pPr>
      <w:r w:rsidRPr="000B0A37">
        <w:t xml:space="preserve">Total costs per track kilometre </w:t>
      </w:r>
    </w:p>
    <w:p w:rsidR="007E25F5" w:rsidRPr="000B0A37" w:rsidRDefault="00261265" w:rsidP="000B0A37">
      <w:pPr>
        <w:pStyle w:val="ListBullet"/>
      </w:pPr>
      <w:r w:rsidRPr="000B0A37">
        <w:t>Relative cost p</w:t>
      </w:r>
      <w:r w:rsidR="00D94088" w:rsidRPr="000B0A37">
        <w:t>ercentage</w:t>
      </w:r>
      <w:r w:rsidRPr="000B0A37">
        <w:t>s</w:t>
      </w:r>
      <w:r w:rsidR="00D94088" w:rsidRPr="000B0A37">
        <w:t xml:space="preserve"> </w:t>
      </w:r>
      <w:r w:rsidR="007E25F5" w:rsidRPr="000B0A37">
        <w:t xml:space="preserve">of </w:t>
      </w:r>
      <w:r w:rsidRPr="000B0A37">
        <w:t>major cost areas within</w:t>
      </w:r>
      <w:r w:rsidR="007E25F5" w:rsidRPr="000B0A37">
        <w:t xml:space="preserve"> the total project budget</w:t>
      </w:r>
    </w:p>
    <w:p w:rsidR="007E25F5" w:rsidRPr="007E25F5" w:rsidRDefault="007E25F5" w:rsidP="000B0A37">
      <w:pPr>
        <w:pStyle w:val="ListBullet"/>
      </w:pPr>
      <w:r w:rsidRPr="000B0A37">
        <w:t>Average expen</w:t>
      </w:r>
      <w:r w:rsidRPr="0073159A">
        <w:t>diture per month</w:t>
      </w:r>
      <w:r w:rsidRPr="007E25F5">
        <w:t xml:space="preserve"> over the construction period</w:t>
      </w:r>
    </w:p>
    <w:p w:rsidR="007E25F5" w:rsidRPr="007E25F5" w:rsidRDefault="007E25F5" w:rsidP="001B5663">
      <w:r w:rsidRPr="007E25F5">
        <w:t xml:space="preserve">The </w:t>
      </w:r>
      <w:r w:rsidRPr="001B5663">
        <w:rPr>
          <w:b/>
        </w:rPr>
        <w:t>tactical</w:t>
      </w:r>
      <w:r w:rsidRPr="007E25F5">
        <w:t xml:space="preserve"> level covers</w:t>
      </w:r>
      <w:r w:rsidR="00261265">
        <w:t xml:space="preserve"> detailed </w:t>
      </w:r>
      <w:r w:rsidR="007966EE">
        <w:t xml:space="preserve">outputs </w:t>
      </w:r>
      <w:r w:rsidR="007966EE" w:rsidRPr="007E25F5">
        <w:t>that</w:t>
      </w:r>
      <w:r w:rsidRPr="007E25F5">
        <w:t xml:space="preserve"> cover costs for key project inputs, for example:</w:t>
      </w:r>
    </w:p>
    <w:p w:rsidR="007E25F5" w:rsidRPr="000B0A37" w:rsidRDefault="007E25F5" w:rsidP="000B0A37">
      <w:pPr>
        <w:pStyle w:val="ListBullet"/>
      </w:pPr>
      <w:r w:rsidRPr="007E25F5">
        <w:t>Concre</w:t>
      </w:r>
      <w:r w:rsidRPr="000B0A37">
        <w:t>te, steel, asphalt prices</w:t>
      </w:r>
    </w:p>
    <w:p w:rsidR="007E25F5" w:rsidRPr="000B0A37" w:rsidRDefault="007E25F5" w:rsidP="000B0A37">
      <w:pPr>
        <w:pStyle w:val="ListBullet"/>
      </w:pPr>
      <w:r w:rsidRPr="000B0A37">
        <w:t>Labour costs</w:t>
      </w:r>
    </w:p>
    <w:p w:rsidR="007E25F5" w:rsidRPr="000B0A37" w:rsidRDefault="007E25F5" w:rsidP="000B0A37">
      <w:pPr>
        <w:pStyle w:val="ListBullet"/>
      </w:pPr>
      <w:r w:rsidRPr="000B0A37">
        <w:t>Plant costs</w:t>
      </w:r>
    </w:p>
    <w:p w:rsidR="007E25F5" w:rsidRPr="007E25F5" w:rsidRDefault="007E25F5" w:rsidP="000B0A37">
      <w:pPr>
        <w:pStyle w:val="ListBullet"/>
      </w:pPr>
      <w:r w:rsidRPr="000B0A37">
        <w:t>Product</w:t>
      </w:r>
      <w:r w:rsidRPr="007E25F5">
        <w:t>ivity for activities.</w:t>
      </w:r>
    </w:p>
    <w:p w:rsidR="007E25F5" w:rsidRPr="007E25F5" w:rsidRDefault="007E25F5" w:rsidP="007E25F5">
      <w:r w:rsidRPr="007E25F5">
        <w:t>This submission primarily addresses the strategic level only. The items described at a tactical level are dealt with through current industry sources and practices and</w:t>
      </w:r>
      <w:r w:rsidR="00E03C57">
        <w:t>,</w:t>
      </w:r>
      <w:r w:rsidRPr="007E25F5">
        <w:t xml:space="preserve"> as they are “net” costs</w:t>
      </w:r>
      <w:r w:rsidR="00261265">
        <w:t xml:space="preserve"> generally</w:t>
      </w:r>
      <w:r w:rsidRPr="007E25F5">
        <w:t xml:space="preserve"> exclusive of contract</w:t>
      </w:r>
      <w:r w:rsidR="00E03C57">
        <w:t>or management costs and margins</w:t>
      </w:r>
      <w:r w:rsidRPr="007E25F5">
        <w:t xml:space="preserve"> </w:t>
      </w:r>
      <w:r w:rsidR="00261265">
        <w:t xml:space="preserve">and </w:t>
      </w:r>
      <w:r w:rsidRPr="007E25F5">
        <w:t>are not on the basis compatible with strategic benchmarking. However</w:t>
      </w:r>
      <w:r w:rsidR="00E03C57">
        <w:t>,</w:t>
      </w:r>
      <w:r w:rsidRPr="007E25F5">
        <w:t xml:space="preserve"> the variances in costs for each of these “commodities” are useful to understand as reasons for price variability and trending and should be </w:t>
      </w:r>
      <w:r w:rsidR="00261265">
        <w:t xml:space="preserve">considered in context </w:t>
      </w:r>
      <w:r w:rsidRPr="007E25F5">
        <w:t>when undertaking strategic benchmarking.</w:t>
      </w:r>
    </w:p>
    <w:p w:rsidR="007E25F5" w:rsidRPr="007E25F5" w:rsidRDefault="007E25F5" w:rsidP="007E25F5">
      <w:r w:rsidRPr="007E25F5">
        <w:t>The DIRD Project Cost Breakdown addresses benchmarking at a strategic level, commencing at the early project Identification Phase, reporting at intermediate milestones and ending with the Final Cost of the project.</w:t>
      </w:r>
    </w:p>
    <w:p w:rsidR="007E25F5" w:rsidRPr="007E25F5" w:rsidRDefault="007E25F5" w:rsidP="007E25F5">
      <w:r w:rsidRPr="007E25F5">
        <w:t xml:space="preserve">To expand on the description provided </w:t>
      </w:r>
      <w:r w:rsidR="000A1736">
        <w:t xml:space="preserve">in the Draft Report </w:t>
      </w:r>
      <w:r w:rsidRPr="007E25F5">
        <w:t>in Box 8.4 by Warren Fletcher, Director, Project Review at DIRD, the PCB process addresses the strategic level benchmarking through collection, processing and application of data as described below.</w:t>
      </w:r>
    </w:p>
    <w:p w:rsidR="007E25F5" w:rsidRPr="007E25F5" w:rsidRDefault="007E25F5" w:rsidP="007E25F5">
      <w:r w:rsidRPr="007E25F5">
        <w:t>The Inputs include cost data within each project, broken down by:</w:t>
      </w:r>
    </w:p>
    <w:p w:rsidR="007E25F5" w:rsidRPr="007E25F5" w:rsidRDefault="007E25F5" w:rsidP="007E25F5">
      <w:pPr>
        <w:pStyle w:val="ListBullet"/>
      </w:pPr>
      <w:r w:rsidRPr="007E25F5">
        <w:t xml:space="preserve">Direct </w:t>
      </w:r>
      <w:r w:rsidR="000A1736">
        <w:t>c</w:t>
      </w:r>
      <w:r w:rsidRPr="007E25F5">
        <w:t xml:space="preserve">osts for major project (construction) elements </w:t>
      </w:r>
    </w:p>
    <w:p w:rsidR="007E25F5" w:rsidRPr="007E25F5" w:rsidRDefault="007E25F5" w:rsidP="007E25F5">
      <w:pPr>
        <w:pStyle w:val="ListBullet"/>
      </w:pPr>
      <w:r w:rsidRPr="007E25F5">
        <w:t>Contractor</w:t>
      </w:r>
      <w:r w:rsidR="0073159A">
        <w:t>’</w:t>
      </w:r>
      <w:r w:rsidRPr="007E25F5">
        <w:t xml:space="preserve">s </w:t>
      </w:r>
      <w:r w:rsidR="000A1736">
        <w:t>i</w:t>
      </w:r>
      <w:r w:rsidRPr="007E25F5">
        <w:t xml:space="preserve">ndirect </w:t>
      </w:r>
      <w:r w:rsidR="000A1736">
        <w:t>c</w:t>
      </w:r>
      <w:r w:rsidRPr="007E25F5">
        <w:t xml:space="preserve">osts (management , margins </w:t>
      </w:r>
      <w:proofErr w:type="spellStart"/>
      <w:r w:rsidRPr="007E25F5">
        <w:t>etc</w:t>
      </w:r>
      <w:proofErr w:type="spellEnd"/>
      <w:r w:rsidRPr="007E25F5">
        <w:t>)</w:t>
      </w:r>
    </w:p>
    <w:p w:rsidR="007E25F5" w:rsidRPr="007E25F5" w:rsidRDefault="007E25F5" w:rsidP="007E25F5">
      <w:pPr>
        <w:pStyle w:val="ListBullet"/>
      </w:pPr>
      <w:r w:rsidRPr="007E25F5">
        <w:t xml:space="preserve">Design </w:t>
      </w:r>
      <w:r w:rsidR="000A1736">
        <w:t>c</w:t>
      </w:r>
      <w:r w:rsidRPr="007E25F5">
        <w:t>osts</w:t>
      </w:r>
    </w:p>
    <w:p w:rsidR="007E25F5" w:rsidRPr="007E25F5" w:rsidRDefault="007E25F5" w:rsidP="007E25F5">
      <w:pPr>
        <w:pStyle w:val="ListBullet"/>
      </w:pPr>
      <w:r w:rsidRPr="007E25F5">
        <w:t xml:space="preserve">Client’s management costs </w:t>
      </w:r>
    </w:p>
    <w:p w:rsidR="007E25F5" w:rsidRPr="007E25F5" w:rsidRDefault="007E25F5" w:rsidP="007E25F5">
      <w:pPr>
        <w:pStyle w:val="ListBullet"/>
      </w:pPr>
      <w:r w:rsidRPr="007E25F5">
        <w:t>Property (if applicable)</w:t>
      </w:r>
    </w:p>
    <w:p w:rsidR="007E25F5" w:rsidRPr="007E25F5" w:rsidRDefault="007E25F5" w:rsidP="007E25F5">
      <w:pPr>
        <w:pStyle w:val="ListBullet"/>
      </w:pPr>
      <w:r w:rsidRPr="007E25F5">
        <w:t>Contingency</w:t>
      </w:r>
    </w:p>
    <w:p w:rsidR="007E25F5" w:rsidRPr="007E25F5" w:rsidRDefault="007E25F5" w:rsidP="007E25F5">
      <w:pPr>
        <w:pStyle w:val="ListBullet"/>
      </w:pPr>
      <w:r w:rsidRPr="007E25F5">
        <w:t>Escalation provisions</w:t>
      </w:r>
      <w:r w:rsidR="000A1736">
        <w:t>.</w:t>
      </w:r>
    </w:p>
    <w:p w:rsidR="000B0A37" w:rsidRDefault="000B0A37">
      <w:pPr>
        <w:spacing w:before="0" w:after="120"/>
      </w:pPr>
      <w:r>
        <w:br w:type="page"/>
      </w:r>
    </w:p>
    <w:p w:rsidR="007E25F5" w:rsidRPr="007E25F5" w:rsidRDefault="007E25F5" w:rsidP="007E25F5">
      <w:r w:rsidRPr="007E25F5">
        <w:lastRenderedPageBreak/>
        <w:t>The Outputs include:</w:t>
      </w:r>
    </w:p>
    <w:p w:rsidR="007E25F5" w:rsidRPr="007E25F5" w:rsidRDefault="007E25F5" w:rsidP="007E25F5">
      <w:pPr>
        <w:pStyle w:val="ListBullet"/>
      </w:pPr>
      <w:r w:rsidRPr="007E25F5">
        <w:t>A profile of costs for the above, by dollar value and by a percentage relationship in accordance with a standard breakdown, at each mandatory reporting milestone.</w:t>
      </w:r>
    </w:p>
    <w:p w:rsidR="007E25F5" w:rsidRPr="007E25F5" w:rsidRDefault="007E25F5" w:rsidP="007E25F5">
      <w:pPr>
        <w:pStyle w:val="ListBullet"/>
      </w:pPr>
      <w:r w:rsidRPr="007E25F5">
        <w:t xml:space="preserve">A number of key metrics, </w:t>
      </w:r>
      <w:proofErr w:type="spellStart"/>
      <w:r w:rsidRPr="007E25F5">
        <w:t>eg</w:t>
      </w:r>
      <w:proofErr w:type="spellEnd"/>
      <w:r w:rsidRPr="007E25F5">
        <w:t xml:space="preserve"> the gross construction costs for selected key elements such as $/m3 of earthworks, $/m2 of bridge structure, $/m2 of road pavement, $/m of track </w:t>
      </w:r>
      <w:proofErr w:type="spellStart"/>
      <w:r w:rsidRPr="007E25F5">
        <w:t>etc</w:t>
      </w:r>
      <w:proofErr w:type="spellEnd"/>
      <w:r w:rsidRPr="007E25F5">
        <w:t>, plus</w:t>
      </w:r>
    </w:p>
    <w:p w:rsidR="007E25F5" w:rsidRPr="007E25F5" w:rsidRDefault="007E25F5" w:rsidP="007E25F5">
      <w:pPr>
        <w:pStyle w:val="ListBullet"/>
      </w:pPr>
      <w:r w:rsidRPr="007E25F5">
        <w:t>Additional high level metrics as required.</w:t>
      </w:r>
    </w:p>
    <w:p w:rsidR="007E25F5" w:rsidRPr="007E25F5" w:rsidRDefault="007E25F5" w:rsidP="007E25F5">
      <w:r w:rsidRPr="007E25F5">
        <w:t>The application of this data allows:</w:t>
      </w:r>
    </w:p>
    <w:p w:rsidR="007E25F5" w:rsidRPr="007E25F5" w:rsidRDefault="007E25F5" w:rsidP="007E25F5">
      <w:pPr>
        <w:pStyle w:val="ListBullet"/>
      </w:pPr>
      <w:r w:rsidRPr="007E25F5">
        <w:t xml:space="preserve">Analysis of the (subject) project cost performance over the life cycle. </w:t>
      </w:r>
    </w:p>
    <w:p w:rsidR="007E25F5" w:rsidRPr="007E25F5" w:rsidRDefault="007E25F5" w:rsidP="007E25F5">
      <w:pPr>
        <w:pStyle w:val="ListBullet"/>
      </w:pPr>
      <w:r w:rsidRPr="007E25F5">
        <w:t>Identification of items that have changed considerably.</w:t>
      </w:r>
    </w:p>
    <w:p w:rsidR="007E25F5" w:rsidRPr="007E25F5" w:rsidRDefault="007E25F5" w:rsidP="007E25F5">
      <w:pPr>
        <w:pStyle w:val="ListBullet"/>
      </w:pPr>
      <w:r w:rsidRPr="007E25F5">
        <w:t>Monitoring the take up of contingency and escalation provisions.</w:t>
      </w:r>
    </w:p>
    <w:p w:rsidR="007E25F5" w:rsidRPr="007E25F5" w:rsidRDefault="007E25F5" w:rsidP="007E25F5">
      <w:pPr>
        <w:pStyle w:val="ListBullet"/>
      </w:pPr>
      <w:r w:rsidRPr="007E25F5">
        <w:t>Comparison of that project with other projects within or outside the reference class.</w:t>
      </w:r>
    </w:p>
    <w:p w:rsidR="007E25F5" w:rsidRPr="007E25F5" w:rsidRDefault="007E25F5" w:rsidP="007E25F5">
      <w:pPr>
        <w:pStyle w:val="ListBullet"/>
      </w:pPr>
      <w:r w:rsidRPr="007E25F5">
        <w:t>Comparison of data across agencies with respect to cost of delivery, specific items of inquiry and the like.</w:t>
      </w:r>
    </w:p>
    <w:p w:rsidR="007E25F5" w:rsidRPr="007E25F5" w:rsidRDefault="007E25F5" w:rsidP="007E25F5">
      <w:pPr>
        <w:pStyle w:val="ListBullet"/>
      </w:pPr>
      <w:r w:rsidRPr="007E25F5">
        <w:t>Costs of the projects by phase (Identification, Scoping, Development and Delivery)</w:t>
      </w:r>
    </w:p>
    <w:p w:rsidR="007E25F5" w:rsidRPr="007E25F5" w:rsidRDefault="007E25F5" w:rsidP="007E25F5">
      <w:pPr>
        <w:pStyle w:val="ListBullet"/>
      </w:pPr>
      <w:r w:rsidRPr="007E25F5">
        <w:t>Specific database queries on demand.</w:t>
      </w:r>
    </w:p>
    <w:p w:rsidR="007E25F5" w:rsidRPr="007E25F5" w:rsidRDefault="007E25F5" w:rsidP="007E25F5">
      <w:r w:rsidRPr="007E25F5">
        <w:t>The tactical data referred to above may provide a supporting role in explaining significant trends</w:t>
      </w:r>
      <w:r w:rsidR="000A1736">
        <w:t>.</w:t>
      </w:r>
      <w:r w:rsidRPr="007E25F5">
        <w:t xml:space="preserve"> </w:t>
      </w:r>
      <w:r w:rsidR="000A1736">
        <w:t>H</w:t>
      </w:r>
      <w:r w:rsidRPr="007E25F5">
        <w:t>owever</w:t>
      </w:r>
      <w:r w:rsidR="000A1736">
        <w:t>,</w:t>
      </w:r>
      <w:r w:rsidRPr="007E25F5">
        <w:t xml:space="preserve"> overall market supply and demand tends to have a significant effect on pricing.</w:t>
      </w:r>
    </w:p>
    <w:p w:rsidR="007E25F5" w:rsidRPr="007E25F5" w:rsidRDefault="007E25F5" w:rsidP="007E25F5">
      <w:r w:rsidRPr="007E25F5">
        <w:t>It should be noted that the most significant data</w:t>
      </w:r>
      <w:r w:rsidR="00E03C57">
        <w:t xml:space="preserve"> is the Final Cost of a project</w:t>
      </w:r>
      <w:r w:rsidRPr="007E25F5">
        <w:t xml:space="preserve"> which is quite difficult to capture in the same detail as </w:t>
      </w:r>
      <w:r w:rsidR="00E03C57">
        <w:t xml:space="preserve">in </w:t>
      </w:r>
      <w:r w:rsidRPr="007E25F5">
        <w:t>the preceding phases</w:t>
      </w:r>
      <w:r w:rsidR="00E03C57">
        <w:t>,</w:t>
      </w:r>
      <w:r w:rsidRPr="007E25F5">
        <w:t xml:space="preserve"> which would have been estimated by the client organisation using a “bottom-up” approach. However this is not sufficient reason to fail to complete the data capture and maintain the integrity of the database through to completion.</w:t>
      </w:r>
    </w:p>
    <w:p w:rsidR="007E25F5" w:rsidRPr="007E25F5" w:rsidRDefault="007E25F5" w:rsidP="007E25F5">
      <w:r w:rsidRPr="007E25F5">
        <w:t>While the Draft Report recommends in 8.2</w:t>
      </w:r>
      <w:r w:rsidR="00261265">
        <w:t xml:space="preserve"> that </w:t>
      </w:r>
      <w:r w:rsidRPr="007E25F5">
        <w:t>“</w:t>
      </w:r>
      <w:r w:rsidRPr="007E25F5">
        <w:rPr>
          <w:i/>
        </w:rPr>
        <w:t xml:space="preserve">the benchmarking should, at a minimum, include information on tender costs and…” </w:t>
      </w:r>
      <w:r w:rsidRPr="007E25F5">
        <w:t xml:space="preserve">there are practical reasons why this type of information cannot be captured formally </w:t>
      </w:r>
      <w:r w:rsidR="0073159A">
        <w:t>from</w:t>
      </w:r>
      <w:r w:rsidR="0073159A" w:rsidRPr="007E25F5">
        <w:t xml:space="preserve"> </w:t>
      </w:r>
      <w:r w:rsidRPr="007E25F5">
        <w:t xml:space="preserve">bidders. Actual costs for tendering, levels of remuneration, industrial disputation and the like by bidders are normally not </w:t>
      </w:r>
      <w:r w:rsidR="00261265">
        <w:t>transparent to</w:t>
      </w:r>
      <w:r w:rsidRPr="007E25F5">
        <w:t xml:space="preserve"> governing agenc</w:t>
      </w:r>
      <w:r w:rsidR="00261265">
        <w:t>ies</w:t>
      </w:r>
      <w:r w:rsidRPr="007E25F5">
        <w:t xml:space="preserve"> </w:t>
      </w:r>
      <w:r w:rsidR="00E03C57">
        <w:t>who generally receive</w:t>
      </w:r>
      <w:r w:rsidRPr="007E25F5">
        <w:t xml:space="preserve"> only indicative figures provided anecdotally. However, governments should be able to record their costs of running procurement processes.</w:t>
      </w:r>
    </w:p>
    <w:p w:rsidR="007E25F5" w:rsidRPr="007E25F5" w:rsidRDefault="007E25F5" w:rsidP="007E25F5">
      <w:r w:rsidRPr="007E25F5">
        <w:t xml:space="preserve">It is important that the expectation for the benchmarking process is not over-reached by too much detail being required, particularly </w:t>
      </w:r>
      <w:r w:rsidR="000A1736">
        <w:t xml:space="preserve">in the </w:t>
      </w:r>
      <w:r w:rsidRPr="007E25F5">
        <w:t xml:space="preserve">early </w:t>
      </w:r>
      <w:r w:rsidR="000A1736">
        <w:t>phases of the project</w:t>
      </w:r>
      <w:r w:rsidRPr="007E25F5">
        <w:t>. By doing so, there is a potential for discreditin</w:t>
      </w:r>
      <w:r w:rsidR="00E03C57">
        <w:t>g the effectiveness of the tool</w:t>
      </w:r>
      <w:r w:rsidRPr="007E25F5">
        <w:t>.</w:t>
      </w:r>
    </w:p>
    <w:p w:rsidR="007E25F5" w:rsidRPr="007E25F5" w:rsidRDefault="007E25F5" w:rsidP="00961792">
      <w:pPr>
        <w:pStyle w:val="Heading2"/>
      </w:pPr>
      <w:bookmarkStart w:id="17" w:name="_Toc384210484"/>
      <w:r w:rsidRPr="007E25F5">
        <w:t xml:space="preserve">Critical </w:t>
      </w:r>
      <w:r w:rsidR="006C6266">
        <w:t>s</w:t>
      </w:r>
      <w:r w:rsidRPr="007E25F5">
        <w:t xml:space="preserve">uccess </w:t>
      </w:r>
      <w:r w:rsidR="006C6266">
        <w:t>f</w:t>
      </w:r>
      <w:r w:rsidRPr="007E25F5">
        <w:t>actors</w:t>
      </w:r>
      <w:bookmarkEnd w:id="17"/>
    </w:p>
    <w:p w:rsidR="00261265" w:rsidRDefault="007E25F5" w:rsidP="007E25F5">
      <w:r w:rsidRPr="007E25F5">
        <w:t xml:space="preserve">Benchmarking is a significant investment in time, resources and processes by an organisation and should be planned comprehensively prior to embarking on extensive data capture and analysis. </w:t>
      </w:r>
      <w:r w:rsidR="00261265">
        <w:t xml:space="preserve"> It is essential that the key outputs are defined and agreed upfront, as this will drive the way that estimates and construction pricing is structured.</w:t>
      </w:r>
    </w:p>
    <w:p w:rsidR="007E25F5" w:rsidRPr="007E25F5" w:rsidRDefault="007E25F5" w:rsidP="007E25F5">
      <w:r w:rsidRPr="007E25F5">
        <w:t xml:space="preserve">The PCB implemented by DIRD has had appropriate rigour between DIRD and the state agencies to design the desired outputs, albeit at a preliminary stage. The value of the analysis will only become clear over some years as projects move through the life cycle and trends become apparent. </w:t>
      </w:r>
    </w:p>
    <w:p w:rsidR="007E25F5" w:rsidRPr="007E25F5" w:rsidRDefault="007E25F5" w:rsidP="007E25F5">
      <w:r w:rsidRPr="007E25F5">
        <w:t xml:space="preserve">While the Draft Report has identified a number of issues in relation to good benchmarking practice at a strategic level, the following points are likely to become critical success factors if reasonable accuracy and sustainability of the investment is to be achieved: </w:t>
      </w:r>
    </w:p>
    <w:p w:rsidR="007E25F5" w:rsidRPr="007E25F5" w:rsidRDefault="007E25F5" w:rsidP="007E25F5">
      <w:pPr>
        <w:pStyle w:val="ListBullet"/>
      </w:pPr>
      <w:r w:rsidRPr="007E25F5">
        <w:lastRenderedPageBreak/>
        <w:t>A commitment by federal and state government agencies</w:t>
      </w:r>
      <w:r w:rsidR="003A58C9">
        <w:t xml:space="preserve"> </w:t>
      </w:r>
      <w:r w:rsidRPr="007E25F5">
        <w:t>to allocate the appropriate resources to support benchmarking that may eventually a</w:t>
      </w:r>
      <w:r w:rsidR="00E03C57">
        <w:t>ssist in improving productivity</w:t>
      </w:r>
    </w:p>
    <w:p w:rsidR="007E25F5" w:rsidRPr="007E25F5" w:rsidRDefault="003A58C9" w:rsidP="007E25F5">
      <w:pPr>
        <w:pStyle w:val="ListBullet"/>
      </w:pPr>
      <w:r>
        <w:t>E</w:t>
      </w:r>
      <w:r w:rsidR="007E25F5" w:rsidRPr="007E25F5">
        <w:t>stablish</w:t>
      </w:r>
      <w:r>
        <w:t xml:space="preserve">ment, or appointment, of </w:t>
      </w:r>
      <w:r w:rsidR="007E25F5" w:rsidRPr="007E25F5">
        <w:t>an appropriate organisation(s) with a national mandate</w:t>
      </w:r>
      <w:r>
        <w:t xml:space="preserve"> and a clear terms of reference</w:t>
      </w:r>
      <w:r w:rsidR="000A1736">
        <w:t xml:space="preserve"> as to the scope of its role</w:t>
      </w:r>
      <w:r w:rsidR="007E25F5" w:rsidRPr="007E25F5">
        <w:t>. In the case of road and rail, DIRD fulfils this purpose for federall</w:t>
      </w:r>
      <w:r w:rsidR="00E03C57">
        <w:t>y funded road and rail projects</w:t>
      </w:r>
    </w:p>
    <w:p w:rsidR="007E25F5" w:rsidRPr="007E25F5" w:rsidRDefault="003A58C9" w:rsidP="007E25F5">
      <w:pPr>
        <w:pStyle w:val="ListBullet"/>
      </w:pPr>
      <w:r>
        <w:t>Preparation of t</w:t>
      </w:r>
      <w:r w:rsidR="007E25F5" w:rsidRPr="007E25F5">
        <w:t xml:space="preserve">he </w:t>
      </w:r>
      <w:r>
        <w:t>t</w:t>
      </w:r>
      <w:r w:rsidR="007E25F5" w:rsidRPr="007E25F5">
        <w:t xml:space="preserve">erms of </w:t>
      </w:r>
      <w:r>
        <w:t>r</w:t>
      </w:r>
      <w:r w:rsidR="007E25F5" w:rsidRPr="007E25F5">
        <w:t xml:space="preserve">eference </w:t>
      </w:r>
      <w:r>
        <w:t>jointly with</w:t>
      </w:r>
      <w:r w:rsidR="007E25F5" w:rsidRPr="007E25F5">
        <w:t xml:space="preserve"> state agencies, who may be more willing to participate if able to access the data for thei</w:t>
      </w:r>
      <w:r w:rsidR="00E03C57">
        <w:t>r own performance benchmarking</w:t>
      </w:r>
    </w:p>
    <w:p w:rsidR="007E25F5" w:rsidRPr="007E25F5" w:rsidRDefault="003A58C9" w:rsidP="007E25F5">
      <w:pPr>
        <w:pStyle w:val="ListBullet"/>
      </w:pPr>
      <w:r>
        <w:t>Mandating of t</w:t>
      </w:r>
      <w:r w:rsidR="007E25F5" w:rsidRPr="007E25F5">
        <w:t>he high level structure (</w:t>
      </w:r>
      <w:proofErr w:type="spellStart"/>
      <w:r w:rsidR="00E03C57">
        <w:t>ie</w:t>
      </w:r>
      <w:proofErr w:type="spellEnd"/>
      <w:r w:rsidR="00E03C57">
        <w:t xml:space="preserve"> </w:t>
      </w:r>
      <w:r w:rsidR="007E25F5" w:rsidRPr="007E25F5">
        <w:t>PCB) for inputs</w:t>
      </w:r>
      <w:r>
        <w:t>,</w:t>
      </w:r>
      <w:r w:rsidR="007E25F5" w:rsidRPr="007E25F5">
        <w:t xml:space="preserve"> as</w:t>
      </w:r>
      <w:r w:rsidR="00E03C57">
        <w:t xml:space="preserve"> is the case with DIRD projects</w:t>
      </w:r>
    </w:p>
    <w:p w:rsidR="007E25F5" w:rsidRPr="007E25F5" w:rsidRDefault="007E25F5" w:rsidP="007E25F5">
      <w:pPr>
        <w:pStyle w:val="ListBullet"/>
      </w:pPr>
      <w:r w:rsidRPr="007E25F5">
        <w:t xml:space="preserve">Identification </w:t>
      </w:r>
      <w:r w:rsidR="00261265">
        <w:t xml:space="preserve">and agreement </w:t>
      </w:r>
      <w:r w:rsidRPr="007E25F5">
        <w:t>of reference classes that will be common across the i</w:t>
      </w:r>
      <w:r w:rsidR="00E03C57">
        <w:t>nitiative</w:t>
      </w:r>
    </w:p>
    <w:p w:rsidR="007E25F5" w:rsidRPr="007E25F5" w:rsidRDefault="007E25F5" w:rsidP="007E25F5">
      <w:pPr>
        <w:pStyle w:val="ListBullet"/>
      </w:pPr>
      <w:r w:rsidRPr="007E25F5">
        <w:t>Development of a glossary of definitions across each sector to ensure data is allo</w:t>
      </w:r>
      <w:r w:rsidR="00E03C57">
        <w:t>cated and reported consistently</w:t>
      </w:r>
    </w:p>
    <w:p w:rsidR="007E25F5" w:rsidRPr="007E25F5" w:rsidRDefault="007E25F5" w:rsidP="007E25F5">
      <w:pPr>
        <w:pStyle w:val="ListBullet"/>
      </w:pPr>
      <w:r w:rsidRPr="007E25F5">
        <w:t xml:space="preserve">Development of “ground rules” that ensure valid comparisons are made. For example, property and/or financing costs should be excluded </w:t>
      </w:r>
      <w:r w:rsidR="00261265">
        <w:t xml:space="preserve">from cost of construction analyses </w:t>
      </w:r>
      <w:r w:rsidRPr="007E25F5">
        <w:t xml:space="preserve">as they are very project </w:t>
      </w:r>
      <w:r w:rsidR="00E03C57">
        <w:t>specific and would skew results</w:t>
      </w:r>
      <w:r w:rsidRPr="007E25F5">
        <w:t xml:space="preserve"> </w:t>
      </w:r>
    </w:p>
    <w:p w:rsidR="007E25F5" w:rsidRPr="007E25F5" w:rsidRDefault="003A58C9" w:rsidP="007E25F5">
      <w:pPr>
        <w:pStyle w:val="ListBullet"/>
      </w:pPr>
      <w:r>
        <w:t>The d</w:t>
      </w:r>
      <w:r w:rsidR="007E25F5" w:rsidRPr="007E25F5">
        <w:t xml:space="preserve">efining </w:t>
      </w:r>
      <w:r>
        <w:t xml:space="preserve">of </w:t>
      </w:r>
      <w:r w:rsidR="007E25F5" w:rsidRPr="007E25F5">
        <w:t>the expectations and limitations of the model by not requirin</w:t>
      </w:r>
      <w:r w:rsidR="00E03C57">
        <w:t>g excessively detailed outputs</w:t>
      </w:r>
    </w:p>
    <w:p w:rsidR="007E25F5" w:rsidRPr="007E25F5" w:rsidRDefault="003A58C9" w:rsidP="007E25F5">
      <w:pPr>
        <w:pStyle w:val="ListBullet"/>
      </w:pPr>
      <w:r>
        <w:t>Capture of p</w:t>
      </w:r>
      <w:r w:rsidR="007E25F5" w:rsidRPr="007E25F5">
        <w:t>rojects outside the federal funding programs in the standard DIRD format within state agencies, to broaden the reach of the strategic benchmarking. It is acknowledged that state agencies may wish to</w:t>
      </w:r>
      <w:r>
        <w:t xml:space="preserve"> delve into deeper analysis of </w:t>
      </w:r>
      <w:r w:rsidR="007E25F5" w:rsidRPr="007E25F5">
        <w:t xml:space="preserve">their </w:t>
      </w:r>
      <w:r w:rsidR="00E03C57">
        <w:t>projects for their own purposes</w:t>
      </w:r>
      <w:r w:rsidR="007E25F5" w:rsidRPr="007E25F5">
        <w:t xml:space="preserve"> </w:t>
      </w:r>
    </w:p>
    <w:p w:rsidR="007E25F5" w:rsidRPr="007E25F5" w:rsidRDefault="007E25F5" w:rsidP="007E25F5">
      <w:pPr>
        <w:pStyle w:val="ListBullet"/>
      </w:pPr>
      <w:r w:rsidRPr="007E25F5">
        <w:t>Establish</w:t>
      </w:r>
      <w:r w:rsidR="003A58C9">
        <w:t>ment of</w:t>
      </w:r>
      <w:r w:rsidRPr="007E25F5">
        <w:t xml:space="preserve"> the ground rules for security of data with agencies</w:t>
      </w:r>
      <w:r w:rsidR="00261265">
        <w:t xml:space="preserve"> and/or service providers</w:t>
      </w:r>
    </w:p>
    <w:p w:rsidR="007E25F5" w:rsidRPr="007E25F5" w:rsidRDefault="003A58C9" w:rsidP="007E25F5">
      <w:pPr>
        <w:pStyle w:val="ListBullet"/>
      </w:pPr>
      <w:r>
        <w:t>A</w:t>
      </w:r>
      <w:r w:rsidR="007E25F5" w:rsidRPr="007E25F5">
        <w:t>n appropriate level of collaborative governance</w:t>
      </w:r>
      <w:r w:rsidR="00E03C57">
        <w:t>,</w:t>
      </w:r>
      <w:r w:rsidR="007E25F5" w:rsidRPr="007E25F5">
        <w:t xml:space="preserve"> as the value is within the disciplined allocation and management of data. This governance would take the form of an appropriately credentialed representative within </w:t>
      </w:r>
      <w:r w:rsidR="00261265">
        <w:t xml:space="preserve">each </w:t>
      </w:r>
      <w:r w:rsidR="007E25F5" w:rsidRPr="007E25F5">
        <w:t>agenc</w:t>
      </w:r>
      <w:r w:rsidR="00261265">
        <w:t>y</w:t>
      </w:r>
      <w:r w:rsidR="007E25F5" w:rsidRPr="007E25F5">
        <w:t xml:space="preserve"> working together to develop effective benchmarking.</w:t>
      </w:r>
    </w:p>
    <w:p w:rsidR="007E25F5" w:rsidRPr="007E25F5" w:rsidRDefault="007E25F5" w:rsidP="007E25F5">
      <w:r w:rsidRPr="007E25F5">
        <w:t>The above factors do rely heavily on federal and state agencies work</w:t>
      </w:r>
      <w:r w:rsidR="00E03C57">
        <w:t>ing</w:t>
      </w:r>
      <w:r w:rsidRPr="007E25F5">
        <w:t xml:space="preserve"> together to deliver this strategy. Understandably, the private sector is likely to be limited in what it is prepared to contribute </w:t>
      </w:r>
      <w:r w:rsidR="00E03C57">
        <w:t xml:space="preserve">– for </w:t>
      </w:r>
      <w:r w:rsidRPr="007E25F5">
        <w:t xml:space="preserve">commercial reasons. </w:t>
      </w:r>
    </w:p>
    <w:p w:rsidR="007E25F5" w:rsidRPr="007E25F5" w:rsidRDefault="007E25F5" w:rsidP="00961792">
      <w:pPr>
        <w:pStyle w:val="Heading2"/>
      </w:pPr>
      <w:bookmarkStart w:id="18" w:name="_Toc384210485"/>
      <w:r w:rsidRPr="007E25F5">
        <w:t>Recommendations</w:t>
      </w:r>
      <w:bookmarkEnd w:id="18"/>
    </w:p>
    <w:p w:rsidR="007E25F5" w:rsidRPr="007E25F5" w:rsidRDefault="007E25F5" w:rsidP="007E25F5">
      <w:r w:rsidRPr="007E25F5">
        <w:t xml:space="preserve">In addition to </w:t>
      </w:r>
      <w:r w:rsidR="00261265">
        <w:t xml:space="preserve">awareness of </w:t>
      </w:r>
      <w:r w:rsidRPr="007E25F5">
        <w:t>the Critical Success Factors, the following actions are recommended:</w:t>
      </w:r>
    </w:p>
    <w:p w:rsidR="007E25F5" w:rsidRPr="007E25F5" w:rsidRDefault="007E25F5" w:rsidP="007E25F5">
      <w:pPr>
        <w:pStyle w:val="ListBullet"/>
      </w:pPr>
      <w:r w:rsidRPr="007E25F5">
        <w:t xml:space="preserve">Expand the federal government’s PCB principles to other sectors where the federal government either funds or makes a contribution though a subsidy, </w:t>
      </w:r>
      <w:proofErr w:type="spellStart"/>
      <w:r w:rsidRPr="007E25F5">
        <w:t>eg</w:t>
      </w:r>
      <w:proofErr w:type="spellEnd"/>
      <w:r w:rsidRPr="007E25F5">
        <w:t xml:space="preserve"> Water, Buildings (by reference classes)</w:t>
      </w:r>
      <w:r w:rsidR="004A2C54">
        <w:t>,</w:t>
      </w:r>
      <w:r w:rsidRPr="007E25F5">
        <w:t xml:space="preserve"> Alternative Energy developments, Ports, Aviation Infrastructure.</w:t>
      </w:r>
    </w:p>
    <w:p w:rsidR="007E25F5" w:rsidRPr="007E25F5" w:rsidRDefault="007E25F5" w:rsidP="007E25F5">
      <w:pPr>
        <w:pStyle w:val="ListBullet"/>
      </w:pPr>
      <w:r w:rsidRPr="007E25F5">
        <w:t>Investigate ways of capturing data from privately funded developments.</w:t>
      </w:r>
    </w:p>
    <w:p w:rsidR="007E25F5" w:rsidRPr="007E25F5" w:rsidRDefault="007E25F5" w:rsidP="007E25F5">
      <w:pPr>
        <w:pStyle w:val="ListBullet"/>
      </w:pPr>
      <w:r w:rsidRPr="007E25F5">
        <w:t xml:space="preserve">Investigate ways of collaboration with like institutions internationally to share high level data to improve the validity of benchmarking internationally. </w:t>
      </w:r>
    </w:p>
    <w:p w:rsidR="007E25F5" w:rsidRPr="007E25F5" w:rsidRDefault="007E25F5" w:rsidP="007E25F5">
      <w:pPr>
        <w:pStyle w:val="ListBullet"/>
      </w:pPr>
      <w:r w:rsidRPr="007E25F5">
        <w:t>Include Whole of Life Costs on an NPV basis.</w:t>
      </w:r>
    </w:p>
    <w:p w:rsidR="007E25F5" w:rsidRPr="007E25F5" w:rsidRDefault="007E25F5" w:rsidP="007E25F5">
      <w:pPr>
        <w:pStyle w:val="ListBullet"/>
      </w:pPr>
      <w:r w:rsidRPr="007E25F5">
        <w:t xml:space="preserve">Engage universities </w:t>
      </w:r>
      <w:r w:rsidR="00FF79B1">
        <w:t>to</w:t>
      </w:r>
      <w:r w:rsidR="00FF79B1" w:rsidRPr="007E25F5">
        <w:t xml:space="preserve"> </w:t>
      </w:r>
      <w:r w:rsidRPr="007E25F5">
        <w:t>assist</w:t>
      </w:r>
      <w:r w:rsidR="004A2C54">
        <w:t xml:space="preserve"> </w:t>
      </w:r>
      <w:r w:rsidR="00FF79B1">
        <w:t xml:space="preserve">with </w:t>
      </w:r>
      <w:r w:rsidRPr="007E25F5">
        <w:t xml:space="preserve">benchmarking </w:t>
      </w:r>
      <w:r w:rsidR="00FF79B1">
        <w:t>to</w:t>
      </w:r>
      <w:r w:rsidRPr="007E25F5">
        <w:t xml:space="preserve"> raise the awareness in students of efficient infrastructure delivery</w:t>
      </w:r>
      <w:r w:rsidR="004A2C54">
        <w:t xml:space="preserve"> and governance</w:t>
      </w:r>
      <w:r w:rsidRPr="007E25F5">
        <w:t>.</w:t>
      </w:r>
    </w:p>
    <w:p w:rsidR="003916B8" w:rsidRDefault="007E25F5" w:rsidP="00B801AC">
      <w:pPr>
        <w:pStyle w:val="ListBullet"/>
      </w:pPr>
      <w:r w:rsidRPr="007E25F5">
        <w:t>Provide independent oversight of the initiative, reporting to an appropriate body (</w:t>
      </w:r>
      <w:proofErr w:type="spellStart"/>
      <w:r w:rsidR="000A1736">
        <w:t>eg</w:t>
      </w:r>
      <w:proofErr w:type="spellEnd"/>
      <w:r w:rsidR="000A1736">
        <w:t xml:space="preserve"> Infrastructure Australia, </w:t>
      </w:r>
      <w:r w:rsidRPr="007E25F5">
        <w:t>Productivity Commission) on a periodical basis.</w:t>
      </w:r>
    </w:p>
    <w:sectPr w:rsidR="003916B8" w:rsidSect="00273CC5">
      <w:headerReference w:type="even" r:id="rId15"/>
      <w:headerReference w:type="default" r:id="rId16"/>
      <w:footerReference w:type="even" r:id="rId17"/>
      <w:footerReference w:type="default" r:id="rId18"/>
      <w:pgSz w:w="11906" w:h="16838" w:code="9"/>
      <w:pgMar w:top="2268" w:right="1134" w:bottom="1134" w:left="1985" w:header="851" w:footer="397"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7B01" w:rsidRDefault="00C37B01" w:rsidP="00C84FB8">
      <w:pPr>
        <w:spacing w:after="0" w:line="240" w:lineRule="auto"/>
      </w:pPr>
      <w:r>
        <w:separator/>
      </w:r>
    </w:p>
    <w:p w:rsidR="00C37B01" w:rsidRDefault="00C37B01"/>
    <w:p w:rsidR="00C37B01" w:rsidRDefault="00C37B01"/>
  </w:endnote>
  <w:endnote w:type="continuationSeparator" w:id="0">
    <w:p w:rsidR="00C37B01" w:rsidRDefault="00C37B01" w:rsidP="00C84FB8">
      <w:pPr>
        <w:spacing w:after="0" w:line="240" w:lineRule="auto"/>
      </w:pPr>
      <w:r>
        <w:continuationSeparator/>
      </w:r>
    </w:p>
    <w:p w:rsidR="00C37B01" w:rsidRDefault="00C37B01"/>
    <w:p w:rsidR="00C37B01" w:rsidRDefault="00C37B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F24" w:rsidRDefault="005A0F24">
    <w:pPr>
      <w:pStyle w:val="Footer"/>
    </w:pPr>
  </w:p>
  <w:p w:rsidR="005A0F24" w:rsidRDefault="005A0F24"/>
  <w:p w:rsidR="005A0F24" w:rsidRDefault="005A0F2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F24" w:rsidRDefault="005A0F24">
    <w:pPr>
      <w:pStyle w:val="Footer"/>
    </w:pPr>
    <w:r w:rsidRPr="007E25F5">
      <w:rPr>
        <w:rFonts w:ascii="Georgia" w:hAnsi="Georgia"/>
        <w:noProof/>
        <w:sz w:val="20"/>
        <w:lang w:eastAsia="en-AU"/>
      </w:rPr>
      <mc:AlternateContent>
        <mc:Choice Requires="wps">
          <w:drawing>
            <wp:anchor distT="0" distB="0" distL="114300" distR="114300" simplePos="0" relativeHeight="251662336" behindDoc="0" locked="1" layoutInCell="1" allowOverlap="1" wp14:anchorId="55D2042E" wp14:editId="74F72B0E">
              <wp:simplePos x="0" y="0"/>
              <wp:positionH relativeFrom="page">
                <wp:align>right</wp:align>
              </wp:positionH>
              <wp:positionV relativeFrom="page">
                <wp:align>bottom</wp:align>
              </wp:positionV>
              <wp:extent cx="2372400" cy="453600"/>
              <wp:effectExtent l="0" t="0" r="8890" b="3810"/>
              <wp:wrapNone/>
              <wp:docPr id="20" name="Text Box 20"/>
              <wp:cNvGraphicFramePr/>
              <a:graphic xmlns:a="http://schemas.openxmlformats.org/drawingml/2006/main">
                <a:graphicData uri="http://schemas.microsoft.com/office/word/2010/wordprocessingShape">
                  <wps:wsp>
                    <wps:cNvSpPr txBox="1"/>
                    <wps:spPr>
                      <a:xfrm>
                        <a:off x="0" y="0"/>
                        <a:ext cx="2372400" cy="4536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A0F24" w:rsidRDefault="005A0F24" w:rsidP="004D75F5">
                          <w:pPr>
                            <w:pStyle w:val="Footer"/>
                            <w:ind w:right="887"/>
                            <w:jc w:val="right"/>
                            <w:rPr>
                              <w:rStyle w:val="PageNumber"/>
                              <w:rFonts w:cs="Arial"/>
                              <w:color w:val="000000" w:themeColor="text1"/>
                            </w:rPr>
                          </w:pPr>
                          <w:r w:rsidRPr="0040789D">
                            <w:rPr>
                              <w:rStyle w:val="PageNumber"/>
                              <w:rFonts w:cs="Arial"/>
                              <w:color w:val="000000" w:themeColor="text1"/>
                            </w:rPr>
                            <w:t xml:space="preserve">Page </w:t>
                          </w:r>
                          <w:r w:rsidRPr="0040789D">
                            <w:rPr>
                              <w:rStyle w:val="PageNumber"/>
                              <w:rFonts w:cs="Arial"/>
                              <w:color w:val="000000" w:themeColor="text1"/>
                            </w:rPr>
                            <w:fldChar w:fldCharType="begin"/>
                          </w:r>
                          <w:r w:rsidRPr="0040789D">
                            <w:rPr>
                              <w:rStyle w:val="PageNumber"/>
                              <w:rFonts w:cs="Arial"/>
                              <w:color w:val="000000" w:themeColor="text1"/>
                            </w:rPr>
                            <w:instrText xml:space="preserve"> PAGE  \* Arabic  \* MERGEFORMAT </w:instrText>
                          </w:r>
                          <w:r w:rsidRPr="0040789D">
                            <w:rPr>
                              <w:rStyle w:val="PageNumber"/>
                              <w:rFonts w:cs="Arial"/>
                              <w:color w:val="000000" w:themeColor="text1"/>
                            </w:rPr>
                            <w:fldChar w:fldCharType="separate"/>
                          </w:r>
                          <w:r w:rsidR="00143024">
                            <w:rPr>
                              <w:rStyle w:val="PageNumber"/>
                              <w:rFonts w:cs="Arial"/>
                              <w:noProof/>
                              <w:color w:val="000000" w:themeColor="text1"/>
                            </w:rPr>
                            <w:t>1</w:t>
                          </w:r>
                          <w:r w:rsidRPr="0040789D">
                            <w:rPr>
                              <w:rStyle w:val="PageNumber"/>
                              <w:rFonts w:cs="Arial"/>
                              <w:color w:val="000000" w:themeColor="text1"/>
                            </w:rPr>
                            <w:fldChar w:fldCharType="end"/>
                          </w:r>
                        </w:p>
                        <w:p w:rsidR="005A0F24" w:rsidRDefault="005A0F24" w:rsidP="004D75F5">
                          <w:pPr>
                            <w:pStyle w:val="Footer"/>
                            <w:ind w:right="887"/>
                            <w:jc w:val="right"/>
                          </w:pPr>
                        </w:p>
                      </w:txbxContent>
                    </wps:txbx>
                    <wps:bodyPr rot="0" spcFirstLastPara="0" vertOverflow="overflow" horzOverflow="overflow" vert="horz" wrap="square" lIns="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7" type="#_x0000_t202" style="position:absolute;margin-left:135.6pt;margin-top:0;width:186.8pt;height:35.7pt;z-index:251662336;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" fillcolor="white [3212]" stroked="f" strokeweight=".5pt">
              <v:textbox inset="0,0">
                <w:txbxContent>
                  <w:p w:rsidR="005A0F24" w:rsidRDefault="005A0F24" w:rsidP="004D75F5">
                    <w:pPr>
                      <w:pStyle w:val="Footer"/>
                      <w:ind w:right="887"/>
                      <w:jc w:val="right"/>
                      <w:rPr>
                        <w:rStyle w:val="PageNumber"/>
                        <w:rFonts w:cs="Arial"/>
                        <w:color w:val="000000" w:themeColor="text1"/>
                      </w:rPr>
                    </w:pPr>
                    <w:r w:rsidRPr="0040789D">
                      <w:rPr>
                        <w:rStyle w:val="PageNumber"/>
                        <w:rFonts w:cs="Arial"/>
                        <w:color w:val="000000" w:themeColor="text1"/>
                      </w:rPr>
                      <w:t xml:space="preserve">Page </w:t>
                    </w:r>
                    <w:r w:rsidRPr="0040789D">
                      <w:rPr>
                        <w:rStyle w:val="PageNumber"/>
                        <w:rFonts w:cs="Arial"/>
                        <w:color w:val="000000" w:themeColor="text1"/>
                      </w:rPr>
                      <w:fldChar w:fldCharType="begin"/>
                    </w:r>
                    <w:r w:rsidRPr="0040789D">
                      <w:rPr>
                        <w:rStyle w:val="PageNumber"/>
                        <w:rFonts w:cs="Arial"/>
                        <w:color w:val="000000" w:themeColor="text1"/>
                      </w:rPr>
                      <w:instrText xml:space="preserve"> PAGE  \* Arabic  \* MERGEFORMAT </w:instrText>
                    </w:r>
                    <w:r w:rsidRPr="0040789D">
                      <w:rPr>
                        <w:rStyle w:val="PageNumber"/>
                        <w:rFonts w:cs="Arial"/>
                        <w:color w:val="000000" w:themeColor="text1"/>
                      </w:rPr>
                      <w:fldChar w:fldCharType="separate"/>
                    </w:r>
                    <w:r w:rsidR="00143024">
                      <w:rPr>
                        <w:rStyle w:val="PageNumber"/>
                        <w:rFonts w:cs="Arial"/>
                        <w:noProof/>
                        <w:color w:val="000000" w:themeColor="text1"/>
                      </w:rPr>
                      <w:t>1</w:t>
                    </w:r>
                    <w:r w:rsidRPr="0040789D">
                      <w:rPr>
                        <w:rStyle w:val="PageNumber"/>
                        <w:rFonts w:cs="Arial"/>
                        <w:color w:val="000000" w:themeColor="text1"/>
                      </w:rPr>
                      <w:fldChar w:fldCharType="end"/>
                    </w:r>
                  </w:p>
                  <w:p w:rsidR="005A0F24" w:rsidRDefault="005A0F24" w:rsidP="004D75F5">
                    <w:pPr>
                      <w:pStyle w:val="Footer"/>
                      <w:ind w:right="887"/>
                      <w:jc w:val="right"/>
                    </w:pPr>
                  </w:p>
                </w:txbxContent>
              </v:textbox>
              <w10:wrap anchorx="page" anchory="page"/>
              <w10:anchorlock/>
            </v:shape>
          </w:pict>
        </mc:Fallback>
      </mc:AlternateContent>
    </w:r>
  </w:p>
  <w:p w:rsidR="005A0F24" w:rsidRPr="0007412E" w:rsidRDefault="005A0F24" w:rsidP="0007412E">
    <w:pPr>
      <w:pStyle w:val="Footer"/>
    </w:pPr>
  </w:p>
  <w:p w:rsidR="005A0F24" w:rsidRDefault="005A0F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7B01" w:rsidRDefault="00C37B01" w:rsidP="00C84FB8">
      <w:pPr>
        <w:spacing w:after="0" w:line="240" w:lineRule="auto"/>
      </w:pPr>
      <w:r>
        <w:separator/>
      </w:r>
    </w:p>
    <w:p w:rsidR="00C37B01" w:rsidRDefault="00C37B01"/>
    <w:p w:rsidR="00C37B01" w:rsidRDefault="00C37B01"/>
  </w:footnote>
  <w:footnote w:type="continuationSeparator" w:id="0">
    <w:p w:rsidR="00C37B01" w:rsidRDefault="00C37B01" w:rsidP="00C84FB8">
      <w:pPr>
        <w:spacing w:after="0" w:line="240" w:lineRule="auto"/>
      </w:pPr>
      <w:r>
        <w:continuationSeparator/>
      </w:r>
    </w:p>
    <w:p w:rsidR="00C37B01" w:rsidRDefault="00C37B01"/>
    <w:p w:rsidR="00C37B01" w:rsidRDefault="00C37B0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F24" w:rsidRDefault="005A0F24"/>
  <w:p w:rsidR="005A0F24" w:rsidRDefault="005A0F24"/>
  <w:p w:rsidR="005A0F24" w:rsidRDefault="005A0F2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F24" w:rsidRDefault="005A0F24">
    <w:pPr>
      <w:pStyle w:val="Header"/>
    </w:pPr>
    <w:r>
      <w:rPr>
        <w:noProof/>
        <w:lang w:eastAsia="en-AU"/>
      </w:rPr>
      <mc:AlternateContent>
        <mc:Choice Requires="wps">
          <w:drawing>
            <wp:anchor distT="0" distB="0" distL="114300" distR="114300" simplePos="0" relativeHeight="251666432" behindDoc="0" locked="0" layoutInCell="1" allowOverlap="1" wp14:anchorId="2BE22911" wp14:editId="1E4E336A">
              <wp:simplePos x="0" y="0"/>
              <wp:positionH relativeFrom="column">
                <wp:posOffset>11372</wp:posOffset>
              </wp:positionH>
              <wp:positionV relativeFrom="paragraph">
                <wp:posOffset>631710</wp:posOffset>
              </wp:positionV>
              <wp:extent cx="5511338" cy="0"/>
              <wp:effectExtent l="0" t="0" r="13335" b="19050"/>
              <wp:wrapNone/>
              <wp:docPr id="9" name="Straight Connector 9"/>
              <wp:cNvGraphicFramePr/>
              <a:graphic xmlns:a="http://schemas.openxmlformats.org/drawingml/2006/main">
                <a:graphicData uri="http://schemas.microsoft.com/office/word/2010/wordprocessingShape">
                  <wps:wsp>
                    <wps:cNvCnPr/>
                    <wps:spPr>
                      <a:xfrm>
                        <a:off x="0" y="0"/>
                        <a:ext cx="5511338" cy="0"/>
                      </a:xfrm>
                      <a:prstGeom prst="line">
                        <a:avLst/>
                      </a:prstGeom>
                      <a:ln w="12700">
                        <a:solidFill>
                          <a:srgbClr val="29527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9pt,49.75pt" to="434.85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" strokecolor="#29527b" strokeweight="1pt"/>
          </w:pict>
        </mc:Fallback>
      </mc:AlternateContent>
    </w:r>
    <w:r>
      <w:rPr>
        <w:noProof/>
        <w:lang w:eastAsia="en-AU"/>
      </w:rPr>
      <w:drawing>
        <wp:anchor distT="0" distB="0" distL="114300" distR="114300" simplePos="0" relativeHeight="251663360" behindDoc="1" locked="0" layoutInCell="1" allowOverlap="1" wp14:anchorId="391732DD" wp14:editId="4A071B75">
          <wp:simplePos x="0" y="0"/>
          <wp:positionH relativeFrom="column">
            <wp:posOffset>-1260475</wp:posOffset>
          </wp:positionH>
          <wp:positionV relativeFrom="paragraph">
            <wp:posOffset>-540385</wp:posOffset>
          </wp:positionV>
          <wp:extent cx="4430395" cy="1083945"/>
          <wp:effectExtent l="0" t="0" r="8255"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317 Response to PC Public Infrastructure bann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430395" cy="108394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5408" behindDoc="0" locked="1" layoutInCell="1" allowOverlap="1" wp14:anchorId="0DB522CF" wp14:editId="790527BA">
          <wp:simplePos x="0" y="0"/>
          <wp:positionH relativeFrom="page">
            <wp:posOffset>5362575</wp:posOffset>
          </wp:positionH>
          <wp:positionV relativeFrom="page">
            <wp:posOffset>2540</wp:posOffset>
          </wp:positionV>
          <wp:extent cx="2188210" cy="109029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83245" r="-45400" b="2625"/>
                  <a:stretch/>
                </pic:blipFill>
                <pic:spPr bwMode="auto">
                  <a:xfrm>
                    <a:off x="0" y="0"/>
                    <a:ext cx="2188210" cy="1090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CCE1A8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4546B4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572CA28"/>
    <w:lvl w:ilvl="0">
      <w:start w:val="1"/>
      <w:numFmt w:val="decimal"/>
      <w:pStyle w:val="ListNumber3"/>
      <w:lvlText w:val="%1."/>
      <w:lvlJc w:val="left"/>
      <w:pPr>
        <w:tabs>
          <w:tab w:val="num" w:pos="926"/>
        </w:tabs>
        <w:ind w:left="926" w:hanging="360"/>
      </w:pPr>
    </w:lvl>
  </w:abstractNum>
  <w:abstractNum w:abstractNumId="3">
    <w:nsid w:val="FFFFFF7F"/>
    <w:multiLevelType w:val="singleLevel"/>
    <w:tmpl w:val="22E4E230"/>
    <w:lvl w:ilvl="0">
      <w:start w:val="1"/>
      <w:numFmt w:val="decimal"/>
      <w:pStyle w:val="ListNumber2"/>
      <w:lvlText w:val="%1."/>
      <w:lvlJc w:val="left"/>
      <w:pPr>
        <w:tabs>
          <w:tab w:val="num" w:pos="643"/>
        </w:tabs>
        <w:ind w:left="643" w:hanging="360"/>
      </w:pPr>
    </w:lvl>
  </w:abstractNum>
  <w:abstractNum w:abstractNumId="4">
    <w:nsid w:val="FFFFFF80"/>
    <w:multiLevelType w:val="singleLevel"/>
    <w:tmpl w:val="1E5C125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34589CF4"/>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624C768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026512E3"/>
    <w:multiLevelType w:val="multilevel"/>
    <w:tmpl w:val="B3BA6A5A"/>
    <w:lvl w:ilvl="0">
      <w:start w:val="1"/>
      <w:numFmt w:val="bullet"/>
      <w:pStyle w:val="TableBullet"/>
      <w:lvlText w:val=""/>
      <w:lvlJc w:val="left"/>
      <w:pPr>
        <w:ind w:left="360" w:hanging="360"/>
      </w:pPr>
      <w:rPr>
        <w:rFonts w:ascii="Symbol" w:hAnsi="Symbol" w:hint="default"/>
        <w:color w:val="000000"/>
        <w:sz w:val="18"/>
      </w:rPr>
    </w:lvl>
    <w:lvl w:ilvl="1">
      <w:start w:val="1"/>
      <w:numFmt w:val="bullet"/>
      <w:lvlText w:val="–"/>
      <w:lvlJc w:val="left"/>
      <w:pPr>
        <w:tabs>
          <w:tab w:val="num" w:pos="567"/>
        </w:tabs>
        <w:ind w:left="567" w:hanging="283"/>
      </w:pPr>
      <w:rPr>
        <w:rFonts w:ascii="Arial" w:hAnsi="Arial" w:hint="default"/>
      </w:rPr>
    </w:lvl>
    <w:lvl w:ilvl="2">
      <w:start w:val="1"/>
      <w:numFmt w:val="none"/>
      <w:suff w:val="nothing"/>
      <w:lvlText w:val=""/>
      <w:lvlJc w:val="left"/>
      <w:pPr>
        <w:ind w:left="0" w:firstLine="0"/>
      </w:pPr>
      <w:rPr>
        <w:rFonts w:hint="default"/>
        <w:color w:val="000000"/>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color w:val="000000"/>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color w:val="000000"/>
      </w:rPr>
    </w:lvl>
    <w:lvl w:ilvl="7">
      <w:start w:val="1"/>
      <w:numFmt w:val="none"/>
      <w:suff w:val="nothing"/>
      <w:lvlText w:val="%8"/>
      <w:lvlJc w:val="left"/>
      <w:pPr>
        <w:ind w:left="0" w:firstLine="0"/>
      </w:pPr>
      <w:rPr>
        <w:rFonts w:hint="default"/>
      </w:rPr>
    </w:lvl>
    <w:lvl w:ilvl="8">
      <w:start w:val="1"/>
      <w:numFmt w:val="none"/>
      <w:suff w:val="nothing"/>
      <w:lvlText w:val=""/>
      <w:lvlJc w:val="left"/>
      <w:pPr>
        <w:ind w:left="0" w:firstLine="0"/>
      </w:pPr>
      <w:rPr>
        <w:rFonts w:hint="default"/>
        <w:color w:val="000000"/>
      </w:rPr>
    </w:lvl>
  </w:abstractNum>
  <w:abstractNum w:abstractNumId="8">
    <w:nsid w:val="0B836554"/>
    <w:multiLevelType w:val="multilevel"/>
    <w:tmpl w:val="E39C79C6"/>
    <w:lvl w:ilvl="0">
      <w:start w:val="1"/>
      <w:numFmt w:val="decimal"/>
      <w:pStyle w:val="Heading1"/>
      <w:lvlText w:val="%1"/>
      <w:lvlJc w:val="left"/>
      <w:pPr>
        <w:ind w:left="1134" w:hanging="1134"/>
      </w:pPr>
      <w:rPr>
        <w:rFonts w:hint="default"/>
      </w:rPr>
    </w:lvl>
    <w:lvl w:ilvl="1">
      <w:start w:val="1"/>
      <w:numFmt w:val="decimal"/>
      <w:pStyle w:val="Heading2"/>
      <w:lvlText w:val="%1.%2"/>
      <w:lvlJc w:val="left"/>
      <w:pPr>
        <w:ind w:left="1134" w:hanging="1134"/>
      </w:pPr>
      <w:rPr>
        <w:rFonts w:hint="default"/>
      </w:rPr>
    </w:lvl>
    <w:lvl w:ilvl="2">
      <w:start w:val="1"/>
      <w:numFmt w:val="decimal"/>
      <w:pStyle w:val="Heading3"/>
      <w:lvlText w:val="%1.%2.%3"/>
      <w:lvlJc w:val="left"/>
      <w:pPr>
        <w:ind w:left="1134" w:hanging="1134"/>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1134" w:hanging="1134"/>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1134" w:hanging="1134"/>
      </w:pPr>
      <w:rPr>
        <w:rFonts w:hint="default"/>
      </w:rPr>
    </w:lvl>
    <w:lvl w:ilvl="6">
      <w:start w:val="1"/>
      <w:numFmt w:val="decimal"/>
      <w:pStyle w:val="Heading7"/>
      <w:lvlText w:val="%1.%2.%3.%4.%5.%6.%7"/>
      <w:lvlJc w:val="left"/>
      <w:pPr>
        <w:ind w:left="1134" w:hanging="1134"/>
      </w:pPr>
      <w:rPr>
        <w:rFonts w:hint="default"/>
      </w:rPr>
    </w:lvl>
    <w:lvl w:ilvl="7">
      <w:start w:val="1"/>
      <w:numFmt w:val="decimal"/>
      <w:pStyle w:val="Heading8"/>
      <w:lvlText w:val="%1.%2.%3.%4.%5.%6.%7.%8"/>
      <w:lvlJc w:val="left"/>
      <w:pPr>
        <w:ind w:left="1134" w:hanging="1134"/>
      </w:pPr>
      <w:rPr>
        <w:rFonts w:hint="default"/>
      </w:rPr>
    </w:lvl>
    <w:lvl w:ilvl="8">
      <w:start w:val="1"/>
      <w:numFmt w:val="decimal"/>
      <w:pStyle w:val="Heading9"/>
      <w:lvlText w:val="%1.%2.%3.%4.%5.%6.%7.%8.%9"/>
      <w:lvlJc w:val="left"/>
      <w:pPr>
        <w:ind w:left="1134" w:hanging="1134"/>
      </w:pPr>
      <w:rPr>
        <w:rFonts w:hint="default"/>
      </w:rPr>
    </w:lvl>
  </w:abstractNum>
  <w:abstractNum w:abstractNumId="9">
    <w:nsid w:val="16F744A7"/>
    <w:multiLevelType w:val="hybridMultilevel"/>
    <w:tmpl w:val="B3C071F2"/>
    <w:lvl w:ilvl="0" w:tplc="EF6CB3E6">
      <w:start w:val="1"/>
      <w:numFmt w:val="decimal"/>
      <w:pStyle w:val="newlistbold"/>
      <w:lvlText w:val="%1)"/>
      <w:lvlJc w:val="left"/>
      <w:pPr>
        <w:ind w:left="720" w:hanging="360"/>
      </w:pPr>
      <w:rPr>
        <w:rFonts w:ascii="Georgia" w:hAnsi="Georgia" w:hint="default"/>
        <w:b/>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19B74018"/>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nsid w:val="27CD296D"/>
    <w:multiLevelType w:val="multilevel"/>
    <w:tmpl w:val="455AED74"/>
    <w:lvl w:ilvl="0">
      <w:start w:val="1"/>
      <w:numFmt w:val="decimal"/>
      <w:pStyle w:val="ListNumber"/>
      <w:lvlText w:val="%1)"/>
      <w:lvlJc w:val="left"/>
      <w:pPr>
        <w:ind w:left="360" w:hanging="360"/>
      </w:pPr>
      <w:rPr>
        <w:rFonts w:ascii="Georgia" w:hAnsi="Georgia" w:hint="default"/>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531"/>
        </w:tabs>
        <w:ind w:left="1134" w:hanging="567"/>
      </w:pPr>
      <w:rPr>
        <w:rFonts w:ascii="Georgia" w:hAnsi="Georgia" w:hint="default"/>
        <w:b w:val="0"/>
        <w:i w:val="0"/>
        <w:color w:val="auto"/>
        <w:sz w:val="19"/>
      </w:rPr>
    </w:lvl>
    <w:lvl w:ilvl="2">
      <w:start w:val="1"/>
      <w:numFmt w:val="lowerRoman"/>
      <w:lvlText w:val="(%3)"/>
      <w:lvlJc w:val="left"/>
      <w:pPr>
        <w:tabs>
          <w:tab w:val="num" w:pos="2098"/>
        </w:tabs>
        <w:ind w:left="1701" w:hanging="567"/>
      </w:pPr>
      <w:rPr>
        <w:rFonts w:ascii="Georgia" w:hAnsi="Georgia" w:hint="default"/>
        <w:b w:val="0"/>
        <w:i w:val="0"/>
        <w:color w:val="auto"/>
        <w:sz w:val="19"/>
      </w:rPr>
    </w:lvl>
    <w:lvl w:ilvl="3">
      <w:start w:val="1"/>
      <w:numFmt w:val="upperLetter"/>
      <w:lvlText w:val="(%4)"/>
      <w:lvlJc w:val="left"/>
      <w:pPr>
        <w:tabs>
          <w:tab w:val="num" w:pos="2665"/>
        </w:tabs>
        <w:ind w:left="2268" w:hanging="567"/>
      </w:pPr>
      <w:rPr>
        <w:rFonts w:ascii="Georgia" w:hAnsi="Georgia" w:hint="default"/>
        <w:b w:val="0"/>
        <w:i w:val="0"/>
        <w:color w:val="auto"/>
        <w:sz w:val="19"/>
      </w:rPr>
    </w:lvl>
    <w:lvl w:ilvl="4">
      <w:start w:val="1"/>
      <w:numFmt w:val="none"/>
      <w:lvlText w:val=""/>
      <w:lvlJc w:val="left"/>
      <w:pPr>
        <w:tabs>
          <w:tab w:val="num" w:pos="3232"/>
        </w:tabs>
        <w:ind w:left="2835" w:hanging="567"/>
      </w:pPr>
      <w:rPr>
        <w:rFonts w:ascii="Arial" w:hAnsi="Arial" w:hint="default"/>
        <w:b w:val="0"/>
        <w:i w:val="0"/>
        <w:color w:val="auto"/>
        <w:sz w:val="20"/>
      </w:rPr>
    </w:lvl>
    <w:lvl w:ilvl="5">
      <w:start w:val="1"/>
      <w:numFmt w:val="none"/>
      <w:suff w:val="nothing"/>
      <w:lvlText w:val=""/>
      <w:lvlJc w:val="left"/>
      <w:pPr>
        <w:ind w:left="3402" w:hanging="567"/>
      </w:pPr>
      <w:rPr>
        <w:rFonts w:ascii="Helvetica" w:hAnsi="Helvetica" w:hint="default"/>
        <w:b w:val="0"/>
        <w:i w:val="0"/>
        <w:color w:val="auto"/>
        <w:sz w:val="20"/>
      </w:rPr>
    </w:lvl>
    <w:lvl w:ilvl="6">
      <w:start w:val="1"/>
      <w:numFmt w:val="none"/>
      <w:suff w:val="nothing"/>
      <w:lvlText w:val="%7"/>
      <w:lvlJc w:val="left"/>
      <w:pPr>
        <w:ind w:left="3969" w:hanging="567"/>
      </w:pPr>
      <w:rPr>
        <w:rFonts w:hint="default"/>
        <w:color w:val="E1001A"/>
      </w:rPr>
    </w:lvl>
    <w:lvl w:ilvl="7">
      <w:start w:val="1"/>
      <w:numFmt w:val="none"/>
      <w:suff w:val="nothing"/>
      <w:lvlText w:val="%8"/>
      <w:lvlJc w:val="left"/>
      <w:pPr>
        <w:ind w:left="4536" w:hanging="567"/>
      </w:pPr>
      <w:rPr>
        <w:rFonts w:hint="default"/>
        <w:color w:val="E1001A"/>
        <w:sz w:val="20"/>
      </w:rPr>
    </w:lvl>
    <w:lvl w:ilvl="8">
      <w:start w:val="1"/>
      <w:numFmt w:val="none"/>
      <w:suff w:val="nothing"/>
      <w:lvlText w:val="%9"/>
      <w:lvlJc w:val="left"/>
      <w:pPr>
        <w:ind w:left="5103" w:hanging="567"/>
      </w:pPr>
      <w:rPr>
        <w:rFonts w:hint="default"/>
        <w:color w:val="E1001A"/>
      </w:rPr>
    </w:lvl>
  </w:abstractNum>
  <w:abstractNum w:abstractNumId="12">
    <w:nsid w:val="284E780E"/>
    <w:multiLevelType w:val="hybridMultilevel"/>
    <w:tmpl w:val="C3727C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0430909"/>
    <w:multiLevelType w:val="hybridMultilevel"/>
    <w:tmpl w:val="86B2F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6D47D62"/>
    <w:multiLevelType w:val="multilevel"/>
    <w:tmpl w:val="AA644758"/>
    <w:lvl w:ilvl="0">
      <w:start w:val="1"/>
      <w:numFmt w:val="lowerLetter"/>
      <w:pStyle w:val="ListofLittleLetterandLittleRoman"/>
      <w:lvlText w:val="(%1)"/>
      <w:lvlJc w:val="left"/>
      <w:pPr>
        <w:tabs>
          <w:tab w:val="num" w:pos="1418"/>
        </w:tabs>
        <w:ind w:left="1418" w:hanging="567"/>
      </w:pPr>
      <w:rPr>
        <w:rFonts w:ascii="Verdana" w:hAnsi="Verdana" w:hint="default"/>
        <w:b w:val="0"/>
        <w:i w:val="0"/>
        <w:sz w:val="18"/>
        <w:szCs w:val="18"/>
      </w:rPr>
    </w:lvl>
    <w:lvl w:ilvl="1">
      <w:start w:val="1"/>
      <w:numFmt w:val="lowerRoman"/>
      <w:lvlText w:val="(%2)"/>
      <w:lvlJc w:val="left"/>
      <w:pPr>
        <w:tabs>
          <w:tab w:val="num" w:pos="1985"/>
        </w:tabs>
        <w:ind w:left="1985" w:hanging="567"/>
      </w:pPr>
      <w:rPr>
        <w:rFonts w:hint="default"/>
      </w:rPr>
    </w:lvl>
    <w:lvl w:ilvl="2">
      <w:start w:val="1"/>
      <w:numFmt w:val="lowerLetter"/>
      <w:lvlText w:val="%3."/>
      <w:lvlJc w:val="left"/>
      <w:pPr>
        <w:tabs>
          <w:tab w:val="num" w:pos="2552"/>
        </w:tabs>
        <w:ind w:left="2552" w:hanging="567"/>
      </w:pPr>
      <w:rPr>
        <w:rFonts w:hint="default"/>
      </w:rPr>
    </w:lvl>
    <w:lvl w:ilvl="3">
      <w:start w:val="1"/>
      <w:numFmt w:val="lowerRoman"/>
      <w:lvlText w:val="%4."/>
      <w:lvlJc w:val="left"/>
      <w:pPr>
        <w:tabs>
          <w:tab w:val="num" w:pos="3119"/>
        </w:tabs>
        <w:ind w:left="3119" w:hanging="567"/>
      </w:pPr>
      <w:rPr>
        <w:rFonts w:ascii="Verdana" w:hAnsi="Verdana" w:hint="default"/>
        <w:b w:val="0"/>
        <w:i w:val="0"/>
        <w:sz w:val="18"/>
        <w:szCs w:val="18"/>
      </w:rPr>
    </w:lvl>
    <w:lvl w:ilvl="4">
      <w:start w:val="1"/>
      <w:numFmt w:val="upperLetter"/>
      <w:lvlText w:val="(%5)"/>
      <w:lvlJc w:val="left"/>
      <w:pPr>
        <w:tabs>
          <w:tab w:val="num" w:pos="3686"/>
        </w:tabs>
        <w:ind w:left="3686" w:hanging="567"/>
      </w:pPr>
      <w:rPr>
        <w:rFonts w:hint="default"/>
      </w:rPr>
    </w:lvl>
    <w:lvl w:ilvl="5">
      <w:start w:val="1"/>
      <w:numFmt w:val="upperRoman"/>
      <w:lvlText w:val="(%6)"/>
      <w:lvlJc w:val="left"/>
      <w:pPr>
        <w:tabs>
          <w:tab w:val="num" w:pos="4253"/>
        </w:tabs>
        <w:ind w:left="4253" w:hanging="567"/>
      </w:pPr>
      <w:rPr>
        <w:rFonts w:hint="default"/>
      </w:rPr>
    </w:lvl>
    <w:lvl w:ilvl="6">
      <w:start w:val="1"/>
      <w:numFmt w:val="decimal"/>
      <w:lvlText w:val="%1.%2.%3.%4.%5.%6.%7."/>
      <w:lvlJc w:val="left"/>
      <w:pPr>
        <w:tabs>
          <w:tab w:val="num" w:pos="6742"/>
        </w:tabs>
        <w:ind w:left="4942" w:hanging="1080"/>
      </w:pPr>
      <w:rPr>
        <w:rFonts w:hint="default"/>
      </w:rPr>
    </w:lvl>
    <w:lvl w:ilvl="7">
      <w:start w:val="1"/>
      <w:numFmt w:val="decimal"/>
      <w:lvlText w:val="%1.%2.%3.%4.%5.%6.%7.%8."/>
      <w:lvlJc w:val="left"/>
      <w:pPr>
        <w:tabs>
          <w:tab w:val="num" w:pos="7462"/>
        </w:tabs>
        <w:ind w:left="5446" w:hanging="1224"/>
      </w:pPr>
      <w:rPr>
        <w:rFonts w:hint="default"/>
      </w:rPr>
    </w:lvl>
    <w:lvl w:ilvl="8">
      <w:start w:val="1"/>
      <w:numFmt w:val="decimal"/>
      <w:lvlText w:val="%1.%2.%3.%4.%5.%6.%7.%8.%9."/>
      <w:lvlJc w:val="left"/>
      <w:pPr>
        <w:tabs>
          <w:tab w:val="num" w:pos="8182"/>
        </w:tabs>
        <w:ind w:left="6022" w:hanging="1440"/>
      </w:pPr>
      <w:rPr>
        <w:rFonts w:hint="default"/>
      </w:rPr>
    </w:lvl>
  </w:abstractNum>
  <w:abstractNum w:abstractNumId="15">
    <w:nsid w:val="49FD3B9A"/>
    <w:multiLevelType w:val="multilevel"/>
    <w:tmpl w:val="625A9570"/>
    <w:lvl w:ilvl="0">
      <w:start w:val="1"/>
      <w:numFmt w:val="decimal"/>
      <w:pStyle w:val="TableNumber"/>
      <w:lvlText w:val="%1."/>
      <w:lvlJc w:val="left"/>
      <w:pPr>
        <w:ind w:left="284" w:hanging="284"/>
      </w:pPr>
      <w:rPr>
        <w:rFonts w:ascii="Georgia" w:hAnsi="Georgia" w:hint="default"/>
        <w:b w:val="0"/>
        <w:i w:val="0"/>
        <w:caps w:val="0"/>
        <w:strike w:val="0"/>
        <w:dstrike w:val="0"/>
        <w:vanish w:val="0"/>
        <w:sz w:val="18"/>
        <w:vertAlign w:val="baseline"/>
      </w:rPr>
    </w:lvl>
    <w:lvl w:ilvl="1">
      <w:start w:val="1"/>
      <w:numFmt w:val="lowerLetter"/>
      <w:lvlText w:val="%2)"/>
      <w:lvlJc w:val="left"/>
      <w:pPr>
        <w:tabs>
          <w:tab w:val="num" w:pos="567"/>
        </w:tabs>
        <w:ind w:left="568" w:hanging="284"/>
      </w:pPr>
      <w:rPr>
        <w:rFonts w:ascii="Arial" w:hAnsi="Arial" w:hint="default"/>
        <w:b w:val="0"/>
        <w:i w:val="0"/>
        <w:sz w:val="18"/>
      </w:rPr>
    </w:lvl>
    <w:lvl w:ilvl="2">
      <w:start w:val="1"/>
      <w:numFmt w:val="lowerRoman"/>
      <w:lvlText w:val="%3)"/>
      <w:lvlJc w:val="left"/>
      <w:pPr>
        <w:tabs>
          <w:tab w:val="num" w:pos="851"/>
        </w:tabs>
        <w:ind w:left="852" w:hanging="284"/>
      </w:pPr>
      <w:rPr>
        <w:rFonts w:ascii="Arial" w:hAnsi="Arial" w:hint="default"/>
        <w:b w:val="0"/>
        <w:i w:val="0"/>
        <w:sz w:val="18"/>
      </w:rPr>
    </w:lvl>
    <w:lvl w:ilvl="3">
      <w:start w:val="1"/>
      <w:numFmt w:val="none"/>
      <w:suff w:val="nothing"/>
      <w:lvlText w:val=""/>
      <w:lvlJc w:val="left"/>
      <w:pPr>
        <w:ind w:left="1136" w:hanging="284"/>
      </w:pPr>
      <w:rPr>
        <w:rFonts w:ascii="Arial" w:hAnsi="Arial" w:hint="default"/>
        <w:b w:val="0"/>
        <w:i w:val="0"/>
        <w:sz w:val="18"/>
      </w:rPr>
    </w:lvl>
    <w:lvl w:ilvl="4">
      <w:start w:val="1"/>
      <w:numFmt w:val="none"/>
      <w:suff w:val="nothing"/>
      <w:lvlText w:val=""/>
      <w:lvlJc w:val="left"/>
      <w:pPr>
        <w:ind w:left="1420" w:hanging="284"/>
      </w:pPr>
      <w:rPr>
        <w:rFonts w:ascii="Arial" w:hAnsi="Arial" w:hint="default"/>
        <w:b w:val="0"/>
        <w:i w:val="0"/>
        <w:sz w:val="18"/>
      </w:rPr>
    </w:lvl>
    <w:lvl w:ilvl="5">
      <w:start w:val="1"/>
      <w:numFmt w:val="none"/>
      <w:suff w:val="nothing"/>
      <w:lvlText w:val=""/>
      <w:lvlJc w:val="left"/>
      <w:pPr>
        <w:ind w:left="1704" w:hanging="284"/>
      </w:pPr>
      <w:rPr>
        <w:rFonts w:ascii="Arial" w:hAnsi="Arial" w:hint="default"/>
        <w:b w:val="0"/>
        <w:i w:val="0"/>
        <w:sz w:val="18"/>
      </w:rPr>
    </w:lvl>
    <w:lvl w:ilvl="6">
      <w:start w:val="1"/>
      <w:numFmt w:val="none"/>
      <w:suff w:val="nothing"/>
      <w:lvlText w:val="%7"/>
      <w:lvlJc w:val="left"/>
      <w:pPr>
        <w:ind w:left="1988" w:hanging="284"/>
      </w:pPr>
      <w:rPr>
        <w:rFonts w:hint="default"/>
      </w:rPr>
    </w:lvl>
    <w:lvl w:ilvl="7">
      <w:start w:val="1"/>
      <w:numFmt w:val="none"/>
      <w:suff w:val="nothing"/>
      <w:lvlText w:val="%8"/>
      <w:lvlJc w:val="left"/>
      <w:pPr>
        <w:ind w:left="2272" w:hanging="284"/>
      </w:pPr>
      <w:rPr>
        <w:rFonts w:hint="default"/>
      </w:rPr>
    </w:lvl>
    <w:lvl w:ilvl="8">
      <w:start w:val="1"/>
      <w:numFmt w:val="none"/>
      <w:suff w:val="nothing"/>
      <w:lvlText w:val="%9"/>
      <w:lvlJc w:val="left"/>
      <w:pPr>
        <w:ind w:left="2556" w:hanging="284"/>
      </w:pPr>
      <w:rPr>
        <w:rFonts w:hint="default"/>
      </w:rPr>
    </w:lvl>
  </w:abstractNum>
  <w:abstractNum w:abstractNumId="16">
    <w:nsid w:val="4EE85852"/>
    <w:multiLevelType w:val="hybridMultilevel"/>
    <w:tmpl w:val="27B82BCC"/>
    <w:lvl w:ilvl="0" w:tplc="9F18DBDC">
      <w:start w:val="1"/>
      <w:numFmt w:val="upperLetter"/>
      <w:pStyle w:val="AppendixTitlePage"/>
      <w:lvlText w:val="Appendix %1"/>
      <w:lvlJc w:val="left"/>
      <w:pPr>
        <w:ind w:left="6456" w:hanging="360"/>
      </w:pPr>
      <w:rPr>
        <w:rFonts w:ascii="Arial" w:hAnsi="Arial" w:hint="default"/>
        <w:b/>
        <w:i w:val="0"/>
        <w:color w:val="000000" w:themeColor="text1"/>
        <w:sz w:val="72"/>
      </w:rPr>
    </w:lvl>
    <w:lvl w:ilvl="1" w:tplc="0C090019">
      <w:start w:val="1"/>
      <w:numFmt w:val="lowerLetter"/>
      <w:lvlText w:val="%2."/>
      <w:lvlJc w:val="left"/>
      <w:pPr>
        <w:ind w:left="6826" w:hanging="360"/>
      </w:pPr>
    </w:lvl>
    <w:lvl w:ilvl="2" w:tplc="0C09001B" w:tentative="1">
      <w:start w:val="1"/>
      <w:numFmt w:val="lowerRoman"/>
      <w:lvlText w:val="%3."/>
      <w:lvlJc w:val="right"/>
      <w:pPr>
        <w:ind w:left="7546" w:hanging="180"/>
      </w:pPr>
    </w:lvl>
    <w:lvl w:ilvl="3" w:tplc="0C09000F" w:tentative="1">
      <w:start w:val="1"/>
      <w:numFmt w:val="decimal"/>
      <w:lvlText w:val="%4."/>
      <w:lvlJc w:val="left"/>
      <w:pPr>
        <w:ind w:left="8266" w:hanging="360"/>
      </w:pPr>
    </w:lvl>
    <w:lvl w:ilvl="4" w:tplc="0C090019" w:tentative="1">
      <w:start w:val="1"/>
      <w:numFmt w:val="lowerLetter"/>
      <w:lvlText w:val="%5."/>
      <w:lvlJc w:val="left"/>
      <w:pPr>
        <w:ind w:left="8986" w:hanging="360"/>
      </w:pPr>
    </w:lvl>
    <w:lvl w:ilvl="5" w:tplc="0C09001B" w:tentative="1">
      <w:start w:val="1"/>
      <w:numFmt w:val="lowerRoman"/>
      <w:lvlText w:val="%6."/>
      <w:lvlJc w:val="right"/>
      <w:pPr>
        <w:ind w:left="9706" w:hanging="180"/>
      </w:pPr>
    </w:lvl>
    <w:lvl w:ilvl="6" w:tplc="0C09000F" w:tentative="1">
      <w:start w:val="1"/>
      <w:numFmt w:val="decimal"/>
      <w:lvlText w:val="%7."/>
      <w:lvlJc w:val="left"/>
      <w:pPr>
        <w:ind w:left="10426" w:hanging="360"/>
      </w:pPr>
    </w:lvl>
    <w:lvl w:ilvl="7" w:tplc="0C090019" w:tentative="1">
      <w:start w:val="1"/>
      <w:numFmt w:val="lowerLetter"/>
      <w:lvlText w:val="%8."/>
      <w:lvlJc w:val="left"/>
      <w:pPr>
        <w:ind w:left="11146" w:hanging="360"/>
      </w:pPr>
    </w:lvl>
    <w:lvl w:ilvl="8" w:tplc="0C09001B" w:tentative="1">
      <w:start w:val="1"/>
      <w:numFmt w:val="lowerRoman"/>
      <w:lvlText w:val="%9."/>
      <w:lvlJc w:val="right"/>
      <w:pPr>
        <w:ind w:left="11866" w:hanging="180"/>
      </w:pPr>
    </w:lvl>
  </w:abstractNum>
  <w:abstractNum w:abstractNumId="17">
    <w:nsid w:val="537E4695"/>
    <w:multiLevelType w:val="multilevel"/>
    <w:tmpl w:val="8656FD38"/>
    <w:lvl w:ilvl="0">
      <w:start w:val="1"/>
      <w:numFmt w:val="lowerLetter"/>
      <w:pStyle w:val="ListAlpha"/>
      <w:lvlText w:val="(%1)"/>
      <w:lvlJc w:val="left"/>
      <w:pPr>
        <w:tabs>
          <w:tab w:val="num" w:pos="567"/>
        </w:tabs>
        <w:ind w:left="567" w:hanging="567"/>
      </w:pPr>
      <w:rPr>
        <w:rFonts w:ascii="Georgia" w:hAnsi="Georgia" w:hint="default"/>
        <w:b w:val="0"/>
        <w:i w:val="0"/>
        <w:caps w:val="0"/>
        <w:strike w:val="0"/>
        <w:dstrike w:val="0"/>
        <w:vanish w:val="0"/>
        <w:sz w:val="19"/>
        <w:vertAlign w:val="baseline"/>
      </w:rPr>
    </w:lvl>
    <w:lvl w:ilvl="1">
      <w:start w:val="1"/>
      <w:numFmt w:val="lowerRoman"/>
      <w:lvlText w:val="(%2)"/>
      <w:lvlJc w:val="left"/>
      <w:pPr>
        <w:tabs>
          <w:tab w:val="num" w:pos="1134"/>
        </w:tabs>
        <w:ind w:left="1134" w:hanging="567"/>
      </w:pPr>
      <w:rPr>
        <w:rFonts w:ascii="Georgia" w:hAnsi="Georgia" w:hint="default"/>
        <w:b w:val="0"/>
        <w:i w:val="0"/>
        <w:sz w:val="19"/>
      </w:rPr>
    </w:lvl>
    <w:lvl w:ilvl="2">
      <w:start w:val="1"/>
      <w:numFmt w:val="decimal"/>
      <w:lvlText w:val="(%3)"/>
      <w:lvlJc w:val="left"/>
      <w:pPr>
        <w:tabs>
          <w:tab w:val="num" w:pos="1701"/>
        </w:tabs>
        <w:ind w:left="1701" w:hanging="567"/>
      </w:pPr>
      <w:rPr>
        <w:rFonts w:ascii="Georgia" w:hAnsi="Georgia" w:hint="default"/>
        <w:b w:val="0"/>
        <w:i w:val="0"/>
        <w:sz w:val="19"/>
      </w:rPr>
    </w:lvl>
    <w:lvl w:ilvl="3">
      <w:start w:val="1"/>
      <w:numFmt w:val="upperLetter"/>
      <w:lvlText w:val="(%4)"/>
      <w:lvlJc w:val="left"/>
      <w:pPr>
        <w:tabs>
          <w:tab w:val="num" w:pos="2268"/>
        </w:tabs>
        <w:ind w:left="2268" w:hanging="567"/>
      </w:pPr>
      <w:rPr>
        <w:rFonts w:ascii="Georgia" w:hAnsi="Georgia" w:hint="default"/>
        <w:b w:val="0"/>
        <w:i w:val="0"/>
        <w:sz w:val="19"/>
      </w:rPr>
    </w:lvl>
    <w:lvl w:ilvl="4">
      <w:start w:val="1"/>
      <w:numFmt w:val="none"/>
      <w:suff w:val="nothing"/>
      <w:lvlText w:val=""/>
      <w:lvlJc w:val="left"/>
      <w:pPr>
        <w:ind w:left="2835" w:hanging="567"/>
      </w:pPr>
      <w:rPr>
        <w:rFonts w:ascii="Arial" w:hAnsi="Arial" w:hint="default"/>
        <w:b w:val="0"/>
        <w:i w:val="0"/>
        <w:sz w:val="20"/>
      </w:rPr>
    </w:lvl>
    <w:lvl w:ilvl="5">
      <w:start w:val="1"/>
      <w:numFmt w:val="none"/>
      <w:suff w:val="nothing"/>
      <w:lvlText w:val=""/>
      <w:lvlJc w:val="left"/>
      <w:pPr>
        <w:ind w:left="3402" w:hanging="567"/>
      </w:pPr>
      <w:rPr>
        <w:rFonts w:ascii="Arial" w:hAnsi="Arial" w:hint="default"/>
        <w:b w:val="0"/>
        <w:i w:val="0"/>
        <w:sz w:val="20"/>
      </w:rPr>
    </w:lvl>
    <w:lvl w:ilvl="6">
      <w:start w:val="1"/>
      <w:numFmt w:val="none"/>
      <w:suff w:val="nothing"/>
      <w:lvlText w:val=""/>
      <w:lvlJc w:val="left"/>
      <w:pPr>
        <w:ind w:left="3969" w:hanging="567"/>
      </w:pPr>
      <w:rPr>
        <w:rFonts w:ascii="Arial" w:hAnsi="Arial" w:hint="default"/>
        <w:b w:val="0"/>
        <w:i w:val="0"/>
        <w:sz w:val="20"/>
      </w:rPr>
    </w:lvl>
    <w:lvl w:ilvl="7">
      <w:start w:val="1"/>
      <w:numFmt w:val="none"/>
      <w:suff w:val="nothing"/>
      <w:lvlText w:val="%8"/>
      <w:lvlJc w:val="left"/>
      <w:pPr>
        <w:ind w:left="4536" w:hanging="567"/>
      </w:pPr>
      <w:rPr>
        <w:rFonts w:hint="default"/>
      </w:rPr>
    </w:lvl>
    <w:lvl w:ilvl="8">
      <w:start w:val="1"/>
      <w:numFmt w:val="none"/>
      <w:suff w:val="nothing"/>
      <w:lvlText w:val="%9"/>
      <w:lvlJc w:val="left"/>
      <w:pPr>
        <w:ind w:left="5103" w:hanging="567"/>
      </w:pPr>
      <w:rPr>
        <w:rFonts w:hint="default"/>
      </w:rPr>
    </w:lvl>
  </w:abstractNum>
  <w:abstractNum w:abstractNumId="18">
    <w:nsid w:val="6016064D"/>
    <w:multiLevelType w:val="multilevel"/>
    <w:tmpl w:val="023C346E"/>
    <w:lvl w:ilvl="0">
      <w:start w:val="1"/>
      <w:numFmt w:val="bullet"/>
      <w:pStyle w:val="ListBullet"/>
      <w:lvlText w:val=""/>
      <w:lvlJc w:val="left"/>
      <w:pPr>
        <w:ind w:left="567" w:hanging="567"/>
      </w:pPr>
      <w:rPr>
        <w:rFonts w:ascii="Symbol" w:hAnsi="Symbol" w:hint="default"/>
        <w:b w:val="0"/>
        <w:i w:val="0"/>
        <w:color w:val="auto"/>
        <w:sz w:val="20"/>
      </w:rPr>
    </w:lvl>
    <w:lvl w:ilvl="1">
      <w:start w:val="1"/>
      <w:numFmt w:val="bullet"/>
      <w:lvlText w:val=""/>
      <w:lvlJc w:val="left"/>
      <w:pPr>
        <w:ind w:left="1134" w:hanging="567"/>
      </w:pPr>
      <w:rPr>
        <w:rFonts w:ascii="Symbol" w:hAnsi="Symbol" w:hint="default"/>
        <w:color w:val="000000"/>
        <w:sz w:val="18"/>
      </w:rPr>
    </w:lvl>
    <w:lvl w:ilvl="2">
      <w:start w:val="1"/>
      <w:numFmt w:val="bullet"/>
      <w:lvlText w:val=""/>
      <w:lvlJc w:val="left"/>
      <w:pPr>
        <w:tabs>
          <w:tab w:val="num" w:pos="851"/>
        </w:tabs>
        <w:ind w:left="1701" w:hanging="567"/>
      </w:pPr>
      <w:rPr>
        <w:rFonts w:ascii="Symbol" w:hAnsi="Symbol" w:hint="default"/>
        <w:color w:val="000000"/>
        <w:sz w:val="20"/>
      </w:rPr>
    </w:lvl>
    <w:lvl w:ilvl="3">
      <w:start w:val="1"/>
      <w:numFmt w:val="bullet"/>
      <w:lvlText w:val="-"/>
      <w:lvlJc w:val="left"/>
      <w:pPr>
        <w:tabs>
          <w:tab w:val="num" w:pos="1134"/>
        </w:tabs>
        <w:ind w:left="2268" w:hanging="567"/>
      </w:pPr>
      <w:rPr>
        <w:rFonts w:ascii="Courier" w:hAnsi="Courier" w:hint="default"/>
        <w:color w:val="000000"/>
        <w:sz w:val="20"/>
      </w:rPr>
    </w:lvl>
    <w:lvl w:ilvl="4">
      <w:start w:val="1"/>
      <w:numFmt w:val="bullet"/>
      <w:lvlText w:val=""/>
      <w:lvlJc w:val="left"/>
      <w:pPr>
        <w:tabs>
          <w:tab w:val="num" w:pos="1418"/>
        </w:tabs>
        <w:ind w:left="2835" w:hanging="567"/>
      </w:pPr>
      <w:rPr>
        <w:rFonts w:ascii="Symbol" w:hAnsi="Symbol" w:hint="default"/>
        <w:color w:val="000000"/>
        <w:sz w:val="20"/>
      </w:rPr>
    </w:lvl>
    <w:lvl w:ilvl="5">
      <w:start w:val="1"/>
      <w:numFmt w:val="bullet"/>
      <w:lvlText w:val="-"/>
      <w:lvlJc w:val="left"/>
      <w:pPr>
        <w:tabs>
          <w:tab w:val="num" w:pos="1701"/>
        </w:tabs>
        <w:ind w:left="3402" w:hanging="567"/>
      </w:pPr>
      <w:rPr>
        <w:rFonts w:ascii="Courier" w:hAnsi="Courier" w:hint="default"/>
        <w:color w:val="000000"/>
        <w:sz w:val="20"/>
      </w:rPr>
    </w:lvl>
    <w:lvl w:ilvl="6">
      <w:start w:val="1"/>
      <w:numFmt w:val="bullet"/>
      <w:lvlText w:val=""/>
      <w:lvlJc w:val="left"/>
      <w:pPr>
        <w:tabs>
          <w:tab w:val="num" w:pos="1985"/>
        </w:tabs>
        <w:ind w:left="3969" w:hanging="567"/>
      </w:pPr>
      <w:rPr>
        <w:rFonts w:ascii="Symbol" w:hAnsi="Symbol" w:hint="default"/>
        <w:color w:val="000000"/>
        <w:sz w:val="20"/>
      </w:rPr>
    </w:lvl>
    <w:lvl w:ilvl="7">
      <w:start w:val="1"/>
      <w:numFmt w:val="bullet"/>
      <w:lvlText w:val="-"/>
      <w:lvlJc w:val="left"/>
      <w:pPr>
        <w:tabs>
          <w:tab w:val="num" w:pos="2268"/>
        </w:tabs>
        <w:ind w:left="4536" w:hanging="567"/>
      </w:pPr>
      <w:rPr>
        <w:rFonts w:ascii="Courier" w:hAnsi="Courier" w:hint="default"/>
        <w:color w:val="000000"/>
        <w:sz w:val="20"/>
      </w:rPr>
    </w:lvl>
    <w:lvl w:ilvl="8">
      <w:start w:val="1"/>
      <w:numFmt w:val="none"/>
      <w:suff w:val="nothing"/>
      <w:lvlText w:val=""/>
      <w:lvlJc w:val="left"/>
      <w:pPr>
        <w:ind w:left="5103" w:hanging="567"/>
      </w:pPr>
      <w:rPr>
        <w:rFonts w:hint="default"/>
      </w:rPr>
    </w:lvl>
  </w:abstractNum>
  <w:abstractNum w:abstractNumId="19">
    <w:nsid w:val="634D53D4"/>
    <w:multiLevelType w:val="multilevel"/>
    <w:tmpl w:val="13F28DC8"/>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134" w:hanging="1134"/>
      </w:pPr>
      <w:rPr>
        <w:rFonts w:hint="default"/>
      </w:rPr>
    </w:lvl>
    <w:lvl w:ilvl="7">
      <w:start w:val="1"/>
      <w:numFmt w:val="decimal"/>
      <w:lvlText w:val="%1.%2.%3.%4.%5.%6.%7.%8"/>
      <w:lvlJc w:val="left"/>
      <w:pPr>
        <w:ind w:left="1134" w:hanging="1134"/>
      </w:pPr>
      <w:rPr>
        <w:rFonts w:hint="default"/>
      </w:rPr>
    </w:lvl>
    <w:lvl w:ilvl="8">
      <w:start w:val="1"/>
      <w:numFmt w:val="decimal"/>
      <w:lvlText w:val="%1.%2.%3.%4.%5.%6.%7.%8.%9"/>
      <w:lvlJc w:val="left"/>
      <w:pPr>
        <w:ind w:left="1134" w:hanging="1134"/>
      </w:pPr>
      <w:rPr>
        <w:rFonts w:hint="default"/>
      </w:rPr>
    </w:lvl>
  </w:abstractNum>
  <w:abstractNum w:abstractNumId="20">
    <w:nsid w:val="69292455"/>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79E62F0A"/>
    <w:multiLevelType w:val="multilevel"/>
    <w:tmpl w:val="0C090023"/>
    <w:styleLink w:val="111111"/>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21"/>
  </w:num>
  <w:num w:numId="2">
    <w:abstractNumId w:val="20"/>
  </w:num>
  <w:num w:numId="3">
    <w:abstractNumId w:val="16"/>
  </w:num>
  <w:num w:numId="4">
    <w:abstractNumId w:val="10"/>
  </w:num>
  <w:num w:numId="5">
    <w:abstractNumId w:val="8"/>
  </w:num>
  <w:num w:numId="6">
    <w:abstractNumId w:val="17"/>
  </w:num>
  <w:num w:numId="7">
    <w:abstractNumId w:val="18"/>
  </w:num>
  <w:num w:numId="8">
    <w:abstractNumId w:val="6"/>
  </w:num>
  <w:num w:numId="9">
    <w:abstractNumId w:val="5"/>
  </w:num>
  <w:num w:numId="10">
    <w:abstractNumId w:val="4"/>
  </w:num>
  <w:num w:numId="11">
    <w:abstractNumId w:val="11"/>
  </w:num>
  <w:num w:numId="12">
    <w:abstractNumId w:val="3"/>
  </w:num>
  <w:num w:numId="13">
    <w:abstractNumId w:val="2"/>
  </w:num>
  <w:num w:numId="14">
    <w:abstractNumId w:val="1"/>
  </w:num>
  <w:num w:numId="15">
    <w:abstractNumId w:val="0"/>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15"/>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12"/>
  </w:num>
  <w:num w:numId="23">
    <w:abstractNumId w:val="13"/>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num>
  <w:num w:numId="26">
    <w:abstractNumId w:val="18"/>
  </w:num>
  <w:num w:numId="27">
    <w:abstractNumId w:val="18"/>
  </w:num>
  <w:num w:numId="28">
    <w:abstractNumId w:val="18"/>
  </w:num>
  <w:num w:numId="29">
    <w:abstractNumId w:val="18"/>
  </w:num>
  <w:num w:numId="30">
    <w:abstractNumId w:val="19"/>
  </w:num>
  <w:num w:numId="31">
    <w:abstractNumId w:val="18"/>
  </w:num>
  <w:num w:numId="32">
    <w:abstractNumId w:val="18"/>
  </w:num>
  <w:num w:numId="33">
    <w:abstractNumId w:val="1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4F07"/>
    <w:rsid w:val="00010E21"/>
    <w:rsid w:val="0002200E"/>
    <w:rsid w:val="00040168"/>
    <w:rsid w:val="0004377B"/>
    <w:rsid w:val="00046BA0"/>
    <w:rsid w:val="000526CF"/>
    <w:rsid w:val="00062547"/>
    <w:rsid w:val="0006463F"/>
    <w:rsid w:val="00066AA4"/>
    <w:rsid w:val="0007412E"/>
    <w:rsid w:val="00083D55"/>
    <w:rsid w:val="00091112"/>
    <w:rsid w:val="00097222"/>
    <w:rsid w:val="000A1736"/>
    <w:rsid w:val="000B0A37"/>
    <w:rsid w:val="000B405E"/>
    <w:rsid w:val="000B51A3"/>
    <w:rsid w:val="000C32F8"/>
    <w:rsid w:val="000C7521"/>
    <w:rsid w:val="000D199D"/>
    <w:rsid w:val="000D5F76"/>
    <w:rsid w:val="000E48BE"/>
    <w:rsid w:val="000E56BF"/>
    <w:rsid w:val="000E7564"/>
    <w:rsid w:val="000F0C5D"/>
    <w:rsid w:val="001107DC"/>
    <w:rsid w:val="00110DA0"/>
    <w:rsid w:val="00120025"/>
    <w:rsid w:val="001317DB"/>
    <w:rsid w:val="001373AF"/>
    <w:rsid w:val="00141D15"/>
    <w:rsid w:val="00143024"/>
    <w:rsid w:val="0017130D"/>
    <w:rsid w:val="00175985"/>
    <w:rsid w:val="0018506D"/>
    <w:rsid w:val="00195064"/>
    <w:rsid w:val="00196E1F"/>
    <w:rsid w:val="001A0DC1"/>
    <w:rsid w:val="001A0F02"/>
    <w:rsid w:val="001A2BA6"/>
    <w:rsid w:val="001A744C"/>
    <w:rsid w:val="001B5663"/>
    <w:rsid w:val="001C7DEA"/>
    <w:rsid w:val="001D26F7"/>
    <w:rsid w:val="001D2F07"/>
    <w:rsid w:val="001D6C58"/>
    <w:rsid w:val="001E0C5E"/>
    <w:rsid w:val="001E727C"/>
    <w:rsid w:val="001F0B3D"/>
    <w:rsid w:val="001F19A3"/>
    <w:rsid w:val="001F58FD"/>
    <w:rsid w:val="00223A9A"/>
    <w:rsid w:val="00231CDB"/>
    <w:rsid w:val="00232EB5"/>
    <w:rsid w:val="00250958"/>
    <w:rsid w:val="00254F09"/>
    <w:rsid w:val="00261265"/>
    <w:rsid w:val="002631C7"/>
    <w:rsid w:val="00273CC5"/>
    <w:rsid w:val="00274DF6"/>
    <w:rsid w:val="002769AE"/>
    <w:rsid w:val="0027729C"/>
    <w:rsid w:val="00286DA9"/>
    <w:rsid w:val="00291BF8"/>
    <w:rsid w:val="0029611E"/>
    <w:rsid w:val="00297372"/>
    <w:rsid w:val="002A4C81"/>
    <w:rsid w:val="002A5197"/>
    <w:rsid w:val="002B25FE"/>
    <w:rsid w:val="002B35B6"/>
    <w:rsid w:val="002C2A12"/>
    <w:rsid w:val="002D02BA"/>
    <w:rsid w:val="002D2C3E"/>
    <w:rsid w:val="002E2FD4"/>
    <w:rsid w:val="002E6E91"/>
    <w:rsid w:val="002F3D35"/>
    <w:rsid w:val="00302AE0"/>
    <w:rsid w:val="003150EA"/>
    <w:rsid w:val="0031675F"/>
    <w:rsid w:val="0032101A"/>
    <w:rsid w:val="003532C2"/>
    <w:rsid w:val="0036754C"/>
    <w:rsid w:val="00371F86"/>
    <w:rsid w:val="00374BF2"/>
    <w:rsid w:val="0038181A"/>
    <w:rsid w:val="003916B8"/>
    <w:rsid w:val="00391799"/>
    <w:rsid w:val="00396352"/>
    <w:rsid w:val="003A58C9"/>
    <w:rsid w:val="003A5BC7"/>
    <w:rsid w:val="003C095B"/>
    <w:rsid w:val="003C4FE4"/>
    <w:rsid w:val="003D282B"/>
    <w:rsid w:val="003D5848"/>
    <w:rsid w:val="003D6F64"/>
    <w:rsid w:val="003E18F4"/>
    <w:rsid w:val="003E1DF0"/>
    <w:rsid w:val="00404258"/>
    <w:rsid w:val="0040789D"/>
    <w:rsid w:val="00414255"/>
    <w:rsid w:val="00416AA0"/>
    <w:rsid w:val="00436974"/>
    <w:rsid w:val="00440CE6"/>
    <w:rsid w:val="0046371C"/>
    <w:rsid w:val="004662A1"/>
    <w:rsid w:val="004711BF"/>
    <w:rsid w:val="004759F7"/>
    <w:rsid w:val="00486F3D"/>
    <w:rsid w:val="00490CCB"/>
    <w:rsid w:val="004928CB"/>
    <w:rsid w:val="00492E2A"/>
    <w:rsid w:val="00494F83"/>
    <w:rsid w:val="004A2C54"/>
    <w:rsid w:val="004A43D5"/>
    <w:rsid w:val="004B3595"/>
    <w:rsid w:val="004C44D4"/>
    <w:rsid w:val="004D365B"/>
    <w:rsid w:val="004D75F5"/>
    <w:rsid w:val="004E1782"/>
    <w:rsid w:val="004E2A5A"/>
    <w:rsid w:val="004F0E0A"/>
    <w:rsid w:val="005074A3"/>
    <w:rsid w:val="00514534"/>
    <w:rsid w:val="00520AE1"/>
    <w:rsid w:val="00521244"/>
    <w:rsid w:val="005221FC"/>
    <w:rsid w:val="00530314"/>
    <w:rsid w:val="00540759"/>
    <w:rsid w:val="00541828"/>
    <w:rsid w:val="005531F7"/>
    <w:rsid w:val="00564857"/>
    <w:rsid w:val="0057424C"/>
    <w:rsid w:val="00580BE9"/>
    <w:rsid w:val="00585121"/>
    <w:rsid w:val="0058585F"/>
    <w:rsid w:val="005867ED"/>
    <w:rsid w:val="005A0F24"/>
    <w:rsid w:val="005A70BB"/>
    <w:rsid w:val="005B3DCE"/>
    <w:rsid w:val="005E0D96"/>
    <w:rsid w:val="005E1006"/>
    <w:rsid w:val="005E3528"/>
    <w:rsid w:val="006003DA"/>
    <w:rsid w:val="00630DDE"/>
    <w:rsid w:val="006314C8"/>
    <w:rsid w:val="006362D1"/>
    <w:rsid w:val="006468C3"/>
    <w:rsid w:val="00650FA6"/>
    <w:rsid w:val="006567B7"/>
    <w:rsid w:val="00663A8E"/>
    <w:rsid w:val="00680351"/>
    <w:rsid w:val="0069610C"/>
    <w:rsid w:val="00697DC1"/>
    <w:rsid w:val="006B4BC7"/>
    <w:rsid w:val="006C178E"/>
    <w:rsid w:val="006C6266"/>
    <w:rsid w:val="006E6EB1"/>
    <w:rsid w:val="007050ED"/>
    <w:rsid w:val="0071502F"/>
    <w:rsid w:val="007165B7"/>
    <w:rsid w:val="00720F2E"/>
    <w:rsid w:val="0073159A"/>
    <w:rsid w:val="00735642"/>
    <w:rsid w:val="00754A55"/>
    <w:rsid w:val="0076444C"/>
    <w:rsid w:val="007966EE"/>
    <w:rsid w:val="00796777"/>
    <w:rsid w:val="007D0EE0"/>
    <w:rsid w:val="007D196C"/>
    <w:rsid w:val="007D4B65"/>
    <w:rsid w:val="007E25F5"/>
    <w:rsid w:val="007E3DA1"/>
    <w:rsid w:val="007E7A0F"/>
    <w:rsid w:val="007F43C8"/>
    <w:rsid w:val="007F6526"/>
    <w:rsid w:val="008168D5"/>
    <w:rsid w:val="00823890"/>
    <w:rsid w:val="008317C0"/>
    <w:rsid w:val="00845A9A"/>
    <w:rsid w:val="008724F8"/>
    <w:rsid w:val="008731C7"/>
    <w:rsid w:val="0088166C"/>
    <w:rsid w:val="0089195A"/>
    <w:rsid w:val="008A727A"/>
    <w:rsid w:val="008B0B24"/>
    <w:rsid w:val="008B736B"/>
    <w:rsid w:val="008E0065"/>
    <w:rsid w:val="008F0D55"/>
    <w:rsid w:val="008F678A"/>
    <w:rsid w:val="009079F9"/>
    <w:rsid w:val="0091095A"/>
    <w:rsid w:val="00913CA2"/>
    <w:rsid w:val="00914F07"/>
    <w:rsid w:val="009213CC"/>
    <w:rsid w:val="00921647"/>
    <w:rsid w:val="00927A0C"/>
    <w:rsid w:val="009306ED"/>
    <w:rsid w:val="00936C10"/>
    <w:rsid w:val="009418D0"/>
    <w:rsid w:val="00961792"/>
    <w:rsid w:val="009747C2"/>
    <w:rsid w:val="0099136D"/>
    <w:rsid w:val="00993172"/>
    <w:rsid w:val="009A06AA"/>
    <w:rsid w:val="009C27F4"/>
    <w:rsid w:val="009C761D"/>
    <w:rsid w:val="009D29AE"/>
    <w:rsid w:val="009D627C"/>
    <w:rsid w:val="009E6D58"/>
    <w:rsid w:val="009F1259"/>
    <w:rsid w:val="009F4723"/>
    <w:rsid w:val="009F72C8"/>
    <w:rsid w:val="00A17606"/>
    <w:rsid w:val="00A27225"/>
    <w:rsid w:val="00A459E4"/>
    <w:rsid w:val="00A53129"/>
    <w:rsid w:val="00A54157"/>
    <w:rsid w:val="00A60CE4"/>
    <w:rsid w:val="00A67492"/>
    <w:rsid w:val="00A709DE"/>
    <w:rsid w:val="00A76831"/>
    <w:rsid w:val="00A77EE1"/>
    <w:rsid w:val="00A808A8"/>
    <w:rsid w:val="00AB244B"/>
    <w:rsid w:val="00AB7E8A"/>
    <w:rsid w:val="00AB7EBC"/>
    <w:rsid w:val="00AC4437"/>
    <w:rsid w:val="00AF671F"/>
    <w:rsid w:val="00B02384"/>
    <w:rsid w:val="00B056DB"/>
    <w:rsid w:val="00B06A41"/>
    <w:rsid w:val="00B21C38"/>
    <w:rsid w:val="00B23FEF"/>
    <w:rsid w:val="00B26731"/>
    <w:rsid w:val="00B337C7"/>
    <w:rsid w:val="00B34575"/>
    <w:rsid w:val="00B4350F"/>
    <w:rsid w:val="00B51B53"/>
    <w:rsid w:val="00B668D2"/>
    <w:rsid w:val="00B7404B"/>
    <w:rsid w:val="00B7625B"/>
    <w:rsid w:val="00B77961"/>
    <w:rsid w:val="00B801AC"/>
    <w:rsid w:val="00B8250B"/>
    <w:rsid w:val="00B831DB"/>
    <w:rsid w:val="00B8355E"/>
    <w:rsid w:val="00BA3FD3"/>
    <w:rsid w:val="00BA4B89"/>
    <w:rsid w:val="00BB4B04"/>
    <w:rsid w:val="00BC15AA"/>
    <w:rsid w:val="00BC24D2"/>
    <w:rsid w:val="00BC483B"/>
    <w:rsid w:val="00C1395C"/>
    <w:rsid w:val="00C212AB"/>
    <w:rsid w:val="00C26866"/>
    <w:rsid w:val="00C37B01"/>
    <w:rsid w:val="00C42EB5"/>
    <w:rsid w:val="00C6208E"/>
    <w:rsid w:val="00C84FB8"/>
    <w:rsid w:val="00C90C75"/>
    <w:rsid w:val="00C90FFB"/>
    <w:rsid w:val="00C9192E"/>
    <w:rsid w:val="00C95725"/>
    <w:rsid w:val="00CA0BA2"/>
    <w:rsid w:val="00CC7D35"/>
    <w:rsid w:val="00CE075E"/>
    <w:rsid w:val="00CE5BEF"/>
    <w:rsid w:val="00CE5F8D"/>
    <w:rsid w:val="00CF0C9D"/>
    <w:rsid w:val="00CF3818"/>
    <w:rsid w:val="00CF71F5"/>
    <w:rsid w:val="00CF766B"/>
    <w:rsid w:val="00D03101"/>
    <w:rsid w:val="00D1516D"/>
    <w:rsid w:val="00D20B2C"/>
    <w:rsid w:val="00D81948"/>
    <w:rsid w:val="00D83658"/>
    <w:rsid w:val="00D94088"/>
    <w:rsid w:val="00D97B6F"/>
    <w:rsid w:val="00DA193F"/>
    <w:rsid w:val="00DA1E32"/>
    <w:rsid w:val="00DA518D"/>
    <w:rsid w:val="00DB12F2"/>
    <w:rsid w:val="00DB75F9"/>
    <w:rsid w:val="00DD5638"/>
    <w:rsid w:val="00DE0D74"/>
    <w:rsid w:val="00DE4386"/>
    <w:rsid w:val="00E014A7"/>
    <w:rsid w:val="00E03C57"/>
    <w:rsid w:val="00E05D9B"/>
    <w:rsid w:val="00E20DE2"/>
    <w:rsid w:val="00E31519"/>
    <w:rsid w:val="00E41F68"/>
    <w:rsid w:val="00E46458"/>
    <w:rsid w:val="00E51081"/>
    <w:rsid w:val="00E51901"/>
    <w:rsid w:val="00E76FDA"/>
    <w:rsid w:val="00EA2A2C"/>
    <w:rsid w:val="00EA6692"/>
    <w:rsid w:val="00EA745E"/>
    <w:rsid w:val="00EC143E"/>
    <w:rsid w:val="00EC4FE4"/>
    <w:rsid w:val="00EF2AF5"/>
    <w:rsid w:val="00EF56C1"/>
    <w:rsid w:val="00EF7ECF"/>
    <w:rsid w:val="00F002EB"/>
    <w:rsid w:val="00F1021E"/>
    <w:rsid w:val="00F10269"/>
    <w:rsid w:val="00F121FA"/>
    <w:rsid w:val="00F13E9B"/>
    <w:rsid w:val="00F24139"/>
    <w:rsid w:val="00F25159"/>
    <w:rsid w:val="00F32A3A"/>
    <w:rsid w:val="00F4108E"/>
    <w:rsid w:val="00F5199A"/>
    <w:rsid w:val="00F52B42"/>
    <w:rsid w:val="00FB3536"/>
    <w:rsid w:val="00FB505D"/>
    <w:rsid w:val="00FB721E"/>
    <w:rsid w:val="00FE5739"/>
    <w:rsid w:val="00FE729D"/>
    <w:rsid w:val="00FF092B"/>
    <w:rsid w:val="00FF2292"/>
    <w:rsid w:val="00FF79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Georgia" w:cstheme="minorBidi"/>
        <w:lang w:val="en-AU" w:eastAsia="en-US" w:bidi="ar-SA"/>
      </w:rPr>
    </w:rPrDefault>
    <w:pPrDefault>
      <w:pPr>
        <w:spacing w:after="120" w:line="26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uiPriority="4" w:qFormat="1"/>
    <w:lsdException w:name="heading 6" w:uiPriority="4"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5" w:qFormat="1"/>
    <w:lsdException w:name="footnote text" w:uiPriority="9"/>
    <w:lsdException w:name="annotation text" w:uiPriority="10"/>
    <w:lsdException w:name="header" w:uiPriority="99" w:qFormat="1"/>
    <w:lsdException w:name="footer" w:uiPriority="9"/>
    <w:lsdException w:name="index heading" w:uiPriority="99"/>
    <w:lsdException w:name="caption" w:uiPriority="4" w:qFormat="1"/>
    <w:lsdException w:name="table of figures" w:uiPriority="99" w:qFormat="1"/>
    <w:lsdException w:name="footnote reference" w:uiPriority="99"/>
    <w:lsdException w:name="annotation reference" w:uiPriority="10"/>
    <w:lsdException w:name="endnote reference" w:uiPriority="9"/>
    <w:lsdException w:name="endnote text" w:uiPriority="9"/>
    <w:lsdException w:name="table of authorities" w:uiPriority="99"/>
    <w:lsdException w:name="macro" w:uiPriority="99"/>
    <w:lsdException w:name="toa heading" w:uiPriority="99"/>
    <w:lsdException w:name="List" w:uiPriority="99"/>
    <w:lsdException w:name="List Bullet" w:qFormat="1"/>
    <w:lsdException w:name="List Number" w:uiPriority="1" w:qFormat="1"/>
    <w:lsdException w:name="List Bullet 2" w:uiPriority="99"/>
    <w:lsdException w:name="Title" w:uiPriority="10" w:unhideWhenUsed="0" w:qFormat="1"/>
    <w:lsdException w:name="Default Paragraph Font" w:uiPriority="1"/>
    <w:lsdException w:name="Subtitle" w:uiPriority="11" w:unhideWhenUsed="0"/>
    <w:lsdException w:name="Date" w:uiPriority="8" w:qFormat="1"/>
    <w:lsdException w:name="Body Text 2" w:uiPriority="99"/>
    <w:lsdException w:name="Body Text 3" w:uiPriority="99"/>
    <w:lsdException w:name="Hyperlink" w:uiPriority="99"/>
    <w:lsdException w:name="Strong" w:uiPriority="22" w:unhideWhenUsed="0" w:qFormat="1"/>
    <w:lsdException w:name="Emphasis" w:uiPriority="20" w:unhideWhenUsed="0" w:qFormat="1"/>
    <w:lsdException w:name="Document Map" w:uiPriority="99"/>
    <w:lsdException w:name="HTML Top of Form" w:uiPriority="99"/>
    <w:lsdException w:name="HTML Bottom of Form" w:uiPriority="99"/>
    <w:lsdException w:name="Normal (Web)" w:uiPriority="99"/>
    <w:lsdException w:name="Normal Table" w:uiPriority="99"/>
    <w:lsdException w:name="No List" w:uiPriority="99"/>
    <w:lsdException w:name="Table Grid" w:semiHidden="0" w:unhideWhenUsed="0"/>
    <w:lsdException w:name="Placeholder Text" w:uiPriority="99"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uiPriority="34" w:unhideWhenUsed="0" w:qFormat="1"/>
    <w:lsdException w:name="Quote" w:uiPriority="3"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EA6692"/>
    <w:pPr>
      <w:spacing w:before="120" w:after="60"/>
    </w:pPr>
  </w:style>
  <w:style w:type="paragraph" w:styleId="Heading1">
    <w:name w:val="heading 1"/>
    <w:basedOn w:val="Normal"/>
    <w:next w:val="Normal"/>
    <w:link w:val="Heading1Char"/>
    <w:qFormat/>
    <w:rsid w:val="001D2F07"/>
    <w:pPr>
      <w:keepNext/>
      <w:pageBreakBefore/>
      <w:numPr>
        <w:numId w:val="5"/>
      </w:numPr>
      <w:spacing w:after="240" w:line="240" w:lineRule="auto"/>
      <w:outlineLvl w:val="0"/>
    </w:pPr>
    <w:rPr>
      <w:rFonts w:ascii="Arial" w:eastAsia="Times New Roman" w:hAnsi="Arial" w:cs="Times New Roman"/>
      <w:b/>
      <w:color w:val="004C54" w:themeColor="accent1"/>
      <w:sz w:val="32"/>
      <w:lang w:eastAsia="en-AU"/>
    </w:rPr>
  </w:style>
  <w:style w:type="paragraph" w:styleId="Heading2">
    <w:name w:val="heading 2"/>
    <w:basedOn w:val="Normal"/>
    <w:next w:val="Normal"/>
    <w:link w:val="Heading2Char"/>
    <w:qFormat/>
    <w:rsid w:val="003C095B"/>
    <w:pPr>
      <w:keepNext/>
      <w:numPr>
        <w:ilvl w:val="1"/>
        <w:numId w:val="5"/>
      </w:numPr>
      <w:spacing w:before="240" w:line="240" w:lineRule="auto"/>
      <w:outlineLvl w:val="1"/>
    </w:pPr>
    <w:rPr>
      <w:rFonts w:ascii="Arial" w:eastAsia="Times New Roman" w:hAnsi="Arial" w:cs="Arial"/>
      <w:b/>
      <w:bCs/>
      <w:iCs/>
      <w:color w:val="406B87" w:themeColor="accent3"/>
      <w:sz w:val="28"/>
      <w:szCs w:val="28"/>
      <w:lang w:eastAsia="en-AU"/>
    </w:rPr>
  </w:style>
  <w:style w:type="paragraph" w:styleId="Heading3">
    <w:name w:val="heading 3"/>
    <w:basedOn w:val="Normal"/>
    <w:next w:val="Normal"/>
    <w:link w:val="Heading3Char"/>
    <w:qFormat/>
    <w:rsid w:val="003C095B"/>
    <w:pPr>
      <w:keepNext/>
      <w:numPr>
        <w:ilvl w:val="2"/>
        <w:numId w:val="5"/>
      </w:numPr>
      <w:spacing w:before="240" w:line="240" w:lineRule="auto"/>
      <w:outlineLvl w:val="2"/>
    </w:pPr>
    <w:rPr>
      <w:rFonts w:ascii="Arial" w:eastAsia="Times New Roman" w:hAnsi="Arial" w:cs="Times New Roman"/>
      <w:b/>
      <w:bCs/>
      <w:color w:val="406B87" w:themeColor="accent3"/>
      <w:sz w:val="24"/>
      <w:lang w:eastAsia="en-AU"/>
    </w:rPr>
  </w:style>
  <w:style w:type="paragraph" w:styleId="Heading4">
    <w:name w:val="heading 4"/>
    <w:basedOn w:val="Normal"/>
    <w:next w:val="Normal"/>
    <w:link w:val="Heading4Char"/>
    <w:qFormat/>
    <w:rsid w:val="003C095B"/>
    <w:pPr>
      <w:keepNext/>
      <w:numPr>
        <w:ilvl w:val="3"/>
        <w:numId w:val="5"/>
      </w:numPr>
      <w:spacing w:before="240" w:line="240" w:lineRule="auto"/>
      <w:outlineLvl w:val="3"/>
    </w:pPr>
    <w:rPr>
      <w:rFonts w:ascii="Arial" w:eastAsia="Times New Roman" w:hAnsi="Arial" w:cs="Times New Roman"/>
      <w:b/>
      <w:bCs/>
      <w:color w:val="406B87" w:themeColor="accent3"/>
      <w:sz w:val="22"/>
      <w:lang w:eastAsia="en-AU"/>
    </w:rPr>
  </w:style>
  <w:style w:type="paragraph" w:styleId="Heading5">
    <w:name w:val="heading 5"/>
    <w:basedOn w:val="Normal"/>
    <w:next w:val="Normal"/>
    <w:link w:val="Heading5Char"/>
    <w:qFormat/>
    <w:rsid w:val="003C095B"/>
    <w:pPr>
      <w:keepNext/>
      <w:keepLines/>
      <w:spacing w:before="200"/>
      <w:outlineLvl w:val="4"/>
    </w:pPr>
    <w:rPr>
      <w:rFonts w:ascii="Arial" w:eastAsiaTheme="majorEastAsia" w:hAnsi="Arial" w:cs="Arial"/>
      <w:b/>
      <w:color w:val="406B87" w:themeColor="accent3"/>
      <w:sz w:val="22"/>
    </w:rPr>
  </w:style>
  <w:style w:type="paragraph" w:styleId="Heading6">
    <w:name w:val="heading 6"/>
    <w:basedOn w:val="Normal"/>
    <w:next w:val="Normal"/>
    <w:link w:val="Heading6Char"/>
    <w:uiPriority w:val="4"/>
    <w:semiHidden/>
    <w:qFormat/>
    <w:rsid w:val="00BB4B04"/>
    <w:pPr>
      <w:keepNext/>
      <w:spacing w:before="240" w:after="80" w:line="240" w:lineRule="auto"/>
      <w:ind w:left="1134"/>
      <w:outlineLvl w:val="5"/>
    </w:pPr>
    <w:rPr>
      <w:rFonts w:ascii="Arial" w:eastAsia="Times New Roman" w:hAnsi="Arial" w:cs="Times New Roman"/>
      <w:b/>
      <w:bCs/>
      <w:i/>
      <w:color w:val="6D6E71"/>
      <w:lang w:eastAsia="en-AU"/>
    </w:rPr>
  </w:style>
  <w:style w:type="paragraph" w:styleId="Heading7">
    <w:name w:val="heading 7"/>
    <w:basedOn w:val="Normal"/>
    <w:next w:val="Normal"/>
    <w:link w:val="Heading7Char"/>
    <w:semiHidden/>
    <w:rsid w:val="00BB4B04"/>
    <w:pPr>
      <w:numPr>
        <w:ilvl w:val="6"/>
        <w:numId w:val="5"/>
      </w:numPr>
      <w:jc w:val="both"/>
      <w:outlineLvl w:val="6"/>
    </w:pPr>
    <w:rPr>
      <w:rFonts w:ascii="Times New Roman" w:eastAsia="Times New Roman" w:hAnsi="Times New Roman" w:cs="Times New Roman"/>
      <w:sz w:val="24"/>
      <w:lang w:eastAsia="en-AU"/>
    </w:rPr>
  </w:style>
  <w:style w:type="paragraph" w:styleId="Heading8">
    <w:name w:val="heading 8"/>
    <w:basedOn w:val="Normal"/>
    <w:next w:val="Normal"/>
    <w:link w:val="Heading8Char"/>
    <w:semiHidden/>
    <w:rsid w:val="00BB4B04"/>
    <w:pPr>
      <w:numPr>
        <w:ilvl w:val="7"/>
        <w:numId w:val="5"/>
      </w:numPr>
      <w:jc w:val="both"/>
      <w:outlineLvl w:val="7"/>
    </w:pPr>
    <w:rPr>
      <w:rFonts w:ascii="Times New Roman" w:eastAsia="Times New Roman" w:hAnsi="Times New Roman" w:cs="Times New Roman"/>
      <w:i/>
      <w:iCs/>
      <w:sz w:val="24"/>
      <w:lang w:eastAsia="en-AU"/>
    </w:rPr>
  </w:style>
  <w:style w:type="paragraph" w:styleId="Heading9">
    <w:name w:val="heading 9"/>
    <w:basedOn w:val="Normal"/>
    <w:next w:val="Normal"/>
    <w:link w:val="Heading9Char"/>
    <w:semiHidden/>
    <w:rsid w:val="00BB4B04"/>
    <w:pPr>
      <w:numPr>
        <w:ilvl w:val="8"/>
        <w:numId w:val="5"/>
      </w:numPr>
      <w:jc w:val="both"/>
      <w:outlineLvl w:val="8"/>
    </w:pPr>
    <w:rPr>
      <w:rFonts w:eastAsia="Times New Roman" w:cs="Arial"/>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
    <w:rsid w:val="0007412E"/>
    <w:pPr>
      <w:tabs>
        <w:tab w:val="right" w:pos="8789"/>
      </w:tabs>
      <w:spacing w:before="0" w:after="0" w:line="240" w:lineRule="auto"/>
    </w:pPr>
    <w:rPr>
      <w:rFonts w:ascii="Arial" w:hAnsi="Arial"/>
      <w:sz w:val="14"/>
    </w:rPr>
  </w:style>
  <w:style w:type="character" w:customStyle="1" w:styleId="FooterChar">
    <w:name w:val="Footer Char"/>
    <w:basedOn w:val="DefaultParagraphFont"/>
    <w:link w:val="Footer"/>
    <w:uiPriority w:val="9"/>
    <w:rsid w:val="0007412E"/>
    <w:rPr>
      <w:rFonts w:ascii="Arial" w:hAnsi="Arial"/>
      <w:sz w:val="14"/>
    </w:rPr>
  </w:style>
  <w:style w:type="paragraph" w:styleId="BalloonText">
    <w:name w:val="Balloon Text"/>
    <w:basedOn w:val="Normal"/>
    <w:link w:val="BalloonTextChar"/>
    <w:semiHidden/>
    <w:unhideWhenUsed/>
    <w:rsid w:val="00BB4B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BB4B04"/>
    <w:rPr>
      <w:rFonts w:ascii="Tahoma" w:hAnsi="Tahoma" w:cs="Tahoma"/>
      <w:sz w:val="16"/>
      <w:szCs w:val="16"/>
    </w:rPr>
  </w:style>
  <w:style w:type="paragraph" w:customStyle="1" w:styleId="FrontPageClientName">
    <w:name w:val="Front Page Client Name"/>
    <w:basedOn w:val="Normal"/>
    <w:next w:val="Normal"/>
    <w:uiPriority w:val="8"/>
    <w:qFormat/>
    <w:rsid w:val="00C95725"/>
    <w:pPr>
      <w:spacing w:after="0" w:line="240" w:lineRule="auto"/>
      <w:ind w:left="284"/>
      <w:outlineLvl w:val="8"/>
    </w:pPr>
    <w:rPr>
      <w:rFonts w:ascii="Arial Bold" w:eastAsia="Times New Roman" w:hAnsi="Arial Bold" w:cs="Times New Roman"/>
      <w:b/>
      <w:color w:val="000000" w:themeColor="text1"/>
      <w:sz w:val="24"/>
      <w:lang w:eastAsia="en-AU"/>
    </w:rPr>
  </w:style>
  <w:style w:type="paragraph" w:customStyle="1" w:styleId="FrontPageAssignmentProjectName">
    <w:name w:val="Front Page Assignment Project Name"/>
    <w:basedOn w:val="Normal"/>
    <w:next w:val="Normal"/>
    <w:uiPriority w:val="8"/>
    <w:qFormat/>
    <w:rsid w:val="00C95725"/>
    <w:pPr>
      <w:spacing w:after="0" w:line="240" w:lineRule="auto"/>
      <w:ind w:left="284"/>
      <w:outlineLvl w:val="8"/>
    </w:pPr>
    <w:rPr>
      <w:rFonts w:ascii="Arial Bold" w:eastAsia="Times New Roman" w:hAnsi="Arial Bold" w:cs="Times New Roman"/>
      <w:b/>
      <w:color w:val="000000" w:themeColor="text1"/>
      <w:sz w:val="52"/>
      <w:lang w:eastAsia="en-AU"/>
    </w:rPr>
  </w:style>
  <w:style w:type="paragraph" w:customStyle="1" w:styleId="FrontPageDocumentTitle">
    <w:name w:val="Front Page Document Title"/>
    <w:basedOn w:val="Normal"/>
    <w:next w:val="Normal"/>
    <w:uiPriority w:val="8"/>
    <w:qFormat/>
    <w:rsid w:val="00C95725"/>
    <w:pPr>
      <w:spacing w:after="0" w:line="240" w:lineRule="auto"/>
      <w:ind w:left="284"/>
      <w:outlineLvl w:val="8"/>
    </w:pPr>
    <w:rPr>
      <w:rFonts w:ascii="Arial" w:eastAsiaTheme="minorEastAsia" w:hAnsi="Arial" w:cs="Times New Roman"/>
      <w:b/>
      <w:color w:val="FFFFFF"/>
      <w:sz w:val="32"/>
      <w:lang w:eastAsia="en-AU"/>
    </w:rPr>
  </w:style>
  <w:style w:type="character" w:customStyle="1" w:styleId="Heading1Char">
    <w:name w:val="Heading 1 Char"/>
    <w:basedOn w:val="DefaultParagraphFont"/>
    <w:link w:val="Heading1"/>
    <w:rsid w:val="001D2F07"/>
    <w:rPr>
      <w:rFonts w:ascii="Arial" w:eastAsia="Times New Roman" w:hAnsi="Arial" w:cs="Times New Roman"/>
      <w:b/>
      <w:color w:val="004C54" w:themeColor="accent1"/>
      <w:sz w:val="32"/>
      <w:lang w:eastAsia="en-AU"/>
    </w:rPr>
  </w:style>
  <w:style w:type="character" w:customStyle="1" w:styleId="Heading2Char">
    <w:name w:val="Heading 2 Char"/>
    <w:basedOn w:val="DefaultParagraphFont"/>
    <w:link w:val="Heading2"/>
    <w:rsid w:val="003C095B"/>
    <w:rPr>
      <w:rFonts w:ascii="Arial" w:eastAsia="Times New Roman" w:hAnsi="Arial" w:cs="Arial"/>
      <w:b/>
      <w:bCs/>
      <w:iCs/>
      <w:color w:val="406B87" w:themeColor="accent3"/>
      <w:sz w:val="28"/>
      <w:szCs w:val="28"/>
      <w:lang w:eastAsia="en-AU"/>
    </w:rPr>
  </w:style>
  <w:style w:type="character" w:customStyle="1" w:styleId="Heading3Char">
    <w:name w:val="Heading 3 Char"/>
    <w:basedOn w:val="DefaultParagraphFont"/>
    <w:link w:val="Heading3"/>
    <w:rsid w:val="003C095B"/>
    <w:rPr>
      <w:rFonts w:ascii="Arial" w:eastAsia="Times New Roman" w:hAnsi="Arial" w:cs="Times New Roman"/>
      <w:b/>
      <w:bCs/>
      <w:color w:val="406B87" w:themeColor="accent3"/>
      <w:sz w:val="24"/>
      <w:lang w:eastAsia="en-AU"/>
    </w:rPr>
  </w:style>
  <w:style w:type="character" w:customStyle="1" w:styleId="Heading4Char">
    <w:name w:val="Heading 4 Char"/>
    <w:basedOn w:val="DefaultParagraphFont"/>
    <w:link w:val="Heading4"/>
    <w:rsid w:val="003C095B"/>
    <w:rPr>
      <w:rFonts w:ascii="Arial" w:eastAsia="Times New Roman" w:hAnsi="Arial" w:cs="Times New Roman"/>
      <w:b/>
      <w:bCs/>
      <w:color w:val="406B87" w:themeColor="accent3"/>
      <w:sz w:val="22"/>
      <w:lang w:eastAsia="en-AU"/>
    </w:rPr>
  </w:style>
  <w:style w:type="character" w:customStyle="1" w:styleId="Heading7Char">
    <w:name w:val="Heading 7 Char"/>
    <w:basedOn w:val="DefaultParagraphFont"/>
    <w:link w:val="Heading7"/>
    <w:semiHidden/>
    <w:rsid w:val="00BB4B04"/>
    <w:rPr>
      <w:rFonts w:ascii="Times New Roman" w:eastAsia="Times New Roman" w:hAnsi="Times New Roman" w:cs="Times New Roman"/>
      <w:sz w:val="24"/>
      <w:lang w:eastAsia="en-AU"/>
    </w:rPr>
  </w:style>
  <w:style w:type="character" w:customStyle="1" w:styleId="Heading8Char">
    <w:name w:val="Heading 8 Char"/>
    <w:basedOn w:val="DefaultParagraphFont"/>
    <w:link w:val="Heading8"/>
    <w:semiHidden/>
    <w:rsid w:val="00BB4B04"/>
    <w:rPr>
      <w:rFonts w:ascii="Times New Roman" w:eastAsia="Times New Roman" w:hAnsi="Times New Roman" w:cs="Times New Roman"/>
      <w:i/>
      <w:iCs/>
      <w:sz w:val="24"/>
      <w:lang w:eastAsia="en-AU"/>
    </w:rPr>
  </w:style>
  <w:style w:type="character" w:customStyle="1" w:styleId="Heading9Char">
    <w:name w:val="Heading 9 Char"/>
    <w:basedOn w:val="DefaultParagraphFont"/>
    <w:link w:val="Heading9"/>
    <w:semiHidden/>
    <w:rsid w:val="00BB4B04"/>
    <w:rPr>
      <w:rFonts w:eastAsia="Times New Roman" w:cs="Arial"/>
      <w:lang w:eastAsia="en-AU"/>
    </w:rPr>
  </w:style>
  <w:style w:type="paragraph" w:styleId="ListBullet">
    <w:name w:val="List Bullet"/>
    <w:basedOn w:val="Normal"/>
    <w:qFormat/>
    <w:rsid w:val="00EA6692"/>
    <w:pPr>
      <w:numPr>
        <w:numId w:val="7"/>
      </w:numPr>
    </w:pPr>
    <w:rPr>
      <w:rFonts w:eastAsia="Times New Roman" w:cs="Times New Roman"/>
      <w:lang w:eastAsia="en-AU"/>
    </w:rPr>
  </w:style>
  <w:style w:type="paragraph" w:styleId="ListNumber">
    <w:name w:val="List Number"/>
    <w:basedOn w:val="Normal"/>
    <w:uiPriority w:val="1"/>
    <w:qFormat/>
    <w:rsid w:val="000B0A37"/>
    <w:pPr>
      <w:numPr>
        <w:numId w:val="11"/>
      </w:numPr>
      <w:tabs>
        <w:tab w:val="left" w:pos="567"/>
      </w:tabs>
      <w:ind w:left="567" w:hanging="567"/>
    </w:pPr>
    <w:rPr>
      <w:rFonts w:eastAsia="Times New Roman" w:cs="Times New Roman"/>
      <w:lang w:eastAsia="en-AU"/>
    </w:rPr>
  </w:style>
  <w:style w:type="paragraph" w:customStyle="1" w:styleId="ListAlpha">
    <w:name w:val="List Alpha"/>
    <w:basedOn w:val="Normal"/>
    <w:qFormat/>
    <w:rsid w:val="00BB4B04"/>
    <w:pPr>
      <w:numPr>
        <w:numId w:val="6"/>
      </w:numPr>
      <w:jc w:val="both"/>
    </w:pPr>
    <w:rPr>
      <w:rFonts w:eastAsia="Times New Roman" w:cs="Times New Roman"/>
      <w:lang w:eastAsia="en-AU"/>
    </w:rPr>
  </w:style>
  <w:style w:type="character" w:customStyle="1" w:styleId="Heading5Char">
    <w:name w:val="Heading 5 Char"/>
    <w:basedOn w:val="DefaultParagraphFont"/>
    <w:link w:val="Heading5"/>
    <w:rsid w:val="003C095B"/>
    <w:rPr>
      <w:rFonts w:ascii="Arial" w:eastAsiaTheme="majorEastAsia" w:hAnsi="Arial" w:cs="Arial"/>
      <w:b/>
      <w:color w:val="406B87" w:themeColor="accent3"/>
      <w:sz w:val="22"/>
    </w:rPr>
  </w:style>
  <w:style w:type="table" w:styleId="TableGrid">
    <w:name w:val="Table Grid"/>
    <w:aliases w:val="E&amp;P Style 5"/>
    <w:basedOn w:val="TableNormal"/>
    <w:rsid w:val="00514534"/>
    <w:pPr>
      <w:spacing w:after="0" w:line="240" w:lineRule="auto"/>
    </w:pPr>
    <w:rPr>
      <w:sz w:val="18"/>
    </w:rPr>
    <w:tblPr>
      <w:tblInd w:w="113" w:type="dxa"/>
      <w:tblBorders>
        <w:top w:val="single" w:sz="8" w:space="0" w:color="C7C8CA" w:themeColor="accent4"/>
        <w:left w:val="single" w:sz="8" w:space="0" w:color="C7C8CA" w:themeColor="accent4"/>
        <w:bottom w:val="single" w:sz="8" w:space="0" w:color="C7C8CA" w:themeColor="accent4"/>
        <w:right w:val="single" w:sz="8" w:space="0" w:color="C7C8CA" w:themeColor="accent4"/>
        <w:insideH w:val="single" w:sz="8" w:space="0" w:color="C7C8CA" w:themeColor="accent4"/>
        <w:insideV w:val="single" w:sz="8" w:space="0" w:color="C7C8CA" w:themeColor="accent4"/>
      </w:tblBorders>
      <w:tblCellMar>
        <w:top w:w="0" w:type="dxa"/>
        <w:left w:w="108" w:type="dxa"/>
        <w:bottom w:w="0" w:type="dxa"/>
        <w:right w:w="108" w:type="dxa"/>
      </w:tblCellMar>
    </w:tblPr>
    <w:trPr>
      <w:tblHeader/>
    </w:trPr>
  </w:style>
  <w:style w:type="table" w:customStyle="1" w:styleId="EPStyle2">
    <w:name w:val="E&amp;P Style 2"/>
    <w:basedOn w:val="TableNormal"/>
    <w:uiPriority w:val="99"/>
    <w:rsid w:val="00D83658"/>
    <w:pPr>
      <w:spacing w:after="0" w:line="240" w:lineRule="auto"/>
    </w:pPr>
    <w:rPr>
      <w:sz w:val="18"/>
    </w:rPr>
    <w:tblPr>
      <w:tblInd w:w="11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0" w:type="dxa"/>
        <w:left w:w="108" w:type="dxa"/>
        <w:bottom w:w="0" w:type="dxa"/>
        <w:right w:w="108" w:type="dxa"/>
      </w:tblCellMar>
    </w:tblPr>
    <w:tblStylePr w:type="firstRow">
      <w:pPr>
        <w:wordWrap/>
        <w:spacing w:beforeLines="0" w:before="60" w:beforeAutospacing="0" w:afterLines="0" w:after="60" w:afterAutospacing="0" w:line="240" w:lineRule="auto"/>
        <w:jc w:val="center"/>
      </w:pPr>
      <w:rPr>
        <w:rFonts w:ascii="Arial Bold" w:hAnsi="Arial Bold"/>
        <w:b/>
        <w:i w:val="0"/>
        <w:color w:val="FFFFFF" w:themeColor="background1"/>
        <w:sz w:val="18"/>
      </w:rPr>
      <w:tblPr/>
      <w:trPr>
        <w:tblHeader/>
      </w:trPr>
      <w:tcPr>
        <w:shd w:val="clear" w:color="auto" w:fill="004C54" w:themeFill="accent1"/>
      </w:tcPr>
    </w:tblStylePr>
  </w:style>
  <w:style w:type="table" w:customStyle="1" w:styleId="EPStyle1">
    <w:name w:val="E&amp;P Style 1"/>
    <w:basedOn w:val="TableNormal"/>
    <w:uiPriority w:val="99"/>
    <w:rsid w:val="00D83658"/>
    <w:pPr>
      <w:spacing w:before="60" w:after="60" w:line="240" w:lineRule="auto"/>
    </w:pPr>
    <w:rPr>
      <w:sz w:val="18"/>
    </w:rPr>
    <w:tblPr>
      <w:tblStyleRowBandSize w:val="1"/>
      <w:tblStyleColBandSize w:val="1"/>
      <w:tblInd w:w="11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0" w:type="dxa"/>
        <w:left w:w="108" w:type="dxa"/>
        <w:bottom w:w="0" w:type="dxa"/>
        <w:right w:w="108" w:type="dxa"/>
      </w:tblCellMar>
    </w:tblPr>
    <w:tcPr>
      <w:shd w:val="clear" w:color="auto" w:fill="E8E8E9" w:themeFill="accent4" w:themeFillTint="66"/>
    </w:tcPr>
    <w:tblStylePr w:type="firstRow">
      <w:pPr>
        <w:jc w:val="center"/>
      </w:pPr>
      <w:rPr>
        <w:rFonts w:ascii="Arial Bold" w:hAnsi="Arial Bold"/>
        <w:b/>
        <w:i w:val="0"/>
        <w:color w:val="FFFFFF" w:themeColor="background1"/>
        <w:sz w:val="18"/>
      </w:rPr>
      <w:tblPr/>
      <w:trPr>
        <w:tblHeader/>
      </w:trPr>
      <w:tcPr>
        <w:shd w:val="clear" w:color="auto" w:fill="004C54" w:themeFill="accent1"/>
      </w:tcPr>
    </w:tblStylePr>
    <w:tblStylePr w:type="band1Vert">
      <w:tblPr/>
      <w:tcPr>
        <w:shd w:val="clear" w:color="auto" w:fill="C7C8CA" w:themeFill="accent5"/>
      </w:tcPr>
    </w:tblStylePr>
    <w:tblStylePr w:type="band2Vert">
      <w:tblPr/>
      <w:tcPr>
        <w:shd w:val="clear" w:color="auto" w:fill="C7C8CA" w:themeFill="accent5"/>
      </w:tcPr>
    </w:tblStylePr>
    <w:tblStylePr w:type="band1Horz">
      <w:pPr>
        <w:jc w:val="left"/>
      </w:pPr>
      <w:rPr>
        <w:rFonts w:ascii="Georgia" w:hAnsi="Georgia"/>
        <w:b w:val="0"/>
        <w:i w:val="0"/>
        <w:sz w:val="18"/>
      </w:rPr>
      <w:tblPr/>
      <w:tcPr>
        <w:shd w:val="clear" w:color="auto" w:fill="F3F3F4" w:themeFill="accent4" w:themeFillTint="33"/>
      </w:tcPr>
    </w:tblStylePr>
    <w:tblStylePr w:type="band2Horz">
      <w:tblPr/>
      <w:tcPr>
        <w:shd w:val="clear" w:color="auto" w:fill="C7C8CA" w:themeFill="accent5"/>
      </w:tcPr>
    </w:tblStylePr>
  </w:style>
  <w:style w:type="table" w:styleId="LightShading-Accent1">
    <w:name w:val="Light Shading Accent 1"/>
    <w:basedOn w:val="TableNormal"/>
    <w:uiPriority w:val="60"/>
    <w:rsid w:val="00BB4B04"/>
    <w:pPr>
      <w:spacing w:after="0" w:line="240" w:lineRule="auto"/>
    </w:pPr>
    <w:rPr>
      <w:color w:val="00383E" w:themeColor="accent1" w:themeShade="BF"/>
    </w:rPr>
    <w:tblPr>
      <w:tblStyleRowBandSize w:val="1"/>
      <w:tblStyleColBandSize w:val="1"/>
      <w:tblInd w:w="0" w:type="dxa"/>
      <w:tblBorders>
        <w:top w:val="single" w:sz="8" w:space="0" w:color="004C54" w:themeColor="accent1"/>
        <w:bottom w:val="single" w:sz="8" w:space="0" w:color="004C5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4C54" w:themeColor="accent1"/>
          <w:left w:val="nil"/>
          <w:bottom w:val="single" w:sz="8" w:space="0" w:color="004C54" w:themeColor="accent1"/>
          <w:right w:val="nil"/>
          <w:insideH w:val="nil"/>
          <w:insideV w:val="nil"/>
        </w:tcBorders>
      </w:tcPr>
    </w:tblStylePr>
    <w:tblStylePr w:type="lastRow">
      <w:pPr>
        <w:spacing w:before="0" w:after="0" w:line="240" w:lineRule="auto"/>
      </w:pPr>
      <w:rPr>
        <w:b/>
        <w:bCs/>
      </w:rPr>
      <w:tblPr/>
      <w:tcPr>
        <w:tcBorders>
          <w:top w:val="single" w:sz="8" w:space="0" w:color="004C54" w:themeColor="accent1"/>
          <w:left w:val="nil"/>
          <w:bottom w:val="single" w:sz="8" w:space="0" w:color="004C5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5F4FF" w:themeFill="accent1" w:themeFillTint="3F"/>
      </w:tcPr>
    </w:tblStylePr>
    <w:tblStylePr w:type="band1Horz">
      <w:tblPr/>
      <w:tcPr>
        <w:tcBorders>
          <w:left w:val="nil"/>
          <w:right w:val="nil"/>
          <w:insideH w:val="nil"/>
          <w:insideV w:val="nil"/>
        </w:tcBorders>
        <w:shd w:val="clear" w:color="auto" w:fill="95F4FF" w:themeFill="accent1" w:themeFillTint="3F"/>
      </w:tcPr>
    </w:tblStylePr>
  </w:style>
  <w:style w:type="table" w:styleId="LightShading-Accent2">
    <w:name w:val="Light Shading Accent 2"/>
    <w:basedOn w:val="TableNormal"/>
    <w:uiPriority w:val="60"/>
    <w:rsid w:val="00BB4B04"/>
    <w:pPr>
      <w:spacing w:after="0" w:line="240" w:lineRule="auto"/>
    </w:pPr>
    <w:rPr>
      <w:color w:val="85261E" w:themeColor="accent2" w:themeShade="BF"/>
    </w:rPr>
    <w:tblPr>
      <w:tblStyleRowBandSize w:val="1"/>
      <w:tblStyleColBandSize w:val="1"/>
      <w:tblInd w:w="0" w:type="dxa"/>
      <w:tblBorders>
        <w:top w:val="single" w:sz="8" w:space="0" w:color="B23428" w:themeColor="accent2"/>
        <w:bottom w:val="single" w:sz="8" w:space="0" w:color="B23428"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23428" w:themeColor="accent2"/>
          <w:left w:val="nil"/>
          <w:bottom w:val="single" w:sz="8" w:space="0" w:color="B23428" w:themeColor="accent2"/>
          <w:right w:val="nil"/>
          <w:insideH w:val="nil"/>
          <w:insideV w:val="nil"/>
        </w:tcBorders>
      </w:tcPr>
    </w:tblStylePr>
    <w:tblStylePr w:type="lastRow">
      <w:pPr>
        <w:spacing w:before="0" w:after="0" w:line="240" w:lineRule="auto"/>
      </w:pPr>
      <w:rPr>
        <w:b/>
        <w:bCs/>
      </w:rPr>
      <w:tblPr/>
      <w:tcPr>
        <w:tcBorders>
          <w:top w:val="single" w:sz="8" w:space="0" w:color="B23428" w:themeColor="accent2"/>
          <w:left w:val="nil"/>
          <w:bottom w:val="single" w:sz="8" w:space="0" w:color="B2342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C7C3" w:themeFill="accent2" w:themeFillTint="3F"/>
      </w:tcPr>
    </w:tblStylePr>
    <w:tblStylePr w:type="band1Horz">
      <w:tblPr/>
      <w:tcPr>
        <w:tcBorders>
          <w:left w:val="nil"/>
          <w:right w:val="nil"/>
          <w:insideH w:val="nil"/>
          <w:insideV w:val="nil"/>
        </w:tcBorders>
        <w:shd w:val="clear" w:color="auto" w:fill="F1C7C3" w:themeFill="accent2" w:themeFillTint="3F"/>
      </w:tcPr>
    </w:tblStylePr>
  </w:style>
  <w:style w:type="table" w:styleId="LightShading-Accent3">
    <w:name w:val="Light Shading Accent 3"/>
    <w:basedOn w:val="TableNormal"/>
    <w:uiPriority w:val="60"/>
    <w:rsid w:val="00BB4B04"/>
    <w:pPr>
      <w:spacing w:after="0" w:line="240" w:lineRule="auto"/>
    </w:pPr>
    <w:rPr>
      <w:color w:val="305065" w:themeColor="accent3" w:themeShade="BF"/>
    </w:rPr>
    <w:tblPr>
      <w:tblStyleRowBandSize w:val="1"/>
      <w:tblStyleColBandSize w:val="1"/>
      <w:tblInd w:w="0" w:type="dxa"/>
      <w:tblBorders>
        <w:top w:val="single" w:sz="8" w:space="0" w:color="406B87" w:themeColor="accent3"/>
        <w:bottom w:val="single" w:sz="8" w:space="0" w:color="406B87"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06B87" w:themeColor="accent3"/>
          <w:left w:val="nil"/>
          <w:bottom w:val="single" w:sz="8" w:space="0" w:color="406B87" w:themeColor="accent3"/>
          <w:right w:val="nil"/>
          <w:insideH w:val="nil"/>
          <w:insideV w:val="nil"/>
        </w:tcBorders>
      </w:tcPr>
    </w:tblStylePr>
    <w:tblStylePr w:type="lastRow">
      <w:pPr>
        <w:spacing w:before="0" w:after="0" w:line="240" w:lineRule="auto"/>
      </w:pPr>
      <w:rPr>
        <w:b/>
        <w:bCs/>
      </w:rPr>
      <w:tblPr/>
      <w:tcPr>
        <w:tcBorders>
          <w:top w:val="single" w:sz="8" w:space="0" w:color="406B87" w:themeColor="accent3"/>
          <w:left w:val="nil"/>
          <w:bottom w:val="single" w:sz="8" w:space="0" w:color="406B8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DBE6" w:themeFill="accent3" w:themeFillTint="3F"/>
      </w:tcPr>
    </w:tblStylePr>
    <w:tblStylePr w:type="band1Horz">
      <w:tblPr/>
      <w:tcPr>
        <w:tcBorders>
          <w:left w:val="nil"/>
          <w:right w:val="nil"/>
          <w:insideH w:val="nil"/>
          <w:insideV w:val="nil"/>
        </w:tcBorders>
        <w:shd w:val="clear" w:color="auto" w:fill="CADBE6" w:themeFill="accent3" w:themeFillTint="3F"/>
      </w:tcPr>
    </w:tblStylePr>
  </w:style>
  <w:style w:type="table" w:customStyle="1" w:styleId="EPStyle3">
    <w:name w:val="E&amp;P Style 3"/>
    <w:basedOn w:val="TableNormal"/>
    <w:uiPriority w:val="99"/>
    <w:rsid w:val="00D83658"/>
    <w:pPr>
      <w:spacing w:after="0" w:line="240" w:lineRule="auto"/>
    </w:pPr>
    <w:rPr>
      <w:sz w:val="18"/>
    </w:rPr>
    <w:tblPr>
      <w:tblInd w:w="11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0" w:type="dxa"/>
        <w:left w:w="108" w:type="dxa"/>
        <w:bottom w:w="0" w:type="dxa"/>
        <w:right w:w="108" w:type="dxa"/>
      </w:tblCellMar>
    </w:tblPr>
    <w:tcPr>
      <w:shd w:val="clear" w:color="auto" w:fill="C7C8CA" w:themeFill="accent5"/>
    </w:tcPr>
    <w:tblStylePr w:type="firstRow">
      <w:pPr>
        <w:wordWrap/>
        <w:jc w:val="center"/>
        <w:outlineLvl w:val="8"/>
      </w:pPr>
      <w:rPr>
        <w:rFonts w:ascii="Arial" w:hAnsi="Arial"/>
        <w:b/>
        <w:sz w:val="18"/>
      </w:rPr>
      <w:tblPr/>
      <w:trPr>
        <w:tblHeader/>
      </w:trPr>
      <w:tcPr>
        <w:shd w:val="clear" w:color="auto" w:fill="004C54" w:themeFill="accent1"/>
      </w:tcPr>
    </w:tblStylePr>
  </w:style>
  <w:style w:type="paragraph" w:customStyle="1" w:styleId="TableHeaderblack">
    <w:name w:val="Table Header black"/>
    <w:basedOn w:val="Normal"/>
    <w:qFormat/>
    <w:rsid w:val="007D0EE0"/>
    <w:pPr>
      <w:spacing w:after="120" w:line="240" w:lineRule="auto"/>
      <w:jc w:val="center"/>
    </w:pPr>
    <w:rPr>
      <w:rFonts w:ascii="Arial" w:hAnsi="Arial"/>
      <w:b/>
      <w:color w:val="000000" w:themeColor="text1"/>
      <w:sz w:val="18"/>
    </w:rPr>
  </w:style>
  <w:style w:type="paragraph" w:styleId="TOCHeading">
    <w:name w:val="TOC Heading"/>
    <w:basedOn w:val="Heading1"/>
    <w:next w:val="Normal"/>
    <w:uiPriority w:val="39"/>
    <w:semiHidden/>
    <w:unhideWhenUsed/>
    <w:qFormat/>
    <w:rsid w:val="00BB4B04"/>
    <w:pPr>
      <w:keepLines/>
      <w:numPr>
        <w:numId w:val="0"/>
      </w:numPr>
      <w:spacing w:before="480" w:after="0" w:line="276" w:lineRule="auto"/>
      <w:outlineLvl w:val="9"/>
    </w:pPr>
    <w:rPr>
      <w:rFonts w:asciiTheme="majorHAnsi" w:eastAsiaTheme="majorEastAsia" w:hAnsiTheme="majorHAnsi" w:cstheme="majorBidi"/>
      <w:bCs/>
      <w:color w:val="00383E" w:themeColor="accent1" w:themeShade="BF"/>
      <w:sz w:val="28"/>
      <w:szCs w:val="28"/>
      <w:lang w:val="en-US" w:eastAsia="ja-JP"/>
    </w:rPr>
  </w:style>
  <w:style w:type="paragraph" w:styleId="TOC1">
    <w:name w:val="toc 1"/>
    <w:basedOn w:val="Normal"/>
    <w:next w:val="Normal"/>
    <w:autoRedefine/>
    <w:uiPriority w:val="39"/>
    <w:qFormat/>
    <w:rsid w:val="00D20B2C"/>
    <w:pPr>
      <w:tabs>
        <w:tab w:val="left" w:pos="567"/>
        <w:tab w:val="right" w:leader="dot" w:pos="8789"/>
      </w:tabs>
      <w:spacing w:before="240"/>
    </w:pPr>
    <w:rPr>
      <w:rFonts w:ascii="Arial" w:hAnsi="Arial" w:cs="Arial"/>
      <w:b/>
      <w:noProof/>
      <w:sz w:val="28"/>
      <w:szCs w:val="28"/>
    </w:rPr>
  </w:style>
  <w:style w:type="paragraph" w:styleId="TOC2">
    <w:name w:val="toc 2"/>
    <w:basedOn w:val="Normal"/>
    <w:next w:val="Normal"/>
    <w:uiPriority w:val="39"/>
    <w:qFormat/>
    <w:rsid w:val="00D20B2C"/>
    <w:pPr>
      <w:tabs>
        <w:tab w:val="left" w:pos="1134"/>
        <w:tab w:val="right" w:leader="dot" w:pos="8789"/>
      </w:tabs>
      <w:ind w:left="1134" w:hanging="567"/>
    </w:pPr>
    <w:rPr>
      <w:rFonts w:eastAsiaTheme="minorEastAsia"/>
      <w:noProof/>
      <w:sz w:val="24"/>
      <w:lang w:eastAsia="en-AU"/>
    </w:rPr>
  </w:style>
  <w:style w:type="character" w:styleId="Hyperlink">
    <w:name w:val="Hyperlink"/>
    <w:uiPriority w:val="99"/>
    <w:rsid w:val="00BB4B04"/>
    <w:rPr>
      <w:lang w:eastAsia="en-AU"/>
    </w:rPr>
  </w:style>
  <w:style w:type="paragraph" w:customStyle="1" w:styleId="Heading">
    <w:name w:val="Heading"/>
    <w:basedOn w:val="Heading1"/>
    <w:next w:val="Normal"/>
    <w:link w:val="HeadingChar"/>
    <w:uiPriority w:val="4"/>
    <w:semiHidden/>
    <w:rsid w:val="00BB4B04"/>
    <w:pPr>
      <w:numPr>
        <w:numId w:val="0"/>
      </w:numPr>
    </w:pPr>
    <w:rPr>
      <w:color w:val="0078B9"/>
      <w:sz w:val="36"/>
      <w:lang w:val="en-NZ"/>
    </w:rPr>
  </w:style>
  <w:style w:type="character" w:customStyle="1" w:styleId="HeadingChar">
    <w:name w:val="Heading Char"/>
    <w:basedOn w:val="Heading1Char"/>
    <w:link w:val="Heading"/>
    <w:uiPriority w:val="4"/>
    <w:semiHidden/>
    <w:rsid w:val="00BB4B04"/>
    <w:rPr>
      <w:rFonts w:ascii="Arial" w:eastAsia="Times New Roman" w:hAnsi="Arial" w:cs="Times New Roman"/>
      <w:b/>
      <w:color w:val="0078B9"/>
      <w:sz w:val="36"/>
      <w:szCs w:val="20"/>
      <w:lang w:val="en-NZ" w:eastAsia="en-AU"/>
    </w:rPr>
  </w:style>
  <w:style w:type="table" w:customStyle="1" w:styleId="EPStyle4">
    <w:name w:val="E&amp;P Style 4"/>
    <w:basedOn w:val="TableNormal"/>
    <w:rsid w:val="00D83658"/>
    <w:pPr>
      <w:spacing w:before="60" w:after="60" w:line="240" w:lineRule="auto"/>
    </w:pPr>
    <w:rPr>
      <w:rFonts w:eastAsia="Times New Roman" w:cs="Times New Roman"/>
      <w:sz w:val="18"/>
      <w:lang w:eastAsia="en-AU"/>
    </w:rPr>
    <w:tblPr>
      <w:tblStyleRowBandSize w:val="1"/>
      <w:tblStyleColBandSize w:val="1"/>
      <w:tblInd w:w="113" w:type="dxa"/>
      <w:tblBorders>
        <w:insideH w:val="single" w:sz="18" w:space="0" w:color="FFFFFF"/>
        <w:insideV w:val="single" w:sz="18" w:space="0" w:color="FFFFFF"/>
      </w:tblBorders>
      <w:tblCellMar>
        <w:top w:w="0" w:type="dxa"/>
        <w:left w:w="108" w:type="dxa"/>
        <w:bottom w:w="0" w:type="dxa"/>
        <w:right w:w="108" w:type="dxa"/>
      </w:tblCellMar>
    </w:tblPr>
    <w:tcPr>
      <w:shd w:val="clear" w:color="auto" w:fill="E6E7E8"/>
    </w:tcPr>
    <w:tblStylePr w:type="firstRow">
      <w:pPr>
        <w:wordWrap/>
        <w:jc w:val="center"/>
      </w:pPr>
      <w:rPr>
        <w:rFonts w:ascii="Arial Bold" w:hAnsi="Arial Bold"/>
        <w:b/>
        <w:i w:val="0"/>
        <w:color w:val="FFFFFF" w:themeColor="background1"/>
        <w:sz w:val="18"/>
      </w:rPr>
      <w:tblPr/>
      <w:trPr>
        <w:tblHeader/>
      </w:trPr>
      <w:tcPr>
        <w:shd w:val="clear" w:color="auto" w:fill="004C54" w:themeFill="accent1"/>
      </w:tcPr>
    </w:tblStylePr>
    <w:tblStylePr w:type="firstCol">
      <w:tblPr/>
      <w:tcPr>
        <w:shd w:val="clear" w:color="auto" w:fill="C7C8CA"/>
      </w:tcPr>
    </w:tblStylePr>
    <w:tblStylePr w:type="band2Vert">
      <w:tblPr/>
      <w:tcPr>
        <w:shd w:val="clear" w:color="auto" w:fill="C7C8CA"/>
      </w:tcPr>
    </w:tblStylePr>
  </w:style>
  <w:style w:type="paragraph" w:customStyle="1" w:styleId="HeadingNoTOC">
    <w:name w:val="Heading (No TOC)"/>
    <w:next w:val="Normal"/>
    <w:link w:val="HeadingNoTOCChar"/>
    <w:uiPriority w:val="4"/>
    <w:qFormat/>
    <w:rsid w:val="001D2F07"/>
    <w:pPr>
      <w:outlineLvl w:val="8"/>
    </w:pPr>
    <w:rPr>
      <w:rFonts w:ascii="Arial" w:eastAsia="Times New Roman" w:hAnsi="Arial" w:cs="Times New Roman"/>
      <w:b/>
      <w:color w:val="004C54" w:themeColor="accent1"/>
      <w:sz w:val="32"/>
      <w:lang w:eastAsia="en-AU"/>
    </w:rPr>
  </w:style>
  <w:style w:type="character" w:customStyle="1" w:styleId="HeadingNoTOCChar">
    <w:name w:val="Heading (No TOC) Char"/>
    <w:basedOn w:val="Heading1Char"/>
    <w:link w:val="HeadingNoTOC"/>
    <w:uiPriority w:val="4"/>
    <w:rsid w:val="001D2F07"/>
    <w:rPr>
      <w:rFonts w:ascii="Arial" w:eastAsia="Times New Roman" w:hAnsi="Arial" w:cs="Times New Roman"/>
      <w:b/>
      <w:color w:val="004C54" w:themeColor="accent1"/>
      <w:sz w:val="32"/>
      <w:lang w:eastAsia="en-AU"/>
    </w:rPr>
  </w:style>
  <w:style w:type="paragraph" w:customStyle="1" w:styleId="TableText">
    <w:name w:val="Table Text"/>
    <w:basedOn w:val="Normal"/>
    <w:link w:val="TableTextChar"/>
    <w:uiPriority w:val="1"/>
    <w:qFormat/>
    <w:rsid w:val="005E1006"/>
    <w:pPr>
      <w:spacing w:before="60" w:line="240" w:lineRule="auto"/>
    </w:pPr>
    <w:rPr>
      <w:rFonts w:eastAsia="Times New Roman" w:cs="Times New Roman"/>
      <w:sz w:val="18"/>
      <w:lang w:eastAsia="en-AU"/>
    </w:rPr>
  </w:style>
  <w:style w:type="character" w:customStyle="1" w:styleId="TableTextChar">
    <w:name w:val="Table Text Char"/>
    <w:link w:val="TableText"/>
    <w:uiPriority w:val="1"/>
    <w:rsid w:val="00274DF6"/>
    <w:rPr>
      <w:rFonts w:eastAsia="Times New Roman" w:cs="Times New Roman"/>
      <w:sz w:val="18"/>
      <w:lang w:eastAsia="en-AU"/>
    </w:rPr>
  </w:style>
  <w:style w:type="paragraph" w:customStyle="1" w:styleId="BackCoverAddresses">
    <w:name w:val="Back Cover Addresses"/>
    <w:basedOn w:val="Normal"/>
    <w:qFormat/>
    <w:rsid w:val="00BB4B04"/>
    <w:pPr>
      <w:spacing w:after="240"/>
    </w:pPr>
    <w:rPr>
      <w:color w:val="FFFFFF" w:themeColor="background1"/>
      <w:szCs w:val="19"/>
    </w:rPr>
  </w:style>
  <w:style w:type="paragraph" w:styleId="TOC3">
    <w:name w:val="toc 3"/>
    <w:basedOn w:val="Normal"/>
    <w:next w:val="Normal"/>
    <w:uiPriority w:val="39"/>
    <w:qFormat/>
    <w:rsid w:val="00D20B2C"/>
    <w:pPr>
      <w:tabs>
        <w:tab w:val="left" w:pos="1843"/>
        <w:tab w:val="right" w:leader="dot" w:pos="8789"/>
      </w:tabs>
      <w:spacing w:after="100" w:line="260" w:lineRule="exact"/>
      <w:ind w:left="1701" w:hanging="567"/>
    </w:pPr>
    <w:rPr>
      <w:rFonts w:eastAsiaTheme="minorEastAsia"/>
      <w:noProof/>
      <w:lang w:eastAsia="en-AU"/>
    </w:rPr>
  </w:style>
  <w:style w:type="numbering" w:styleId="111111">
    <w:name w:val="Outline List 2"/>
    <w:basedOn w:val="NoList"/>
    <w:semiHidden/>
    <w:rsid w:val="00BB4B04"/>
    <w:pPr>
      <w:numPr>
        <w:numId w:val="1"/>
      </w:numPr>
    </w:pPr>
  </w:style>
  <w:style w:type="numbering" w:styleId="1ai">
    <w:name w:val="Outline List 1"/>
    <w:basedOn w:val="NoList"/>
    <w:semiHidden/>
    <w:rsid w:val="00BB4B04"/>
    <w:pPr>
      <w:numPr>
        <w:numId w:val="2"/>
      </w:numPr>
    </w:pPr>
  </w:style>
  <w:style w:type="paragraph" w:styleId="ListParagraph">
    <w:name w:val="List Paragraph"/>
    <w:basedOn w:val="Normal"/>
    <w:link w:val="ListParagraphChar"/>
    <w:uiPriority w:val="34"/>
    <w:qFormat/>
    <w:rsid w:val="00D20B2C"/>
    <w:pPr>
      <w:contextualSpacing/>
    </w:pPr>
    <w:rPr>
      <w:noProof/>
    </w:rPr>
  </w:style>
  <w:style w:type="character" w:customStyle="1" w:styleId="ListParagraphChar">
    <w:name w:val="List Paragraph Char"/>
    <w:basedOn w:val="DefaultParagraphFont"/>
    <w:link w:val="ListParagraph"/>
    <w:uiPriority w:val="99"/>
    <w:semiHidden/>
    <w:rsid w:val="00AB7EBC"/>
    <w:rPr>
      <w:noProof/>
    </w:rPr>
  </w:style>
  <w:style w:type="character" w:customStyle="1" w:styleId="Heading6Char">
    <w:name w:val="Heading 6 Char"/>
    <w:basedOn w:val="DefaultParagraphFont"/>
    <w:link w:val="Heading6"/>
    <w:uiPriority w:val="4"/>
    <w:semiHidden/>
    <w:rsid w:val="00BB4B04"/>
    <w:rPr>
      <w:rFonts w:ascii="Arial" w:eastAsia="Times New Roman" w:hAnsi="Arial" w:cs="Times New Roman"/>
      <w:b/>
      <w:bCs/>
      <w:i/>
      <w:color w:val="6D6E71"/>
      <w:sz w:val="20"/>
      <w:lang w:eastAsia="en-AU"/>
    </w:rPr>
  </w:style>
  <w:style w:type="numbering" w:styleId="ArticleSection">
    <w:name w:val="Outline List 3"/>
    <w:basedOn w:val="NoList"/>
    <w:semiHidden/>
    <w:rsid w:val="00BB4B04"/>
    <w:pPr>
      <w:numPr>
        <w:numId w:val="4"/>
      </w:numPr>
    </w:pPr>
  </w:style>
  <w:style w:type="paragraph" w:styleId="BlockText">
    <w:name w:val="Block Text"/>
    <w:basedOn w:val="Normal"/>
    <w:semiHidden/>
    <w:rsid w:val="00BB4B04"/>
    <w:pPr>
      <w:spacing w:before="240" w:line="280" w:lineRule="atLeast"/>
      <w:ind w:left="1440" w:right="1440"/>
    </w:pPr>
    <w:rPr>
      <w:rFonts w:ascii="Arial" w:eastAsia="Times New Roman" w:hAnsi="Arial" w:cs="Times New Roman"/>
      <w:lang w:eastAsia="en-AU"/>
    </w:rPr>
  </w:style>
  <w:style w:type="paragraph" w:styleId="BodyText">
    <w:name w:val="Body Text"/>
    <w:basedOn w:val="Normal"/>
    <w:link w:val="BodyTextChar"/>
    <w:semiHidden/>
    <w:unhideWhenUsed/>
    <w:rsid w:val="00BB4B04"/>
  </w:style>
  <w:style w:type="character" w:customStyle="1" w:styleId="BodyTextChar">
    <w:name w:val="Body Text Char"/>
    <w:basedOn w:val="DefaultParagraphFont"/>
    <w:link w:val="BodyText"/>
    <w:semiHidden/>
    <w:rsid w:val="00BB4B04"/>
    <w:rPr>
      <w:rFonts w:ascii="Georgia" w:hAnsi="Georgia"/>
      <w:sz w:val="20"/>
    </w:rPr>
  </w:style>
  <w:style w:type="paragraph" w:styleId="BodyTextFirstIndent">
    <w:name w:val="Body Text First Indent"/>
    <w:basedOn w:val="Normal"/>
    <w:link w:val="BodyTextFirstIndentChar"/>
    <w:semiHidden/>
    <w:rsid w:val="00BB4B04"/>
    <w:pPr>
      <w:spacing w:before="240" w:after="0" w:line="280" w:lineRule="atLeast"/>
      <w:ind w:firstLine="210"/>
    </w:pPr>
    <w:rPr>
      <w:rFonts w:ascii="Arial" w:eastAsia="Times New Roman" w:hAnsi="Arial" w:cs="Times New Roman"/>
      <w:lang w:eastAsia="en-AU"/>
    </w:rPr>
  </w:style>
  <w:style w:type="character" w:customStyle="1" w:styleId="BodyTextFirstIndentChar">
    <w:name w:val="Body Text First Indent Char"/>
    <w:basedOn w:val="BodyTextChar"/>
    <w:link w:val="BodyTextFirstIndent"/>
    <w:semiHidden/>
    <w:rsid w:val="00BB4B04"/>
    <w:rPr>
      <w:rFonts w:ascii="Arial" w:eastAsia="Times New Roman" w:hAnsi="Arial" w:cs="Times New Roman"/>
      <w:sz w:val="20"/>
      <w:szCs w:val="20"/>
      <w:lang w:eastAsia="en-AU"/>
    </w:rPr>
  </w:style>
  <w:style w:type="paragraph" w:styleId="BodyTextIndent">
    <w:name w:val="Body Text Indent"/>
    <w:basedOn w:val="Normal"/>
    <w:link w:val="BodyTextIndentChar"/>
    <w:semiHidden/>
    <w:rsid w:val="00BB4B04"/>
    <w:pPr>
      <w:spacing w:before="240" w:line="280" w:lineRule="atLeast"/>
      <w:ind w:left="283"/>
    </w:pPr>
    <w:rPr>
      <w:rFonts w:ascii="Arial" w:eastAsia="Times New Roman" w:hAnsi="Arial" w:cs="Times New Roman"/>
      <w:lang w:eastAsia="en-AU"/>
    </w:rPr>
  </w:style>
  <w:style w:type="character" w:customStyle="1" w:styleId="BodyTextIndentChar">
    <w:name w:val="Body Text Indent Char"/>
    <w:basedOn w:val="DefaultParagraphFont"/>
    <w:link w:val="BodyTextIndent"/>
    <w:semiHidden/>
    <w:rsid w:val="00BB4B04"/>
    <w:rPr>
      <w:rFonts w:ascii="Arial" w:eastAsia="Times New Roman" w:hAnsi="Arial" w:cs="Times New Roman"/>
      <w:sz w:val="20"/>
      <w:szCs w:val="20"/>
      <w:lang w:eastAsia="en-AU"/>
    </w:rPr>
  </w:style>
  <w:style w:type="paragraph" w:styleId="BodyTextFirstIndent2">
    <w:name w:val="Body Text First Indent 2"/>
    <w:basedOn w:val="BodyTextIndent"/>
    <w:link w:val="BodyTextFirstIndent2Char"/>
    <w:semiHidden/>
    <w:rsid w:val="00BB4B04"/>
    <w:pPr>
      <w:ind w:firstLine="210"/>
    </w:pPr>
  </w:style>
  <w:style w:type="character" w:customStyle="1" w:styleId="BodyTextFirstIndent2Char">
    <w:name w:val="Body Text First Indent 2 Char"/>
    <w:basedOn w:val="BodyTextIndentChar"/>
    <w:link w:val="BodyTextFirstIndent2"/>
    <w:semiHidden/>
    <w:rsid w:val="00BB4B04"/>
    <w:rPr>
      <w:rFonts w:ascii="Arial" w:eastAsia="Times New Roman" w:hAnsi="Arial" w:cs="Times New Roman"/>
      <w:sz w:val="20"/>
      <w:szCs w:val="20"/>
      <w:lang w:eastAsia="en-AU"/>
    </w:rPr>
  </w:style>
  <w:style w:type="paragraph" w:styleId="BodyTextIndent2">
    <w:name w:val="Body Text Indent 2"/>
    <w:basedOn w:val="Normal"/>
    <w:link w:val="BodyTextIndent2Char"/>
    <w:semiHidden/>
    <w:rsid w:val="00BB4B04"/>
    <w:pPr>
      <w:spacing w:before="240" w:line="480" w:lineRule="auto"/>
      <w:ind w:left="283"/>
    </w:pPr>
    <w:rPr>
      <w:rFonts w:ascii="Arial" w:eastAsia="Times New Roman" w:hAnsi="Arial" w:cs="Times New Roman"/>
      <w:lang w:eastAsia="en-AU"/>
    </w:rPr>
  </w:style>
  <w:style w:type="character" w:customStyle="1" w:styleId="BodyTextIndent2Char">
    <w:name w:val="Body Text Indent 2 Char"/>
    <w:basedOn w:val="DefaultParagraphFont"/>
    <w:link w:val="BodyTextIndent2"/>
    <w:semiHidden/>
    <w:rsid w:val="00BB4B04"/>
    <w:rPr>
      <w:rFonts w:ascii="Arial" w:eastAsia="Times New Roman" w:hAnsi="Arial" w:cs="Times New Roman"/>
      <w:sz w:val="20"/>
      <w:szCs w:val="20"/>
      <w:lang w:eastAsia="en-AU"/>
    </w:rPr>
  </w:style>
  <w:style w:type="paragraph" w:styleId="BodyTextIndent3">
    <w:name w:val="Body Text Indent 3"/>
    <w:basedOn w:val="Normal"/>
    <w:link w:val="BodyTextIndent3Char"/>
    <w:semiHidden/>
    <w:rsid w:val="00BB4B04"/>
    <w:pPr>
      <w:spacing w:before="240" w:line="280" w:lineRule="atLeast"/>
      <w:ind w:left="283"/>
    </w:pPr>
    <w:rPr>
      <w:rFonts w:ascii="Arial" w:eastAsia="Times New Roman" w:hAnsi="Arial" w:cs="Times New Roman"/>
      <w:sz w:val="16"/>
      <w:szCs w:val="16"/>
      <w:lang w:eastAsia="en-AU"/>
    </w:rPr>
  </w:style>
  <w:style w:type="character" w:customStyle="1" w:styleId="BodyTextIndent3Char">
    <w:name w:val="Body Text Indent 3 Char"/>
    <w:basedOn w:val="DefaultParagraphFont"/>
    <w:link w:val="BodyTextIndent3"/>
    <w:semiHidden/>
    <w:rsid w:val="00BB4B04"/>
    <w:rPr>
      <w:rFonts w:ascii="Arial" w:eastAsia="Times New Roman" w:hAnsi="Arial" w:cs="Times New Roman"/>
      <w:sz w:val="16"/>
      <w:szCs w:val="16"/>
      <w:lang w:eastAsia="en-AU"/>
    </w:rPr>
  </w:style>
  <w:style w:type="paragraph" w:styleId="Caption">
    <w:name w:val="caption"/>
    <w:basedOn w:val="Normal"/>
    <w:next w:val="Normal"/>
    <w:link w:val="CaptionChar"/>
    <w:qFormat/>
    <w:rsid w:val="00BB4B04"/>
    <w:pPr>
      <w:keepNext/>
      <w:spacing w:before="320" w:line="240" w:lineRule="auto"/>
      <w:ind w:left="1134" w:hanging="1134"/>
    </w:pPr>
    <w:rPr>
      <w:rFonts w:eastAsia="Times New Roman" w:cs="Arial"/>
      <w:b/>
      <w:bCs/>
      <w:sz w:val="18"/>
      <w:lang w:eastAsia="en-AU"/>
    </w:rPr>
  </w:style>
  <w:style w:type="character" w:customStyle="1" w:styleId="CaptionChar">
    <w:name w:val="Caption Char"/>
    <w:basedOn w:val="DefaultParagraphFont"/>
    <w:link w:val="Caption"/>
    <w:rsid w:val="00274DF6"/>
    <w:rPr>
      <w:rFonts w:eastAsia="Times New Roman" w:cs="Arial"/>
      <w:b/>
      <w:bCs/>
      <w:sz w:val="18"/>
      <w:lang w:eastAsia="en-AU"/>
    </w:rPr>
  </w:style>
  <w:style w:type="paragraph" w:styleId="Closing">
    <w:name w:val="Closing"/>
    <w:basedOn w:val="Normal"/>
    <w:link w:val="ClosingChar"/>
    <w:semiHidden/>
    <w:rsid w:val="00BB4B04"/>
    <w:pPr>
      <w:spacing w:before="240" w:after="0" w:line="280" w:lineRule="atLeast"/>
      <w:ind w:left="4252"/>
    </w:pPr>
    <w:rPr>
      <w:rFonts w:ascii="Arial" w:eastAsia="Times New Roman" w:hAnsi="Arial" w:cs="Times New Roman"/>
      <w:lang w:eastAsia="en-AU"/>
    </w:rPr>
  </w:style>
  <w:style w:type="character" w:customStyle="1" w:styleId="ClosingChar">
    <w:name w:val="Closing Char"/>
    <w:basedOn w:val="DefaultParagraphFont"/>
    <w:link w:val="Closing"/>
    <w:semiHidden/>
    <w:rsid w:val="00BB4B04"/>
    <w:rPr>
      <w:rFonts w:ascii="Arial" w:eastAsia="Times New Roman" w:hAnsi="Arial" w:cs="Times New Roman"/>
      <w:sz w:val="20"/>
      <w:szCs w:val="20"/>
      <w:lang w:eastAsia="en-AU"/>
    </w:rPr>
  </w:style>
  <w:style w:type="paragraph" w:customStyle="1" w:styleId="CVBodyTextBold">
    <w:name w:val="CV Body Text Bold"/>
    <w:basedOn w:val="Normal"/>
    <w:semiHidden/>
    <w:rsid w:val="00BB4B04"/>
    <w:pPr>
      <w:spacing w:before="60" w:line="280" w:lineRule="atLeast"/>
      <w:contextualSpacing/>
    </w:pPr>
    <w:rPr>
      <w:rFonts w:ascii="Arial" w:eastAsia="Times New Roman" w:hAnsi="Arial" w:cs="Times New Roman"/>
      <w:b/>
      <w:color w:val="FFFFFF"/>
      <w:lang w:eastAsia="en-AU"/>
    </w:rPr>
  </w:style>
  <w:style w:type="paragraph" w:styleId="E-mailSignature">
    <w:name w:val="E-mail Signature"/>
    <w:basedOn w:val="Normal"/>
    <w:link w:val="E-mailSignatureChar"/>
    <w:semiHidden/>
    <w:rsid w:val="00BB4B04"/>
    <w:pPr>
      <w:spacing w:before="240" w:after="0" w:line="280" w:lineRule="atLeast"/>
    </w:pPr>
    <w:rPr>
      <w:rFonts w:ascii="Arial" w:eastAsia="Times New Roman" w:hAnsi="Arial" w:cs="Times New Roman"/>
      <w:lang w:eastAsia="en-AU"/>
    </w:rPr>
  </w:style>
  <w:style w:type="character" w:customStyle="1" w:styleId="E-mailSignatureChar">
    <w:name w:val="E-mail Signature Char"/>
    <w:basedOn w:val="DefaultParagraphFont"/>
    <w:link w:val="E-mailSignature"/>
    <w:semiHidden/>
    <w:rsid w:val="00BB4B04"/>
    <w:rPr>
      <w:rFonts w:ascii="Arial" w:eastAsia="Times New Roman" w:hAnsi="Arial" w:cs="Times New Roman"/>
      <w:sz w:val="20"/>
      <w:szCs w:val="20"/>
      <w:lang w:eastAsia="en-AU"/>
    </w:rPr>
  </w:style>
  <w:style w:type="paragraph" w:styleId="EnvelopeAddress">
    <w:name w:val="envelope address"/>
    <w:basedOn w:val="Normal"/>
    <w:semiHidden/>
    <w:rsid w:val="00BB4B04"/>
    <w:pPr>
      <w:framePr w:w="7920" w:h="1980" w:hRule="exact" w:hSpace="180" w:wrap="auto" w:hAnchor="page" w:xAlign="center" w:yAlign="bottom"/>
      <w:spacing w:before="240" w:after="0" w:line="280" w:lineRule="atLeast"/>
      <w:ind w:left="2880"/>
    </w:pPr>
    <w:rPr>
      <w:rFonts w:ascii="Arial" w:eastAsia="Times New Roman" w:hAnsi="Arial" w:cs="Arial"/>
      <w:sz w:val="24"/>
      <w:lang w:eastAsia="en-AU"/>
    </w:rPr>
  </w:style>
  <w:style w:type="paragraph" w:styleId="EnvelopeReturn">
    <w:name w:val="envelope return"/>
    <w:basedOn w:val="Normal"/>
    <w:semiHidden/>
    <w:rsid w:val="00BB4B04"/>
    <w:pPr>
      <w:spacing w:before="240" w:after="0" w:line="280" w:lineRule="atLeast"/>
    </w:pPr>
    <w:rPr>
      <w:rFonts w:ascii="Arial" w:eastAsia="Times New Roman" w:hAnsi="Arial" w:cs="Arial"/>
      <w:lang w:eastAsia="en-AU"/>
    </w:rPr>
  </w:style>
  <w:style w:type="character" w:styleId="FollowedHyperlink">
    <w:name w:val="FollowedHyperlink"/>
    <w:basedOn w:val="DefaultParagraphFont"/>
    <w:semiHidden/>
    <w:rsid w:val="00BB4B04"/>
    <w:rPr>
      <w:color w:val="800080"/>
      <w:u w:val="single"/>
    </w:rPr>
  </w:style>
  <w:style w:type="character" w:styleId="HTMLAcronym">
    <w:name w:val="HTML Acronym"/>
    <w:basedOn w:val="DefaultParagraphFont"/>
    <w:semiHidden/>
    <w:rsid w:val="00BB4B04"/>
  </w:style>
  <w:style w:type="paragraph" w:styleId="HTMLAddress">
    <w:name w:val="HTML Address"/>
    <w:basedOn w:val="Normal"/>
    <w:link w:val="HTMLAddressChar"/>
    <w:semiHidden/>
    <w:rsid w:val="00BB4B04"/>
    <w:pPr>
      <w:spacing w:before="240" w:after="0" w:line="280" w:lineRule="atLeast"/>
    </w:pPr>
    <w:rPr>
      <w:rFonts w:ascii="Arial" w:eastAsia="Times New Roman" w:hAnsi="Arial" w:cs="Times New Roman"/>
      <w:i/>
      <w:iCs/>
      <w:lang w:eastAsia="en-AU"/>
    </w:rPr>
  </w:style>
  <w:style w:type="character" w:customStyle="1" w:styleId="HTMLAddressChar">
    <w:name w:val="HTML Address Char"/>
    <w:basedOn w:val="DefaultParagraphFont"/>
    <w:link w:val="HTMLAddress"/>
    <w:semiHidden/>
    <w:rsid w:val="00BB4B04"/>
    <w:rPr>
      <w:rFonts w:ascii="Arial" w:eastAsia="Times New Roman" w:hAnsi="Arial" w:cs="Times New Roman"/>
      <w:i/>
      <w:iCs/>
      <w:sz w:val="20"/>
      <w:szCs w:val="20"/>
      <w:lang w:eastAsia="en-AU"/>
    </w:rPr>
  </w:style>
  <w:style w:type="character" w:styleId="HTMLCite">
    <w:name w:val="HTML Cite"/>
    <w:basedOn w:val="DefaultParagraphFont"/>
    <w:semiHidden/>
    <w:rsid w:val="00BB4B04"/>
    <w:rPr>
      <w:i/>
      <w:iCs/>
    </w:rPr>
  </w:style>
  <w:style w:type="character" w:styleId="HTMLCode">
    <w:name w:val="HTML Code"/>
    <w:basedOn w:val="DefaultParagraphFont"/>
    <w:semiHidden/>
    <w:rsid w:val="00BB4B04"/>
    <w:rPr>
      <w:rFonts w:ascii="Courier New" w:hAnsi="Courier New" w:cs="Courier New"/>
      <w:sz w:val="20"/>
      <w:szCs w:val="20"/>
    </w:rPr>
  </w:style>
  <w:style w:type="character" w:styleId="HTMLDefinition">
    <w:name w:val="HTML Definition"/>
    <w:basedOn w:val="DefaultParagraphFont"/>
    <w:semiHidden/>
    <w:rsid w:val="00BB4B04"/>
    <w:rPr>
      <w:i/>
      <w:iCs/>
    </w:rPr>
  </w:style>
  <w:style w:type="character" w:styleId="HTMLKeyboard">
    <w:name w:val="HTML Keyboard"/>
    <w:basedOn w:val="DefaultParagraphFont"/>
    <w:semiHidden/>
    <w:rsid w:val="00BB4B04"/>
    <w:rPr>
      <w:rFonts w:ascii="Courier New" w:hAnsi="Courier New" w:cs="Courier New"/>
      <w:sz w:val="20"/>
      <w:szCs w:val="20"/>
    </w:rPr>
  </w:style>
  <w:style w:type="paragraph" w:styleId="HTMLPreformatted">
    <w:name w:val="HTML Preformatted"/>
    <w:basedOn w:val="Normal"/>
    <w:link w:val="HTMLPreformattedChar"/>
    <w:semiHidden/>
    <w:rsid w:val="00BB4B04"/>
    <w:pPr>
      <w:spacing w:before="240" w:after="0" w:line="280" w:lineRule="atLeast"/>
    </w:pPr>
    <w:rPr>
      <w:rFonts w:ascii="Courier New" w:eastAsia="Times New Roman" w:hAnsi="Courier New" w:cs="Courier New"/>
      <w:lang w:eastAsia="en-AU"/>
    </w:rPr>
  </w:style>
  <w:style w:type="character" w:customStyle="1" w:styleId="HTMLPreformattedChar">
    <w:name w:val="HTML Preformatted Char"/>
    <w:basedOn w:val="DefaultParagraphFont"/>
    <w:link w:val="HTMLPreformatted"/>
    <w:semiHidden/>
    <w:rsid w:val="00BB4B04"/>
    <w:rPr>
      <w:rFonts w:ascii="Courier New" w:eastAsia="Times New Roman" w:hAnsi="Courier New" w:cs="Courier New"/>
      <w:sz w:val="20"/>
      <w:szCs w:val="20"/>
      <w:lang w:eastAsia="en-AU"/>
    </w:rPr>
  </w:style>
  <w:style w:type="character" w:styleId="HTMLSample">
    <w:name w:val="HTML Sample"/>
    <w:basedOn w:val="DefaultParagraphFont"/>
    <w:semiHidden/>
    <w:rsid w:val="00BB4B04"/>
    <w:rPr>
      <w:rFonts w:ascii="Courier New" w:hAnsi="Courier New" w:cs="Courier New"/>
    </w:rPr>
  </w:style>
  <w:style w:type="character" w:styleId="HTMLTypewriter">
    <w:name w:val="HTML Typewriter"/>
    <w:basedOn w:val="DefaultParagraphFont"/>
    <w:semiHidden/>
    <w:rsid w:val="00BB4B04"/>
    <w:rPr>
      <w:rFonts w:ascii="Courier New" w:hAnsi="Courier New" w:cs="Courier New"/>
      <w:sz w:val="20"/>
      <w:szCs w:val="20"/>
    </w:rPr>
  </w:style>
  <w:style w:type="character" w:styleId="HTMLVariable">
    <w:name w:val="HTML Variable"/>
    <w:basedOn w:val="DefaultParagraphFont"/>
    <w:semiHidden/>
    <w:rsid w:val="00BB4B04"/>
    <w:rPr>
      <w:i/>
      <w:iCs/>
    </w:rPr>
  </w:style>
  <w:style w:type="table" w:styleId="LightList-Accent1">
    <w:name w:val="Light List Accent 1"/>
    <w:basedOn w:val="TableNormal"/>
    <w:uiPriority w:val="61"/>
    <w:rsid w:val="00BB4B04"/>
    <w:pPr>
      <w:spacing w:after="0" w:line="240" w:lineRule="auto"/>
    </w:pPr>
    <w:rPr>
      <w:rFonts w:ascii="Times" w:eastAsia="Times New Roman" w:hAnsi="Times" w:cs="Times New Roman"/>
      <w:lang w:eastAsia="en-AU"/>
    </w:rPr>
    <w:tblPr>
      <w:tblStyleRowBandSize w:val="1"/>
      <w:tblStyleColBandSize w:val="1"/>
      <w:tblInd w:w="0" w:type="dxa"/>
      <w:tblBorders>
        <w:top w:val="single" w:sz="8" w:space="0" w:color="004C54" w:themeColor="accent1"/>
        <w:left w:val="single" w:sz="8" w:space="0" w:color="004C54" w:themeColor="accent1"/>
        <w:bottom w:val="single" w:sz="8" w:space="0" w:color="004C54" w:themeColor="accent1"/>
        <w:right w:val="single" w:sz="8" w:space="0" w:color="004C54"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4C54" w:themeFill="accent1"/>
      </w:tcPr>
    </w:tblStylePr>
    <w:tblStylePr w:type="lastRow">
      <w:pPr>
        <w:spacing w:before="0" w:after="0" w:line="240" w:lineRule="auto"/>
      </w:pPr>
      <w:rPr>
        <w:b/>
        <w:bCs/>
      </w:rPr>
      <w:tblPr/>
      <w:tcPr>
        <w:tcBorders>
          <w:top w:val="double" w:sz="6" w:space="0" w:color="004C54" w:themeColor="accent1"/>
          <w:left w:val="single" w:sz="8" w:space="0" w:color="004C54" w:themeColor="accent1"/>
          <w:bottom w:val="single" w:sz="8" w:space="0" w:color="004C54" w:themeColor="accent1"/>
          <w:right w:val="single" w:sz="8" w:space="0" w:color="004C54" w:themeColor="accent1"/>
        </w:tcBorders>
      </w:tcPr>
    </w:tblStylePr>
    <w:tblStylePr w:type="firstCol">
      <w:rPr>
        <w:b/>
        <w:bCs/>
      </w:rPr>
    </w:tblStylePr>
    <w:tblStylePr w:type="lastCol">
      <w:rPr>
        <w:b/>
        <w:bCs/>
      </w:rPr>
    </w:tblStylePr>
    <w:tblStylePr w:type="band1Vert">
      <w:tblPr/>
      <w:tcPr>
        <w:tcBorders>
          <w:top w:val="single" w:sz="8" w:space="0" w:color="004C54" w:themeColor="accent1"/>
          <w:left w:val="single" w:sz="8" w:space="0" w:color="004C54" w:themeColor="accent1"/>
          <w:bottom w:val="single" w:sz="8" w:space="0" w:color="004C54" w:themeColor="accent1"/>
          <w:right w:val="single" w:sz="8" w:space="0" w:color="004C54" w:themeColor="accent1"/>
        </w:tcBorders>
      </w:tcPr>
    </w:tblStylePr>
    <w:tblStylePr w:type="band1Horz">
      <w:tblPr/>
      <w:tcPr>
        <w:tcBorders>
          <w:top w:val="single" w:sz="8" w:space="0" w:color="004C54" w:themeColor="accent1"/>
          <w:left w:val="single" w:sz="8" w:space="0" w:color="004C54" w:themeColor="accent1"/>
          <w:bottom w:val="single" w:sz="8" w:space="0" w:color="004C54" w:themeColor="accent1"/>
          <w:right w:val="single" w:sz="8" w:space="0" w:color="004C54" w:themeColor="accent1"/>
        </w:tcBorders>
      </w:tcPr>
    </w:tblStylePr>
  </w:style>
  <w:style w:type="character" w:styleId="LineNumber">
    <w:name w:val="line number"/>
    <w:basedOn w:val="DefaultParagraphFont"/>
    <w:semiHidden/>
    <w:rsid w:val="00BB4B04"/>
  </w:style>
  <w:style w:type="paragraph" w:styleId="List2">
    <w:name w:val="List 2"/>
    <w:basedOn w:val="Normal"/>
    <w:semiHidden/>
    <w:rsid w:val="00BB4B04"/>
    <w:pPr>
      <w:spacing w:before="240" w:after="0" w:line="280" w:lineRule="atLeast"/>
      <w:ind w:left="566" w:hanging="283"/>
    </w:pPr>
    <w:rPr>
      <w:rFonts w:ascii="Arial" w:eastAsia="Times New Roman" w:hAnsi="Arial" w:cs="Times New Roman"/>
      <w:lang w:eastAsia="en-AU"/>
    </w:rPr>
  </w:style>
  <w:style w:type="paragraph" w:styleId="List3">
    <w:name w:val="List 3"/>
    <w:basedOn w:val="Normal"/>
    <w:semiHidden/>
    <w:rsid w:val="00BB4B04"/>
    <w:pPr>
      <w:spacing w:before="240" w:after="0" w:line="280" w:lineRule="atLeast"/>
      <w:ind w:left="849" w:hanging="283"/>
    </w:pPr>
    <w:rPr>
      <w:rFonts w:ascii="Arial" w:eastAsia="Times New Roman" w:hAnsi="Arial" w:cs="Times New Roman"/>
      <w:lang w:eastAsia="en-AU"/>
    </w:rPr>
  </w:style>
  <w:style w:type="paragraph" w:styleId="List4">
    <w:name w:val="List 4"/>
    <w:basedOn w:val="Normal"/>
    <w:semiHidden/>
    <w:rsid w:val="00BB4B04"/>
    <w:pPr>
      <w:spacing w:before="240" w:after="0" w:line="280" w:lineRule="atLeast"/>
      <w:ind w:left="1132" w:hanging="283"/>
    </w:pPr>
    <w:rPr>
      <w:rFonts w:ascii="Arial" w:eastAsia="Times New Roman" w:hAnsi="Arial" w:cs="Times New Roman"/>
      <w:lang w:eastAsia="en-AU"/>
    </w:rPr>
  </w:style>
  <w:style w:type="paragraph" w:styleId="List5">
    <w:name w:val="List 5"/>
    <w:basedOn w:val="Normal"/>
    <w:semiHidden/>
    <w:rsid w:val="00BB4B04"/>
    <w:pPr>
      <w:spacing w:before="240" w:after="0" w:line="280" w:lineRule="atLeast"/>
      <w:ind w:left="1415" w:hanging="283"/>
    </w:pPr>
    <w:rPr>
      <w:rFonts w:ascii="Arial" w:eastAsia="Times New Roman" w:hAnsi="Arial" w:cs="Times New Roman"/>
      <w:lang w:eastAsia="en-AU"/>
    </w:rPr>
  </w:style>
  <w:style w:type="paragraph" w:styleId="ListBullet3">
    <w:name w:val="List Bullet 3"/>
    <w:basedOn w:val="Normal"/>
    <w:semiHidden/>
    <w:rsid w:val="00BB4B04"/>
    <w:pPr>
      <w:numPr>
        <w:numId w:val="8"/>
      </w:numPr>
      <w:spacing w:before="240" w:after="0" w:line="280" w:lineRule="atLeast"/>
    </w:pPr>
    <w:rPr>
      <w:rFonts w:ascii="Arial" w:eastAsia="Times New Roman" w:hAnsi="Arial" w:cs="Times New Roman"/>
      <w:lang w:eastAsia="en-AU"/>
    </w:rPr>
  </w:style>
  <w:style w:type="paragraph" w:styleId="ListBullet4">
    <w:name w:val="List Bullet 4"/>
    <w:basedOn w:val="Normal"/>
    <w:semiHidden/>
    <w:rsid w:val="00BB4B04"/>
    <w:pPr>
      <w:numPr>
        <w:numId w:val="9"/>
      </w:numPr>
      <w:spacing w:before="240" w:after="0" w:line="280" w:lineRule="atLeast"/>
    </w:pPr>
    <w:rPr>
      <w:rFonts w:ascii="Arial" w:eastAsia="Times New Roman" w:hAnsi="Arial" w:cs="Times New Roman"/>
      <w:lang w:eastAsia="en-AU"/>
    </w:rPr>
  </w:style>
  <w:style w:type="paragraph" w:styleId="ListBullet5">
    <w:name w:val="List Bullet 5"/>
    <w:basedOn w:val="Normal"/>
    <w:semiHidden/>
    <w:rsid w:val="00BB4B04"/>
    <w:pPr>
      <w:numPr>
        <w:numId w:val="10"/>
      </w:numPr>
      <w:spacing w:before="240" w:after="0" w:line="280" w:lineRule="atLeast"/>
    </w:pPr>
    <w:rPr>
      <w:rFonts w:ascii="Arial" w:eastAsia="Times New Roman" w:hAnsi="Arial" w:cs="Times New Roman"/>
      <w:lang w:eastAsia="en-AU"/>
    </w:rPr>
  </w:style>
  <w:style w:type="paragraph" w:styleId="ListContinue">
    <w:name w:val="List Continue"/>
    <w:basedOn w:val="Normal"/>
    <w:semiHidden/>
    <w:rsid w:val="00BB4B04"/>
    <w:pPr>
      <w:spacing w:before="240" w:line="280" w:lineRule="atLeast"/>
      <w:ind w:left="283"/>
    </w:pPr>
    <w:rPr>
      <w:rFonts w:ascii="Arial" w:eastAsia="Times New Roman" w:hAnsi="Arial" w:cs="Times New Roman"/>
      <w:lang w:eastAsia="en-AU"/>
    </w:rPr>
  </w:style>
  <w:style w:type="paragraph" w:styleId="ListContinue2">
    <w:name w:val="List Continue 2"/>
    <w:basedOn w:val="Normal"/>
    <w:semiHidden/>
    <w:rsid w:val="00BB4B04"/>
    <w:pPr>
      <w:spacing w:before="240" w:line="280" w:lineRule="atLeast"/>
      <w:ind w:left="566"/>
    </w:pPr>
    <w:rPr>
      <w:rFonts w:ascii="Arial" w:eastAsia="Times New Roman" w:hAnsi="Arial" w:cs="Times New Roman"/>
      <w:lang w:eastAsia="en-AU"/>
    </w:rPr>
  </w:style>
  <w:style w:type="paragraph" w:styleId="ListContinue3">
    <w:name w:val="List Continue 3"/>
    <w:basedOn w:val="Normal"/>
    <w:semiHidden/>
    <w:rsid w:val="00BB4B04"/>
    <w:pPr>
      <w:spacing w:before="240" w:line="280" w:lineRule="atLeast"/>
      <w:ind w:left="849"/>
    </w:pPr>
    <w:rPr>
      <w:rFonts w:ascii="Arial" w:eastAsia="Times New Roman" w:hAnsi="Arial" w:cs="Times New Roman"/>
      <w:lang w:eastAsia="en-AU"/>
    </w:rPr>
  </w:style>
  <w:style w:type="paragraph" w:styleId="ListContinue4">
    <w:name w:val="List Continue 4"/>
    <w:basedOn w:val="Normal"/>
    <w:semiHidden/>
    <w:rsid w:val="00BB4B04"/>
    <w:pPr>
      <w:spacing w:before="240" w:line="280" w:lineRule="atLeast"/>
      <w:ind w:left="1132"/>
    </w:pPr>
    <w:rPr>
      <w:rFonts w:ascii="Arial" w:eastAsia="Times New Roman" w:hAnsi="Arial" w:cs="Times New Roman"/>
      <w:lang w:eastAsia="en-AU"/>
    </w:rPr>
  </w:style>
  <w:style w:type="paragraph" w:styleId="ListContinue5">
    <w:name w:val="List Continue 5"/>
    <w:basedOn w:val="Normal"/>
    <w:semiHidden/>
    <w:rsid w:val="00BB4B04"/>
    <w:pPr>
      <w:spacing w:before="240" w:line="280" w:lineRule="atLeast"/>
      <w:ind w:left="1415"/>
    </w:pPr>
    <w:rPr>
      <w:rFonts w:ascii="Arial" w:eastAsia="Times New Roman" w:hAnsi="Arial" w:cs="Times New Roman"/>
      <w:lang w:eastAsia="en-AU"/>
    </w:rPr>
  </w:style>
  <w:style w:type="paragraph" w:styleId="ListNumber2">
    <w:name w:val="List Number 2"/>
    <w:basedOn w:val="Normal"/>
    <w:semiHidden/>
    <w:rsid w:val="00BB4B04"/>
    <w:pPr>
      <w:numPr>
        <w:numId w:val="12"/>
      </w:numPr>
      <w:spacing w:before="240" w:after="0" w:line="280" w:lineRule="atLeast"/>
    </w:pPr>
    <w:rPr>
      <w:rFonts w:ascii="Arial" w:eastAsia="Times New Roman" w:hAnsi="Arial" w:cs="Times New Roman"/>
      <w:lang w:eastAsia="en-AU"/>
    </w:rPr>
  </w:style>
  <w:style w:type="paragraph" w:styleId="ListNumber3">
    <w:name w:val="List Number 3"/>
    <w:basedOn w:val="Normal"/>
    <w:semiHidden/>
    <w:rsid w:val="00BB4B04"/>
    <w:pPr>
      <w:numPr>
        <w:numId w:val="13"/>
      </w:numPr>
      <w:spacing w:before="240" w:after="0" w:line="280" w:lineRule="atLeast"/>
    </w:pPr>
    <w:rPr>
      <w:rFonts w:ascii="Arial" w:eastAsia="Times New Roman" w:hAnsi="Arial" w:cs="Times New Roman"/>
      <w:lang w:eastAsia="en-AU"/>
    </w:rPr>
  </w:style>
  <w:style w:type="paragraph" w:styleId="ListNumber4">
    <w:name w:val="List Number 4"/>
    <w:basedOn w:val="Normal"/>
    <w:semiHidden/>
    <w:rsid w:val="00BB4B04"/>
    <w:pPr>
      <w:numPr>
        <w:numId w:val="14"/>
      </w:numPr>
      <w:spacing w:before="240" w:after="0" w:line="280" w:lineRule="atLeast"/>
    </w:pPr>
    <w:rPr>
      <w:rFonts w:ascii="Arial" w:eastAsia="Times New Roman" w:hAnsi="Arial" w:cs="Times New Roman"/>
      <w:lang w:eastAsia="en-AU"/>
    </w:rPr>
  </w:style>
  <w:style w:type="paragraph" w:styleId="ListNumber5">
    <w:name w:val="List Number 5"/>
    <w:basedOn w:val="Normal"/>
    <w:semiHidden/>
    <w:rsid w:val="00BB4B04"/>
    <w:pPr>
      <w:numPr>
        <w:numId w:val="15"/>
      </w:numPr>
      <w:spacing w:before="240" w:after="0" w:line="280" w:lineRule="atLeast"/>
    </w:pPr>
    <w:rPr>
      <w:rFonts w:ascii="Arial" w:eastAsia="Times New Roman" w:hAnsi="Arial" w:cs="Times New Roman"/>
      <w:lang w:eastAsia="en-AU"/>
    </w:rPr>
  </w:style>
  <w:style w:type="paragraph" w:customStyle="1" w:styleId="ListofLittleLetterandLittleRoman">
    <w:name w:val="List of LittleLetter and LittleRoman"/>
    <w:basedOn w:val="Normal"/>
    <w:semiHidden/>
    <w:rsid w:val="00BB4B04"/>
    <w:pPr>
      <w:numPr>
        <w:numId w:val="16"/>
      </w:numPr>
      <w:tabs>
        <w:tab w:val="left" w:pos="851"/>
        <w:tab w:val="left" w:pos="1985"/>
        <w:tab w:val="left" w:pos="2552"/>
        <w:tab w:val="left" w:pos="3119"/>
        <w:tab w:val="right" w:pos="9027"/>
      </w:tabs>
      <w:spacing w:before="8" w:after="4" w:line="280" w:lineRule="atLeast"/>
    </w:pPr>
    <w:rPr>
      <w:rFonts w:ascii="Verdana" w:eastAsia="Times New Roman" w:hAnsi="Verdana" w:cs="Times New Roman"/>
      <w:sz w:val="18"/>
      <w:szCs w:val="24"/>
    </w:rPr>
  </w:style>
  <w:style w:type="table" w:styleId="MediumShading1">
    <w:name w:val="Medium Shading 1"/>
    <w:basedOn w:val="TableNormal"/>
    <w:uiPriority w:val="63"/>
    <w:rsid w:val="00BB4B04"/>
    <w:pPr>
      <w:spacing w:after="0" w:line="240" w:lineRule="auto"/>
    </w:pPr>
    <w:rPr>
      <w:rFonts w:ascii="Times" w:eastAsia="Times New Roman" w:hAnsi="Times" w:cs="Times New Roman"/>
      <w:lang w:eastAsia="en-AU"/>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MessageHeader">
    <w:name w:val="Message Header"/>
    <w:basedOn w:val="Normal"/>
    <w:link w:val="MessageHeaderChar"/>
    <w:semiHidden/>
    <w:rsid w:val="00BB4B04"/>
    <w:pPr>
      <w:pBdr>
        <w:top w:val="single" w:sz="6" w:space="1" w:color="auto"/>
        <w:left w:val="single" w:sz="6" w:space="1" w:color="auto"/>
        <w:bottom w:val="single" w:sz="6" w:space="1" w:color="auto"/>
        <w:right w:val="single" w:sz="6" w:space="1" w:color="auto"/>
      </w:pBdr>
      <w:shd w:val="pct20" w:color="auto" w:fill="auto"/>
      <w:spacing w:before="240" w:after="0" w:line="280" w:lineRule="atLeast"/>
      <w:ind w:left="1134" w:hanging="1134"/>
    </w:pPr>
    <w:rPr>
      <w:rFonts w:ascii="Arial" w:eastAsia="Times New Roman" w:hAnsi="Arial" w:cs="Arial"/>
      <w:sz w:val="24"/>
      <w:lang w:eastAsia="en-AU"/>
    </w:rPr>
  </w:style>
  <w:style w:type="character" w:customStyle="1" w:styleId="MessageHeaderChar">
    <w:name w:val="Message Header Char"/>
    <w:basedOn w:val="DefaultParagraphFont"/>
    <w:link w:val="MessageHeader"/>
    <w:semiHidden/>
    <w:rsid w:val="00BB4B04"/>
    <w:rPr>
      <w:rFonts w:ascii="Arial" w:eastAsia="Times New Roman" w:hAnsi="Arial" w:cs="Arial"/>
      <w:sz w:val="24"/>
      <w:szCs w:val="20"/>
      <w:shd w:val="pct20" w:color="auto" w:fill="auto"/>
      <w:lang w:eastAsia="en-AU"/>
    </w:rPr>
  </w:style>
  <w:style w:type="paragraph" w:styleId="NoteHeading">
    <w:name w:val="Note Heading"/>
    <w:basedOn w:val="Normal"/>
    <w:next w:val="Normal"/>
    <w:link w:val="NoteHeadingChar"/>
    <w:semiHidden/>
    <w:rsid w:val="00BB4B04"/>
    <w:pPr>
      <w:spacing w:before="240" w:after="0" w:line="280" w:lineRule="atLeast"/>
    </w:pPr>
    <w:rPr>
      <w:rFonts w:ascii="Arial" w:eastAsia="Times New Roman" w:hAnsi="Arial" w:cs="Times New Roman"/>
      <w:lang w:eastAsia="en-AU"/>
    </w:rPr>
  </w:style>
  <w:style w:type="character" w:customStyle="1" w:styleId="NoteHeadingChar">
    <w:name w:val="Note Heading Char"/>
    <w:basedOn w:val="DefaultParagraphFont"/>
    <w:link w:val="NoteHeading"/>
    <w:semiHidden/>
    <w:rsid w:val="00BB4B04"/>
    <w:rPr>
      <w:rFonts w:ascii="Arial" w:eastAsia="Times New Roman" w:hAnsi="Arial" w:cs="Times New Roman"/>
      <w:sz w:val="20"/>
      <w:szCs w:val="20"/>
      <w:lang w:eastAsia="en-AU"/>
    </w:rPr>
  </w:style>
  <w:style w:type="paragraph" w:customStyle="1" w:styleId="FrontPageDate">
    <w:name w:val="Front Page Date"/>
    <w:basedOn w:val="Normal"/>
    <w:uiPriority w:val="8"/>
    <w:qFormat/>
    <w:rsid w:val="002769AE"/>
    <w:pPr>
      <w:spacing w:after="120"/>
      <w:ind w:left="284"/>
    </w:pPr>
    <w:rPr>
      <w:rFonts w:ascii="Arial Bold" w:hAnsi="Arial Bold"/>
      <w:b/>
      <w:color w:val="FFFFFF"/>
      <w:sz w:val="28"/>
      <w:szCs w:val="22"/>
    </w:rPr>
  </w:style>
  <w:style w:type="character" w:styleId="PlaceholderText">
    <w:name w:val="Placeholder Text"/>
    <w:basedOn w:val="DefaultParagraphFont"/>
    <w:uiPriority w:val="99"/>
    <w:semiHidden/>
    <w:rsid w:val="00BB4B04"/>
    <w:rPr>
      <w:color w:val="808080"/>
    </w:rPr>
  </w:style>
  <w:style w:type="paragraph" w:styleId="PlainText">
    <w:name w:val="Plain Text"/>
    <w:basedOn w:val="Normal"/>
    <w:link w:val="PlainTextChar"/>
    <w:semiHidden/>
    <w:rsid w:val="00BB4B04"/>
    <w:pPr>
      <w:spacing w:before="240" w:after="0" w:line="280" w:lineRule="atLeast"/>
    </w:pPr>
    <w:rPr>
      <w:rFonts w:ascii="Courier New" w:eastAsia="Times New Roman" w:hAnsi="Courier New" w:cs="Courier New"/>
      <w:lang w:eastAsia="en-AU"/>
    </w:rPr>
  </w:style>
  <w:style w:type="character" w:customStyle="1" w:styleId="PlainTextChar">
    <w:name w:val="Plain Text Char"/>
    <w:basedOn w:val="DefaultParagraphFont"/>
    <w:link w:val="PlainText"/>
    <w:semiHidden/>
    <w:rsid w:val="00BB4B04"/>
    <w:rPr>
      <w:rFonts w:ascii="Courier New" w:eastAsia="Times New Roman" w:hAnsi="Courier New" w:cs="Courier New"/>
      <w:sz w:val="20"/>
      <w:szCs w:val="20"/>
      <w:lang w:eastAsia="en-AU"/>
    </w:rPr>
  </w:style>
  <w:style w:type="paragraph" w:styleId="Quote">
    <w:name w:val="Quote"/>
    <w:basedOn w:val="Normal"/>
    <w:link w:val="QuoteChar"/>
    <w:qFormat/>
    <w:rsid w:val="00FE5739"/>
    <w:pPr>
      <w:spacing w:before="240" w:after="120"/>
      <w:ind w:left="851" w:right="851"/>
    </w:pPr>
    <w:rPr>
      <w:rFonts w:eastAsia="Times New Roman" w:cs="Times New Roman"/>
      <w:i/>
      <w:lang w:eastAsia="en-AU"/>
    </w:rPr>
  </w:style>
  <w:style w:type="character" w:customStyle="1" w:styleId="QuoteChar">
    <w:name w:val="Quote Char"/>
    <w:basedOn w:val="DefaultParagraphFont"/>
    <w:link w:val="Quote"/>
    <w:rsid w:val="00FE5739"/>
    <w:rPr>
      <w:rFonts w:eastAsia="Times New Roman" w:cs="Times New Roman"/>
      <w:i/>
      <w:lang w:eastAsia="en-AU"/>
    </w:rPr>
  </w:style>
  <w:style w:type="paragraph" w:styleId="Salutation">
    <w:name w:val="Salutation"/>
    <w:basedOn w:val="Normal"/>
    <w:next w:val="Normal"/>
    <w:link w:val="SalutationChar"/>
    <w:semiHidden/>
    <w:rsid w:val="00BB4B04"/>
    <w:pPr>
      <w:spacing w:before="240" w:after="0" w:line="280" w:lineRule="atLeast"/>
    </w:pPr>
    <w:rPr>
      <w:rFonts w:ascii="Arial" w:eastAsia="Times New Roman" w:hAnsi="Arial" w:cs="Times New Roman"/>
      <w:lang w:eastAsia="en-AU"/>
    </w:rPr>
  </w:style>
  <w:style w:type="character" w:customStyle="1" w:styleId="SalutationChar">
    <w:name w:val="Salutation Char"/>
    <w:basedOn w:val="DefaultParagraphFont"/>
    <w:link w:val="Salutation"/>
    <w:semiHidden/>
    <w:rsid w:val="00BB4B04"/>
    <w:rPr>
      <w:rFonts w:ascii="Arial" w:eastAsia="Times New Roman" w:hAnsi="Arial" w:cs="Times New Roman"/>
      <w:sz w:val="20"/>
      <w:szCs w:val="20"/>
      <w:lang w:eastAsia="en-AU"/>
    </w:rPr>
  </w:style>
  <w:style w:type="paragraph" w:styleId="Signature">
    <w:name w:val="Signature"/>
    <w:basedOn w:val="Normal"/>
    <w:link w:val="SignatureChar"/>
    <w:semiHidden/>
    <w:rsid w:val="00BB4B04"/>
    <w:pPr>
      <w:spacing w:before="240" w:after="0" w:line="280" w:lineRule="atLeast"/>
      <w:ind w:left="4252"/>
    </w:pPr>
    <w:rPr>
      <w:rFonts w:ascii="Arial" w:eastAsia="Times New Roman" w:hAnsi="Arial" w:cs="Times New Roman"/>
      <w:lang w:eastAsia="en-AU"/>
    </w:rPr>
  </w:style>
  <w:style w:type="character" w:customStyle="1" w:styleId="SignatureChar">
    <w:name w:val="Signature Char"/>
    <w:basedOn w:val="DefaultParagraphFont"/>
    <w:link w:val="Signature"/>
    <w:semiHidden/>
    <w:rsid w:val="00BB4B04"/>
    <w:rPr>
      <w:rFonts w:ascii="Arial" w:eastAsia="Times New Roman" w:hAnsi="Arial" w:cs="Times New Roman"/>
      <w:sz w:val="20"/>
      <w:szCs w:val="20"/>
      <w:lang w:eastAsia="en-AU"/>
    </w:rPr>
  </w:style>
  <w:style w:type="table" w:styleId="Table3Deffects1">
    <w:name w:val="Table 3D effects 1"/>
    <w:basedOn w:val="TableNormal"/>
    <w:semiHidden/>
    <w:rsid w:val="00BB4B04"/>
    <w:pPr>
      <w:spacing w:after="0" w:line="240" w:lineRule="auto"/>
    </w:pPr>
    <w:rPr>
      <w:rFonts w:ascii="Times" w:eastAsia="Times New Roman" w:hAnsi="Times" w:cs="Times New Roman"/>
      <w:lang w:eastAsia="en-A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B4B04"/>
    <w:pPr>
      <w:spacing w:after="0" w:line="240" w:lineRule="auto"/>
    </w:pPr>
    <w:rPr>
      <w:rFonts w:ascii="Times" w:eastAsia="Times New Roman" w:hAnsi="Times" w:cs="Times New Roman"/>
      <w:lang w:eastAsia="en-A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B4B04"/>
    <w:pPr>
      <w:spacing w:after="0" w:line="240" w:lineRule="auto"/>
    </w:pPr>
    <w:rPr>
      <w:rFonts w:ascii="Times" w:eastAsia="Times New Roman" w:hAnsi="Times" w:cs="Times New Roman"/>
      <w:lang w:eastAsia="en-A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Bullet">
    <w:name w:val="Table Bullet"/>
    <w:basedOn w:val="TableText"/>
    <w:qFormat/>
    <w:rsid w:val="003C095B"/>
    <w:pPr>
      <w:numPr>
        <w:numId w:val="17"/>
      </w:numPr>
      <w:ind w:left="284" w:hanging="284"/>
    </w:pPr>
  </w:style>
  <w:style w:type="table" w:styleId="TableClassic1">
    <w:name w:val="Table Classic 1"/>
    <w:basedOn w:val="TableNormal"/>
    <w:semiHidden/>
    <w:rsid w:val="00BB4B04"/>
    <w:pPr>
      <w:spacing w:after="0" w:line="240" w:lineRule="auto"/>
    </w:pPr>
    <w:rPr>
      <w:rFonts w:ascii="Times" w:eastAsia="Times New Roman" w:hAnsi="Times" w:cs="Times New Roman"/>
      <w:lang w:eastAsia="en-A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B4B04"/>
    <w:pPr>
      <w:spacing w:after="0" w:line="240" w:lineRule="auto"/>
    </w:pPr>
    <w:rPr>
      <w:rFonts w:ascii="Times" w:eastAsia="Times New Roman" w:hAnsi="Times" w:cs="Times New Roman"/>
      <w:lang w:eastAsia="en-A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B4B04"/>
    <w:pPr>
      <w:spacing w:after="0" w:line="240" w:lineRule="auto"/>
    </w:pPr>
    <w:rPr>
      <w:rFonts w:ascii="Times" w:eastAsia="Times New Roman" w:hAnsi="Times" w:cs="Times New Roman"/>
      <w:color w:val="000080"/>
      <w:lang w:eastAsia="en-A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B4B04"/>
    <w:pPr>
      <w:spacing w:after="0" w:line="240" w:lineRule="auto"/>
    </w:pPr>
    <w:rPr>
      <w:rFonts w:ascii="Times" w:eastAsia="Times New Roman" w:hAnsi="Times" w:cs="Times New Roman"/>
      <w:lang w:eastAsia="en-A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B4B04"/>
    <w:pPr>
      <w:spacing w:after="0" w:line="240" w:lineRule="auto"/>
    </w:pPr>
    <w:rPr>
      <w:rFonts w:ascii="Times" w:eastAsia="Times New Roman" w:hAnsi="Times" w:cs="Times New Roman"/>
      <w:color w:val="FFFFFF"/>
      <w:lang w:eastAsia="en-A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B4B04"/>
    <w:pPr>
      <w:spacing w:after="0" w:line="240" w:lineRule="auto"/>
    </w:pPr>
    <w:rPr>
      <w:rFonts w:ascii="Times" w:eastAsia="Times New Roman" w:hAnsi="Times" w:cs="Times New Roman"/>
      <w:lang w:eastAsia="en-A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B4B04"/>
    <w:pPr>
      <w:spacing w:after="0" w:line="240" w:lineRule="auto"/>
    </w:pPr>
    <w:rPr>
      <w:rFonts w:ascii="Times" w:eastAsia="Times New Roman" w:hAnsi="Times" w:cs="Times New Roman"/>
      <w:lang w:eastAsia="en-A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B4B04"/>
    <w:pPr>
      <w:spacing w:after="0" w:line="240" w:lineRule="auto"/>
    </w:pPr>
    <w:rPr>
      <w:rFonts w:ascii="Times" w:eastAsia="Times New Roman" w:hAnsi="Times" w:cs="Times New Roman"/>
      <w:b/>
      <w:bCs/>
      <w:lang w:eastAsia="en-A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B4B04"/>
    <w:pPr>
      <w:spacing w:after="0" w:line="240" w:lineRule="auto"/>
    </w:pPr>
    <w:rPr>
      <w:rFonts w:ascii="Times" w:eastAsia="Times New Roman" w:hAnsi="Times" w:cs="Times New Roman"/>
      <w:b/>
      <w:bCs/>
      <w:lang w:eastAsia="en-A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B4B04"/>
    <w:pPr>
      <w:spacing w:after="0" w:line="240" w:lineRule="auto"/>
    </w:pPr>
    <w:rPr>
      <w:rFonts w:ascii="Times" w:eastAsia="Times New Roman" w:hAnsi="Times" w:cs="Times New Roman"/>
      <w:b/>
      <w:bCs/>
      <w:lang w:eastAsia="en-A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B4B04"/>
    <w:pPr>
      <w:spacing w:after="0" w:line="240" w:lineRule="auto"/>
    </w:pPr>
    <w:rPr>
      <w:rFonts w:ascii="Times" w:eastAsia="Times New Roman" w:hAnsi="Times" w:cs="Times New Roman"/>
      <w:lang w:eastAsia="en-A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B4B04"/>
    <w:pPr>
      <w:spacing w:after="0" w:line="240" w:lineRule="auto"/>
    </w:pPr>
    <w:rPr>
      <w:rFonts w:ascii="Times" w:eastAsia="Times New Roman" w:hAnsi="Times" w:cs="Times New Roman"/>
      <w:lang w:eastAsia="en-A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BB4B04"/>
    <w:pPr>
      <w:spacing w:after="0" w:line="240" w:lineRule="auto"/>
    </w:pPr>
    <w:rPr>
      <w:rFonts w:ascii="Times" w:eastAsia="Times New Roman" w:hAnsi="Times" w:cs="Times New Roman"/>
      <w:lang w:eastAsia="en-A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B4B04"/>
    <w:pPr>
      <w:spacing w:after="0" w:line="240" w:lineRule="auto"/>
    </w:pPr>
    <w:rPr>
      <w:rFonts w:ascii="Times" w:eastAsia="Times New Roman" w:hAnsi="Times" w:cs="Times New Roman"/>
      <w:lang w:eastAsia="en-A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BB4B04"/>
    <w:pPr>
      <w:spacing w:after="0" w:line="240" w:lineRule="auto"/>
    </w:pPr>
    <w:rPr>
      <w:rFonts w:ascii="Times" w:eastAsia="Times New Roman" w:hAnsi="Times" w:cs="Times New Roman"/>
      <w:lang w:eastAsia="en-A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B4B04"/>
    <w:pPr>
      <w:spacing w:after="0" w:line="240" w:lineRule="auto"/>
    </w:pPr>
    <w:rPr>
      <w:rFonts w:ascii="Times" w:eastAsia="Times New Roman" w:hAnsi="Times" w:cs="Times New Roman"/>
      <w:lang w:eastAsia="en-A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B4B04"/>
    <w:pPr>
      <w:spacing w:after="0" w:line="240" w:lineRule="auto"/>
    </w:pPr>
    <w:rPr>
      <w:rFonts w:ascii="Times" w:eastAsia="Times New Roman" w:hAnsi="Times" w:cs="Times New Roman"/>
      <w:lang w:eastAsia="en-A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B4B04"/>
    <w:pPr>
      <w:spacing w:after="0" w:line="240" w:lineRule="auto"/>
    </w:pPr>
    <w:rPr>
      <w:rFonts w:ascii="Times" w:eastAsia="Times New Roman" w:hAnsi="Times" w:cs="Times New Roman"/>
      <w:lang w:eastAsia="en-A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B4B04"/>
    <w:pPr>
      <w:spacing w:after="0" w:line="240" w:lineRule="auto"/>
    </w:pPr>
    <w:rPr>
      <w:rFonts w:ascii="Times" w:eastAsia="Times New Roman" w:hAnsi="Times" w:cs="Times New Roman"/>
      <w:lang w:eastAsia="en-A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B4B04"/>
    <w:pPr>
      <w:spacing w:after="0" w:line="240" w:lineRule="auto"/>
    </w:pPr>
    <w:rPr>
      <w:rFonts w:ascii="Times" w:eastAsia="Times New Roman" w:hAnsi="Times" w:cs="Times New Roman"/>
      <w:lang w:eastAsia="en-A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B4B04"/>
    <w:pPr>
      <w:spacing w:after="0" w:line="240" w:lineRule="auto"/>
    </w:pPr>
    <w:rPr>
      <w:rFonts w:ascii="Times" w:eastAsia="Times New Roman" w:hAnsi="Times" w:cs="Times New Roman"/>
      <w:b/>
      <w:bCs/>
      <w:lang w:eastAsia="en-A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B4B04"/>
    <w:pPr>
      <w:spacing w:after="0" w:line="240" w:lineRule="auto"/>
    </w:pPr>
    <w:rPr>
      <w:rFonts w:ascii="Times" w:eastAsia="Times New Roman" w:hAnsi="Times" w:cs="Times New Roman"/>
      <w:lang w:eastAsia="en-A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2">
    <w:name w:val="Table List 2"/>
    <w:basedOn w:val="TableNormal"/>
    <w:semiHidden/>
    <w:rsid w:val="00BB4B04"/>
    <w:pPr>
      <w:spacing w:after="0" w:line="240" w:lineRule="auto"/>
    </w:pPr>
    <w:rPr>
      <w:rFonts w:ascii="Times" w:eastAsia="Times New Roman" w:hAnsi="Times" w:cs="Times New Roman"/>
      <w:lang w:eastAsia="en-A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B4B04"/>
    <w:pPr>
      <w:spacing w:after="0" w:line="240" w:lineRule="auto"/>
    </w:pPr>
    <w:rPr>
      <w:rFonts w:ascii="Times" w:eastAsia="Times New Roman" w:hAnsi="Times" w:cs="Times New Roman"/>
      <w:lang w:eastAsia="en-A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B4B04"/>
    <w:pPr>
      <w:spacing w:after="0" w:line="240" w:lineRule="auto"/>
    </w:pPr>
    <w:rPr>
      <w:rFonts w:ascii="Times" w:eastAsia="Times New Roman" w:hAnsi="Times" w:cs="Times New Roman"/>
      <w:lang w:eastAsia="en-A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B4B04"/>
    <w:pPr>
      <w:spacing w:after="0" w:line="240" w:lineRule="auto"/>
    </w:pPr>
    <w:rPr>
      <w:rFonts w:ascii="Times" w:eastAsia="Times New Roman" w:hAnsi="Times" w:cs="Times New Roman"/>
      <w:lang w:eastAsia="en-A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B4B04"/>
    <w:pPr>
      <w:spacing w:after="0" w:line="240" w:lineRule="auto"/>
    </w:pPr>
    <w:rPr>
      <w:rFonts w:ascii="Times" w:eastAsia="Times New Roman" w:hAnsi="Times" w:cs="Times New Roman"/>
      <w:lang w:eastAsia="en-A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B4B04"/>
    <w:pPr>
      <w:spacing w:after="0" w:line="240" w:lineRule="auto"/>
    </w:pPr>
    <w:rPr>
      <w:rFonts w:ascii="Times" w:eastAsia="Times New Roman" w:hAnsi="Times" w:cs="Times New Roman"/>
      <w:lang w:eastAsia="en-A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B4B04"/>
    <w:pPr>
      <w:spacing w:after="0" w:line="240" w:lineRule="auto"/>
    </w:pPr>
    <w:rPr>
      <w:rFonts w:ascii="Times" w:eastAsia="Times New Roman" w:hAnsi="Times" w:cs="Times New Roman"/>
      <w:lang w:eastAsia="en-A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TableNumber">
    <w:name w:val="Table Number"/>
    <w:basedOn w:val="TableText"/>
    <w:qFormat/>
    <w:rsid w:val="0032101A"/>
    <w:pPr>
      <w:numPr>
        <w:numId w:val="18"/>
      </w:numPr>
    </w:pPr>
  </w:style>
  <w:style w:type="paragraph" w:styleId="TableofFigures">
    <w:name w:val="table of figures"/>
    <w:basedOn w:val="Normal"/>
    <w:next w:val="Normal"/>
    <w:uiPriority w:val="99"/>
    <w:semiHidden/>
    <w:qFormat/>
    <w:rsid w:val="00D97B6F"/>
    <w:pPr>
      <w:spacing w:after="0" w:line="240" w:lineRule="auto"/>
      <w:ind w:left="1134" w:hanging="1134"/>
    </w:pPr>
    <w:rPr>
      <w:rFonts w:eastAsiaTheme="minorEastAsia"/>
      <w:noProof/>
      <w:lang w:eastAsia="en-AU"/>
    </w:rPr>
  </w:style>
  <w:style w:type="table" w:styleId="TableProfessional">
    <w:name w:val="Table Professional"/>
    <w:basedOn w:val="TableNormal"/>
    <w:semiHidden/>
    <w:rsid w:val="00BB4B04"/>
    <w:pPr>
      <w:spacing w:after="0" w:line="240" w:lineRule="auto"/>
    </w:pPr>
    <w:rPr>
      <w:rFonts w:ascii="Times" w:eastAsia="Times New Roman" w:hAnsi="Times" w:cs="Times New Roman"/>
      <w:lang w:eastAsia="en-A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B4B04"/>
    <w:pPr>
      <w:spacing w:after="0" w:line="240" w:lineRule="auto"/>
    </w:pPr>
    <w:rPr>
      <w:rFonts w:ascii="Times" w:eastAsia="Times New Roman" w:hAnsi="Times" w:cs="Times New Roman"/>
      <w:lang w:eastAsia="en-A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B4B04"/>
    <w:pPr>
      <w:spacing w:after="0" w:line="240" w:lineRule="auto"/>
    </w:pPr>
    <w:rPr>
      <w:rFonts w:ascii="Times" w:eastAsia="Times New Roman" w:hAnsi="Times" w:cs="Times New Roman"/>
      <w:lang w:eastAsia="en-A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B4B04"/>
    <w:pPr>
      <w:spacing w:after="0" w:line="240" w:lineRule="auto"/>
    </w:pPr>
    <w:rPr>
      <w:rFonts w:ascii="Times" w:eastAsia="Times New Roman" w:hAnsi="Times" w:cs="Times New Roman"/>
      <w:lang w:eastAsia="en-A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B4B04"/>
    <w:pPr>
      <w:spacing w:after="0" w:line="240" w:lineRule="auto"/>
    </w:pPr>
    <w:rPr>
      <w:rFonts w:ascii="Times" w:eastAsia="Times New Roman" w:hAnsi="Times" w:cs="Times New Roman"/>
      <w:lang w:eastAsia="en-A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B4B04"/>
    <w:pPr>
      <w:spacing w:after="0" w:line="240" w:lineRule="auto"/>
    </w:pPr>
    <w:rPr>
      <w:rFonts w:ascii="Times" w:eastAsia="Times New Roman" w:hAnsi="Times" w:cs="Times New Roman"/>
      <w:lang w:eastAsia="en-A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B4B04"/>
    <w:pPr>
      <w:spacing w:after="0" w:line="240" w:lineRule="auto"/>
    </w:pPr>
    <w:rPr>
      <w:rFonts w:ascii="Times" w:eastAsia="Times New Roman" w:hAnsi="Times" w:cs="Times New Roman"/>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BB4B04"/>
    <w:pPr>
      <w:spacing w:after="0" w:line="240" w:lineRule="auto"/>
    </w:pPr>
    <w:rPr>
      <w:rFonts w:ascii="Times" w:eastAsia="Times New Roman" w:hAnsi="Times" w:cs="Times New Roman"/>
      <w:lang w:eastAsia="en-A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B4B04"/>
    <w:pPr>
      <w:spacing w:after="0" w:line="240" w:lineRule="auto"/>
    </w:pPr>
    <w:rPr>
      <w:rFonts w:ascii="Times" w:eastAsia="Times New Roman" w:hAnsi="Times" w:cs="Times New Roman"/>
      <w:lang w:eastAsia="en-A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B4B04"/>
    <w:pPr>
      <w:spacing w:after="0" w:line="240" w:lineRule="auto"/>
    </w:pPr>
    <w:rPr>
      <w:rFonts w:ascii="Times" w:eastAsia="Times New Roman" w:hAnsi="Times" w:cs="Times New Roman"/>
      <w:lang w:eastAsia="en-A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4">
    <w:name w:val="toc 4"/>
    <w:basedOn w:val="Heading5"/>
    <w:next w:val="Normal"/>
    <w:autoRedefine/>
    <w:uiPriority w:val="39"/>
    <w:semiHidden/>
    <w:rsid w:val="00BB4B04"/>
    <w:pPr>
      <w:keepNext w:val="0"/>
      <w:keepLines w:val="0"/>
      <w:tabs>
        <w:tab w:val="right" w:pos="8789"/>
      </w:tabs>
      <w:spacing w:before="80" w:line="240" w:lineRule="auto"/>
      <w:ind w:right="851"/>
      <w:outlineLvl w:val="9"/>
    </w:pPr>
    <w:rPr>
      <w:rFonts w:eastAsia="Times New Roman" w:cs="Times New Roman"/>
      <w:bCs/>
      <w:iCs/>
      <w:color w:val="auto"/>
      <w:szCs w:val="26"/>
      <w:lang w:eastAsia="en-AU"/>
    </w:rPr>
  </w:style>
  <w:style w:type="paragraph" w:styleId="TOC5">
    <w:name w:val="toc 5"/>
    <w:basedOn w:val="Normal"/>
    <w:next w:val="Normal"/>
    <w:autoRedefine/>
    <w:uiPriority w:val="39"/>
    <w:semiHidden/>
    <w:rsid w:val="00BB4B04"/>
    <w:pPr>
      <w:spacing w:after="100" w:line="276" w:lineRule="auto"/>
      <w:ind w:left="880"/>
    </w:pPr>
    <w:rPr>
      <w:rFonts w:asciiTheme="minorHAnsi" w:eastAsiaTheme="minorEastAsia" w:hAnsiTheme="minorHAnsi"/>
      <w:sz w:val="22"/>
      <w:lang w:eastAsia="en-AU"/>
    </w:rPr>
  </w:style>
  <w:style w:type="paragraph" w:styleId="TOC6">
    <w:name w:val="toc 6"/>
    <w:basedOn w:val="Normal"/>
    <w:next w:val="Normal"/>
    <w:autoRedefine/>
    <w:uiPriority w:val="39"/>
    <w:semiHidden/>
    <w:rsid w:val="00BB4B04"/>
    <w:pPr>
      <w:spacing w:after="100" w:line="276" w:lineRule="auto"/>
      <w:ind w:left="1100"/>
    </w:pPr>
    <w:rPr>
      <w:rFonts w:asciiTheme="minorHAnsi" w:eastAsiaTheme="minorEastAsia" w:hAnsiTheme="minorHAnsi"/>
      <w:sz w:val="22"/>
      <w:lang w:eastAsia="en-AU"/>
    </w:rPr>
  </w:style>
  <w:style w:type="paragraph" w:styleId="TOC7">
    <w:name w:val="toc 7"/>
    <w:basedOn w:val="Normal"/>
    <w:next w:val="Normal"/>
    <w:autoRedefine/>
    <w:uiPriority w:val="39"/>
    <w:semiHidden/>
    <w:rsid w:val="00BB4B04"/>
    <w:pPr>
      <w:spacing w:after="100" w:line="276" w:lineRule="auto"/>
      <w:ind w:left="1320"/>
    </w:pPr>
    <w:rPr>
      <w:rFonts w:asciiTheme="minorHAnsi" w:eastAsiaTheme="minorEastAsia" w:hAnsiTheme="minorHAnsi"/>
      <w:sz w:val="22"/>
      <w:lang w:eastAsia="en-AU"/>
    </w:rPr>
  </w:style>
  <w:style w:type="paragraph" w:styleId="TOC8">
    <w:name w:val="toc 8"/>
    <w:basedOn w:val="Normal"/>
    <w:next w:val="Normal"/>
    <w:autoRedefine/>
    <w:uiPriority w:val="39"/>
    <w:semiHidden/>
    <w:rsid w:val="00BB4B04"/>
    <w:pPr>
      <w:spacing w:after="100" w:line="276" w:lineRule="auto"/>
      <w:ind w:left="1540"/>
    </w:pPr>
    <w:rPr>
      <w:rFonts w:asciiTheme="minorHAnsi" w:eastAsiaTheme="minorEastAsia" w:hAnsiTheme="minorHAnsi"/>
      <w:sz w:val="22"/>
      <w:lang w:eastAsia="en-AU"/>
    </w:rPr>
  </w:style>
  <w:style w:type="paragraph" w:styleId="TOC9">
    <w:name w:val="toc 9"/>
    <w:basedOn w:val="Normal"/>
    <w:next w:val="Normal"/>
    <w:autoRedefine/>
    <w:uiPriority w:val="39"/>
    <w:semiHidden/>
    <w:rsid w:val="00BB4B04"/>
    <w:pPr>
      <w:spacing w:after="100"/>
    </w:pPr>
  </w:style>
  <w:style w:type="paragraph" w:customStyle="1" w:styleId="PenPicName">
    <w:name w:val="PenPic Name"/>
    <w:basedOn w:val="Normal"/>
    <w:uiPriority w:val="5"/>
    <w:qFormat/>
    <w:rsid w:val="001D2F07"/>
    <w:pPr>
      <w:spacing w:beforeLines="60" w:before="60" w:afterLines="60" w:line="240" w:lineRule="auto"/>
      <w:ind w:left="709" w:hanging="709"/>
      <w:outlineLvl w:val="8"/>
    </w:pPr>
    <w:rPr>
      <w:b/>
      <w:color w:val="004C54" w:themeColor="accent1"/>
      <w:sz w:val="24"/>
      <w:szCs w:val="24"/>
    </w:rPr>
  </w:style>
  <w:style w:type="paragraph" w:customStyle="1" w:styleId="PenPicTitle">
    <w:name w:val="PenPic Title"/>
    <w:basedOn w:val="PenPicName"/>
    <w:uiPriority w:val="5"/>
    <w:qFormat/>
    <w:rsid w:val="001D2F07"/>
    <w:rPr>
      <w:b w:val="0"/>
      <w:szCs w:val="19"/>
    </w:rPr>
  </w:style>
  <w:style w:type="paragraph" w:customStyle="1" w:styleId="AppendixTitlePage">
    <w:name w:val="Appendix Title Page"/>
    <w:next w:val="Normal"/>
    <w:link w:val="AppendixTitlePageChar"/>
    <w:uiPriority w:val="7"/>
    <w:qFormat/>
    <w:rsid w:val="00A27225"/>
    <w:pPr>
      <w:pageBreakBefore/>
      <w:numPr>
        <w:numId w:val="3"/>
      </w:numPr>
      <w:spacing w:before="1680" w:after="1120" w:line="360" w:lineRule="auto"/>
      <w:ind w:left="2835" w:firstLine="0"/>
      <w:outlineLvl w:val="0"/>
    </w:pPr>
    <w:rPr>
      <w:rFonts w:ascii="Arial" w:eastAsia="Times New Roman" w:hAnsi="Arial" w:cs="Times New Roman"/>
      <w:b/>
      <w:color w:val="000000" w:themeColor="text1"/>
      <w:sz w:val="36"/>
      <w:szCs w:val="36"/>
      <w:lang w:eastAsia="en-AU"/>
    </w:rPr>
  </w:style>
  <w:style w:type="character" w:customStyle="1" w:styleId="AppendixTitlePageChar">
    <w:name w:val="Appendix Title Page Char"/>
    <w:basedOn w:val="DefaultParagraphFont"/>
    <w:link w:val="AppendixTitlePage"/>
    <w:uiPriority w:val="7"/>
    <w:rsid w:val="00A27225"/>
    <w:rPr>
      <w:rFonts w:ascii="Arial" w:eastAsia="Times New Roman" w:hAnsi="Arial" w:cs="Times New Roman"/>
      <w:b/>
      <w:color w:val="000000" w:themeColor="text1"/>
      <w:sz w:val="36"/>
      <w:szCs w:val="36"/>
      <w:lang w:eastAsia="en-AU"/>
    </w:rPr>
  </w:style>
  <w:style w:type="paragraph" w:customStyle="1" w:styleId="TableHeaderwhite">
    <w:name w:val="Table Header white"/>
    <w:basedOn w:val="Normal"/>
    <w:qFormat/>
    <w:rsid w:val="008317C0"/>
    <w:pPr>
      <w:spacing w:after="120" w:line="240" w:lineRule="auto"/>
      <w:jc w:val="center"/>
    </w:pPr>
    <w:rPr>
      <w:rFonts w:ascii="Arial" w:eastAsia="Times New Roman" w:hAnsi="Arial" w:cs="Times New Roman"/>
      <w:b/>
      <w:sz w:val="18"/>
      <w:lang w:eastAsia="en-AU"/>
    </w:rPr>
  </w:style>
  <w:style w:type="paragraph" w:styleId="Header">
    <w:name w:val="header"/>
    <w:basedOn w:val="Normal"/>
    <w:link w:val="HeaderChar"/>
    <w:uiPriority w:val="99"/>
    <w:unhideWhenUsed/>
    <w:qFormat/>
    <w:rsid w:val="00FB721E"/>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FB721E"/>
  </w:style>
  <w:style w:type="table" w:customStyle="1" w:styleId="Style1">
    <w:name w:val="Style1"/>
    <w:basedOn w:val="TableNormal"/>
    <w:uiPriority w:val="99"/>
    <w:rsid w:val="00D83658"/>
    <w:pPr>
      <w:spacing w:after="0" w:line="240" w:lineRule="auto"/>
    </w:pPr>
    <w:tblPr>
      <w:tblInd w:w="0" w:type="dxa"/>
      <w:tblCellMar>
        <w:top w:w="0" w:type="dxa"/>
        <w:left w:w="108" w:type="dxa"/>
        <w:bottom w:w="0" w:type="dxa"/>
        <w:right w:w="108" w:type="dxa"/>
      </w:tblCellMar>
    </w:tblPr>
    <w:tblStylePr w:type="firstRow">
      <w:tblPr/>
      <w:trPr>
        <w:tblHeader/>
      </w:trPr>
    </w:tblStylePr>
  </w:style>
  <w:style w:type="character" w:styleId="CommentReference">
    <w:name w:val="annotation reference"/>
    <w:basedOn w:val="DefaultParagraphFont"/>
    <w:uiPriority w:val="10"/>
    <w:semiHidden/>
    <w:unhideWhenUsed/>
    <w:rsid w:val="00914F07"/>
    <w:rPr>
      <w:sz w:val="16"/>
      <w:szCs w:val="16"/>
    </w:rPr>
  </w:style>
  <w:style w:type="paragraph" w:styleId="CommentText">
    <w:name w:val="annotation text"/>
    <w:basedOn w:val="Normal"/>
    <w:link w:val="CommentTextChar"/>
    <w:uiPriority w:val="10"/>
    <w:semiHidden/>
    <w:unhideWhenUsed/>
    <w:rsid w:val="00914F07"/>
    <w:pPr>
      <w:tabs>
        <w:tab w:val="left" w:pos="851"/>
        <w:tab w:val="left" w:pos="1418"/>
        <w:tab w:val="left" w:pos="1985"/>
        <w:tab w:val="left" w:pos="2552"/>
        <w:tab w:val="left" w:pos="3119"/>
        <w:tab w:val="right" w:pos="9027"/>
      </w:tabs>
      <w:spacing w:before="8" w:after="4" w:line="240" w:lineRule="auto"/>
    </w:pPr>
    <w:rPr>
      <w:rFonts w:ascii="Verdana" w:eastAsia="Times New Roman" w:hAnsi="Verdana" w:cs="Times New Roman"/>
    </w:rPr>
  </w:style>
  <w:style w:type="character" w:customStyle="1" w:styleId="CommentTextChar">
    <w:name w:val="Comment Text Char"/>
    <w:basedOn w:val="DefaultParagraphFont"/>
    <w:link w:val="CommentText"/>
    <w:uiPriority w:val="10"/>
    <w:semiHidden/>
    <w:rsid w:val="00914F07"/>
    <w:rPr>
      <w:rFonts w:ascii="Verdana" w:eastAsia="Times New Roman" w:hAnsi="Verdana" w:cs="Times New Roman"/>
    </w:rPr>
  </w:style>
  <w:style w:type="character" w:styleId="PageNumber">
    <w:name w:val="page number"/>
    <w:rsid w:val="00297372"/>
    <w:rPr>
      <w:rFonts w:ascii="Arial" w:hAnsi="Arial"/>
      <w:color w:val="6D6E71"/>
      <w:sz w:val="14"/>
      <w:szCs w:val="14"/>
    </w:rPr>
  </w:style>
  <w:style w:type="paragraph" w:customStyle="1" w:styleId="newlistbold">
    <w:name w:val="new list  bold"/>
    <w:basedOn w:val="ListNumber"/>
    <w:qFormat/>
    <w:rsid w:val="000B0A37"/>
    <w:pPr>
      <w:numPr>
        <w:numId w:val="21"/>
      </w:numPr>
      <w:ind w:left="567" w:hanging="567"/>
    </w:pPr>
    <w:rPr>
      <w:b/>
    </w:rPr>
  </w:style>
  <w:style w:type="paragraph" w:styleId="CommentSubject">
    <w:name w:val="annotation subject"/>
    <w:basedOn w:val="CommentText"/>
    <w:next w:val="CommentText"/>
    <w:link w:val="CommentSubjectChar"/>
    <w:semiHidden/>
    <w:unhideWhenUsed/>
    <w:rsid w:val="00796777"/>
    <w:pPr>
      <w:tabs>
        <w:tab w:val="clear" w:pos="851"/>
        <w:tab w:val="clear" w:pos="1418"/>
        <w:tab w:val="clear" w:pos="1985"/>
        <w:tab w:val="clear" w:pos="2552"/>
        <w:tab w:val="clear" w:pos="3119"/>
        <w:tab w:val="clear" w:pos="9027"/>
      </w:tabs>
      <w:spacing w:before="120" w:after="60"/>
    </w:pPr>
    <w:rPr>
      <w:rFonts w:ascii="Georgia" w:eastAsiaTheme="minorHAnsi" w:hAnsi="Georgia" w:cstheme="minorBidi"/>
      <w:b/>
      <w:bCs/>
    </w:rPr>
  </w:style>
  <w:style w:type="character" w:customStyle="1" w:styleId="CommentSubjectChar">
    <w:name w:val="Comment Subject Char"/>
    <w:basedOn w:val="CommentTextChar"/>
    <w:link w:val="CommentSubject"/>
    <w:semiHidden/>
    <w:rsid w:val="00796777"/>
    <w:rPr>
      <w:rFonts w:ascii="Verdana" w:eastAsia="Times New Roman" w:hAnsi="Verdana" w:cs="Times New Roman"/>
      <w:b/>
      <w:bCs/>
    </w:rPr>
  </w:style>
  <w:style w:type="character" w:styleId="Strong">
    <w:name w:val="Strong"/>
    <w:basedOn w:val="DefaultParagraphFont"/>
    <w:uiPriority w:val="22"/>
    <w:qFormat/>
    <w:rsid w:val="007966E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Georgia" w:cstheme="minorBidi"/>
        <w:lang w:val="en-AU" w:eastAsia="en-US" w:bidi="ar-SA"/>
      </w:rPr>
    </w:rPrDefault>
    <w:pPrDefault>
      <w:pPr>
        <w:spacing w:after="120" w:line="26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uiPriority="4" w:qFormat="1"/>
    <w:lsdException w:name="heading 6" w:uiPriority="4"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5" w:qFormat="1"/>
    <w:lsdException w:name="footnote text" w:uiPriority="9"/>
    <w:lsdException w:name="annotation text" w:uiPriority="10"/>
    <w:lsdException w:name="header" w:uiPriority="99" w:qFormat="1"/>
    <w:lsdException w:name="footer" w:uiPriority="9"/>
    <w:lsdException w:name="index heading" w:uiPriority="99"/>
    <w:lsdException w:name="caption" w:uiPriority="4" w:qFormat="1"/>
    <w:lsdException w:name="table of figures" w:uiPriority="99" w:qFormat="1"/>
    <w:lsdException w:name="footnote reference" w:uiPriority="99"/>
    <w:lsdException w:name="annotation reference" w:uiPriority="10"/>
    <w:lsdException w:name="endnote reference" w:uiPriority="9"/>
    <w:lsdException w:name="endnote text" w:uiPriority="9"/>
    <w:lsdException w:name="table of authorities" w:uiPriority="99"/>
    <w:lsdException w:name="macro" w:uiPriority="99"/>
    <w:lsdException w:name="toa heading" w:uiPriority="99"/>
    <w:lsdException w:name="List" w:uiPriority="99"/>
    <w:lsdException w:name="List Bullet" w:qFormat="1"/>
    <w:lsdException w:name="List Number" w:uiPriority="1" w:qFormat="1"/>
    <w:lsdException w:name="List Bullet 2" w:uiPriority="99"/>
    <w:lsdException w:name="Title" w:uiPriority="10" w:unhideWhenUsed="0" w:qFormat="1"/>
    <w:lsdException w:name="Default Paragraph Font" w:uiPriority="1"/>
    <w:lsdException w:name="Subtitle" w:uiPriority="11" w:unhideWhenUsed="0"/>
    <w:lsdException w:name="Date" w:uiPriority="8" w:qFormat="1"/>
    <w:lsdException w:name="Body Text 2" w:uiPriority="99"/>
    <w:lsdException w:name="Body Text 3" w:uiPriority="99"/>
    <w:lsdException w:name="Hyperlink" w:uiPriority="99"/>
    <w:lsdException w:name="Strong" w:uiPriority="22" w:unhideWhenUsed="0" w:qFormat="1"/>
    <w:lsdException w:name="Emphasis" w:uiPriority="20" w:unhideWhenUsed="0" w:qFormat="1"/>
    <w:lsdException w:name="Document Map" w:uiPriority="99"/>
    <w:lsdException w:name="HTML Top of Form" w:uiPriority="99"/>
    <w:lsdException w:name="HTML Bottom of Form" w:uiPriority="99"/>
    <w:lsdException w:name="Normal (Web)" w:uiPriority="99"/>
    <w:lsdException w:name="Normal Table" w:uiPriority="99"/>
    <w:lsdException w:name="No List" w:uiPriority="99"/>
    <w:lsdException w:name="Table Grid" w:semiHidden="0" w:unhideWhenUsed="0"/>
    <w:lsdException w:name="Placeholder Text" w:uiPriority="99"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uiPriority="34" w:unhideWhenUsed="0" w:qFormat="1"/>
    <w:lsdException w:name="Quote" w:uiPriority="3"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EA6692"/>
    <w:pPr>
      <w:spacing w:before="120" w:after="60"/>
    </w:pPr>
  </w:style>
  <w:style w:type="paragraph" w:styleId="Heading1">
    <w:name w:val="heading 1"/>
    <w:basedOn w:val="Normal"/>
    <w:next w:val="Normal"/>
    <w:link w:val="Heading1Char"/>
    <w:qFormat/>
    <w:rsid w:val="001D2F07"/>
    <w:pPr>
      <w:keepNext/>
      <w:pageBreakBefore/>
      <w:numPr>
        <w:numId w:val="5"/>
      </w:numPr>
      <w:spacing w:after="240" w:line="240" w:lineRule="auto"/>
      <w:outlineLvl w:val="0"/>
    </w:pPr>
    <w:rPr>
      <w:rFonts w:ascii="Arial" w:eastAsia="Times New Roman" w:hAnsi="Arial" w:cs="Times New Roman"/>
      <w:b/>
      <w:color w:val="004C54" w:themeColor="accent1"/>
      <w:sz w:val="32"/>
      <w:lang w:eastAsia="en-AU"/>
    </w:rPr>
  </w:style>
  <w:style w:type="paragraph" w:styleId="Heading2">
    <w:name w:val="heading 2"/>
    <w:basedOn w:val="Normal"/>
    <w:next w:val="Normal"/>
    <w:link w:val="Heading2Char"/>
    <w:qFormat/>
    <w:rsid w:val="003C095B"/>
    <w:pPr>
      <w:keepNext/>
      <w:numPr>
        <w:ilvl w:val="1"/>
        <w:numId w:val="5"/>
      </w:numPr>
      <w:spacing w:before="240" w:line="240" w:lineRule="auto"/>
      <w:outlineLvl w:val="1"/>
    </w:pPr>
    <w:rPr>
      <w:rFonts w:ascii="Arial" w:eastAsia="Times New Roman" w:hAnsi="Arial" w:cs="Arial"/>
      <w:b/>
      <w:bCs/>
      <w:iCs/>
      <w:color w:val="406B87" w:themeColor="accent3"/>
      <w:sz w:val="28"/>
      <w:szCs w:val="28"/>
      <w:lang w:eastAsia="en-AU"/>
    </w:rPr>
  </w:style>
  <w:style w:type="paragraph" w:styleId="Heading3">
    <w:name w:val="heading 3"/>
    <w:basedOn w:val="Normal"/>
    <w:next w:val="Normal"/>
    <w:link w:val="Heading3Char"/>
    <w:qFormat/>
    <w:rsid w:val="003C095B"/>
    <w:pPr>
      <w:keepNext/>
      <w:numPr>
        <w:ilvl w:val="2"/>
        <w:numId w:val="5"/>
      </w:numPr>
      <w:spacing w:before="240" w:line="240" w:lineRule="auto"/>
      <w:outlineLvl w:val="2"/>
    </w:pPr>
    <w:rPr>
      <w:rFonts w:ascii="Arial" w:eastAsia="Times New Roman" w:hAnsi="Arial" w:cs="Times New Roman"/>
      <w:b/>
      <w:bCs/>
      <w:color w:val="406B87" w:themeColor="accent3"/>
      <w:sz w:val="24"/>
      <w:lang w:eastAsia="en-AU"/>
    </w:rPr>
  </w:style>
  <w:style w:type="paragraph" w:styleId="Heading4">
    <w:name w:val="heading 4"/>
    <w:basedOn w:val="Normal"/>
    <w:next w:val="Normal"/>
    <w:link w:val="Heading4Char"/>
    <w:qFormat/>
    <w:rsid w:val="003C095B"/>
    <w:pPr>
      <w:keepNext/>
      <w:numPr>
        <w:ilvl w:val="3"/>
        <w:numId w:val="5"/>
      </w:numPr>
      <w:spacing w:before="240" w:line="240" w:lineRule="auto"/>
      <w:outlineLvl w:val="3"/>
    </w:pPr>
    <w:rPr>
      <w:rFonts w:ascii="Arial" w:eastAsia="Times New Roman" w:hAnsi="Arial" w:cs="Times New Roman"/>
      <w:b/>
      <w:bCs/>
      <w:color w:val="406B87" w:themeColor="accent3"/>
      <w:sz w:val="22"/>
      <w:lang w:eastAsia="en-AU"/>
    </w:rPr>
  </w:style>
  <w:style w:type="paragraph" w:styleId="Heading5">
    <w:name w:val="heading 5"/>
    <w:basedOn w:val="Normal"/>
    <w:next w:val="Normal"/>
    <w:link w:val="Heading5Char"/>
    <w:qFormat/>
    <w:rsid w:val="003C095B"/>
    <w:pPr>
      <w:keepNext/>
      <w:keepLines/>
      <w:spacing w:before="200"/>
      <w:outlineLvl w:val="4"/>
    </w:pPr>
    <w:rPr>
      <w:rFonts w:ascii="Arial" w:eastAsiaTheme="majorEastAsia" w:hAnsi="Arial" w:cs="Arial"/>
      <w:b/>
      <w:color w:val="406B87" w:themeColor="accent3"/>
      <w:sz w:val="22"/>
    </w:rPr>
  </w:style>
  <w:style w:type="paragraph" w:styleId="Heading6">
    <w:name w:val="heading 6"/>
    <w:basedOn w:val="Normal"/>
    <w:next w:val="Normal"/>
    <w:link w:val="Heading6Char"/>
    <w:uiPriority w:val="4"/>
    <w:semiHidden/>
    <w:qFormat/>
    <w:rsid w:val="00BB4B04"/>
    <w:pPr>
      <w:keepNext/>
      <w:spacing w:before="240" w:after="80" w:line="240" w:lineRule="auto"/>
      <w:ind w:left="1134"/>
      <w:outlineLvl w:val="5"/>
    </w:pPr>
    <w:rPr>
      <w:rFonts w:ascii="Arial" w:eastAsia="Times New Roman" w:hAnsi="Arial" w:cs="Times New Roman"/>
      <w:b/>
      <w:bCs/>
      <w:i/>
      <w:color w:val="6D6E71"/>
      <w:lang w:eastAsia="en-AU"/>
    </w:rPr>
  </w:style>
  <w:style w:type="paragraph" w:styleId="Heading7">
    <w:name w:val="heading 7"/>
    <w:basedOn w:val="Normal"/>
    <w:next w:val="Normal"/>
    <w:link w:val="Heading7Char"/>
    <w:semiHidden/>
    <w:rsid w:val="00BB4B04"/>
    <w:pPr>
      <w:numPr>
        <w:ilvl w:val="6"/>
        <w:numId w:val="5"/>
      </w:numPr>
      <w:jc w:val="both"/>
      <w:outlineLvl w:val="6"/>
    </w:pPr>
    <w:rPr>
      <w:rFonts w:ascii="Times New Roman" w:eastAsia="Times New Roman" w:hAnsi="Times New Roman" w:cs="Times New Roman"/>
      <w:sz w:val="24"/>
      <w:lang w:eastAsia="en-AU"/>
    </w:rPr>
  </w:style>
  <w:style w:type="paragraph" w:styleId="Heading8">
    <w:name w:val="heading 8"/>
    <w:basedOn w:val="Normal"/>
    <w:next w:val="Normal"/>
    <w:link w:val="Heading8Char"/>
    <w:semiHidden/>
    <w:rsid w:val="00BB4B04"/>
    <w:pPr>
      <w:numPr>
        <w:ilvl w:val="7"/>
        <w:numId w:val="5"/>
      </w:numPr>
      <w:jc w:val="both"/>
      <w:outlineLvl w:val="7"/>
    </w:pPr>
    <w:rPr>
      <w:rFonts w:ascii="Times New Roman" w:eastAsia="Times New Roman" w:hAnsi="Times New Roman" w:cs="Times New Roman"/>
      <w:i/>
      <w:iCs/>
      <w:sz w:val="24"/>
      <w:lang w:eastAsia="en-AU"/>
    </w:rPr>
  </w:style>
  <w:style w:type="paragraph" w:styleId="Heading9">
    <w:name w:val="heading 9"/>
    <w:basedOn w:val="Normal"/>
    <w:next w:val="Normal"/>
    <w:link w:val="Heading9Char"/>
    <w:semiHidden/>
    <w:rsid w:val="00BB4B04"/>
    <w:pPr>
      <w:numPr>
        <w:ilvl w:val="8"/>
        <w:numId w:val="5"/>
      </w:numPr>
      <w:jc w:val="both"/>
      <w:outlineLvl w:val="8"/>
    </w:pPr>
    <w:rPr>
      <w:rFonts w:eastAsia="Times New Roman" w:cs="Arial"/>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
    <w:rsid w:val="0007412E"/>
    <w:pPr>
      <w:tabs>
        <w:tab w:val="right" w:pos="8789"/>
      </w:tabs>
      <w:spacing w:before="0" w:after="0" w:line="240" w:lineRule="auto"/>
    </w:pPr>
    <w:rPr>
      <w:rFonts w:ascii="Arial" w:hAnsi="Arial"/>
      <w:sz w:val="14"/>
    </w:rPr>
  </w:style>
  <w:style w:type="character" w:customStyle="1" w:styleId="FooterChar">
    <w:name w:val="Footer Char"/>
    <w:basedOn w:val="DefaultParagraphFont"/>
    <w:link w:val="Footer"/>
    <w:uiPriority w:val="9"/>
    <w:rsid w:val="0007412E"/>
    <w:rPr>
      <w:rFonts w:ascii="Arial" w:hAnsi="Arial"/>
      <w:sz w:val="14"/>
    </w:rPr>
  </w:style>
  <w:style w:type="paragraph" w:styleId="BalloonText">
    <w:name w:val="Balloon Text"/>
    <w:basedOn w:val="Normal"/>
    <w:link w:val="BalloonTextChar"/>
    <w:semiHidden/>
    <w:unhideWhenUsed/>
    <w:rsid w:val="00BB4B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BB4B04"/>
    <w:rPr>
      <w:rFonts w:ascii="Tahoma" w:hAnsi="Tahoma" w:cs="Tahoma"/>
      <w:sz w:val="16"/>
      <w:szCs w:val="16"/>
    </w:rPr>
  </w:style>
  <w:style w:type="paragraph" w:customStyle="1" w:styleId="FrontPageClientName">
    <w:name w:val="Front Page Client Name"/>
    <w:basedOn w:val="Normal"/>
    <w:next w:val="Normal"/>
    <w:uiPriority w:val="8"/>
    <w:qFormat/>
    <w:rsid w:val="00C95725"/>
    <w:pPr>
      <w:spacing w:after="0" w:line="240" w:lineRule="auto"/>
      <w:ind w:left="284"/>
      <w:outlineLvl w:val="8"/>
    </w:pPr>
    <w:rPr>
      <w:rFonts w:ascii="Arial Bold" w:eastAsia="Times New Roman" w:hAnsi="Arial Bold" w:cs="Times New Roman"/>
      <w:b/>
      <w:color w:val="000000" w:themeColor="text1"/>
      <w:sz w:val="24"/>
      <w:lang w:eastAsia="en-AU"/>
    </w:rPr>
  </w:style>
  <w:style w:type="paragraph" w:customStyle="1" w:styleId="FrontPageAssignmentProjectName">
    <w:name w:val="Front Page Assignment Project Name"/>
    <w:basedOn w:val="Normal"/>
    <w:next w:val="Normal"/>
    <w:uiPriority w:val="8"/>
    <w:qFormat/>
    <w:rsid w:val="00C95725"/>
    <w:pPr>
      <w:spacing w:after="0" w:line="240" w:lineRule="auto"/>
      <w:ind w:left="284"/>
      <w:outlineLvl w:val="8"/>
    </w:pPr>
    <w:rPr>
      <w:rFonts w:ascii="Arial Bold" w:eastAsia="Times New Roman" w:hAnsi="Arial Bold" w:cs="Times New Roman"/>
      <w:b/>
      <w:color w:val="000000" w:themeColor="text1"/>
      <w:sz w:val="52"/>
      <w:lang w:eastAsia="en-AU"/>
    </w:rPr>
  </w:style>
  <w:style w:type="paragraph" w:customStyle="1" w:styleId="FrontPageDocumentTitle">
    <w:name w:val="Front Page Document Title"/>
    <w:basedOn w:val="Normal"/>
    <w:next w:val="Normal"/>
    <w:uiPriority w:val="8"/>
    <w:qFormat/>
    <w:rsid w:val="00C95725"/>
    <w:pPr>
      <w:spacing w:after="0" w:line="240" w:lineRule="auto"/>
      <w:ind w:left="284"/>
      <w:outlineLvl w:val="8"/>
    </w:pPr>
    <w:rPr>
      <w:rFonts w:ascii="Arial" w:eastAsiaTheme="minorEastAsia" w:hAnsi="Arial" w:cs="Times New Roman"/>
      <w:b/>
      <w:color w:val="FFFFFF"/>
      <w:sz w:val="32"/>
      <w:lang w:eastAsia="en-AU"/>
    </w:rPr>
  </w:style>
  <w:style w:type="character" w:customStyle="1" w:styleId="Heading1Char">
    <w:name w:val="Heading 1 Char"/>
    <w:basedOn w:val="DefaultParagraphFont"/>
    <w:link w:val="Heading1"/>
    <w:rsid w:val="001D2F07"/>
    <w:rPr>
      <w:rFonts w:ascii="Arial" w:eastAsia="Times New Roman" w:hAnsi="Arial" w:cs="Times New Roman"/>
      <w:b/>
      <w:color w:val="004C54" w:themeColor="accent1"/>
      <w:sz w:val="32"/>
      <w:lang w:eastAsia="en-AU"/>
    </w:rPr>
  </w:style>
  <w:style w:type="character" w:customStyle="1" w:styleId="Heading2Char">
    <w:name w:val="Heading 2 Char"/>
    <w:basedOn w:val="DefaultParagraphFont"/>
    <w:link w:val="Heading2"/>
    <w:rsid w:val="003C095B"/>
    <w:rPr>
      <w:rFonts w:ascii="Arial" w:eastAsia="Times New Roman" w:hAnsi="Arial" w:cs="Arial"/>
      <w:b/>
      <w:bCs/>
      <w:iCs/>
      <w:color w:val="406B87" w:themeColor="accent3"/>
      <w:sz w:val="28"/>
      <w:szCs w:val="28"/>
      <w:lang w:eastAsia="en-AU"/>
    </w:rPr>
  </w:style>
  <w:style w:type="character" w:customStyle="1" w:styleId="Heading3Char">
    <w:name w:val="Heading 3 Char"/>
    <w:basedOn w:val="DefaultParagraphFont"/>
    <w:link w:val="Heading3"/>
    <w:rsid w:val="003C095B"/>
    <w:rPr>
      <w:rFonts w:ascii="Arial" w:eastAsia="Times New Roman" w:hAnsi="Arial" w:cs="Times New Roman"/>
      <w:b/>
      <w:bCs/>
      <w:color w:val="406B87" w:themeColor="accent3"/>
      <w:sz w:val="24"/>
      <w:lang w:eastAsia="en-AU"/>
    </w:rPr>
  </w:style>
  <w:style w:type="character" w:customStyle="1" w:styleId="Heading4Char">
    <w:name w:val="Heading 4 Char"/>
    <w:basedOn w:val="DefaultParagraphFont"/>
    <w:link w:val="Heading4"/>
    <w:rsid w:val="003C095B"/>
    <w:rPr>
      <w:rFonts w:ascii="Arial" w:eastAsia="Times New Roman" w:hAnsi="Arial" w:cs="Times New Roman"/>
      <w:b/>
      <w:bCs/>
      <w:color w:val="406B87" w:themeColor="accent3"/>
      <w:sz w:val="22"/>
      <w:lang w:eastAsia="en-AU"/>
    </w:rPr>
  </w:style>
  <w:style w:type="character" w:customStyle="1" w:styleId="Heading7Char">
    <w:name w:val="Heading 7 Char"/>
    <w:basedOn w:val="DefaultParagraphFont"/>
    <w:link w:val="Heading7"/>
    <w:semiHidden/>
    <w:rsid w:val="00BB4B04"/>
    <w:rPr>
      <w:rFonts w:ascii="Times New Roman" w:eastAsia="Times New Roman" w:hAnsi="Times New Roman" w:cs="Times New Roman"/>
      <w:sz w:val="24"/>
      <w:lang w:eastAsia="en-AU"/>
    </w:rPr>
  </w:style>
  <w:style w:type="character" w:customStyle="1" w:styleId="Heading8Char">
    <w:name w:val="Heading 8 Char"/>
    <w:basedOn w:val="DefaultParagraphFont"/>
    <w:link w:val="Heading8"/>
    <w:semiHidden/>
    <w:rsid w:val="00BB4B04"/>
    <w:rPr>
      <w:rFonts w:ascii="Times New Roman" w:eastAsia="Times New Roman" w:hAnsi="Times New Roman" w:cs="Times New Roman"/>
      <w:i/>
      <w:iCs/>
      <w:sz w:val="24"/>
      <w:lang w:eastAsia="en-AU"/>
    </w:rPr>
  </w:style>
  <w:style w:type="character" w:customStyle="1" w:styleId="Heading9Char">
    <w:name w:val="Heading 9 Char"/>
    <w:basedOn w:val="DefaultParagraphFont"/>
    <w:link w:val="Heading9"/>
    <w:semiHidden/>
    <w:rsid w:val="00BB4B04"/>
    <w:rPr>
      <w:rFonts w:eastAsia="Times New Roman" w:cs="Arial"/>
      <w:lang w:eastAsia="en-AU"/>
    </w:rPr>
  </w:style>
  <w:style w:type="paragraph" w:styleId="ListBullet">
    <w:name w:val="List Bullet"/>
    <w:basedOn w:val="Normal"/>
    <w:qFormat/>
    <w:rsid w:val="00EA6692"/>
    <w:pPr>
      <w:numPr>
        <w:numId w:val="7"/>
      </w:numPr>
    </w:pPr>
    <w:rPr>
      <w:rFonts w:eastAsia="Times New Roman" w:cs="Times New Roman"/>
      <w:lang w:eastAsia="en-AU"/>
    </w:rPr>
  </w:style>
  <w:style w:type="paragraph" w:styleId="ListNumber">
    <w:name w:val="List Number"/>
    <w:basedOn w:val="Normal"/>
    <w:uiPriority w:val="1"/>
    <w:qFormat/>
    <w:rsid w:val="000B0A37"/>
    <w:pPr>
      <w:numPr>
        <w:numId w:val="11"/>
      </w:numPr>
      <w:tabs>
        <w:tab w:val="left" w:pos="567"/>
      </w:tabs>
      <w:ind w:left="567" w:hanging="567"/>
    </w:pPr>
    <w:rPr>
      <w:rFonts w:eastAsia="Times New Roman" w:cs="Times New Roman"/>
      <w:lang w:eastAsia="en-AU"/>
    </w:rPr>
  </w:style>
  <w:style w:type="paragraph" w:customStyle="1" w:styleId="ListAlpha">
    <w:name w:val="List Alpha"/>
    <w:basedOn w:val="Normal"/>
    <w:qFormat/>
    <w:rsid w:val="00BB4B04"/>
    <w:pPr>
      <w:numPr>
        <w:numId w:val="6"/>
      </w:numPr>
      <w:jc w:val="both"/>
    </w:pPr>
    <w:rPr>
      <w:rFonts w:eastAsia="Times New Roman" w:cs="Times New Roman"/>
      <w:lang w:eastAsia="en-AU"/>
    </w:rPr>
  </w:style>
  <w:style w:type="character" w:customStyle="1" w:styleId="Heading5Char">
    <w:name w:val="Heading 5 Char"/>
    <w:basedOn w:val="DefaultParagraphFont"/>
    <w:link w:val="Heading5"/>
    <w:rsid w:val="003C095B"/>
    <w:rPr>
      <w:rFonts w:ascii="Arial" w:eastAsiaTheme="majorEastAsia" w:hAnsi="Arial" w:cs="Arial"/>
      <w:b/>
      <w:color w:val="406B87" w:themeColor="accent3"/>
      <w:sz w:val="22"/>
    </w:rPr>
  </w:style>
  <w:style w:type="table" w:styleId="TableGrid">
    <w:name w:val="Table Grid"/>
    <w:aliases w:val="E&amp;P Style 5"/>
    <w:basedOn w:val="TableNormal"/>
    <w:rsid w:val="00514534"/>
    <w:pPr>
      <w:spacing w:after="0" w:line="240" w:lineRule="auto"/>
    </w:pPr>
    <w:rPr>
      <w:sz w:val="18"/>
    </w:rPr>
    <w:tblPr>
      <w:tblInd w:w="113" w:type="dxa"/>
      <w:tblBorders>
        <w:top w:val="single" w:sz="8" w:space="0" w:color="C7C8CA" w:themeColor="accent4"/>
        <w:left w:val="single" w:sz="8" w:space="0" w:color="C7C8CA" w:themeColor="accent4"/>
        <w:bottom w:val="single" w:sz="8" w:space="0" w:color="C7C8CA" w:themeColor="accent4"/>
        <w:right w:val="single" w:sz="8" w:space="0" w:color="C7C8CA" w:themeColor="accent4"/>
        <w:insideH w:val="single" w:sz="8" w:space="0" w:color="C7C8CA" w:themeColor="accent4"/>
        <w:insideV w:val="single" w:sz="8" w:space="0" w:color="C7C8CA" w:themeColor="accent4"/>
      </w:tblBorders>
      <w:tblCellMar>
        <w:top w:w="0" w:type="dxa"/>
        <w:left w:w="108" w:type="dxa"/>
        <w:bottom w:w="0" w:type="dxa"/>
        <w:right w:w="108" w:type="dxa"/>
      </w:tblCellMar>
    </w:tblPr>
    <w:trPr>
      <w:tblHeader/>
    </w:trPr>
  </w:style>
  <w:style w:type="table" w:customStyle="1" w:styleId="EPStyle2">
    <w:name w:val="E&amp;P Style 2"/>
    <w:basedOn w:val="TableNormal"/>
    <w:uiPriority w:val="99"/>
    <w:rsid w:val="00D83658"/>
    <w:pPr>
      <w:spacing w:after="0" w:line="240" w:lineRule="auto"/>
    </w:pPr>
    <w:rPr>
      <w:sz w:val="18"/>
    </w:rPr>
    <w:tblPr>
      <w:tblInd w:w="11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0" w:type="dxa"/>
        <w:left w:w="108" w:type="dxa"/>
        <w:bottom w:w="0" w:type="dxa"/>
        <w:right w:w="108" w:type="dxa"/>
      </w:tblCellMar>
    </w:tblPr>
    <w:tblStylePr w:type="firstRow">
      <w:pPr>
        <w:wordWrap/>
        <w:spacing w:beforeLines="0" w:before="60" w:beforeAutospacing="0" w:afterLines="0" w:after="60" w:afterAutospacing="0" w:line="240" w:lineRule="auto"/>
        <w:jc w:val="center"/>
      </w:pPr>
      <w:rPr>
        <w:rFonts w:ascii="Arial Bold" w:hAnsi="Arial Bold"/>
        <w:b/>
        <w:i w:val="0"/>
        <w:color w:val="FFFFFF" w:themeColor="background1"/>
        <w:sz w:val="18"/>
      </w:rPr>
      <w:tblPr/>
      <w:trPr>
        <w:tblHeader/>
      </w:trPr>
      <w:tcPr>
        <w:shd w:val="clear" w:color="auto" w:fill="004C54" w:themeFill="accent1"/>
      </w:tcPr>
    </w:tblStylePr>
  </w:style>
  <w:style w:type="table" w:customStyle="1" w:styleId="EPStyle1">
    <w:name w:val="E&amp;P Style 1"/>
    <w:basedOn w:val="TableNormal"/>
    <w:uiPriority w:val="99"/>
    <w:rsid w:val="00D83658"/>
    <w:pPr>
      <w:spacing w:before="60" w:after="60" w:line="240" w:lineRule="auto"/>
    </w:pPr>
    <w:rPr>
      <w:sz w:val="18"/>
    </w:rPr>
    <w:tblPr>
      <w:tblStyleRowBandSize w:val="1"/>
      <w:tblStyleColBandSize w:val="1"/>
      <w:tblInd w:w="11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0" w:type="dxa"/>
        <w:left w:w="108" w:type="dxa"/>
        <w:bottom w:w="0" w:type="dxa"/>
        <w:right w:w="108" w:type="dxa"/>
      </w:tblCellMar>
    </w:tblPr>
    <w:tcPr>
      <w:shd w:val="clear" w:color="auto" w:fill="E8E8E9" w:themeFill="accent4" w:themeFillTint="66"/>
    </w:tcPr>
    <w:tblStylePr w:type="firstRow">
      <w:pPr>
        <w:jc w:val="center"/>
      </w:pPr>
      <w:rPr>
        <w:rFonts w:ascii="Arial Bold" w:hAnsi="Arial Bold"/>
        <w:b/>
        <w:i w:val="0"/>
        <w:color w:val="FFFFFF" w:themeColor="background1"/>
        <w:sz w:val="18"/>
      </w:rPr>
      <w:tblPr/>
      <w:trPr>
        <w:tblHeader/>
      </w:trPr>
      <w:tcPr>
        <w:shd w:val="clear" w:color="auto" w:fill="004C54" w:themeFill="accent1"/>
      </w:tcPr>
    </w:tblStylePr>
    <w:tblStylePr w:type="band1Vert">
      <w:tblPr/>
      <w:tcPr>
        <w:shd w:val="clear" w:color="auto" w:fill="C7C8CA" w:themeFill="accent5"/>
      </w:tcPr>
    </w:tblStylePr>
    <w:tblStylePr w:type="band2Vert">
      <w:tblPr/>
      <w:tcPr>
        <w:shd w:val="clear" w:color="auto" w:fill="C7C8CA" w:themeFill="accent5"/>
      </w:tcPr>
    </w:tblStylePr>
    <w:tblStylePr w:type="band1Horz">
      <w:pPr>
        <w:jc w:val="left"/>
      </w:pPr>
      <w:rPr>
        <w:rFonts w:ascii="Georgia" w:hAnsi="Georgia"/>
        <w:b w:val="0"/>
        <w:i w:val="0"/>
        <w:sz w:val="18"/>
      </w:rPr>
      <w:tblPr/>
      <w:tcPr>
        <w:shd w:val="clear" w:color="auto" w:fill="F3F3F4" w:themeFill="accent4" w:themeFillTint="33"/>
      </w:tcPr>
    </w:tblStylePr>
    <w:tblStylePr w:type="band2Horz">
      <w:tblPr/>
      <w:tcPr>
        <w:shd w:val="clear" w:color="auto" w:fill="C7C8CA" w:themeFill="accent5"/>
      </w:tcPr>
    </w:tblStylePr>
  </w:style>
  <w:style w:type="table" w:styleId="LightShading-Accent1">
    <w:name w:val="Light Shading Accent 1"/>
    <w:basedOn w:val="TableNormal"/>
    <w:uiPriority w:val="60"/>
    <w:rsid w:val="00BB4B04"/>
    <w:pPr>
      <w:spacing w:after="0" w:line="240" w:lineRule="auto"/>
    </w:pPr>
    <w:rPr>
      <w:color w:val="00383E" w:themeColor="accent1" w:themeShade="BF"/>
    </w:rPr>
    <w:tblPr>
      <w:tblStyleRowBandSize w:val="1"/>
      <w:tblStyleColBandSize w:val="1"/>
      <w:tblInd w:w="0" w:type="dxa"/>
      <w:tblBorders>
        <w:top w:val="single" w:sz="8" w:space="0" w:color="004C54" w:themeColor="accent1"/>
        <w:bottom w:val="single" w:sz="8" w:space="0" w:color="004C5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4C54" w:themeColor="accent1"/>
          <w:left w:val="nil"/>
          <w:bottom w:val="single" w:sz="8" w:space="0" w:color="004C54" w:themeColor="accent1"/>
          <w:right w:val="nil"/>
          <w:insideH w:val="nil"/>
          <w:insideV w:val="nil"/>
        </w:tcBorders>
      </w:tcPr>
    </w:tblStylePr>
    <w:tblStylePr w:type="lastRow">
      <w:pPr>
        <w:spacing w:before="0" w:after="0" w:line="240" w:lineRule="auto"/>
      </w:pPr>
      <w:rPr>
        <w:b/>
        <w:bCs/>
      </w:rPr>
      <w:tblPr/>
      <w:tcPr>
        <w:tcBorders>
          <w:top w:val="single" w:sz="8" w:space="0" w:color="004C54" w:themeColor="accent1"/>
          <w:left w:val="nil"/>
          <w:bottom w:val="single" w:sz="8" w:space="0" w:color="004C5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5F4FF" w:themeFill="accent1" w:themeFillTint="3F"/>
      </w:tcPr>
    </w:tblStylePr>
    <w:tblStylePr w:type="band1Horz">
      <w:tblPr/>
      <w:tcPr>
        <w:tcBorders>
          <w:left w:val="nil"/>
          <w:right w:val="nil"/>
          <w:insideH w:val="nil"/>
          <w:insideV w:val="nil"/>
        </w:tcBorders>
        <w:shd w:val="clear" w:color="auto" w:fill="95F4FF" w:themeFill="accent1" w:themeFillTint="3F"/>
      </w:tcPr>
    </w:tblStylePr>
  </w:style>
  <w:style w:type="table" w:styleId="LightShading-Accent2">
    <w:name w:val="Light Shading Accent 2"/>
    <w:basedOn w:val="TableNormal"/>
    <w:uiPriority w:val="60"/>
    <w:rsid w:val="00BB4B04"/>
    <w:pPr>
      <w:spacing w:after="0" w:line="240" w:lineRule="auto"/>
    </w:pPr>
    <w:rPr>
      <w:color w:val="85261E" w:themeColor="accent2" w:themeShade="BF"/>
    </w:rPr>
    <w:tblPr>
      <w:tblStyleRowBandSize w:val="1"/>
      <w:tblStyleColBandSize w:val="1"/>
      <w:tblInd w:w="0" w:type="dxa"/>
      <w:tblBorders>
        <w:top w:val="single" w:sz="8" w:space="0" w:color="B23428" w:themeColor="accent2"/>
        <w:bottom w:val="single" w:sz="8" w:space="0" w:color="B23428"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23428" w:themeColor="accent2"/>
          <w:left w:val="nil"/>
          <w:bottom w:val="single" w:sz="8" w:space="0" w:color="B23428" w:themeColor="accent2"/>
          <w:right w:val="nil"/>
          <w:insideH w:val="nil"/>
          <w:insideV w:val="nil"/>
        </w:tcBorders>
      </w:tcPr>
    </w:tblStylePr>
    <w:tblStylePr w:type="lastRow">
      <w:pPr>
        <w:spacing w:before="0" w:after="0" w:line="240" w:lineRule="auto"/>
      </w:pPr>
      <w:rPr>
        <w:b/>
        <w:bCs/>
      </w:rPr>
      <w:tblPr/>
      <w:tcPr>
        <w:tcBorders>
          <w:top w:val="single" w:sz="8" w:space="0" w:color="B23428" w:themeColor="accent2"/>
          <w:left w:val="nil"/>
          <w:bottom w:val="single" w:sz="8" w:space="0" w:color="B2342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C7C3" w:themeFill="accent2" w:themeFillTint="3F"/>
      </w:tcPr>
    </w:tblStylePr>
    <w:tblStylePr w:type="band1Horz">
      <w:tblPr/>
      <w:tcPr>
        <w:tcBorders>
          <w:left w:val="nil"/>
          <w:right w:val="nil"/>
          <w:insideH w:val="nil"/>
          <w:insideV w:val="nil"/>
        </w:tcBorders>
        <w:shd w:val="clear" w:color="auto" w:fill="F1C7C3" w:themeFill="accent2" w:themeFillTint="3F"/>
      </w:tcPr>
    </w:tblStylePr>
  </w:style>
  <w:style w:type="table" w:styleId="LightShading-Accent3">
    <w:name w:val="Light Shading Accent 3"/>
    <w:basedOn w:val="TableNormal"/>
    <w:uiPriority w:val="60"/>
    <w:rsid w:val="00BB4B04"/>
    <w:pPr>
      <w:spacing w:after="0" w:line="240" w:lineRule="auto"/>
    </w:pPr>
    <w:rPr>
      <w:color w:val="305065" w:themeColor="accent3" w:themeShade="BF"/>
    </w:rPr>
    <w:tblPr>
      <w:tblStyleRowBandSize w:val="1"/>
      <w:tblStyleColBandSize w:val="1"/>
      <w:tblInd w:w="0" w:type="dxa"/>
      <w:tblBorders>
        <w:top w:val="single" w:sz="8" w:space="0" w:color="406B87" w:themeColor="accent3"/>
        <w:bottom w:val="single" w:sz="8" w:space="0" w:color="406B87"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06B87" w:themeColor="accent3"/>
          <w:left w:val="nil"/>
          <w:bottom w:val="single" w:sz="8" w:space="0" w:color="406B87" w:themeColor="accent3"/>
          <w:right w:val="nil"/>
          <w:insideH w:val="nil"/>
          <w:insideV w:val="nil"/>
        </w:tcBorders>
      </w:tcPr>
    </w:tblStylePr>
    <w:tblStylePr w:type="lastRow">
      <w:pPr>
        <w:spacing w:before="0" w:after="0" w:line="240" w:lineRule="auto"/>
      </w:pPr>
      <w:rPr>
        <w:b/>
        <w:bCs/>
      </w:rPr>
      <w:tblPr/>
      <w:tcPr>
        <w:tcBorders>
          <w:top w:val="single" w:sz="8" w:space="0" w:color="406B87" w:themeColor="accent3"/>
          <w:left w:val="nil"/>
          <w:bottom w:val="single" w:sz="8" w:space="0" w:color="406B8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DBE6" w:themeFill="accent3" w:themeFillTint="3F"/>
      </w:tcPr>
    </w:tblStylePr>
    <w:tblStylePr w:type="band1Horz">
      <w:tblPr/>
      <w:tcPr>
        <w:tcBorders>
          <w:left w:val="nil"/>
          <w:right w:val="nil"/>
          <w:insideH w:val="nil"/>
          <w:insideV w:val="nil"/>
        </w:tcBorders>
        <w:shd w:val="clear" w:color="auto" w:fill="CADBE6" w:themeFill="accent3" w:themeFillTint="3F"/>
      </w:tcPr>
    </w:tblStylePr>
  </w:style>
  <w:style w:type="table" w:customStyle="1" w:styleId="EPStyle3">
    <w:name w:val="E&amp;P Style 3"/>
    <w:basedOn w:val="TableNormal"/>
    <w:uiPriority w:val="99"/>
    <w:rsid w:val="00D83658"/>
    <w:pPr>
      <w:spacing w:after="0" w:line="240" w:lineRule="auto"/>
    </w:pPr>
    <w:rPr>
      <w:sz w:val="18"/>
    </w:rPr>
    <w:tblPr>
      <w:tblInd w:w="11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0" w:type="dxa"/>
        <w:left w:w="108" w:type="dxa"/>
        <w:bottom w:w="0" w:type="dxa"/>
        <w:right w:w="108" w:type="dxa"/>
      </w:tblCellMar>
    </w:tblPr>
    <w:tcPr>
      <w:shd w:val="clear" w:color="auto" w:fill="C7C8CA" w:themeFill="accent5"/>
    </w:tcPr>
    <w:tblStylePr w:type="firstRow">
      <w:pPr>
        <w:wordWrap/>
        <w:jc w:val="center"/>
        <w:outlineLvl w:val="8"/>
      </w:pPr>
      <w:rPr>
        <w:rFonts w:ascii="Arial" w:hAnsi="Arial"/>
        <w:b/>
        <w:sz w:val="18"/>
      </w:rPr>
      <w:tblPr/>
      <w:trPr>
        <w:tblHeader/>
      </w:trPr>
      <w:tcPr>
        <w:shd w:val="clear" w:color="auto" w:fill="004C54" w:themeFill="accent1"/>
      </w:tcPr>
    </w:tblStylePr>
  </w:style>
  <w:style w:type="paragraph" w:customStyle="1" w:styleId="TableHeaderblack">
    <w:name w:val="Table Header black"/>
    <w:basedOn w:val="Normal"/>
    <w:qFormat/>
    <w:rsid w:val="007D0EE0"/>
    <w:pPr>
      <w:spacing w:after="120" w:line="240" w:lineRule="auto"/>
      <w:jc w:val="center"/>
    </w:pPr>
    <w:rPr>
      <w:rFonts w:ascii="Arial" w:hAnsi="Arial"/>
      <w:b/>
      <w:color w:val="000000" w:themeColor="text1"/>
      <w:sz w:val="18"/>
    </w:rPr>
  </w:style>
  <w:style w:type="paragraph" w:styleId="TOCHeading">
    <w:name w:val="TOC Heading"/>
    <w:basedOn w:val="Heading1"/>
    <w:next w:val="Normal"/>
    <w:uiPriority w:val="39"/>
    <w:semiHidden/>
    <w:unhideWhenUsed/>
    <w:qFormat/>
    <w:rsid w:val="00BB4B04"/>
    <w:pPr>
      <w:keepLines/>
      <w:numPr>
        <w:numId w:val="0"/>
      </w:numPr>
      <w:spacing w:before="480" w:after="0" w:line="276" w:lineRule="auto"/>
      <w:outlineLvl w:val="9"/>
    </w:pPr>
    <w:rPr>
      <w:rFonts w:asciiTheme="majorHAnsi" w:eastAsiaTheme="majorEastAsia" w:hAnsiTheme="majorHAnsi" w:cstheme="majorBidi"/>
      <w:bCs/>
      <w:color w:val="00383E" w:themeColor="accent1" w:themeShade="BF"/>
      <w:sz w:val="28"/>
      <w:szCs w:val="28"/>
      <w:lang w:val="en-US" w:eastAsia="ja-JP"/>
    </w:rPr>
  </w:style>
  <w:style w:type="paragraph" w:styleId="TOC1">
    <w:name w:val="toc 1"/>
    <w:basedOn w:val="Normal"/>
    <w:next w:val="Normal"/>
    <w:autoRedefine/>
    <w:uiPriority w:val="39"/>
    <w:qFormat/>
    <w:rsid w:val="00D20B2C"/>
    <w:pPr>
      <w:tabs>
        <w:tab w:val="left" w:pos="567"/>
        <w:tab w:val="right" w:leader="dot" w:pos="8789"/>
      </w:tabs>
      <w:spacing w:before="240"/>
    </w:pPr>
    <w:rPr>
      <w:rFonts w:ascii="Arial" w:hAnsi="Arial" w:cs="Arial"/>
      <w:b/>
      <w:noProof/>
      <w:sz w:val="28"/>
      <w:szCs w:val="28"/>
    </w:rPr>
  </w:style>
  <w:style w:type="paragraph" w:styleId="TOC2">
    <w:name w:val="toc 2"/>
    <w:basedOn w:val="Normal"/>
    <w:next w:val="Normal"/>
    <w:uiPriority w:val="39"/>
    <w:qFormat/>
    <w:rsid w:val="00D20B2C"/>
    <w:pPr>
      <w:tabs>
        <w:tab w:val="left" w:pos="1134"/>
        <w:tab w:val="right" w:leader="dot" w:pos="8789"/>
      </w:tabs>
      <w:ind w:left="1134" w:hanging="567"/>
    </w:pPr>
    <w:rPr>
      <w:rFonts w:eastAsiaTheme="minorEastAsia"/>
      <w:noProof/>
      <w:sz w:val="24"/>
      <w:lang w:eastAsia="en-AU"/>
    </w:rPr>
  </w:style>
  <w:style w:type="character" w:styleId="Hyperlink">
    <w:name w:val="Hyperlink"/>
    <w:uiPriority w:val="99"/>
    <w:rsid w:val="00BB4B04"/>
    <w:rPr>
      <w:lang w:eastAsia="en-AU"/>
    </w:rPr>
  </w:style>
  <w:style w:type="paragraph" w:customStyle="1" w:styleId="Heading">
    <w:name w:val="Heading"/>
    <w:basedOn w:val="Heading1"/>
    <w:next w:val="Normal"/>
    <w:link w:val="HeadingChar"/>
    <w:uiPriority w:val="4"/>
    <w:semiHidden/>
    <w:rsid w:val="00BB4B04"/>
    <w:pPr>
      <w:numPr>
        <w:numId w:val="0"/>
      </w:numPr>
    </w:pPr>
    <w:rPr>
      <w:color w:val="0078B9"/>
      <w:sz w:val="36"/>
      <w:lang w:val="en-NZ"/>
    </w:rPr>
  </w:style>
  <w:style w:type="character" w:customStyle="1" w:styleId="HeadingChar">
    <w:name w:val="Heading Char"/>
    <w:basedOn w:val="Heading1Char"/>
    <w:link w:val="Heading"/>
    <w:uiPriority w:val="4"/>
    <w:semiHidden/>
    <w:rsid w:val="00BB4B04"/>
    <w:rPr>
      <w:rFonts w:ascii="Arial" w:eastAsia="Times New Roman" w:hAnsi="Arial" w:cs="Times New Roman"/>
      <w:b/>
      <w:color w:val="0078B9"/>
      <w:sz w:val="36"/>
      <w:szCs w:val="20"/>
      <w:lang w:val="en-NZ" w:eastAsia="en-AU"/>
    </w:rPr>
  </w:style>
  <w:style w:type="table" w:customStyle="1" w:styleId="EPStyle4">
    <w:name w:val="E&amp;P Style 4"/>
    <w:basedOn w:val="TableNormal"/>
    <w:rsid w:val="00D83658"/>
    <w:pPr>
      <w:spacing w:before="60" w:after="60" w:line="240" w:lineRule="auto"/>
    </w:pPr>
    <w:rPr>
      <w:rFonts w:eastAsia="Times New Roman" w:cs="Times New Roman"/>
      <w:sz w:val="18"/>
      <w:lang w:eastAsia="en-AU"/>
    </w:rPr>
    <w:tblPr>
      <w:tblStyleRowBandSize w:val="1"/>
      <w:tblStyleColBandSize w:val="1"/>
      <w:tblInd w:w="113" w:type="dxa"/>
      <w:tblBorders>
        <w:insideH w:val="single" w:sz="18" w:space="0" w:color="FFFFFF"/>
        <w:insideV w:val="single" w:sz="18" w:space="0" w:color="FFFFFF"/>
      </w:tblBorders>
      <w:tblCellMar>
        <w:top w:w="0" w:type="dxa"/>
        <w:left w:w="108" w:type="dxa"/>
        <w:bottom w:w="0" w:type="dxa"/>
        <w:right w:w="108" w:type="dxa"/>
      </w:tblCellMar>
    </w:tblPr>
    <w:tcPr>
      <w:shd w:val="clear" w:color="auto" w:fill="E6E7E8"/>
    </w:tcPr>
    <w:tblStylePr w:type="firstRow">
      <w:pPr>
        <w:wordWrap/>
        <w:jc w:val="center"/>
      </w:pPr>
      <w:rPr>
        <w:rFonts w:ascii="Arial Bold" w:hAnsi="Arial Bold"/>
        <w:b/>
        <w:i w:val="0"/>
        <w:color w:val="FFFFFF" w:themeColor="background1"/>
        <w:sz w:val="18"/>
      </w:rPr>
      <w:tblPr/>
      <w:trPr>
        <w:tblHeader/>
      </w:trPr>
      <w:tcPr>
        <w:shd w:val="clear" w:color="auto" w:fill="004C54" w:themeFill="accent1"/>
      </w:tcPr>
    </w:tblStylePr>
    <w:tblStylePr w:type="firstCol">
      <w:tblPr/>
      <w:tcPr>
        <w:shd w:val="clear" w:color="auto" w:fill="C7C8CA"/>
      </w:tcPr>
    </w:tblStylePr>
    <w:tblStylePr w:type="band2Vert">
      <w:tblPr/>
      <w:tcPr>
        <w:shd w:val="clear" w:color="auto" w:fill="C7C8CA"/>
      </w:tcPr>
    </w:tblStylePr>
  </w:style>
  <w:style w:type="paragraph" w:customStyle="1" w:styleId="HeadingNoTOC">
    <w:name w:val="Heading (No TOC)"/>
    <w:next w:val="Normal"/>
    <w:link w:val="HeadingNoTOCChar"/>
    <w:uiPriority w:val="4"/>
    <w:qFormat/>
    <w:rsid w:val="001D2F07"/>
    <w:pPr>
      <w:outlineLvl w:val="8"/>
    </w:pPr>
    <w:rPr>
      <w:rFonts w:ascii="Arial" w:eastAsia="Times New Roman" w:hAnsi="Arial" w:cs="Times New Roman"/>
      <w:b/>
      <w:color w:val="004C54" w:themeColor="accent1"/>
      <w:sz w:val="32"/>
      <w:lang w:eastAsia="en-AU"/>
    </w:rPr>
  </w:style>
  <w:style w:type="character" w:customStyle="1" w:styleId="HeadingNoTOCChar">
    <w:name w:val="Heading (No TOC) Char"/>
    <w:basedOn w:val="Heading1Char"/>
    <w:link w:val="HeadingNoTOC"/>
    <w:uiPriority w:val="4"/>
    <w:rsid w:val="001D2F07"/>
    <w:rPr>
      <w:rFonts w:ascii="Arial" w:eastAsia="Times New Roman" w:hAnsi="Arial" w:cs="Times New Roman"/>
      <w:b/>
      <w:color w:val="004C54" w:themeColor="accent1"/>
      <w:sz w:val="32"/>
      <w:lang w:eastAsia="en-AU"/>
    </w:rPr>
  </w:style>
  <w:style w:type="paragraph" w:customStyle="1" w:styleId="TableText">
    <w:name w:val="Table Text"/>
    <w:basedOn w:val="Normal"/>
    <w:link w:val="TableTextChar"/>
    <w:uiPriority w:val="1"/>
    <w:qFormat/>
    <w:rsid w:val="005E1006"/>
    <w:pPr>
      <w:spacing w:before="60" w:line="240" w:lineRule="auto"/>
    </w:pPr>
    <w:rPr>
      <w:rFonts w:eastAsia="Times New Roman" w:cs="Times New Roman"/>
      <w:sz w:val="18"/>
      <w:lang w:eastAsia="en-AU"/>
    </w:rPr>
  </w:style>
  <w:style w:type="character" w:customStyle="1" w:styleId="TableTextChar">
    <w:name w:val="Table Text Char"/>
    <w:link w:val="TableText"/>
    <w:uiPriority w:val="1"/>
    <w:rsid w:val="00274DF6"/>
    <w:rPr>
      <w:rFonts w:eastAsia="Times New Roman" w:cs="Times New Roman"/>
      <w:sz w:val="18"/>
      <w:lang w:eastAsia="en-AU"/>
    </w:rPr>
  </w:style>
  <w:style w:type="paragraph" w:customStyle="1" w:styleId="BackCoverAddresses">
    <w:name w:val="Back Cover Addresses"/>
    <w:basedOn w:val="Normal"/>
    <w:qFormat/>
    <w:rsid w:val="00BB4B04"/>
    <w:pPr>
      <w:spacing w:after="240"/>
    </w:pPr>
    <w:rPr>
      <w:color w:val="FFFFFF" w:themeColor="background1"/>
      <w:szCs w:val="19"/>
    </w:rPr>
  </w:style>
  <w:style w:type="paragraph" w:styleId="TOC3">
    <w:name w:val="toc 3"/>
    <w:basedOn w:val="Normal"/>
    <w:next w:val="Normal"/>
    <w:uiPriority w:val="39"/>
    <w:qFormat/>
    <w:rsid w:val="00D20B2C"/>
    <w:pPr>
      <w:tabs>
        <w:tab w:val="left" w:pos="1843"/>
        <w:tab w:val="right" w:leader="dot" w:pos="8789"/>
      </w:tabs>
      <w:spacing w:after="100" w:line="260" w:lineRule="exact"/>
      <w:ind w:left="1701" w:hanging="567"/>
    </w:pPr>
    <w:rPr>
      <w:rFonts w:eastAsiaTheme="minorEastAsia"/>
      <w:noProof/>
      <w:lang w:eastAsia="en-AU"/>
    </w:rPr>
  </w:style>
  <w:style w:type="numbering" w:styleId="111111">
    <w:name w:val="Outline List 2"/>
    <w:basedOn w:val="NoList"/>
    <w:semiHidden/>
    <w:rsid w:val="00BB4B04"/>
    <w:pPr>
      <w:numPr>
        <w:numId w:val="1"/>
      </w:numPr>
    </w:pPr>
  </w:style>
  <w:style w:type="numbering" w:styleId="1ai">
    <w:name w:val="Outline List 1"/>
    <w:basedOn w:val="NoList"/>
    <w:semiHidden/>
    <w:rsid w:val="00BB4B04"/>
    <w:pPr>
      <w:numPr>
        <w:numId w:val="2"/>
      </w:numPr>
    </w:pPr>
  </w:style>
  <w:style w:type="paragraph" w:styleId="ListParagraph">
    <w:name w:val="List Paragraph"/>
    <w:basedOn w:val="Normal"/>
    <w:link w:val="ListParagraphChar"/>
    <w:uiPriority w:val="34"/>
    <w:qFormat/>
    <w:rsid w:val="00D20B2C"/>
    <w:pPr>
      <w:contextualSpacing/>
    </w:pPr>
    <w:rPr>
      <w:noProof/>
    </w:rPr>
  </w:style>
  <w:style w:type="character" w:customStyle="1" w:styleId="ListParagraphChar">
    <w:name w:val="List Paragraph Char"/>
    <w:basedOn w:val="DefaultParagraphFont"/>
    <w:link w:val="ListParagraph"/>
    <w:uiPriority w:val="99"/>
    <w:semiHidden/>
    <w:rsid w:val="00AB7EBC"/>
    <w:rPr>
      <w:noProof/>
    </w:rPr>
  </w:style>
  <w:style w:type="character" w:customStyle="1" w:styleId="Heading6Char">
    <w:name w:val="Heading 6 Char"/>
    <w:basedOn w:val="DefaultParagraphFont"/>
    <w:link w:val="Heading6"/>
    <w:uiPriority w:val="4"/>
    <w:semiHidden/>
    <w:rsid w:val="00BB4B04"/>
    <w:rPr>
      <w:rFonts w:ascii="Arial" w:eastAsia="Times New Roman" w:hAnsi="Arial" w:cs="Times New Roman"/>
      <w:b/>
      <w:bCs/>
      <w:i/>
      <w:color w:val="6D6E71"/>
      <w:sz w:val="20"/>
      <w:lang w:eastAsia="en-AU"/>
    </w:rPr>
  </w:style>
  <w:style w:type="numbering" w:styleId="ArticleSection">
    <w:name w:val="Outline List 3"/>
    <w:basedOn w:val="NoList"/>
    <w:semiHidden/>
    <w:rsid w:val="00BB4B04"/>
    <w:pPr>
      <w:numPr>
        <w:numId w:val="4"/>
      </w:numPr>
    </w:pPr>
  </w:style>
  <w:style w:type="paragraph" w:styleId="BlockText">
    <w:name w:val="Block Text"/>
    <w:basedOn w:val="Normal"/>
    <w:semiHidden/>
    <w:rsid w:val="00BB4B04"/>
    <w:pPr>
      <w:spacing w:before="240" w:line="280" w:lineRule="atLeast"/>
      <w:ind w:left="1440" w:right="1440"/>
    </w:pPr>
    <w:rPr>
      <w:rFonts w:ascii="Arial" w:eastAsia="Times New Roman" w:hAnsi="Arial" w:cs="Times New Roman"/>
      <w:lang w:eastAsia="en-AU"/>
    </w:rPr>
  </w:style>
  <w:style w:type="paragraph" w:styleId="BodyText">
    <w:name w:val="Body Text"/>
    <w:basedOn w:val="Normal"/>
    <w:link w:val="BodyTextChar"/>
    <w:semiHidden/>
    <w:unhideWhenUsed/>
    <w:rsid w:val="00BB4B04"/>
  </w:style>
  <w:style w:type="character" w:customStyle="1" w:styleId="BodyTextChar">
    <w:name w:val="Body Text Char"/>
    <w:basedOn w:val="DefaultParagraphFont"/>
    <w:link w:val="BodyText"/>
    <w:semiHidden/>
    <w:rsid w:val="00BB4B04"/>
    <w:rPr>
      <w:rFonts w:ascii="Georgia" w:hAnsi="Georgia"/>
      <w:sz w:val="20"/>
    </w:rPr>
  </w:style>
  <w:style w:type="paragraph" w:styleId="BodyTextFirstIndent">
    <w:name w:val="Body Text First Indent"/>
    <w:basedOn w:val="Normal"/>
    <w:link w:val="BodyTextFirstIndentChar"/>
    <w:semiHidden/>
    <w:rsid w:val="00BB4B04"/>
    <w:pPr>
      <w:spacing w:before="240" w:after="0" w:line="280" w:lineRule="atLeast"/>
      <w:ind w:firstLine="210"/>
    </w:pPr>
    <w:rPr>
      <w:rFonts w:ascii="Arial" w:eastAsia="Times New Roman" w:hAnsi="Arial" w:cs="Times New Roman"/>
      <w:lang w:eastAsia="en-AU"/>
    </w:rPr>
  </w:style>
  <w:style w:type="character" w:customStyle="1" w:styleId="BodyTextFirstIndentChar">
    <w:name w:val="Body Text First Indent Char"/>
    <w:basedOn w:val="BodyTextChar"/>
    <w:link w:val="BodyTextFirstIndent"/>
    <w:semiHidden/>
    <w:rsid w:val="00BB4B04"/>
    <w:rPr>
      <w:rFonts w:ascii="Arial" w:eastAsia="Times New Roman" w:hAnsi="Arial" w:cs="Times New Roman"/>
      <w:sz w:val="20"/>
      <w:szCs w:val="20"/>
      <w:lang w:eastAsia="en-AU"/>
    </w:rPr>
  </w:style>
  <w:style w:type="paragraph" w:styleId="BodyTextIndent">
    <w:name w:val="Body Text Indent"/>
    <w:basedOn w:val="Normal"/>
    <w:link w:val="BodyTextIndentChar"/>
    <w:semiHidden/>
    <w:rsid w:val="00BB4B04"/>
    <w:pPr>
      <w:spacing w:before="240" w:line="280" w:lineRule="atLeast"/>
      <w:ind w:left="283"/>
    </w:pPr>
    <w:rPr>
      <w:rFonts w:ascii="Arial" w:eastAsia="Times New Roman" w:hAnsi="Arial" w:cs="Times New Roman"/>
      <w:lang w:eastAsia="en-AU"/>
    </w:rPr>
  </w:style>
  <w:style w:type="character" w:customStyle="1" w:styleId="BodyTextIndentChar">
    <w:name w:val="Body Text Indent Char"/>
    <w:basedOn w:val="DefaultParagraphFont"/>
    <w:link w:val="BodyTextIndent"/>
    <w:semiHidden/>
    <w:rsid w:val="00BB4B04"/>
    <w:rPr>
      <w:rFonts w:ascii="Arial" w:eastAsia="Times New Roman" w:hAnsi="Arial" w:cs="Times New Roman"/>
      <w:sz w:val="20"/>
      <w:szCs w:val="20"/>
      <w:lang w:eastAsia="en-AU"/>
    </w:rPr>
  </w:style>
  <w:style w:type="paragraph" w:styleId="BodyTextFirstIndent2">
    <w:name w:val="Body Text First Indent 2"/>
    <w:basedOn w:val="BodyTextIndent"/>
    <w:link w:val="BodyTextFirstIndent2Char"/>
    <w:semiHidden/>
    <w:rsid w:val="00BB4B04"/>
    <w:pPr>
      <w:ind w:firstLine="210"/>
    </w:pPr>
  </w:style>
  <w:style w:type="character" w:customStyle="1" w:styleId="BodyTextFirstIndent2Char">
    <w:name w:val="Body Text First Indent 2 Char"/>
    <w:basedOn w:val="BodyTextIndentChar"/>
    <w:link w:val="BodyTextFirstIndent2"/>
    <w:semiHidden/>
    <w:rsid w:val="00BB4B04"/>
    <w:rPr>
      <w:rFonts w:ascii="Arial" w:eastAsia="Times New Roman" w:hAnsi="Arial" w:cs="Times New Roman"/>
      <w:sz w:val="20"/>
      <w:szCs w:val="20"/>
      <w:lang w:eastAsia="en-AU"/>
    </w:rPr>
  </w:style>
  <w:style w:type="paragraph" w:styleId="BodyTextIndent2">
    <w:name w:val="Body Text Indent 2"/>
    <w:basedOn w:val="Normal"/>
    <w:link w:val="BodyTextIndent2Char"/>
    <w:semiHidden/>
    <w:rsid w:val="00BB4B04"/>
    <w:pPr>
      <w:spacing w:before="240" w:line="480" w:lineRule="auto"/>
      <w:ind w:left="283"/>
    </w:pPr>
    <w:rPr>
      <w:rFonts w:ascii="Arial" w:eastAsia="Times New Roman" w:hAnsi="Arial" w:cs="Times New Roman"/>
      <w:lang w:eastAsia="en-AU"/>
    </w:rPr>
  </w:style>
  <w:style w:type="character" w:customStyle="1" w:styleId="BodyTextIndent2Char">
    <w:name w:val="Body Text Indent 2 Char"/>
    <w:basedOn w:val="DefaultParagraphFont"/>
    <w:link w:val="BodyTextIndent2"/>
    <w:semiHidden/>
    <w:rsid w:val="00BB4B04"/>
    <w:rPr>
      <w:rFonts w:ascii="Arial" w:eastAsia="Times New Roman" w:hAnsi="Arial" w:cs="Times New Roman"/>
      <w:sz w:val="20"/>
      <w:szCs w:val="20"/>
      <w:lang w:eastAsia="en-AU"/>
    </w:rPr>
  </w:style>
  <w:style w:type="paragraph" w:styleId="BodyTextIndent3">
    <w:name w:val="Body Text Indent 3"/>
    <w:basedOn w:val="Normal"/>
    <w:link w:val="BodyTextIndent3Char"/>
    <w:semiHidden/>
    <w:rsid w:val="00BB4B04"/>
    <w:pPr>
      <w:spacing w:before="240" w:line="280" w:lineRule="atLeast"/>
      <w:ind w:left="283"/>
    </w:pPr>
    <w:rPr>
      <w:rFonts w:ascii="Arial" w:eastAsia="Times New Roman" w:hAnsi="Arial" w:cs="Times New Roman"/>
      <w:sz w:val="16"/>
      <w:szCs w:val="16"/>
      <w:lang w:eastAsia="en-AU"/>
    </w:rPr>
  </w:style>
  <w:style w:type="character" w:customStyle="1" w:styleId="BodyTextIndent3Char">
    <w:name w:val="Body Text Indent 3 Char"/>
    <w:basedOn w:val="DefaultParagraphFont"/>
    <w:link w:val="BodyTextIndent3"/>
    <w:semiHidden/>
    <w:rsid w:val="00BB4B04"/>
    <w:rPr>
      <w:rFonts w:ascii="Arial" w:eastAsia="Times New Roman" w:hAnsi="Arial" w:cs="Times New Roman"/>
      <w:sz w:val="16"/>
      <w:szCs w:val="16"/>
      <w:lang w:eastAsia="en-AU"/>
    </w:rPr>
  </w:style>
  <w:style w:type="paragraph" w:styleId="Caption">
    <w:name w:val="caption"/>
    <w:basedOn w:val="Normal"/>
    <w:next w:val="Normal"/>
    <w:link w:val="CaptionChar"/>
    <w:qFormat/>
    <w:rsid w:val="00BB4B04"/>
    <w:pPr>
      <w:keepNext/>
      <w:spacing w:before="320" w:line="240" w:lineRule="auto"/>
      <w:ind w:left="1134" w:hanging="1134"/>
    </w:pPr>
    <w:rPr>
      <w:rFonts w:eastAsia="Times New Roman" w:cs="Arial"/>
      <w:b/>
      <w:bCs/>
      <w:sz w:val="18"/>
      <w:lang w:eastAsia="en-AU"/>
    </w:rPr>
  </w:style>
  <w:style w:type="character" w:customStyle="1" w:styleId="CaptionChar">
    <w:name w:val="Caption Char"/>
    <w:basedOn w:val="DefaultParagraphFont"/>
    <w:link w:val="Caption"/>
    <w:rsid w:val="00274DF6"/>
    <w:rPr>
      <w:rFonts w:eastAsia="Times New Roman" w:cs="Arial"/>
      <w:b/>
      <w:bCs/>
      <w:sz w:val="18"/>
      <w:lang w:eastAsia="en-AU"/>
    </w:rPr>
  </w:style>
  <w:style w:type="paragraph" w:styleId="Closing">
    <w:name w:val="Closing"/>
    <w:basedOn w:val="Normal"/>
    <w:link w:val="ClosingChar"/>
    <w:semiHidden/>
    <w:rsid w:val="00BB4B04"/>
    <w:pPr>
      <w:spacing w:before="240" w:after="0" w:line="280" w:lineRule="atLeast"/>
      <w:ind w:left="4252"/>
    </w:pPr>
    <w:rPr>
      <w:rFonts w:ascii="Arial" w:eastAsia="Times New Roman" w:hAnsi="Arial" w:cs="Times New Roman"/>
      <w:lang w:eastAsia="en-AU"/>
    </w:rPr>
  </w:style>
  <w:style w:type="character" w:customStyle="1" w:styleId="ClosingChar">
    <w:name w:val="Closing Char"/>
    <w:basedOn w:val="DefaultParagraphFont"/>
    <w:link w:val="Closing"/>
    <w:semiHidden/>
    <w:rsid w:val="00BB4B04"/>
    <w:rPr>
      <w:rFonts w:ascii="Arial" w:eastAsia="Times New Roman" w:hAnsi="Arial" w:cs="Times New Roman"/>
      <w:sz w:val="20"/>
      <w:szCs w:val="20"/>
      <w:lang w:eastAsia="en-AU"/>
    </w:rPr>
  </w:style>
  <w:style w:type="paragraph" w:customStyle="1" w:styleId="CVBodyTextBold">
    <w:name w:val="CV Body Text Bold"/>
    <w:basedOn w:val="Normal"/>
    <w:semiHidden/>
    <w:rsid w:val="00BB4B04"/>
    <w:pPr>
      <w:spacing w:before="60" w:line="280" w:lineRule="atLeast"/>
      <w:contextualSpacing/>
    </w:pPr>
    <w:rPr>
      <w:rFonts w:ascii="Arial" w:eastAsia="Times New Roman" w:hAnsi="Arial" w:cs="Times New Roman"/>
      <w:b/>
      <w:color w:val="FFFFFF"/>
      <w:lang w:eastAsia="en-AU"/>
    </w:rPr>
  </w:style>
  <w:style w:type="paragraph" w:styleId="E-mailSignature">
    <w:name w:val="E-mail Signature"/>
    <w:basedOn w:val="Normal"/>
    <w:link w:val="E-mailSignatureChar"/>
    <w:semiHidden/>
    <w:rsid w:val="00BB4B04"/>
    <w:pPr>
      <w:spacing w:before="240" w:after="0" w:line="280" w:lineRule="atLeast"/>
    </w:pPr>
    <w:rPr>
      <w:rFonts w:ascii="Arial" w:eastAsia="Times New Roman" w:hAnsi="Arial" w:cs="Times New Roman"/>
      <w:lang w:eastAsia="en-AU"/>
    </w:rPr>
  </w:style>
  <w:style w:type="character" w:customStyle="1" w:styleId="E-mailSignatureChar">
    <w:name w:val="E-mail Signature Char"/>
    <w:basedOn w:val="DefaultParagraphFont"/>
    <w:link w:val="E-mailSignature"/>
    <w:semiHidden/>
    <w:rsid w:val="00BB4B04"/>
    <w:rPr>
      <w:rFonts w:ascii="Arial" w:eastAsia="Times New Roman" w:hAnsi="Arial" w:cs="Times New Roman"/>
      <w:sz w:val="20"/>
      <w:szCs w:val="20"/>
      <w:lang w:eastAsia="en-AU"/>
    </w:rPr>
  </w:style>
  <w:style w:type="paragraph" w:styleId="EnvelopeAddress">
    <w:name w:val="envelope address"/>
    <w:basedOn w:val="Normal"/>
    <w:semiHidden/>
    <w:rsid w:val="00BB4B04"/>
    <w:pPr>
      <w:framePr w:w="7920" w:h="1980" w:hRule="exact" w:hSpace="180" w:wrap="auto" w:hAnchor="page" w:xAlign="center" w:yAlign="bottom"/>
      <w:spacing w:before="240" w:after="0" w:line="280" w:lineRule="atLeast"/>
      <w:ind w:left="2880"/>
    </w:pPr>
    <w:rPr>
      <w:rFonts w:ascii="Arial" w:eastAsia="Times New Roman" w:hAnsi="Arial" w:cs="Arial"/>
      <w:sz w:val="24"/>
      <w:lang w:eastAsia="en-AU"/>
    </w:rPr>
  </w:style>
  <w:style w:type="paragraph" w:styleId="EnvelopeReturn">
    <w:name w:val="envelope return"/>
    <w:basedOn w:val="Normal"/>
    <w:semiHidden/>
    <w:rsid w:val="00BB4B04"/>
    <w:pPr>
      <w:spacing w:before="240" w:after="0" w:line="280" w:lineRule="atLeast"/>
    </w:pPr>
    <w:rPr>
      <w:rFonts w:ascii="Arial" w:eastAsia="Times New Roman" w:hAnsi="Arial" w:cs="Arial"/>
      <w:lang w:eastAsia="en-AU"/>
    </w:rPr>
  </w:style>
  <w:style w:type="character" w:styleId="FollowedHyperlink">
    <w:name w:val="FollowedHyperlink"/>
    <w:basedOn w:val="DefaultParagraphFont"/>
    <w:semiHidden/>
    <w:rsid w:val="00BB4B04"/>
    <w:rPr>
      <w:color w:val="800080"/>
      <w:u w:val="single"/>
    </w:rPr>
  </w:style>
  <w:style w:type="character" w:styleId="HTMLAcronym">
    <w:name w:val="HTML Acronym"/>
    <w:basedOn w:val="DefaultParagraphFont"/>
    <w:semiHidden/>
    <w:rsid w:val="00BB4B04"/>
  </w:style>
  <w:style w:type="paragraph" w:styleId="HTMLAddress">
    <w:name w:val="HTML Address"/>
    <w:basedOn w:val="Normal"/>
    <w:link w:val="HTMLAddressChar"/>
    <w:semiHidden/>
    <w:rsid w:val="00BB4B04"/>
    <w:pPr>
      <w:spacing w:before="240" w:after="0" w:line="280" w:lineRule="atLeast"/>
    </w:pPr>
    <w:rPr>
      <w:rFonts w:ascii="Arial" w:eastAsia="Times New Roman" w:hAnsi="Arial" w:cs="Times New Roman"/>
      <w:i/>
      <w:iCs/>
      <w:lang w:eastAsia="en-AU"/>
    </w:rPr>
  </w:style>
  <w:style w:type="character" w:customStyle="1" w:styleId="HTMLAddressChar">
    <w:name w:val="HTML Address Char"/>
    <w:basedOn w:val="DefaultParagraphFont"/>
    <w:link w:val="HTMLAddress"/>
    <w:semiHidden/>
    <w:rsid w:val="00BB4B04"/>
    <w:rPr>
      <w:rFonts w:ascii="Arial" w:eastAsia="Times New Roman" w:hAnsi="Arial" w:cs="Times New Roman"/>
      <w:i/>
      <w:iCs/>
      <w:sz w:val="20"/>
      <w:szCs w:val="20"/>
      <w:lang w:eastAsia="en-AU"/>
    </w:rPr>
  </w:style>
  <w:style w:type="character" w:styleId="HTMLCite">
    <w:name w:val="HTML Cite"/>
    <w:basedOn w:val="DefaultParagraphFont"/>
    <w:semiHidden/>
    <w:rsid w:val="00BB4B04"/>
    <w:rPr>
      <w:i/>
      <w:iCs/>
    </w:rPr>
  </w:style>
  <w:style w:type="character" w:styleId="HTMLCode">
    <w:name w:val="HTML Code"/>
    <w:basedOn w:val="DefaultParagraphFont"/>
    <w:semiHidden/>
    <w:rsid w:val="00BB4B04"/>
    <w:rPr>
      <w:rFonts w:ascii="Courier New" w:hAnsi="Courier New" w:cs="Courier New"/>
      <w:sz w:val="20"/>
      <w:szCs w:val="20"/>
    </w:rPr>
  </w:style>
  <w:style w:type="character" w:styleId="HTMLDefinition">
    <w:name w:val="HTML Definition"/>
    <w:basedOn w:val="DefaultParagraphFont"/>
    <w:semiHidden/>
    <w:rsid w:val="00BB4B04"/>
    <w:rPr>
      <w:i/>
      <w:iCs/>
    </w:rPr>
  </w:style>
  <w:style w:type="character" w:styleId="HTMLKeyboard">
    <w:name w:val="HTML Keyboard"/>
    <w:basedOn w:val="DefaultParagraphFont"/>
    <w:semiHidden/>
    <w:rsid w:val="00BB4B04"/>
    <w:rPr>
      <w:rFonts w:ascii="Courier New" w:hAnsi="Courier New" w:cs="Courier New"/>
      <w:sz w:val="20"/>
      <w:szCs w:val="20"/>
    </w:rPr>
  </w:style>
  <w:style w:type="paragraph" w:styleId="HTMLPreformatted">
    <w:name w:val="HTML Preformatted"/>
    <w:basedOn w:val="Normal"/>
    <w:link w:val="HTMLPreformattedChar"/>
    <w:semiHidden/>
    <w:rsid w:val="00BB4B04"/>
    <w:pPr>
      <w:spacing w:before="240" w:after="0" w:line="280" w:lineRule="atLeast"/>
    </w:pPr>
    <w:rPr>
      <w:rFonts w:ascii="Courier New" w:eastAsia="Times New Roman" w:hAnsi="Courier New" w:cs="Courier New"/>
      <w:lang w:eastAsia="en-AU"/>
    </w:rPr>
  </w:style>
  <w:style w:type="character" w:customStyle="1" w:styleId="HTMLPreformattedChar">
    <w:name w:val="HTML Preformatted Char"/>
    <w:basedOn w:val="DefaultParagraphFont"/>
    <w:link w:val="HTMLPreformatted"/>
    <w:semiHidden/>
    <w:rsid w:val="00BB4B04"/>
    <w:rPr>
      <w:rFonts w:ascii="Courier New" w:eastAsia="Times New Roman" w:hAnsi="Courier New" w:cs="Courier New"/>
      <w:sz w:val="20"/>
      <w:szCs w:val="20"/>
      <w:lang w:eastAsia="en-AU"/>
    </w:rPr>
  </w:style>
  <w:style w:type="character" w:styleId="HTMLSample">
    <w:name w:val="HTML Sample"/>
    <w:basedOn w:val="DefaultParagraphFont"/>
    <w:semiHidden/>
    <w:rsid w:val="00BB4B04"/>
    <w:rPr>
      <w:rFonts w:ascii="Courier New" w:hAnsi="Courier New" w:cs="Courier New"/>
    </w:rPr>
  </w:style>
  <w:style w:type="character" w:styleId="HTMLTypewriter">
    <w:name w:val="HTML Typewriter"/>
    <w:basedOn w:val="DefaultParagraphFont"/>
    <w:semiHidden/>
    <w:rsid w:val="00BB4B04"/>
    <w:rPr>
      <w:rFonts w:ascii="Courier New" w:hAnsi="Courier New" w:cs="Courier New"/>
      <w:sz w:val="20"/>
      <w:szCs w:val="20"/>
    </w:rPr>
  </w:style>
  <w:style w:type="character" w:styleId="HTMLVariable">
    <w:name w:val="HTML Variable"/>
    <w:basedOn w:val="DefaultParagraphFont"/>
    <w:semiHidden/>
    <w:rsid w:val="00BB4B04"/>
    <w:rPr>
      <w:i/>
      <w:iCs/>
    </w:rPr>
  </w:style>
  <w:style w:type="table" w:styleId="LightList-Accent1">
    <w:name w:val="Light List Accent 1"/>
    <w:basedOn w:val="TableNormal"/>
    <w:uiPriority w:val="61"/>
    <w:rsid w:val="00BB4B04"/>
    <w:pPr>
      <w:spacing w:after="0" w:line="240" w:lineRule="auto"/>
    </w:pPr>
    <w:rPr>
      <w:rFonts w:ascii="Times" w:eastAsia="Times New Roman" w:hAnsi="Times" w:cs="Times New Roman"/>
      <w:lang w:eastAsia="en-AU"/>
    </w:rPr>
    <w:tblPr>
      <w:tblStyleRowBandSize w:val="1"/>
      <w:tblStyleColBandSize w:val="1"/>
      <w:tblInd w:w="0" w:type="dxa"/>
      <w:tblBorders>
        <w:top w:val="single" w:sz="8" w:space="0" w:color="004C54" w:themeColor="accent1"/>
        <w:left w:val="single" w:sz="8" w:space="0" w:color="004C54" w:themeColor="accent1"/>
        <w:bottom w:val="single" w:sz="8" w:space="0" w:color="004C54" w:themeColor="accent1"/>
        <w:right w:val="single" w:sz="8" w:space="0" w:color="004C54"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4C54" w:themeFill="accent1"/>
      </w:tcPr>
    </w:tblStylePr>
    <w:tblStylePr w:type="lastRow">
      <w:pPr>
        <w:spacing w:before="0" w:after="0" w:line="240" w:lineRule="auto"/>
      </w:pPr>
      <w:rPr>
        <w:b/>
        <w:bCs/>
      </w:rPr>
      <w:tblPr/>
      <w:tcPr>
        <w:tcBorders>
          <w:top w:val="double" w:sz="6" w:space="0" w:color="004C54" w:themeColor="accent1"/>
          <w:left w:val="single" w:sz="8" w:space="0" w:color="004C54" w:themeColor="accent1"/>
          <w:bottom w:val="single" w:sz="8" w:space="0" w:color="004C54" w:themeColor="accent1"/>
          <w:right w:val="single" w:sz="8" w:space="0" w:color="004C54" w:themeColor="accent1"/>
        </w:tcBorders>
      </w:tcPr>
    </w:tblStylePr>
    <w:tblStylePr w:type="firstCol">
      <w:rPr>
        <w:b/>
        <w:bCs/>
      </w:rPr>
    </w:tblStylePr>
    <w:tblStylePr w:type="lastCol">
      <w:rPr>
        <w:b/>
        <w:bCs/>
      </w:rPr>
    </w:tblStylePr>
    <w:tblStylePr w:type="band1Vert">
      <w:tblPr/>
      <w:tcPr>
        <w:tcBorders>
          <w:top w:val="single" w:sz="8" w:space="0" w:color="004C54" w:themeColor="accent1"/>
          <w:left w:val="single" w:sz="8" w:space="0" w:color="004C54" w:themeColor="accent1"/>
          <w:bottom w:val="single" w:sz="8" w:space="0" w:color="004C54" w:themeColor="accent1"/>
          <w:right w:val="single" w:sz="8" w:space="0" w:color="004C54" w:themeColor="accent1"/>
        </w:tcBorders>
      </w:tcPr>
    </w:tblStylePr>
    <w:tblStylePr w:type="band1Horz">
      <w:tblPr/>
      <w:tcPr>
        <w:tcBorders>
          <w:top w:val="single" w:sz="8" w:space="0" w:color="004C54" w:themeColor="accent1"/>
          <w:left w:val="single" w:sz="8" w:space="0" w:color="004C54" w:themeColor="accent1"/>
          <w:bottom w:val="single" w:sz="8" w:space="0" w:color="004C54" w:themeColor="accent1"/>
          <w:right w:val="single" w:sz="8" w:space="0" w:color="004C54" w:themeColor="accent1"/>
        </w:tcBorders>
      </w:tcPr>
    </w:tblStylePr>
  </w:style>
  <w:style w:type="character" w:styleId="LineNumber">
    <w:name w:val="line number"/>
    <w:basedOn w:val="DefaultParagraphFont"/>
    <w:semiHidden/>
    <w:rsid w:val="00BB4B04"/>
  </w:style>
  <w:style w:type="paragraph" w:styleId="List2">
    <w:name w:val="List 2"/>
    <w:basedOn w:val="Normal"/>
    <w:semiHidden/>
    <w:rsid w:val="00BB4B04"/>
    <w:pPr>
      <w:spacing w:before="240" w:after="0" w:line="280" w:lineRule="atLeast"/>
      <w:ind w:left="566" w:hanging="283"/>
    </w:pPr>
    <w:rPr>
      <w:rFonts w:ascii="Arial" w:eastAsia="Times New Roman" w:hAnsi="Arial" w:cs="Times New Roman"/>
      <w:lang w:eastAsia="en-AU"/>
    </w:rPr>
  </w:style>
  <w:style w:type="paragraph" w:styleId="List3">
    <w:name w:val="List 3"/>
    <w:basedOn w:val="Normal"/>
    <w:semiHidden/>
    <w:rsid w:val="00BB4B04"/>
    <w:pPr>
      <w:spacing w:before="240" w:after="0" w:line="280" w:lineRule="atLeast"/>
      <w:ind w:left="849" w:hanging="283"/>
    </w:pPr>
    <w:rPr>
      <w:rFonts w:ascii="Arial" w:eastAsia="Times New Roman" w:hAnsi="Arial" w:cs="Times New Roman"/>
      <w:lang w:eastAsia="en-AU"/>
    </w:rPr>
  </w:style>
  <w:style w:type="paragraph" w:styleId="List4">
    <w:name w:val="List 4"/>
    <w:basedOn w:val="Normal"/>
    <w:semiHidden/>
    <w:rsid w:val="00BB4B04"/>
    <w:pPr>
      <w:spacing w:before="240" w:after="0" w:line="280" w:lineRule="atLeast"/>
      <w:ind w:left="1132" w:hanging="283"/>
    </w:pPr>
    <w:rPr>
      <w:rFonts w:ascii="Arial" w:eastAsia="Times New Roman" w:hAnsi="Arial" w:cs="Times New Roman"/>
      <w:lang w:eastAsia="en-AU"/>
    </w:rPr>
  </w:style>
  <w:style w:type="paragraph" w:styleId="List5">
    <w:name w:val="List 5"/>
    <w:basedOn w:val="Normal"/>
    <w:semiHidden/>
    <w:rsid w:val="00BB4B04"/>
    <w:pPr>
      <w:spacing w:before="240" w:after="0" w:line="280" w:lineRule="atLeast"/>
      <w:ind w:left="1415" w:hanging="283"/>
    </w:pPr>
    <w:rPr>
      <w:rFonts w:ascii="Arial" w:eastAsia="Times New Roman" w:hAnsi="Arial" w:cs="Times New Roman"/>
      <w:lang w:eastAsia="en-AU"/>
    </w:rPr>
  </w:style>
  <w:style w:type="paragraph" w:styleId="ListBullet3">
    <w:name w:val="List Bullet 3"/>
    <w:basedOn w:val="Normal"/>
    <w:semiHidden/>
    <w:rsid w:val="00BB4B04"/>
    <w:pPr>
      <w:numPr>
        <w:numId w:val="8"/>
      </w:numPr>
      <w:spacing w:before="240" w:after="0" w:line="280" w:lineRule="atLeast"/>
    </w:pPr>
    <w:rPr>
      <w:rFonts w:ascii="Arial" w:eastAsia="Times New Roman" w:hAnsi="Arial" w:cs="Times New Roman"/>
      <w:lang w:eastAsia="en-AU"/>
    </w:rPr>
  </w:style>
  <w:style w:type="paragraph" w:styleId="ListBullet4">
    <w:name w:val="List Bullet 4"/>
    <w:basedOn w:val="Normal"/>
    <w:semiHidden/>
    <w:rsid w:val="00BB4B04"/>
    <w:pPr>
      <w:numPr>
        <w:numId w:val="9"/>
      </w:numPr>
      <w:spacing w:before="240" w:after="0" w:line="280" w:lineRule="atLeast"/>
    </w:pPr>
    <w:rPr>
      <w:rFonts w:ascii="Arial" w:eastAsia="Times New Roman" w:hAnsi="Arial" w:cs="Times New Roman"/>
      <w:lang w:eastAsia="en-AU"/>
    </w:rPr>
  </w:style>
  <w:style w:type="paragraph" w:styleId="ListBullet5">
    <w:name w:val="List Bullet 5"/>
    <w:basedOn w:val="Normal"/>
    <w:semiHidden/>
    <w:rsid w:val="00BB4B04"/>
    <w:pPr>
      <w:numPr>
        <w:numId w:val="10"/>
      </w:numPr>
      <w:spacing w:before="240" w:after="0" w:line="280" w:lineRule="atLeast"/>
    </w:pPr>
    <w:rPr>
      <w:rFonts w:ascii="Arial" w:eastAsia="Times New Roman" w:hAnsi="Arial" w:cs="Times New Roman"/>
      <w:lang w:eastAsia="en-AU"/>
    </w:rPr>
  </w:style>
  <w:style w:type="paragraph" w:styleId="ListContinue">
    <w:name w:val="List Continue"/>
    <w:basedOn w:val="Normal"/>
    <w:semiHidden/>
    <w:rsid w:val="00BB4B04"/>
    <w:pPr>
      <w:spacing w:before="240" w:line="280" w:lineRule="atLeast"/>
      <w:ind w:left="283"/>
    </w:pPr>
    <w:rPr>
      <w:rFonts w:ascii="Arial" w:eastAsia="Times New Roman" w:hAnsi="Arial" w:cs="Times New Roman"/>
      <w:lang w:eastAsia="en-AU"/>
    </w:rPr>
  </w:style>
  <w:style w:type="paragraph" w:styleId="ListContinue2">
    <w:name w:val="List Continue 2"/>
    <w:basedOn w:val="Normal"/>
    <w:semiHidden/>
    <w:rsid w:val="00BB4B04"/>
    <w:pPr>
      <w:spacing w:before="240" w:line="280" w:lineRule="atLeast"/>
      <w:ind w:left="566"/>
    </w:pPr>
    <w:rPr>
      <w:rFonts w:ascii="Arial" w:eastAsia="Times New Roman" w:hAnsi="Arial" w:cs="Times New Roman"/>
      <w:lang w:eastAsia="en-AU"/>
    </w:rPr>
  </w:style>
  <w:style w:type="paragraph" w:styleId="ListContinue3">
    <w:name w:val="List Continue 3"/>
    <w:basedOn w:val="Normal"/>
    <w:semiHidden/>
    <w:rsid w:val="00BB4B04"/>
    <w:pPr>
      <w:spacing w:before="240" w:line="280" w:lineRule="atLeast"/>
      <w:ind w:left="849"/>
    </w:pPr>
    <w:rPr>
      <w:rFonts w:ascii="Arial" w:eastAsia="Times New Roman" w:hAnsi="Arial" w:cs="Times New Roman"/>
      <w:lang w:eastAsia="en-AU"/>
    </w:rPr>
  </w:style>
  <w:style w:type="paragraph" w:styleId="ListContinue4">
    <w:name w:val="List Continue 4"/>
    <w:basedOn w:val="Normal"/>
    <w:semiHidden/>
    <w:rsid w:val="00BB4B04"/>
    <w:pPr>
      <w:spacing w:before="240" w:line="280" w:lineRule="atLeast"/>
      <w:ind w:left="1132"/>
    </w:pPr>
    <w:rPr>
      <w:rFonts w:ascii="Arial" w:eastAsia="Times New Roman" w:hAnsi="Arial" w:cs="Times New Roman"/>
      <w:lang w:eastAsia="en-AU"/>
    </w:rPr>
  </w:style>
  <w:style w:type="paragraph" w:styleId="ListContinue5">
    <w:name w:val="List Continue 5"/>
    <w:basedOn w:val="Normal"/>
    <w:semiHidden/>
    <w:rsid w:val="00BB4B04"/>
    <w:pPr>
      <w:spacing w:before="240" w:line="280" w:lineRule="atLeast"/>
      <w:ind w:left="1415"/>
    </w:pPr>
    <w:rPr>
      <w:rFonts w:ascii="Arial" w:eastAsia="Times New Roman" w:hAnsi="Arial" w:cs="Times New Roman"/>
      <w:lang w:eastAsia="en-AU"/>
    </w:rPr>
  </w:style>
  <w:style w:type="paragraph" w:styleId="ListNumber2">
    <w:name w:val="List Number 2"/>
    <w:basedOn w:val="Normal"/>
    <w:semiHidden/>
    <w:rsid w:val="00BB4B04"/>
    <w:pPr>
      <w:numPr>
        <w:numId w:val="12"/>
      </w:numPr>
      <w:spacing w:before="240" w:after="0" w:line="280" w:lineRule="atLeast"/>
    </w:pPr>
    <w:rPr>
      <w:rFonts w:ascii="Arial" w:eastAsia="Times New Roman" w:hAnsi="Arial" w:cs="Times New Roman"/>
      <w:lang w:eastAsia="en-AU"/>
    </w:rPr>
  </w:style>
  <w:style w:type="paragraph" w:styleId="ListNumber3">
    <w:name w:val="List Number 3"/>
    <w:basedOn w:val="Normal"/>
    <w:semiHidden/>
    <w:rsid w:val="00BB4B04"/>
    <w:pPr>
      <w:numPr>
        <w:numId w:val="13"/>
      </w:numPr>
      <w:spacing w:before="240" w:after="0" w:line="280" w:lineRule="atLeast"/>
    </w:pPr>
    <w:rPr>
      <w:rFonts w:ascii="Arial" w:eastAsia="Times New Roman" w:hAnsi="Arial" w:cs="Times New Roman"/>
      <w:lang w:eastAsia="en-AU"/>
    </w:rPr>
  </w:style>
  <w:style w:type="paragraph" w:styleId="ListNumber4">
    <w:name w:val="List Number 4"/>
    <w:basedOn w:val="Normal"/>
    <w:semiHidden/>
    <w:rsid w:val="00BB4B04"/>
    <w:pPr>
      <w:numPr>
        <w:numId w:val="14"/>
      </w:numPr>
      <w:spacing w:before="240" w:after="0" w:line="280" w:lineRule="atLeast"/>
    </w:pPr>
    <w:rPr>
      <w:rFonts w:ascii="Arial" w:eastAsia="Times New Roman" w:hAnsi="Arial" w:cs="Times New Roman"/>
      <w:lang w:eastAsia="en-AU"/>
    </w:rPr>
  </w:style>
  <w:style w:type="paragraph" w:styleId="ListNumber5">
    <w:name w:val="List Number 5"/>
    <w:basedOn w:val="Normal"/>
    <w:semiHidden/>
    <w:rsid w:val="00BB4B04"/>
    <w:pPr>
      <w:numPr>
        <w:numId w:val="15"/>
      </w:numPr>
      <w:spacing w:before="240" w:after="0" w:line="280" w:lineRule="atLeast"/>
    </w:pPr>
    <w:rPr>
      <w:rFonts w:ascii="Arial" w:eastAsia="Times New Roman" w:hAnsi="Arial" w:cs="Times New Roman"/>
      <w:lang w:eastAsia="en-AU"/>
    </w:rPr>
  </w:style>
  <w:style w:type="paragraph" w:customStyle="1" w:styleId="ListofLittleLetterandLittleRoman">
    <w:name w:val="List of LittleLetter and LittleRoman"/>
    <w:basedOn w:val="Normal"/>
    <w:semiHidden/>
    <w:rsid w:val="00BB4B04"/>
    <w:pPr>
      <w:numPr>
        <w:numId w:val="16"/>
      </w:numPr>
      <w:tabs>
        <w:tab w:val="left" w:pos="851"/>
        <w:tab w:val="left" w:pos="1985"/>
        <w:tab w:val="left" w:pos="2552"/>
        <w:tab w:val="left" w:pos="3119"/>
        <w:tab w:val="right" w:pos="9027"/>
      </w:tabs>
      <w:spacing w:before="8" w:after="4" w:line="280" w:lineRule="atLeast"/>
    </w:pPr>
    <w:rPr>
      <w:rFonts w:ascii="Verdana" w:eastAsia="Times New Roman" w:hAnsi="Verdana" w:cs="Times New Roman"/>
      <w:sz w:val="18"/>
      <w:szCs w:val="24"/>
    </w:rPr>
  </w:style>
  <w:style w:type="table" w:styleId="MediumShading1">
    <w:name w:val="Medium Shading 1"/>
    <w:basedOn w:val="TableNormal"/>
    <w:uiPriority w:val="63"/>
    <w:rsid w:val="00BB4B04"/>
    <w:pPr>
      <w:spacing w:after="0" w:line="240" w:lineRule="auto"/>
    </w:pPr>
    <w:rPr>
      <w:rFonts w:ascii="Times" w:eastAsia="Times New Roman" w:hAnsi="Times" w:cs="Times New Roman"/>
      <w:lang w:eastAsia="en-AU"/>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MessageHeader">
    <w:name w:val="Message Header"/>
    <w:basedOn w:val="Normal"/>
    <w:link w:val="MessageHeaderChar"/>
    <w:semiHidden/>
    <w:rsid w:val="00BB4B04"/>
    <w:pPr>
      <w:pBdr>
        <w:top w:val="single" w:sz="6" w:space="1" w:color="auto"/>
        <w:left w:val="single" w:sz="6" w:space="1" w:color="auto"/>
        <w:bottom w:val="single" w:sz="6" w:space="1" w:color="auto"/>
        <w:right w:val="single" w:sz="6" w:space="1" w:color="auto"/>
      </w:pBdr>
      <w:shd w:val="pct20" w:color="auto" w:fill="auto"/>
      <w:spacing w:before="240" w:after="0" w:line="280" w:lineRule="atLeast"/>
      <w:ind w:left="1134" w:hanging="1134"/>
    </w:pPr>
    <w:rPr>
      <w:rFonts w:ascii="Arial" w:eastAsia="Times New Roman" w:hAnsi="Arial" w:cs="Arial"/>
      <w:sz w:val="24"/>
      <w:lang w:eastAsia="en-AU"/>
    </w:rPr>
  </w:style>
  <w:style w:type="character" w:customStyle="1" w:styleId="MessageHeaderChar">
    <w:name w:val="Message Header Char"/>
    <w:basedOn w:val="DefaultParagraphFont"/>
    <w:link w:val="MessageHeader"/>
    <w:semiHidden/>
    <w:rsid w:val="00BB4B04"/>
    <w:rPr>
      <w:rFonts w:ascii="Arial" w:eastAsia="Times New Roman" w:hAnsi="Arial" w:cs="Arial"/>
      <w:sz w:val="24"/>
      <w:szCs w:val="20"/>
      <w:shd w:val="pct20" w:color="auto" w:fill="auto"/>
      <w:lang w:eastAsia="en-AU"/>
    </w:rPr>
  </w:style>
  <w:style w:type="paragraph" w:styleId="NoteHeading">
    <w:name w:val="Note Heading"/>
    <w:basedOn w:val="Normal"/>
    <w:next w:val="Normal"/>
    <w:link w:val="NoteHeadingChar"/>
    <w:semiHidden/>
    <w:rsid w:val="00BB4B04"/>
    <w:pPr>
      <w:spacing w:before="240" w:after="0" w:line="280" w:lineRule="atLeast"/>
    </w:pPr>
    <w:rPr>
      <w:rFonts w:ascii="Arial" w:eastAsia="Times New Roman" w:hAnsi="Arial" w:cs="Times New Roman"/>
      <w:lang w:eastAsia="en-AU"/>
    </w:rPr>
  </w:style>
  <w:style w:type="character" w:customStyle="1" w:styleId="NoteHeadingChar">
    <w:name w:val="Note Heading Char"/>
    <w:basedOn w:val="DefaultParagraphFont"/>
    <w:link w:val="NoteHeading"/>
    <w:semiHidden/>
    <w:rsid w:val="00BB4B04"/>
    <w:rPr>
      <w:rFonts w:ascii="Arial" w:eastAsia="Times New Roman" w:hAnsi="Arial" w:cs="Times New Roman"/>
      <w:sz w:val="20"/>
      <w:szCs w:val="20"/>
      <w:lang w:eastAsia="en-AU"/>
    </w:rPr>
  </w:style>
  <w:style w:type="paragraph" w:customStyle="1" w:styleId="FrontPageDate">
    <w:name w:val="Front Page Date"/>
    <w:basedOn w:val="Normal"/>
    <w:uiPriority w:val="8"/>
    <w:qFormat/>
    <w:rsid w:val="002769AE"/>
    <w:pPr>
      <w:spacing w:after="120"/>
      <w:ind w:left="284"/>
    </w:pPr>
    <w:rPr>
      <w:rFonts w:ascii="Arial Bold" w:hAnsi="Arial Bold"/>
      <w:b/>
      <w:color w:val="FFFFFF"/>
      <w:sz w:val="28"/>
      <w:szCs w:val="22"/>
    </w:rPr>
  </w:style>
  <w:style w:type="character" w:styleId="PlaceholderText">
    <w:name w:val="Placeholder Text"/>
    <w:basedOn w:val="DefaultParagraphFont"/>
    <w:uiPriority w:val="99"/>
    <w:semiHidden/>
    <w:rsid w:val="00BB4B04"/>
    <w:rPr>
      <w:color w:val="808080"/>
    </w:rPr>
  </w:style>
  <w:style w:type="paragraph" w:styleId="PlainText">
    <w:name w:val="Plain Text"/>
    <w:basedOn w:val="Normal"/>
    <w:link w:val="PlainTextChar"/>
    <w:semiHidden/>
    <w:rsid w:val="00BB4B04"/>
    <w:pPr>
      <w:spacing w:before="240" w:after="0" w:line="280" w:lineRule="atLeast"/>
    </w:pPr>
    <w:rPr>
      <w:rFonts w:ascii="Courier New" w:eastAsia="Times New Roman" w:hAnsi="Courier New" w:cs="Courier New"/>
      <w:lang w:eastAsia="en-AU"/>
    </w:rPr>
  </w:style>
  <w:style w:type="character" w:customStyle="1" w:styleId="PlainTextChar">
    <w:name w:val="Plain Text Char"/>
    <w:basedOn w:val="DefaultParagraphFont"/>
    <w:link w:val="PlainText"/>
    <w:semiHidden/>
    <w:rsid w:val="00BB4B04"/>
    <w:rPr>
      <w:rFonts w:ascii="Courier New" w:eastAsia="Times New Roman" w:hAnsi="Courier New" w:cs="Courier New"/>
      <w:sz w:val="20"/>
      <w:szCs w:val="20"/>
      <w:lang w:eastAsia="en-AU"/>
    </w:rPr>
  </w:style>
  <w:style w:type="paragraph" w:styleId="Quote">
    <w:name w:val="Quote"/>
    <w:basedOn w:val="Normal"/>
    <w:link w:val="QuoteChar"/>
    <w:qFormat/>
    <w:rsid w:val="00FE5739"/>
    <w:pPr>
      <w:spacing w:before="240" w:after="120"/>
      <w:ind w:left="851" w:right="851"/>
    </w:pPr>
    <w:rPr>
      <w:rFonts w:eastAsia="Times New Roman" w:cs="Times New Roman"/>
      <w:i/>
      <w:lang w:eastAsia="en-AU"/>
    </w:rPr>
  </w:style>
  <w:style w:type="character" w:customStyle="1" w:styleId="QuoteChar">
    <w:name w:val="Quote Char"/>
    <w:basedOn w:val="DefaultParagraphFont"/>
    <w:link w:val="Quote"/>
    <w:rsid w:val="00FE5739"/>
    <w:rPr>
      <w:rFonts w:eastAsia="Times New Roman" w:cs="Times New Roman"/>
      <w:i/>
      <w:lang w:eastAsia="en-AU"/>
    </w:rPr>
  </w:style>
  <w:style w:type="paragraph" w:styleId="Salutation">
    <w:name w:val="Salutation"/>
    <w:basedOn w:val="Normal"/>
    <w:next w:val="Normal"/>
    <w:link w:val="SalutationChar"/>
    <w:semiHidden/>
    <w:rsid w:val="00BB4B04"/>
    <w:pPr>
      <w:spacing w:before="240" w:after="0" w:line="280" w:lineRule="atLeast"/>
    </w:pPr>
    <w:rPr>
      <w:rFonts w:ascii="Arial" w:eastAsia="Times New Roman" w:hAnsi="Arial" w:cs="Times New Roman"/>
      <w:lang w:eastAsia="en-AU"/>
    </w:rPr>
  </w:style>
  <w:style w:type="character" w:customStyle="1" w:styleId="SalutationChar">
    <w:name w:val="Salutation Char"/>
    <w:basedOn w:val="DefaultParagraphFont"/>
    <w:link w:val="Salutation"/>
    <w:semiHidden/>
    <w:rsid w:val="00BB4B04"/>
    <w:rPr>
      <w:rFonts w:ascii="Arial" w:eastAsia="Times New Roman" w:hAnsi="Arial" w:cs="Times New Roman"/>
      <w:sz w:val="20"/>
      <w:szCs w:val="20"/>
      <w:lang w:eastAsia="en-AU"/>
    </w:rPr>
  </w:style>
  <w:style w:type="paragraph" w:styleId="Signature">
    <w:name w:val="Signature"/>
    <w:basedOn w:val="Normal"/>
    <w:link w:val="SignatureChar"/>
    <w:semiHidden/>
    <w:rsid w:val="00BB4B04"/>
    <w:pPr>
      <w:spacing w:before="240" w:after="0" w:line="280" w:lineRule="atLeast"/>
      <w:ind w:left="4252"/>
    </w:pPr>
    <w:rPr>
      <w:rFonts w:ascii="Arial" w:eastAsia="Times New Roman" w:hAnsi="Arial" w:cs="Times New Roman"/>
      <w:lang w:eastAsia="en-AU"/>
    </w:rPr>
  </w:style>
  <w:style w:type="character" w:customStyle="1" w:styleId="SignatureChar">
    <w:name w:val="Signature Char"/>
    <w:basedOn w:val="DefaultParagraphFont"/>
    <w:link w:val="Signature"/>
    <w:semiHidden/>
    <w:rsid w:val="00BB4B04"/>
    <w:rPr>
      <w:rFonts w:ascii="Arial" w:eastAsia="Times New Roman" w:hAnsi="Arial" w:cs="Times New Roman"/>
      <w:sz w:val="20"/>
      <w:szCs w:val="20"/>
      <w:lang w:eastAsia="en-AU"/>
    </w:rPr>
  </w:style>
  <w:style w:type="table" w:styleId="Table3Deffects1">
    <w:name w:val="Table 3D effects 1"/>
    <w:basedOn w:val="TableNormal"/>
    <w:semiHidden/>
    <w:rsid w:val="00BB4B04"/>
    <w:pPr>
      <w:spacing w:after="0" w:line="240" w:lineRule="auto"/>
    </w:pPr>
    <w:rPr>
      <w:rFonts w:ascii="Times" w:eastAsia="Times New Roman" w:hAnsi="Times" w:cs="Times New Roman"/>
      <w:lang w:eastAsia="en-A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B4B04"/>
    <w:pPr>
      <w:spacing w:after="0" w:line="240" w:lineRule="auto"/>
    </w:pPr>
    <w:rPr>
      <w:rFonts w:ascii="Times" w:eastAsia="Times New Roman" w:hAnsi="Times" w:cs="Times New Roman"/>
      <w:lang w:eastAsia="en-A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B4B04"/>
    <w:pPr>
      <w:spacing w:after="0" w:line="240" w:lineRule="auto"/>
    </w:pPr>
    <w:rPr>
      <w:rFonts w:ascii="Times" w:eastAsia="Times New Roman" w:hAnsi="Times" w:cs="Times New Roman"/>
      <w:lang w:eastAsia="en-A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Bullet">
    <w:name w:val="Table Bullet"/>
    <w:basedOn w:val="TableText"/>
    <w:qFormat/>
    <w:rsid w:val="003C095B"/>
    <w:pPr>
      <w:numPr>
        <w:numId w:val="17"/>
      </w:numPr>
      <w:ind w:left="284" w:hanging="284"/>
    </w:pPr>
  </w:style>
  <w:style w:type="table" w:styleId="TableClassic1">
    <w:name w:val="Table Classic 1"/>
    <w:basedOn w:val="TableNormal"/>
    <w:semiHidden/>
    <w:rsid w:val="00BB4B04"/>
    <w:pPr>
      <w:spacing w:after="0" w:line="240" w:lineRule="auto"/>
    </w:pPr>
    <w:rPr>
      <w:rFonts w:ascii="Times" w:eastAsia="Times New Roman" w:hAnsi="Times" w:cs="Times New Roman"/>
      <w:lang w:eastAsia="en-A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B4B04"/>
    <w:pPr>
      <w:spacing w:after="0" w:line="240" w:lineRule="auto"/>
    </w:pPr>
    <w:rPr>
      <w:rFonts w:ascii="Times" w:eastAsia="Times New Roman" w:hAnsi="Times" w:cs="Times New Roman"/>
      <w:lang w:eastAsia="en-A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B4B04"/>
    <w:pPr>
      <w:spacing w:after="0" w:line="240" w:lineRule="auto"/>
    </w:pPr>
    <w:rPr>
      <w:rFonts w:ascii="Times" w:eastAsia="Times New Roman" w:hAnsi="Times" w:cs="Times New Roman"/>
      <w:color w:val="000080"/>
      <w:lang w:eastAsia="en-A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B4B04"/>
    <w:pPr>
      <w:spacing w:after="0" w:line="240" w:lineRule="auto"/>
    </w:pPr>
    <w:rPr>
      <w:rFonts w:ascii="Times" w:eastAsia="Times New Roman" w:hAnsi="Times" w:cs="Times New Roman"/>
      <w:lang w:eastAsia="en-A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B4B04"/>
    <w:pPr>
      <w:spacing w:after="0" w:line="240" w:lineRule="auto"/>
    </w:pPr>
    <w:rPr>
      <w:rFonts w:ascii="Times" w:eastAsia="Times New Roman" w:hAnsi="Times" w:cs="Times New Roman"/>
      <w:color w:val="FFFFFF"/>
      <w:lang w:eastAsia="en-A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B4B04"/>
    <w:pPr>
      <w:spacing w:after="0" w:line="240" w:lineRule="auto"/>
    </w:pPr>
    <w:rPr>
      <w:rFonts w:ascii="Times" w:eastAsia="Times New Roman" w:hAnsi="Times" w:cs="Times New Roman"/>
      <w:lang w:eastAsia="en-A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B4B04"/>
    <w:pPr>
      <w:spacing w:after="0" w:line="240" w:lineRule="auto"/>
    </w:pPr>
    <w:rPr>
      <w:rFonts w:ascii="Times" w:eastAsia="Times New Roman" w:hAnsi="Times" w:cs="Times New Roman"/>
      <w:lang w:eastAsia="en-A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B4B04"/>
    <w:pPr>
      <w:spacing w:after="0" w:line="240" w:lineRule="auto"/>
    </w:pPr>
    <w:rPr>
      <w:rFonts w:ascii="Times" w:eastAsia="Times New Roman" w:hAnsi="Times" w:cs="Times New Roman"/>
      <w:b/>
      <w:bCs/>
      <w:lang w:eastAsia="en-A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B4B04"/>
    <w:pPr>
      <w:spacing w:after="0" w:line="240" w:lineRule="auto"/>
    </w:pPr>
    <w:rPr>
      <w:rFonts w:ascii="Times" w:eastAsia="Times New Roman" w:hAnsi="Times" w:cs="Times New Roman"/>
      <w:b/>
      <w:bCs/>
      <w:lang w:eastAsia="en-A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B4B04"/>
    <w:pPr>
      <w:spacing w:after="0" w:line="240" w:lineRule="auto"/>
    </w:pPr>
    <w:rPr>
      <w:rFonts w:ascii="Times" w:eastAsia="Times New Roman" w:hAnsi="Times" w:cs="Times New Roman"/>
      <w:b/>
      <w:bCs/>
      <w:lang w:eastAsia="en-A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B4B04"/>
    <w:pPr>
      <w:spacing w:after="0" w:line="240" w:lineRule="auto"/>
    </w:pPr>
    <w:rPr>
      <w:rFonts w:ascii="Times" w:eastAsia="Times New Roman" w:hAnsi="Times" w:cs="Times New Roman"/>
      <w:lang w:eastAsia="en-A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B4B04"/>
    <w:pPr>
      <w:spacing w:after="0" w:line="240" w:lineRule="auto"/>
    </w:pPr>
    <w:rPr>
      <w:rFonts w:ascii="Times" w:eastAsia="Times New Roman" w:hAnsi="Times" w:cs="Times New Roman"/>
      <w:lang w:eastAsia="en-A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BB4B04"/>
    <w:pPr>
      <w:spacing w:after="0" w:line="240" w:lineRule="auto"/>
    </w:pPr>
    <w:rPr>
      <w:rFonts w:ascii="Times" w:eastAsia="Times New Roman" w:hAnsi="Times" w:cs="Times New Roman"/>
      <w:lang w:eastAsia="en-A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B4B04"/>
    <w:pPr>
      <w:spacing w:after="0" w:line="240" w:lineRule="auto"/>
    </w:pPr>
    <w:rPr>
      <w:rFonts w:ascii="Times" w:eastAsia="Times New Roman" w:hAnsi="Times" w:cs="Times New Roman"/>
      <w:lang w:eastAsia="en-A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BB4B04"/>
    <w:pPr>
      <w:spacing w:after="0" w:line="240" w:lineRule="auto"/>
    </w:pPr>
    <w:rPr>
      <w:rFonts w:ascii="Times" w:eastAsia="Times New Roman" w:hAnsi="Times" w:cs="Times New Roman"/>
      <w:lang w:eastAsia="en-A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B4B04"/>
    <w:pPr>
      <w:spacing w:after="0" w:line="240" w:lineRule="auto"/>
    </w:pPr>
    <w:rPr>
      <w:rFonts w:ascii="Times" w:eastAsia="Times New Roman" w:hAnsi="Times" w:cs="Times New Roman"/>
      <w:lang w:eastAsia="en-A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B4B04"/>
    <w:pPr>
      <w:spacing w:after="0" w:line="240" w:lineRule="auto"/>
    </w:pPr>
    <w:rPr>
      <w:rFonts w:ascii="Times" w:eastAsia="Times New Roman" w:hAnsi="Times" w:cs="Times New Roman"/>
      <w:lang w:eastAsia="en-A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B4B04"/>
    <w:pPr>
      <w:spacing w:after="0" w:line="240" w:lineRule="auto"/>
    </w:pPr>
    <w:rPr>
      <w:rFonts w:ascii="Times" w:eastAsia="Times New Roman" w:hAnsi="Times" w:cs="Times New Roman"/>
      <w:lang w:eastAsia="en-A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B4B04"/>
    <w:pPr>
      <w:spacing w:after="0" w:line="240" w:lineRule="auto"/>
    </w:pPr>
    <w:rPr>
      <w:rFonts w:ascii="Times" w:eastAsia="Times New Roman" w:hAnsi="Times" w:cs="Times New Roman"/>
      <w:lang w:eastAsia="en-A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B4B04"/>
    <w:pPr>
      <w:spacing w:after="0" w:line="240" w:lineRule="auto"/>
    </w:pPr>
    <w:rPr>
      <w:rFonts w:ascii="Times" w:eastAsia="Times New Roman" w:hAnsi="Times" w:cs="Times New Roman"/>
      <w:lang w:eastAsia="en-A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B4B04"/>
    <w:pPr>
      <w:spacing w:after="0" w:line="240" w:lineRule="auto"/>
    </w:pPr>
    <w:rPr>
      <w:rFonts w:ascii="Times" w:eastAsia="Times New Roman" w:hAnsi="Times" w:cs="Times New Roman"/>
      <w:b/>
      <w:bCs/>
      <w:lang w:eastAsia="en-A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B4B04"/>
    <w:pPr>
      <w:spacing w:after="0" w:line="240" w:lineRule="auto"/>
    </w:pPr>
    <w:rPr>
      <w:rFonts w:ascii="Times" w:eastAsia="Times New Roman" w:hAnsi="Times" w:cs="Times New Roman"/>
      <w:lang w:eastAsia="en-A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2">
    <w:name w:val="Table List 2"/>
    <w:basedOn w:val="TableNormal"/>
    <w:semiHidden/>
    <w:rsid w:val="00BB4B04"/>
    <w:pPr>
      <w:spacing w:after="0" w:line="240" w:lineRule="auto"/>
    </w:pPr>
    <w:rPr>
      <w:rFonts w:ascii="Times" w:eastAsia="Times New Roman" w:hAnsi="Times" w:cs="Times New Roman"/>
      <w:lang w:eastAsia="en-A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B4B04"/>
    <w:pPr>
      <w:spacing w:after="0" w:line="240" w:lineRule="auto"/>
    </w:pPr>
    <w:rPr>
      <w:rFonts w:ascii="Times" w:eastAsia="Times New Roman" w:hAnsi="Times" w:cs="Times New Roman"/>
      <w:lang w:eastAsia="en-A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B4B04"/>
    <w:pPr>
      <w:spacing w:after="0" w:line="240" w:lineRule="auto"/>
    </w:pPr>
    <w:rPr>
      <w:rFonts w:ascii="Times" w:eastAsia="Times New Roman" w:hAnsi="Times" w:cs="Times New Roman"/>
      <w:lang w:eastAsia="en-A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B4B04"/>
    <w:pPr>
      <w:spacing w:after="0" w:line="240" w:lineRule="auto"/>
    </w:pPr>
    <w:rPr>
      <w:rFonts w:ascii="Times" w:eastAsia="Times New Roman" w:hAnsi="Times" w:cs="Times New Roman"/>
      <w:lang w:eastAsia="en-A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B4B04"/>
    <w:pPr>
      <w:spacing w:after="0" w:line="240" w:lineRule="auto"/>
    </w:pPr>
    <w:rPr>
      <w:rFonts w:ascii="Times" w:eastAsia="Times New Roman" w:hAnsi="Times" w:cs="Times New Roman"/>
      <w:lang w:eastAsia="en-A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B4B04"/>
    <w:pPr>
      <w:spacing w:after="0" w:line="240" w:lineRule="auto"/>
    </w:pPr>
    <w:rPr>
      <w:rFonts w:ascii="Times" w:eastAsia="Times New Roman" w:hAnsi="Times" w:cs="Times New Roman"/>
      <w:lang w:eastAsia="en-A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B4B04"/>
    <w:pPr>
      <w:spacing w:after="0" w:line="240" w:lineRule="auto"/>
    </w:pPr>
    <w:rPr>
      <w:rFonts w:ascii="Times" w:eastAsia="Times New Roman" w:hAnsi="Times" w:cs="Times New Roman"/>
      <w:lang w:eastAsia="en-A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TableNumber">
    <w:name w:val="Table Number"/>
    <w:basedOn w:val="TableText"/>
    <w:qFormat/>
    <w:rsid w:val="0032101A"/>
    <w:pPr>
      <w:numPr>
        <w:numId w:val="18"/>
      </w:numPr>
    </w:pPr>
  </w:style>
  <w:style w:type="paragraph" w:styleId="TableofFigures">
    <w:name w:val="table of figures"/>
    <w:basedOn w:val="Normal"/>
    <w:next w:val="Normal"/>
    <w:uiPriority w:val="99"/>
    <w:semiHidden/>
    <w:qFormat/>
    <w:rsid w:val="00D97B6F"/>
    <w:pPr>
      <w:spacing w:after="0" w:line="240" w:lineRule="auto"/>
      <w:ind w:left="1134" w:hanging="1134"/>
    </w:pPr>
    <w:rPr>
      <w:rFonts w:eastAsiaTheme="minorEastAsia"/>
      <w:noProof/>
      <w:lang w:eastAsia="en-AU"/>
    </w:rPr>
  </w:style>
  <w:style w:type="table" w:styleId="TableProfessional">
    <w:name w:val="Table Professional"/>
    <w:basedOn w:val="TableNormal"/>
    <w:semiHidden/>
    <w:rsid w:val="00BB4B04"/>
    <w:pPr>
      <w:spacing w:after="0" w:line="240" w:lineRule="auto"/>
    </w:pPr>
    <w:rPr>
      <w:rFonts w:ascii="Times" w:eastAsia="Times New Roman" w:hAnsi="Times" w:cs="Times New Roman"/>
      <w:lang w:eastAsia="en-A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B4B04"/>
    <w:pPr>
      <w:spacing w:after="0" w:line="240" w:lineRule="auto"/>
    </w:pPr>
    <w:rPr>
      <w:rFonts w:ascii="Times" w:eastAsia="Times New Roman" w:hAnsi="Times" w:cs="Times New Roman"/>
      <w:lang w:eastAsia="en-A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B4B04"/>
    <w:pPr>
      <w:spacing w:after="0" w:line="240" w:lineRule="auto"/>
    </w:pPr>
    <w:rPr>
      <w:rFonts w:ascii="Times" w:eastAsia="Times New Roman" w:hAnsi="Times" w:cs="Times New Roman"/>
      <w:lang w:eastAsia="en-A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B4B04"/>
    <w:pPr>
      <w:spacing w:after="0" w:line="240" w:lineRule="auto"/>
    </w:pPr>
    <w:rPr>
      <w:rFonts w:ascii="Times" w:eastAsia="Times New Roman" w:hAnsi="Times" w:cs="Times New Roman"/>
      <w:lang w:eastAsia="en-A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B4B04"/>
    <w:pPr>
      <w:spacing w:after="0" w:line="240" w:lineRule="auto"/>
    </w:pPr>
    <w:rPr>
      <w:rFonts w:ascii="Times" w:eastAsia="Times New Roman" w:hAnsi="Times" w:cs="Times New Roman"/>
      <w:lang w:eastAsia="en-A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B4B04"/>
    <w:pPr>
      <w:spacing w:after="0" w:line="240" w:lineRule="auto"/>
    </w:pPr>
    <w:rPr>
      <w:rFonts w:ascii="Times" w:eastAsia="Times New Roman" w:hAnsi="Times" w:cs="Times New Roman"/>
      <w:lang w:eastAsia="en-A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B4B04"/>
    <w:pPr>
      <w:spacing w:after="0" w:line="240" w:lineRule="auto"/>
    </w:pPr>
    <w:rPr>
      <w:rFonts w:ascii="Times" w:eastAsia="Times New Roman" w:hAnsi="Times" w:cs="Times New Roman"/>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BB4B04"/>
    <w:pPr>
      <w:spacing w:after="0" w:line="240" w:lineRule="auto"/>
    </w:pPr>
    <w:rPr>
      <w:rFonts w:ascii="Times" w:eastAsia="Times New Roman" w:hAnsi="Times" w:cs="Times New Roman"/>
      <w:lang w:eastAsia="en-A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B4B04"/>
    <w:pPr>
      <w:spacing w:after="0" w:line="240" w:lineRule="auto"/>
    </w:pPr>
    <w:rPr>
      <w:rFonts w:ascii="Times" w:eastAsia="Times New Roman" w:hAnsi="Times" w:cs="Times New Roman"/>
      <w:lang w:eastAsia="en-A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B4B04"/>
    <w:pPr>
      <w:spacing w:after="0" w:line="240" w:lineRule="auto"/>
    </w:pPr>
    <w:rPr>
      <w:rFonts w:ascii="Times" w:eastAsia="Times New Roman" w:hAnsi="Times" w:cs="Times New Roman"/>
      <w:lang w:eastAsia="en-A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4">
    <w:name w:val="toc 4"/>
    <w:basedOn w:val="Heading5"/>
    <w:next w:val="Normal"/>
    <w:autoRedefine/>
    <w:uiPriority w:val="39"/>
    <w:semiHidden/>
    <w:rsid w:val="00BB4B04"/>
    <w:pPr>
      <w:keepNext w:val="0"/>
      <w:keepLines w:val="0"/>
      <w:tabs>
        <w:tab w:val="right" w:pos="8789"/>
      </w:tabs>
      <w:spacing w:before="80" w:line="240" w:lineRule="auto"/>
      <w:ind w:right="851"/>
      <w:outlineLvl w:val="9"/>
    </w:pPr>
    <w:rPr>
      <w:rFonts w:eastAsia="Times New Roman" w:cs="Times New Roman"/>
      <w:bCs/>
      <w:iCs/>
      <w:color w:val="auto"/>
      <w:szCs w:val="26"/>
      <w:lang w:eastAsia="en-AU"/>
    </w:rPr>
  </w:style>
  <w:style w:type="paragraph" w:styleId="TOC5">
    <w:name w:val="toc 5"/>
    <w:basedOn w:val="Normal"/>
    <w:next w:val="Normal"/>
    <w:autoRedefine/>
    <w:uiPriority w:val="39"/>
    <w:semiHidden/>
    <w:rsid w:val="00BB4B04"/>
    <w:pPr>
      <w:spacing w:after="100" w:line="276" w:lineRule="auto"/>
      <w:ind w:left="880"/>
    </w:pPr>
    <w:rPr>
      <w:rFonts w:asciiTheme="minorHAnsi" w:eastAsiaTheme="minorEastAsia" w:hAnsiTheme="minorHAnsi"/>
      <w:sz w:val="22"/>
      <w:lang w:eastAsia="en-AU"/>
    </w:rPr>
  </w:style>
  <w:style w:type="paragraph" w:styleId="TOC6">
    <w:name w:val="toc 6"/>
    <w:basedOn w:val="Normal"/>
    <w:next w:val="Normal"/>
    <w:autoRedefine/>
    <w:uiPriority w:val="39"/>
    <w:semiHidden/>
    <w:rsid w:val="00BB4B04"/>
    <w:pPr>
      <w:spacing w:after="100" w:line="276" w:lineRule="auto"/>
      <w:ind w:left="1100"/>
    </w:pPr>
    <w:rPr>
      <w:rFonts w:asciiTheme="minorHAnsi" w:eastAsiaTheme="minorEastAsia" w:hAnsiTheme="minorHAnsi"/>
      <w:sz w:val="22"/>
      <w:lang w:eastAsia="en-AU"/>
    </w:rPr>
  </w:style>
  <w:style w:type="paragraph" w:styleId="TOC7">
    <w:name w:val="toc 7"/>
    <w:basedOn w:val="Normal"/>
    <w:next w:val="Normal"/>
    <w:autoRedefine/>
    <w:uiPriority w:val="39"/>
    <w:semiHidden/>
    <w:rsid w:val="00BB4B04"/>
    <w:pPr>
      <w:spacing w:after="100" w:line="276" w:lineRule="auto"/>
      <w:ind w:left="1320"/>
    </w:pPr>
    <w:rPr>
      <w:rFonts w:asciiTheme="minorHAnsi" w:eastAsiaTheme="minorEastAsia" w:hAnsiTheme="minorHAnsi"/>
      <w:sz w:val="22"/>
      <w:lang w:eastAsia="en-AU"/>
    </w:rPr>
  </w:style>
  <w:style w:type="paragraph" w:styleId="TOC8">
    <w:name w:val="toc 8"/>
    <w:basedOn w:val="Normal"/>
    <w:next w:val="Normal"/>
    <w:autoRedefine/>
    <w:uiPriority w:val="39"/>
    <w:semiHidden/>
    <w:rsid w:val="00BB4B04"/>
    <w:pPr>
      <w:spacing w:after="100" w:line="276" w:lineRule="auto"/>
      <w:ind w:left="1540"/>
    </w:pPr>
    <w:rPr>
      <w:rFonts w:asciiTheme="minorHAnsi" w:eastAsiaTheme="minorEastAsia" w:hAnsiTheme="minorHAnsi"/>
      <w:sz w:val="22"/>
      <w:lang w:eastAsia="en-AU"/>
    </w:rPr>
  </w:style>
  <w:style w:type="paragraph" w:styleId="TOC9">
    <w:name w:val="toc 9"/>
    <w:basedOn w:val="Normal"/>
    <w:next w:val="Normal"/>
    <w:autoRedefine/>
    <w:uiPriority w:val="39"/>
    <w:semiHidden/>
    <w:rsid w:val="00BB4B04"/>
    <w:pPr>
      <w:spacing w:after="100"/>
    </w:pPr>
  </w:style>
  <w:style w:type="paragraph" w:customStyle="1" w:styleId="PenPicName">
    <w:name w:val="PenPic Name"/>
    <w:basedOn w:val="Normal"/>
    <w:uiPriority w:val="5"/>
    <w:qFormat/>
    <w:rsid w:val="001D2F07"/>
    <w:pPr>
      <w:spacing w:beforeLines="60" w:before="60" w:afterLines="60" w:line="240" w:lineRule="auto"/>
      <w:ind w:left="709" w:hanging="709"/>
      <w:outlineLvl w:val="8"/>
    </w:pPr>
    <w:rPr>
      <w:b/>
      <w:color w:val="004C54" w:themeColor="accent1"/>
      <w:sz w:val="24"/>
      <w:szCs w:val="24"/>
    </w:rPr>
  </w:style>
  <w:style w:type="paragraph" w:customStyle="1" w:styleId="PenPicTitle">
    <w:name w:val="PenPic Title"/>
    <w:basedOn w:val="PenPicName"/>
    <w:uiPriority w:val="5"/>
    <w:qFormat/>
    <w:rsid w:val="001D2F07"/>
    <w:rPr>
      <w:b w:val="0"/>
      <w:szCs w:val="19"/>
    </w:rPr>
  </w:style>
  <w:style w:type="paragraph" w:customStyle="1" w:styleId="AppendixTitlePage">
    <w:name w:val="Appendix Title Page"/>
    <w:next w:val="Normal"/>
    <w:link w:val="AppendixTitlePageChar"/>
    <w:uiPriority w:val="7"/>
    <w:qFormat/>
    <w:rsid w:val="00A27225"/>
    <w:pPr>
      <w:pageBreakBefore/>
      <w:numPr>
        <w:numId w:val="3"/>
      </w:numPr>
      <w:spacing w:before="1680" w:after="1120" w:line="360" w:lineRule="auto"/>
      <w:ind w:left="2835" w:firstLine="0"/>
      <w:outlineLvl w:val="0"/>
    </w:pPr>
    <w:rPr>
      <w:rFonts w:ascii="Arial" w:eastAsia="Times New Roman" w:hAnsi="Arial" w:cs="Times New Roman"/>
      <w:b/>
      <w:color w:val="000000" w:themeColor="text1"/>
      <w:sz w:val="36"/>
      <w:szCs w:val="36"/>
      <w:lang w:eastAsia="en-AU"/>
    </w:rPr>
  </w:style>
  <w:style w:type="character" w:customStyle="1" w:styleId="AppendixTitlePageChar">
    <w:name w:val="Appendix Title Page Char"/>
    <w:basedOn w:val="DefaultParagraphFont"/>
    <w:link w:val="AppendixTitlePage"/>
    <w:uiPriority w:val="7"/>
    <w:rsid w:val="00A27225"/>
    <w:rPr>
      <w:rFonts w:ascii="Arial" w:eastAsia="Times New Roman" w:hAnsi="Arial" w:cs="Times New Roman"/>
      <w:b/>
      <w:color w:val="000000" w:themeColor="text1"/>
      <w:sz w:val="36"/>
      <w:szCs w:val="36"/>
      <w:lang w:eastAsia="en-AU"/>
    </w:rPr>
  </w:style>
  <w:style w:type="paragraph" w:customStyle="1" w:styleId="TableHeaderwhite">
    <w:name w:val="Table Header white"/>
    <w:basedOn w:val="Normal"/>
    <w:qFormat/>
    <w:rsid w:val="008317C0"/>
    <w:pPr>
      <w:spacing w:after="120" w:line="240" w:lineRule="auto"/>
      <w:jc w:val="center"/>
    </w:pPr>
    <w:rPr>
      <w:rFonts w:ascii="Arial" w:eastAsia="Times New Roman" w:hAnsi="Arial" w:cs="Times New Roman"/>
      <w:b/>
      <w:sz w:val="18"/>
      <w:lang w:eastAsia="en-AU"/>
    </w:rPr>
  </w:style>
  <w:style w:type="paragraph" w:styleId="Header">
    <w:name w:val="header"/>
    <w:basedOn w:val="Normal"/>
    <w:link w:val="HeaderChar"/>
    <w:uiPriority w:val="99"/>
    <w:unhideWhenUsed/>
    <w:qFormat/>
    <w:rsid w:val="00FB721E"/>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FB721E"/>
  </w:style>
  <w:style w:type="table" w:customStyle="1" w:styleId="Style1">
    <w:name w:val="Style1"/>
    <w:basedOn w:val="TableNormal"/>
    <w:uiPriority w:val="99"/>
    <w:rsid w:val="00D83658"/>
    <w:pPr>
      <w:spacing w:after="0" w:line="240" w:lineRule="auto"/>
    </w:pPr>
    <w:tblPr>
      <w:tblInd w:w="0" w:type="dxa"/>
      <w:tblCellMar>
        <w:top w:w="0" w:type="dxa"/>
        <w:left w:w="108" w:type="dxa"/>
        <w:bottom w:w="0" w:type="dxa"/>
        <w:right w:w="108" w:type="dxa"/>
      </w:tblCellMar>
    </w:tblPr>
    <w:tblStylePr w:type="firstRow">
      <w:tblPr/>
      <w:trPr>
        <w:tblHeader/>
      </w:trPr>
    </w:tblStylePr>
  </w:style>
  <w:style w:type="character" w:styleId="CommentReference">
    <w:name w:val="annotation reference"/>
    <w:basedOn w:val="DefaultParagraphFont"/>
    <w:uiPriority w:val="10"/>
    <w:semiHidden/>
    <w:unhideWhenUsed/>
    <w:rsid w:val="00914F07"/>
    <w:rPr>
      <w:sz w:val="16"/>
      <w:szCs w:val="16"/>
    </w:rPr>
  </w:style>
  <w:style w:type="paragraph" w:styleId="CommentText">
    <w:name w:val="annotation text"/>
    <w:basedOn w:val="Normal"/>
    <w:link w:val="CommentTextChar"/>
    <w:uiPriority w:val="10"/>
    <w:semiHidden/>
    <w:unhideWhenUsed/>
    <w:rsid w:val="00914F07"/>
    <w:pPr>
      <w:tabs>
        <w:tab w:val="left" w:pos="851"/>
        <w:tab w:val="left" w:pos="1418"/>
        <w:tab w:val="left" w:pos="1985"/>
        <w:tab w:val="left" w:pos="2552"/>
        <w:tab w:val="left" w:pos="3119"/>
        <w:tab w:val="right" w:pos="9027"/>
      </w:tabs>
      <w:spacing w:before="8" w:after="4" w:line="240" w:lineRule="auto"/>
    </w:pPr>
    <w:rPr>
      <w:rFonts w:ascii="Verdana" w:eastAsia="Times New Roman" w:hAnsi="Verdana" w:cs="Times New Roman"/>
    </w:rPr>
  </w:style>
  <w:style w:type="character" w:customStyle="1" w:styleId="CommentTextChar">
    <w:name w:val="Comment Text Char"/>
    <w:basedOn w:val="DefaultParagraphFont"/>
    <w:link w:val="CommentText"/>
    <w:uiPriority w:val="10"/>
    <w:semiHidden/>
    <w:rsid w:val="00914F07"/>
    <w:rPr>
      <w:rFonts w:ascii="Verdana" w:eastAsia="Times New Roman" w:hAnsi="Verdana" w:cs="Times New Roman"/>
    </w:rPr>
  </w:style>
  <w:style w:type="character" w:styleId="PageNumber">
    <w:name w:val="page number"/>
    <w:rsid w:val="00297372"/>
    <w:rPr>
      <w:rFonts w:ascii="Arial" w:hAnsi="Arial"/>
      <w:color w:val="6D6E71"/>
      <w:sz w:val="14"/>
      <w:szCs w:val="14"/>
    </w:rPr>
  </w:style>
  <w:style w:type="paragraph" w:customStyle="1" w:styleId="newlistbold">
    <w:name w:val="new list  bold"/>
    <w:basedOn w:val="ListNumber"/>
    <w:qFormat/>
    <w:rsid w:val="000B0A37"/>
    <w:pPr>
      <w:numPr>
        <w:numId w:val="21"/>
      </w:numPr>
      <w:ind w:left="567" w:hanging="567"/>
    </w:pPr>
    <w:rPr>
      <w:b/>
    </w:rPr>
  </w:style>
  <w:style w:type="paragraph" w:styleId="CommentSubject">
    <w:name w:val="annotation subject"/>
    <w:basedOn w:val="CommentText"/>
    <w:next w:val="CommentText"/>
    <w:link w:val="CommentSubjectChar"/>
    <w:semiHidden/>
    <w:unhideWhenUsed/>
    <w:rsid w:val="00796777"/>
    <w:pPr>
      <w:tabs>
        <w:tab w:val="clear" w:pos="851"/>
        <w:tab w:val="clear" w:pos="1418"/>
        <w:tab w:val="clear" w:pos="1985"/>
        <w:tab w:val="clear" w:pos="2552"/>
        <w:tab w:val="clear" w:pos="3119"/>
        <w:tab w:val="clear" w:pos="9027"/>
      </w:tabs>
      <w:spacing w:before="120" w:after="60"/>
    </w:pPr>
    <w:rPr>
      <w:rFonts w:ascii="Georgia" w:eastAsiaTheme="minorHAnsi" w:hAnsi="Georgia" w:cstheme="minorBidi"/>
      <w:b/>
      <w:bCs/>
    </w:rPr>
  </w:style>
  <w:style w:type="character" w:customStyle="1" w:styleId="CommentSubjectChar">
    <w:name w:val="Comment Subject Char"/>
    <w:basedOn w:val="CommentTextChar"/>
    <w:link w:val="CommentSubject"/>
    <w:semiHidden/>
    <w:rsid w:val="00796777"/>
    <w:rPr>
      <w:rFonts w:ascii="Verdana" w:eastAsia="Times New Roman" w:hAnsi="Verdana" w:cs="Times New Roman"/>
      <w:b/>
      <w:bCs/>
    </w:rPr>
  </w:style>
  <w:style w:type="character" w:styleId="Strong">
    <w:name w:val="Strong"/>
    <w:basedOn w:val="DefaultParagraphFont"/>
    <w:uiPriority w:val="22"/>
    <w:qFormat/>
    <w:rsid w:val="007966E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889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EP corporate colours 2013">
      <a:dk1>
        <a:sysClr val="windowText" lastClr="000000"/>
      </a:dk1>
      <a:lt1>
        <a:sysClr val="window" lastClr="FFFFFF"/>
      </a:lt1>
      <a:dk2>
        <a:srgbClr val="003263"/>
      </a:dk2>
      <a:lt2>
        <a:srgbClr val="A39161"/>
      </a:lt2>
      <a:accent1>
        <a:srgbClr val="004C54"/>
      </a:accent1>
      <a:accent2>
        <a:srgbClr val="B23428"/>
      </a:accent2>
      <a:accent3>
        <a:srgbClr val="406B87"/>
      </a:accent3>
      <a:accent4>
        <a:srgbClr val="C7C8CA"/>
      </a:accent4>
      <a:accent5>
        <a:srgbClr val="C7C8CA"/>
      </a:accent5>
      <a:accent6>
        <a:srgbClr val="FFFFFF"/>
      </a:accent6>
      <a:hlink>
        <a:srgbClr val="0000FF"/>
      </a:hlink>
      <a:folHlink>
        <a:srgbClr val="800080"/>
      </a:folHlink>
    </a:clrScheme>
    <a:fontScheme name="EP Fonts 2013">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DE1C602121B3FD40935F801149ACB861" ma:contentTypeVersion="1" ma:contentTypeDescription="Create a new document." ma:contentTypeScope="" ma:versionID="85fe2e4be509db629c05c8e2f685c847">
  <xsd:schema xmlns:xsd="http://www.w3.org/2001/XMLSchema" xmlns:xs="http://www.w3.org/2001/XMLSchema" xmlns:p="http://schemas.microsoft.com/office/2006/metadata/properties" xmlns:ns1="http://schemas.microsoft.com/sharepoint/v3" xmlns:ns2="dca91e63-ba90-48bb-9c9a-d813cbd7bfc7" targetNamespace="http://schemas.microsoft.com/office/2006/metadata/properties" ma:root="true" ma:fieldsID="95c15543d65200b1c3cf2af9a292cbe5" ns1:_="" ns2:_="">
    <xsd:import namespace="http://schemas.microsoft.com/sharepoint/v3"/>
    <xsd:import namespace="dca91e63-ba90-48bb-9c9a-d813cbd7bfc7"/>
    <xsd:element name="properties">
      <xsd:complexType>
        <xsd:sequence>
          <xsd:element name="documentManagement">
            <xsd:complexType>
              <xsd:all>
                <xsd:element ref="ns2:_dlc_DocId" minOccurs="0"/>
                <xsd:element ref="ns2:_dlc_DocIdUrl" minOccurs="0"/>
                <xsd:element ref="ns2:_dlc_DocIdPersistId" minOccurs="0"/>
                <xsd:element ref="ns2:TaxKeywordTaxHTField" minOccurs="0"/>
                <xsd:element ref="ns2:TaxCatchAll" minOccurs="0"/>
                <xsd:element ref="ns1:AverageRating" minOccurs="0"/>
                <xsd:element ref="ns1:RatingCount" minOccurs="0"/>
                <xsd:element ref="ns1:Kpi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15" nillable="true" ma:displayName="Rating (0-5)" ma:decimals="2" ma:description="Average value of all the ratings that have been submitted" ma:internalName="AverageRating" ma:readOnly="true">
      <xsd:simpleType>
        <xsd:restriction base="dms:Number"/>
      </xsd:simpleType>
    </xsd:element>
    <xsd:element name="RatingCount" ma:index="16" nillable="true" ma:displayName="Number of Ratings" ma:decimals="0" ma:description="Number of ratings submitted" ma:internalName="RatingCount" ma:readOnly="true">
      <xsd:simpleType>
        <xsd:restriction base="dms:Number"/>
      </xsd:simpleType>
    </xsd:element>
    <xsd:element name="KpiDescription" ma:index="17" nillable="true" ma:displayName="Description" ma:description="The description provides information about the purpose of the goal." ma:internalName="Kpi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ca91e63-ba90-48bb-9c9a-d813cbd7bfc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KeywordTaxHTField" ma:index="13" nillable="true" ma:taxonomy="true" ma:internalName="TaxKeywordTaxHTField" ma:taxonomyFieldName="TaxKeyword" ma:displayName="Enterprise Keywords" ma:fieldId="{23f27201-bee3-471e-b2e7-b64fd8b7ca38}" ma:taxonomyMulti="true" ma:sspId="73cb996b-2e07-43ac-9736-1a5134ce53ce" ma:termSetId="00000000-0000-0000-0000-000000000000" ma:anchorId="00000000-0000-0000-0000-000000000000" ma:open="true" ma:isKeyword="true">
      <xsd:complexType>
        <xsd:sequence>
          <xsd:element ref="pc:Terms" minOccurs="0" maxOccurs="1"/>
        </xsd:sequence>
      </xsd:complexType>
    </xsd:element>
    <xsd:element name="TaxCatchAll" ma:index="14" nillable="true" ma:displayName="Taxonomy Catch All Column" ma:description="" ma:hidden="true" ma:list="{2ad5ace2-2f10-428d-aa48-d51ad3ec2a53}" ma:internalName="TaxCatchAll" ma:showField="CatchAllData" ma:web="77bf6df0-2f36-4d9a-bbff-21776bc221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1"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dca91e63-ba90-48bb-9c9a-d813cbd7bfc7">RHW4R4RRYJ2Q-413-3</_dlc_DocId>
    <KpiDescription xmlns="http://schemas.microsoft.com/sharepoint/v3">Normal.dotm original file</KpiDescription>
    <_dlc_DocIdUrl xmlns="dca91e63-ba90-48bb-9c9a-d813cbd7bfc7">
      <Url>http://teams.evanspeck.com/Workspaces/Intranet_Workspace/_layouts/DocIdRedir.aspx?ID=RHW4R4RRYJ2Q-413-3</Url>
      <Description>RHW4R4RRYJ2Q-413-3</Description>
    </_dlc_DocIdUrl>
    <TaxCatchAll xmlns="dca91e63-ba90-48bb-9c9a-d813cbd7bfc7"/>
    <TaxKeywordTaxHTField xmlns="dca91e63-ba90-48bb-9c9a-d813cbd7bfc7">
      <Terms xmlns="http://schemas.microsoft.com/office/infopath/2007/PartnerControls"/>
    </TaxKeywordTaxHTField>
    <AverageRating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331676-502E-40C1-9AA0-4E336FA41EF8}">
  <ds:schemaRefs>
    <ds:schemaRef ds:uri="http://schemas.microsoft.com/sharepoint/events"/>
  </ds:schemaRefs>
</ds:datastoreItem>
</file>

<file path=customXml/itemProps2.xml><?xml version="1.0" encoding="utf-8"?>
<ds:datastoreItem xmlns:ds="http://schemas.openxmlformats.org/officeDocument/2006/customXml" ds:itemID="{453D64C6-1B36-4CBE-A89E-8A80B3E546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ca91e63-ba90-48bb-9c9a-d813cbd7bf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D25827-EA10-4694-AFA4-0C75D64E80E5}">
  <ds:schemaRefs>
    <ds:schemaRef ds:uri="http://schemas.microsoft.com/office/2006/documentManagement/types"/>
    <ds:schemaRef ds:uri="http://purl.org/dc/dcmitype/"/>
    <ds:schemaRef ds:uri="http://schemas.microsoft.com/sharepoint/v3"/>
    <ds:schemaRef ds:uri="http://schemas.microsoft.com/office/2006/metadata/properties"/>
    <ds:schemaRef ds:uri="http://www.w3.org/XML/1998/namespace"/>
    <ds:schemaRef ds:uri="http://purl.org/dc/elements/1.1/"/>
    <ds:schemaRef ds:uri="http://purl.org/dc/terms/"/>
    <ds:schemaRef ds:uri="http://schemas.microsoft.com/office/infopath/2007/PartnerControls"/>
    <ds:schemaRef ds:uri="http://schemas.openxmlformats.org/package/2006/metadata/core-properties"/>
    <ds:schemaRef ds:uri="dca91e63-ba90-48bb-9c9a-d813cbd7bfc7"/>
  </ds:schemaRefs>
</ds:datastoreItem>
</file>

<file path=customXml/itemProps4.xml><?xml version="1.0" encoding="utf-8"?>
<ds:datastoreItem xmlns:ds="http://schemas.openxmlformats.org/officeDocument/2006/customXml" ds:itemID="{F7635E47-DD45-4417-8847-A53537EAF650}">
  <ds:schemaRefs>
    <ds:schemaRef ds:uri="http://schemas.microsoft.com/sharepoint/v3/contenttype/forms"/>
  </ds:schemaRefs>
</ds:datastoreItem>
</file>

<file path=customXml/itemProps5.xml><?xml version="1.0" encoding="utf-8"?>
<ds:datastoreItem xmlns:ds="http://schemas.openxmlformats.org/officeDocument/2006/customXml" ds:itemID="{15C60C7C-5BB5-4FEC-9690-4FB0907DD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5610</Words>
  <Characters>32920</Characters>
  <Application>Microsoft Office Word</Application>
  <DocSecurity>0</DocSecurity>
  <Lines>556</Lines>
  <Paragraphs>238</Paragraphs>
  <ScaleCrop>false</ScaleCrop>
  <HeadingPairs>
    <vt:vector size="2" baseType="variant">
      <vt:variant>
        <vt:lpstr>Title</vt:lpstr>
      </vt:variant>
      <vt:variant>
        <vt:i4>1</vt:i4>
      </vt:variant>
    </vt:vector>
  </HeadingPairs>
  <TitlesOfParts>
    <vt:vector size="1" baseType="lpstr">
      <vt:lpstr>Submission DR175 - Evans &amp; Peck - Public Infrastructure - Public inquiry</vt:lpstr>
    </vt:vector>
  </TitlesOfParts>
  <Company>Evans &amp; Peck</Company>
  <LinksUpToDate>false</LinksUpToDate>
  <CharactersWithSpaces>38535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DR175 - Evans &amp; Peck - Public Infrastructure - Public inquiry</dc:title>
  <dc:creator>Evans &amp; Peck</dc:creator>
  <cp:lastModifiedBy>Productivity Commission</cp:lastModifiedBy>
  <cp:revision>2</cp:revision>
  <dcterms:created xsi:type="dcterms:W3CDTF">2014-04-11T01:57:00Z</dcterms:created>
  <dcterms:modified xsi:type="dcterms:W3CDTF">2014-04-11T01:57:00Z</dcterms:modified>
</cp:coreProperties>
</file>